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50463" w14:textId="10DBD8C7" w:rsidR="00395BA9" w:rsidRDefault="00DC3E16" w:rsidP="00395BA9">
      <w:pPr>
        <w:spacing w:line="360" w:lineRule="auto"/>
        <w:jc w:val="center"/>
        <w:rPr>
          <w:rFonts w:eastAsia="Times New Roman" w:cstheme="minorHAnsi"/>
          <w:b/>
          <w:bCs/>
          <w:color w:val="333333"/>
          <w:spacing w:val="15"/>
          <w:kern w:val="36"/>
          <w:sz w:val="24"/>
          <w:szCs w:val="24"/>
        </w:rPr>
      </w:pPr>
      <w:bookmarkStart w:id="0" w:name="_Hlk35333441"/>
      <w:r w:rsidRPr="00977028">
        <w:rPr>
          <w:b/>
          <w:bCs/>
          <w:sz w:val="24"/>
          <w:szCs w:val="24"/>
        </w:rPr>
        <w:t xml:space="preserve">MEDICAL SUPPLIES </w:t>
      </w:r>
      <w:r>
        <w:rPr>
          <w:b/>
          <w:bCs/>
          <w:sz w:val="24"/>
          <w:szCs w:val="24"/>
        </w:rPr>
        <w:t>&amp;</w:t>
      </w:r>
      <w:r w:rsidRPr="00977028">
        <w:rPr>
          <w:b/>
          <w:bCs/>
          <w:sz w:val="24"/>
          <w:szCs w:val="24"/>
        </w:rPr>
        <w:t xml:space="preserve"> COUNTERMEASURES TOOLKIT</w:t>
      </w:r>
      <w:bookmarkEnd w:id="0"/>
      <w:r w:rsidRPr="00977028">
        <w:rPr>
          <w:b/>
          <w:bCs/>
          <w:sz w:val="24"/>
          <w:szCs w:val="24"/>
        </w:rPr>
        <w:t xml:space="preserve"> </w:t>
      </w:r>
    </w:p>
    <w:p w14:paraId="01161E30" w14:textId="77777777" w:rsidR="00395BA9" w:rsidRPr="00FB2B3B" w:rsidRDefault="00395BA9" w:rsidP="00395BA9">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639D414A" w14:textId="77777777" w:rsidR="00716DC0" w:rsidRDefault="00716DC0" w:rsidP="00716DC0">
      <w:pPr>
        <w:spacing w:line="360" w:lineRule="auto"/>
        <w:ind w:left="576"/>
        <w:rPr>
          <w:b/>
          <w:bCs/>
          <w:i/>
          <w:iCs/>
        </w:rPr>
      </w:pPr>
    </w:p>
    <w:p w14:paraId="76B6B9D0" w14:textId="2872A57B" w:rsidR="00395BA9" w:rsidRDefault="00395BA9" w:rsidP="00395BA9">
      <w:pPr>
        <w:spacing w:after="120"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and laws related to </w:t>
      </w:r>
      <w:r w:rsidR="00EC4F66">
        <w:rPr>
          <w:rFonts w:ascii="Calibri" w:eastAsia="Times New Roman" w:hAnsi="Calibri" w:cs="Calibri"/>
          <w:szCs w:val="20"/>
        </w:rPr>
        <w:t xml:space="preserve">development, use, stockpiling, and distribution of medical supplies and medical countermeasures by the federal government and </w:t>
      </w:r>
      <w:r>
        <w:rPr>
          <w:rFonts w:ascii="Calibri" w:eastAsia="Times New Roman" w:hAnsi="Calibri" w:cs="Calibri"/>
          <w:szCs w:val="20"/>
        </w:rPr>
        <w:t xml:space="preserve">state, tribal, local, and territorial (STLT) </w:t>
      </w:r>
      <w:r w:rsidR="00CE4961">
        <w:rPr>
          <w:rFonts w:ascii="Calibri" w:eastAsia="Times New Roman" w:hAnsi="Calibri" w:cs="Calibri"/>
          <w:szCs w:val="20"/>
        </w:rPr>
        <w:t>governments</w:t>
      </w:r>
      <w:r w:rsidR="006264DF">
        <w:rPr>
          <w:rFonts w:ascii="Calibri" w:eastAsia="Times New Roman" w:hAnsi="Calibri" w:cs="Calibri"/>
          <w:szCs w:val="20"/>
        </w:rPr>
        <w:t xml:space="preserve"> </w:t>
      </w:r>
      <w:r w:rsidR="00FA4967">
        <w:rPr>
          <w:rFonts w:ascii="Calibri" w:eastAsia="Times New Roman" w:hAnsi="Calibri" w:cs="Calibri"/>
          <w:szCs w:val="20"/>
        </w:rPr>
        <w:t xml:space="preserve">in preparation for or in response to an emergency. </w:t>
      </w:r>
      <w:r>
        <w:rPr>
          <w:rFonts w:ascii="Calibri" w:eastAsia="Times New Roman" w:hAnsi="Calibri" w:cs="Calibri"/>
          <w:szCs w:val="20"/>
        </w:rPr>
        <w:t>It covers:</w:t>
      </w:r>
    </w:p>
    <w:p w14:paraId="2D281F91" w14:textId="4D2DF3D5" w:rsidR="00395BA9" w:rsidRPr="00F81E5D" w:rsidRDefault="00395BA9" w:rsidP="00DA0D21">
      <w:pPr>
        <w:pStyle w:val="ListParagraph"/>
        <w:numPr>
          <w:ilvl w:val="0"/>
          <w:numId w:val="1"/>
        </w:numPr>
        <w:spacing w:after="120" w:line="360" w:lineRule="auto"/>
        <w:contextualSpacing w:val="0"/>
        <w:rPr>
          <w:rFonts w:ascii="Calibri" w:eastAsia="Times New Roman" w:hAnsi="Calibri" w:cs="Calibri"/>
          <w:szCs w:val="20"/>
        </w:rPr>
      </w:pPr>
      <w:r w:rsidRPr="003013F5">
        <w:rPr>
          <w:rFonts w:ascii="Calibri" w:eastAsia="Times New Roman" w:hAnsi="Calibri" w:cs="Calibri"/>
          <w:szCs w:val="20"/>
        </w:rPr>
        <w:t xml:space="preserve">The </w:t>
      </w:r>
      <w:r w:rsidR="00A775F7">
        <w:t xml:space="preserve">roles of federal public health agencies involved in the development and distribution of </w:t>
      </w:r>
      <w:r w:rsidR="00F81E5D">
        <w:t>medical countermeasures</w:t>
      </w:r>
      <w:r w:rsidR="009611F6" w:rsidRPr="003013F5">
        <w:rPr>
          <w:rFonts w:ascii="Calibri" w:eastAsia="Times New Roman" w:hAnsi="Calibri" w:cs="Calibri"/>
          <w:szCs w:val="20"/>
        </w:rPr>
        <w:t>.</w:t>
      </w:r>
      <w:r w:rsidR="00E978F1" w:rsidRPr="003013F5">
        <w:t xml:space="preserve"> </w:t>
      </w:r>
    </w:p>
    <w:p w14:paraId="76F01EF2" w14:textId="16D2E6DF" w:rsidR="00F81E5D" w:rsidRPr="006C204B" w:rsidRDefault="00013E58" w:rsidP="00DA0D21">
      <w:pPr>
        <w:pStyle w:val="ListParagraph"/>
        <w:numPr>
          <w:ilvl w:val="0"/>
          <w:numId w:val="1"/>
        </w:numPr>
        <w:spacing w:after="120" w:line="360" w:lineRule="auto"/>
        <w:contextualSpacing w:val="0"/>
        <w:rPr>
          <w:rFonts w:ascii="Calibri" w:eastAsia="Times New Roman" w:hAnsi="Calibri" w:cs="Calibri"/>
          <w:szCs w:val="20"/>
        </w:rPr>
      </w:pPr>
      <w:r>
        <w:t xml:space="preserve">The legal mechanisms involved in using </w:t>
      </w:r>
      <w:r w:rsidR="006348B3">
        <w:t>medical countermeasures</w:t>
      </w:r>
      <w:r w:rsidR="00F000E9">
        <w:t xml:space="preserve">, including the emergency use of approved medical countermeasures, and </w:t>
      </w:r>
      <w:r w:rsidR="00FB70C3">
        <w:t>emergency use authorization</w:t>
      </w:r>
      <w:r w:rsidR="006348B3">
        <w:t xml:space="preserve">. </w:t>
      </w:r>
      <w:r>
        <w:t xml:space="preserve"> </w:t>
      </w:r>
    </w:p>
    <w:p w14:paraId="33EFA585" w14:textId="6F927349" w:rsidR="006C204B" w:rsidRPr="00DA0D21" w:rsidRDefault="00DA0D21" w:rsidP="00426492">
      <w:pPr>
        <w:pStyle w:val="ListParagraph"/>
        <w:numPr>
          <w:ilvl w:val="0"/>
          <w:numId w:val="1"/>
        </w:numPr>
        <w:spacing w:after="120" w:line="360" w:lineRule="auto"/>
        <w:contextualSpacing w:val="0"/>
      </w:pPr>
      <w:r>
        <w:t>T</w:t>
      </w:r>
      <w:r w:rsidR="006C204B" w:rsidRPr="006C204B">
        <w:t>he federal Strategic National Stockpile program, how the program operates, as well as state, tribal, local, and territorial (STLT) and other stockpile programs.</w:t>
      </w:r>
    </w:p>
    <w:p w14:paraId="4C2E5E95" w14:textId="2D63E5B3" w:rsidR="00395BA9" w:rsidRDefault="00395BA9" w:rsidP="00395BA9">
      <w:pPr>
        <w:spacing w:line="360" w:lineRule="auto"/>
        <w:rPr>
          <w:rFonts w:eastAsia="Times New Roman" w:cstheme="minorHAnsi"/>
          <w:szCs w:val="20"/>
        </w:rPr>
      </w:pPr>
      <w:r w:rsidRPr="00BC079F">
        <w:rPr>
          <w:rFonts w:eastAsia="Times New Roman" w:cstheme="minorHAnsi"/>
          <w:szCs w:val="20"/>
        </w:rPr>
        <w:t xml:space="preserve">More information about these and other related concepts are contained in </w:t>
      </w:r>
      <w:r>
        <w:rPr>
          <w:rFonts w:eastAsia="Times New Roman" w:cstheme="minorHAnsi"/>
          <w:szCs w:val="20"/>
        </w:rPr>
        <w:t xml:space="preserve">the </w:t>
      </w:r>
      <w:r w:rsidR="00B22AF4" w:rsidRPr="00B22AF4">
        <w:rPr>
          <w:rFonts w:eastAsia="Times New Roman" w:cstheme="minorHAnsi"/>
          <w:szCs w:val="20"/>
        </w:rPr>
        <w:t xml:space="preserve">Medical Supplies </w:t>
      </w:r>
      <w:r w:rsidR="00B22AF4">
        <w:rPr>
          <w:rFonts w:eastAsia="Times New Roman" w:cstheme="minorHAnsi"/>
          <w:szCs w:val="20"/>
        </w:rPr>
        <w:t>&amp;</w:t>
      </w:r>
      <w:r w:rsidR="00B22AF4" w:rsidRPr="00B22AF4">
        <w:rPr>
          <w:rFonts w:eastAsia="Times New Roman" w:cstheme="minorHAnsi"/>
          <w:szCs w:val="20"/>
        </w:rPr>
        <w:t xml:space="preserve"> Countermeasures Toolkit</w:t>
      </w:r>
      <w:r w:rsidRPr="00BC079F">
        <w:rPr>
          <w:rFonts w:eastAsia="Times New Roman" w:cstheme="minorHAnsi"/>
          <w:szCs w:val="20"/>
        </w:rPr>
        <w:t>.</w:t>
      </w:r>
    </w:p>
    <w:p w14:paraId="1047771A" w14:textId="66456C74" w:rsidR="00571F94" w:rsidRDefault="00571F94" w:rsidP="00395BA9">
      <w:pPr>
        <w:spacing w:line="360" w:lineRule="auto"/>
        <w:rPr>
          <w:color w:val="000000" w:themeColor="text1"/>
        </w:rPr>
      </w:pPr>
    </w:p>
    <w:p w14:paraId="105E8BEA" w14:textId="57DEE582" w:rsidR="00A775F7" w:rsidRPr="0085578D" w:rsidRDefault="00F81E5D" w:rsidP="00395BA9">
      <w:pPr>
        <w:spacing w:line="360" w:lineRule="auto"/>
        <w:rPr>
          <w:color w:val="000000" w:themeColor="text1"/>
        </w:rPr>
      </w:pPr>
      <w:r w:rsidRPr="00950285">
        <w:rPr>
          <w:b/>
          <w:bCs/>
          <w:sz w:val="24"/>
          <w:szCs w:val="24"/>
        </w:rPr>
        <w:t>Federal Medical Countermeasures</w:t>
      </w:r>
    </w:p>
    <w:p w14:paraId="7C92996D" w14:textId="0A14EDDE" w:rsidR="00A757A0" w:rsidRDefault="00797D8E" w:rsidP="00395BA9">
      <w:pPr>
        <w:spacing w:line="360" w:lineRule="auto"/>
      </w:pPr>
      <w:r>
        <w:t>The nation’s ability to develop and quickly deploy drugs, vaccines, medical equipment and supplies in response to a range of accidental, intentional, and natural threats is a vital component of our emergency preparedness and response activities. Given the central role of medical countermeasures (MCMs) in preparedness and response, it is important that STLT governments understand the roles of the federal public health agencies involved in the development and distribution of MCMs. Equally important is an understanding of how the various legal mechanisms involved in using MCMs have evolved and operate.</w:t>
      </w:r>
    </w:p>
    <w:p w14:paraId="00ABAA5C" w14:textId="77777777" w:rsidR="00A757A0" w:rsidRDefault="00A757A0" w:rsidP="00395BA9">
      <w:pPr>
        <w:spacing w:line="360" w:lineRule="auto"/>
      </w:pPr>
    </w:p>
    <w:p w14:paraId="3B41778A" w14:textId="5D7E3805" w:rsidR="00A757A0" w:rsidRDefault="00A757A0" w:rsidP="00A757A0">
      <w:pPr>
        <w:spacing w:line="360" w:lineRule="auto"/>
      </w:pPr>
      <w:r>
        <w:t>MCMs are “FDA-regulated products (biologics, drugs, devices) that may be used in the event of a potential public health emergency stemming from a terrorist attack with a biological, chemical, or radiological/nuclear material, or a naturally occurring emerging disease.”</w:t>
      </w:r>
      <w:r>
        <w:rPr>
          <w:rStyle w:val="FootnoteReference"/>
        </w:rPr>
        <w:footnoteReference w:id="1"/>
      </w:r>
      <w:r>
        <w:t xml:space="preserve"> MCMs can include:</w:t>
      </w:r>
      <w:r w:rsidR="00093243">
        <w:t xml:space="preserve"> b</w:t>
      </w:r>
      <w:r>
        <w:t xml:space="preserve">iologic </w:t>
      </w:r>
      <w:r>
        <w:lastRenderedPageBreak/>
        <w:t>products (e.g., vaccines, blood products, and antibodies)</w:t>
      </w:r>
      <w:r w:rsidR="00093243">
        <w:t>; d</w:t>
      </w:r>
      <w:r>
        <w:t>rugs (e.g., antimicrobial and antiviral drugs)</w:t>
      </w:r>
      <w:r w:rsidR="00093243">
        <w:t>; and d</w:t>
      </w:r>
      <w:r>
        <w:t>evices (e.g., diagnostic tests to identify threat agents; personal protective equipment (PPE) like gloves, respirators (face masks), and ventilators.</w:t>
      </w:r>
      <w:r w:rsidRPr="00A757A0">
        <w:rPr>
          <w:rStyle w:val="FootnoteReference"/>
        </w:rPr>
        <w:t xml:space="preserve"> </w:t>
      </w:r>
      <w:r>
        <w:rPr>
          <w:rStyle w:val="FootnoteReference"/>
        </w:rPr>
        <w:footnoteReference w:id="2"/>
      </w:r>
      <w:r w:rsidR="00093243">
        <w:t xml:space="preserve"> </w:t>
      </w:r>
      <w:r>
        <w:t>MCMs are used to diagnose, prevent, treat, and protect against conditions associated with chemical, biological, radiological, or nuclear (CBRN) threats, or emerging infectious diseases.</w:t>
      </w:r>
      <w:r>
        <w:rPr>
          <w:rStyle w:val="FootnoteReference"/>
        </w:rPr>
        <w:footnoteReference w:id="3"/>
      </w:r>
    </w:p>
    <w:p w14:paraId="3A2FBD4E" w14:textId="59A3BB1D" w:rsidR="006F62AF" w:rsidRDefault="00797D8E" w:rsidP="00395BA9">
      <w:pPr>
        <w:spacing w:line="360" w:lineRule="auto"/>
      </w:pPr>
      <w:r>
        <w:t xml:space="preserve"> </w:t>
      </w:r>
    </w:p>
    <w:p w14:paraId="794E3B99" w14:textId="6BF0DE63" w:rsidR="000A17F1" w:rsidRDefault="00CE203E" w:rsidP="004F7A14">
      <w:pPr>
        <w:spacing w:after="120" w:line="360" w:lineRule="auto"/>
      </w:pPr>
      <w:r>
        <w:t xml:space="preserve">Multiple federal agencies and entities have roles in the funding, development, testing, and deployment of MCMs. These entities work together through the </w:t>
      </w:r>
      <w:r w:rsidRPr="005F00CB">
        <w:t>Public Health Emergency Medical Countermeasures Enterprise (PHEMCE)</w:t>
      </w:r>
      <w:r>
        <w:t xml:space="preserve">. The role of PHEMCH is to </w:t>
      </w:r>
      <w:r w:rsidRPr="005F00CB">
        <w:t>coordinate</w:t>
      </w:r>
      <w:r>
        <w:t xml:space="preserve"> f</w:t>
      </w:r>
      <w:r w:rsidRPr="005F00CB">
        <w:t>ederal efforts to enhance</w:t>
      </w:r>
      <w:r>
        <w:t xml:space="preserve"> </w:t>
      </w:r>
      <w:r w:rsidRPr="005F00CB">
        <w:t xml:space="preserve">CBRN and emerging infectious diseases </w:t>
      </w:r>
      <w:r>
        <w:t xml:space="preserve">and pandemic </w:t>
      </w:r>
      <w:r w:rsidRPr="005F00CB">
        <w:t xml:space="preserve">preparedness from </w:t>
      </w:r>
      <w:r w:rsidR="00505905" w:rsidRPr="005F00CB">
        <w:t>an</w:t>
      </w:r>
      <w:r w:rsidRPr="005F00CB">
        <w:t xml:space="preserve"> MCM perspective.</w:t>
      </w:r>
      <w:r>
        <w:rPr>
          <w:rStyle w:val="FootnoteReference"/>
        </w:rPr>
        <w:footnoteReference w:id="4"/>
      </w:r>
      <w:r w:rsidR="00505905">
        <w:t xml:space="preserve"> </w:t>
      </w:r>
      <w:r w:rsidR="00B84FD6">
        <w:t xml:space="preserve">The HHS agencies involved in </w:t>
      </w:r>
      <w:r w:rsidR="00891B95">
        <w:t>PHEMCH</w:t>
      </w:r>
      <w:r w:rsidR="00B84FD6">
        <w:t xml:space="preserve"> are:</w:t>
      </w:r>
    </w:p>
    <w:p w14:paraId="089D5DEF" w14:textId="07A90FC4" w:rsidR="00A52FF0" w:rsidRDefault="00A52FF0" w:rsidP="004F7A14">
      <w:pPr>
        <w:pStyle w:val="ListParagraph"/>
        <w:numPr>
          <w:ilvl w:val="0"/>
          <w:numId w:val="6"/>
        </w:numPr>
        <w:spacing w:after="120" w:line="360" w:lineRule="auto"/>
        <w:contextualSpacing w:val="0"/>
      </w:pPr>
      <w:r w:rsidRPr="00EB7BBD">
        <w:rPr>
          <w:b/>
          <w:bCs/>
        </w:rPr>
        <w:t>HHS Assistant Secretary for Preparedness and Response</w:t>
      </w:r>
      <w:r w:rsidR="006B1999">
        <w:t>—</w:t>
      </w:r>
      <w:r w:rsidR="00635669">
        <w:t>O</w:t>
      </w:r>
      <w:r w:rsidR="006B1999" w:rsidRPr="00105B25">
        <w:t xml:space="preserve">versees research, development, and procurement of </w:t>
      </w:r>
      <w:r w:rsidR="006B1999">
        <w:t>MCMs, as well as sustaining</w:t>
      </w:r>
      <w:r w:rsidR="006B1999" w:rsidRPr="008C43D1">
        <w:t xml:space="preserve"> public health security capabilities </w:t>
      </w:r>
      <w:r w:rsidR="006B1999">
        <w:t>to detect, diagnose, and rapidly deploy MCMs.</w:t>
      </w:r>
      <w:r w:rsidR="006B1999">
        <w:rPr>
          <w:rStyle w:val="FootnoteReference"/>
        </w:rPr>
        <w:footnoteReference w:id="5"/>
      </w:r>
      <w:r w:rsidR="006B1999">
        <w:t xml:space="preserve"> </w:t>
      </w:r>
      <w:r w:rsidRPr="00A52FF0">
        <w:t xml:space="preserve"> </w:t>
      </w:r>
    </w:p>
    <w:p w14:paraId="14D75310" w14:textId="77777777" w:rsidR="00E94238" w:rsidRDefault="00E861D0" w:rsidP="004F7A14">
      <w:pPr>
        <w:pStyle w:val="ListParagraph"/>
        <w:numPr>
          <w:ilvl w:val="0"/>
          <w:numId w:val="6"/>
        </w:numPr>
        <w:spacing w:after="120" w:line="360" w:lineRule="auto"/>
        <w:contextualSpacing w:val="0"/>
      </w:pPr>
      <w:r w:rsidRPr="00EB7BBD">
        <w:rPr>
          <w:b/>
          <w:bCs/>
        </w:rPr>
        <w:t>Biomedical Advanced Research and Development Authority (BARDA)</w:t>
      </w:r>
      <w:r w:rsidR="00635669">
        <w:t>—S</w:t>
      </w:r>
      <w:r w:rsidRPr="00E861D0">
        <w:t xml:space="preserve">upports the advanced development and procurement of MCMs through public-private partnerships </w:t>
      </w:r>
      <w:r w:rsidR="00635669">
        <w:t xml:space="preserve">with the </w:t>
      </w:r>
      <w:r w:rsidRPr="00E861D0">
        <w:t xml:space="preserve">goal </w:t>
      </w:r>
      <w:r w:rsidR="00635669">
        <w:t xml:space="preserve">of </w:t>
      </w:r>
      <w:r w:rsidRPr="00E861D0">
        <w:t>obtain</w:t>
      </w:r>
      <w:r w:rsidR="00635669">
        <w:t>ing</w:t>
      </w:r>
      <w:r w:rsidRPr="00E861D0">
        <w:t xml:space="preserve"> FDA approval or licensure for MCMs and their ultimate inclusion into the Strategic National Stockpile (SNS).</w:t>
      </w:r>
    </w:p>
    <w:p w14:paraId="6A26D0A9" w14:textId="52660D46" w:rsidR="000A17F1" w:rsidRDefault="002D2EE8" w:rsidP="004F7A14">
      <w:pPr>
        <w:pStyle w:val="ListParagraph"/>
        <w:numPr>
          <w:ilvl w:val="0"/>
          <w:numId w:val="6"/>
        </w:numPr>
        <w:spacing w:after="120" w:line="360" w:lineRule="auto"/>
        <w:contextualSpacing w:val="0"/>
      </w:pPr>
      <w:r w:rsidRPr="00EB7BBD">
        <w:rPr>
          <w:b/>
          <w:bCs/>
        </w:rPr>
        <w:t>Food and Drug Administration</w:t>
      </w:r>
      <w:r w:rsidR="00F125A9">
        <w:t xml:space="preserve">—Is </w:t>
      </w:r>
      <w:r>
        <w:t xml:space="preserve">responsible for ensuring that MCMs are safe, effective, and secure. </w:t>
      </w:r>
      <w:r w:rsidR="00F125A9">
        <w:t xml:space="preserve">Among other things, </w:t>
      </w:r>
      <w:r>
        <w:t xml:space="preserve">FDA works with STLT and international governments to support MCM-related public health preparedness and response efforts through the FDA Medical Countermeasures Initiative (MCMi).  </w:t>
      </w:r>
      <w:r w:rsidR="00E861D0" w:rsidRPr="00E861D0">
        <w:t xml:space="preserve"> </w:t>
      </w:r>
    </w:p>
    <w:p w14:paraId="3018082E" w14:textId="77777777" w:rsidR="00F125A9" w:rsidRDefault="00F125A9" w:rsidP="004F7A14">
      <w:pPr>
        <w:pStyle w:val="ListParagraph"/>
        <w:numPr>
          <w:ilvl w:val="0"/>
          <w:numId w:val="6"/>
        </w:numPr>
        <w:spacing w:after="120" w:line="360" w:lineRule="auto"/>
        <w:contextualSpacing w:val="0"/>
      </w:pPr>
      <w:r w:rsidRPr="00EB7BBD">
        <w:rPr>
          <w:b/>
          <w:bCs/>
        </w:rPr>
        <w:t>Centers for Disease Control and Prevention</w:t>
      </w:r>
      <w:r>
        <w:t>—Uses its scientific expertise and public health practice experience to inform STLT public health agencies in the use of preventative measures and treatments during a public health emergency.</w:t>
      </w:r>
    </w:p>
    <w:p w14:paraId="583D3852" w14:textId="4688C036" w:rsidR="000A17F1" w:rsidRDefault="00103885" w:rsidP="00EB7BBD">
      <w:pPr>
        <w:pStyle w:val="ListParagraph"/>
        <w:numPr>
          <w:ilvl w:val="0"/>
          <w:numId w:val="6"/>
        </w:numPr>
        <w:spacing w:line="360" w:lineRule="auto"/>
      </w:pPr>
      <w:r w:rsidRPr="00EB7BBD">
        <w:rPr>
          <w:b/>
          <w:bCs/>
        </w:rPr>
        <w:lastRenderedPageBreak/>
        <w:t>National Institute of Allergy and Infectious Disease</w:t>
      </w:r>
      <w:r w:rsidR="002714BE">
        <w:t>—Has lead</w:t>
      </w:r>
      <w:r w:rsidRPr="00103885">
        <w:t xml:space="preserve"> responsibility within HHS and the National Institutes of Health (NIH) for conducting civilian biodefense research.  </w:t>
      </w:r>
    </w:p>
    <w:p w14:paraId="0DEE7574" w14:textId="77777777" w:rsidR="001A2EAF" w:rsidRDefault="001A2EAF" w:rsidP="00395BA9">
      <w:pPr>
        <w:spacing w:line="360" w:lineRule="auto"/>
        <w:rPr>
          <w:rFonts w:ascii="Calibri" w:eastAsia="Times New Roman" w:hAnsi="Calibri" w:cs="Calibri"/>
          <w:color w:val="000000" w:themeColor="text1"/>
          <w:szCs w:val="20"/>
        </w:rPr>
      </w:pPr>
    </w:p>
    <w:p w14:paraId="101C91D3" w14:textId="77777777" w:rsidR="001A2EAF" w:rsidRPr="00D645B8" w:rsidRDefault="001A2EAF" w:rsidP="001A2EAF">
      <w:pPr>
        <w:keepNext/>
        <w:keepLines/>
        <w:spacing w:line="360" w:lineRule="auto"/>
        <w:rPr>
          <w:b/>
          <w:bCs/>
          <w:sz w:val="24"/>
          <w:szCs w:val="24"/>
        </w:rPr>
      </w:pPr>
      <w:r>
        <w:rPr>
          <w:b/>
          <w:bCs/>
          <w:sz w:val="24"/>
          <w:szCs w:val="24"/>
        </w:rPr>
        <w:t xml:space="preserve">Legal Authorities for </w:t>
      </w:r>
      <w:r w:rsidRPr="00D645B8">
        <w:rPr>
          <w:b/>
          <w:bCs/>
          <w:sz w:val="24"/>
          <w:szCs w:val="24"/>
        </w:rPr>
        <w:t>Development of MCM</w:t>
      </w:r>
      <w:r>
        <w:rPr>
          <w:b/>
          <w:bCs/>
          <w:sz w:val="24"/>
          <w:szCs w:val="24"/>
        </w:rPr>
        <w:t>s</w:t>
      </w:r>
      <w:r w:rsidRPr="00D645B8">
        <w:rPr>
          <w:b/>
          <w:bCs/>
          <w:sz w:val="24"/>
          <w:szCs w:val="24"/>
        </w:rPr>
        <w:t xml:space="preserve"> </w:t>
      </w:r>
      <w:r>
        <w:rPr>
          <w:b/>
          <w:bCs/>
          <w:sz w:val="24"/>
          <w:szCs w:val="24"/>
        </w:rPr>
        <w:t>and Distribution Mechanisms</w:t>
      </w:r>
    </w:p>
    <w:p w14:paraId="505F41E0" w14:textId="1CB08085" w:rsidR="00644ED4" w:rsidRDefault="001A2EAF" w:rsidP="00095A99">
      <w:pPr>
        <w:spacing w:line="360" w:lineRule="auto"/>
      </w:pPr>
      <w:r>
        <w:t>During the previous twenty years, a succession of federal laws created the legal foundation to prepare for and respond to CBNR events and infectious disease threats.</w:t>
      </w:r>
      <w:r w:rsidR="0030444D">
        <w:rPr>
          <w:rStyle w:val="FootnoteReference"/>
        </w:rPr>
        <w:footnoteReference w:id="6"/>
      </w:r>
      <w:r>
        <w:t xml:space="preserve"> </w:t>
      </w:r>
      <w:r w:rsidR="00095A99">
        <w:t xml:space="preserve">Through the development of </w:t>
      </w:r>
      <w:r w:rsidR="00640485">
        <w:t xml:space="preserve">these </w:t>
      </w:r>
      <w:r w:rsidR="00095A99">
        <w:t>legal authorities</w:t>
      </w:r>
      <w:r w:rsidR="00640485">
        <w:t xml:space="preserve">, </w:t>
      </w:r>
      <w:r w:rsidR="00095A99">
        <w:t>FDA has several channels through which it can facilitate the delivery of MCMs to prepare for and response to a public health emergency. Determining which method to use will depend on the circumstances of an emergency event and whether these circumstances meet the statutory criteria required for using a particular method.</w:t>
      </w:r>
      <w:r w:rsidR="000072AB">
        <w:t xml:space="preserve"> These authorities include:</w:t>
      </w:r>
    </w:p>
    <w:p w14:paraId="72E1E8BF" w14:textId="6C01E443" w:rsidR="000072AB" w:rsidRDefault="000072AB" w:rsidP="001D7801">
      <w:pPr>
        <w:pStyle w:val="ListParagraph"/>
        <w:numPr>
          <w:ilvl w:val="0"/>
          <w:numId w:val="7"/>
        </w:numPr>
        <w:spacing w:line="360" w:lineRule="auto"/>
      </w:pPr>
      <w:r w:rsidRPr="001D7801">
        <w:rPr>
          <w:b/>
          <w:bCs/>
        </w:rPr>
        <w:t>Emergency Use of Approved MCMs</w:t>
      </w:r>
      <w:r w:rsidR="00E45CF2">
        <w:t>, including expiration dat</w:t>
      </w:r>
      <w:r w:rsidR="00C34AC2">
        <w:t>ing</w:t>
      </w:r>
      <w:r w:rsidR="00E45CF2">
        <w:t xml:space="preserve"> extensions</w:t>
      </w:r>
      <w:r w:rsidR="00C34AC2">
        <w:t>,</w:t>
      </w:r>
      <w:r w:rsidR="00881345" w:rsidRPr="00881345">
        <w:t xml:space="preserve"> </w:t>
      </w:r>
      <w:r w:rsidR="00881345">
        <w:t>e</w:t>
      </w:r>
      <w:r w:rsidR="00881345" w:rsidRPr="00881345">
        <w:t xml:space="preserve">mergency </w:t>
      </w:r>
      <w:r w:rsidR="00881345">
        <w:t>u</w:t>
      </w:r>
      <w:r w:rsidR="00881345" w:rsidRPr="00881345">
        <w:t xml:space="preserve">se </w:t>
      </w:r>
      <w:r w:rsidR="00881345">
        <w:t>i</w:t>
      </w:r>
      <w:r w:rsidR="00881345" w:rsidRPr="00881345">
        <w:t>nstructions</w:t>
      </w:r>
      <w:r w:rsidR="00881345">
        <w:t xml:space="preserve">, </w:t>
      </w:r>
      <w:r w:rsidR="00E21B24">
        <w:t xml:space="preserve">waiving </w:t>
      </w:r>
      <w:r w:rsidR="00E21B24" w:rsidRPr="00042952">
        <w:t>current Good Manufacturing Practices (cGMPs)</w:t>
      </w:r>
      <w:r w:rsidR="00E21B24">
        <w:t xml:space="preserve">, </w:t>
      </w:r>
      <w:r w:rsidR="00602602">
        <w:t xml:space="preserve">emergency dispensing; and </w:t>
      </w:r>
      <w:r w:rsidR="00A9680C">
        <w:t xml:space="preserve">waiver </w:t>
      </w:r>
      <w:r w:rsidR="00C1703F">
        <w:t xml:space="preserve">of </w:t>
      </w:r>
      <w:r w:rsidR="00A9680C">
        <w:t>risk evaluation and mitigation strategies (REMS)</w:t>
      </w:r>
      <w:r w:rsidR="00C1703F">
        <w:t>.</w:t>
      </w:r>
    </w:p>
    <w:p w14:paraId="2BE096D9" w14:textId="681E3D6C" w:rsidR="003912BC" w:rsidRPr="001D7801" w:rsidRDefault="003912BC" w:rsidP="001D7801">
      <w:pPr>
        <w:pStyle w:val="ListParagraph"/>
        <w:keepNext/>
        <w:numPr>
          <w:ilvl w:val="0"/>
          <w:numId w:val="7"/>
        </w:numPr>
        <w:spacing w:line="360" w:lineRule="auto"/>
        <w:rPr>
          <w:b/>
          <w:bCs/>
        </w:rPr>
      </w:pPr>
      <w:r w:rsidRPr="001D7801">
        <w:rPr>
          <w:b/>
          <w:bCs/>
        </w:rPr>
        <w:t>Emergency Use Authorization</w:t>
      </w:r>
      <w:r w:rsidR="00D16324" w:rsidRPr="001D7801">
        <w:rPr>
          <w:b/>
          <w:bCs/>
        </w:rPr>
        <w:t xml:space="preserve"> </w:t>
      </w:r>
      <w:r w:rsidR="00D16324">
        <w:t xml:space="preserve">authorizes the use of </w:t>
      </w:r>
      <w:r w:rsidR="00D16324" w:rsidRPr="00EF7EFE">
        <w:t>unapproved medical products</w:t>
      </w:r>
      <w:r w:rsidR="00640485">
        <w:t>—</w:t>
      </w:r>
      <w:r w:rsidR="00D16324" w:rsidRPr="00EF7EFE">
        <w:t>or unapproved uses of approved medical products</w:t>
      </w:r>
      <w:r w:rsidR="00D16324">
        <w:t>–</w:t>
      </w:r>
      <w:r w:rsidR="00D16324" w:rsidRPr="00EF7EFE">
        <w:t>in an emergency to diagnose, t</w:t>
      </w:r>
      <w:r w:rsidR="00D16324">
        <w:t>r</w:t>
      </w:r>
      <w:r w:rsidR="00D16324" w:rsidRPr="00EF7EFE">
        <w:t>eat, or prevent serious or life-threatening diseases or conditions caused by CBRN threat agents when there are no adequate, approved, and available alternatives.</w:t>
      </w:r>
      <w:r w:rsidR="00D16324">
        <w:rPr>
          <w:rStyle w:val="FootnoteReference"/>
        </w:rPr>
        <w:footnoteReference w:id="7"/>
      </w:r>
      <w:r w:rsidR="003B5A6D">
        <w:t xml:space="preserve"> Before </w:t>
      </w:r>
      <w:r w:rsidR="005841F5">
        <w:t xml:space="preserve">FDA approves an EUA, there must be prior determination </w:t>
      </w:r>
      <w:r w:rsidR="001E4435">
        <w:t xml:space="preserve">made </w:t>
      </w:r>
      <w:r w:rsidR="0061045C">
        <w:t xml:space="preserve">by a designated official per </w:t>
      </w:r>
      <w:r w:rsidR="00F90525">
        <w:t xml:space="preserve">§564 of FD&amp;C Act and </w:t>
      </w:r>
      <w:r w:rsidR="00491671">
        <w:t xml:space="preserve">a declaration </w:t>
      </w:r>
      <w:r w:rsidR="001D7801">
        <w:t xml:space="preserve">per §564 </w:t>
      </w:r>
      <w:r w:rsidR="00491671">
        <w:t xml:space="preserve">by the HHS Secretary that </w:t>
      </w:r>
      <w:r w:rsidR="006315FF">
        <w:t>circumstances justify the use of an EUA.</w:t>
      </w:r>
      <w:r w:rsidR="00F90525">
        <w:t xml:space="preserve"> </w:t>
      </w:r>
    </w:p>
    <w:p w14:paraId="1F9ED866" w14:textId="77777777" w:rsidR="003912BC" w:rsidRDefault="003912BC" w:rsidP="00095A99">
      <w:pPr>
        <w:spacing w:line="360" w:lineRule="auto"/>
      </w:pPr>
    </w:p>
    <w:p w14:paraId="43E9DC26" w14:textId="4E652376" w:rsidR="00644ED4" w:rsidRPr="00454C9B" w:rsidRDefault="00454C9B" w:rsidP="001A2EAF">
      <w:pPr>
        <w:spacing w:line="360" w:lineRule="auto"/>
        <w:rPr>
          <w:b/>
          <w:bCs/>
          <w:sz w:val="24"/>
          <w:szCs w:val="24"/>
        </w:rPr>
      </w:pPr>
      <w:r w:rsidRPr="00454C9B">
        <w:rPr>
          <w:b/>
          <w:bCs/>
          <w:sz w:val="24"/>
          <w:szCs w:val="24"/>
        </w:rPr>
        <w:t>Medical Stockpiles and Distribution</w:t>
      </w:r>
    </w:p>
    <w:p w14:paraId="1383F905" w14:textId="77777777" w:rsidR="00AA725E" w:rsidRDefault="006C204B" w:rsidP="001A2EAF">
      <w:pPr>
        <w:spacing w:line="360" w:lineRule="auto"/>
      </w:pPr>
      <w:r>
        <w:t>S</w:t>
      </w:r>
      <w:r w:rsidRPr="006C204B">
        <w:t xml:space="preserve">tockpiles of medicines, medical supplies, and equipment are a key component of public health emergency preparedness and response. </w:t>
      </w:r>
    </w:p>
    <w:p w14:paraId="5BF6471B" w14:textId="77777777" w:rsidR="00162F59" w:rsidRDefault="00162F59" w:rsidP="00162F59">
      <w:pPr>
        <w:spacing w:line="360" w:lineRule="auto"/>
        <w:rPr>
          <w:rFonts w:ascii="Calibri" w:eastAsia="Times New Roman" w:hAnsi="Calibri" w:cs="Calibri"/>
          <w:b/>
          <w:bCs/>
        </w:rPr>
      </w:pPr>
      <w:bookmarkStart w:id="1" w:name="_Hlk41925510"/>
    </w:p>
    <w:p w14:paraId="7223C112" w14:textId="77777777" w:rsidR="00162F59" w:rsidRDefault="007347D0" w:rsidP="00162F59">
      <w:pPr>
        <w:spacing w:line="360" w:lineRule="auto"/>
        <w:rPr>
          <w:rFonts w:ascii="Calibri" w:eastAsia="Times New Roman" w:hAnsi="Calibri" w:cs="Calibri"/>
          <w:b/>
          <w:bCs/>
        </w:rPr>
      </w:pPr>
      <w:r w:rsidRPr="00162F59">
        <w:rPr>
          <w:rFonts w:ascii="Calibri" w:eastAsia="Times New Roman" w:hAnsi="Calibri" w:cs="Calibri"/>
          <w:b/>
          <w:bCs/>
        </w:rPr>
        <w:t>Strategic National Stockpile (SNS)</w:t>
      </w:r>
    </w:p>
    <w:p w14:paraId="47411431" w14:textId="22F2BFF8" w:rsidR="002931E5" w:rsidRPr="00162F59" w:rsidRDefault="00162F59" w:rsidP="00162F59">
      <w:pPr>
        <w:spacing w:line="360" w:lineRule="auto"/>
        <w:rPr>
          <w:rFonts w:ascii="Calibri" w:eastAsia="Times New Roman" w:hAnsi="Calibri" w:cs="Calibri"/>
        </w:rPr>
      </w:pPr>
      <w:r w:rsidRPr="00162F59">
        <w:rPr>
          <w:rFonts w:ascii="Calibri" w:eastAsia="Times New Roman" w:hAnsi="Calibri" w:cs="Calibri"/>
        </w:rPr>
        <w:lastRenderedPageBreak/>
        <w:t>The SNS</w:t>
      </w:r>
      <w:r w:rsidR="007347D0" w:rsidRPr="00162F59">
        <w:rPr>
          <w:rFonts w:ascii="Calibri" w:eastAsia="Times New Roman" w:hAnsi="Calibri" w:cs="Calibri"/>
        </w:rPr>
        <w:t xml:space="preserve"> </w:t>
      </w:r>
      <w:bookmarkEnd w:id="1"/>
      <w:r w:rsidR="007347D0" w:rsidRPr="00162F59">
        <w:rPr>
          <w:rFonts w:ascii="Calibri" w:eastAsia="Times New Roman" w:hAnsi="Calibri" w:cs="Calibri"/>
        </w:rPr>
        <w:t>is “a national repository of antibiotics, chemical antidotes, antitoxins, life-support medications, IV administration, airway maintenance supplies, and medical/surgical items”</w:t>
      </w:r>
      <w:r w:rsidR="007347D0">
        <w:rPr>
          <w:rStyle w:val="FootnoteReference"/>
          <w:rFonts w:ascii="Calibri" w:eastAsia="Times New Roman" w:hAnsi="Calibri" w:cs="Calibri"/>
        </w:rPr>
        <w:footnoteReference w:id="8"/>
      </w:r>
      <w:r w:rsidR="007347D0" w:rsidRPr="00162F59">
        <w:rPr>
          <w:rFonts w:ascii="Calibri" w:eastAsia="Times New Roman" w:hAnsi="Calibri" w:cs="Calibri"/>
        </w:rPr>
        <w:t xml:space="preserve"> and is currently managed by HHS ASPR.</w:t>
      </w:r>
      <w:r w:rsidR="00FA67C5" w:rsidRPr="00162F59">
        <w:rPr>
          <w:rFonts w:ascii="Calibri" w:eastAsia="Times New Roman" w:hAnsi="Calibri" w:cs="Calibri"/>
        </w:rPr>
        <w:t xml:space="preserve"> </w:t>
      </w:r>
      <w:r w:rsidR="00FA67C5" w:rsidRPr="00162F59">
        <w:rPr>
          <w:rFonts w:ascii="Calibri" w:eastAsia="Times New Roman" w:hAnsi="Calibri" w:cs="Calibri"/>
          <w:bdr w:val="none" w:sz="0" w:space="0" w:color="auto" w:frame="1"/>
        </w:rPr>
        <w:t>The HHS Secretary may deploy the SNS to respond to an actual or potential public health emergency, protect the public health or safety, or as required by the Secretary of Homeland Security, to respond to an actual or potential emergency.</w:t>
      </w:r>
      <w:r w:rsidR="00FA67C5">
        <w:rPr>
          <w:rStyle w:val="FootnoteReference"/>
          <w:rFonts w:ascii="Calibri" w:eastAsia="Times New Roman" w:hAnsi="Calibri" w:cs="Calibri"/>
          <w:bdr w:val="none" w:sz="0" w:space="0" w:color="auto" w:frame="1"/>
        </w:rPr>
        <w:footnoteReference w:id="9"/>
      </w:r>
      <w:r w:rsidR="00AA725E" w:rsidRPr="00162F59">
        <w:rPr>
          <w:rFonts w:ascii="Calibri" w:eastAsia="Times New Roman" w:hAnsi="Calibri" w:cs="Calibri"/>
          <w:bdr w:val="none" w:sz="0" w:space="0" w:color="auto" w:frame="1"/>
        </w:rPr>
        <w:t xml:space="preserve"> </w:t>
      </w:r>
      <w:r w:rsidR="00AA725E" w:rsidRPr="00162F59">
        <w:rPr>
          <w:rFonts w:ascii="Calibri" w:eastAsia="Times New Roman" w:hAnsi="Calibri" w:cs="Calibri"/>
        </w:rPr>
        <w:t>The declaration of a federal or state public health emergency is not required to deploy the stockpile, and its contents can be deployed in advance of a public health emergency.</w:t>
      </w:r>
      <w:r w:rsidR="0044298D" w:rsidRPr="00162F59">
        <w:rPr>
          <w:rFonts w:ascii="Calibri" w:eastAsia="Times New Roman" w:hAnsi="Calibri" w:cs="Calibri"/>
        </w:rPr>
        <w:t xml:space="preserve"> </w:t>
      </w:r>
    </w:p>
    <w:p w14:paraId="5BC3190F" w14:textId="77777777" w:rsidR="002931E5" w:rsidRDefault="002931E5" w:rsidP="002931E5">
      <w:pPr>
        <w:pStyle w:val="ListParagraph"/>
        <w:spacing w:line="360" w:lineRule="auto"/>
        <w:ind w:left="360"/>
        <w:rPr>
          <w:rFonts w:ascii="Calibri" w:eastAsia="Times New Roman" w:hAnsi="Calibri" w:cs="Calibri"/>
        </w:rPr>
      </w:pPr>
    </w:p>
    <w:p w14:paraId="50DE177B" w14:textId="5E4B3D12" w:rsidR="00644ED4" w:rsidRDefault="002931E5" w:rsidP="00162F59">
      <w:pPr>
        <w:spacing w:line="360" w:lineRule="auto"/>
        <w:rPr>
          <w:rFonts w:ascii="Calibri" w:eastAsia="Times New Roman" w:hAnsi="Calibri" w:cs="Calibri"/>
        </w:rPr>
      </w:pPr>
      <w:r w:rsidRPr="00162F59">
        <w:rPr>
          <w:rFonts w:ascii="Calibri" w:eastAsia="Times New Roman" w:hAnsi="Calibri" w:cs="Calibri"/>
        </w:rPr>
        <w:t>State governors or their designees may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Pr>
          <w:rStyle w:val="FootnoteReference"/>
          <w:rFonts w:ascii="Calibri" w:eastAsia="Times New Roman" w:hAnsi="Calibri" w:cs="Calibri"/>
        </w:rPr>
        <w:footnoteReference w:id="10"/>
      </w:r>
      <w:r w:rsidR="00307C60">
        <w:rPr>
          <w:rFonts w:ascii="Calibri" w:eastAsia="Times New Roman" w:hAnsi="Calibri" w:cs="Calibri"/>
        </w:rPr>
        <w:t xml:space="preserve"> </w:t>
      </w:r>
      <w:r w:rsidR="0096530F" w:rsidRPr="00162F59">
        <w:rPr>
          <w:rFonts w:ascii="Calibri" w:eastAsia="Times New Roman" w:hAnsi="Calibri" w:cs="Calibri"/>
        </w:rPr>
        <w:t>Initial deployments from the SNS are 12-hour caches of medicines and medical supplies that can address a range of needs arising from what may be an ill-defined threat in the early hours of an emergency event.</w:t>
      </w:r>
      <w:r w:rsidR="0096530F" w:rsidRPr="0096530F">
        <w:rPr>
          <w:vertAlign w:val="superscript"/>
        </w:rPr>
        <w:footnoteReference w:id="11"/>
      </w:r>
      <w:r w:rsidR="0096530F" w:rsidRPr="00162F59">
        <w:rPr>
          <w:rFonts w:ascii="Calibri" w:eastAsia="Times New Roman" w:hAnsi="Calibri" w:cs="Calibri"/>
        </w:rPr>
        <w:t xml:space="preserve"> </w:t>
      </w:r>
      <w:r w:rsidR="001E47EF" w:rsidRPr="00162F59">
        <w:rPr>
          <w:rFonts w:ascii="Calibri" w:eastAsia="Times New Roman" w:hAnsi="Calibri" w:cs="Calibri"/>
        </w:rPr>
        <w:t>If an event requires specific or additional medicines and supplies, a deployment is made from managed inventory (MI).</w:t>
      </w:r>
      <w:r w:rsidR="001E47EF" w:rsidRPr="001E47EF">
        <w:rPr>
          <w:vertAlign w:val="superscript"/>
        </w:rPr>
        <w:footnoteReference w:id="12"/>
      </w:r>
      <w:r w:rsidR="001E47EF" w:rsidRPr="00162F59">
        <w:rPr>
          <w:rFonts w:ascii="Calibri" w:eastAsia="Times New Roman" w:hAnsi="Calibri" w:cs="Calibri"/>
        </w:rPr>
        <w:t xml:space="preserve"> </w:t>
      </w:r>
      <w:r w:rsidR="0044298D" w:rsidRPr="00162F59">
        <w:rPr>
          <w:rFonts w:ascii="Calibri" w:eastAsia="Times New Roman" w:hAnsi="Calibri" w:cs="Calibri"/>
        </w:rPr>
        <w:t xml:space="preserve">The SNS may also include medicines that have been authorized by the FDA under its </w:t>
      </w:r>
      <w:r w:rsidR="0044298D" w:rsidRPr="00162F59">
        <w:rPr>
          <w:rFonts w:ascii="Calibri" w:eastAsia="Times New Roman" w:hAnsi="Calibri" w:cs="Calibri"/>
          <w:bdr w:val="none" w:sz="0" w:space="0" w:color="auto" w:frame="1"/>
        </w:rPr>
        <w:t>EUA</w:t>
      </w:r>
      <w:r w:rsidR="0044298D" w:rsidRPr="00162F59">
        <w:rPr>
          <w:rFonts w:ascii="Calibri" w:eastAsia="Times New Roman" w:hAnsi="Calibri" w:cs="Calibri"/>
        </w:rPr>
        <w:t xml:space="preserve"> authority.</w:t>
      </w:r>
      <w:r w:rsidR="00DF3931" w:rsidRPr="00DF3931">
        <w:rPr>
          <w:rFonts w:ascii="Calibri" w:eastAsia="Times New Roman" w:hAnsi="Calibri" w:cs="Calibri"/>
        </w:rPr>
        <w:t xml:space="preserve"> The ASPR is responsible for ensuring that the medicines in the SNS are routinely checked and rotated to keep within shelf-life potency limits.</w:t>
      </w:r>
      <w:r w:rsidR="00DF3931" w:rsidRPr="00DF3931">
        <w:rPr>
          <w:rFonts w:ascii="Calibri" w:eastAsia="Times New Roman" w:hAnsi="Calibri" w:cs="Calibri"/>
          <w:vertAlign w:val="superscript"/>
        </w:rPr>
        <w:footnoteReference w:id="13"/>
      </w:r>
      <w:r w:rsidR="00DF3931" w:rsidRPr="00DF3931">
        <w:rPr>
          <w:rFonts w:ascii="Calibri" w:eastAsia="Times New Roman" w:hAnsi="Calibri" w:cs="Calibri"/>
        </w:rPr>
        <w:t xml:space="preserve"> The SNS is part of the federal Shelf Life Extension Program (SLEP) administered by the Department of Defense and the Food and Drug Administration.</w:t>
      </w:r>
    </w:p>
    <w:p w14:paraId="55A1B9B5" w14:textId="385E26BA" w:rsidR="00B904F0" w:rsidRDefault="00B904F0" w:rsidP="00162F59">
      <w:pPr>
        <w:spacing w:line="360" w:lineRule="auto"/>
        <w:rPr>
          <w:rFonts w:ascii="Calibri" w:eastAsia="Times New Roman" w:hAnsi="Calibri" w:cs="Calibri"/>
        </w:rPr>
      </w:pPr>
    </w:p>
    <w:p w14:paraId="20B3EBB3" w14:textId="77777777" w:rsidR="00B904F0" w:rsidRPr="00162F59" w:rsidRDefault="00B904F0" w:rsidP="00B904F0">
      <w:pPr>
        <w:spacing w:line="360" w:lineRule="auto"/>
        <w:rPr>
          <w:rFonts w:ascii="Calibri" w:eastAsia="Times New Roman" w:hAnsi="Calibri" w:cs="Calibri"/>
        </w:rPr>
      </w:pPr>
      <w:r w:rsidRPr="00162F59">
        <w:rPr>
          <w:rFonts w:ascii="Calibri" w:eastAsia="Times New Roman" w:hAnsi="Calibri" w:cs="Calibri"/>
        </w:rPr>
        <w:t>Each state has established plans to receive and distribute SNS assets to their local jurisdictions as soon as possible after receipt of the deployment.</w:t>
      </w:r>
      <w:r>
        <w:rPr>
          <w:rStyle w:val="FootnoteReference"/>
          <w:rFonts w:ascii="Calibri" w:eastAsia="Times New Roman" w:hAnsi="Calibri" w:cs="Calibri"/>
        </w:rPr>
        <w:footnoteReference w:id="14"/>
      </w:r>
      <w:r>
        <w:rPr>
          <w:rFonts w:ascii="Calibri" w:eastAsia="Times New Roman" w:hAnsi="Calibri" w:cs="Calibri"/>
        </w:rPr>
        <w:t xml:space="preserve"> </w:t>
      </w:r>
      <w:r w:rsidRPr="00B87B98">
        <w:rPr>
          <w:rFonts w:ascii="Calibri" w:eastAsia="Times New Roman" w:hAnsi="Calibri" w:cs="Calibri"/>
        </w:rPr>
        <w:t xml:space="preserve">State personnel are then responsible for unpacking the </w:t>
      </w:r>
      <w:r w:rsidRPr="00B87B98">
        <w:rPr>
          <w:rFonts w:ascii="Calibri" w:eastAsia="Times New Roman" w:hAnsi="Calibri" w:cs="Calibri"/>
        </w:rPr>
        <w:lastRenderedPageBreak/>
        <w:t>shipment and distributing the materiel within the state for further distribution by state and/or local officials, depending on the state’s SNS plan.</w:t>
      </w:r>
    </w:p>
    <w:p w14:paraId="12B11E4E" w14:textId="2FE4416C" w:rsidR="00B904F0" w:rsidRDefault="00B904F0" w:rsidP="00162F59">
      <w:pPr>
        <w:spacing w:line="360" w:lineRule="auto"/>
        <w:rPr>
          <w:rFonts w:ascii="Calibri" w:eastAsia="Times New Roman" w:hAnsi="Calibri" w:cs="Calibri"/>
        </w:rPr>
      </w:pPr>
    </w:p>
    <w:p w14:paraId="5DF2BD6E" w14:textId="77777777" w:rsidR="00B904F0" w:rsidRPr="00B904F0" w:rsidRDefault="00B904F0" w:rsidP="00B904F0">
      <w:pPr>
        <w:spacing w:line="360" w:lineRule="auto"/>
        <w:rPr>
          <w:rFonts w:ascii="Calibri" w:eastAsia="Times New Roman" w:hAnsi="Calibri" w:cs="Calibri"/>
          <w:b/>
          <w:bCs/>
          <w:sz w:val="20"/>
          <w:szCs w:val="20"/>
        </w:rPr>
      </w:pPr>
      <w:r w:rsidRPr="00B904F0">
        <w:rPr>
          <w:rFonts w:ascii="Calibri" w:eastAsia="Times New Roman" w:hAnsi="Calibri" w:cs="Calibri"/>
          <w:b/>
          <w:bCs/>
        </w:rPr>
        <w:t>STLT and Other Stockpiles</w:t>
      </w:r>
    </w:p>
    <w:p w14:paraId="62AE90B8" w14:textId="36D59D9C" w:rsidR="00B904F0" w:rsidRPr="00162F59" w:rsidRDefault="00B904F0" w:rsidP="00B904F0">
      <w:pPr>
        <w:spacing w:line="360" w:lineRule="auto"/>
        <w:rPr>
          <w:rFonts w:ascii="Calibri" w:eastAsia="Times New Roman" w:hAnsi="Calibri" w:cs="Calibri"/>
        </w:rPr>
      </w:pPr>
      <w:r w:rsidRPr="00B87B98">
        <w:rPr>
          <w:rFonts w:ascii="Calibri" w:eastAsia="Times New Roman" w:hAnsi="Calibri" w:cs="Calibri"/>
        </w:rPr>
        <w:t>In addition to the</w:t>
      </w:r>
      <w:r>
        <w:rPr>
          <w:rFonts w:ascii="Calibri" w:eastAsia="Times New Roman" w:hAnsi="Calibri" w:cs="Calibri"/>
        </w:rPr>
        <w:t xml:space="preserve"> federal </w:t>
      </w:r>
      <w:r w:rsidRPr="00B87B98">
        <w:rPr>
          <w:rFonts w:ascii="Calibri" w:eastAsia="Times New Roman" w:hAnsi="Calibri" w:cs="Calibri"/>
        </w:rPr>
        <w:t xml:space="preserve">SNS, </w:t>
      </w:r>
      <w:r>
        <w:rPr>
          <w:rFonts w:ascii="Calibri" w:eastAsia="Times New Roman" w:hAnsi="Calibri" w:cs="Calibri"/>
        </w:rPr>
        <w:t>STLT</w:t>
      </w:r>
      <w:r w:rsidRPr="00B87B98">
        <w:rPr>
          <w:rFonts w:ascii="Calibri" w:eastAsia="Times New Roman" w:hAnsi="Calibri" w:cs="Calibri"/>
        </w:rPr>
        <w:t xml:space="preserve"> </w:t>
      </w:r>
      <w:r>
        <w:rPr>
          <w:rFonts w:ascii="Calibri" w:eastAsia="Times New Roman" w:hAnsi="Calibri" w:cs="Calibri"/>
        </w:rPr>
        <w:t xml:space="preserve">may </w:t>
      </w:r>
      <w:r w:rsidRPr="00B87B98">
        <w:rPr>
          <w:rFonts w:ascii="Calibri" w:eastAsia="Times New Roman" w:hAnsi="Calibri" w:cs="Calibri"/>
        </w:rPr>
        <w:t xml:space="preserve">have their own stockpiles of medicines and supplies purchased either with partial federal funding or </w:t>
      </w:r>
      <w:r>
        <w:rPr>
          <w:rFonts w:ascii="Calibri" w:eastAsia="Times New Roman" w:hAnsi="Calibri" w:cs="Calibri"/>
        </w:rPr>
        <w:t>STLT</w:t>
      </w:r>
      <w:r w:rsidRPr="00B87B98">
        <w:rPr>
          <w:rFonts w:ascii="Calibri" w:eastAsia="Times New Roman" w:hAnsi="Calibri" w:cs="Calibri"/>
        </w:rPr>
        <w:t xml:space="preserve"> funds.</w:t>
      </w:r>
      <w:r>
        <w:rPr>
          <w:rFonts w:ascii="Calibri" w:eastAsia="Times New Roman" w:hAnsi="Calibri" w:cs="Calibri"/>
        </w:rPr>
        <w:t xml:space="preserve"> </w:t>
      </w:r>
      <w:r w:rsidRPr="00B87B98">
        <w:rPr>
          <w:rFonts w:ascii="Calibri" w:eastAsia="Times New Roman" w:hAnsi="Calibri" w:cs="Calibri"/>
        </w:rPr>
        <w:t>The</w:t>
      </w:r>
      <w:r>
        <w:rPr>
          <w:rFonts w:ascii="Calibri" w:eastAsia="Times New Roman" w:hAnsi="Calibri" w:cs="Calibri"/>
        </w:rPr>
        <w:t xml:space="preserve"> </w:t>
      </w:r>
      <w:r w:rsidRPr="00B87B98">
        <w:rPr>
          <w:rFonts w:ascii="Calibri" w:eastAsia="Times New Roman" w:hAnsi="Calibri" w:cs="Calibri"/>
          <w:bdr w:val="none" w:sz="0" w:space="0" w:color="auto" w:frame="1"/>
        </w:rPr>
        <w:t>Cities Readiness Initiative (CRI</w:t>
      </w:r>
      <w:r>
        <w:rPr>
          <w:rFonts w:ascii="Calibri" w:eastAsia="Times New Roman" w:hAnsi="Calibri" w:cs="Calibri"/>
          <w:bdr w:val="none" w:sz="0" w:space="0" w:color="auto" w:frame="1"/>
        </w:rPr>
        <w:t xml:space="preserve">) </w:t>
      </w:r>
      <w:r>
        <w:rPr>
          <w:rFonts w:ascii="Calibri" w:eastAsia="Times New Roman" w:hAnsi="Calibri" w:cs="Calibri"/>
        </w:rPr>
        <w:t>w</w:t>
      </w:r>
      <w:r w:rsidRPr="00B87B98">
        <w:rPr>
          <w:rFonts w:ascii="Calibri" w:eastAsia="Times New Roman" w:hAnsi="Calibri" w:cs="Calibri"/>
        </w:rPr>
        <w:t xml:space="preserve">as created in 2004 to focus on emergency preparedness in the largest cities and metropolitan areas in the United States, where </w:t>
      </w:r>
      <w:r>
        <w:rPr>
          <w:rFonts w:ascii="Calibri" w:eastAsia="Times New Roman" w:hAnsi="Calibri" w:cs="Calibri"/>
        </w:rPr>
        <w:t>nearly 60</w:t>
      </w:r>
      <w:r w:rsidRPr="00B87B98">
        <w:rPr>
          <w:rFonts w:ascii="Calibri" w:eastAsia="Times New Roman" w:hAnsi="Calibri" w:cs="Calibri"/>
        </w:rPr>
        <w:t xml:space="preserve"> percent of the nation’s population resides.</w:t>
      </w:r>
      <w:r>
        <w:rPr>
          <w:rStyle w:val="FootnoteReference"/>
          <w:rFonts w:ascii="Calibri" w:eastAsia="Times New Roman" w:hAnsi="Calibri" w:cs="Calibri"/>
        </w:rPr>
        <w:footnoteReference w:id="15"/>
      </w:r>
      <w:r w:rsidR="0040555B">
        <w:rPr>
          <w:rFonts w:ascii="Calibri" w:eastAsia="Times New Roman" w:hAnsi="Calibri" w:cs="Calibri"/>
        </w:rPr>
        <w:t xml:space="preserve"> Importantly, STLT</w:t>
      </w:r>
      <w:r w:rsidR="0040555B" w:rsidRPr="007D4A7D">
        <w:rPr>
          <w:rFonts w:ascii="Calibri" w:eastAsia="Times New Roman" w:hAnsi="Calibri" w:cs="Calibri"/>
        </w:rPr>
        <w:t xml:space="preserve">-maintained stockpiles are not currently eligible for participation in </w:t>
      </w:r>
      <w:r w:rsidR="0040555B">
        <w:rPr>
          <w:rFonts w:ascii="Calibri" w:eastAsia="Times New Roman" w:hAnsi="Calibri" w:cs="Calibri"/>
        </w:rPr>
        <w:t xml:space="preserve">the federal </w:t>
      </w:r>
      <w:r w:rsidR="0040555B" w:rsidRPr="007D4A7D">
        <w:rPr>
          <w:rFonts w:ascii="Calibri" w:eastAsia="Times New Roman" w:hAnsi="Calibri" w:cs="Calibri"/>
        </w:rPr>
        <w:t>SLEP.</w:t>
      </w:r>
      <w:r w:rsidR="0040555B">
        <w:rPr>
          <w:rStyle w:val="FootnoteReference"/>
          <w:rFonts w:ascii="Calibri" w:eastAsia="Times New Roman" w:hAnsi="Calibri" w:cs="Calibri"/>
        </w:rPr>
        <w:footnoteReference w:id="16"/>
      </w:r>
    </w:p>
    <w:p w14:paraId="50ECD1F4" w14:textId="283F54DC" w:rsidR="00324DA9" w:rsidRDefault="00324DA9" w:rsidP="002931E5">
      <w:pPr>
        <w:pStyle w:val="ListParagraph"/>
        <w:spacing w:line="360" w:lineRule="auto"/>
        <w:ind w:left="360"/>
        <w:rPr>
          <w:rFonts w:ascii="Calibri" w:eastAsia="Times New Roman" w:hAnsi="Calibri" w:cs="Calibri"/>
        </w:rPr>
      </w:pPr>
    </w:p>
    <w:p w14:paraId="439A53E2" w14:textId="1290D714" w:rsidR="00AA725E" w:rsidRDefault="00AA725E" w:rsidP="001A2EAF">
      <w:pPr>
        <w:spacing w:line="360" w:lineRule="auto"/>
        <w:rPr>
          <w:rFonts w:ascii="Calibri" w:eastAsia="Times New Roman" w:hAnsi="Calibri" w:cs="Calibri"/>
        </w:rPr>
      </w:pPr>
    </w:p>
    <w:p w14:paraId="5997C2CD" w14:textId="77777777" w:rsidR="00AA725E" w:rsidRDefault="00AA725E" w:rsidP="001A2EAF">
      <w:pPr>
        <w:spacing w:line="360" w:lineRule="auto"/>
      </w:pPr>
    </w:p>
    <w:p w14:paraId="3AF6016B" w14:textId="183C49C5" w:rsidR="00644ED4" w:rsidRDefault="00644ED4" w:rsidP="001A2EAF">
      <w:pPr>
        <w:spacing w:line="360" w:lineRule="auto"/>
        <w:rPr>
          <w:rFonts w:ascii="Calibri" w:eastAsia="Times New Roman" w:hAnsi="Calibri" w:cs="Calibri"/>
          <w:color w:val="000000" w:themeColor="text1"/>
          <w:szCs w:val="20"/>
        </w:rPr>
      </w:pPr>
    </w:p>
    <w:sectPr w:rsidR="00644ED4" w:rsidSect="00216A3A">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CB461" w14:textId="77777777" w:rsidR="00BB3209" w:rsidRDefault="00BB3209" w:rsidP="001810D7">
      <w:r>
        <w:separator/>
      </w:r>
    </w:p>
  </w:endnote>
  <w:endnote w:type="continuationSeparator" w:id="0">
    <w:p w14:paraId="409FEA1B" w14:textId="77777777" w:rsidR="00BB3209" w:rsidRDefault="00BB3209" w:rsidP="0018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856651"/>
      <w:docPartObj>
        <w:docPartGallery w:val="Page Numbers (Bottom of Page)"/>
        <w:docPartUnique/>
      </w:docPartObj>
    </w:sdtPr>
    <w:sdtEndPr>
      <w:rPr>
        <w:noProof/>
      </w:rPr>
    </w:sdtEndPr>
    <w:sdtContent>
      <w:p w14:paraId="5B7CB74A" w14:textId="011FA6CE" w:rsidR="0022190F" w:rsidRDefault="0022190F" w:rsidP="0022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74DAD" w14:textId="77777777" w:rsidR="00BB3209" w:rsidRDefault="00BB3209" w:rsidP="001810D7">
      <w:r>
        <w:separator/>
      </w:r>
    </w:p>
  </w:footnote>
  <w:footnote w:type="continuationSeparator" w:id="0">
    <w:p w14:paraId="6D6807BD" w14:textId="77777777" w:rsidR="00BB3209" w:rsidRDefault="00BB3209" w:rsidP="001810D7">
      <w:r>
        <w:continuationSeparator/>
      </w:r>
    </w:p>
  </w:footnote>
  <w:footnote w:id="1">
    <w:p w14:paraId="5993AE4A" w14:textId="77777777" w:rsidR="00A757A0" w:rsidRPr="00DB58CD" w:rsidRDefault="00A757A0" w:rsidP="00A757A0">
      <w:pPr>
        <w:tabs>
          <w:tab w:val="left" w:pos="686"/>
        </w:tabs>
        <w:rPr>
          <w:rFonts w:cstheme="minorHAnsi"/>
          <w:b/>
          <w:bCs/>
          <w:sz w:val="20"/>
          <w:szCs w:val="20"/>
        </w:rPr>
      </w:pPr>
      <w:r w:rsidRPr="00DB58CD">
        <w:rPr>
          <w:rFonts w:cstheme="minorHAnsi"/>
          <w:b/>
          <w:bCs/>
          <w:sz w:val="20"/>
          <w:szCs w:val="20"/>
          <w:highlight w:val="yellow"/>
        </w:rPr>
        <w:t>Footnotes will be streamlined and edited to a style guide once text is finalized</w:t>
      </w:r>
    </w:p>
    <w:p w14:paraId="11923FD3" w14:textId="5FF60369"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1" w:history="1">
        <w:r w:rsidRPr="00DB58CD">
          <w:rPr>
            <w:rStyle w:val="Hyperlink"/>
            <w:rFonts w:cstheme="minorHAnsi"/>
          </w:rPr>
          <w:t>https://www.fda.gov/emergency-preparedness-and-response/about-mcmi/what-are-medical-countermeasures</w:t>
        </w:r>
      </w:hyperlink>
      <w:r w:rsidRPr="00DB58CD">
        <w:rPr>
          <w:rFonts w:cstheme="minorHAnsi"/>
        </w:rPr>
        <w:t xml:space="preserve">. See also Project BioShield Act of 2004 (Pub. Law No. 108–276), codified at 42 USC 201 et seq. </w:t>
      </w:r>
    </w:p>
  </w:footnote>
  <w:footnote w:id="2">
    <w:p w14:paraId="231CD25C" w14:textId="77777777"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2" w:history="1">
        <w:r w:rsidRPr="00DB58CD">
          <w:rPr>
            <w:rStyle w:val="Hyperlink"/>
            <w:rFonts w:cstheme="minorHAnsi"/>
          </w:rPr>
          <w:t>https://www.fda.gov/emergency-preparedness-and-response/about-mcmi/what-are-medical-countermeasures</w:t>
        </w:r>
      </w:hyperlink>
      <w:r w:rsidRPr="00DB58CD">
        <w:rPr>
          <w:rFonts w:cstheme="minorHAnsi"/>
        </w:rPr>
        <w:t xml:space="preserve">. </w:t>
      </w:r>
    </w:p>
  </w:footnote>
  <w:footnote w:id="3">
    <w:p w14:paraId="57571A80" w14:textId="77777777"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3" w:history="1">
        <w:r w:rsidRPr="00DB58CD">
          <w:rPr>
            <w:rStyle w:val="Hyperlink"/>
            <w:rFonts w:cstheme="minorHAnsi"/>
          </w:rPr>
          <w:t>https://www.fda.gov/emergency-preparedness-and-response/about-mcmi/what-are-medical-countermeasures</w:t>
        </w:r>
      </w:hyperlink>
      <w:r w:rsidRPr="00DB58CD">
        <w:rPr>
          <w:rFonts w:cstheme="minorHAnsi"/>
        </w:rPr>
        <w:t>.</w:t>
      </w:r>
    </w:p>
  </w:footnote>
  <w:footnote w:id="4">
    <w:p w14:paraId="160D1BD3" w14:textId="30D5337C" w:rsidR="00CE203E" w:rsidRPr="00DB58CD" w:rsidRDefault="00CE203E" w:rsidP="00CE203E">
      <w:pPr>
        <w:pStyle w:val="FootnoteText"/>
        <w:rPr>
          <w:rFonts w:cstheme="minorHAnsi"/>
        </w:rPr>
      </w:pPr>
      <w:r w:rsidRPr="00DB58CD">
        <w:rPr>
          <w:rStyle w:val="FootnoteReference"/>
          <w:rFonts w:cstheme="minorHAnsi"/>
        </w:rPr>
        <w:footnoteRef/>
      </w:r>
      <w:r w:rsidRPr="00DB58CD">
        <w:rPr>
          <w:rFonts w:cstheme="minorHAnsi"/>
        </w:rPr>
        <w:t xml:space="preserve"> HHS ASPR. Public Health Emergency Medical Countermeasures Enterprise. Webpage last reviewed January 29, 2020. Retrieved from </w:t>
      </w:r>
      <w:hyperlink r:id="rId4" w:history="1">
        <w:r w:rsidRPr="00DB58CD">
          <w:rPr>
            <w:rStyle w:val="Hyperlink"/>
            <w:rFonts w:cstheme="minorHAnsi"/>
          </w:rPr>
          <w:t>https://www.phe.gov/Preparedness/mcm/phemce/Pages/default.aspx</w:t>
        </w:r>
      </w:hyperlink>
      <w:r w:rsidRPr="00DB58CD">
        <w:rPr>
          <w:rFonts w:cstheme="minorHAnsi"/>
        </w:rPr>
        <w:t>.</w:t>
      </w:r>
    </w:p>
  </w:footnote>
  <w:footnote w:id="5">
    <w:p w14:paraId="3533AECA" w14:textId="77777777" w:rsidR="006B1999" w:rsidRPr="00DB58CD" w:rsidRDefault="006B1999" w:rsidP="006B1999">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5" w:history="1">
        <w:r w:rsidRPr="00DB58CD">
          <w:rPr>
            <w:rStyle w:val="Hyperlink"/>
            <w:rFonts w:cstheme="minorHAnsi"/>
          </w:rPr>
          <w:t>https://www.phe.gov/about/aspr/Pages/default.aspx</w:t>
        </w:r>
      </w:hyperlink>
      <w:r w:rsidRPr="00DB58CD">
        <w:rPr>
          <w:rFonts w:cstheme="minorHAnsi"/>
        </w:rPr>
        <w:t>.</w:t>
      </w:r>
    </w:p>
  </w:footnote>
  <w:footnote w:id="6">
    <w:p w14:paraId="2BACCEB6" w14:textId="412D7E1A" w:rsidR="0030444D" w:rsidRDefault="0030444D">
      <w:pPr>
        <w:pStyle w:val="FootnoteText"/>
      </w:pPr>
      <w:r>
        <w:rPr>
          <w:rStyle w:val="FootnoteReference"/>
        </w:rPr>
        <w:footnoteRef/>
      </w:r>
      <w:r>
        <w:t xml:space="preserve"> </w:t>
      </w:r>
      <w:r w:rsidR="00CF3A29" w:rsidRPr="00CF3A29">
        <w:t xml:space="preserve">These key laws </w:t>
      </w:r>
      <w:r w:rsidR="00CF3A29">
        <w:t>are</w:t>
      </w:r>
      <w:r w:rsidR="00925131">
        <w:t xml:space="preserve"> the</w:t>
      </w:r>
      <w:r w:rsidR="00CF3A29" w:rsidRPr="00CF3A29">
        <w:t>: Health Security and Bioterrorism Preparedness and Response Act of 2002  (Bioterrorism Act); Project BioShield Act of 2004 ; Public Readiness and Emergency Preparedness Act of 2005 (PREP Act) ; Pandemic and All-Hazards Preparedness Act of 2006 (PAHPA) ; Pandemic and All-Hazards Preparedness Reauthorization Act of 2013 (PAHPRA) ; 21st Century Cures Act (Cures Act) ; and the Pandemic and All-Hazards Preparedness and Advancing Innovation Act of 2019 (PAHPAIA) .</w:t>
      </w:r>
    </w:p>
  </w:footnote>
  <w:footnote w:id="7">
    <w:p w14:paraId="1C31A181" w14:textId="168CC2B6" w:rsidR="00D16324" w:rsidRPr="00DB58CD" w:rsidRDefault="00D16324" w:rsidP="00D16324">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Webpage current as of March 17, 2020. Retrieved from </w:t>
      </w:r>
      <w:hyperlink r:id="rId6" w:history="1">
        <w:r w:rsidRPr="00DB58CD">
          <w:rPr>
            <w:rStyle w:val="Hyperlink"/>
            <w:rFonts w:cstheme="minorHAnsi"/>
          </w:rPr>
          <w:t>https://www.fda.gov/emergency-preparedness-and-response/mcm-legal-regulatory-and-policy-framework/emergency-use-authorization</w:t>
        </w:r>
      </w:hyperlink>
      <w:r w:rsidRPr="00DB58CD">
        <w:rPr>
          <w:rFonts w:cstheme="minorHAnsi"/>
        </w:rPr>
        <w:t>..</w:t>
      </w:r>
    </w:p>
  </w:footnote>
  <w:footnote w:id="8">
    <w:p w14:paraId="29377CE2" w14:textId="2B2A57B2" w:rsidR="007347D0" w:rsidRDefault="007347D0" w:rsidP="007347D0">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7" w:history="1">
        <w:r w:rsidRPr="00DB577A">
          <w:rPr>
            <w:rStyle w:val="Hyperlink"/>
          </w:rPr>
          <w:t>https://chemm.nlm.nih.gov/sns.htm</w:t>
        </w:r>
      </w:hyperlink>
      <w:r w:rsidRPr="009365EB">
        <w:t>.</w:t>
      </w:r>
      <w:r>
        <w:t xml:space="preserve"> Accessed June 4, </w:t>
      </w:r>
      <w:r w:rsidR="003E35E8">
        <w:t>2020.</w:t>
      </w:r>
    </w:p>
  </w:footnote>
  <w:footnote w:id="9">
    <w:p w14:paraId="64EB3A76" w14:textId="77777777" w:rsidR="00FA67C5" w:rsidRDefault="00FA67C5" w:rsidP="00FA67C5">
      <w:pPr>
        <w:pStyle w:val="FootnoteText"/>
      </w:pPr>
      <w:r>
        <w:rPr>
          <w:rStyle w:val="FootnoteReference"/>
        </w:rPr>
        <w:footnoteRef/>
      </w:r>
      <w:r>
        <w:t xml:space="preserve"> </w:t>
      </w:r>
      <w:r w:rsidRPr="007250BE">
        <w:t>42 U.S. Code § 247d–6b</w:t>
      </w:r>
      <w:r>
        <w:t>.</w:t>
      </w:r>
    </w:p>
  </w:footnote>
  <w:footnote w:id="10">
    <w:p w14:paraId="116A0804" w14:textId="77777777" w:rsidR="002931E5" w:rsidRDefault="002931E5" w:rsidP="002931E5">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8" w:history="1">
        <w:r w:rsidRPr="00DB577A">
          <w:rPr>
            <w:rStyle w:val="Hyperlink"/>
          </w:rPr>
          <w:t>https://chemm.nlm.nih.gov/sns.htm</w:t>
        </w:r>
      </w:hyperlink>
      <w:r w:rsidRPr="009365EB">
        <w:t>.</w:t>
      </w:r>
      <w:r>
        <w:t xml:space="preserve"> Accessed June 4, 2020.</w:t>
      </w:r>
    </w:p>
  </w:footnote>
  <w:footnote w:id="11">
    <w:p w14:paraId="51DDA5F4" w14:textId="77777777" w:rsidR="0096530F" w:rsidRDefault="0096530F" w:rsidP="0096530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9" w:history="1">
        <w:r>
          <w:rPr>
            <w:rStyle w:val="Hyperlink"/>
          </w:rPr>
          <w:t>https://www.phe.gov/about/sns/Pages/products.aspx</w:t>
        </w:r>
      </w:hyperlink>
      <w:r>
        <w:t>. Accessed June 4, 2020.</w:t>
      </w:r>
    </w:p>
  </w:footnote>
  <w:footnote w:id="12">
    <w:p w14:paraId="0AB436F3" w14:textId="77777777" w:rsidR="001E47EF" w:rsidRDefault="001E47EF" w:rsidP="001E47E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0" w:history="1">
        <w:r>
          <w:rPr>
            <w:rStyle w:val="Hyperlink"/>
          </w:rPr>
          <w:t>https://www.phe.gov/about/sns/Pages/products.aspx</w:t>
        </w:r>
      </w:hyperlink>
      <w:r>
        <w:t xml:space="preserve">. Accessed June 4, 2020. </w:t>
      </w:r>
      <w:r w:rsidRPr="00523C3F">
        <w:rPr>
          <w:i/>
          <w:iCs/>
        </w:rPr>
        <w:t>See also</w:t>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1" w:history="1">
        <w:r w:rsidRPr="00DB577A">
          <w:rPr>
            <w:rStyle w:val="Hyperlink"/>
          </w:rPr>
          <w:t>https://chemm.nlm.nih.gov/sns.htm</w:t>
        </w:r>
      </w:hyperlink>
      <w:r w:rsidRPr="009365EB">
        <w:t>.</w:t>
      </w:r>
      <w:r>
        <w:t xml:space="preserve"> Accessed June 4, 2020.</w:t>
      </w:r>
    </w:p>
  </w:footnote>
  <w:footnote w:id="13">
    <w:p w14:paraId="66F6D36A" w14:textId="77777777" w:rsidR="00DF3931" w:rsidRDefault="00DF3931" w:rsidP="00DF3931">
      <w:pPr>
        <w:pStyle w:val="FootnoteText"/>
      </w:pPr>
      <w:r>
        <w:rPr>
          <w:rStyle w:val="FootnoteReference"/>
        </w:rPr>
        <w:footnoteRef/>
      </w:r>
      <w:r>
        <w:t xml:space="preserve"> HHS ASPR. </w:t>
      </w:r>
      <w:r w:rsidRPr="004C15F2">
        <w:t>Sustaining the Stockpile</w:t>
      </w:r>
      <w:r>
        <w:t xml:space="preserve">. </w:t>
      </w:r>
      <w:r w:rsidRPr="009365EB">
        <w:t xml:space="preserve">Webpage last reviewed </w:t>
      </w:r>
      <w:r>
        <w:t>by HHS April 16</w:t>
      </w:r>
      <w:r w:rsidRPr="009365EB">
        <w:t xml:space="preserve">, 2020. Retrieved from </w:t>
      </w:r>
      <w:hyperlink r:id="rId12" w:history="1">
        <w:r w:rsidRPr="00ED3DC5">
          <w:rPr>
            <w:rStyle w:val="Hyperlink"/>
          </w:rPr>
          <w:t>https://www.phe.gov/about/sns/Pages/sustaining.aspx</w:t>
        </w:r>
      </w:hyperlink>
      <w:r w:rsidRPr="009365EB">
        <w:t>.</w:t>
      </w:r>
      <w:r>
        <w:t xml:space="preserve"> Accessed June 4, 2020.</w:t>
      </w:r>
    </w:p>
  </w:footnote>
  <w:footnote w:id="14">
    <w:p w14:paraId="3165FF48" w14:textId="77777777" w:rsidR="00B904F0" w:rsidRDefault="00B904F0" w:rsidP="00B904F0">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3" w:history="1">
        <w:r>
          <w:rPr>
            <w:rStyle w:val="Hyperlink"/>
          </w:rPr>
          <w:t>https://www.phe.gov/about/sns/Pages/products.aspx</w:t>
        </w:r>
      </w:hyperlink>
      <w:r>
        <w:t>. Accessed June 4, 2020.</w:t>
      </w:r>
    </w:p>
  </w:footnote>
  <w:footnote w:id="15">
    <w:p w14:paraId="4F09082F" w14:textId="77777777" w:rsidR="00B904F0" w:rsidRDefault="00B904F0" w:rsidP="00B904F0">
      <w:pPr>
        <w:pStyle w:val="FootnoteText"/>
      </w:pPr>
      <w:r>
        <w:rPr>
          <w:rStyle w:val="FootnoteReference"/>
        </w:rPr>
        <w:footnoteRef/>
      </w:r>
      <w:r>
        <w:t xml:space="preserve"> </w:t>
      </w:r>
      <w:r w:rsidRPr="006E4F5A">
        <w:t xml:space="preserve">CDC. </w:t>
      </w:r>
      <w:r w:rsidRPr="002B3279">
        <w:t>Cities Readiness Initiative</w:t>
      </w:r>
      <w:r>
        <w:t>. W</w:t>
      </w:r>
      <w:r w:rsidRPr="006E4F5A">
        <w:t>ebpage</w:t>
      </w:r>
      <w:r>
        <w:t xml:space="preserve"> last reviewed by CDC July 16, 2019. Retrieved from </w:t>
      </w:r>
      <w:hyperlink r:id="rId14" w:history="1">
        <w:r>
          <w:rPr>
            <w:rStyle w:val="Hyperlink"/>
          </w:rPr>
          <w:t>https://www.cdc.gov/cpr/readiness/mcm/cri.html</w:t>
        </w:r>
      </w:hyperlink>
      <w:r w:rsidRPr="006E4F5A">
        <w:t>.</w:t>
      </w:r>
      <w:r>
        <w:t xml:space="preserve"> Accessed June 4, 2020.</w:t>
      </w:r>
    </w:p>
  </w:footnote>
  <w:footnote w:id="16">
    <w:p w14:paraId="3C0C45AF" w14:textId="77777777" w:rsidR="0040555B" w:rsidRDefault="0040555B" w:rsidP="0040555B">
      <w:pPr>
        <w:pStyle w:val="FootnoteText"/>
      </w:pPr>
      <w:r>
        <w:rPr>
          <w:rStyle w:val="FootnoteReference"/>
        </w:rPr>
        <w:footnoteRef/>
      </w:r>
      <w:r>
        <w:t xml:space="preserve"> FDA. </w:t>
      </w:r>
      <w:r w:rsidRPr="00932152">
        <w:t>Expiration Dating Extension</w:t>
      </w:r>
      <w:r>
        <w:t xml:space="preserve">. Webpage last reviewed by FDA June 3, 2020. Retrieved from </w:t>
      </w:r>
      <w:hyperlink r:id="rId15" w:history="1">
        <w:r w:rsidRPr="001F175C">
          <w:rPr>
            <w:rStyle w:val="Hyperlink"/>
          </w:rPr>
          <w:t>https://www.fda.gov/emergency-preparedness-and-response/mcm-legal-regulatory-and-policy-framework/expiration-dating-extension</w:t>
        </w:r>
      </w:hyperlink>
      <w:r>
        <w:t>. Accessed June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E8277" w14:textId="3208D5B9" w:rsidR="0022190F" w:rsidRPr="009F241B" w:rsidRDefault="009F241B" w:rsidP="009F241B">
    <w:pPr>
      <w:tabs>
        <w:tab w:val="center" w:pos="4680"/>
        <w:tab w:val="right" w:pos="9360"/>
      </w:tabs>
      <w:jc w:val="center"/>
    </w:pPr>
    <w:r w:rsidRPr="000E2930">
      <w:rPr>
        <w:highlight w:val="yellow"/>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2225" w14:textId="034D83DA" w:rsidR="00216A3A" w:rsidRPr="009F241B" w:rsidRDefault="009F241B" w:rsidP="009F241B">
    <w:pPr>
      <w:tabs>
        <w:tab w:val="center" w:pos="4680"/>
        <w:tab w:val="right" w:pos="9360"/>
      </w:tabs>
      <w:jc w:val="center"/>
    </w:pPr>
    <w:r w:rsidRPr="000E2930">
      <w:rPr>
        <w:highlight w:val="yellow"/>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7A65DCB"/>
    <w:multiLevelType w:val="hybridMultilevel"/>
    <w:tmpl w:val="044AD2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F4780E"/>
    <w:multiLevelType w:val="hybridMultilevel"/>
    <w:tmpl w:val="299CB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9241CD"/>
    <w:multiLevelType w:val="hybridMultilevel"/>
    <w:tmpl w:val="3F88CD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625872"/>
    <w:multiLevelType w:val="hybridMultilevel"/>
    <w:tmpl w:val="C03A1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B624C04"/>
    <w:multiLevelType w:val="hybridMultilevel"/>
    <w:tmpl w:val="7108E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B66B4C"/>
    <w:multiLevelType w:val="hybridMultilevel"/>
    <w:tmpl w:val="2D5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7"/>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displayBackgroundShape/>
  <w:proofState w:spelling="clean" w:grammar="clean"/>
  <w:defaultTabStop w:val="28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A9"/>
    <w:rsid w:val="000072AB"/>
    <w:rsid w:val="00013E58"/>
    <w:rsid w:val="000259E6"/>
    <w:rsid w:val="0003185F"/>
    <w:rsid w:val="000418C2"/>
    <w:rsid w:val="00054ED5"/>
    <w:rsid w:val="00093243"/>
    <w:rsid w:val="00095A99"/>
    <w:rsid w:val="000A095C"/>
    <w:rsid w:val="000A17F1"/>
    <w:rsid w:val="000A783C"/>
    <w:rsid w:val="000C680D"/>
    <w:rsid w:val="000D54D0"/>
    <w:rsid w:val="000E220A"/>
    <w:rsid w:val="00100F29"/>
    <w:rsid w:val="00103449"/>
    <w:rsid w:val="00103885"/>
    <w:rsid w:val="00111E47"/>
    <w:rsid w:val="0012181E"/>
    <w:rsid w:val="00126042"/>
    <w:rsid w:val="00131E0F"/>
    <w:rsid w:val="00146E44"/>
    <w:rsid w:val="00151278"/>
    <w:rsid w:val="00162F59"/>
    <w:rsid w:val="00175AE4"/>
    <w:rsid w:val="001810D7"/>
    <w:rsid w:val="00190018"/>
    <w:rsid w:val="001A0219"/>
    <w:rsid w:val="001A2EAF"/>
    <w:rsid w:val="001D7801"/>
    <w:rsid w:val="001E4435"/>
    <w:rsid w:val="001E47EF"/>
    <w:rsid w:val="001E7B0A"/>
    <w:rsid w:val="00207254"/>
    <w:rsid w:val="00216A3A"/>
    <w:rsid w:val="0022190F"/>
    <w:rsid w:val="0024298E"/>
    <w:rsid w:val="00244983"/>
    <w:rsid w:val="002451BE"/>
    <w:rsid w:val="00266A7B"/>
    <w:rsid w:val="002714BE"/>
    <w:rsid w:val="00282D04"/>
    <w:rsid w:val="002931E5"/>
    <w:rsid w:val="00293E63"/>
    <w:rsid w:val="002A712F"/>
    <w:rsid w:val="002D2EE8"/>
    <w:rsid w:val="002D5FB6"/>
    <w:rsid w:val="003013F5"/>
    <w:rsid w:val="0030444D"/>
    <w:rsid w:val="00307C60"/>
    <w:rsid w:val="00311F86"/>
    <w:rsid w:val="00324DA9"/>
    <w:rsid w:val="00327C16"/>
    <w:rsid w:val="00352955"/>
    <w:rsid w:val="00372F49"/>
    <w:rsid w:val="003912BC"/>
    <w:rsid w:val="00395BA9"/>
    <w:rsid w:val="003A1A02"/>
    <w:rsid w:val="003A4E5E"/>
    <w:rsid w:val="003A77A4"/>
    <w:rsid w:val="003B5A6D"/>
    <w:rsid w:val="003D33EE"/>
    <w:rsid w:val="003E35E8"/>
    <w:rsid w:val="0040555B"/>
    <w:rsid w:val="00405B02"/>
    <w:rsid w:val="00426492"/>
    <w:rsid w:val="004422F9"/>
    <w:rsid w:val="0044298D"/>
    <w:rsid w:val="004474A8"/>
    <w:rsid w:val="00454C9B"/>
    <w:rsid w:val="00466164"/>
    <w:rsid w:val="00471824"/>
    <w:rsid w:val="0047304E"/>
    <w:rsid w:val="00476446"/>
    <w:rsid w:val="00482098"/>
    <w:rsid w:val="00491671"/>
    <w:rsid w:val="00494B26"/>
    <w:rsid w:val="004A1AE0"/>
    <w:rsid w:val="004B09AD"/>
    <w:rsid w:val="004C2585"/>
    <w:rsid w:val="004E5397"/>
    <w:rsid w:val="004F7A14"/>
    <w:rsid w:val="00505905"/>
    <w:rsid w:val="005078D7"/>
    <w:rsid w:val="00515173"/>
    <w:rsid w:val="0051669A"/>
    <w:rsid w:val="00526B81"/>
    <w:rsid w:val="00540153"/>
    <w:rsid w:val="00571F94"/>
    <w:rsid w:val="005841F5"/>
    <w:rsid w:val="0059423C"/>
    <w:rsid w:val="005957FA"/>
    <w:rsid w:val="005E34A2"/>
    <w:rsid w:val="00602602"/>
    <w:rsid w:val="0061045C"/>
    <w:rsid w:val="00610671"/>
    <w:rsid w:val="00610E61"/>
    <w:rsid w:val="006264DF"/>
    <w:rsid w:val="006315FF"/>
    <w:rsid w:val="006348B3"/>
    <w:rsid w:val="00635669"/>
    <w:rsid w:val="00636E38"/>
    <w:rsid w:val="00640485"/>
    <w:rsid w:val="00644ED4"/>
    <w:rsid w:val="006607CE"/>
    <w:rsid w:val="006732B5"/>
    <w:rsid w:val="006A26F3"/>
    <w:rsid w:val="006B1999"/>
    <w:rsid w:val="006B2A67"/>
    <w:rsid w:val="006C204B"/>
    <w:rsid w:val="006D15E9"/>
    <w:rsid w:val="006D1925"/>
    <w:rsid w:val="006D2746"/>
    <w:rsid w:val="006D6D62"/>
    <w:rsid w:val="006F3D6B"/>
    <w:rsid w:val="006F62AF"/>
    <w:rsid w:val="00702A66"/>
    <w:rsid w:val="007113A0"/>
    <w:rsid w:val="00716DC0"/>
    <w:rsid w:val="007347D0"/>
    <w:rsid w:val="00797D8E"/>
    <w:rsid w:val="007C6189"/>
    <w:rsid w:val="007C77C8"/>
    <w:rsid w:val="007D1324"/>
    <w:rsid w:val="007F1D49"/>
    <w:rsid w:val="00804EF7"/>
    <w:rsid w:val="008460C6"/>
    <w:rsid w:val="0085578D"/>
    <w:rsid w:val="00881345"/>
    <w:rsid w:val="00891B95"/>
    <w:rsid w:val="008D59EC"/>
    <w:rsid w:val="00922C49"/>
    <w:rsid w:val="00925131"/>
    <w:rsid w:val="00937572"/>
    <w:rsid w:val="00943443"/>
    <w:rsid w:val="0095336A"/>
    <w:rsid w:val="009611F6"/>
    <w:rsid w:val="0096463F"/>
    <w:rsid w:val="0096530F"/>
    <w:rsid w:val="0099608A"/>
    <w:rsid w:val="009B5AC3"/>
    <w:rsid w:val="009D7291"/>
    <w:rsid w:val="009F241B"/>
    <w:rsid w:val="009F39E7"/>
    <w:rsid w:val="009F491B"/>
    <w:rsid w:val="00A06B1F"/>
    <w:rsid w:val="00A52FF0"/>
    <w:rsid w:val="00A53C5B"/>
    <w:rsid w:val="00A6305C"/>
    <w:rsid w:val="00A64771"/>
    <w:rsid w:val="00A757A0"/>
    <w:rsid w:val="00A775F7"/>
    <w:rsid w:val="00A90EE3"/>
    <w:rsid w:val="00A9420F"/>
    <w:rsid w:val="00A9680C"/>
    <w:rsid w:val="00AA1EFC"/>
    <w:rsid w:val="00AA725E"/>
    <w:rsid w:val="00AB25AF"/>
    <w:rsid w:val="00AB61F2"/>
    <w:rsid w:val="00AD4B7D"/>
    <w:rsid w:val="00AE09CE"/>
    <w:rsid w:val="00AF1016"/>
    <w:rsid w:val="00B01CBC"/>
    <w:rsid w:val="00B10E36"/>
    <w:rsid w:val="00B22AF4"/>
    <w:rsid w:val="00B50DE7"/>
    <w:rsid w:val="00B75B7F"/>
    <w:rsid w:val="00B803B0"/>
    <w:rsid w:val="00B84C84"/>
    <w:rsid w:val="00B84FD6"/>
    <w:rsid w:val="00B87673"/>
    <w:rsid w:val="00B904F0"/>
    <w:rsid w:val="00B9126F"/>
    <w:rsid w:val="00B91BE9"/>
    <w:rsid w:val="00BB3209"/>
    <w:rsid w:val="00BC5CE7"/>
    <w:rsid w:val="00BD162E"/>
    <w:rsid w:val="00BE127C"/>
    <w:rsid w:val="00C007B4"/>
    <w:rsid w:val="00C1703F"/>
    <w:rsid w:val="00C20F20"/>
    <w:rsid w:val="00C279B5"/>
    <w:rsid w:val="00C33E51"/>
    <w:rsid w:val="00C34AC2"/>
    <w:rsid w:val="00C441A7"/>
    <w:rsid w:val="00C474C1"/>
    <w:rsid w:val="00C573FD"/>
    <w:rsid w:val="00C826AB"/>
    <w:rsid w:val="00C8271D"/>
    <w:rsid w:val="00C97E25"/>
    <w:rsid w:val="00CA3B52"/>
    <w:rsid w:val="00CC421C"/>
    <w:rsid w:val="00CD0DBF"/>
    <w:rsid w:val="00CE203E"/>
    <w:rsid w:val="00CE4961"/>
    <w:rsid w:val="00CF2379"/>
    <w:rsid w:val="00CF3A29"/>
    <w:rsid w:val="00D037B6"/>
    <w:rsid w:val="00D03B84"/>
    <w:rsid w:val="00D1608B"/>
    <w:rsid w:val="00D16324"/>
    <w:rsid w:val="00D25FEF"/>
    <w:rsid w:val="00D36242"/>
    <w:rsid w:val="00D766FB"/>
    <w:rsid w:val="00D86BA2"/>
    <w:rsid w:val="00D96BD1"/>
    <w:rsid w:val="00DA0D21"/>
    <w:rsid w:val="00DA22AF"/>
    <w:rsid w:val="00DC3E16"/>
    <w:rsid w:val="00DC49A4"/>
    <w:rsid w:val="00DE3B65"/>
    <w:rsid w:val="00DE73DF"/>
    <w:rsid w:val="00DF3931"/>
    <w:rsid w:val="00E01671"/>
    <w:rsid w:val="00E01F07"/>
    <w:rsid w:val="00E21B24"/>
    <w:rsid w:val="00E45CF2"/>
    <w:rsid w:val="00E861D0"/>
    <w:rsid w:val="00E91856"/>
    <w:rsid w:val="00E94238"/>
    <w:rsid w:val="00E978F1"/>
    <w:rsid w:val="00EA6223"/>
    <w:rsid w:val="00EB7BBD"/>
    <w:rsid w:val="00EC4464"/>
    <w:rsid w:val="00EC4F66"/>
    <w:rsid w:val="00ED373C"/>
    <w:rsid w:val="00F000E9"/>
    <w:rsid w:val="00F047AB"/>
    <w:rsid w:val="00F11412"/>
    <w:rsid w:val="00F125A9"/>
    <w:rsid w:val="00F36743"/>
    <w:rsid w:val="00F744E9"/>
    <w:rsid w:val="00F81E5D"/>
    <w:rsid w:val="00F90525"/>
    <w:rsid w:val="00F97289"/>
    <w:rsid w:val="00FA4967"/>
    <w:rsid w:val="00FA67C5"/>
    <w:rsid w:val="00FB70C3"/>
    <w:rsid w:val="00FB71EC"/>
    <w:rsid w:val="00FD2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B30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395BA9"/>
    <w:pPr>
      <w:ind w:left="720"/>
      <w:contextualSpacing/>
    </w:pPr>
  </w:style>
  <w:style w:type="character" w:styleId="Hyperlink">
    <w:name w:val="Hyperlink"/>
    <w:basedOn w:val="DefaultParagraphFont"/>
    <w:uiPriority w:val="99"/>
    <w:unhideWhenUsed/>
    <w:rsid w:val="001810D7"/>
    <w:rPr>
      <w:color w:val="0000FF"/>
      <w:u w:val="single"/>
    </w:rPr>
  </w:style>
  <w:style w:type="paragraph" w:styleId="FootnoteText">
    <w:name w:val="footnote text"/>
    <w:basedOn w:val="Normal"/>
    <w:link w:val="FootnoteTextChar"/>
    <w:uiPriority w:val="99"/>
    <w:unhideWhenUsed/>
    <w:rsid w:val="001810D7"/>
    <w:rPr>
      <w:sz w:val="20"/>
      <w:szCs w:val="20"/>
    </w:rPr>
  </w:style>
  <w:style w:type="character" w:customStyle="1" w:styleId="FootnoteTextChar">
    <w:name w:val="Footnote Text Char"/>
    <w:basedOn w:val="DefaultParagraphFont"/>
    <w:link w:val="FootnoteText"/>
    <w:uiPriority w:val="99"/>
    <w:rsid w:val="001810D7"/>
    <w:rPr>
      <w:sz w:val="20"/>
      <w:szCs w:val="20"/>
    </w:rPr>
  </w:style>
  <w:style w:type="character" w:styleId="FootnoteReference">
    <w:name w:val="footnote reference"/>
    <w:basedOn w:val="DefaultParagraphFont"/>
    <w:uiPriority w:val="99"/>
    <w:semiHidden/>
    <w:unhideWhenUsed/>
    <w:rsid w:val="001810D7"/>
    <w:rPr>
      <w:vertAlign w:val="superscript"/>
    </w:rPr>
  </w:style>
  <w:style w:type="paragraph" w:styleId="Header">
    <w:name w:val="header"/>
    <w:basedOn w:val="Normal"/>
    <w:link w:val="HeaderChar"/>
    <w:uiPriority w:val="99"/>
    <w:unhideWhenUsed/>
    <w:rsid w:val="0022190F"/>
    <w:pPr>
      <w:tabs>
        <w:tab w:val="center" w:pos="4680"/>
        <w:tab w:val="right" w:pos="9360"/>
      </w:tabs>
    </w:pPr>
  </w:style>
  <w:style w:type="character" w:customStyle="1" w:styleId="HeaderChar">
    <w:name w:val="Header Char"/>
    <w:basedOn w:val="DefaultParagraphFont"/>
    <w:link w:val="Header"/>
    <w:uiPriority w:val="99"/>
    <w:rsid w:val="0022190F"/>
  </w:style>
  <w:style w:type="paragraph" w:styleId="Footer">
    <w:name w:val="footer"/>
    <w:basedOn w:val="Normal"/>
    <w:link w:val="FooterChar"/>
    <w:uiPriority w:val="99"/>
    <w:unhideWhenUsed/>
    <w:rsid w:val="0022190F"/>
    <w:pPr>
      <w:tabs>
        <w:tab w:val="center" w:pos="4680"/>
        <w:tab w:val="right" w:pos="9360"/>
      </w:tabs>
    </w:pPr>
  </w:style>
  <w:style w:type="character" w:customStyle="1" w:styleId="FooterChar">
    <w:name w:val="Footer Char"/>
    <w:basedOn w:val="DefaultParagraphFont"/>
    <w:link w:val="Footer"/>
    <w:uiPriority w:val="99"/>
    <w:rsid w:val="00221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chemm.nlm.nih.gov/sns.htm" TargetMode="External"/><Relationship Id="rId13" Type="http://schemas.openxmlformats.org/officeDocument/2006/relationships/hyperlink" Target="https://www.phe.gov/about/sns/Pages/products.aspx" TargetMode="External"/><Relationship Id="rId3" Type="http://schemas.openxmlformats.org/officeDocument/2006/relationships/hyperlink" Target="https://www.fda.gov/emergency-preparedness-and-response/about-mcmi/what-are-medical-countermeasures" TargetMode="External"/><Relationship Id="rId7" Type="http://schemas.openxmlformats.org/officeDocument/2006/relationships/hyperlink" Target="https://chemm.nlm.nih.gov/sns.htm" TargetMode="External"/><Relationship Id="rId12" Type="http://schemas.openxmlformats.org/officeDocument/2006/relationships/hyperlink" Target="https://www.phe.gov/about/sns/Pages/sustaining.aspx" TargetMode="External"/><Relationship Id="rId2" Type="http://schemas.openxmlformats.org/officeDocument/2006/relationships/hyperlink" Target="https://www.fda.gov/emergency-preparedness-and-response/about-mcmi/what-are-medical-countermeasures" TargetMode="External"/><Relationship Id="rId1" Type="http://schemas.openxmlformats.org/officeDocument/2006/relationships/hyperlink" Target="https://www.fda.gov/emergency-preparedness-and-response/about-mcmi/what-are-medical-countermeasures" TargetMode="External"/><Relationship Id="rId6" Type="http://schemas.openxmlformats.org/officeDocument/2006/relationships/hyperlink" Target="https://www.fda.gov/emergency-preparedness-and-response/mcm-legal-regulatory-and-policy-framework/emergency-use-authorization" TargetMode="External"/><Relationship Id="rId11" Type="http://schemas.openxmlformats.org/officeDocument/2006/relationships/hyperlink" Target="https://chemm.nlm.nih.gov/sns.htm" TargetMode="External"/><Relationship Id="rId5" Type="http://schemas.openxmlformats.org/officeDocument/2006/relationships/hyperlink" Target="https://www.phe.gov/about/aspr/Pages/default.aspx" TargetMode="External"/><Relationship Id="rId15" Type="http://schemas.openxmlformats.org/officeDocument/2006/relationships/hyperlink" Target="https://www.fda.gov/emergency-preparedness-and-response/mcm-legal-regulatory-and-policy-framework/expiration-dating-extension" TargetMode="External"/><Relationship Id="rId10" Type="http://schemas.openxmlformats.org/officeDocument/2006/relationships/hyperlink" Target="https://www.phe.gov/about/sns/Pages/products.aspx" TargetMode="External"/><Relationship Id="rId4" Type="http://schemas.openxmlformats.org/officeDocument/2006/relationships/hyperlink" Target="https://www.phe.gov/Preparedness/mcm/phemce/Pages/default.aspx" TargetMode="External"/><Relationship Id="rId9" Type="http://schemas.openxmlformats.org/officeDocument/2006/relationships/hyperlink" Target="https://www.phe.gov/about/sns/Pages/products.aspx" TargetMode="External"/><Relationship Id="rId14" Type="http://schemas.openxmlformats.org/officeDocument/2006/relationships/hyperlink" Target="https://www.cdc.gov/cpr/readiness/mcm/c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6949</Characters>
  <Application>Microsoft Office Word</Application>
  <DocSecurity>0</DocSecurity>
  <Lines>57</Lines>
  <Paragraphs>16</Paragraphs>
  <ScaleCrop>false</ScaleCrop>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2020-08-12T00:19:00Z</dcterms:created>
  <dcterms:modified xsi:type="dcterms:W3CDTF">2020-08-12T00:20:00Z</dcterms:modified>
</cp:coreProperties>
</file>