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204BB" w14:textId="329EA7FE" w:rsidR="00B75B7F" w:rsidRPr="00950285" w:rsidRDefault="00950285" w:rsidP="00950285">
      <w:pPr>
        <w:spacing w:line="360" w:lineRule="auto"/>
        <w:jc w:val="center"/>
        <w:rPr>
          <w:b/>
          <w:bCs/>
          <w:sz w:val="24"/>
          <w:szCs w:val="24"/>
        </w:rPr>
      </w:pPr>
      <w:r w:rsidRPr="00950285">
        <w:rPr>
          <w:b/>
          <w:bCs/>
          <w:sz w:val="24"/>
          <w:szCs w:val="24"/>
        </w:rPr>
        <w:t>FEDERAL MEDICAL COUNTERMEASURES</w:t>
      </w:r>
      <w:r w:rsidR="0036492A">
        <w:rPr>
          <w:b/>
          <w:bCs/>
          <w:sz w:val="24"/>
          <w:szCs w:val="24"/>
        </w:rPr>
        <w:t xml:space="preserve"> FRAMEWORK AND LEGAL AUTHORITIES</w:t>
      </w:r>
    </w:p>
    <w:p w14:paraId="41213187" w14:textId="3175EED9" w:rsidR="00F71144" w:rsidRDefault="00F71144" w:rsidP="00950285">
      <w:pPr>
        <w:spacing w:line="360" w:lineRule="auto"/>
      </w:pPr>
    </w:p>
    <w:p w14:paraId="1458B667" w14:textId="570A73E9" w:rsidR="00F71144" w:rsidRPr="00D645B8" w:rsidRDefault="007B67D7" w:rsidP="00950285">
      <w:pPr>
        <w:spacing w:line="360" w:lineRule="auto"/>
        <w:rPr>
          <w:b/>
          <w:bCs/>
          <w:sz w:val="24"/>
          <w:szCs w:val="24"/>
        </w:rPr>
      </w:pPr>
      <w:r w:rsidRPr="00D645B8">
        <w:rPr>
          <w:b/>
          <w:bCs/>
          <w:sz w:val="24"/>
          <w:szCs w:val="24"/>
        </w:rPr>
        <w:t>Overview</w:t>
      </w:r>
    </w:p>
    <w:p w14:paraId="65CB6817" w14:textId="29BA375A" w:rsidR="00F71144" w:rsidRDefault="00C62149" w:rsidP="00950285">
      <w:pPr>
        <w:spacing w:line="360" w:lineRule="auto"/>
      </w:pPr>
      <w:r>
        <w:t xml:space="preserve">The nation’s ability to develop and quickly deploy drugs, vaccines, medical equipment and supplies in response to a range of accidental, intentional, and natural threats is a vital component of our emergency preparedness and response activities. Given the central role of medical countermeasures (MCMs) in preparedness and response, it is important that state, tribal, local, and territorial (STLT) governments understand the roles of the federal public health agencies involved in the development and distribution of these MCMs. Equally important is an understanding of how the various legal mechanisms involved in using MCMs have evolved and operate. This document begins by defining the term MCM and identifies the specific roles of key public health agencies related to MCMs. </w:t>
      </w:r>
      <w:r w:rsidR="0044313D">
        <w:t>Next, it reviews the development of key l</w:t>
      </w:r>
      <w:r w:rsidR="0044313D" w:rsidRPr="0044313D">
        <w:t xml:space="preserve">egal </w:t>
      </w:r>
      <w:r w:rsidR="0044313D">
        <w:t xml:space="preserve">authorities for developing and distributing MCMs. </w:t>
      </w:r>
      <w:r w:rsidR="00F079B3">
        <w:t>It then summarizes federal authorities for accelerating access to MCMs to prepare for and respond to public health emergencies.</w:t>
      </w:r>
    </w:p>
    <w:p w14:paraId="1017420C" w14:textId="7834434A" w:rsidR="00F71144" w:rsidRDefault="00F71144" w:rsidP="00950285">
      <w:pPr>
        <w:spacing w:line="360" w:lineRule="auto"/>
      </w:pPr>
    </w:p>
    <w:p w14:paraId="2EC24729" w14:textId="04F81D4B" w:rsidR="008C4C39" w:rsidRPr="00691752" w:rsidRDefault="00691752" w:rsidP="00691752">
      <w:pPr>
        <w:spacing w:line="360" w:lineRule="auto"/>
        <w:rPr>
          <w:b/>
          <w:bCs/>
          <w:sz w:val="24"/>
          <w:szCs w:val="24"/>
        </w:rPr>
      </w:pPr>
      <w:r>
        <w:rPr>
          <w:b/>
          <w:bCs/>
          <w:sz w:val="24"/>
          <w:szCs w:val="24"/>
        </w:rPr>
        <w:t xml:space="preserve">I. </w:t>
      </w:r>
      <w:r w:rsidR="008427C7" w:rsidRPr="00691752">
        <w:rPr>
          <w:b/>
          <w:bCs/>
          <w:sz w:val="24"/>
          <w:szCs w:val="24"/>
        </w:rPr>
        <w:t>Defining Medical Countermeasures</w:t>
      </w:r>
    </w:p>
    <w:p w14:paraId="7C05A131" w14:textId="7FB12D06" w:rsidR="00F4617E" w:rsidRDefault="0080658E" w:rsidP="00F4617E">
      <w:pPr>
        <w:spacing w:line="360" w:lineRule="auto"/>
      </w:pPr>
      <w:r>
        <w:t xml:space="preserve">FDA </w:t>
      </w:r>
      <w:r w:rsidR="001C54D4">
        <w:t>describes</w:t>
      </w:r>
      <w:r>
        <w:t xml:space="preserve"> MCMs </w:t>
      </w:r>
      <w:r w:rsidR="004F0D1D">
        <w:t>as “</w:t>
      </w:r>
      <w:r w:rsidR="00F4617E">
        <w:t>FDA-regulated products (biologics, drugs, devices) that may be used in the event of a potential public health emergency stemming from a terrorist attack with a biological, chemical, or radiological/nuclear material, or a naturally occurring emerging disease.</w:t>
      </w:r>
      <w:r w:rsidR="004F0D1D">
        <w:t>”</w:t>
      </w:r>
      <w:r w:rsidR="00081366">
        <w:rPr>
          <w:rStyle w:val="FootnoteReference"/>
        </w:rPr>
        <w:footnoteReference w:id="1"/>
      </w:r>
      <w:r w:rsidR="009D458A">
        <w:t xml:space="preserve"> MCMs can include</w:t>
      </w:r>
      <w:r w:rsidR="00D22A72">
        <w:rPr>
          <w:rStyle w:val="FootnoteReference"/>
        </w:rPr>
        <w:footnoteReference w:id="2"/>
      </w:r>
      <w:r w:rsidR="004C7E00">
        <w:t xml:space="preserve">: </w:t>
      </w:r>
    </w:p>
    <w:p w14:paraId="5E4824F2" w14:textId="742222AD" w:rsidR="009D458A" w:rsidRDefault="009D458A" w:rsidP="00904E70">
      <w:pPr>
        <w:pStyle w:val="ListParagraph"/>
        <w:numPr>
          <w:ilvl w:val="0"/>
          <w:numId w:val="1"/>
        </w:numPr>
        <w:spacing w:line="360" w:lineRule="auto"/>
      </w:pPr>
      <w:r>
        <w:t>Biologic products</w:t>
      </w:r>
      <w:r w:rsidR="00904E70">
        <w:t xml:space="preserve"> (e.g., </w:t>
      </w:r>
      <w:r>
        <w:t>vaccines, blood products</w:t>
      </w:r>
      <w:r w:rsidR="00904E70">
        <w:t>,</w:t>
      </w:r>
      <w:r>
        <w:t xml:space="preserve"> and antibodies</w:t>
      </w:r>
      <w:r w:rsidR="00904E70">
        <w:t>)</w:t>
      </w:r>
    </w:p>
    <w:p w14:paraId="10BE507A" w14:textId="0095B010" w:rsidR="009D458A" w:rsidRDefault="009D458A" w:rsidP="00904E70">
      <w:pPr>
        <w:pStyle w:val="ListParagraph"/>
        <w:numPr>
          <w:ilvl w:val="0"/>
          <w:numId w:val="1"/>
        </w:numPr>
        <w:spacing w:line="360" w:lineRule="auto"/>
      </w:pPr>
      <w:r>
        <w:t>Drugs</w:t>
      </w:r>
      <w:r w:rsidR="00173A3F">
        <w:t xml:space="preserve"> </w:t>
      </w:r>
      <w:r w:rsidR="00904E70">
        <w:t>(e.g.</w:t>
      </w:r>
      <w:r>
        <w:t xml:space="preserve">, antimicrobial </w:t>
      </w:r>
      <w:r w:rsidR="00173A3F">
        <w:t>and</w:t>
      </w:r>
      <w:r>
        <w:t xml:space="preserve"> antiviral drugs</w:t>
      </w:r>
      <w:r w:rsidR="00BD195F">
        <w:t>)</w:t>
      </w:r>
    </w:p>
    <w:p w14:paraId="702215C2" w14:textId="781AD0C9" w:rsidR="009D458A" w:rsidRDefault="009D458A" w:rsidP="00EC7283">
      <w:pPr>
        <w:pStyle w:val="ListParagraph"/>
        <w:numPr>
          <w:ilvl w:val="0"/>
          <w:numId w:val="1"/>
        </w:numPr>
        <w:spacing w:after="120" w:line="360" w:lineRule="auto"/>
        <w:contextualSpacing w:val="0"/>
      </w:pPr>
      <w:r>
        <w:t>Devices</w:t>
      </w:r>
      <w:r w:rsidR="00173A3F">
        <w:t xml:space="preserve"> (e.g., </w:t>
      </w:r>
      <w:r>
        <w:t>diagnostic tests to identify threat agents</w:t>
      </w:r>
      <w:r w:rsidR="00B96E69">
        <w:t xml:space="preserve">; </w:t>
      </w:r>
      <w:r>
        <w:t>personal protective equipment (PPE)</w:t>
      </w:r>
      <w:r w:rsidR="00B96E69">
        <w:t xml:space="preserve"> like glo</w:t>
      </w:r>
      <w:r w:rsidR="00074EC8">
        <w:t xml:space="preserve">ves, </w:t>
      </w:r>
      <w:r>
        <w:t>respirators (face masks), and ventilators</w:t>
      </w:r>
      <w:r w:rsidR="00074EC8">
        <w:t>.</w:t>
      </w:r>
    </w:p>
    <w:p w14:paraId="1B5C750C" w14:textId="77C2EC8D" w:rsidR="00F4617E" w:rsidRDefault="00F4617E" w:rsidP="00F4617E">
      <w:pPr>
        <w:spacing w:line="360" w:lineRule="auto"/>
      </w:pPr>
      <w:r>
        <w:t xml:space="preserve">MCMs </w:t>
      </w:r>
      <w:r w:rsidR="00267927">
        <w:t xml:space="preserve">are used </w:t>
      </w:r>
      <w:r>
        <w:t>to diagnose, prevent, treat</w:t>
      </w:r>
      <w:r w:rsidR="00141C86">
        <w:t>, and protect</w:t>
      </w:r>
      <w:r w:rsidR="00885FC9">
        <w:t xml:space="preserve"> against</w:t>
      </w:r>
      <w:r>
        <w:t xml:space="preserve"> conditions</w:t>
      </w:r>
      <w:r w:rsidR="008D754C">
        <w:t xml:space="preserve"> </w:t>
      </w:r>
      <w:r w:rsidR="008E771D">
        <w:t>associated with</w:t>
      </w:r>
      <w:r w:rsidR="008D754C">
        <w:t xml:space="preserve"> </w:t>
      </w:r>
      <w:r>
        <w:t>chemical, biological, radiological, or nuclear (CBRN) threats, or emerging infectious diseases.</w:t>
      </w:r>
      <w:r w:rsidR="008D754C">
        <w:rPr>
          <w:rStyle w:val="FootnoteReference"/>
        </w:rPr>
        <w:footnoteReference w:id="3"/>
      </w:r>
    </w:p>
    <w:p w14:paraId="45030F39" w14:textId="77777777" w:rsidR="00F4617E" w:rsidRDefault="00F4617E" w:rsidP="00F4617E">
      <w:pPr>
        <w:spacing w:line="360" w:lineRule="auto"/>
      </w:pPr>
    </w:p>
    <w:p w14:paraId="46FA416B" w14:textId="66CF9298" w:rsidR="005B0852" w:rsidRPr="00023DF2" w:rsidRDefault="00691752" w:rsidP="00950285">
      <w:pPr>
        <w:spacing w:line="360" w:lineRule="auto"/>
        <w:rPr>
          <w:b/>
          <w:bCs/>
          <w:sz w:val="24"/>
          <w:szCs w:val="24"/>
        </w:rPr>
      </w:pPr>
      <w:r>
        <w:rPr>
          <w:b/>
          <w:bCs/>
          <w:sz w:val="24"/>
          <w:szCs w:val="24"/>
        </w:rPr>
        <w:lastRenderedPageBreak/>
        <w:t xml:space="preserve">II. </w:t>
      </w:r>
      <w:r w:rsidR="009023B4" w:rsidRPr="00023DF2">
        <w:rPr>
          <w:b/>
          <w:bCs/>
          <w:sz w:val="24"/>
          <w:szCs w:val="24"/>
        </w:rPr>
        <w:t>Federal Roles in</w:t>
      </w:r>
      <w:r w:rsidR="00ED009E" w:rsidRPr="00023DF2">
        <w:rPr>
          <w:b/>
          <w:bCs/>
          <w:sz w:val="24"/>
          <w:szCs w:val="24"/>
        </w:rPr>
        <w:t xml:space="preserve"> MCMs</w:t>
      </w:r>
    </w:p>
    <w:p w14:paraId="40E449E6" w14:textId="26BC0A96" w:rsidR="00426B22" w:rsidRDefault="00B17136" w:rsidP="000C0423">
      <w:pPr>
        <w:spacing w:line="360" w:lineRule="auto"/>
      </w:pPr>
      <w:r>
        <w:t xml:space="preserve">Multiple federal agencies and entities </w:t>
      </w:r>
      <w:r w:rsidR="008214D2">
        <w:t>have roles in the funding, development, testing</w:t>
      </w:r>
      <w:r w:rsidR="006A1313">
        <w:t xml:space="preserve">, and </w:t>
      </w:r>
      <w:r w:rsidR="00165434">
        <w:t>de</w:t>
      </w:r>
      <w:r w:rsidR="00E146B4">
        <w:t>ployment</w:t>
      </w:r>
      <w:r w:rsidR="006A1313">
        <w:t xml:space="preserve"> of MCMs.</w:t>
      </w:r>
      <w:r w:rsidR="001E3A5B">
        <w:t xml:space="preserve"> </w:t>
      </w:r>
      <w:r w:rsidR="00D015B7">
        <w:t xml:space="preserve">These entities work together through the </w:t>
      </w:r>
      <w:r w:rsidR="005F00CB" w:rsidRPr="005F00CB">
        <w:t>Public Health Emergency Medical Countermeasures Enterprise (PHEMCE)</w:t>
      </w:r>
      <w:r w:rsidR="00DE1401">
        <w:t>. The r</w:t>
      </w:r>
      <w:r w:rsidR="006852A2">
        <w:t xml:space="preserve">ole of PHEMCH is to </w:t>
      </w:r>
      <w:r w:rsidR="005F00CB" w:rsidRPr="005F00CB">
        <w:t>coordinate</w:t>
      </w:r>
      <w:r w:rsidR="006852A2">
        <w:t xml:space="preserve"> f</w:t>
      </w:r>
      <w:r w:rsidR="005F00CB" w:rsidRPr="005F00CB">
        <w:t>ederal efforts to enhance</w:t>
      </w:r>
      <w:r w:rsidR="006852A2">
        <w:t xml:space="preserve"> </w:t>
      </w:r>
      <w:r w:rsidR="005F00CB" w:rsidRPr="005F00CB">
        <w:t xml:space="preserve">CBRN and emerging infectious diseases </w:t>
      </w:r>
      <w:r w:rsidR="00873E4F">
        <w:t xml:space="preserve">and pandemic </w:t>
      </w:r>
      <w:r w:rsidR="005F00CB" w:rsidRPr="005F00CB">
        <w:t>preparedness from a MCM perspective.</w:t>
      </w:r>
      <w:r w:rsidR="00213A18">
        <w:rPr>
          <w:rStyle w:val="FootnoteReference"/>
        </w:rPr>
        <w:footnoteReference w:id="4"/>
      </w:r>
      <w:r w:rsidR="005F00CB" w:rsidRPr="005F00CB">
        <w:t xml:space="preserve"> </w:t>
      </w:r>
      <w:r w:rsidR="0000222F">
        <w:t>T</w:t>
      </w:r>
      <w:r w:rsidR="005F00CB" w:rsidRPr="005F00CB">
        <w:t xml:space="preserve">he HHS Office of the Assistant Secretary for Preparedness and Response (ASPR) </w:t>
      </w:r>
      <w:r w:rsidR="001E1797">
        <w:t xml:space="preserve">leads </w:t>
      </w:r>
      <w:r w:rsidR="001E1797" w:rsidRPr="005F00CB">
        <w:t>PHEMCE</w:t>
      </w:r>
      <w:r w:rsidR="001E1797">
        <w:t xml:space="preserve">, which includes three HHS agencies: </w:t>
      </w:r>
      <w:r w:rsidR="005F00CB" w:rsidRPr="005F00CB">
        <w:t xml:space="preserve">the </w:t>
      </w:r>
      <w:bookmarkStart w:id="0" w:name="_Hlk35462274"/>
      <w:r w:rsidR="005F00CB" w:rsidRPr="005F00CB">
        <w:t xml:space="preserve">Centers for Disease Control and Prevention </w:t>
      </w:r>
      <w:bookmarkEnd w:id="0"/>
      <w:r w:rsidR="005F00CB" w:rsidRPr="005F00CB">
        <w:t>(CDC), the Food and Drug Administration (FDA) and the National Institutes of Health (NIH)</w:t>
      </w:r>
      <w:r w:rsidR="00F76EDB">
        <w:t xml:space="preserve">. It also </w:t>
      </w:r>
      <w:r w:rsidR="003C36C4">
        <w:t xml:space="preserve">includes </w:t>
      </w:r>
      <w:r w:rsidR="00D94391">
        <w:t xml:space="preserve">the </w:t>
      </w:r>
      <w:r w:rsidR="005F00CB" w:rsidRPr="005F00CB">
        <w:t>Department of Defense (DoD), the U.S. Department of Veterans Affairs (VA), the Department of Homeland Security (DHS)</w:t>
      </w:r>
      <w:r w:rsidR="00D94391">
        <w:t>,</w:t>
      </w:r>
      <w:r w:rsidR="005F00CB" w:rsidRPr="005F00CB">
        <w:t xml:space="preserve"> and the U.S. Department of Agriculture (USDA).</w:t>
      </w:r>
      <w:r w:rsidR="008E2E90">
        <w:rPr>
          <w:rStyle w:val="FootnoteReference"/>
        </w:rPr>
        <w:footnoteReference w:id="5"/>
      </w:r>
      <w:r w:rsidR="00EF4792">
        <w:t xml:space="preserve"> </w:t>
      </w:r>
      <w:r w:rsidR="003A28F9">
        <w:t xml:space="preserve">This section briefly highlights the </w:t>
      </w:r>
      <w:r w:rsidR="005D3B23">
        <w:t xml:space="preserve">roles of </w:t>
      </w:r>
      <w:r w:rsidR="00513E4D">
        <w:t>HHS entities</w:t>
      </w:r>
      <w:r w:rsidR="00016CC4">
        <w:t>; as such, i</w:t>
      </w:r>
      <w:r w:rsidR="002450AB">
        <w:t xml:space="preserve">t is not a comprehensive </w:t>
      </w:r>
      <w:r w:rsidR="00222B23">
        <w:t xml:space="preserve">review of all aspects of </w:t>
      </w:r>
      <w:r w:rsidR="001139E8">
        <w:t>federal</w:t>
      </w:r>
      <w:r w:rsidR="009853B1">
        <w:t xml:space="preserve"> work </w:t>
      </w:r>
      <w:r w:rsidR="001139E8">
        <w:t>on</w:t>
      </w:r>
      <w:r w:rsidR="009853B1">
        <w:t xml:space="preserve"> MCMs or the totality of </w:t>
      </w:r>
      <w:r w:rsidR="00E74F05">
        <w:t>the</w:t>
      </w:r>
      <w:r w:rsidR="001139E8">
        <w:t xml:space="preserve"> </w:t>
      </w:r>
      <w:r w:rsidR="00277053">
        <w:t xml:space="preserve">agencies’ </w:t>
      </w:r>
      <w:r w:rsidR="00E74F05">
        <w:t>missions.</w:t>
      </w:r>
    </w:p>
    <w:p w14:paraId="7547C0C4" w14:textId="543084A3" w:rsidR="00D42EFE" w:rsidRDefault="00D42EFE" w:rsidP="000C0423">
      <w:pPr>
        <w:spacing w:line="360" w:lineRule="auto"/>
      </w:pPr>
    </w:p>
    <w:p w14:paraId="645D38F4" w14:textId="02722381" w:rsidR="00105B25" w:rsidRPr="00761985" w:rsidRDefault="00EA6A38" w:rsidP="000C0423">
      <w:pPr>
        <w:spacing w:line="360" w:lineRule="auto"/>
        <w:rPr>
          <w:b/>
          <w:bCs/>
        </w:rPr>
      </w:pPr>
      <w:r w:rsidRPr="00EA6A38">
        <w:rPr>
          <w:b/>
          <w:bCs/>
        </w:rPr>
        <w:t xml:space="preserve">HHS Assistant Secretary for Preparedness and Response </w:t>
      </w:r>
      <w:r w:rsidR="007D6FFF" w:rsidRPr="00761985">
        <w:rPr>
          <w:b/>
          <w:bCs/>
        </w:rPr>
        <w:t>and BARDA</w:t>
      </w:r>
    </w:p>
    <w:p w14:paraId="5BAE2D7E" w14:textId="7F15AD0C" w:rsidR="00105B25" w:rsidRDefault="001603B2" w:rsidP="000C0423">
      <w:pPr>
        <w:spacing w:line="360" w:lineRule="auto"/>
      </w:pPr>
      <w:r>
        <w:t>The HH</w:t>
      </w:r>
      <w:r w:rsidR="00EA6A38">
        <w:t>S</w:t>
      </w:r>
      <w:r>
        <w:t xml:space="preserve"> </w:t>
      </w:r>
      <w:r w:rsidR="00105B25" w:rsidRPr="00105B25">
        <w:t>ASPR oversees research, development, and procurement of medical countermeasures</w:t>
      </w:r>
      <w:r w:rsidR="000F5AAC">
        <w:t xml:space="preserve">, as well as </w:t>
      </w:r>
      <w:r w:rsidR="00E555ED">
        <w:t>sustaining</w:t>
      </w:r>
      <w:r w:rsidR="008C43D1" w:rsidRPr="008C43D1">
        <w:t xml:space="preserve"> public health security capabilities </w:t>
      </w:r>
      <w:r w:rsidR="00E555ED">
        <w:t>to detect, diag</w:t>
      </w:r>
      <w:r w:rsidR="00747D22">
        <w:t>nose, and rapidly deploy MCMs</w:t>
      </w:r>
      <w:r w:rsidR="00E41F90">
        <w:t>.</w:t>
      </w:r>
      <w:r w:rsidR="000D50A9">
        <w:rPr>
          <w:rStyle w:val="FootnoteReference"/>
        </w:rPr>
        <w:footnoteReference w:id="6"/>
      </w:r>
      <w:r w:rsidR="00E41F90">
        <w:t xml:space="preserve"> ASPR is also charged with c</w:t>
      </w:r>
      <w:r w:rsidR="00A52A44">
        <w:t>reating a</w:t>
      </w:r>
      <w:r w:rsidR="00E46E02" w:rsidRPr="00E46E02">
        <w:t xml:space="preserve"> </w:t>
      </w:r>
      <w:r w:rsidR="00A52A44">
        <w:t xml:space="preserve">tiered </w:t>
      </w:r>
      <w:r w:rsidR="00E46E02" w:rsidRPr="00E46E02">
        <w:t>regional disaster health response system</w:t>
      </w:r>
      <w:r w:rsidR="00A52A44">
        <w:t xml:space="preserve"> that </w:t>
      </w:r>
      <w:r w:rsidR="00E41F90">
        <w:t>builds on existing local, regional, state, and federal health</w:t>
      </w:r>
      <w:r w:rsidR="00A8304F">
        <w:t xml:space="preserve">care and emergency </w:t>
      </w:r>
      <w:r w:rsidR="000D1F49">
        <w:t>medical</w:t>
      </w:r>
      <w:r w:rsidR="00E41F90">
        <w:t xml:space="preserve"> systems</w:t>
      </w:r>
      <w:r w:rsidR="000D1F49">
        <w:t>.</w:t>
      </w:r>
      <w:r w:rsidR="000D50A9">
        <w:rPr>
          <w:rStyle w:val="FootnoteReference"/>
        </w:rPr>
        <w:footnoteReference w:id="7"/>
      </w:r>
      <w:r w:rsidR="000D1F49">
        <w:t xml:space="preserve"> </w:t>
      </w:r>
      <w:r w:rsidR="007D6FFF" w:rsidRPr="007D6FFF">
        <w:t xml:space="preserve">ASPR’s Biomedical Advanced Research and Development Authority (BARDA) supports </w:t>
      </w:r>
      <w:r w:rsidR="00A77F37">
        <w:t xml:space="preserve">the </w:t>
      </w:r>
      <w:r w:rsidR="007D6FFF" w:rsidRPr="007D6FFF">
        <w:t>advanced development and procurement of medical countermeasures, such as vaccines, drugs, and diagnostics</w:t>
      </w:r>
      <w:r w:rsidR="00DF4641">
        <w:t xml:space="preserve"> to respond to </w:t>
      </w:r>
      <w:r w:rsidR="00CE3A99">
        <w:t xml:space="preserve">CBRN </w:t>
      </w:r>
      <w:r w:rsidR="00C44456">
        <w:t>attacks</w:t>
      </w:r>
      <w:r w:rsidR="00DB1D82">
        <w:t xml:space="preserve"> and emerging infectious diseases and pandemics</w:t>
      </w:r>
      <w:r w:rsidR="00AC3B98">
        <w:t xml:space="preserve">, through </w:t>
      </w:r>
      <w:r w:rsidR="00333F1F">
        <w:t>public-private partnerships.</w:t>
      </w:r>
      <w:r w:rsidR="00423A6A">
        <w:rPr>
          <w:rStyle w:val="FootnoteReference"/>
        </w:rPr>
        <w:footnoteReference w:id="8"/>
      </w:r>
      <w:r w:rsidR="00333F1F">
        <w:t xml:space="preserve"> </w:t>
      </w:r>
      <w:r w:rsidR="00882D27">
        <w:t xml:space="preserve">BARDA’s </w:t>
      </w:r>
      <w:r w:rsidR="007D6FFF" w:rsidRPr="007D6FFF">
        <w:t xml:space="preserve">goal </w:t>
      </w:r>
      <w:r w:rsidR="00882D27">
        <w:t xml:space="preserve">is to </w:t>
      </w:r>
      <w:r w:rsidR="00976691">
        <w:t xml:space="preserve">obtain </w:t>
      </w:r>
      <w:r w:rsidR="007D6FFF" w:rsidRPr="007D6FFF">
        <w:t>FDA approval or licensure</w:t>
      </w:r>
      <w:r w:rsidR="00B51F80">
        <w:t xml:space="preserve"> for the MCMs</w:t>
      </w:r>
      <w:r w:rsidR="00976691">
        <w:t>,</w:t>
      </w:r>
      <w:r w:rsidR="007721C6">
        <w:t xml:space="preserve"> </w:t>
      </w:r>
      <w:r w:rsidR="00A1267A" w:rsidRPr="00A1267A">
        <w:t xml:space="preserve">and </w:t>
      </w:r>
      <w:r w:rsidR="003A157F">
        <w:t xml:space="preserve">their </w:t>
      </w:r>
      <w:r w:rsidR="00A1267A" w:rsidRPr="00A1267A">
        <w:t>inclusion into the Strategic National Stockpile.</w:t>
      </w:r>
      <w:r w:rsidR="00905974">
        <w:rPr>
          <w:rStyle w:val="FootnoteReference"/>
        </w:rPr>
        <w:footnoteReference w:id="9"/>
      </w:r>
      <w:r w:rsidR="007D6FFF" w:rsidRPr="007D6FFF">
        <w:t xml:space="preserve"> </w:t>
      </w:r>
    </w:p>
    <w:p w14:paraId="3D5FABEE" w14:textId="6EFA1364" w:rsidR="00105B25" w:rsidRDefault="00105B25" w:rsidP="000C0423">
      <w:pPr>
        <w:spacing w:line="360" w:lineRule="auto"/>
      </w:pPr>
    </w:p>
    <w:p w14:paraId="2E67E68F" w14:textId="37C8BF8F" w:rsidR="005C6410" w:rsidRDefault="005C6410" w:rsidP="00BD59DA">
      <w:pPr>
        <w:keepNext/>
        <w:spacing w:line="360" w:lineRule="auto"/>
      </w:pPr>
      <w:r w:rsidRPr="005C6410">
        <w:rPr>
          <w:b/>
          <w:bCs/>
        </w:rPr>
        <w:lastRenderedPageBreak/>
        <w:t>Centers for Disease Control and Prevention</w:t>
      </w:r>
    </w:p>
    <w:p w14:paraId="4A8AA390" w14:textId="6E17EB04" w:rsidR="005C6410" w:rsidRPr="005C6410" w:rsidRDefault="005C6410" w:rsidP="005C6410">
      <w:pPr>
        <w:spacing w:line="360" w:lineRule="auto"/>
      </w:pPr>
      <w:r>
        <w:t>CDC</w:t>
      </w:r>
      <w:r w:rsidR="002C6648">
        <w:t xml:space="preserve"> role in PHEMCE is to use its </w:t>
      </w:r>
      <w:r>
        <w:t xml:space="preserve">scientific expertise and public health practice </w:t>
      </w:r>
      <w:r w:rsidR="002C6648">
        <w:t xml:space="preserve">experience </w:t>
      </w:r>
      <w:r>
        <w:t>to inform the use of preventative measures and treatment during a public health emergency.</w:t>
      </w:r>
      <w:r w:rsidR="004E500D">
        <w:rPr>
          <w:rStyle w:val="FootnoteReference"/>
        </w:rPr>
        <w:footnoteReference w:id="10"/>
      </w:r>
      <w:r>
        <w:t xml:space="preserve"> </w:t>
      </w:r>
      <w:r w:rsidR="002C6648">
        <w:t>Specifically, CDC d</w:t>
      </w:r>
      <w:r>
        <w:t>evelop</w:t>
      </w:r>
      <w:r w:rsidR="002C6648">
        <w:t>s</w:t>
      </w:r>
      <w:r>
        <w:t xml:space="preserve"> clinical guidance on the use of </w:t>
      </w:r>
      <w:r w:rsidR="002C6648">
        <w:t>MCM and provides technical expertise to STLT partners in developing and executing plans for MCM deployment and dispensing.</w:t>
      </w:r>
      <w:r w:rsidR="00BD59DA">
        <w:rPr>
          <w:rStyle w:val="FootnoteReference"/>
        </w:rPr>
        <w:footnoteReference w:id="11"/>
      </w:r>
      <w:r w:rsidR="002C6648">
        <w:t xml:space="preserve"> CDC also provides information about deploying the SNS, including advising which product should be used first based on </w:t>
      </w:r>
      <w:r>
        <w:t>epidemiology and laboratory data and clinical guidance.</w:t>
      </w:r>
      <w:r w:rsidR="00BD59DA">
        <w:rPr>
          <w:rStyle w:val="FootnoteReference"/>
        </w:rPr>
        <w:footnoteReference w:id="12"/>
      </w:r>
      <w:r w:rsidR="00173FCA">
        <w:t xml:space="preserve"> CDC conducts regular exercises with STLT partners to build capacity to receive and dispense MCM.</w:t>
      </w:r>
      <w:r w:rsidR="00BD59DA">
        <w:rPr>
          <w:rStyle w:val="FootnoteReference"/>
        </w:rPr>
        <w:footnoteReference w:id="13"/>
      </w:r>
      <w:r w:rsidR="00173FCA">
        <w:t xml:space="preserve"> CDC also </w:t>
      </w:r>
      <w:r w:rsidR="005C664D">
        <w:t>p</w:t>
      </w:r>
      <w:r>
        <w:t>rovide regulatory science expertise to inform legal</w:t>
      </w:r>
      <w:r w:rsidR="005C664D">
        <w:t xml:space="preserve"> </w:t>
      </w:r>
      <w:r>
        <w:t>mechanisms</w:t>
      </w:r>
      <w:r w:rsidR="005C664D">
        <w:t xml:space="preserve"> related to MCMs like </w:t>
      </w:r>
      <w:r>
        <w:t>Emergency Use Authorizations</w:t>
      </w:r>
      <w:r w:rsidR="005C664D">
        <w:t xml:space="preserve"> and </w:t>
      </w:r>
      <w:r>
        <w:t>Emergency Use Instructions,</w:t>
      </w:r>
      <w:r w:rsidR="005C664D">
        <w:t xml:space="preserve"> </w:t>
      </w:r>
      <w:r>
        <w:t xml:space="preserve">and </w:t>
      </w:r>
      <w:r w:rsidR="005C664D">
        <w:t xml:space="preserve">to provide </w:t>
      </w:r>
      <w:r>
        <w:t>guidance on the use of non</w:t>
      </w:r>
      <w:r w:rsidR="005C664D">
        <w:t>-</w:t>
      </w:r>
      <w:r>
        <w:t>FDA approved MCM or the use of FDA approved MCMs for unapproved indications</w:t>
      </w:r>
      <w:r w:rsidR="005C664D">
        <w:t>.</w:t>
      </w:r>
      <w:r w:rsidR="00BD59DA">
        <w:rPr>
          <w:rStyle w:val="FootnoteReference"/>
        </w:rPr>
        <w:footnoteReference w:id="14"/>
      </w:r>
    </w:p>
    <w:p w14:paraId="0B38C409" w14:textId="77777777" w:rsidR="005C6410" w:rsidRPr="005C6410" w:rsidRDefault="005C6410" w:rsidP="000C0423">
      <w:pPr>
        <w:spacing w:line="360" w:lineRule="auto"/>
      </w:pPr>
    </w:p>
    <w:p w14:paraId="101E3CA3" w14:textId="6304CF1E" w:rsidR="00D42EFE" w:rsidRPr="00C46175" w:rsidRDefault="00154A6A" w:rsidP="000C0423">
      <w:pPr>
        <w:spacing w:line="360" w:lineRule="auto"/>
        <w:rPr>
          <w:b/>
          <w:bCs/>
        </w:rPr>
      </w:pPr>
      <w:r>
        <w:rPr>
          <w:b/>
          <w:bCs/>
        </w:rPr>
        <w:t>Food and Drug Administration</w:t>
      </w:r>
    </w:p>
    <w:p w14:paraId="2A121EA1" w14:textId="6EAC0101" w:rsidR="00421127" w:rsidRDefault="009377B6" w:rsidP="002C434D">
      <w:pPr>
        <w:spacing w:line="360" w:lineRule="auto"/>
      </w:pPr>
      <w:r>
        <w:t xml:space="preserve">FDA is responsible for ensuring that MCMs are safe, effective, and secure. </w:t>
      </w:r>
      <w:r w:rsidR="000C0423">
        <w:t xml:space="preserve">FDA works </w:t>
      </w:r>
      <w:r w:rsidR="004A2BFC">
        <w:t xml:space="preserve">STLT and international governments </w:t>
      </w:r>
      <w:r w:rsidR="000C0423">
        <w:t>to support MCM-related public health preparedness and response efforts</w:t>
      </w:r>
      <w:r w:rsidR="00202828">
        <w:t xml:space="preserve"> through the FDA Medical Countermeasures Initiative (MCMi).</w:t>
      </w:r>
      <w:r w:rsidR="00F61DD5">
        <w:rPr>
          <w:rStyle w:val="FootnoteReference"/>
        </w:rPr>
        <w:footnoteReference w:id="15"/>
      </w:r>
      <w:r w:rsidR="00202828">
        <w:t xml:space="preserve"> </w:t>
      </w:r>
      <w:r w:rsidR="00840AAE">
        <w:t>FDA also works with non-government organizations, universities and research centers, and industry to further the development of MCMs</w:t>
      </w:r>
      <w:r>
        <w:t>.</w:t>
      </w:r>
      <w:r w:rsidR="00F61DD5">
        <w:rPr>
          <w:rStyle w:val="FootnoteReference"/>
        </w:rPr>
        <w:footnoteReference w:id="16"/>
      </w:r>
      <w:r>
        <w:t xml:space="preserve"> </w:t>
      </w:r>
      <w:r w:rsidR="004A2BFC">
        <w:t xml:space="preserve">MCMi is </w:t>
      </w:r>
      <w:r w:rsidR="002C434D">
        <w:t>a</w:t>
      </w:r>
      <w:r w:rsidR="004A2BFC">
        <w:t xml:space="preserve"> broad-based initiative within FDS to </w:t>
      </w:r>
      <w:r w:rsidR="002C434D">
        <w:t xml:space="preserve">coordinate </w:t>
      </w:r>
      <w:r w:rsidR="004A2BFC">
        <w:t xml:space="preserve">MCM </w:t>
      </w:r>
      <w:r w:rsidR="002C434D">
        <w:t>development, preparedness and response</w:t>
      </w:r>
      <w:r w:rsidR="004A2BFC">
        <w:t>.</w:t>
      </w:r>
      <w:r w:rsidR="00D96D43">
        <w:rPr>
          <w:rStyle w:val="FootnoteReference"/>
        </w:rPr>
        <w:footnoteReference w:id="17"/>
      </w:r>
      <w:r w:rsidR="004A2BFC">
        <w:t xml:space="preserve"> It is l</w:t>
      </w:r>
      <w:r w:rsidR="002C434D">
        <w:t>ed by the Office of Counterterrorism and Emerging Threats (OCET) in the Office of the Chief Scientist (OCS).</w:t>
      </w:r>
    </w:p>
    <w:p w14:paraId="391E1488" w14:textId="77777777" w:rsidR="00D96D43" w:rsidRDefault="00D96D43" w:rsidP="002A7DDB">
      <w:pPr>
        <w:spacing w:line="360" w:lineRule="auto"/>
      </w:pPr>
    </w:p>
    <w:p w14:paraId="395675CA" w14:textId="77777777" w:rsidR="006A415E" w:rsidRDefault="00421127" w:rsidP="002A7DDB">
      <w:pPr>
        <w:spacing w:line="360" w:lineRule="auto"/>
      </w:pPr>
      <w:r>
        <w:t>Working through PHEMCE, FDA contributes to defining and prioritizing requirements for MCMs in public health emergencies by coordinating research, setting deployment and use strategies, and facilitating access to MCMs, among other things.</w:t>
      </w:r>
      <w:r w:rsidR="00D96D43">
        <w:rPr>
          <w:rStyle w:val="FootnoteReference"/>
        </w:rPr>
        <w:footnoteReference w:id="18"/>
      </w:r>
      <w:r w:rsidR="002A7DDB">
        <w:t xml:space="preserve"> When a public health emergency arises, some MCMs may be approved already by FDA and can be used in approved ways during a response; some MCMs may not be approved yet, or they may be approved but not for the indication under consideration during the emergency.</w:t>
      </w:r>
      <w:r w:rsidR="00D96D43">
        <w:rPr>
          <w:rStyle w:val="FootnoteReference"/>
        </w:rPr>
        <w:footnoteReference w:id="19"/>
      </w:r>
      <w:r w:rsidR="002A7DDB">
        <w:t xml:space="preserve"> Given this range of possibilities, and because of FDA’s responsibility to regulate medical products and the nature of some products, FDA may need to use special </w:t>
      </w:r>
      <w:r w:rsidR="00F754AB">
        <w:t xml:space="preserve">legal </w:t>
      </w:r>
      <w:r w:rsidR="002A7DDB">
        <w:t xml:space="preserve">authorities </w:t>
      </w:r>
      <w:r w:rsidR="00F754AB">
        <w:t xml:space="preserve">that </w:t>
      </w:r>
      <w:r w:rsidR="002A7DDB">
        <w:t xml:space="preserve">allow </w:t>
      </w:r>
      <w:r w:rsidR="00F754AB">
        <w:t xml:space="preserve">for </w:t>
      </w:r>
      <w:r w:rsidR="002A7DDB">
        <w:t>the use of such MCMs in impacted populations during or in anticipation of emergencies.</w:t>
      </w:r>
      <w:r w:rsidR="00D96D43">
        <w:rPr>
          <w:rStyle w:val="FootnoteReference"/>
        </w:rPr>
        <w:footnoteReference w:id="20"/>
      </w:r>
      <w:r w:rsidR="002A7DDB">
        <w:t xml:space="preserve"> </w:t>
      </w:r>
      <w:r w:rsidR="00F754AB">
        <w:t xml:space="preserve">As will be described below, these legal mechanisms to permit the </w:t>
      </w:r>
      <w:r w:rsidR="002A7DDB">
        <w:t xml:space="preserve">emergency use of MCMs include Emergency Use Authorization (EUA) authority and </w:t>
      </w:r>
      <w:r w:rsidR="00F754AB">
        <w:t>other</w:t>
      </w:r>
      <w:r w:rsidR="002A7DDB">
        <w:t xml:space="preserve"> authorities related to the emergency use of approved MCMs.</w:t>
      </w:r>
      <w:r w:rsidR="00D96D43">
        <w:rPr>
          <w:rStyle w:val="FootnoteReference"/>
        </w:rPr>
        <w:footnoteReference w:id="21"/>
      </w:r>
      <w:r w:rsidR="006A415E">
        <w:t xml:space="preserve"> </w:t>
      </w:r>
    </w:p>
    <w:p w14:paraId="381E5C86" w14:textId="417BBEED" w:rsidR="002A7DDB" w:rsidRDefault="006A415E" w:rsidP="002A7DDB">
      <w:pPr>
        <w:spacing w:line="360" w:lineRule="auto"/>
      </w:pPr>
      <w:r>
        <w:t xml:space="preserve">FDA’s </w:t>
      </w:r>
      <w:r w:rsidRPr="006A415E">
        <w:t xml:space="preserve">MCMi legal, regulatory, and policy framework </w:t>
      </w:r>
      <w:r>
        <w:t xml:space="preserve">was created to </w:t>
      </w:r>
      <w:r w:rsidRPr="006A415E">
        <w:t xml:space="preserve">make sure that U.S. laws, regulations and policies support preparedness and response </w:t>
      </w:r>
      <w:r>
        <w:t xml:space="preserve">actions for </w:t>
      </w:r>
      <w:r w:rsidRPr="006A415E">
        <w:t xml:space="preserve">potential </w:t>
      </w:r>
      <w:r>
        <w:t>CBRN, emerging infectious disease, and pandemic threats. FDA works with various partners to evaluate how FDA can assist in the</w:t>
      </w:r>
      <w:r w:rsidRPr="006A415E">
        <w:t xml:space="preserve"> development, distribution, administration, post-administration assessment efforts</w:t>
      </w:r>
      <w:r>
        <w:t xml:space="preserve"> related to MCMs, as well as identifying </w:t>
      </w:r>
      <w:r w:rsidRPr="006A415E">
        <w:t>where changes are needed to better protect public health</w:t>
      </w:r>
      <w:r>
        <w:t xml:space="preserve"> and proposing </w:t>
      </w:r>
      <w:r w:rsidRPr="006A415E">
        <w:t>new approaches.</w:t>
      </w:r>
      <w:r>
        <w:rPr>
          <w:rStyle w:val="FootnoteReference"/>
        </w:rPr>
        <w:footnoteReference w:id="22"/>
      </w:r>
    </w:p>
    <w:p w14:paraId="0893B7C6" w14:textId="7FD05FC3" w:rsidR="002A7DDB" w:rsidRDefault="002A7DDB" w:rsidP="002A7DDB">
      <w:pPr>
        <w:spacing w:line="360" w:lineRule="auto"/>
      </w:pPr>
    </w:p>
    <w:p w14:paraId="2C34FF2A" w14:textId="2447583F" w:rsidR="00840AAE" w:rsidRPr="00E07261" w:rsidRDefault="005B38F0" w:rsidP="006A415E">
      <w:pPr>
        <w:keepNext/>
        <w:spacing w:line="360" w:lineRule="auto"/>
        <w:rPr>
          <w:b/>
          <w:bCs/>
        </w:rPr>
      </w:pPr>
      <w:r w:rsidRPr="00E07261">
        <w:rPr>
          <w:b/>
          <w:bCs/>
        </w:rPr>
        <w:t xml:space="preserve">National Institutes of Health and </w:t>
      </w:r>
      <w:r w:rsidR="009129A5" w:rsidRPr="00E07261">
        <w:rPr>
          <w:b/>
          <w:bCs/>
        </w:rPr>
        <w:t>N</w:t>
      </w:r>
      <w:r w:rsidR="00AD7996" w:rsidRPr="00E07261">
        <w:rPr>
          <w:b/>
          <w:bCs/>
        </w:rPr>
        <w:t>IAID</w:t>
      </w:r>
    </w:p>
    <w:p w14:paraId="5FD81373" w14:textId="48721E08" w:rsidR="00840AAE" w:rsidRDefault="003A185B" w:rsidP="000C0423">
      <w:pPr>
        <w:spacing w:line="360" w:lineRule="auto"/>
      </w:pPr>
      <w:r>
        <w:lastRenderedPageBreak/>
        <w:t>The National Institute of Allergy and Infectious Disease (</w:t>
      </w:r>
      <w:r w:rsidR="00840AAE" w:rsidRPr="00840AAE">
        <w:t>NIAID</w:t>
      </w:r>
      <w:r>
        <w:t>)</w:t>
      </w:r>
      <w:r w:rsidR="00840AAE" w:rsidRPr="00840AAE">
        <w:t xml:space="preserve"> was assigned lead responsibility within </w:t>
      </w:r>
      <w:r w:rsidR="00A0369A">
        <w:t xml:space="preserve">HHS and the </w:t>
      </w:r>
      <w:r w:rsidR="00840AAE" w:rsidRPr="00840AAE">
        <w:t xml:space="preserve">National Institutes of Health (NIH) for </w:t>
      </w:r>
      <w:r w:rsidR="009A4828">
        <w:t xml:space="preserve">conducting </w:t>
      </w:r>
      <w:r w:rsidR="00840AAE" w:rsidRPr="00840AAE">
        <w:t>civilian biodefense research</w:t>
      </w:r>
      <w:r w:rsidR="00F77212">
        <w:t>.</w:t>
      </w:r>
      <w:r w:rsidR="003A0501">
        <w:rPr>
          <w:rStyle w:val="FootnoteReference"/>
        </w:rPr>
        <w:footnoteReference w:id="23"/>
      </w:r>
      <w:r w:rsidR="00F77212">
        <w:t xml:space="preserve"> </w:t>
      </w:r>
      <w:r w:rsidR="009A4828">
        <w:t>N</w:t>
      </w:r>
      <w:r w:rsidR="008B4E89">
        <w:t>IAID fo</w:t>
      </w:r>
      <w:r w:rsidR="00840AAE" w:rsidRPr="00840AAE">
        <w:t>cus</w:t>
      </w:r>
      <w:r w:rsidR="008B4E89">
        <w:t>es on, among other things, r</w:t>
      </w:r>
      <w:r w:rsidR="00840AAE" w:rsidRPr="00840AAE">
        <w:t xml:space="preserve">esearch and early development of medical countermeasures against terrorist threats from infectious diseases and radiation exposure. NIAID </w:t>
      </w:r>
      <w:r w:rsidR="00E07261">
        <w:t>also has r</w:t>
      </w:r>
      <w:r w:rsidR="00840AAE" w:rsidRPr="00840AAE">
        <w:t>esponsibility for coordinating the NIH‐wide effort to develop medical countermeasures against chemical threats to the civilian population.</w:t>
      </w:r>
      <w:r w:rsidR="00F546F7">
        <w:rPr>
          <w:rStyle w:val="FootnoteReference"/>
        </w:rPr>
        <w:footnoteReference w:id="24"/>
      </w:r>
    </w:p>
    <w:p w14:paraId="764EC083" w14:textId="77777777" w:rsidR="00840AAE" w:rsidRDefault="00840AAE" w:rsidP="000C0423">
      <w:pPr>
        <w:spacing w:line="360" w:lineRule="auto"/>
      </w:pPr>
    </w:p>
    <w:p w14:paraId="4FEB8CFC" w14:textId="4785C701" w:rsidR="005B0789" w:rsidRPr="00D645B8" w:rsidRDefault="00691752" w:rsidP="00950285">
      <w:pPr>
        <w:spacing w:line="360" w:lineRule="auto"/>
        <w:rPr>
          <w:b/>
          <w:bCs/>
          <w:sz w:val="24"/>
          <w:szCs w:val="24"/>
        </w:rPr>
      </w:pPr>
      <w:r>
        <w:rPr>
          <w:b/>
          <w:bCs/>
          <w:sz w:val="24"/>
          <w:szCs w:val="24"/>
        </w:rPr>
        <w:t>I</w:t>
      </w:r>
      <w:r w:rsidR="00DF6CED">
        <w:rPr>
          <w:b/>
          <w:bCs/>
          <w:sz w:val="24"/>
          <w:szCs w:val="24"/>
        </w:rPr>
        <w:t>II</w:t>
      </w:r>
      <w:r>
        <w:rPr>
          <w:b/>
          <w:bCs/>
          <w:sz w:val="24"/>
          <w:szCs w:val="24"/>
        </w:rPr>
        <w:t xml:space="preserve">. </w:t>
      </w:r>
      <w:r w:rsidR="00A92C75">
        <w:rPr>
          <w:b/>
          <w:bCs/>
          <w:sz w:val="24"/>
          <w:szCs w:val="24"/>
        </w:rPr>
        <w:t xml:space="preserve">Legal Authorities for </w:t>
      </w:r>
      <w:r w:rsidR="005B0789" w:rsidRPr="00D645B8">
        <w:rPr>
          <w:b/>
          <w:bCs/>
          <w:sz w:val="24"/>
          <w:szCs w:val="24"/>
        </w:rPr>
        <w:t>Development of MCM</w:t>
      </w:r>
      <w:r w:rsidR="00A92C75">
        <w:rPr>
          <w:b/>
          <w:bCs/>
          <w:sz w:val="24"/>
          <w:szCs w:val="24"/>
        </w:rPr>
        <w:t>s</w:t>
      </w:r>
      <w:r w:rsidR="005B0789" w:rsidRPr="00D645B8">
        <w:rPr>
          <w:b/>
          <w:bCs/>
          <w:sz w:val="24"/>
          <w:szCs w:val="24"/>
        </w:rPr>
        <w:t xml:space="preserve"> </w:t>
      </w:r>
      <w:r w:rsidR="00A92C75">
        <w:rPr>
          <w:b/>
          <w:bCs/>
          <w:sz w:val="24"/>
          <w:szCs w:val="24"/>
        </w:rPr>
        <w:t>and Distribution Mechanisms</w:t>
      </w:r>
    </w:p>
    <w:p w14:paraId="7E5683C6" w14:textId="134B9F61" w:rsidR="00D645B8" w:rsidRDefault="009A20FC" w:rsidP="00805671">
      <w:pPr>
        <w:spacing w:line="360" w:lineRule="auto"/>
      </w:pPr>
      <w:r>
        <w:t xml:space="preserve">Over the </w:t>
      </w:r>
      <w:r w:rsidR="00D54DA5">
        <w:t xml:space="preserve">previous twenty years, </w:t>
      </w:r>
      <w:r w:rsidR="004C5E09">
        <w:t xml:space="preserve">a </w:t>
      </w:r>
      <w:r w:rsidR="009D6D2B">
        <w:t>succession of</w:t>
      </w:r>
      <w:r w:rsidR="006D7905">
        <w:t xml:space="preserve"> </w:t>
      </w:r>
      <w:r w:rsidR="002E0314">
        <w:t>federal law</w:t>
      </w:r>
      <w:r w:rsidR="007B53BF">
        <w:t>s</w:t>
      </w:r>
      <w:r w:rsidR="002E0314">
        <w:t xml:space="preserve"> </w:t>
      </w:r>
      <w:r w:rsidR="003759D8">
        <w:t xml:space="preserve">created the </w:t>
      </w:r>
      <w:r w:rsidR="0088340A">
        <w:t xml:space="preserve">legal </w:t>
      </w:r>
      <w:r w:rsidR="003759D8">
        <w:t xml:space="preserve">foundation </w:t>
      </w:r>
      <w:r w:rsidR="0088340A">
        <w:t xml:space="preserve">to </w:t>
      </w:r>
      <w:r w:rsidR="00B37858">
        <w:t>prepar</w:t>
      </w:r>
      <w:r w:rsidR="0088340A">
        <w:t>e</w:t>
      </w:r>
      <w:r w:rsidR="00B37858">
        <w:t xml:space="preserve"> for and respond to CBNR events and </w:t>
      </w:r>
      <w:r w:rsidR="00805671">
        <w:t>infectious disease threats</w:t>
      </w:r>
      <w:r w:rsidR="0088340A">
        <w:t>.</w:t>
      </w:r>
      <w:r w:rsidR="00E26B24">
        <w:t xml:space="preserve"> </w:t>
      </w:r>
      <w:r w:rsidR="00554761">
        <w:t xml:space="preserve">These laws </w:t>
      </w:r>
      <w:r w:rsidR="009412F2">
        <w:t>provide the authority and a framework for the development</w:t>
      </w:r>
      <w:r w:rsidR="00DC28F9">
        <w:t xml:space="preserve">, distribution, and use of MCMs in </w:t>
      </w:r>
      <w:r w:rsidR="00CF3ED2">
        <w:t xml:space="preserve">response to public health emergencies. The </w:t>
      </w:r>
      <w:r w:rsidR="00B1378E">
        <w:t>following list provid</w:t>
      </w:r>
      <w:r w:rsidR="004171D9">
        <w:t xml:space="preserve">es an overview of </w:t>
      </w:r>
      <w:r w:rsidR="006474BD">
        <w:t xml:space="preserve">selected </w:t>
      </w:r>
      <w:r w:rsidR="0001078D">
        <w:t>legal authorities</w:t>
      </w:r>
      <w:r w:rsidR="005B5DAA">
        <w:t xml:space="preserve"> </w:t>
      </w:r>
      <w:r w:rsidR="0086595E">
        <w:t>related to</w:t>
      </w:r>
      <w:r w:rsidR="009A5862">
        <w:t xml:space="preserve"> </w:t>
      </w:r>
      <w:r w:rsidR="00BD43BB">
        <w:t xml:space="preserve">the development of </w:t>
      </w:r>
      <w:r w:rsidR="00480F4A">
        <w:t xml:space="preserve">current </w:t>
      </w:r>
      <w:r w:rsidR="0086595E">
        <w:t>MCM</w:t>
      </w:r>
      <w:r w:rsidR="00480F4A">
        <w:t xml:space="preserve"> </w:t>
      </w:r>
      <w:r w:rsidR="007360CD">
        <w:t xml:space="preserve">and distribution </w:t>
      </w:r>
      <w:r w:rsidR="00480F4A">
        <w:t>activities</w:t>
      </w:r>
      <w:r w:rsidR="007360CD">
        <w:t>.</w:t>
      </w:r>
    </w:p>
    <w:p w14:paraId="7CB9BA7D" w14:textId="725D1A3B" w:rsidR="00C04194" w:rsidRDefault="00C04194" w:rsidP="00C04194">
      <w:pPr>
        <w:spacing w:line="360" w:lineRule="auto"/>
      </w:pPr>
    </w:p>
    <w:p w14:paraId="25A3FF96" w14:textId="77777777" w:rsidR="008B43DA" w:rsidRPr="008B43DA" w:rsidRDefault="008B43DA" w:rsidP="008B43DA">
      <w:pPr>
        <w:spacing w:line="360" w:lineRule="auto"/>
        <w:rPr>
          <w:b/>
          <w:bCs/>
        </w:rPr>
      </w:pPr>
      <w:r w:rsidRPr="008B43DA">
        <w:rPr>
          <w:b/>
          <w:bCs/>
        </w:rPr>
        <w:t>Health Security and Bioterrorism Preparedness and Response Act of 2002 (Bioterrorism Act)</w:t>
      </w:r>
    </w:p>
    <w:p w14:paraId="7989AFAB" w14:textId="739375E8" w:rsidR="00F45A77" w:rsidRDefault="003834D1" w:rsidP="003834D1">
      <w:pPr>
        <w:spacing w:line="360" w:lineRule="auto"/>
      </w:pPr>
      <w:r>
        <w:t>The Bioterrorism Act</w:t>
      </w:r>
      <w:r w:rsidR="001A6DDA">
        <w:rPr>
          <w:rStyle w:val="FootnoteReference"/>
        </w:rPr>
        <w:footnoteReference w:id="25"/>
      </w:r>
      <w:r>
        <w:t xml:space="preserve"> amend</w:t>
      </w:r>
      <w:r w:rsidR="00B34B52">
        <w:t>ed</w:t>
      </w:r>
      <w:r>
        <w:t xml:space="preserve"> various provisions of the Public Health Service Act</w:t>
      </w:r>
      <w:r>
        <w:rPr>
          <w:rStyle w:val="FootnoteReference"/>
        </w:rPr>
        <w:footnoteReference w:id="26"/>
      </w:r>
      <w:r>
        <w:t xml:space="preserve"> to improve the nation’s ability to prevent, prepare for, and respond to bioterrorism and other public health emergencies</w:t>
      </w:r>
      <w:r w:rsidR="00C13D64">
        <w:t>.</w:t>
      </w:r>
      <w:r w:rsidR="00C13D64">
        <w:rPr>
          <w:rStyle w:val="FootnoteReference"/>
        </w:rPr>
        <w:footnoteReference w:id="27"/>
      </w:r>
      <w:r>
        <w:t xml:space="preserve"> The Act </w:t>
      </w:r>
      <w:r w:rsidR="00B34B52">
        <w:t>created the</w:t>
      </w:r>
      <w:r>
        <w:t xml:space="preserve"> position of Assistant</w:t>
      </w:r>
      <w:r w:rsidR="00B34B52">
        <w:t xml:space="preserve"> </w:t>
      </w:r>
      <w:r>
        <w:t xml:space="preserve">Secretary for Public Health Emergency </w:t>
      </w:r>
      <w:r>
        <w:lastRenderedPageBreak/>
        <w:t>Preparedness</w:t>
      </w:r>
      <w:r w:rsidR="00B34B52">
        <w:rPr>
          <w:rStyle w:val="FootnoteReference"/>
        </w:rPr>
        <w:footnoteReference w:id="28"/>
      </w:r>
      <w:r w:rsidR="00BB378A">
        <w:t>,</w:t>
      </w:r>
      <w:r>
        <w:t xml:space="preserve"> wh</w:t>
      </w:r>
      <w:r w:rsidR="00BB378A">
        <w:t>ich is r</w:t>
      </w:r>
      <w:r>
        <w:t xml:space="preserve">esponsible for coordinating emergency response activities within HHS. </w:t>
      </w:r>
      <w:r w:rsidR="00BC4D31">
        <w:t>T</w:t>
      </w:r>
      <w:r w:rsidR="00A34CC6" w:rsidRPr="00A34CC6">
        <w:t xml:space="preserve">he Bioterrorism Act </w:t>
      </w:r>
      <w:r w:rsidR="00BC4D31">
        <w:t xml:space="preserve">also </w:t>
      </w:r>
      <w:r w:rsidR="00BC4D31" w:rsidRPr="00A34CC6">
        <w:t>directed</w:t>
      </w:r>
      <w:r w:rsidR="00A34CC6" w:rsidRPr="00A34CC6">
        <w:t xml:space="preserve"> the accelerated approval of priority MCM</w:t>
      </w:r>
      <w:r w:rsidR="009C1800">
        <w:t>s</w:t>
      </w:r>
      <w:r w:rsidR="00A34CC6" w:rsidRPr="00A34CC6">
        <w:t xml:space="preserve"> and the development </w:t>
      </w:r>
      <w:r w:rsidR="009C1800">
        <w:t>regulations</w:t>
      </w:r>
      <w:r w:rsidR="007E14AC">
        <w:t xml:space="preserve"> regarding the use of </w:t>
      </w:r>
      <w:r w:rsidR="00A34CC6" w:rsidRPr="00A34CC6">
        <w:t xml:space="preserve">animal models </w:t>
      </w:r>
      <w:r w:rsidR="007E14AC">
        <w:t xml:space="preserve">in instances in which </w:t>
      </w:r>
      <w:r w:rsidR="00A34CC6" w:rsidRPr="00A34CC6">
        <w:t>human efficacy studies are not feasible or ethical.</w:t>
      </w:r>
      <w:r w:rsidR="00256365">
        <w:rPr>
          <w:rStyle w:val="FootnoteReference"/>
        </w:rPr>
        <w:footnoteReference w:id="29"/>
      </w:r>
      <w:r w:rsidR="00A34CC6" w:rsidRPr="00A34CC6">
        <w:t xml:space="preserve"> The Bioterrorism Act also established the Strategic National Stockpile (SNS)</w:t>
      </w:r>
      <w:r w:rsidR="00276693">
        <w:t xml:space="preserve">. It also </w:t>
      </w:r>
      <w:r w:rsidR="00A34CC6" w:rsidRPr="00A34CC6">
        <w:t xml:space="preserve">authorized the </w:t>
      </w:r>
      <w:r w:rsidR="00276693">
        <w:t xml:space="preserve">HHS </w:t>
      </w:r>
      <w:r w:rsidR="00A34CC6" w:rsidRPr="00A34CC6">
        <w:t>Secretary</w:t>
      </w:r>
      <w:r w:rsidR="0089494D">
        <w:t xml:space="preserve">, </w:t>
      </w:r>
      <w:r w:rsidR="00A34CC6" w:rsidRPr="00A34CC6">
        <w:t>acting through FDA, to issue regulations to protect the nation's food and drug supplies against bioterrorism and foodborne illness.</w:t>
      </w:r>
      <w:r w:rsidR="00B96EF8">
        <w:rPr>
          <w:rStyle w:val="FootnoteReference"/>
        </w:rPr>
        <w:footnoteReference w:id="30"/>
      </w:r>
      <w:r w:rsidR="00E71751">
        <w:t xml:space="preserve"> </w:t>
      </w:r>
    </w:p>
    <w:p w14:paraId="22EC1232" w14:textId="77777777" w:rsidR="00023EF1" w:rsidRDefault="00023EF1" w:rsidP="00C04194">
      <w:pPr>
        <w:spacing w:line="360" w:lineRule="auto"/>
      </w:pPr>
    </w:p>
    <w:p w14:paraId="243CC681" w14:textId="78EED04B" w:rsidR="00C04194" w:rsidRPr="00C04194" w:rsidRDefault="00C04194" w:rsidP="004916B6">
      <w:pPr>
        <w:keepNext/>
        <w:spacing w:line="360" w:lineRule="auto"/>
        <w:rPr>
          <w:b/>
          <w:bCs/>
        </w:rPr>
      </w:pPr>
      <w:r w:rsidRPr="00C04194">
        <w:rPr>
          <w:b/>
          <w:bCs/>
        </w:rPr>
        <w:t>Project BioShield Act of 2004</w:t>
      </w:r>
    </w:p>
    <w:p w14:paraId="18CF5273" w14:textId="77777777" w:rsidR="003D1D52" w:rsidRDefault="00C57CBB" w:rsidP="005830AE">
      <w:pPr>
        <w:spacing w:line="360" w:lineRule="auto"/>
      </w:pPr>
      <w:r w:rsidRPr="00C57CBB">
        <w:t xml:space="preserve">With the anthrax and other terrorist attacks of </w:t>
      </w:r>
      <w:r w:rsidR="008A26B9">
        <w:t xml:space="preserve">September </w:t>
      </w:r>
      <w:r w:rsidRPr="00C57CBB">
        <w:t>2001, the federal government determined that it would need new medical countermeasures, such as diagnostic tests, drugs, and vaccines, to respond to an attack using chemical, biological, radiological, or nuclear (CBRN) agents.</w:t>
      </w:r>
      <w:r w:rsidR="000D20AF">
        <w:rPr>
          <w:rStyle w:val="FootnoteReference"/>
        </w:rPr>
        <w:footnoteReference w:id="31"/>
      </w:r>
      <w:r w:rsidR="00B6587F">
        <w:t xml:space="preserve"> </w:t>
      </w:r>
      <w:r w:rsidR="008122C5" w:rsidRPr="008122C5">
        <w:t>The Project BioShield Act of 2004</w:t>
      </w:r>
      <w:r w:rsidR="00177074">
        <w:rPr>
          <w:rStyle w:val="FootnoteReference"/>
        </w:rPr>
        <w:footnoteReference w:id="32"/>
      </w:r>
      <w:r w:rsidR="00C7776B">
        <w:t xml:space="preserve"> </w:t>
      </w:r>
      <w:r w:rsidR="008122C5" w:rsidRPr="008122C5">
        <w:t>was enacted to accelerate the research, development, purchase, and availability of effective medical products against CBRN agents. Project BioShield provided the government with the authority</w:t>
      </w:r>
      <w:r w:rsidR="004C1254">
        <w:t>, flexibility,</w:t>
      </w:r>
      <w:r w:rsidR="008122C5" w:rsidRPr="008122C5">
        <w:t xml:space="preserve"> and funding to develop, acquire, stockpile, and distribute the medical products needed to protect the United States </w:t>
      </w:r>
      <w:r w:rsidR="00176B53">
        <w:t>during CBRN emergencies</w:t>
      </w:r>
      <w:r w:rsidR="008122C5" w:rsidRPr="008122C5">
        <w:t>.</w:t>
      </w:r>
      <w:r w:rsidR="007C7112">
        <w:rPr>
          <w:rStyle w:val="FootnoteReference"/>
        </w:rPr>
        <w:footnoteReference w:id="33"/>
      </w:r>
      <w:r w:rsidR="008122C5" w:rsidRPr="008122C5">
        <w:t xml:space="preserve"> </w:t>
      </w:r>
      <w:r w:rsidR="006E05A2">
        <w:t xml:space="preserve">The act also amended </w:t>
      </w:r>
      <w:r w:rsidR="002863FF">
        <w:t>§564 of the Federal Food, Drug, and Cosmetic Act (FD&amp;C Act)</w:t>
      </w:r>
      <w:r w:rsidR="007C05A2">
        <w:t xml:space="preserve"> to </w:t>
      </w:r>
      <w:r w:rsidR="00CB5DA6">
        <w:t xml:space="preserve">permit the FDA Commissioner to </w:t>
      </w:r>
      <w:r w:rsidR="000B68B6">
        <w:t xml:space="preserve">issue </w:t>
      </w:r>
      <w:r w:rsidR="00C04194">
        <w:t xml:space="preserve">Emergency Use Authorizations (EUAs) </w:t>
      </w:r>
      <w:r w:rsidR="008E6894">
        <w:t>authorizing t</w:t>
      </w:r>
      <w:r w:rsidR="00C04194">
        <w:t>he use of unapproved medical products or unapproved uses of approved medical products during CBRN emergencies.</w:t>
      </w:r>
      <w:r w:rsidR="00943EC2">
        <w:rPr>
          <w:rStyle w:val="FootnoteReference"/>
        </w:rPr>
        <w:footnoteReference w:id="34"/>
      </w:r>
      <w:r w:rsidR="00571099">
        <w:t xml:space="preserve"> </w:t>
      </w:r>
    </w:p>
    <w:p w14:paraId="1E65C86D" w14:textId="77777777" w:rsidR="003D1D52" w:rsidRDefault="003D1D52" w:rsidP="005830AE">
      <w:pPr>
        <w:spacing w:line="360" w:lineRule="auto"/>
      </w:pPr>
    </w:p>
    <w:p w14:paraId="0227E379" w14:textId="046DD28B" w:rsidR="005830AE" w:rsidRDefault="00D65CBB" w:rsidP="005830AE">
      <w:pPr>
        <w:spacing w:line="360" w:lineRule="auto"/>
      </w:pPr>
      <w:r>
        <w:t>The authorities</w:t>
      </w:r>
      <w:r w:rsidR="000762D3">
        <w:t xml:space="preserve"> provided in the </w:t>
      </w:r>
      <w:r w:rsidR="006F06F0">
        <w:t xml:space="preserve">Project Bioshield Act were </w:t>
      </w:r>
      <w:r w:rsidR="00CA7CB9">
        <w:t xml:space="preserve">subsequently </w:t>
      </w:r>
      <w:r w:rsidR="006F06F0">
        <w:t>amend</w:t>
      </w:r>
      <w:r w:rsidR="00CA7CB9">
        <w:t>ed</w:t>
      </w:r>
      <w:r w:rsidR="006F06F0">
        <w:t xml:space="preserve"> </w:t>
      </w:r>
      <w:r w:rsidR="00B204E6">
        <w:t>by the Pandemic and All Hazards Preparedness Act</w:t>
      </w:r>
      <w:r w:rsidR="00BF0761">
        <w:t xml:space="preserve"> of 2006 (PAHPA). </w:t>
      </w:r>
      <w:r w:rsidR="009E7245">
        <w:t xml:space="preserve">PAHPA, among other things, </w:t>
      </w:r>
      <w:r w:rsidR="00AF0798">
        <w:t>established</w:t>
      </w:r>
      <w:r w:rsidR="00387E05">
        <w:t xml:space="preserve"> a new </w:t>
      </w:r>
      <w:r w:rsidR="00462778">
        <w:t>body</w:t>
      </w:r>
      <w:r w:rsidR="00387E05">
        <w:t xml:space="preserve"> </w:t>
      </w:r>
      <w:r w:rsidR="00387E05">
        <w:lastRenderedPageBreak/>
        <w:t>within HHS</w:t>
      </w:r>
      <w:r w:rsidR="00667964">
        <w:t xml:space="preserve"> </w:t>
      </w:r>
      <w:r w:rsidR="0086669B">
        <w:t>–</w:t>
      </w:r>
      <w:r w:rsidR="00667964">
        <w:t xml:space="preserve"> </w:t>
      </w:r>
      <w:r w:rsidR="00462778">
        <w:t xml:space="preserve">the </w:t>
      </w:r>
      <w:r w:rsidR="00061107" w:rsidRPr="00061107">
        <w:t>Biomedical Advanced Research and Development Authority</w:t>
      </w:r>
      <w:r w:rsidR="00061107">
        <w:t xml:space="preserve"> (BARDA)</w:t>
      </w:r>
      <w:r w:rsidR="00000F1E">
        <w:t xml:space="preserve"> </w:t>
      </w:r>
      <w:r w:rsidR="00994361">
        <w:t>(see below)</w:t>
      </w:r>
      <w:r w:rsidR="0086669B">
        <w:t>.</w:t>
      </w:r>
      <w:r w:rsidR="00B00E6E">
        <w:t xml:space="preserve"> Project Bioshield was again </w:t>
      </w:r>
      <w:r w:rsidR="002D7E3A">
        <w:t xml:space="preserve">amended in the Pandemic and All </w:t>
      </w:r>
      <w:r w:rsidR="00174E95">
        <w:t xml:space="preserve">Hazards Preparedness </w:t>
      </w:r>
      <w:r w:rsidR="004F34A0">
        <w:t xml:space="preserve">Reauthorization Act of </w:t>
      </w:r>
      <w:r w:rsidR="00174E95">
        <w:t>2013</w:t>
      </w:r>
      <w:r w:rsidR="008A7852">
        <w:t xml:space="preserve">. </w:t>
      </w:r>
      <w:r w:rsidR="00174E95">
        <w:t>PAHPRA</w:t>
      </w:r>
      <w:r w:rsidR="001664DB">
        <w:t xml:space="preserve"> </w:t>
      </w:r>
      <w:r w:rsidR="00174E95">
        <w:t xml:space="preserve">reauthorized </w:t>
      </w:r>
      <w:r w:rsidR="001664DB">
        <w:t xml:space="preserve">provisions </w:t>
      </w:r>
      <w:r w:rsidR="00A17DDD">
        <w:t>in</w:t>
      </w:r>
      <w:r w:rsidR="00174E95">
        <w:t xml:space="preserve"> PAHPA and </w:t>
      </w:r>
      <w:r w:rsidR="001664DB">
        <w:t>extended</w:t>
      </w:r>
      <w:r w:rsidR="00174E95">
        <w:t xml:space="preserve"> the FDA Commissioner’s authorit</w:t>
      </w:r>
      <w:r w:rsidR="00F570D4">
        <w:t>y</w:t>
      </w:r>
      <w:r w:rsidR="00174E95">
        <w:t xml:space="preserve"> to permit the use of unapproved products or unapproved uses of approved products during emergency.</w:t>
      </w:r>
      <w:r w:rsidR="00F96790">
        <w:rPr>
          <w:rStyle w:val="FootnoteReference"/>
        </w:rPr>
        <w:footnoteReference w:id="35"/>
      </w:r>
    </w:p>
    <w:p w14:paraId="217ED49B" w14:textId="19AF0C76" w:rsidR="00CC6C7E" w:rsidRDefault="00CC6C7E" w:rsidP="005830AE">
      <w:pPr>
        <w:spacing w:line="360" w:lineRule="auto"/>
      </w:pPr>
    </w:p>
    <w:p w14:paraId="2677C3AE" w14:textId="77777777" w:rsidR="000940AB" w:rsidRPr="000940AB" w:rsidRDefault="000940AB" w:rsidP="000940AB">
      <w:pPr>
        <w:spacing w:line="360" w:lineRule="auto"/>
        <w:rPr>
          <w:b/>
          <w:bCs/>
        </w:rPr>
      </w:pPr>
      <w:r w:rsidRPr="000940AB">
        <w:rPr>
          <w:b/>
          <w:bCs/>
        </w:rPr>
        <w:t>Public Readiness and Emergency Preparedness Act of 2005 (PREP Act)</w:t>
      </w:r>
    </w:p>
    <w:p w14:paraId="629DD47A" w14:textId="40D077DD" w:rsidR="00CD240D" w:rsidRDefault="000940AB" w:rsidP="00CD240D">
      <w:pPr>
        <w:spacing w:line="360" w:lineRule="auto"/>
      </w:pPr>
      <w:r>
        <w:t>T</w:t>
      </w:r>
      <w:r w:rsidRPr="000940AB">
        <w:t>he PREP Act</w:t>
      </w:r>
      <w:r w:rsidR="001C2C4C">
        <w:rPr>
          <w:rStyle w:val="FootnoteReference"/>
        </w:rPr>
        <w:footnoteReference w:id="36"/>
      </w:r>
      <w:r w:rsidRPr="000940AB">
        <w:t xml:space="preserve"> authorizes the </w:t>
      </w:r>
      <w:r w:rsidR="00C8749A">
        <w:t xml:space="preserve">HHS </w:t>
      </w:r>
      <w:r w:rsidRPr="000940AB">
        <w:t>Secretary to issue a PREP Act declaration that provides immunity from tort liability (except for willful misconduct) for claims of loss caused, arising out of, relating to, or resulting from administration or use of countermeasures to diseases, threats and conditions determined by the Secretary to constitute a present, or credible risk of a future public health emergency to entities and individuals involved in the development, manufacture, testing, distribution, administration, and use of such countermeasures.</w:t>
      </w:r>
      <w:r w:rsidR="00065091">
        <w:rPr>
          <w:rStyle w:val="FootnoteReference"/>
        </w:rPr>
        <w:footnoteReference w:id="37"/>
      </w:r>
      <w:r w:rsidR="00CA34D6">
        <w:t xml:space="preserve"> Importantly, a</w:t>
      </w:r>
      <w:r w:rsidRPr="000940AB">
        <w:t xml:space="preserve"> PREP Act declaration is specifically </w:t>
      </w:r>
      <w:r w:rsidR="00DD777D">
        <w:t xml:space="preserve">issued to </w:t>
      </w:r>
      <w:r w:rsidRPr="000940AB">
        <w:t>provid</w:t>
      </w:r>
      <w:r w:rsidR="00DD777D">
        <w:t>e</w:t>
      </w:r>
      <w:r w:rsidRPr="000940AB">
        <w:t xml:space="preserve"> immunity from tort liability, and is different from, and not dependent on, other emergency declarations.</w:t>
      </w:r>
      <w:r w:rsidR="002E481B">
        <w:rPr>
          <w:rStyle w:val="FootnoteReference"/>
        </w:rPr>
        <w:footnoteReference w:id="38"/>
      </w:r>
      <w:r w:rsidRPr="000940AB">
        <w:t xml:space="preserve"> The PREP Act also established a program to provide compensation for serious countermeasure injuries.</w:t>
      </w:r>
      <w:r w:rsidR="006336C8">
        <w:rPr>
          <w:rStyle w:val="FootnoteReference"/>
        </w:rPr>
        <w:footnoteReference w:id="39"/>
      </w:r>
      <w:r w:rsidR="006506ED">
        <w:t xml:space="preserve"> In 2013, </w:t>
      </w:r>
      <w:r w:rsidR="00CD240D">
        <w:t>PAHPRA</w:t>
      </w:r>
      <w:r w:rsidR="006506ED">
        <w:t xml:space="preserve"> amended the </w:t>
      </w:r>
      <w:r w:rsidR="00CD240D">
        <w:t>PREP Act</w:t>
      </w:r>
      <w:r w:rsidR="006506ED">
        <w:t xml:space="preserve"> to </w:t>
      </w:r>
      <w:r w:rsidR="00E95A04">
        <w:t xml:space="preserve">explicitly state that </w:t>
      </w:r>
      <w:r w:rsidR="00CD240D">
        <w:t xml:space="preserve">immunity </w:t>
      </w:r>
      <w:r w:rsidR="00AB1F0F">
        <w:t>under the Act</w:t>
      </w:r>
      <w:r w:rsidR="00CD240D">
        <w:t xml:space="preserve"> applies to products or</w:t>
      </w:r>
      <w:r w:rsidR="00AB1F0F">
        <w:t xml:space="preserve"> </w:t>
      </w:r>
      <w:r w:rsidR="00CD240D">
        <w:t>technology intended to enhance medical countermeasures, in addition to the countermeasures</w:t>
      </w:r>
      <w:r w:rsidR="009F77EF">
        <w:t xml:space="preserve"> </w:t>
      </w:r>
      <w:r w:rsidR="00CD240D">
        <w:t>themselves.</w:t>
      </w:r>
      <w:r w:rsidR="009F77EF">
        <w:rPr>
          <w:rStyle w:val="FootnoteReference"/>
        </w:rPr>
        <w:footnoteReference w:id="40"/>
      </w:r>
      <w:r w:rsidR="00CD240D">
        <w:t xml:space="preserve"> PAHPRA also extend</w:t>
      </w:r>
      <w:r w:rsidR="00C15B28">
        <w:t>ed</w:t>
      </w:r>
      <w:r w:rsidR="00CD240D">
        <w:t xml:space="preserve"> immunity to countermeasures </w:t>
      </w:r>
      <w:r w:rsidR="00CD240D">
        <w:lastRenderedPageBreak/>
        <w:t>authorized under sections 564A</w:t>
      </w:r>
      <w:r w:rsidR="00C15B28">
        <w:t xml:space="preserve"> </w:t>
      </w:r>
      <w:r w:rsidR="00377FA6">
        <w:t>(</w:t>
      </w:r>
      <w:r w:rsidR="00FB55F4">
        <w:t>emergency use of medical products</w:t>
      </w:r>
      <w:r w:rsidR="005D7CF7">
        <w:t xml:space="preserve">) </w:t>
      </w:r>
      <w:r w:rsidR="00CD240D">
        <w:t xml:space="preserve">and 564B </w:t>
      </w:r>
      <w:r w:rsidR="00FC72EF">
        <w:t>(</w:t>
      </w:r>
      <w:r w:rsidR="00BF7E85">
        <w:t xml:space="preserve">governmental pre-positioning of MCMs) </w:t>
      </w:r>
      <w:r w:rsidR="00CD240D">
        <w:t>of the Federal Food, Drug, and Cosmetic Act</w:t>
      </w:r>
      <w:r w:rsidR="001C2C4C">
        <w:t>.</w:t>
      </w:r>
      <w:r w:rsidR="001C2C4C">
        <w:rPr>
          <w:rStyle w:val="FootnoteReference"/>
        </w:rPr>
        <w:footnoteReference w:id="41"/>
      </w:r>
    </w:p>
    <w:p w14:paraId="4E4784C9" w14:textId="77777777" w:rsidR="00CC6C7E" w:rsidRDefault="00CC6C7E" w:rsidP="005830AE">
      <w:pPr>
        <w:spacing w:line="360" w:lineRule="auto"/>
      </w:pPr>
    </w:p>
    <w:p w14:paraId="1114A3E9" w14:textId="73568E96" w:rsidR="00DB3154" w:rsidRPr="00003AC7" w:rsidRDefault="00DB3154" w:rsidP="00DB3154">
      <w:pPr>
        <w:spacing w:line="360" w:lineRule="auto"/>
        <w:rPr>
          <w:b/>
          <w:bCs/>
        </w:rPr>
      </w:pPr>
      <w:r w:rsidRPr="00003AC7">
        <w:rPr>
          <w:b/>
          <w:bCs/>
        </w:rPr>
        <w:t>Pandemic and All-Hazards Preparedness Act of 2006</w:t>
      </w:r>
    </w:p>
    <w:p w14:paraId="23D137EE" w14:textId="21C169D0" w:rsidR="001E2957" w:rsidRDefault="000034DB" w:rsidP="001E2957">
      <w:pPr>
        <w:spacing w:line="360" w:lineRule="auto"/>
      </w:pPr>
      <w:r>
        <w:t xml:space="preserve">PAHPA </w:t>
      </w:r>
      <w:r w:rsidR="006B04BF">
        <w:t>was enac</w:t>
      </w:r>
      <w:r w:rsidR="00DB023F">
        <w:t>ted to</w:t>
      </w:r>
      <w:r w:rsidR="00F26DCC">
        <w:t xml:space="preserve"> strengthen</w:t>
      </w:r>
      <w:r w:rsidR="00F26DCC" w:rsidRPr="00F26DCC">
        <w:t xml:space="preserve"> the nation’s public health and medical preparedness and response capabilities for </w:t>
      </w:r>
      <w:r w:rsidR="001C1B3B">
        <w:t xml:space="preserve">all types of emergencies – </w:t>
      </w:r>
      <w:r w:rsidR="00EE0C4E">
        <w:t>intentional</w:t>
      </w:r>
      <w:r w:rsidR="00F26DCC" w:rsidRPr="00F26DCC">
        <w:t>, accidental, or natural</w:t>
      </w:r>
      <w:r w:rsidR="00696BA3">
        <w:t>.</w:t>
      </w:r>
      <w:r w:rsidR="00696BA3">
        <w:rPr>
          <w:rStyle w:val="FootnoteReference"/>
        </w:rPr>
        <w:footnoteReference w:id="42"/>
      </w:r>
      <w:r w:rsidR="0052024F">
        <w:t xml:space="preserve"> </w:t>
      </w:r>
      <w:r w:rsidR="006017D6">
        <w:t xml:space="preserve">PAHPA designated the </w:t>
      </w:r>
      <w:r w:rsidR="00DB3154">
        <w:t>Secretary of HHS as the lead federal official for public health emergency</w:t>
      </w:r>
      <w:r w:rsidR="006017D6">
        <w:t xml:space="preserve"> </w:t>
      </w:r>
      <w:r w:rsidR="00DB3154">
        <w:t>preparedness and response, and establishe</w:t>
      </w:r>
      <w:r w:rsidR="006017D6">
        <w:t>d</w:t>
      </w:r>
      <w:r w:rsidR="00DB3154">
        <w:t xml:space="preserve"> the </w:t>
      </w:r>
      <w:r w:rsidR="002B3646">
        <w:t xml:space="preserve">position of </w:t>
      </w:r>
      <w:r w:rsidR="00DB3154">
        <w:t>Assistant Secretary for Preparedness and</w:t>
      </w:r>
      <w:r w:rsidR="006017D6">
        <w:t xml:space="preserve"> </w:t>
      </w:r>
      <w:r w:rsidR="00DB3154">
        <w:t>Response</w:t>
      </w:r>
      <w:r w:rsidR="00F222CD">
        <w:rPr>
          <w:rStyle w:val="FootnoteReference"/>
        </w:rPr>
        <w:footnoteReference w:id="43"/>
      </w:r>
      <w:r w:rsidR="00DB3154">
        <w:t xml:space="preserve"> </w:t>
      </w:r>
      <w:r w:rsidR="00935FF3">
        <w:t>within HHS.</w:t>
      </w:r>
      <w:r w:rsidR="003850D0">
        <w:rPr>
          <w:rStyle w:val="FootnoteReference"/>
        </w:rPr>
        <w:footnoteReference w:id="44"/>
      </w:r>
      <w:r w:rsidR="00935FF3">
        <w:t xml:space="preserve"> </w:t>
      </w:r>
      <w:r w:rsidR="001E2B74">
        <w:t xml:space="preserve">As noted above, </w:t>
      </w:r>
      <w:r w:rsidR="004173E7">
        <w:t xml:space="preserve">PAHPA </w:t>
      </w:r>
      <w:r w:rsidR="00BE4A64">
        <w:t>authorized the creation of BARDA</w:t>
      </w:r>
      <w:r w:rsidR="00CF6CEF">
        <w:t xml:space="preserve">; it also broadened the scope of </w:t>
      </w:r>
      <w:r w:rsidR="00A20535">
        <w:t>BARDA’s remit</w:t>
      </w:r>
      <w:r w:rsidR="00F95B57">
        <w:t xml:space="preserve"> to include threats from pandemics and emerging infectious diseases.</w:t>
      </w:r>
      <w:r w:rsidR="00291F5B">
        <w:rPr>
          <w:rStyle w:val="FootnoteReference"/>
        </w:rPr>
        <w:footnoteReference w:id="45"/>
      </w:r>
      <w:r w:rsidR="00F95B57">
        <w:t xml:space="preserve"> </w:t>
      </w:r>
      <w:r w:rsidR="001E2957" w:rsidRPr="00B00E6E">
        <w:t xml:space="preserve">BARDA supports the </w:t>
      </w:r>
      <w:r w:rsidR="002D0EA2">
        <w:t xml:space="preserve">process of </w:t>
      </w:r>
      <w:r w:rsidR="00DD48BA">
        <w:t xml:space="preserve">developing MCMs </w:t>
      </w:r>
      <w:r w:rsidR="001E2957" w:rsidRPr="00B00E6E">
        <w:t>from research</w:t>
      </w:r>
      <w:r w:rsidR="00641656">
        <w:t>,</w:t>
      </w:r>
      <w:r w:rsidR="001E2957" w:rsidRPr="00B00E6E">
        <w:t xml:space="preserve"> through advanced development</w:t>
      </w:r>
      <w:r w:rsidR="00641656">
        <w:t>,</w:t>
      </w:r>
      <w:r w:rsidR="001E2957" w:rsidRPr="00B00E6E">
        <w:t xml:space="preserve"> to consideration for </w:t>
      </w:r>
      <w:r w:rsidR="009922CF">
        <w:t xml:space="preserve">FDA </w:t>
      </w:r>
      <w:r w:rsidR="001E2957" w:rsidRPr="00B00E6E">
        <w:t>approval</w:t>
      </w:r>
      <w:r w:rsidR="00641656">
        <w:t>,</w:t>
      </w:r>
      <w:r w:rsidR="001E2957" w:rsidRPr="00B00E6E">
        <w:t xml:space="preserve"> and inclusion into the Strategic National Stockpile.</w:t>
      </w:r>
      <w:r w:rsidR="00641656">
        <w:rPr>
          <w:rStyle w:val="FootnoteReference"/>
        </w:rPr>
        <w:footnoteReference w:id="46"/>
      </w:r>
    </w:p>
    <w:p w14:paraId="3215607E" w14:textId="1EF37FEE" w:rsidR="004C3BB6" w:rsidRDefault="004C3BB6" w:rsidP="00C04194">
      <w:pPr>
        <w:spacing w:line="360" w:lineRule="auto"/>
      </w:pPr>
    </w:p>
    <w:p w14:paraId="055284C4" w14:textId="77777777" w:rsidR="00B913D8" w:rsidRPr="00B913D8" w:rsidRDefault="00B913D8" w:rsidP="00B913D8">
      <w:pPr>
        <w:spacing w:line="360" w:lineRule="auto"/>
        <w:rPr>
          <w:b/>
          <w:bCs/>
        </w:rPr>
      </w:pPr>
      <w:r w:rsidRPr="00B913D8">
        <w:rPr>
          <w:b/>
          <w:bCs/>
        </w:rPr>
        <w:t>Pandemic and All-Hazards Preparedness Reauthorization Act of 2013 (PAHPRA)</w:t>
      </w:r>
    </w:p>
    <w:p w14:paraId="643D0736" w14:textId="1445587B" w:rsidR="00456E39" w:rsidRDefault="00595E0E" w:rsidP="007E75BB">
      <w:pPr>
        <w:spacing w:line="360" w:lineRule="auto"/>
      </w:pPr>
      <w:r>
        <w:t>PAHPRA</w:t>
      </w:r>
      <w:r>
        <w:rPr>
          <w:rStyle w:val="FootnoteReference"/>
        </w:rPr>
        <w:footnoteReference w:id="47"/>
      </w:r>
      <w:r>
        <w:t xml:space="preserve"> reauthorized funding for provisions of </w:t>
      </w:r>
      <w:r w:rsidR="000C735B">
        <w:t xml:space="preserve">PAHPA and </w:t>
      </w:r>
      <w:r>
        <w:t>amended several provisions of the Public Health Service Act and the Food</w:t>
      </w:r>
      <w:r w:rsidR="00FA6331">
        <w:t xml:space="preserve"> </w:t>
      </w:r>
      <w:r>
        <w:t>Drug and Cosmetic Act.</w:t>
      </w:r>
      <w:r w:rsidR="00F825FC">
        <w:t xml:space="preserve"> The law reauthorized the Special Reserve Fund for MCM procureme</w:t>
      </w:r>
      <w:r w:rsidR="007E75BB">
        <w:t>n</w:t>
      </w:r>
      <w:r w:rsidR="00F825FC">
        <w:t>t and establishes new authorities and response flexibilities.</w:t>
      </w:r>
      <w:r w:rsidR="007E75BB">
        <w:t xml:space="preserve"> </w:t>
      </w:r>
      <w:r w:rsidR="007E75BB" w:rsidRPr="00905DBC">
        <w:t>PAHPRA clarified</w:t>
      </w:r>
      <w:r w:rsidR="007E75BB">
        <w:t xml:space="preserve"> and added to FDA’s existing authority under Section 564 of the Federal Food, Drug, and Cosmetic (FD&amp;C) </w:t>
      </w:r>
      <w:r w:rsidR="007E75BB">
        <w:lastRenderedPageBreak/>
        <w:t>Act</w:t>
      </w:r>
      <w:r w:rsidR="008909D9">
        <w:rPr>
          <w:rStyle w:val="FootnoteReference"/>
        </w:rPr>
        <w:footnoteReference w:id="48"/>
      </w:r>
      <w:r w:rsidR="007E75BB">
        <w:t xml:space="preserve"> to support preparedness efforts and rapid response capabilities for a range of stakeholders, such as federal partners like the Department of Defense and the Centers for Disease Control and Prevention, as well as state and local public health agencies, in the event of a CBRN or emerging infectious disease emergency.</w:t>
      </w:r>
      <w:r w:rsidR="005C3C3B">
        <w:rPr>
          <w:rStyle w:val="FootnoteReference"/>
        </w:rPr>
        <w:footnoteReference w:id="49"/>
      </w:r>
      <w:r w:rsidR="007E75BB">
        <w:t xml:space="preserve"> PAHPRA amendments to section 564 </w:t>
      </w:r>
      <w:r w:rsidR="00F0167E">
        <w:t>addressed</w:t>
      </w:r>
      <w:r w:rsidR="00DC4E5B">
        <w:t xml:space="preserve"> r</w:t>
      </w:r>
      <w:r w:rsidR="007E75BB">
        <w:t>efin</w:t>
      </w:r>
      <w:r w:rsidR="00DC4E5B">
        <w:t xml:space="preserve">ing </w:t>
      </w:r>
      <w:r w:rsidR="007E75BB">
        <w:t>existing Emergency Use Authorization (EUA) requirements</w:t>
      </w:r>
      <w:r w:rsidR="00DC4E5B">
        <w:t xml:space="preserve">; </w:t>
      </w:r>
      <w:r w:rsidR="00F0167E">
        <w:t>g</w:t>
      </w:r>
      <w:r w:rsidR="007E75BB">
        <w:t>overnmental pre-positioning</w:t>
      </w:r>
      <w:r w:rsidR="00F0167E">
        <w:t xml:space="preserve"> of MCMs; a</w:t>
      </w:r>
      <w:r w:rsidR="007E75BB">
        <w:t>uthorities for emergency use of medical products</w:t>
      </w:r>
      <w:r w:rsidR="00F0167E">
        <w:t>; e</w:t>
      </w:r>
      <w:r w:rsidR="007E75BB">
        <w:t>xpiration dating extensions</w:t>
      </w:r>
      <w:r w:rsidR="00875BE6">
        <w:t>; and p</w:t>
      </w:r>
      <w:r w:rsidR="007E75BB">
        <w:t>rovisions focusing on FDA’s interactions with government and industry working to develop MCMs</w:t>
      </w:r>
      <w:r w:rsidR="00875BE6">
        <w:t>.</w:t>
      </w:r>
      <w:r w:rsidR="00875BE6">
        <w:rPr>
          <w:rStyle w:val="FootnoteReference"/>
        </w:rPr>
        <w:footnoteReference w:id="50"/>
      </w:r>
    </w:p>
    <w:p w14:paraId="0D3E5082" w14:textId="17DA8B9C" w:rsidR="00456E39" w:rsidRDefault="00456E39" w:rsidP="00595E0E">
      <w:pPr>
        <w:spacing w:line="360" w:lineRule="auto"/>
      </w:pPr>
    </w:p>
    <w:p w14:paraId="63DD5E35" w14:textId="64A881CE" w:rsidR="00B753B4" w:rsidRPr="00B753B4" w:rsidRDefault="00B753B4" w:rsidP="00B753B4">
      <w:pPr>
        <w:spacing w:line="360" w:lineRule="auto"/>
        <w:rPr>
          <w:b/>
          <w:bCs/>
        </w:rPr>
      </w:pPr>
      <w:r w:rsidRPr="001B460C">
        <w:rPr>
          <w:b/>
          <w:bCs/>
        </w:rPr>
        <w:t>21st Century Cures Act</w:t>
      </w:r>
      <w:r w:rsidR="00FA188E" w:rsidRPr="001B460C">
        <w:rPr>
          <w:b/>
          <w:bCs/>
        </w:rPr>
        <w:t xml:space="preserve"> (2016)</w:t>
      </w:r>
    </w:p>
    <w:p w14:paraId="1198F1BB" w14:textId="01552F45" w:rsidR="001B460C" w:rsidRDefault="001B460C" w:rsidP="001B460C">
      <w:pPr>
        <w:spacing w:line="360" w:lineRule="auto"/>
      </w:pPr>
      <w:r>
        <w:t>The 21st Century Cures (Cures) Act</w:t>
      </w:r>
      <w:r>
        <w:rPr>
          <w:rStyle w:val="FootnoteReference"/>
        </w:rPr>
        <w:footnoteReference w:id="51"/>
      </w:r>
      <w:r>
        <w:t xml:space="preserve"> is designed to accelerate the development of medical products and bring innovations to patients who need them faster and more efficiently.</w:t>
      </w:r>
      <w:r>
        <w:rPr>
          <w:rStyle w:val="FootnoteReference"/>
        </w:rPr>
        <w:footnoteReference w:id="52"/>
      </w:r>
      <w:r w:rsidR="0092431A">
        <w:t xml:space="preserve"> The law advances FDA’s prior work incorporating patients’ perspectives into the process of developing medical products, as well as enhancing the agency’s ability to update clinical trial designs.</w:t>
      </w:r>
      <w:r w:rsidR="0092431A">
        <w:rPr>
          <w:rStyle w:val="FootnoteReference"/>
        </w:rPr>
        <w:footnoteReference w:id="53"/>
      </w:r>
      <w:r w:rsidR="0092431A">
        <w:t xml:space="preserve"> </w:t>
      </w:r>
      <w:r>
        <w:t xml:space="preserve">Many provisions of the </w:t>
      </w:r>
      <w:r w:rsidR="0092431A">
        <w:t>Cures Act intended to advance the d</w:t>
      </w:r>
      <w:r>
        <w:t xml:space="preserve">evelopment of medical products </w:t>
      </w:r>
      <w:r w:rsidR="0092431A">
        <w:t>also</w:t>
      </w:r>
      <w:r>
        <w:t xml:space="preserve"> facilitate</w:t>
      </w:r>
      <w:r w:rsidR="0092431A">
        <w:t xml:space="preserve">d the </w:t>
      </w:r>
      <w:r>
        <w:t xml:space="preserve">development of </w:t>
      </w:r>
      <w:r w:rsidR="0092431A">
        <w:t>MCMs</w:t>
      </w:r>
      <w:r w:rsidR="0092431A">
        <w:rPr>
          <w:rStyle w:val="FootnoteReference"/>
        </w:rPr>
        <w:footnoteReference w:id="54"/>
      </w:r>
      <w:r w:rsidR="00DF0FBB">
        <w:t>, including: encouraging novel clinical trial designs; considering potential use of real-world evidence; promoting medical device innovations; h</w:t>
      </w:r>
      <w:r w:rsidR="00DF0FBB" w:rsidRPr="00DF0FBB">
        <w:t>armoniz</w:t>
      </w:r>
      <w:r w:rsidR="00DF0FBB">
        <w:t xml:space="preserve">ing </w:t>
      </w:r>
      <w:r w:rsidR="00DF0FBB" w:rsidRPr="00DF0FBB">
        <w:t>FDA human subjects protections with the Federal Policy for the Protection of Human Subjects (“Common Rule”)</w:t>
      </w:r>
      <w:r w:rsidR="00DF0FBB">
        <w:t xml:space="preserve">, and Establish a Limited Populations Antibacterial and Antifungal Drug program. The Cures Act also contained </w:t>
      </w:r>
      <w:r>
        <w:t>provisions</w:t>
      </w:r>
      <w:r w:rsidR="002368A6">
        <w:t xml:space="preserve"> specific to MCMs, including streamlining BARDA’s procurement processes and allowing it to enter into agreements with independent, nonprofit entities to support MCM development; and to waive some</w:t>
      </w:r>
      <w:r>
        <w:t xml:space="preserve"> requirements of the Paperwork Reduction Act during a public health emergency</w:t>
      </w:r>
      <w:r w:rsidR="002368A6">
        <w:t>.</w:t>
      </w:r>
      <w:r w:rsidR="002368A6">
        <w:rPr>
          <w:rStyle w:val="FootnoteReference"/>
        </w:rPr>
        <w:footnoteReference w:id="55"/>
      </w:r>
      <w:r w:rsidR="002368A6">
        <w:t xml:space="preserve"> Finally, as will be discussed later, the Cures Act amended FDA’s EUA authority regarding use of animal drugs, making other emergency use provisions applicable to animal drugs, and allowing u</w:t>
      </w:r>
      <w:r>
        <w:t>napproved animal drugs to be held for emergency use.</w:t>
      </w:r>
      <w:r w:rsidR="002368A6">
        <w:rPr>
          <w:rStyle w:val="FootnoteReference"/>
        </w:rPr>
        <w:footnoteReference w:id="56"/>
      </w:r>
    </w:p>
    <w:p w14:paraId="5DC594A8" w14:textId="77777777" w:rsidR="00D96D43" w:rsidRDefault="00D96D43" w:rsidP="00C04194">
      <w:pPr>
        <w:spacing w:line="360" w:lineRule="auto"/>
      </w:pPr>
    </w:p>
    <w:p w14:paraId="315353A1" w14:textId="77777777" w:rsidR="00364979" w:rsidRPr="00364979" w:rsidRDefault="00364979" w:rsidP="002368A6">
      <w:pPr>
        <w:keepNext/>
        <w:spacing w:line="360" w:lineRule="auto"/>
        <w:rPr>
          <w:b/>
          <w:bCs/>
        </w:rPr>
      </w:pPr>
      <w:r w:rsidRPr="00905DBC">
        <w:rPr>
          <w:b/>
          <w:bCs/>
        </w:rPr>
        <w:t>Pande</w:t>
      </w:r>
      <w:r w:rsidRPr="00364979">
        <w:rPr>
          <w:b/>
          <w:bCs/>
        </w:rPr>
        <w:t>mic and All-Hazards Preparedness and Advancing Innovation Act of 2019 (PAHPAIA)</w:t>
      </w:r>
    </w:p>
    <w:p w14:paraId="64BC0EF8" w14:textId="31DCCAC5" w:rsidR="00364979" w:rsidRDefault="00364979" w:rsidP="00364979">
      <w:pPr>
        <w:spacing w:line="360" w:lineRule="auto"/>
      </w:pPr>
      <w:r>
        <w:t>PAHPAIA</w:t>
      </w:r>
      <w:r>
        <w:rPr>
          <w:rStyle w:val="FootnoteReference"/>
        </w:rPr>
        <w:footnoteReference w:id="57"/>
      </w:r>
      <w:r>
        <w:t xml:space="preserve"> reauthorizes and </w:t>
      </w:r>
      <w:r w:rsidR="00D25610">
        <w:t>enhances</w:t>
      </w:r>
      <w:r>
        <w:t xml:space="preserve"> HHS </w:t>
      </w:r>
      <w:r w:rsidR="00D25610">
        <w:t>authorities t</w:t>
      </w:r>
      <w:r>
        <w:t xml:space="preserve">o respond to disasters and threats from </w:t>
      </w:r>
      <w:r w:rsidR="00D25610">
        <w:t xml:space="preserve">CBRN threats and </w:t>
      </w:r>
      <w:r>
        <w:t>emerging infectious diseases</w:t>
      </w:r>
      <w:r w:rsidR="00D25610">
        <w:t xml:space="preserve">. </w:t>
      </w:r>
      <w:r>
        <w:t xml:space="preserve">PAHPAIA encourages the development of new MCMs and the stockpiling of critical medical products and supplies. </w:t>
      </w:r>
      <w:r w:rsidR="009F7BC2">
        <w:t xml:space="preserve">PAHPAIA </w:t>
      </w:r>
      <w:r w:rsidR="00953A7B">
        <w:t xml:space="preserve">also </w:t>
      </w:r>
      <w:r w:rsidR="009F7BC2">
        <w:t>codif</w:t>
      </w:r>
      <w:r w:rsidR="00953A7B">
        <w:t>ied several MCM-</w:t>
      </w:r>
      <w:r w:rsidR="009F7BC2">
        <w:t xml:space="preserve">related </w:t>
      </w:r>
      <w:r w:rsidR="00953A7B">
        <w:t>provisions, including</w:t>
      </w:r>
      <w:r w:rsidR="00B31798">
        <w:t>, but not limited to</w:t>
      </w:r>
      <w:r w:rsidR="009F7BC2">
        <w:t>: maintaining an adequate</w:t>
      </w:r>
      <w:r w:rsidR="00953A7B">
        <w:t xml:space="preserve"> and </w:t>
      </w:r>
      <w:r w:rsidR="009F7BC2">
        <w:t xml:space="preserve">safe national blood supply, </w:t>
      </w:r>
      <w:r w:rsidR="00B31798">
        <w:t>clarifying the scope of existing authorities related to Emergency Use Instructions, products held for emergency use, and drug development tools, and strategizing a public health response to address cybersecurity threats that present a risk to national health security.</w:t>
      </w:r>
      <w:r w:rsidR="00B31798">
        <w:rPr>
          <w:rStyle w:val="FootnoteReference"/>
        </w:rPr>
        <w:footnoteReference w:id="58"/>
      </w:r>
      <w:r w:rsidR="00B31798">
        <w:t xml:space="preserve"> </w:t>
      </w:r>
      <w:r>
        <w:t>PAHPAIA also authorize</w:t>
      </w:r>
      <w:r w:rsidR="00B31798">
        <w:t>d</w:t>
      </w:r>
      <w:r>
        <w:t xml:space="preserve"> a range of regional health care emergency preparedness and response systems, as well as hospital and other health care facility programs.</w:t>
      </w:r>
      <w:r w:rsidR="00CE1179">
        <w:t xml:space="preserve"> (See </w:t>
      </w:r>
      <w:r w:rsidR="00851B1A" w:rsidRPr="00851B1A">
        <w:t>Pandemic and All-Hazards Preparedness and Advancing Innovation Act of 2019</w:t>
      </w:r>
      <w:r w:rsidR="00851B1A">
        <w:t xml:space="preserve"> Issue Brief </w:t>
      </w:r>
      <w:r w:rsidR="00C425FA">
        <w:t>in this series.)</w:t>
      </w:r>
    </w:p>
    <w:p w14:paraId="5DC76897" w14:textId="77777777" w:rsidR="00F02278" w:rsidRDefault="00F02278" w:rsidP="00364979">
      <w:pPr>
        <w:spacing w:line="360" w:lineRule="auto"/>
      </w:pPr>
    </w:p>
    <w:p w14:paraId="4D1AC7F9" w14:textId="178E4386" w:rsidR="0087468B" w:rsidRPr="00BB0284" w:rsidRDefault="00F079B3" w:rsidP="00950285">
      <w:pPr>
        <w:spacing w:line="360" w:lineRule="auto"/>
        <w:rPr>
          <w:b/>
          <w:bCs/>
          <w:sz w:val="24"/>
          <w:szCs w:val="24"/>
        </w:rPr>
      </w:pPr>
      <w:r>
        <w:rPr>
          <w:b/>
          <w:bCs/>
          <w:sz w:val="24"/>
          <w:szCs w:val="24"/>
        </w:rPr>
        <w:t>I</w:t>
      </w:r>
      <w:r w:rsidR="00691752">
        <w:rPr>
          <w:b/>
          <w:bCs/>
          <w:sz w:val="24"/>
          <w:szCs w:val="24"/>
        </w:rPr>
        <w:t xml:space="preserve">V. </w:t>
      </w:r>
      <w:r w:rsidR="00D6269A" w:rsidRPr="00BB0284">
        <w:rPr>
          <w:b/>
          <w:bCs/>
          <w:sz w:val="24"/>
          <w:szCs w:val="24"/>
        </w:rPr>
        <w:t xml:space="preserve">Federal </w:t>
      </w:r>
      <w:r w:rsidR="002216C6">
        <w:rPr>
          <w:b/>
          <w:bCs/>
          <w:sz w:val="24"/>
          <w:szCs w:val="24"/>
        </w:rPr>
        <w:t>Authorities for</w:t>
      </w:r>
      <w:r w:rsidR="005A1845">
        <w:rPr>
          <w:b/>
          <w:bCs/>
          <w:sz w:val="24"/>
          <w:szCs w:val="24"/>
        </w:rPr>
        <w:t xml:space="preserve"> Acc</w:t>
      </w:r>
      <w:r w:rsidR="000C3BC4">
        <w:rPr>
          <w:b/>
          <w:bCs/>
          <w:sz w:val="24"/>
          <w:szCs w:val="24"/>
        </w:rPr>
        <w:t xml:space="preserve">elerating </w:t>
      </w:r>
      <w:r w:rsidR="002216C6">
        <w:rPr>
          <w:b/>
          <w:bCs/>
          <w:sz w:val="24"/>
          <w:szCs w:val="24"/>
        </w:rPr>
        <w:t>Access</w:t>
      </w:r>
      <w:r w:rsidR="000C3BC4">
        <w:rPr>
          <w:b/>
          <w:bCs/>
          <w:sz w:val="24"/>
          <w:szCs w:val="24"/>
        </w:rPr>
        <w:t xml:space="preserve"> to </w:t>
      </w:r>
      <w:r w:rsidR="002216C6">
        <w:rPr>
          <w:b/>
          <w:bCs/>
          <w:sz w:val="24"/>
          <w:szCs w:val="24"/>
        </w:rPr>
        <w:t>MCMs</w:t>
      </w:r>
    </w:p>
    <w:p w14:paraId="36DAB225" w14:textId="4CC3240C" w:rsidR="0087468B" w:rsidRDefault="00B439A2" w:rsidP="00950285">
      <w:pPr>
        <w:spacing w:line="360" w:lineRule="auto"/>
      </w:pPr>
      <w:r>
        <w:lastRenderedPageBreak/>
        <w:t xml:space="preserve">Through </w:t>
      </w:r>
      <w:r w:rsidR="009558CB">
        <w:t xml:space="preserve">the development of legal authority over time, FDA </w:t>
      </w:r>
      <w:r w:rsidR="0051279D">
        <w:t>ha</w:t>
      </w:r>
      <w:r w:rsidR="00B53921">
        <w:t xml:space="preserve">s several channels through which it can speed the delivery of MCMs to prepare for and response to a public health emergency. </w:t>
      </w:r>
      <w:r w:rsidR="00B267D6">
        <w:t>Determining</w:t>
      </w:r>
      <w:r w:rsidR="009A770A">
        <w:t xml:space="preserve"> which method to use will depend</w:t>
      </w:r>
      <w:r w:rsidR="00B267D6">
        <w:t xml:space="preserve"> </w:t>
      </w:r>
      <w:r w:rsidR="009A770A">
        <w:t>on the circumstances of a</w:t>
      </w:r>
      <w:r w:rsidR="001218C6">
        <w:t xml:space="preserve">n </w:t>
      </w:r>
      <w:r w:rsidR="00B267D6">
        <w:t>e</w:t>
      </w:r>
      <w:r w:rsidR="004D3FD4">
        <w:t xml:space="preserve">mergency </w:t>
      </w:r>
      <w:r w:rsidR="001218C6">
        <w:t xml:space="preserve">event and whether </w:t>
      </w:r>
      <w:r w:rsidR="003B0D91">
        <w:t>these circumstances meet the statutory criteria required f</w:t>
      </w:r>
      <w:r w:rsidR="009B5A0A">
        <w:t>or using a particular method.</w:t>
      </w:r>
      <w:r w:rsidR="00AD6790">
        <w:t xml:space="preserve"> </w:t>
      </w:r>
      <w:r w:rsidR="00AD6790" w:rsidRPr="00AD6790">
        <w:t xml:space="preserve">In January 2017, FDA </w:t>
      </w:r>
      <w:r w:rsidR="00AD6790">
        <w:t xml:space="preserve">issued </w:t>
      </w:r>
      <w:r w:rsidR="00AD6790" w:rsidRPr="00AD6790">
        <w:t>final</w:t>
      </w:r>
      <w:r w:rsidR="00F37036">
        <w:t xml:space="preserve"> </w:t>
      </w:r>
      <w:r w:rsidR="00AD6790" w:rsidRPr="00AD6790">
        <w:t>guidance</w:t>
      </w:r>
      <w:r w:rsidR="00F37036">
        <w:t xml:space="preserve">, </w:t>
      </w:r>
      <w:r w:rsidR="00AD6790" w:rsidRPr="00020E45">
        <w:rPr>
          <w:i/>
          <w:iCs/>
        </w:rPr>
        <w:t>Emergency Use Authorization of Medical Products and Related Authorities</w:t>
      </w:r>
      <w:r w:rsidR="00F37036">
        <w:t xml:space="preserve">, </w:t>
      </w:r>
      <w:r w:rsidR="00910190">
        <w:t xml:space="preserve">for using the authorities </w:t>
      </w:r>
      <w:r w:rsidR="00020E45">
        <w:t xml:space="preserve">discussed </w:t>
      </w:r>
      <w:r w:rsidR="003D45F5">
        <w:t>below</w:t>
      </w:r>
      <w:r w:rsidR="00020E45">
        <w:t>.</w:t>
      </w:r>
      <w:r w:rsidR="00020E45">
        <w:rPr>
          <w:rStyle w:val="FootnoteReference"/>
        </w:rPr>
        <w:footnoteReference w:id="59"/>
      </w:r>
    </w:p>
    <w:p w14:paraId="1E93D684" w14:textId="289943C5" w:rsidR="009B5A0A" w:rsidRDefault="009B5A0A" w:rsidP="00950285">
      <w:pPr>
        <w:spacing w:line="360" w:lineRule="auto"/>
      </w:pPr>
    </w:p>
    <w:p w14:paraId="1AC9B0CA" w14:textId="308F9EB3" w:rsidR="009B5A0A" w:rsidRPr="002A664B" w:rsidRDefault="002A664B" w:rsidP="00950285">
      <w:pPr>
        <w:spacing w:line="360" w:lineRule="auto"/>
        <w:rPr>
          <w:b/>
          <w:bCs/>
        </w:rPr>
      </w:pPr>
      <w:r w:rsidRPr="002A664B">
        <w:rPr>
          <w:b/>
          <w:bCs/>
        </w:rPr>
        <w:t>Emergency Use of Approved MCMs</w:t>
      </w:r>
    </w:p>
    <w:p w14:paraId="14F935AF" w14:textId="26A82124" w:rsidR="004C6FD8" w:rsidRDefault="00A948CE" w:rsidP="000B4CFB">
      <w:pPr>
        <w:spacing w:after="120" w:line="360" w:lineRule="auto"/>
      </w:pPr>
      <w:r>
        <w:t xml:space="preserve">As </w:t>
      </w:r>
      <w:r w:rsidR="003D45F5">
        <w:t>noted</w:t>
      </w:r>
      <w:r>
        <w:t xml:space="preserve"> above, PAHPRA</w:t>
      </w:r>
      <w:r w:rsidR="0097176C">
        <w:t xml:space="preserve"> further </w:t>
      </w:r>
      <w:r w:rsidR="0037459D">
        <w:t xml:space="preserve">enhanced </w:t>
      </w:r>
      <w:r w:rsidR="0097176C">
        <w:t xml:space="preserve">FDA’s </w:t>
      </w:r>
      <w:r w:rsidR="0037459D">
        <w:t xml:space="preserve">ability to </w:t>
      </w:r>
      <w:r w:rsidR="0097176C">
        <w:t>foster the development and availability of</w:t>
      </w:r>
      <w:r w:rsidR="00790061">
        <w:t xml:space="preserve"> MCMs.</w:t>
      </w:r>
      <w:r w:rsidR="0037459D">
        <w:t xml:space="preserve"> </w:t>
      </w:r>
      <w:r>
        <w:t>In addition to clarifying FDA’s existing E</w:t>
      </w:r>
      <w:r w:rsidR="0037459D">
        <w:t xml:space="preserve">UA </w:t>
      </w:r>
      <w:r>
        <w:t>authority under section 564 of FD&amp;C Act, PAHPRA added new authorities for the emergency use of approved MCMs.</w:t>
      </w:r>
      <w:r w:rsidR="009F5539">
        <w:rPr>
          <w:rStyle w:val="FootnoteReference"/>
        </w:rPr>
        <w:footnoteReference w:id="60"/>
      </w:r>
      <w:r w:rsidR="00D72D2F">
        <w:t xml:space="preserve"> Specifically, PAHPRA created </w:t>
      </w:r>
      <w:r w:rsidR="0011603B">
        <w:t>simplified</w:t>
      </w:r>
      <w:r w:rsidR="00D72D2F">
        <w:t xml:space="preserve"> </w:t>
      </w:r>
      <w:r w:rsidR="0011603B">
        <w:t>processes</w:t>
      </w:r>
      <w:r w:rsidR="00D72D2F">
        <w:t xml:space="preserve"> to </w:t>
      </w:r>
      <w:r w:rsidR="0011603B">
        <w:t>enable</w:t>
      </w:r>
      <w:r w:rsidR="00D72D2F">
        <w:t xml:space="preserve"> certain MCM preparedness and response activities without FDA having to issue an EUA</w:t>
      </w:r>
      <w:r w:rsidR="0011603B">
        <w:t>.</w:t>
      </w:r>
      <w:r w:rsidR="00BD2635">
        <w:rPr>
          <w:rStyle w:val="FootnoteReference"/>
        </w:rPr>
        <w:footnoteReference w:id="61"/>
      </w:r>
      <w:r w:rsidR="005B1C73">
        <w:t xml:space="preserve"> </w:t>
      </w:r>
      <w:r w:rsidR="004C6FD8">
        <w:t xml:space="preserve">These new </w:t>
      </w:r>
      <w:r w:rsidR="00240836">
        <w:t>procedures</w:t>
      </w:r>
      <w:r w:rsidR="004C6FD8">
        <w:t xml:space="preserve"> are applicable only to eligible FDA-approved medical products intended for use during a CBRN emergency, includ</w:t>
      </w:r>
      <w:r w:rsidR="00491010">
        <w:t>ing</w:t>
      </w:r>
      <w:r w:rsidR="004C6FD8">
        <w:t>:</w:t>
      </w:r>
    </w:p>
    <w:p w14:paraId="3F8E0A7D" w14:textId="7E4BC981" w:rsidR="004C6FD8" w:rsidRPr="00BB5BF5" w:rsidRDefault="009F6EF3" w:rsidP="000B4CFB">
      <w:pPr>
        <w:pStyle w:val="ListParagraph"/>
        <w:numPr>
          <w:ilvl w:val="0"/>
          <w:numId w:val="3"/>
        </w:numPr>
        <w:spacing w:after="120" w:line="360" w:lineRule="auto"/>
        <w:contextualSpacing w:val="0"/>
        <w:rPr>
          <w:b/>
          <w:bCs/>
        </w:rPr>
      </w:pPr>
      <w:r w:rsidRPr="00BB5BF5">
        <w:rPr>
          <w:b/>
          <w:bCs/>
        </w:rPr>
        <w:t xml:space="preserve">Expiration </w:t>
      </w:r>
      <w:r w:rsidR="002B3133" w:rsidRPr="00BB5BF5">
        <w:rPr>
          <w:b/>
          <w:bCs/>
        </w:rPr>
        <w:t xml:space="preserve">Dating Extension – </w:t>
      </w:r>
      <w:r w:rsidR="00A33B65">
        <w:t xml:space="preserve">FDA is </w:t>
      </w:r>
      <w:r w:rsidR="00EA5765">
        <w:t>authorized to e</w:t>
      </w:r>
      <w:r w:rsidR="004C6FD8">
        <w:t>xtend the expiration dating</w:t>
      </w:r>
      <w:r w:rsidR="007D4734">
        <w:t xml:space="preserve"> (</w:t>
      </w:r>
      <w:r w:rsidR="00A54AFD">
        <w:t>i.e., s</w:t>
      </w:r>
      <w:r w:rsidR="004C6FD8">
        <w:t>helf-life</w:t>
      </w:r>
      <w:r w:rsidR="00A54AFD">
        <w:t>)</w:t>
      </w:r>
      <w:r w:rsidR="004C6FD8">
        <w:t xml:space="preserve"> of an eligible FDA-approved MCM stockpiled for use in a CBRN emergency</w:t>
      </w:r>
      <w:r w:rsidR="005C37BF">
        <w:t xml:space="preserve">. FDA is also empowered to set </w:t>
      </w:r>
      <w:r w:rsidR="004C6FD8">
        <w:t xml:space="preserve">appropriate conditions relating to </w:t>
      </w:r>
      <w:r w:rsidR="005C37BF">
        <w:t>these</w:t>
      </w:r>
      <w:r w:rsidR="004C6FD8">
        <w:t xml:space="preserve"> extensions, such as appropriate storage, sampling, and labeling</w:t>
      </w:r>
      <w:r w:rsidR="006E07E4">
        <w:t>.</w:t>
      </w:r>
      <w:r w:rsidR="006E07E4">
        <w:rPr>
          <w:rStyle w:val="FootnoteReference"/>
        </w:rPr>
        <w:footnoteReference w:id="62"/>
      </w:r>
      <w:r w:rsidR="004C6FD8">
        <w:t xml:space="preserve"> </w:t>
      </w:r>
    </w:p>
    <w:p w14:paraId="47352EA2" w14:textId="39FCDDBF" w:rsidR="004C6FD8" w:rsidRDefault="008155C1" w:rsidP="000B4CFB">
      <w:pPr>
        <w:pStyle w:val="ListParagraph"/>
        <w:numPr>
          <w:ilvl w:val="0"/>
          <w:numId w:val="3"/>
        </w:numPr>
        <w:spacing w:after="120" w:line="360" w:lineRule="auto"/>
        <w:contextualSpacing w:val="0"/>
      </w:pPr>
      <w:r w:rsidRPr="005A3905">
        <w:rPr>
          <w:b/>
          <w:bCs/>
        </w:rPr>
        <w:t>Emergency Use Instructions</w:t>
      </w:r>
      <w:r w:rsidR="00CE7EBB" w:rsidRPr="005A3905">
        <w:rPr>
          <w:b/>
          <w:bCs/>
        </w:rPr>
        <w:t xml:space="preserve"> –</w:t>
      </w:r>
      <w:r w:rsidR="00F37DE7" w:rsidRPr="005A3905">
        <w:rPr>
          <w:b/>
          <w:bCs/>
        </w:rPr>
        <w:t xml:space="preserve"> </w:t>
      </w:r>
      <w:r w:rsidR="00C42E8C">
        <w:t xml:space="preserve">FDA and CDC entered into a Memorandum of Understanding to facilitate creation of </w:t>
      </w:r>
      <w:r w:rsidR="00B93A8B">
        <w:t>special emergency use instructions (EUI) about the FDA-approved conditions of use for such MCMs before a CBRN event occurs</w:t>
      </w:r>
      <w:r w:rsidR="00A8786B">
        <w:t>.</w:t>
      </w:r>
      <w:r w:rsidR="00F26BEC">
        <w:rPr>
          <w:rStyle w:val="FootnoteReference"/>
        </w:rPr>
        <w:footnoteReference w:id="63"/>
      </w:r>
      <w:r w:rsidR="00A8786B">
        <w:t xml:space="preserve"> </w:t>
      </w:r>
      <w:r w:rsidR="005A3905">
        <w:t xml:space="preserve">The agreement allows CDC to </w:t>
      </w:r>
      <w:r w:rsidR="004C6FD8">
        <w:t xml:space="preserve">create and issue, </w:t>
      </w:r>
      <w:r w:rsidR="004C6FD8">
        <w:lastRenderedPageBreak/>
        <w:t xml:space="preserve">and government stakeholders to disseminate, </w:t>
      </w:r>
      <w:r w:rsidR="005A3905">
        <w:t>the EUI (</w:t>
      </w:r>
      <w:r w:rsidR="004C6FD8">
        <w:t xml:space="preserve">also </w:t>
      </w:r>
      <w:r w:rsidR="005A3905">
        <w:t>known</w:t>
      </w:r>
      <w:r w:rsidR="00624F24">
        <w:t xml:space="preserve"> </w:t>
      </w:r>
      <w:r w:rsidR="004C6FD8">
        <w:t>as fact sheets for recipients of an MCM and for health care professionals)</w:t>
      </w:r>
      <w:r w:rsidR="00371663">
        <w:t>.</w:t>
      </w:r>
      <w:r w:rsidR="00371663">
        <w:rPr>
          <w:rStyle w:val="FootnoteReference"/>
        </w:rPr>
        <w:footnoteReference w:id="64"/>
      </w:r>
      <w:r w:rsidR="004C6FD8">
        <w:t xml:space="preserve"> </w:t>
      </w:r>
    </w:p>
    <w:p w14:paraId="762ECA77" w14:textId="4C45FFFE" w:rsidR="001D6C42" w:rsidRDefault="001D6C42" w:rsidP="000B4CFB">
      <w:pPr>
        <w:pStyle w:val="ListParagraph"/>
        <w:numPr>
          <w:ilvl w:val="0"/>
          <w:numId w:val="3"/>
        </w:numPr>
        <w:spacing w:after="120" w:line="360" w:lineRule="auto"/>
        <w:contextualSpacing w:val="0"/>
      </w:pPr>
      <w:r>
        <w:rPr>
          <w:b/>
          <w:bCs/>
        </w:rPr>
        <w:t>Waiving cGMPs</w:t>
      </w:r>
      <w:r w:rsidRPr="005A3905">
        <w:rPr>
          <w:b/>
          <w:bCs/>
        </w:rPr>
        <w:t xml:space="preserve"> –</w:t>
      </w:r>
      <w:r>
        <w:rPr>
          <w:b/>
          <w:bCs/>
        </w:rPr>
        <w:t xml:space="preserve"> </w:t>
      </w:r>
      <w:r w:rsidR="00890263" w:rsidRPr="00890263">
        <w:t>PHARA authorized FDA to</w:t>
      </w:r>
      <w:r w:rsidR="00042952">
        <w:t xml:space="preserve"> </w:t>
      </w:r>
      <w:r w:rsidR="00042952" w:rsidRPr="00042952">
        <w:t>waive otherwise applicable manufacturing requirements (</w:t>
      </w:r>
      <w:r w:rsidR="00E01C6B">
        <w:t xml:space="preserve">i.e., </w:t>
      </w:r>
      <w:r w:rsidR="00042952" w:rsidRPr="00042952">
        <w:t>current Good Manufacturing Practices (cGMPs)), such as storage or handling, to accommodate emergency response needs</w:t>
      </w:r>
      <w:r w:rsidR="00C732FD">
        <w:rPr>
          <w:rStyle w:val="FootnoteReference"/>
        </w:rPr>
        <w:footnoteReference w:id="65"/>
      </w:r>
      <w:r w:rsidR="00042952" w:rsidRPr="00042952">
        <w:t xml:space="preserve"> </w:t>
      </w:r>
    </w:p>
    <w:p w14:paraId="701D34B4" w14:textId="77777777" w:rsidR="003E0731" w:rsidRDefault="00A0558B" w:rsidP="000B4CFB">
      <w:pPr>
        <w:pStyle w:val="ListParagraph"/>
        <w:numPr>
          <w:ilvl w:val="0"/>
          <w:numId w:val="3"/>
        </w:numPr>
        <w:spacing w:after="120" w:line="360" w:lineRule="auto"/>
        <w:contextualSpacing w:val="0"/>
      </w:pPr>
      <w:r w:rsidRPr="009572CE">
        <w:rPr>
          <w:b/>
          <w:bCs/>
        </w:rPr>
        <w:t>Emergency Dispensing</w:t>
      </w:r>
      <w:r w:rsidR="00183DB7" w:rsidRPr="009572CE">
        <w:rPr>
          <w:b/>
          <w:bCs/>
        </w:rPr>
        <w:t xml:space="preserve"> – </w:t>
      </w:r>
      <w:r w:rsidR="00AB4EF2" w:rsidRPr="00AB4EF2">
        <w:t>PHARA</w:t>
      </w:r>
      <w:r w:rsidR="00D56D11">
        <w:t xml:space="preserve"> </w:t>
      </w:r>
      <w:r w:rsidR="009572CE">
        <w:t xml:space="preserve">authorized </w:t>
      </w:r>
      <w:r w:rsidR="004C6FD8">
        <w:t>emergency dispensing of MCMs during an actual CBRN emergency, without requiring an individual prescription for each recipient of the MCM, if permitted by state law or in accordance with an order issued by FDA</w:t>
      </w:r>
      <w:r w:rsidR="009572CE">
        <w:t>.</w:t>
      </w:r>
      <w:r w:rsidR="00C5436E">
        <w:rPr>
          <w:rStyle w:val="FootnoteReference"/>
        </w:rPr>
        <w:footnoteReference w:id="66"/>
      </w:r>
      <w:r w:rsidR="009572CE">
        <w:t xml:space="preserve"> </w:t>
      </w:r>
      <w:r w:rsidR="00A26B8A">
        <w:t xml:space="preserve">Emergency dispensing under this </w:t>
      </w:r>
      <w:r w:rsidR="000A1581">
        <w:t xml:space="preserve">authority </w:t>
      </w:r>
      <w:r w:rsidR="009A0C25">
        <w:t>includes mass dispensing at a point of dispensing (POD))</w:t>
      </w:r>
      <w:r w:rsidR="000A1581">
        <w:t>.</w:t>
      </w:r>
      <w:r w:rsidR="00547D4C">
        <w:rPr>
          <w:rStyle w:val="FootnoteReference"/>
        </w:rPr>
        <w:footnoteReference w:id="67"/>
      </w:r>
    </w:p>
    <w:p w14:paraId="5BD94888" w14:textId="31E3C2C1" w:rsidR="004C6FD8" w:rsidRDefault="003E0731" w:rsidP="004A29D7">
      <w:pPr>
        <w:pStyle w:val="ListParagraph"/>
        <w:numPr>
          <w:ilvl w:val="0"/>
          <w:numId w:val="3"/>
        </w:numPr>
        <w:spacing w:line="360" w:lineRule="auto"/>
      </w:pPr>
      <w:r w:rsidRPr="00F12DBE">
        <w:rPr>
          <w:b/>
          <w:bCs/>
        </w:rPr>
        <w:t xml:space="preserve">Waiver </w:t>
      </w:r>
      <w:r w:rsidR="001F709B" w:rsidRPr="00F12DBE">
        <w:rPr>
          <w:b/>
          <w:bCs/>
        </w:rPr>
        <w:t>of REMS</w:t>
      </w:r>
      <w:r w:rsidR="00AC33E8" w:rsidRPr="00F12DBE">
        <w:rPr>
          <w:b/>
          <w:bCs/>
        </w:rPr>
        <w:t xml:space="preserve"> – </w:t>
      </w:r>
      <w:r w:rsidR="00F12DBE">
        <w:t xml:space="preserve">The current </w:t>
      </w:r>
      <w:r w:rsidR="004C6FD8">
        <w:t xml:space="preserve">waiver authority for risk evaluation and mitigation strategies (REMS) </w:t>
      </w:r>
      <w:r w:rsidR="00F12DBE">
        <w:t xml:space="preserve">was expanded </w:t>
      </w:r>
      <w:r w:rsidR="0003510C">
        <w:t xml:space="preserve">under PHARA </w:t>
      </w:r>
      <w:r w:rsidR="004C6FD8">
        <w:t>to encompass any element for MCMs to mitigate the health effects of a CBRN emergency</w:t>
      </w:r>
      <w:r w:rsidR="0003510C">
        <w:t>.</w:t>
      </w:r>
      <w:r w:rsidR="00936484">
        <w:rPr>
          <w:rStyle w:val="FootnoteReference"/>
        </w:rPr>
        <w:footnoteReference w:id="68"/>
      </w:r>
      <w:r w:rsidR="00936484">
        <w:t xml:space="preserve"> </w:t>
      </w:r>
    </w:p>
    <w:p w14:paraId="46CE3E17" w14:textId="7130DA6F" w:rsidR="00236859" w:rsidRDefault="00236859" w:rsidP="00950285">
      <w:pPr>
        <w:spacing w:line="360" w:lineRule="auto"/>
      </w:pPr>
    </w:p>
    <w:p w14:paraId="5B236F34" w14:textId="1A7C51E6" w:rsidR="001B27EE" w:rsidRPr="007A46D9" w:rsidRDefault="008A1AFE" w:rsidP="00691752">
      <w:pPr>
        <w:keepNext/>
        <w:spacing w:line="360" w:lineRule="auto"/>
        <w:rPr>
          <w:b/>
          <w:bCs/>
        </w:rPr>
      </w:pPr>
      <w:r w:rsidRPr="007A46D9">
        <w:rPr>
          <w:b/>
          <w:bCs/>
        </w:rPr>
        <w:t>Emergency Use Authorization</w:t>
      </w:r>
    </w:p>
    <w:p w14:paraId="62928C38" w14:textId="43109214" w:rsidR="00B23CC1" w:rsidRDefault="00BC1770" w:rsidP="0096518E">
      <w:pPr>
        <w:spacing w:after="120" w:line="360" w:lineRule="auto"/>
      </w:pPr>
      <w:r w:rsidRPr="00BC1770">
        <w:t xml:space="preserve">Emergency Use Authorization (EUA) authority </w:t>
      </w:r>
      <w:r w:rsidR="000E528E">
        <w:t xml:space="preserve">is another mechanism that </w:t>
      </w:r>
      <w:r w:rsidRPr="00BC1770">
        <w:t>allows FDA to facilitat</w:t>
      </w:r>
      <w:r w:rsidR="007B629B">
        <w:t>e</w:t>
      </w:r>
      <w:r w:rsidRPr="00BC1770">
        <w:t xml:space="preserve"> the availability and use of MCMs needed during public health emergencies.</w:t>
      </w:r>
      <w:r w:rsidR="00F30D0C">
        <w:t xml:space="preserve"> </w:t>
      </w:r>
      <w:r w:rsidR="00E01DB8">
        <w:t>S</w:t>
      </w:r>
      <w:r w:rsidR="00D8544F">
        <w:t>ection 564 of the Federal Food, Drug, and Cosmetic Act</w:t>
      </w:r>
      <w:r w:rsidR="00F30D0C">
        <w:rPr>
          <w:rStyle w:val="FootnoteReference"/>
        </w:rPr>
        <w:footnoteReference w:id="69"/>
      </w:r>
      <w:r w:rsidR="00E01DB8">
        <w:t xml:space="preserve"> authorizes the FDA Commissioner</w:t>
      </w:r>
      <w:r w:rsidR="00D40EA2">
        <w:t xml:space="preserve"> </w:t>
      </w:r>
      <w:r w:rsidR="00DA2A93">
        <w:t xml:space="preserve">to </w:t>
      </w:r>
      <w:r w:rsidR="00EF7EFE" w:rsidRPr="00EF7EFE">
        <w:t xml:space="preserve">allow </w:t>
      </w:r>
      <w:r w:rsidR="00DA2A93">
        <w:t xml:space="preserve">the use of </w:t>
      </w:r>
      <w:r w:rsidR="00EF7EFE" w:rsidRPr="00EF7EFE">
        <w:t xml:space="preserve">unapproved medical </w:t>
      </w:r>
      <w:r w:rsidR="00EF7EFE" w:rsidRPr="00EF7EFE">
        <w:lastRenderedPageBreak/>
        <w:t>products</w:t>
      </w:r>
      <w:r w:rsidR="004131E2">
        <w:t xml:space="preserve"> – </w:t>
      </w:r>
      <w:r w:rsidR="00EF7EFE" w:rsidRPr="00EF7EFE">
        <w:t>or unapproved uses of approved medical products</w:t>
      </w:r>
      <w:r w:rsidR="004131E2">
        <w:t xml:space="preserve"> – </w:t>
      </w:r>
      <w:r w:rsidR="00EF7EFE" w:rsidRPr="00EF7EFE">
        <w:t>to be used in an emergency to diagnose, t</w:t>
      </w:r>
      <w:r w:rsidR="007E22D5">
        <w:t>r</w:t>
      </w:r>
      <w:r w:rsidR="00EF7EFE" w:rsidRPr="00EF7EFE">
        <w:t>eat, or prevent serious or life-threatening diseases or conditions caused by CBRN threat agents when there are no adequate, approved, and available alternatives.</w:t>
      </w:r>
      <w:r w:rsidR="0009512D">
        <w:rPr>
          <w:rStyle w:val="FootnoteReference"/>
        </w:rPr>
        <w:footnoteReference w:id="70"/>
      </w:r>
      <w:r w:rsidR="001F16E4">
        <w:t xml:space="preserve"> </w:t>
      </w:r>
      <w:r w:rsidR="00AE5E31">
        <w:t xml:space="preserve">Before </w:t>
      </w:r>
      <w:r w:rsidR="00E474C8">
        <w:t xml:space="preserve">the Commissioner can </w:t>
      </w:r>
      <w:r w:rsidR="00E13CC4">
        <w:t xml:space="preserve">issue an EUA, </w:t>
      </w:r>
      <w:r w:rsidR="004E3C9C">
        <w:t xml:space="preserve">several </w:t>
      </w:r>
      <w:r w:rsidR="00E96045">
        <w:t xml:space="preserve">steps must occur. First, a </w:t>
      </w:r>
      <w:r w:rsidR="004E3C9C">
        <w:t xml:space="preserve">determination must be </w:t>
      </w:r>
      <w:r w:rsidR="00E96045">
        <w:t xml:space="preserve">made by </w:t>
      </w:r>
      <w:r w:rsidR="00DD787F">
        <w:t>a designated</w:t>
      </w:r>
      <w:r w:rsidR="00F765EA">
        <w:t xml:space="preserve"> </w:t>
      </w:r>
      <w:r w:rsidR="00B159A7">
        <w:t xml:space="preserve">federal </w:t>
      </w:r>
      <w:r w:rsidR="00B23CC1">
        <w:t>official</w:t>
      </w:r>
      <w:r w:rsidR="00034B69">
        <w:t xml:space="preserve"> identified in section </w:t>
      </w:r>
      <w:r w:rsidR="00B23CC1">
        <w:t>564</w:t>
      </w:r>
      <w:r w:rsidR="00327247">
        <w:rPr>
          <w:rStyle w:val="FootnoteReference"/>
        </w:rPr>
        <w:footnoteReference w:id="71"/>
      </w:r>
      <w:r w:rsidR="00B23CC1">
        <w:t xml:space="preserve">: </w:t>
      </w:r>
    </w:p>
    <w:p w14:paraId="1FE4ABDD" w14:textId="3C11832D" w:rsidR="00464645" w:rsidRDefault="00D8544F" w:rsidP="003C792D">
      <w:pPr>
        <w:pStyle w:val="ListParagraph"/>
        <w:numPr>
          <w:ilvl w:val="0"/>
          <w:numId w:val="2"/>
        </w:numPr>
        <w:spacing w:after="120" w:line="360" w:lineRule="auto"/>
        <w:contextualSpacing w:val="0"/>
      </w:pPr>
      <w:r>
        <w:t>The Secretary of HHS has determined that there is a public health emergency or a significant potential for a public health emergency that affects or may affect national security or the health of U</w:t>
      </w:r>
      <w:r w:rsidR="00A01A86">
        <w:t>.</w:t>
      </w:r>
      <w:r>
        <w:t>S</w:t>
      </w:r>
      <w:r w:rsidR="00A01A86">
        <w:t>.</w:t>
      </w:r>
      <w:r>
        <w:t xml:space="preserve"> citizens abroad that involves a CBRN agent</w:t>
      </w:r>
      <w:r w:rsidR="002454F5">
        <w:t>(s)</w:t>
      </w:r>
      <w:r w:rsidR="006A5C6F">
        <w:t>; or</w:t>
      </w:r>
    </w:p>
    <w:p w14:paraId="5A18B770" w14:textId="4F310001" w:rsidR="00FE2E84" w:rsidRDefault="00D8544F" w:rsidP="003C792D">
      <w:pPr>
        <w:pStyle w:val="ListParagraph"/>
        <w:numPr>
          <w:ilvl w:val="0"/>
          <w:numId w:val="2"/>
        </w:numPr>
        <w:spacing w:after="120" w:line="360" w:lineRule="auto"/>
        <w:contextualSpacing w:val="0"/>
      </w:pPr>
      <w:r>
        <w:t>The Secretary of Homeland Security has determined that there is an actual or significant potential for a domestic emergency involving a heightened risk of attack with a CBRN agent</w:t>
      </w:r>
      <w:r w:rsidR="002454F5">
        <w:t>(s)</w:t>
      </w:r>
      <w:r w:rsidR="00F765EA">
        <w:t>; or</w:t>
      </w:r>
    </w:p>
    <w:p w14:paraId="164F0B5B" w14:textId="40DA0D93" w:rsidR="00FE2E84" w:rsidRDefault="00D8544F" w:rsidP="003C792D">
      <w:pPr>
        <w:pStyle w:val="ListParagraph"/>
        <w:numPr>
          <w:ilvl w:val="0"/>
          <w:numId w:val="2"/>
        </w:numPr>
        <w:spacing w:after="120" w:line="360" w:lineRule="auto"/>
        <w:contextualSpacing w:val="0"/>
      </w:pPr>
      <w:r>
        <w:t>The Secretary of Defense has determined that there is an actual or significant potential for heightened risk to the military involving a heightened risk of attack with a CBRN agent</w:t>
      </w:r>
      <w:r w:rsidR="003A454E">
        <w:t>(s)</w:t>
      </w:r>
      <w:r w:rsidR="00F765EA">
        <w:t xml:space="preserve">; </w:t>
      </w:r>
      <w:r>
        <w:t xml:space="preserve">or </w:t>
      </w:r>
    </w:p>
    <w:p w14:paraId="1602AECA" w14:textId="2CFD960A" w:rsidR="001C2A51" w:rsidRDefault="00D8544F" w:rsidP="006B0FFB">
      <w:pPr>
        <w:pStyle w:val="ListParagraph"/>
        <w:numPr>
          <w:ilvl w:val="0"/>
          <w:numId w:val="2"/>
        </w:numPr>
        <w:spacing w:line="360" w:lineRule="auto"/>
      </w:pPr>
      <w:r>
        <w:t>The Secretary of Homeland Security has identified a material threat pursuant to section 319F-2 of the Public Health Service Act sufficient to affect national security or the health and security of U</w:t>
      </w:r>
      <w:r w:rsidR="00F14B38">
        <w:t>.</w:t>
      </w:r>
      <w:r>
        <w:t>S</w:t>
      </w:r>
      <w:r w:rsidR="00F14B38">
        <w:t>.</w:t>
      </w:r>
      <w:r>
        <w:t xml:space="preserve"> citizens abroad that involves a CBRN agent</w:t>
      </w:r>
      <w:r w:rsidR="003A454E">
        <w:t>(</w:t>
      </w:r>
      <w:r w:rsidR="00762BBE">
        <w:t>s)</w:t>
      </w:r>
      <w:r w:rsidR="001C2A51">
        <w:t>.</w:t>
      </w:r>
    </w:p>
    <w:p w14:paraId="2919B493" w14:textId="77777777" w:rsidR="001C2A51" w:rsidRDefault="001C2A51" w:rsidP="00F30D0C">
      <w:pPr>
        <w:spacing w:line="360" w:lineRule="auto"/>
      </w:pPr>
    </w:p>
    <w:p w14:paraId="226BC154" w14:textId="19B52671" w:rsidR="004177A9" w:rsidRDefault="001F30EC" w:rsidP="00F30D0C">
      <w:pPr>
        <w:spacing w:line="360" w:lineRule="auto"/>
      </w:pPr>
      <w:r>
        <w:t>Based on one of the above determinations, t</w:t>
      </w:r>
      <w:r w:rsidR="00D8544F">
        <w:t xml:space="preserve">he </w:t>
      </w:r>
      <w:r w:rsidR="006172D0">
        <w:t xml:space="preserve">HHS </w:t>
      </w:r>
      <w:r w:rsidR="00D8544F">
        <w:t>Secretary may</w:t>
      </w:r>
      <w:r>
        <w:t xml:space="preserve"> </w:t>
      </w:r>
      <w:r w:rsidR="002F4B42">
        <w:t xml:space="preserve">issues a declaration </w:t>
      </w:r>
      <w:r w:rsidR="00D8544F">
        <w:t>that circumstances exist to justify an EUA for an unapproved drug, device, or biological product, or for an unapproved use of an approved drug, device, or biological product.</w:t>
      </w:r>
      <w:r w:rsidR="00943FF3">
        <w:rPr>
          <w:rStyle w:val="FootnoteReference"/>
        </w:rPr>
        <w:footnoteReference w:id="72"/>
      </w:r>
      <w:r w:rsidR="00D8544F">
        <w:t xml:space="preserve"> Once an emergency is declared, the </w:t>
      </w:r>
      <w:r w:rsidR="00B67BC4">
        <w:t xml:space="preserve">FDA </w:t>
      </w:r>
      <w:r w:rsidR="00D8544F">
        <w:t>Commissioner</w:t>
      </w:r>
      <w:r w:rsidR="000B6C29">
        <w:t xml:space="preserve"> – </w:t>
      </w:r>
      <w:r w:rsidR="000B6C29" w:rsidRPr="000B6C29">
        <w:t>in consultation with HHS ASPR, CDC</w:t>
      </w:r>
      <w:r w:rsidR="001472DA">
        <w:t>,</w:t>
      </w:r>
      <w:r w:rsidR="000B6C29" w:rsidRPr="000B6C29">
        <w:t xml:space="preserve"> and the National Institutes of Health (NIH)</w:t>
      </w:r>
      <w:r w:rsidR="00797E89">
        <w:t xml:space="preserve"> – </w:t>
      </w:r>
      <w:r w:rsidR="000B6C29" w:rsidRPr="000B6C29">
        <w:t>can issue the EUA if criteria for issuance under the statute are met</w:t>
      </w:r>
      <w:r w:rsidR="00797E89">
        <w:rPr>
          <w:rStyle w:val="FootnoteReference"/>
        </w:rPr>
        <w:footnoteReference w:id="73"/>
      </w:r>
      <w:r w:rsidR="000B6C29" w:rsidRPr="000B6C29">
        <w:t>.</w:t>
      </w:r>
      <w:r w:rsidR="00D8544F">
        <w:t xml:space="preserve"> </w:t>
      </w:r>
      <w:r w:rsidR="00E20C52" w:rsidRPr="00F27D94">
        <w:t xml:space="preserve">FDA publishes public notice of </w:t>
      </w:r>
      <w:r w:rsidR="00E20C52" w:rsidRPr="00F27D94">
        <w:lastRenderedPageBreak/>
        <w:t>each EUA issued in the Federal Register.</w:t>
      </w:r>
      <w:r w:rsidR="00E20C52">
        <w:rPr>
          <w:rStyle w:val="FootnoteReference"/>
        </w:rPr>
        <w:footnoteReference w:id="74"/>
      </w:r>
      <w:r w:rsidR="00E20C52">
        <w:t xml:space="preserve"> The EUA expires when the declaration of emergency terminates or when authorization is revoked. The FDA Commissioner may also impose conditions on the use of the drug or device.</w:t>
      </w:r>
    </w:p>
    <w:p w14:paraId="47447076" w14:textId="77777777" w:rsidR="004177A9" w:rsidRDefault="004177A9" w:rsidP="00F30D0C">
      <w:pPr>
        <w:spacing w:line="360" w:lineRule="auto"/>
      </w:pPr>
    </w:p>
    <w:p w14:paraId="5A75EB82" w14:textId="793AC72A" w:rsidR="00A04B4A" w:rsidRDefault="006E7069" w:rsidP="00F30D0C">
      <w:pPr>
        <w:spacing w:line="360" w:lineRule="auto"/>
      </w:pPr>
      <w:r>
        <w:t xml:space="preserve">It is important to note that </w:t>
      </w:r>
      <w:r w:rsidR="000E5066">
        <w:t>a</w:t>
      </w:r>
      <w:r w:rsidRPr="006E7069">
        <w:t xml:space="preserve"> determination</w:t>
      </w:r>
      <w:r w:rsidR="000E5066">
        <w:t xml:space="preserve"> by the HHS Secretary </w:t>
      </w:r>
      <w:r w:rsidRPr="006E7069">
        <w:t>under section 319 of the Public Health Service Act that a public health emergency exists</w:t>
      </w:r>
      <w:r w:rsidR="000E5066">
        <w:t xml:space="preserve"> </w:t>
      </w:r>
      <w:r w:rsidRPr="006E7069">
        <w:t xml:space="preserve">does not enable FDA to issue </w:t>
      </w:r>
      <w:r w:rsidR="00543DF8">
        <w:t>an EUA.</w:t>
      </w:r>
      <w:r w:rsidR="009535EC">
        <w:rPr>
          <w:rStyle w:val="FootnoteReference"/>
        </w:rPr>
        <w:footnoteReference w:id="75"/>
      </w:r>
      <w:r w:rsidR="00543DF8">
        <w:t xml:space="preserve"> </w:t>
      </w:r>
      <w:r w:rsidR="00347423">
        <w:t>S</w:t>
      </w:r>
      <w:r w:rsidR="00347423" w:rsidRPr="006E7069">
        <w:t xml:space="preserve">ection 564 </w:t>
      </w:r>
      <w:r w:rsidR="00347423">
        <w:t>requires that a s</w:t>
      </w:r>
      <w:r w:rsidRPr="006E7069">
        <w:t>eparate determination and declaration</w:t>
      </w:r>
      <w:r w:rsidR="00C66FF9">
        <w:t xml:space="preserve"> be made to </w:t>
      </w:r>
      <w:r w:rsidR="003A4D3F" w:rsidRPr="006E7069">
        <w:t>empower</w:t>
      </w:r>
      <w:r w:rsidRPr="006E7069">
        <w:t xml:space="preserve"> FDA to issue </w:t>
      </w:r>
      <w:r w:rsidR="00196DD1">
        <w:t>an EUA</w:t>
      </w:r>
      <w:r w:rsidR="00EB386D">
        <w:rPr>
          <w:rStyle w:val="FootnoteReference"/>
        </w:rPr>
        <w:footnoteReference w:id="76"/>
      </w:r>
      <w:r w:rsidRPr="006E7069">
        <w:t>.</w:t>
      </w:r>
      <w:r w:rsidR="00DC75F3">
        <w:t xml:space="preserve"> </w:t>
      </w:r>
      <w:r w:rsidR="00E20C52">
        <w:t>Additionally, t</w:t>
      </w:r>
      <w:r w:rsidR="00E20C52" w:rsidRPr="00E20C52">
        <w:t>he EUA authority is separate and distinct from use of a medical product under an investigational application (i.e., Investigational New Drug Application (IND) or Investigational Device Exemption (IDE)), section 561 expanded access authorities, and section 564A emergency use authorities</w:t>
      </w:r>
      <w:r w:rsidR="00E20C52">
        <w:t>.</w:t>
      </w:r>
      <w:r w:rsidR="00745D03">
        <w:rPr>
          <w:rStyle w:val="FootnoteReference"/>
        </w:rPr>
        <w:footnoteReference w:id="77"/>
      </w:r>
      <w:r w:rsidR="00D8544F">
        <w:t xml:space="preserve"> </w:t>
      </w:r>
    </w:p>
    <w:p w14:paraId="2ECD6798" w14:textId="77777777" w:rsidR="00FA0F79" w:rsidRDefault="00FA0F79" w:rsidP="00950285">
      <w:pPr>
        <w:spacing w:line="360" w:lineRule="auto"/>
      </w:pPr>
    </w:p>
    <w:sectPr w:rsidR="00FA0F7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F9A1E" w14:textId="77777777" w:rsidR="00691752" w:rsidRDefault="00691752" w:rsidP="00081366">
      <w:r>
        <w:separator/>
      </w:r>
    </w:p>
  </w:endnote>
  <w:endnote w:type="continuationSeparator" w:id="0">
    <w:p w14:paraId="77BD5E7F" w14:textId="77777777" w:rsidR="00691752" w:rsidRDefault="00691752" w:rsidP="0008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149751"/>
      <w:docPartObj>
        <w:docPartGallery w:val="Page Numbers (Bottom of Page)"/>
        <w:docPartUnique/>
      </w:docPartObj>
    </w:sdtPr>
    <w:sdtEndPr>
      <w:rPr>
        <w:noProof/>
      </w:rPr>
    </w:sdtEndPr>
    <w:sdtContent>
      <w:p w14:paraId="15C6EF7F" w14:textId="38560464" w:rsidR="00691752" w:rsidRDefault="00691752" w:rsidP="00E060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407A80" w14:textId="77777777" w:rsidR="00691752" w:rsidRDefault="00691752" w:rsidP="00081366">
      <w:r>
        <w:separator/>
      </w:r>
    </w:p>
  </w:footnote>
  <w:footnote w:type="continuationSeparator" w:id="0">
    <w:p w14:paraId="14E3B5B0" w14:textId="77777777" w:rsidR="00691752" w:rsidRDefault="00691752" w:rsidP="00081366">
      <w:r>
        <w:continuationSeparator/>
      </w:r>
    </w:p>
  </w:footnote>
  <w:footnote w:id="1">
    <w:p w14:paraId="3EAE3D3D" w14:textId="601BB2C7" w:rsidR="00691752" w:rsidRPr="00C76E25" w:rsidRDefault="00691752" w:rsidP="00C76E25">
      <w:pPr>
        <w:tabs>
          <w:tab w:val="left" w:pos="686"/>
        </w:tabs>
        <w:rPr>
          <w:b/>
          <w:bCs/>
          <w:sz w:val="20"/>
          <w:szCs w:val="20"/>
        </w:rPr>
      </w:pPr>
      <w:r w:rsidRPr="006B646B">
        <w:rPr>
          <w:b/>
          <w:bCs/>
          <w:sz w:val="20"/>
          <w:szCs w:val="20"/>
          <w:highlight w:val="yellow"/>
        </w:rPr>
        <w:t xml:space="preserve">Footnotes will be streamlined and edited to </w:t>
      </w:r>
      <w:r>
        <w:rPr>
          <w:b/>
          <w:bCs/>
          <w:sz w:val="20"/>
          <w:szCs w:val="20"/>
          <w:highlight w:val="yellow"/>
        </w:rPr>
        <w:t xml:space="preserve">a </w:t>
      </w:r>
      <w:r w:rsidRPr="006B646B">
        <w:rPr>
          <w:b/>
          <w:bCs/>
          <w:sz w:val="20"/>
          <w:szCs w:val="20"/>
          <w:highlight w:val="yellow"/>
        </w:rPr>
        <w:t>style guide once text is finalized</w:t>
      </w:r>
    </w:p>
    <w:p w14:paraId="33C8531B" w14:textId="1FF2F1A7" w:rsidR="00691752" w:rsidRDefault="00691752" w:rsidP="005634A9">
      <w:pPr>
        <w:pStyle w:val="FootnoteText"/>
      </w:pPr>
      <w:r>
        <w:rPr>
          <w:rStyle w:val="FootnoteReference"/>
        </w:rPr>
        <w:footnoteRef/>
      </w:r>
      <w:r>
        <w:t xml:space="preserve"> FDA. </w:t>
      </w:r>
      <w:r w:rsidRPr="008568C9">
        <w:t>What are Medical Countermeasures?</w:t>
      </w:r>
      <w:r>
        <w:t xml:space="preserve"> </w:t>
      </w:r>
      <w:r w:rsidRPr="007C7112">
        <w:t xml:space="preserve">Webpage </w:t>
      </w:r>
      <w:r>
        <w:t xml:space="preserve">current as of February 12, 2020. Retrieved from </w:t>
      </w:r>
      <w:hyperlink r:id="rId1" w:history="1">
        <w:r>
          <w:rPr>
            <w:rStyle w:val="Hyperlink"/>
          </w:rPr>
          <w:t>https://www.fda.gov/emergency-preparedness-and-response/about-mcmi/what-are-medical-countermeasures</w:t>
        </w:r>
      </w:hyperlink>
      <w:r>
        <w:t xml:space="preserve">. See also </w:t>
      </w:r>
      <w:r w:rsidRPr="008E2B6B">
        <w:t>Project BioShield Act of 2004</w:t>
      </w:r>
      <w:r>
        <w:t xml:space="preserve"> (Pub. Law No. 108–276), codified at 42 USC 201 et seq. The act, as amended, defines “qualified countermeasures” as “…a drug (as that term is defined by section 321(g)(1) of title 21), biological product (as that term is defined by section 262(i) of this title), or device (as that term is defined by section 321(h) of title 21), that the Secretary determines to be a priority (consistent with sections 182(2) and 184(a) of title 6 )- (i) to diagnose, mitigate, prevent, or treat harm from any biological agent (including organisms that cause an infectious disease) or toxin, chemical, radiological, or nuclear agent that may cause a public health emergency affecting national security; (ii) to diagnose, mitigate, prevent, or treat harm from a condition that may result in adverse health consequences or death and may be caused by administering a drug, biological product, or device that is used as described in this subparagraph; or (iii) is a product or technology intended to enhance the use or effect of a drug, biological product, or device described in clause (i) or (ii).</w:t>
      </w:r>
      <w:r w:rsidRPr="00B90DEE">
        <w:t>42 USC 247d–6a</w:t>
      </w:r>
      <w:r>
        <w:t xml:space="preserve">. </w:t>
      </w:r>
    </w:p>
  </w:footnote>
  <w:footnote w:id="2">
    <w:p w14:paraId="4B1936D7" w14:textId="53CF93F0" w:rsidR="00691752" w:rsidRDefault="00691752">
      <w:pPr>
        <w:pStyle w:val="FootnoteText"/>
      </w:pPr>
      <w:r>
        <w:rPr>
          <w:rStyle w:val="FootnoteReference"/>
        </w:rPr>
        <w:footnoteRef/>
      </w:r>
      <w:r>
        <w:t xml:space="preserve"> FDA. </w:t>
      </w:r>
      <w:r w:rsidRPr="008568C9">
        <w:t>What are Medical Countermeasures?</w:t>
      </w:r>
      <w:r>
        <w:t xml:space="preserve"> </w:t>
      </w:r>
      <w:r w:rsidRPr="007C7112">
        <w:t xml:space="preserve">Webpage </w:t>
      </w:r>
      <w:r>
        <w:t xml:space="preserve">current as of February 12, 2020. Retrieved from </w:t>
      </w:r>
      <w:hyperlink r:id="rId2" w:history="1">
        <w:r>
          <w:rPr>
            <w:rStyle w:val="Hyperlink"/>
          </w:rPr>
          <w:t>https://www.fda.gov/emergency-preparedness-and-response/about-mcmi/what-are-medical-countermeasures</w:t>
        </w:r>
      </w:hyperlink>
      <w:r>
        <w:t xml:space="preserve">. </w:t>
      </w:r>
    </w:p>
  </w:footnote>
  <w:footnote w:id="3">
    <w:p w14:paraId="49FEC8D6" w14:textId="76A466F4" w:rsidR="00691752" w:rsidRDefault="00691752">
      <w:pPr>
        <w:pStyle w:val="FootnoteText"/>
      </w:pPr>
      <w:r>
        <w:rPr>
          <w:rStyle w:val="FootnoteReference"/>
        </w:rPr>
        <w:footnoteRef/>
      </w:r>
      <w:r>
        <w:t xml:space="preserve"> FDA. </w:t>
      </w:r>
      <w:r w:rsidRPr="008568C9">
        <w:t>What are Medical Countermeasures?</w:t>
      </w:r>
      <w:r>
        <w:t xml:space="preserve"> </w:t>
      </w:r>
      <w:r w:rsidRPr="007C7112">
        <w:t xml:space="preserve">Webpage </w:t>
      </w:r>
      <w:r>
        <w:t xml:space="preserve">current as of February 12, 2020. Retrieved from </w:t>
      </w:r>
      <w:hyperlink r:id="rId3" w:history="1">
        <w:r>
          <w:rPr>
            <w:rStyle w:val="Hyperlink"/>
          </w:rPr>
          <w:t>https://www.fda.gov/emergency-preparedness-and-response/about-mcmi/what-are-medical-countermeasures</w:t>
        </w:r>
      </w:hyperlink>
      <w:r>
        <w:t>.</w:t>
      </w:r>
    </w:p>
  </w:footnote>
  <w:footnote w:id="4">
    <w:p w14:paraId="266044D0" w14:textId="6B83C8FF" w:rsidR="00691752" w:rsidRDefault="00691752">
      <w:pPr>
        <w:pStyle w:val="FootnoteText"/>
      </w:pPr>
      <w:r>
        <w:rPr>
          <w:rStyle w:val="FootnoteReference"/>
        </w:rPr>
        <w:footnoteRef/>
      </w:r>
      <w:r>
        <w:t xml:space="preserve"> HHS ASPR. </w:t>
      </w:r>
      <w:r w:rsidRPr="00FC6AD8">
        <w:t>Public Health Emergency Medical Countermeasures Enterprise</w:t>
      </w:r>
      <w:r>
        <w:t xml:space="preserve">. Webpage last reviewed </w:t>
      </w:r>
      <w:r w:rsidRPr="0080166F">
        <w:t>January 29, 2020</w:t>
      </w:r>
      <w:r>
        <w:t xml:space="preserve">. Retrieved from </w:t>
      </w:r>
      <w:hyperlink r:id="rId4" w:history="1">
        <w:r w:rsidRPr="00CE1B0D">
          <w:rPr>
            <w:rStyle w:val="Hyperlink"/>
          </w:rPr>
          <w:t>https://www.phe.gov/Preparedness/mcm/phemce/Pages/default.aspx</w:t>
        </w:r>
      </w:hyperlink>
      <w:r>
        <w:t xml:space="preserve">. </w:t>
      </w:r>
    </w:p>
  </w:footnote>
  <w:footnote w:id="5">
    <w:p w14:paraId="64ABEBA3" w14:textId="22AA1D4C" w:rsidR="00691752" w:rsidRDefault="00691752">
      <w:pPr>
        <w:pStyle w:val="FootnoteText"/>
      </w:pPr>
      <w:r>
        <w:rPr>
          <w:rStyle w:val="FootnoteReference"/>
        </w:rPr>
        <w:footnoteRef/>
      </w:r>
      <w:r>
        <w:t xml:space="preserve"> HHS ASPR. </w:t>
      </w:r>
      <w:r w:rsidRPr="00EB0F57">
        <w:t>PHEMCE Mission Components</w:t>
      </w:r>
      <w:r>
        <w:t xml:space="preserve">. Webpage last reviewed </w:t>
      </w:r>
      <w:r w:rsidRPr="00270A6B">
        <w:t>February 27, 2015</w:t>
      </w:r>
      <w:r>
        <w:t xml:space="preserve">. Retrieved from </w:t>
      </w:r>
      <w:hyperlink r:id="rId5" w:history="1">
        <w:r w:rsidRPr="00CE1B0D">
          <w:rPr>
            <w:rStyle w:val="Hyperlink"/>
          </w:rPr>
          <w:t>https://www.phe.gov/Preparedness/mcm/phemce/Pages/mission.aspx</w:t>
        </w:r>
      </w:hyperlink>
      <w:r>
        <w:t xml:space="preserve">. </w:t>
      </w:r>
    </w:p>
  </w:footnote>
  <w:footnote w:id="6">
    <w:p w14:paraId="19DFE68A" w14:textId="10BF0F2F" w:rsidR="00691752" w:rsidRDefault="00691752">
      <w:pPr>
        <w:pStyle w:val="FootnoteText"/>
      </w:pPr>
      <w:r>
        <w:rPr>
          <w:rStyle w:val="FootnoteReference"/>
        </w:rPr>
        <w:footnoteRef/>
      </w:r>
      <w:r>
        <w:t xml:space="preserve"> HHS ASPR. </w:t>
      </w:r>
      <w:r w:rsidRPr="00D02E7B">
        <w:t>HHS Office of the Assistant Secretary for Preparedness and Response</w:t>
      </w:r>
      <w:r>
        <w:t xml:space="preserve">. Webpage last reviewed </w:t>
      </w:r>
      <w:r w:rsidRPr="00211FD7">
        <w:t>November 18, 2019</w:t>
      </w:r>
      <w:r>
        <w:t xml:space="preserve">. Retrieved from </w:t>
      </w:r>
      <w:hyperlink r:id="rId6" w:history="1">
        <w:r>
          <w:rPr>
            <w:rStyle w:val="Hyperlink"/>
          </w:rPr>
          <w:t>https://www.phe.gov/about/aspr/Pages/default.aspx</w:t>
        </w:r>
      </w:hyperlink>
      <w:r>
        <w:t>.</w:t>
      </w:r>
    </w:p>
  </w:footnote>
  <w:footnote w:id="7">
    <w:p w14:paraId="24EC0CEA" w14:textId="63629810" w:rsidR="00691752" w:rsidRDefault="00691752">
      <w:pPr>
        <w:pStyle w:val="FootnoteText"/>
      </w:pPr>
      <w:r>
        <w:rPr>
          <w:rStyle w:val="FootnoteReference"/>
        </w:rPr>
        <w:footnoteRef/>
      </w:r>
      <w:r>
        <w:t xml:space="preserve"> HHS ASPR. </w:t>
      </w:r>
      <w:r w:rsidRPr="00D02E7B">
        <w:t>HHS Office of the Assistant Secretary for Preparedness and Response</w:t>
      </w:r>
      <w:r>
        <w:t xml:space="preserve">. Webpage last reviewed </w:t>
      </w:r>
      <w:r w:rsidRPr="00211FD7">
        <w:t>November 18, 2019</w:t>
      </w:r>
      <w:r>
        <w:t xml:space="preserve">. Retrieved from </w:t>
      </w:r>
      <w:hyperlink r:id="rId7" w:history="1">
        <w:r>
          <w:rPr>
            <w:rStyle w:val="Hyperlink"/>
          </w:rPr>
          <w:t>https://www.phe.gov/about/aspr/Pages/default.aspx</w:t>
        </w:r>
      </w:hyperlink>
      <w:r>
        <w:t>.</w:t>
      </w:r>
    </w:p>
  </w:footnote>
  <w:footnote w:id="8">
    <w:p w14:paraId="413A789C" w14:textId="3674187F" w:rsidR="00691752" w:rsidRDefault="00691752">
      <w:pPr>
        <w:pStyle w:val="FootnoteText"/>
      </w:pPr>
      <w:r>
        <w:rPr>
          <w:rStyle w:val="FootnoteReference"/>
        </w:rPr>
        <w:footnoteRef/>
      </w:r>
      <w:r>
        <w:t xml:space="preserve"> HHS BARDA. </w:t>
      </w:r>
      <w:r w:rsidRPr="00357573">
        <w:t>Biomedical Advanced Research and Development Authority</w:t>
      </w:r>
      <w:r>
        <w:t xml:space="preserve">. Webpage last reviewed February 27, 2020. Retrieved from </w:t>
      </w:r>
      <w:hyperlink r:id="rId8" w:history="1">
        <w:r w:rsidRPr="00CE1B0D">
          <w:rPr>
            <w:rStyle w:val="Hyperlink"/>
          </w:rPr>
          <w:t>https://www.phe.gov/about/barda/Pages/default.aspx</w:t>
        </w:r>
      </w:hyperlink>
      <w:r>
        <w:t>.</w:t>
      </w:r>
    </w:p>
  </w:footnote>
  <w:footnote w:id="9">
    <w:p w14:paraId="6878AC2F" w14:textId="321836FD" w:rsidR="00691752" w:rsidRDefault="00691752">
      <w:pPr>
        <w:pStyle w:val="FootnoteText"/>
      </w:pPr>
      <w:r>
        <w:rPr>
          <w:rStyle w:val="FootnoteReference"/>
        </w:rPr>
        <w:footnoteRef/>
      </w:r>
      <w:r>
        <w:t xml:space="preserve"> HHS BARDA. </w:t>
      </w:r>
      <w:r w:rsidRPr="00357573">
        <w:t>Biomedical Advanced Research and Development Authority</w:t>
      </w:r>
      <w:r>
        <w:t xml:space="preserve">. Webpage last reviewed February 27, 2020. Retrieved from </w:t>
      </w:r>
      <w:hyperlink r:id="rId9" w:history="1">
        <w:r w:rsidRPr="00CE1B0D">
          <w:rPr>
            <w:rStyle w:val="Hyperlink"/>
          </w:rPr>
          <w:t>https://www.phe.gov/about/barda/Pages/default.aspx</w:t>
        </w:r>
      </w:hyperlink>
      <w:r>
        <w:t xml:space="preserve">. </w:t>
      </w:r>
    </w:p>
  </w:footnote>
  <w:footnote w:id="10">
    <w:p w14:paraId="4E45E97C" w14:textId="0F7A1ED8" w:rsidR="00691752" w:rsidRDefault="00691752">
      <w:pPr>
        <w:pStyle w:val="FootnoteText"/>
      </w:pPr>
      <w:r>
        <w:rPr>
          <w:rStyle w:val="FootnoteReference"/>
        </w:rPr>
        <w:footnoteRef/>
      </w:r>
      <w:r>
        <w:t xml:space="preserve"> </w:t>
      </w:r>
      <w:r w:rsidRPr="004E500D">
        <w:t>RADM Stephen C. Redd, MD</w:t>
      </w:r>
      <w:r>
        <w:t xml:space="preserve">. </w:t>
      </w:r>
      <w:r w:rsidRPr="004E500D">
        <w:t>Testimony</w:t>
      </w:r>
      <w:r>
        <w:t xml:space="preserve"> before the U.S. </w:t>
      </w:r>
      <w:r w:rsidRPr="004E500D">
        <w:t>House Energy and Commerce Subcommittee on Health</w:t>
      </w:r>
      <w:r>
        <w:t xml:space="preserve">. </w:t>
      </w:r>
      <w:r w:rsidRPr="004E500D">
        <w:t>Examining the Reauthorization of the Pandemic and All-Hazards Preparedness Act</w:t>
      </w:r>
      <w:r>
        <w:t xml:space="preserve">. </w:t>
      </w:r>
      <w:r w:rsidRPr="004E500D">
        <w:t>June 8, 2018</w:t>
      </w:r>
      <w:r>
        <w:t xml:space="preserve">. Retrieved from </w:t>
      </w:r>
      <w:hyperlink r:id="rId10" w:history="1">
        <w:r w:rsidRPr="00CE1B0D">
          <w:rPr>
            <w:rStyle w:val="Hyperlink"/>
          </w:rPr>
          <w:t>https://www.cdc.gov/washington/testimony/2018/t20180606.htm</w:t>
        </w:r>
      </w:hyperlink>
      <w:r>
        <w:t xml:space="preserve">. </w:t>
      </w:r>
      <w:r w:rsidRPr="00BD59DA">
        <w:rPr>
          <w:i/>
          <w:iCs/>
        </w:rPr>
        <w:t>See also</w:t>
      </w:r>
      <w:r>
        <w:t xml:space="preserve"> CDC. </w:t>
      </w:r>
      <w:r w:rsidRPr="00BD59DA">
        <w:t>Medical Countermeasure Readiness</w:t>
      </w:r>
      <w:r>
        <w:t xml:space="preserve">. Webpage last reviewed </w:t>
      </w:r>
      <w:r w:rsidRPr="00BD59DA">
        <w:t>February 21, 2020</w:t>
      </w:r>
      <w:r>
        <w:t xml:space="preserve">. Retrieved from </w:t>
      </w:r>
      <w:hyperlink r:id="rId11" w:history="1">
        <w:r>
          <w:rPr>
            <w:rStyle w:val="Hyperlink"/>
          </w:rPr>
          <w:t>https://www.cdc.gov/cpr/readiness/mcm.html</w:t>
        </w:r>
      </w:hyperlink>
      <w:r>
        <w:t>.</w:t>
      </w:r>
    </w:p>
  </w:footnote>
  <w:footnote w:id="11">
    <w:p w14:paraId="72678DC3" w14:textId="3A7D8AC1" w:rsidR="00691752" w:rsidRDefault="00691752">
      <w:pPr>
        <w:pStyle w:val="FootnoteText"/>
      </w:pPr>
      <w:r>
        <w:rPr>
          <w:rStyle w:val="FootnoteReference"/>
        </w:rPr>
        <w:footnoteRef/>
      </w:r>
      <w:r>
        <w:t xml:space="preserve"> </w:t>
      </w:r>
      <w:r w:rsidRPr="004E500D">
        <w:t>RADM Stephen C. Redd, MD</w:t>
      </w:r>
      <w:r>
        <w:t xml:space="preserve">. </w:t>
      </w:r>
      <w:r w:rsidRPr="004E500D">
        <w:t>Testimony</w:t>
      </w:r>
      <w:r>
        <w:t xml:space="preserve"> before the U.S. </w:t>
      </w:r>
      <w:r w:rsidRPr="004E500D">
        <w:t>House Energy and Commerce Subcommittee on Health</w:t>
      </w:r>
      <w:r>
        <w:t xml:space="preserve">. </w:t>
      </w:r>
      <w:r w:rsidRPr="004E500D">
        <w:t>Examining the Reauthorization of the Pandemic and All-Hazards Preparedness Act</w:t>
      </w:r>
      <w:r>
        <w:t xml:space="preserve">. </w:t>
      </w:r>
      <w:r w:rsidRPr="004E500D">
        <w:t>June 8, 2018</w:t>
      </w:r>
      <w:r>
        <w:t xml:space="preserve">. Retrieved from </w:t>
      </w:r>
      <w:hyperlink r:id="rId12" w:history="1">
        <w:r w:rsidRPr="00CE1B0D">
          <w:rPr>
            <w:rStyle w:val="Hyperlink"/>
          </w:rPr>
          <w:t>https://www.cdc.gov/washington/testimony/2018/t20180606.htm</w:t>
        </w:r>
      </w:hyperlink>
      <w:r>
        <w:t>.</w:t>
      </w:r>
    </w:p>
  </w:footnote>
  <w:footnote w:id="12">
    <w:p w14:paraId="3F34801F" w14:textId="7C3AA889" w:rsidR="00691752" w:rsidRDefault="00691752">
      <w:pPr>
        <w:pStyle w:val="FootnoteText"/>
      </w:pPr>
      <w:r>
        <w:rPr>
          <w:rStyle w:val="FootnoteReference"/>
        </w:rPr>
        <w:footnoteRef/>
      </w:r>
      <w:r>
        <w:t xml:space="preserve"> </w:t>
      </w:r>
      <w:r w:rsidRPr="004E500D">
        <w:t>RADM Stephen C. Redd, MD</w:t>
      </w:r>
      <w:r>
        <w:t xml:space="preserve">. </w:t>
      </w:r>
      <w:r w:rsidRPr="004E500D">
        <w:t>Testimony</w:t>
      </w:r>
      <w:r>
        <w:t xml:space="preserve"> before the U.S. </w:t>
      </w:r>
      <w:r w:rsidRPr="004E500D">
        <w:t>House Energy and Commerce Subcommittee on Health</w:t>
      </w:r>
      <w:r>
        <w:t xml:space="preserve">. </w:t>
      </w:r>
      <w:r w:rsidRPr="004E500D">
        <w:t>Examining the Reauthorization of the Pandemic and All-Hazards Preparedness Act</w:t>
      </w:r>
      <w:r>
        <w:t xml:space="preserve">. </w:t>
      </w:r>
      <w:r w:rsidRPr="004E500D">
        <w:t>June 8, 2018</w:t>
      </w:r>
      <w:r>
        <w:t xml:space="preserve">. Retrieved from </w:t>
      </w:r>
      <w:hyperlink r:id="rId13" w:history="1">
        <w:r w:rsidRPr="00CE1B0D">
          <w:rPr>
            <w:rStyle w:val="Hyperlink"/>
          </w:rPr>
          <w:t>https://www.cdc.gov/washington/testimony/2018/t20180606.htm</w:t>
        </w:r>
      </w:hyperlink>
      <w:r>
        <w:t>.</w:t>
      </w:r>
    </w:p>
  </w:footnote>
  <w:footnote w:id="13">
    <w:p w14:paraId="1FAB5EC7" w14:textId="64CB80C5" w:rsidR="00691752" w:rsidRDefault="00691752">
      <w:pPr>
        <w:pStyle w:val="FootnoteText"/>
      </w:pPr>
      <w:r>
        <w:rPr>
          <w:rStyle w:val="FootnoteReference"/>
        </w:rPr>
        <w:footnoteRef/>
      </w:r>
      <w:r>
        <w:t xml:space="preserve"> </w:t>
      </w:r>
      <w:r w:rsidRPr="004E500D">
        <w:t>RADM Stephen C. Redd, MD</w:t>
      </w:r>
      <w:r>
        <w:t xml:space="preserve">. </w:t>
      </w:r>
      <w:r w:rsidRPr="004E500D">
        <w:t>Testimony</w:t>
      </w:r>
      <w:r>
        <w:t xml:space="preserve"> before the U.S. </w:t>
      </w:r>
      <w:r w:rsidRPr="004E500D">
        <w:t>House Energy and Commerce Subcommittee on Health</w:t>
      </w:r>
      <w:r>
        <w:t xml:space="preserve">. </w:t>
      </w:r>
      <w:r w:rsidRPr="004E500D">
        <w:t>Examining the Reauthorization of the Pandemic and All-Hazards Preparedness Act</w:t>
      </w:r>
      <w:r>
        <w:t xml:space="preserve">. </w:t>
      </w:r>
      <w:r w:rsidRPr="004E500D">
        <w:t>June 8, 2018</w:t>
      </w:r>
      <w:r>
        <w:t xml:space="preserve">. Retrieved from </w:t>
      </w:r>
      <w:hyperlink r:id="rId14" w:history="1">
        <w:r w:rsidRPr="00CE1B0D">
          <w:rPr>
            <w:rStyle w:val="Hyperlink"/>
          </w:rPr>
          <w:t>https://www.cdc.gov/washington/testimony/2018/t20180606.htm</w:t>
        </w:r>
      </w:hyperlink>
      <w:r>
        <w:t>.</w:t>
      </w:r>
    </w:p>
  </w:footnote>
  <w:footnote w:id="14">
    <w:p w14:paraId="269FF669" w14:textId="6F5D5AB0" w:rsidR="00691752" w:rsidRDefault="00691752">
      <w:pPr>
        <w:pStyle w:val="FootnoteText"/>
      </w:pPr>
      <w:r>
        <w:rPr>
          <w:rStyle w:val="FootnoteReference"/>
        </w:rPr>
        <w:footnoteRef/>
      </w:r>
      <w:r>
        <w:t xml:space="preserve"> </w:t>
      </w:r>
      <w:r w:rsidRPr="004E500D">
        <w:t>RADM Stephen C. Redd, MD</w:t>
      </w:r>
      <w:r>
        <w:t xml:space="preserve">. </w:t>
      </w:r>
      <w:r w:rsidRPr="004E500D">
        <w:t>Testimony</w:t>
      </w:r>
      <w:r>
        <w:t xml:space="preserve"> before the U.S. </w:t>
      </w:r>
      <w:r w:rsidRPr="004E500D">
        <w:t>House Energy and Commerce Subcommittee on Health</w:t>
      </w:r>
      <w:r>
        <w:t xml:space="preserve">. </w:t>
      </w:r>
      <w:r w:rsidRPr="004E500D">
        <w:t>Examining the Reauthorization of the Pandemic and All-Hazards Preparedness Act</w:t>
      </w:r>
      <w:r>
        <w:t xml:space="preserve">. </w:t>
      </w:r>
      <w:r w:rsidRPr="004E500D">
        <w:t>June 8, 2018</w:t>
      </w:r>
      <w:r>
        <w:t xml:space="preserve">. Retrieved from </w:t>
      </w:r>
      <w:hyperlink r:id="rId15" w:history="1">
        <w:r w:rsidRPr="00CE1B0D">
          <w:rPr>
            <w:rStyle w:val="Hyperlink"/>
          </w:rPr>
          <w:t>https://www.cdc.gov/washington/testimony/2018/t20180606.htm</w:t>
        </w:r>
      </w:hyperlink>
      <w:r>
        <w:t>.</w:t>
      </w:r>
    </w:p>
  </w:footnote>
  <w:footnote w:id="15">
    <w:p w14:paraId="67AB5A19" w14:textId="112CA5B1" w:rsidR="00691752" w:rsidRDefault="00691752">
      <w:pPr>
        <w:pStyle w:val="FootnoteText"/>
      </w:pPr>
      <w:r>
        <w:rPr>
          <w:rStyle w:val="FootnoteReference"/>
        </w:rPr>
        <w:footnoteRef/>
      </w:r>
      <w:r>
        <w:t xml:space="preserve"> </w:t>
      </w:r>
      <w:bookmarkStart w:id="1" w:name="_Hlk35523297"/>
      <w:r>
        <w:t xml:space="preserve">FDA. </w:t>
      </w:r>
      <w:r w:rsidRPr="00F61DD5">
        <w:t>MCMi History</w:t>
      </w:r>
      <w:r>
        <w:t xml:space="preserve">. Webpage current as of May 3, 2019. Retrieved from </w:t>
      </w:r>
      <w:hyperlink r:id="rId16" w:history="1">
        <w:r>
          <w:rPr>
            <w:rStyle w:val="Hyperlink"/>
          </w:rPr>
          <w:t>https://www.fda.gov/emergency-preparedness-and-response/about-mcmi/mcmi-history</w:t>
        </w:r>
      </w:hyperlink>
      <w:r>
        <w:t>.</w:t>
      </w:r>
      <w:bookmarkEnd w:id="1"/>
    </w:p>
  </w:footnote>
  <w:footnote w:id="16">
    <w:p w14:paraId="5709CE1C" w14:textId="07AD258A" w:rsidR="00691752" w:rsidRDefault="00691752">
      <w:pPr>
        <w:pStyle w:val="FootnoteText"/>
      </w:pPr>
      <w:r>
        <w:rPr>
          <w:rStyle w:val="FootnoteReference"/>
        </w:rPr>
        <w:footnoteRef/>
      </w:r>
      <w:r>
        <w:t xml:space="preserve"> FDA. </w:t>
      </w:r>
      <w:r w:rsidRPr="00F61DD5">
        <w:t>MCMi History</w:t>
      </w:r>
      <w:r>
        <w:t xml:space="preserve">. Webpage current as of May 3, 2019. Retrieved from </w:t>
      </w:r>
      <w:hyperlink r:id="rId17" w:history="1">
        <w:r>
          <w:rPr>
            <w:rStyle w:val="Hyperlink"/>
          </w:rPr>
          <w:t>https://www.fda.gov/emergency-preparedness-and-response/about-mcmi/mcmi-history</w:t>
        </w:r>
      </w:hyperlink>
      <w:r>
        <w:t>.</w:t>
      </w:r>
    </w:p>
  </w:footnote>
  <w:footnote w:id="17">
    <w:p w14:paraId="57AF6DFC" w14:textId="205344EE" w:rsidR="00691752" w:rsidRDefault="00691752">
      <w:pPr>
        <w:pStyle w:val="FootnoteText"/>
      </w:pPr>
      <w:r>
        <w:rPr>
          <w:rStyle w:val="FootnoteReference"/>
        </w:rPr>
        <w:footnoteRef/>
      </w:r>
      <w:r>
        <w:t xml:space="preserve"> FDA. </w:t>
      </w:r>
      <w:r w:rsidRPr="00F61DD5">
        <w:t>MCMi History</w:t>
      </w:r>
      <w:r>
        <w:t xml:space="preserve">. Webpage current as of May 3, 2019. Retrieved from </w:t>
      </w:r>
      <w:hyperlink r:id="rId18" w:history="1">
        <w:r>
          <w:rPr>
            <w:rStyle w:val="Hyperlink"/>
          </w:rPr>
          <w:t>https://www.fda.gov/emergency-preparedness-and-response/about-mcmi/mcmi-history</w:t>
        </w:r>
      </w:hyperlink>
      <w:r>
        <w:t>.</w:t>
      </w:r>
    </w:p>
  </w:footnote>
  <w:footnote w:id="18">
    <w:p w14:paraId="5FB3B564" w14:textId="5EB578B4" w:rsidR="00691752" w:rsidRDefault="00691752">
      <w:pPr>
        <w:pStyle w:val="FootnoteText"/>
      </w:pPr>
      <w:r>
        <w:rPr>
          <w:rStyle w:val="FootnoteReference"/>
        </w:rPr>
        <w:footnoteRef/>
      </w:r>
      <w:r>
        <w:t xml:space="preserve"> FDA. </w:t>
      </w:r>
      <w:r w:rsidRPr="00F61DD5">
        <w:t>MCMi History</w:t>
      </w:r>
      <w:r>
        <w:t xml:space="preserve">. Webpage current as of May 3, 2019. Retrieved from </w:t>
      </w:r>
      <w:hyperlink r:id="rId19" w:history="1">
        <w:r>
          <w:rPr>
            <w:rStyle w:val="Hyperlink"/>
          </w:rPr>
          <w:t>https://www.fda.gov/emergency-preparedness-and-response/about-mcmi/mcmi-history</w:t>
        </w:r>
      </w:hyperlink>
      <w:r>
        <w:t>.</w:t>
      </w:r>
    </w:p>
  </w:footnote>
  <w:footnote w:id="19">
    <w:p w14:paraId="6690BE71" w14:textId="672C179F" w:rsidR="00691752" w:rsidRDefault="00691752">
      <w:pPr>
        <w:pStyle w:val="FootnoteText"/>
      </w:pPr>
      <w:r>
        <w:rPr>
          <w:rStyle w:val="FootnoteReference"/>
        </w:rPr>
        <w:footnoteRef/>
      </w:r>
      <w:r>
        <w:t xml:space="preserve"> FDA. </w:t>
      </w:r>
      <w:r w:rsidRPr="00F61DD5">
        <w:t>MCMi History</w:t>
      </w:r>
      <w:r>
        <w:t xml:space="preserve">. Webpage current as of May 3, 2019. Retrieved from </w:t>
      </w:r>
      <w:hyperlink r:id="rId20" w:history="1">
        <w:r>
          <w:rPr>
            <w:rStyle w:val="Hyperlink"/>
          </w:rPr>
          <w:t>https://www.fda.gov/emergency-preparedness-and-response/about-mcmi/mcmi-history</w:t>
        </w:r>
      </w:hyperlink>
      <w:r>
        <w:t>.</w:t>
      </w:r>
    </w:p>
  </w:footnote>
  <w:footnote w:id="20">
    <w:p w14:paraId="6E493292" w14:textId="77FC0823" w:rsidR="00691752" w:rsidRDefault="00691752">
      <w:pPr>
        <w:pStyle w:val="FootnoteText"/>
      </w:pPr>
      <w:r>
        <w:rPr>
          <w:rStyle w:val="FootnoteReference"/>
        </w:rPr>
        <w:footnoteRef/>
      </w:r>
      <w:r>
        <w:t xml:space="preserve"> FDA. </w:t>
      </w:r>
      <w:r w:rsidRPr="00F61DD5">
        <w:t>MCMi History</w:t>
      </w:r>
      <w:r>
        <w:t xml:space="preserve">. Webpage current as of May 3, 2019. Retrieved from </w:t>
      </w:r>
      <w:hyperlink r:id="rId21" w:history="1">
        <w:r>
          <w:rPr>
            <w:rStyle w:val="Hyperlink"/>
          </w:rPr>
          <w:t>https://www.fda.gov/emergency-preparedness-and-response/about-mcmi/mcmi-history</w:t>
        </w:r>
      </w:hyperlink>
      <w:r>
        <w:t>.</w:t>
      </w:r>
    </w:p>
  </w:footnote>
  <w:footnote w:id="21">
    <w:p w14:paraId="6C747310" w14:textId="4263258E" w:rsidR="00691752" w:rsidRDefault="00691752">
      <w:pPr>
        <w:pStyle w:val="FootnoteText"/>
      </w:pPr>
      <w:r>
        <w:rPr>
          <w:rStyle w:val="FootnoteReference"/>
        </w:rPr>
        <w:footnoteRef/>
      </w:r>
      <w:r>
        <w:t xml:space="preserve"> FDA. </w:t>
      </w:r>
      <w:r w:rsidRPr="00F61DD5">
        <w:t>MCMi History</w:t>
      </w:r>
      <w:r>
        <w:t xml:space="preserve">. Webpage current as of May 3, 2019. Retrieved from </w:t>
      </w:r>
      <w:hyperlink r:id="rId22" w:history="1">
        <w:r>
          <w:rPr>
            <w:rStyle w:val="Hyperlink"/>
          </w:rPr>
          <w:t>https://www.fda.gov/emergency-preparedness-and-response/about-mcmi/mcmi-history</w:t>
        </w:r>
      </w:hyperlink>
      <w:r>
        <w:t>.</w:t>
      </w:r>
    </w:p>
  </w:footnote>
  <w:footnote w:id="22">
    <w:p w14:paraId="435864FC" w14:textId="3FAAEDDE" w:rsidR="00691752" w:rsidRDefault="00691752">
      <w:pPr>
        <w:pStyle w:val="FootnoteText"/>
      </w:pPr>
      <w:r>
        <w:rPr>
          <w:rStyle w:val="FootnoteReference"/>
        </w:rPr>
        <w:footnoteRef/>
      </w:r>
      <w:r>
        <w:t xml:space="preserve"> FDA. </w:t>
      </w:r>
      <w:r w:rsidRPr="006A415E">
        <w:t>MCM Legal, Regulatory and Policy Framework</w:t>
      </w:r>
      <w:r>
        <w:t xml:space="preserve">. Webpage current as of December 6, 2019. Retrieved from </w:t>
      </w:r>
      <w:hyperlink r:id="rId23" w:history="1">
        <w:r w:rsidRPr="00DB577A">
          <w:rPr>
            <w:rStyle w:val="Hyperlink"/>
          </w:rPr>
          <w:t>https://www.fda.gov/emergency-preparedness-and-response/medical-countermeasures-initiative-mcmi/mcm-legal-regulatory-and-policy-framework</w:t>
        </w:r>
      </w:hyperlink>
      <w:r>
        <w:t xml:space="preserve">. </w:t>
      </w:r>
    </w:p>
  </w:footnote>
  <w:footnote w:id="23">
    <w:p w14:paraId="1307F050" w14:textId="40BA60FB" w:rsidR="00691752" w:rsidRDefault="00691752">
      <w:pPr>
        <w:pStyle w:val="FootnoteText"/>
      </w:pPr>
      <w:r>
        <w:rPr>
          <w:rStyle w:val="FootnoteReference"/>
        </w:rPr>
        <w:footnoteRef/>
      </w:r>
      <w:r>
        <w:t xml:space="preserve"> NIAID. </w:t>
      </w:r>
      <w:r w:rsidRPr="003A6D4A">
        <w:t>Biodefense and Related Programs</w:t>
      </w:r>
      <w:r>
        <w:t xml:space="preserve">. Webpage last reviewed </w:t>
      </w:r>
      <w:r w:rsidRPr="005D5DBF">
        <w:t>July 11, 2016</w:t>
      </w:r>
      <w:r>
        <w:t xml:space="preserve">. Retrieved from </w:t>
      </w:r>
      <w:hyperlink r:id="rId24" w:history="1">
        <w:r w:rsidRPr="00CE1B0D">
          <w:rPr>
            <w:rStyle w:val="Hyperlink"/>
          </w:rPr>
          <w:t>https://www.niaid.nih.gov/research/biodefense</w:t>
        </w:r>
      </w:hyperlink>
      <w:r>
        <w:t xml:space="preserve">. </w:t>
      </w:r>
    </w:p>
  </w:footnote>
  <w:footnote w:id="24">
    <w:p w14:paraId="3162921D" w14:textId="7E0AD0D7" w:rsidR="00691752" w:rsidRDefault="00691752">
      <w:pPr>
        <w:pStyle w:val="FootnoteText"/>
      </w:pPr>
      <w:r>
        <w:rPr>
          <w:rStyle w:val="FootnoteReference"/>
        </w:rPr>
        <w:footnoteRef/>
      </w:r>
      <w:r>
        <w:t xml:space="preserve"> NIAID. </w:t>
      </w:r>
      <w:r w:rsidRPr="003A6D4A">
        <w:t>Biodefense and Related Programs</w:t>
      </w:r>
      <w:r>
        <w:t xml:space="preserve">. Webpage last reviewed </w:t>
      </w:r>
      <w:r w:rsidRPr="005D5DBF">
        <w:t>July 11, 2016</w:t>
      </w:r>
      <w:r>
        <w:t xml:space="preserve">. Retrieved from </w:t>
      </w:r>
      <w:hyperlink r:id="rId25" w:history="1">
        <w:r w:rsidRPr="00CE1B0D">
          <w:rPr>
            <w:rStyle w:val="Hyperlink"/>
          </w:rPr>
          <w:t>https://www.niaid.nih.gov/research/biodefense</w:t>
        </w:r>
      </w:hyperlink>
      <w:r>
        <w:t>.</w:t>
      </w:r>
    </w:p>
  </w:footnote>
  <w:footnote w:id="25">
    <w:p w14:paraId="2DEB4F51" w14:textId="6751981E" w:rsidR="00691752" w:rsidRDefault="00691752" w:rsidP="001A6DDA">
      <w:pPr>
        <w:pStyle w:val="FootnoteText"/>
      </w:pPr>
      <w:r>
        <w:rPr>
          <w:rStyle w:val="FootnoteReference"/>
        </w:rPr>
        <w:footnoteRef/>
      </w:r>
      <w:r>
        <w:t xml:space="preserve"> Public Health Security and Bioterrorism Preparedness and Response Act of 2002. Pub. L. No. 107-188.</w:t>
      </w:r>
    </w:p>
  </w:footnote>
  <w:footnote w:id="26">
    <w:p w14:paraId="11537792" w14:textId="04C75807" w:rsidR="00691752" w:rsidRDefault="00691752">
      <w:pPr>
        <w:pStyle w:val="FootnoteText"/>
      </w:pPr>
      <w:r>
        <w:rPr>
          <w:rStyle w:val="FootnoteReference"/>
        </w:rPr>
        <w:footnoteRef/>
      </w:r>
      <w:r>
        <w:t xml:space="preserve"> Public Health Service Act. Pub. L. No. 78-410, as amended. Codified at 42 U.S.C. §201 et seq.</w:t>
      </w:r>
    </w:p>
  </w:footnote>
  <w:footnote w:id="27">
    <w:p w14:paraId="7D172FD6" w14:textId="05EFE5AC" w:rsidR="00691752" w:rsidRDefault="00691752" w:rsidP="00BE585E">
      <w:pPr>
        <w:pStyle w:val="FootnoteText"/>
      </w:pPr>
      <w:r>
        <w:rPr>
          <w:rStyle w:val="FootnoteReference"/>
        </w:rPr>
        <w:footnoteRef/>
      </w:r>
      <w:r>
        <w:t xml:space="preserve"> CDC PH Law Program. Selected Federal Legal Authorities Pertinent to Public Health Emergencies. August 2017. Retrieved from </w:t>
      </w:r>
      <w:hyperlink r:id="rId26" w:history="1">
        <w:r>
          <w:rPr>
            <w:rStyle w:val="Hyperlink"/>
          </w:rPr>
          <w:t>https://www.cdc.gov/phlp/docs/ph-emergencies.pdf</w:t>
        </w:r>
      </w:hyperlink>
      <w:r>
        <w:t xml:space="preserve">. The Act requires the Secretary of HHS to “develop and implement” a coordinated strategy in the form of a national preparedness plan. It also </w:t>
      </w:r>
      <w:r w:rsidRPr="006D0CF6">
        <w:t>directs the Secretary to establish and maintain the Emergency System for Advance Registration of Health Professions Volunteers (ESAR-VHP).</w:t>
      </w:r>
    </w:p>
  </w:footnote>
  <w:footnote w:id="28">
    <w:p w14:paraId="5CEEED13" w14:textId="54895ACB" w:rsidR="00691752" w:rsidRDefault="00691752">
      <w:pPr>
        <w:pStyle w:val="FootnoteText"/>
      </w:pPr>
      <w:r>
        <w:rPr>
          <w:rStyle w:val="FootnoteReference"/>
        </w:rPr>
        <w:footnoteRef/>
      </w:r>
      <w:r>
        <w:t>R</w:t>
      </w:r>
      <w:r w:rsidRPr="00B34B52">
        <w:t>enamed the “Assistant Secretary for Preparedness and Response,” see Pandemic and All-Hazards Preparedness Act</w:t>
      </w:r>
      <w:r>
        <w:t>.</w:t>
      </w:r>
    </w:p>
  </w:footnote>
  <w:footnote w:id="29">
    <w:p w14:paraId="6BF2DF9F" w14:textId="65DA34C9" w:rsidR="00691752" w:rsidRDefault="00691752">
      <w:pPr>
        <w:pStyle w:val="FootnoteText"/>
      </w:pPr>
      <w:r>
        <w:rPr>
          <w:rStyle w:val="FootnoteReference"/>
        </w:rPr>
        <w:footnoteRef/>
      </w:r>
      <w:r>
        <w:t xml:space="preserve"> </w:t>
      </w:r>
      <w:r w:rsidRPr="007C7112">
        <w:t xml:space="preserve">FDA. </w:t>
      </w:r>
      <w:r w:rsidRPr="007F6D95">
        <w:t>MCM-Related Counterterrorism Legislation</w:t>
      </w:r>
      <w:r>
        <w:t>.</w:t>
      </w:r>
      <w:r w:rsidRPr="007C7112">
        <w:t xml:space="preserve"> Webpage </w:t>
      </w:r>
      <w:r>
        <w:t>current as of December 6, 2019.</w:t>
      </w:r>
      <w:r w:rsidRPr="007C7112">
        <w:t xml:space="preserve">Retrieved from </w:t>
      </w:r>
      <w:hyperlink r:id="rId27" w:anchor="bioshield" w:history="1">
        <w:r>
          <w:rPr>
            <w:rStyle w:val="Hyperlink"/>
          </w:rPr>
          <w:t>https://www.fda.gov/emergency-preparedness-and-response/mcm-legal-regulatory-and-policy-framework/mcm-related-counterterrorism-legislation#bioshield</w:t>
        </w:r>
      </w:hyperlink>
      <w:r>
        <w:t>.</w:t>
      </w:r>
    </w:p>
  </w:footnote>
  <w:footnote w:id="30">
    <w:p w14:paraId="6D873972" w14:textId="70A7714F" w:rsidR="00691752" w:rsidRDefault="00691752">
      <w:pPr>
        <w:pStyle w:val="FootnoteText"/>
      </w:pPr>
      <w:r>
        <w:rPr>
          <w:rStyle w:val="FootnoteReference"/>
        </w:rPr>
        <w:footnoteRef/>
      </w:r>
      <w:r>
        <w:t xml:space="preserve"> </w:t>
      </w:r>
      <w:r w:rsidRPr="007C7112">
        <w:t xml:space="preserve">FDA. </w:t>
      </w:r>
      <w:r w:rsidRPr="007F6D95">
        <w:t>MCM-Related Counterterrorism Legislation</w:t>
      </w:r>
      <w:r>
        <w:t>.</w:t>
      </w:r>
      <w:r w:rsidRPr="007C7112">
        <w:t xml:space="preserve"> Webpage </w:t>
      </w:r>
      <w:r>
        <w:t>current as of December 6, 2019.</w:t>
      </w:r>
      <w:r w:rsidRPr="007C7112">
        <w:t xml:space="preserve">Retrieved from </w:t>
      </w:r>
      <w:hyperlink r:id="rId28" w:anchor="bioshield" w:history="1">
        <w:r>
          <w:rPr>
            <w:rStyle w:val="Hyperlink"/>
          </w:rPr>
          <w:t>https://www.fda.gov/emergency-preparedness-and-response/mcm-legal-regulatory-and-policy-framework/mcm-related-counterterrorism-legislation#bioshield</w:t>
        </w:r>
      </w:hyperlink>
      <w:r>
        <w:t>.</w:t>
      </w:r>
    </w:p>
  </w:footnote>
  <w:footnote w:id="31">
    <w:p w14:paraId="1FE6A48A" w14:textId="3A20099D" w:rsidR="00691752" w:rsidRDefault="00691752">
      <w:pPr>
        <w:pStyle w:val="FootnoteText"/>
      </w:pPr>
      <w:r>
        <w:rPr>
          <w:rStyle w:val="FootnoteReference"/>
        </w:rPr>
        <w:footnoteRef/>
      </w:r>
      <w:r>
        <w:t xml:space="preserve"> </w:t>
      </w:r>
      <w:r w:rsidRPr="000D20AF">
        <w:t xml:space="preserve">Gottron F. Congressional Research Service. Project BioShield: Purposes and Authorities (RS21507). July 6, 2009. </w:t>
      </w:r>
      <w:r w:rsidR="00DF6CED">
        <w:t>Retrieved from</w:t>
      </w:r>
      <w:r w:rsidRPr="000D20AF">
        <w:t xml:space="preserve"> </w:t>
      </w:r>
      <w:hyperlink r:id="rId29" w:history="1">
        <w:r w:rsidR="00DF6CED">
          <w:rPr>
            <w:rStyle w:val="Hyperlink"/>
          </w:rPr>
          <w:t>https://fas.org/sgp/crs/terror/RS21507.pdf</w:t>
        </w:r>
      </w:hyperlink>
      <w:r w:rsidRPr="000D20AF">
        <w:t>.</w:t>
      </w:r>
    </w:p>
  </w:footnote>
  <w:footnote w:id="32">
    <w:p w14:paraId="2F66C670" w14:textId="349A2537" w:rsidR="00691752" w:rsidRDefault="00691752">
      <w:pPr>
        <w:pStyle w:val="FootnoteText"/>
      </w:pPr>
      <w:r>
        <w:rPr>
          <w:rStyle w:val="FootnoteReference"/>
        </w:rPr>
        <w:footnoteRef/>
      </w:r>
      <w:r>
        <w:t xml:space="preserve"> </w:t>
      </w:r>
      <w:r w:rsidRPr="00177074">
        <w:t>Project BioShield Act of 2004. Pub. L. No. 108-276.</w:t>
      </w:r>
    </w:p>
  </w:footnote>
  <w:footnote w:id="33">
    <w:p w14:paraId="39A6986E" w14:textId="7E7FA632" w:rsidR="00691752" w:rsidRDefault="00691752">
      <w:pPr>
        <w:pStyle w:val="FootnoteText"/>
      </w:pPr>
      <w:r>
        <w:rPr>
          <w:rStyle w:val="FootnoteReference"/>
        </w:rPr>
        <w:footnoteRef/>
      </w:r>
      <w:r>
        <w:t xml:space="preserve"> </w:t>
      </w:r>
      <w:bookmarkStart w:id="2" w:name="_Hlk35368713"/>
      <w:r w:rsidRPr="007C7112">
        <w:t xml:space="preserve">FDA. </w:t>
      </w:r>
      <w:r w:rsidRPr="007F6D95">
        <w:t>MCM-Related Counterterrorism Legislation</w:t>
      </w:r>
      <w:r>
        <w:t>.</w:t>
      </w:r>
      <w:r w:rsidRPr="007C7112">
        <w:t xml:space="preserve"> Webpage </w:t>
      </w:r>
      <w:r>
        <w:t>current as of December 6, 2019.</w:t>
      </w:r>
      <w:r w:rsidRPr="007C7112">
        <w:t xml:space="preserve">Retrieved from </w:t>
      </w:r>
      <w:hyperlink r:id="rId30" w:anchor="bioshield" w:history="1">
        <w:r>
          <w:rPr>
            <w:rStyle w:val="Hyperlink"/>
          </w:rPr>
          <w:t>https://www.fda.gov/emergency-preparedness-and-response/mcm-legal-regulatory-and-policy-framework/mcm-related-counterterrorism-legislation#bioshield</w:t>
        </w:r>
      </w:hyperlink>
      <w:r>
        <w:t>.</w:t>
      </w:r>
      <w:bookmarkEnd w:id="2"/>
    </w:p>
  </w:footnote>
  <w:footnote w:id="34">
    <w:p w14:paraId="0F65196F" w14:textId="454D0849" w:rsidR="00691752" w:rsidRDefault="00691752">
      <w:pPr>
        <w:pStyle w:val="FootnoteText"/>
      </w:pPr>
      <w:r>
        <w:rPr>
          <w:rStyle w:val="FootnoteReference"/>
        </w:rPr>
        <w:footnoteRef/>
      </w:r>
      <w:r>
        <w:t xml:space="preserve"> </w:t>
      </w:r>
      <w:r w:rsidRPr="007C7112">
        <w:t xml:space="preserve">FDA. </w:t>
      </w:r>
      <w:r w:rsidRPr="007F6D95">
        <w:t>MCM-Related Counterterrorism Legislation</w:t>
      </w:r>
      <w:r>
        <w:t>.</w:t>
      </w:r>
      <w:r w:rsidRPr="007C7112">
        <w:t xml:space="preserve"> Webpage </w:t>
      </w:r>
      <w:r>
        <w:t>current as of December 6, 2019.</w:t>
      </w:r>
      <w:r w:rsidRPr="007C7112">
        <w:t xml:space="preserve">Retrieved from </w:t>
      </w:r>
      <w:hyperlink r:id="rId31" w:anchor="bioshield" w:history="1">
        <w:r>
          <w:rPr>
            <w:rStyle w:val="Hyperlink"/>
          </w:rPr>
          <w:t>https://www.fda.gov/emergency-preparedness-and-response/mcm-legal-regulatory-and-policy-framework/mcm-related-counterterrorism-legislation#bioshield</w:t>
        </w:r>
      </w:hyperlink>
      <w:r>
        <w:t>.</w:t>
      </w:r>
    </w:p>
  </w:footnote>
  <w:footnote w:id="35">
    <w:p w14:paraId="1C867F0F" w14:textId="1728742B" w:rsidR="00691752" w:rsidRDefault="00691752">
      <w:pPr>
        <w:pStyle w:val="FootnoteText"/>
      </w:pPr>
      <w:r>
        <w:rPr>
          <w:rStyle w:val="FootnoteReference"/>
        </w:rPr>
        <w:footnoteRef/>
      </w:r>
      <w:r>
        <w:t xml:space="preserve"> </w:t>
      </w:r>
      <w:bookmarkStart w:id="3" w:name="_Hlk35374621"/>
      <w:r w:rsidRPr="007C7112">
        <w:t xml:space="preserve">FDA. </w:t>
      </w:r>
      <w:r w:rsidRPr="007F6D95">
        <w:t>MCM-Related Counterterrorism Legislation</w:t>
      </w:r>
      <w:r>
        <w:t>.</w:t>
      </w:r>
      <w:r w:rsidRPr="007C7112">
        <w:t xml:space="preserve"> Webpage </w:t>
      </w:r>
      <w:r>
        <w:t>current as of December 6, 2019.</w:t>
      </w:r>
      <w:r w:rsidRPr="007C7112">
        <w:t xml:space="preserve">Retrieved from </w:t>
      </w:r>
      <w:hyperlink r:id="rId32" w:anchor="bioshield" w:history="1">
        <w:r>
          <w:rPr>
            <w:rStyle w:val="Hyperlink"/>
          </w:rPr>
          <w:t>https://www.fda.gov/emergency-preparedness-and-response/mcm-legal-regulatory-and-policy-framework/mcm-related-counterterrorism-legislation#bioshield</w:t>
        </w:r>
      </w:hyperlink>
      <w:r>
        <w:t>.</w:t>
      </w:r>
      <w:bookmarkEnd w:id="3"/>
    </w:p>
  </w:footnote>
  <w:footnote w:id="36">
    <w:p w14:paraId="18933766" w14:textId="4F3B0797" w:rsidR="00691752" w:rsidRDefault="00691752">
      <w:pPr>
        <w:pStyle w:val="FootnoteText"/>
      </w:pPr>
      <w:r>
        <w:rPr>
          <w:rStyle w:val="FootnoteReference"/>
        </w:rPr>
        <w:footnoteRef/>
      </w:r>
      <w:r>
        <w:t xml:space="preserve"> </w:t>
      </w:r>
      <w:r w:rsidRPr="001C2C4C">
        <w:t>Pub. L. No. 109-148; 42 U.S.C. §§ 247d-6d, 247d-6e</w:t>
      </w:r>
      <w:r>
        <w:t>.</w:t>
      </w:r>
    </w:p>
  </w:footnote>
  <w:footnote w:id="37">
    <w:p w14:paraId="2895158A" w14:textId="1D8C40AE" w:rsidR="00691752" w:rsidRDefault="00691752">
      <w:pPr>
        <w:pStyle w:val="FootnoteText"/>
      </w:pPr>
      <w:r>
        <w:rPr>
          <w:rStyle w:val="FootnoteReference"/>
        </w:rPr>
        <w:footnoteRef/>
      </w:r>
      <w:r>
        <w:t xml:space="preserve"> HHS ASPR. </w:t>
      </w:r>
      <w:r w:rsidRPr="00405A3B">
        <w:t>Public Readiness and Emergency Preparedness Act</w:t>
      </w:r>
      <w:r>
        <w:t>. Web</w:t>
      </w:r>
      <w:r w:rsidRPr="00B314CB">
        <w:t>page last reviewed March 11, 2020</w:t>
      </w:r>
      <w:r>
        <w:t xml:space="preserve">. Retrieved from </w:t>
      </w:r>
      <w:hyperlink r:id="rId33" w:history="1">
        <w:r>
          <w:rPr>
            <w:rStyle w:val="Hyperlink"/>
          </w:rPr>
          <w:t>https://www.phe.gov/Preparedness/legal/prepact/Pages/default.aspx</w:t>
        </w:r>
      </w:hyperlink>
      <w:r>
        <w:t xml:space="preserve">. </w:t>
      </w:r>
      <w:r w:rsidRPr="00B314CB">
        <w:rPr>
          <w:i/>
          <w:iCs/>
        </w:rPr>
        <w:t>See also</w:t>
      </w:r>
      <w:r>
        <w:t xml:space="preserve"> </w:t>
      </w:r>
      <w:r w:rsidRPr="007C7112">
        <w:t xml:space="preserve">FDA. </w:t>
      </w:r>
      <w:r w:rsidRPr="007F6D95">
        <w:t>MCM-Related Counterterrorism Legislation</w:t>
      </w:r>
      <w:r>
        <w:t>.</w:t>
      </w:r>
      <w:r w:rsidRPr="007C7112">
        <w:t xml:space="preserve"> Webpage </w:t>
      </w:r>
      <w:r>
        <w:t>current as of December 6, 2019.</w:t>
      </w:r>
      <w:r w:rsidRPr="007C7112">
        <w:t xml:space="preserve">Retrieved from </w:t>
      </w:r>
      <w:hyperlink r:id="rId34" w:anchor="bioshield" w:history="1">
        <w:r>
          <w:rPr>
            <w:rStyle w:val="Hyperlink"/>
          </w:rPr>
          <w:t>https://www.fda.gov/emergency-preparedness-and-response/mcm-legal-regulatory-and-policy-framework/mcm-related-counterterrorism-legislation#bioshield</w:t>
        </w:r>
      </w:hyperlink>
      <w:r>
        <w:t>.</w:t>
      </w:r>
    </w:p>
  </w:footnote>
  <w:footnote w:id="38">
    <w:p w14:paraId="6C894923" w14:textId="2C68278C" w:rsidR="00691752" w:rsidRDefault="00691752">
      <w:pPr>
        <w:pStyle w:val="FootnoteText"/>
      </w:pPr>
      <w:r>
        <w:rPr>
          <w:rStyle w:val="FootnoteReference"/>
        </w:rPr>
        <w:footnoteRef/>
      </w:r>
      <w:r>
        <w:t xml:space="preserve"> HHS ASPR. </w:t>
      </w:r>
      <w:r w:rsidRPr="00405A3B">
        <w:t>Public Readiness and Emergency Preparedness Act</w:t>
      </w:r>
      <w:r>
        <w:t>. Web</w:t>
      </w:r>
      <w:r w:rsidRPr="00B314CB">
        <w:t>page last reviewed March 11, 2020</w:t>
      </w:r>
      <w:r>
        <w:t xml:space="preserve">. Retrieved from </w:t>
      </w:r>
      <w:hyperlink r:id="rId35" w:history="1">
        <w:r>
          <w:rPr>
            <w:rStyle w:val="Hyperlink"/>
          </w:rPr>
          <w:t>https://www.phe.gov/Preparedness/legal/prepact/Pages/default.aspx</w:t>
        </w:r>
      </w:hyperlink>
      <w:r>
        <w:t xml:space="preserve">. </w:t>
      </w:r>
      <w:r w:rsidRPr="00B314CB">
        <w:rPr>
          <w:i/>
          <w:iCs/>
        </w:rPr>
        <w:t>See also</w:t>
      </w:r>
      <w:r>
        <w:t xml:space="preserve"> </w:t>
      </w:r>
      <w:r w:rsidRPr="007C7112">
        <w:t xml:space="preserve">FDA. </w:t>
      </w:r>
      <w:r w:rsidRPr="007F6D95">
        <w:t>MCM-Related Counterterrorism Legislation</w:t>
      </w:r>
      <w:r>
        <w:t>.</w:t>
      </w:r>
      <w:r w:rsidRPr="007C7112">
        <w:t xml:space="preserve"> Webpage </w:t>
      </w:r>
      <w:r>
        <w:t>current as of December 6, 2019.</w:t>
      </w:r>
      <w:r w:rsidRPr="007C7112">
        <w:t xml:space="preserve">Retrieved from </w:t>
      </w:r>
      <w:hyperlink r:id="rId36" w:anchor="bioshield" w:history="1">
        <w:r>
          <w:rPr>
            <w:rStyle w:val="Hyperlink"/>
          </w:rPr>
          <w:t>https://www.fda.gov/emergency-preparedness-and-response/mcm-legal-regulatory-and-policy-framework/mcm-related-counterterrorism-legislation#bioshield</w:t>
        </w:r>
      </w:hyperlink>
      <w:r>
        <w:t>.</w:t>
      </w:r>
    </w:p>
  </w:footnote>
  <w:footnote w:id="39">
    <w:p w14:paraId="3A8F87DD" w14:textId="7CA992AF" w:rsidR="00691752" w:rsidRDefault="00691752">
      <w:pPr>
        <w:pStyle w:val="FootnoteText"/>
      </w:pPr>
      <w:r>
        <w:rPr>
          <w:rStyle w:val="FootnoteReference"/>
        </w:rPr>
        <w:footnoteRef/>
      </w:r>
      <w:r>
        <w:t xml:space="preserve"> </w:t>
      </w:r>
      <w:r w:rsidRPr="007C7112">
        <w:t xml:space="preserve">FDA. </w:t>
      </w:r>
      <w:r w:rsidRPr="007F6D95">
        <w:t>MCM-Related Counterterrorism Legislation</w:t>
      </w:r>
      <w:r>
        <w:t>.</w:t>
      </w:r>
      <w:r w:rsidRPr="007C7112">
        <w:t xml:space="preserve"> Webpage </w:t>
      </w:r>
      <w:r>
        <w:t>current as of December 6, 2019.</w:t>
      </w:r>
      <w:r w:rsidRPr="007C7112">
        <w:t xml:space="preserve">Retrieved from </w:t>
      </w:r>
      <w:hyperlink r:id="rId37" w:anchor="bioshield" w:history="1">
        <w:r>
          <w:rPr>
            <w:rStyle w:val="Hyperlink"/>
          </w:rPr>
          <w:t>https://www.fda.gov/emergency-preparedness-and-response/mcm-legal-regulatory-and-policy-framework/mcm-related-counterterrorism-legislation#bioshield</w:t>
        </w:r>
      </w:hyperlink>
      <w:r>
        <w:t xml:space="preserve">. </w:t>
      </w:r>
      <w:r w:rsidRPr="00D5780B">
        <w:rPr>
          <w:i/>
          <w:iCs/>
        </w:rPr>
        <w:t>See also</w:t>
      </w:r>
      <w:r>
        <w:t xml:space="preserve"> Health Services and Resources Administration. </w:t>
      </w:r>
      <w:r w:rsidRPr="00D5780B">
        <w:t>Countermeasures Injury Compensation Program (CICP)</w:t>
      </w:r>
      <w:r>
        <w:t xml:space="preserve">. Retrieved from </w:t>
      </w:r>
      <w:hyperlink r:id="rId38" w:history="1">
        <w:r>
          <w:rPr>
            <w:rStyle w:val="Hyperlink"/>
          </w:rPr>
          <w:t>https://www.hrsa.gov/cicp/</w:t>
        </w:r>
      </w:hyperlink>
      <w:r>
        <w:t>.</w:t>
      </w:r>
    </w:p>
  </w:footnote>
  <w:footnote w:id="40">
    <w:p w14:paraId="1C598C20" w14:textId="1D413D5B" w:rsidR="00691752" w:rsidRDefault="00691752">
      <w:pPr>
        <w:pStyle w:val="FootnoteText"/>
      </w:pPr>
      <w:r>
        <w:rPr>
          <w:rStyle w:val="FootnoteReference"/>
        </w:rPr>
        <w:footnoteRef/>
      </w:r>
      <w:r>
        <w:t xml:space="preserve"> </w:t>
      </w:r>
      <w:bookmarkStart w:id="4" w:name="_Hlk35376740"/>
      <w:r>
        <w:t xml:space="preserve">CDC PH Law Program. Selected Federal Legal Authorities Pertinent to Public Health Emergencies. August 2017. Retrieved from </w:t>
      </w:r>
      <w:hyperlink r:id="rId39" w:history="1">
        <w:r>
          <w:rPr>
            <w:rStyle w:val="Hyperlink"/>
          </w:rPr>
          <w:t>https://www.cdc.gov/phlp/docs/ph-emergencies.pdf</w:t>
        </w:r>
      </w:hyperlink>
      <w:r>
        <w:t>.</w:t>
      </w:r>
      <w:bookmarkEnd w:id="4"/>
    </w:p>
  </w:footnote>
  <w:footnote w:id="41">
    <w:p w14:paraId="71A7CAA7" w14:textId="5D85CF4E" w:rsidR="00691752" w:rsidRDefault="00691752">
      <w:pPr>
        <w:pStyle w:val="FootnoteText"/>
      </w:pPr>
      <w:r>
        <w:rPr>
          <w:rStyle w:val="FootnoteReference"/>
        </w:rPr>
        <w:footnoteRef/>
      </w:r>
      <w:r>
        <w:t xml:space="preserve"> CDC PH Law Program. Selected Federal Legal Authorities Pertinent to Public Health Emergencies. August 2017. Retrieved from </w:t>
      </w:r>
      <w:hyperlink r:id="rId40" w:history="1">
        <w:r>
          <w:rPr>
            <w:rStyle w:val="Hyperlink"/>
          </w:rPr>
          <w:t>https://www.cdc.gov/phlp/docs/ph-emergencies.pdf</w:t>
        </w:r>
      </w:hyperlink>
      <w:r>
        <w:t>.</w:t>
      </w:r>
    </w:p>
  </w:footnote>
  <w:footnote w:id="42">
    <w:p w14:paraId="6EF2F33C" w14:textId="14292E4D" w:rsidR="00691752" w:rsidRDefault="00691752" w:rsidP="00521CE9">
      <w:pPr>
        <w:pStyle w:val="FootnoteText"/>
      </w:pPr>
      <w:r>
        <w:rPr>
          <w:rStyle w:val="FootnoteReference"/>
        </w:rPr>
        <w:footnoteRef/>
      </w:r>
      <w:r>
        <w:t xml:space="preserve"> </w:t>
      </w:r>
      <w:r w:rsidRPr="007C7112">
        <w:t xml:space="preserve">FDA. </w:t>
      </w:r>
      <w:r w:rsidRPr="007F6D95">
        <w:t>MCM-Related Counterterrorism Legislation</w:t>
      </w:r>
      <w:r>
        <w:t>.</w:t>
      </w:r>
      <w:r w:rsidRPr="007C7112">
        <w:t xml:space="preserve"> Webpage </w:t>
      </w:r>
      <w:r>
        <w:t>current as of December 6, 2019.</w:t>
      </w:r>
      <w:r w:rsidRPr="007C7112">
        <w:t xml:space="preserve">Retrieved from </w:t>
      </w:r>
      <w:hyperlink r:id="rId41" w:anchor="bioshield" w:history="1">
        <w:r>
          <w:rPr>
            <w:rStyle w:val="Hyperlink"/>
          </w:rPr>
          <w:t>https://www.fda.gov/emergency-preparedness-and-response/mcm-legal-regulatory-and-policy-framework/mcm-related-counterterrorism-legislation#bioshield</w:t>
        </w:r>
      </w:hyperlink>
      <w:r>
        <w:t xml:space="preserve">. </w:t>
      </w:r>
      <w:r w:rsidRPr="00445308">
        <w:t>PAHPA also established mechanisms and grants to continue strengthening state and local public health security infrastructure, and addresses surge capacity by placing the National Disaster Medical System and the ESAR-VHP under the purview of HHS.</w:t>
      </w:r>
      <w:r>
        <w:t xml:space="preserve"> CDC PH Law Program. Selected Federal Legal Authorities Pertinent to Public Health Emergencies. August 2017. Retrieved from </w:t>
      </w:r>
      <w:hyperlink r:id="rId42" w:history="1">
        <w:r>
          <w:rPr>
            <w:rStyle w:val="Hyperlink"/>
          </w:rPr>
          <w:t>https://www.cdc.gov/phlp/docs/ph-emergencies.pdf</w:t>
        </w:r>
      </w:hyperlink>
      <w:r>
        <w:t xml:space="preserve">. </w:t>
      </w:r>
    </w:p>
  </w:footnote>
  <w:footnote w:id="43">
    <w:p w14:paraId="14C55BF5" w14:textId="418E3DD0" w:rsidR="00691752" w:rsidRDefault="00691752" w:rsidP="00F222CD">
      <w:pPr>
        <w:pStyle w:val="FootnoteText"/>
      </w:pPr>
      <w:r>
        <w:rPr>
          <w:rStyle w:val="FootnoteReference"/>
        </w:rPr>
        <w:footnoteRef/>
      </w:r>
      <w:r>
        <w:t xml:space="preserve"> Formerly named the “Assistant Secretary for Public Health Emergency Preparedness”.</w:t>
      </w:r>
    </w:p>
  </w:footnote>
  <w:footnote w:id="44">
    <w:p w14:paraId="68718BFF" w14:textId="2302F2BB" w:rsidR="00691752" w:rsidRDefault="00691752">
      <w:pPr>
        <w:pStyle w:val="FootnoteText"/>
      </w:pPr>
      <w:r>
        <w:rPr>
          <w:rStyle w:val="FootnoteReference"/>
        </w:rPr>
        <w:footnoteRef/>
      </w:r>
      <w:r>
        <w:t xml:space="preserve"> </w:t>
      </w:r>
      <w:bookmarkStart w:id="5" w:name="_Hlk35374059"/>
      <w:r>
        <w:t xml:space="preserve">CDC PH Law Program. Selected Federal Legal Authorities Pertinent to Public Health Emergencies. August 2017. Retrieved from </w:t>
      </w:r>
      <w:hyperlink r:id="rId43" w:history="1">
        <w:r>
          <w:rPr>
            <w:rStyle w:val="Hyperlink"/>
          </w:rPr>
          <w:t>https://www.cdc.gov/phlp/docs/ph-emergencies.pdf</w:t>
        </w:r>
      </w:hyperlink>
      <w:r>
        <w:t>.</w:t>
      </w:r>
      <w:bookmarkEnd w:id="5"/>
    </w:p>
  </w:footnote>
  <w:footnote w:id="45">
    <w:p w14:paraId="03048A23" w14:textId="7CD7EBE1" w:rsidR="00691752" w:rsidRDefault="00691752">
      <w:pPr>
        <w:pStyle w:val="FootnoteText"/>
      </w:pPr>
      <w:r>
        <w:rPr>
          <w:rStyle w:val="FootnoteReference"/>
        </w:rPr>
        <w:footnoteRef/>
      </w:r>
      <w:r>
        <w:t xml:space="preserve"> </w:t>
      </w:r>
      <w:r w:rsidRPr="00A20535">
        <w:t>Pub. L. No. 109-417</w:t>
      </w:r>
    </w:p>
  </w:footnote>
  <w:footnote w:id="46">
    <w:p w14:paraId="013FB4E5" w14:textId="6D06E235" w:rsidR="00691752" w:rsidRDefault="00691752">
      <w:pPr>
        <w:pStyle w:val="FootnoteText"/>
      </w:pPr>
      <w:r>
        <w:rPr>
          <w:rStyle w:val="FootnoteReference"/>
        </w:rPr>
        <w:footnoteRef/>
      </w:r>
      <w:r>
        <w:t xml:space="preserve"> HHS ASPR. </w:t>
      </w:r>
      <w:r w:rsidRPr="00FC2788">
        <w:t>Biomedical Advanced Research and Development Authority</w:t>
      </w:r>
      <w:r>
        <w:t>. Web</w:t>
      </w:r>
      <w:r w:rsidRPr="00AA1EE5">
        <w:t>page last reviewed</w:t>
      </w:r>
      <w:r>
        <w:t xml:space="preserve"> </w:t>
      </w:r>
      <w:r w:rsidRPr="00AA1EE5">
        <w:t>February 27, 2020</w:t>
      </w:r>
      <w:r>
        <w:t xml:space="preserve">. Retrieved from </w:t>
      </w:r>
      <w:hyperlink r:id="rId44" w:history="1">
        <w:r w:rsidRPr="0079482F">
          <w:rPr>
            <w:rStyle w:val="Hyperlink"/>
          </w:rPr>
          <w:t>https://www.phe.gov/about/barda/Pages/default.aspx</w:t>
        </w:r>
      </w:hyperlink>
      <w:r>
        <w:t xml:space="preserve">. </w:t>
      </w:r>
    </w:p>
  </w:footnote>
  <w:footnote w:id="47">
    <w:p w14:paraId="2BCA2325" w14:textId="47914D52" w:rsidR="00691752" w:rsidRDefault="00691752" w:rsidP="001A4EF3">
      <w:pPr>
        <w:pStyle w:val="FootnoteText"/>
      </w:pPr>
      <w:r>
        <w:rPr>
          <w:rStyle w:val="FootnoteReference"/>
        </w:rPr>
        <w:footnoteRef/>
      </w:r>
      <w:r>
        <w:t xml:space="preserve"> Pub. L. No. 113-5. Codified at 42 U.S.C. §§ 247d, 300hh-1(b)(3)(E), 247d-3a(b)(2)(a)(iii), 247d-6d(i</w:t>
      </w:r>
      <w:bookmarkStart w:id="6" w:name="_GoBack"/>
      <w:bookmarkEnd w:id="6"/>
      <w:r>
        <w:t xml:space="preserve">)(7)(iii), 21 U.S.C. § 360bbb-3, et seq. </w:t>
      </w:r>
      <w:r w:rsidRPr="008D4BCE">
        <w:t xml:space="preserve">PAHPRA </w:t>
      </w:r>
      <w:r>
        <w:t xml:space="preserve">also </w:t>
      </w:r>
      <w:r w:rsidRPr="008D4BCE">
        <w:t>require</w:t>
      </w:r>
      <w:r>
        <w:t xml:space="preserve">d recipients of </w:t>
      </w:r>
      <w:r w:rsidRPr="008D4BCE">
        <w:t>Pandemic and All-Hazards Preparedness Act fund</w:t>
      </w:r>
      <w:r>
        <w:t>s</w:t>
      </w:r>
      <w:r w:rsidRPr="008D4BCE">
        <w:t xml:space="preserve"> to account for children and “at-risk individuals” in their All-Hazards Public Health Emergency Preparedness and Response Plan, as well as coordinate with local Metropolitan Medical Response Systems, local Medical Reserve Corps, and the local Cities Readiness Initiative.</w:t>
      </w:r>
      <w:r>
        <w:t xml:space="preserve"> CDC PH Law Program. Selected Federal Legal Authorities Pertinent to Public Health Emergencies. August 2017. Retrieved from </w:t>
      </w:r>
      <w:hyperlink r:id="rId45" w:history="1">
        <w:r>
          <w:rPr>
            <w:rStyle w:val="Hyperlink"/>
          </w:rPr>
          <w:t>https://www.cdc.gov/phlp/docs/ph-emergencies.pdf</w:t>
        </w:r>
      </w:hyperlink>
      <w:r>
        <w:t>.</w:t>
      </w:r>
    </w:p>
  </w:footnote>
  <w:footnote w:id="48">
    <w:p w14:paraId="7FB7DC37" w14:textId="4B63EFF0" w:rsidR="00691752" w:rsidRDefault="00691752">
      <w:pPr>
        <w:pStyle w:val="FootnoteText"/>
      </w:pPr>
      <w:r>
        <w:rPr>
          <w:rStyle w:val="FootnoteReference"/>
        </w:rPr>
        <w:footnoteRef/>
      </w:r>
      <w:r>
        <w:t xml:space="preserve"> </w:t>
      </w:r>
      <w:r w:rsidRPr="008909D9">
        <w:t>21 USC 360bbb-3</w:t>
      </w:r>
    </w:p>
  </w:footnote>
  <w:footnote w:id="49">
    <w:p w14:paraId="7C4145AC" w14:textId="37AD2251" w:rsidR="00691752" w:rsidRDefault="00691752">
      <w:pPr>
        <w:pStyle w:val="FootnoteText"/>
      </w:pPr>
      <w:r>
        <w:rPr>
          <w:rStyle w:val="FootnoteReference"/>
        </w:rPr>
        <w:footnoteRef/>
      </w:r>
      <w:r>
        <w:t xml:space="preserve"> FDA. </w:t>
      </w:r>
      <w:r w:rsidRPr="002F5B44">
        <w:t>Summary of PAHPRA's MCM Provisions</w:t>
      </w:r>
      <w:r>
        <w:t xml:space="preserve">. Website current as of December 6, 2019. Retrieved from </w:t>
      </w:r>
      <w:hyperlink r:id="rId46" w:history="1">
        <w:r w:rsidRPr="0079482F">
          <w:rPr>
            <w:rStyle w:val="Hyperlink"/>
          </w:rPr>
          <w:t>https://www.fda.gov/emergency-preparedness-and-response/mcm-legal-regulatory-and-policy-framework/summary-pahpras-mcm-provisions</w:t>
        </w:r>
      </w:hyperlink>
      <w:r>
        <w:t xml:space="preserve">. </w:t>
      </w:r>
    </w:p>
  </w:footnote>
  <w:footnote w:id="50">
    <w:p w14:paraId="43601344" w14:textId="1C22C33A" w:rsidR="00691752" w:rsidRDefault="00691752">
      <w:pPr>
        <w:pStyle w:val="FootnoteText"/>
      </w:pPr>
      <w:r>
        <w:rPr>
          <w:rStyle w:val="FootnoteReference"/>
        </w:rPr>
        <w:footnoteRef/>
      </w:r>
      <w:r>
        <w:t xml:space="preserve"> FDA. </w:t>
      </w:r>
      <w:r w:rsidRPr="002F5B44">
        <w:t>Summary of PAHPRA's MCM Provisions</w:t>
      </w:r>
      <w:r>
        <w:t xml:space="preserve">. Website current as of December 6, 2019. Retrieved from </w:t>
      </w:r>
      <w:hyperlink r:id="rId47" w:history="1">
        <w:r w:rsidRPr="0079482F">
          <w:rPr>
            <w:rStyle w:val="Hyperlink"/>
          </w:rPr>
          <w:t>https://www.fda.gov/emergency-preparedness-and-response/mcm-legal-regulatory-and-policy-framework/summary-pahpras-mcm-provisions</w:t>
        </w:r>
      </w:hyperlink>
      <w:r>
        <w:t>.</w:t>
      </w:r>
    </w:p>
  </w:footnote>
  <w:footnote w:id="51">
    <w:p w14:paraId="79EE079F" w14:textId="6CED041E" w:rsidR="00691752" w:rsidRDefault="00691752">
      <w:pPr>
        <w:pStyle w:val="FootnoteText"/>
      </w:pPr>
      <w:r>
        <w:rPr>
          <w:rStyle w:val="FootnoteReference"/>
        </w:rPr>
        <w:footnoteRef/>
      </w:r>
      <w:r>
        <w:t xml:space="preserve"> Pub. Law No. 114-255.</w:t>
      </w:r>
    </w:p>
  </w:footnote>
  <w:footnote w:id="52">
    <w:p w14:paraId="0090E7B0" w14:textId="421D8934" w:rsidR="00691752" w:rsidRDefault="00691752">
      <w:pPr>
        <w:pStyle w:val="FootnoteText"/>
      </w:pPr>
      <w:r>
        <w:rPr>
          <w:rStyle w:val="FootnoteReference"/>
        </w:rPr>
        <w:footnoteRef/>
      </w:r>
      <w:r>
        <w:t xml:space="preserve"> FDA. </w:t>
      </w:r>
      <w:r w:rsidRPr="001B460C">
        <w:t>21st Century Cures Act</w:t>
      </w:r>
      <w:r>
        <w:t xml:space="preserve">. Webpage current as of January 31, 2020. Retrieved from </w:t>
      </w:r>
      <w:hyperlink r:id="rId48" w:history="1">
        <w:r w:rsidRPr="00DB577A">
          <w:rPr>
            <w:rStyle w:val="Hyperlink"/>
          </w:rPr>
          <w:t>https://www.fda.gov/regulatory-information/selected-amendments-fdc-act/21st-century-cures-act</w:t>
        </w:r>
      </w:hyperlink>
      <w:r>
        <w:t xml:space="preserve">. </w:t>
      </w:r>
    </w:p>
  </w:footnote>
  <w:footnote w:id="53">
    <w:p w14:paraId="5F3551AC" w14:textId="62F6C609" w:rsidR="00691752" w:rsidRDefault="00691752">
      <w:pPr>
        <w:pStyle w:val="FootnoteText"/>
      </w:pPr>
      <w:r>
        <w:rPr>
          <w:rStyle w:val="FootnoteReference"/>
        </w:rPr>
        <w:footnoteRef/>
      </w:r>
      <w:r>
        <w:t xml:space="preserve"> FDA. </w:t>
      </w:r>
      <w:r w:rsidRPr="001B460C">
        <w:t>21st Century Cures Act</w:t>
      </w:r>
      <w:r>
        <w:t xml:space="preserve">. Webpage current as of January 31, 2020. Retrieved from </w:t>
      </w:r>
      <w:hyperlink r:id="rId49" w:history="1">
        <w:r w:rsidRPr="00DB577A">
          <w:rPr>
            <w:rStyle w:val="Hyperlink"/>
          </w:rPr>
          <w:t>https://www.fda.gov/regulatory-information/selected-amendments-fdc-act/21st-century-cures-act</w:t>
        </w:r>
      </w:hyperlink>
      <w:r>
        <w:t>.</w:t>
      </w:r>
    </w:p>
  </w:footnote>
  <w:footnote w:id="54">
    <w:p w14:paraId="78FA21C2" w14:textId="699AF38E" w:rsidR="00691752" w:rsidRDefault="00691752">
      <w:pPr>
        <w:pStyle w:val="FootnoteText"/>
      </w:pPr>
      <w:r>
        <w:rPr>
          <w:rStyle w:val="FootnoteReference"/>
        </w:rPr>
        <w:footnoteRef/>
      </w:r>
      <w:r>
        <w:t xml:space="preserve"> FDA. </w:t>
      </w:r>
      <w:r w:rsidRPr="0092431A">
        <w:t>21st Century Cures Act: MCM-Related Cures Provisions</w:t>
      </w:r>
      <w:r>
        <w:t xml:space="preserve">. Webpage current as of October 10, 2019. Retrieved from </w:t>
      </w:r>
      <w:hyperlink r:id="rId50" w:history="1">
        <w:r w:rsidRPr="00DB577A">
          <w:rPr>
            <w:rStyle w:val="Hyperlink"/>
          </w:rPr>
          <w:t>https://www.fda.gov/emergency-preparedness-and-response/mcm-legal-regulatory-and-policy-framework/21st-century-cures-act-mcm-related-cures-provisions</w:t>
        </w:r>
      </w:hyperlink>
      <w:r>
        <w:t xml:space="preserve">. </w:t>
      </w:r>
    </w:p>
  </w:footnote>
  <w:footnote w:id="55">
    <w:p w14:paraId="58961211" w14:textId="2DB377FB" w:rsidR="00691752" w:rsidRDefault="00691752">
      <w:pPr>
        <w:pStyle w:val="FootnoteText"/>
      </w:pPr>
      <w:r>
        <w:rPr>
          <w:rStyle w:val="FootnoteReference"/>
        </w:rPr>
        <w:footnoteRef/>
      </w:r>
      <w:r>
        <w:t xml:space="preserve"> </w:t>
      </w:r>
      <w:bookmarkStart w:id="7" w:name="_Hlk35527875"/>
      <w:r>
        <w:t xml:space="preserve">FDA. </w:t>
      </w:r>
      <w:r w:rsidRPr="0092431A">
        <w:t>21st Century Cures Act: MCM-Related Cures Provisions</w:t>
      </w:r>
      <w:r>
        <w:t xml:space="preserve">. Webpage current as of October 10, 2019. Retrieved from </w:t>
      </w:r>
      <w:hyperlink r:id="rId51" w:history="1">
        <w:r w:rsidRPr="00DB577A">
          <w:rPr>
            <w:rStyle w:val="Hyperlink"/>
          </w:rPr>
          <w:t>https://www.fda.gov/emergency-preparedness-and-response/mcm-legal-regulatory-and-policy-framework/21st-century-cures-act-mcm-related-cures-provisions</w:t>
        </w:r>
      </w:hyperlink>
      <w:r>
        <w:t xml:space="preserve">. </w:t>
      </w:r>
      <w:bookmarkEnd w:id="7"/>
    </w:p>
  </w:footnote>
  <w:footnote w:id="56">
    <w:p w14:paraId="3C0312FA" w14:textId="7AA8455C" w:rsidR="00691752" w:rsidRDefault="00691752">
      <w:pPr>
        <w:pStyle w:val="FootnoteText"/>
      </w:pPr>
      <w:r>
        <w:rPr>
          <w:rStyle w:val="FootnoteReference"/>
        </w:rPr>
        <w:footnoteRef/>
      </w:r>
      <w:r>
        <w:t xml:space="preserve"> FDA. </w:t>
      </w:r>
      <w:r w:rsidRPr="0092431A">
        <w:t>21st Century Cures Act: MCM-Related Cures Provisions</w:t>
      </w:r>
      <w:r>
        <w:t xml:space="preserve">. Webpage current as of October 10, 2019. Retrieved from </w:t>
      </w:r>
      <w:hyperlink r:id="rId52" w:history="1">
        <w:r w:rsidRPr="00DB577A">
          <w:rPr>
            <w:rStyle w:val="Hyperlink"/>
          </w:rPr>
          <w:t>https://www.fda.gov/emergency-preparedness-and-response/mcm-legal-regulatory-and-policy-framework/21st-century-cures-act-mcm-related-cures-provisions</w:t>
        </w:r>
      </w:hyperlink>
      <w:r>
        <w:t>.</w:t>
      </w:r>
    </w:p>
  </w:footnote>
  <w:footnote w:id="57">
    <w:p w14:paraId="640FF78B" w14:textId="092C02B1" w:rsidR="00691752" w:rsidRDefault="00691752">
      <w:pPr>
        <w:pStyle w:val="FootnoteText"/>
      </w:pPr>
      <w:r>
        <w:rPr>
          <w:rStyle w:val="FootnoteReference"/>
        </w:rPr>
        <w:footnoteRef/>
      </w:r>
      <w:r>
        <w:t xml:space="preserve"> </w:t>
      </w:r>
      <w:r w:rsidRPr="00BB0284">
        <w:t>Public Law No. 116-22.</w:t>
      </w:r>
    </w:p>
  </w:footnote>
  <w:footnote w:id="58">
    <w:p w14:paraId="5AF53892" w14:textId="77777777" w:rsidR="00691752" w:rsidRDefault="00691752" w:rsidP="00B31798">
      <w:pPr>
        <w:pStyle w:val="FootnoteText"/>
      </w:pPr>
      <w:r>
        <w:rPr>
          <w:rStyle w:val="FootnoteReference"/>
        </w:rPr>
        <w:footnoteRef/>
      </w:r>
      <w:r>
        <w:t xml:space="preserve"> </w:t>
      </w:r>
      <w:r w:rsidRPr="00875AF9">
        <w:t>PAHPAIA also establishes and recognizes key interagency collaborations between FDA and other interagency partners by formalizing FDA membership, roles, and responsibilities in the Public Health Emergency Medical Countermeasures Enterprise (PHEMCE), as well as multiple national advisory committees on disasters.</w:t>
      </w:r>
    </w:p>
  </w:footnote>
  <w:footnote w:id="59">
    <w:p w14:paraId="751A9177" w14:textId="77777777" w:rsidR="00691752" w:rsidRDefault="00691752" w:rsidP="006E6540">
      <w:pPr>
        <w:pStyle w:val="FootnoteText"/>
      </w:pPr>
      <w:r>
        <w:rPr>
          <w:rStyle w:val="FootnoteReference"/>
        </w:rPr>
        <w:footnoteRef/>
      </w:r>
      <w:r>
        <w:t xml:space="preserve"> FDA.</w:t>
      </w:r>
      <w:r w:rsidRPr="00020E45">
        <w:t xml:space="preserve"> </w:t>
      </w:r>
      <w:r>
        <w:t xml:space="preserve">Emergency Use Authorization of Medical Products and Related Authorities: Guidance for Industry and Other Stakeholders. January 2017. Retrieved from </w:t>
      </w:r>
      <w:hyperlink r:id="rId53" w:history="1">
        <w:r w:rsidRPr="00CE1B0D">
          <w:rPr>
            <w:rStyle w:val="Hyperlink"/>
          </w:rPr>
          <w:t>https://www.fda.gov/regulatory-information/search-fda-guidance-documents/emergency-use-authorization-medical-products-and-related-authorities</w:t>
        </w:r>
      </w:hyperlink>
      <w:r>
        <w:t xml:space="preserve">. </w:t>
      </w:r>
    </w:p>
    <w:p w14:paraId="0CCB8C36" w14:textId="1D0076E2" w:rsidR="00691752" w:rsidRDefault="00691752" w:rsidP="006E6540">
      <w:pPr>
        <w:pStyle w:val="FootnoteText"/>
      </w:pPr>
      <w:r>
        <w:t>FDA notes that a</w:t>
      </w:r>
      <w:r w:rsidRPr="002368A6">
        <w:t xml:space="preserve">lthough </w:t>
      </w:r>
      <w:r>
        <w:t>this guidance</w:t>
      </w:r>
      <w:r w:rsidRPr="002368A6">
        <w:t xml:space="preserve"> </w:t>
      </w:r>
      <w:r>
        <w:t>“…</w:t>
      </w:r>
      <w:r w:rsidRPr="002368A6">
        <w:t>does not specifically reference animal drugs, its recommendations apply to this new authority. FDA intends to address any novel questions or issues over time as we develop more experience with animal drug EUAs.</w:t>
      </w:r>
      <w:r>
        <w:t xml:space="preserve">” FDA. </w:t>
      </w:r>
      <w:r w:rsidRPr="0092431A">
        <w:t>21st Century Cures Act: MCM-Related Cures Provisions</w:t>
      </w:r>
      <w:r>
        <w:t xml:space="preserve">. Webpage current as of October 10, 2019. Retrieved from </w:t>
      </w:r>
      <w:hyperlink r:id="rId54" w:history="1">
        <w:r w:rsidRPr="00DB577A">
          <w:rPr>
            <w:rStyle w:val="Hyperlink"/>
          </w:rPr>
          <w:t>https://www.fda.gov/emergency-preparedness-and-response/mcm-legal-regulatory-and-policy-framework/21st-century-cures-act-mcm-related-cures-provisions</w:t>
        </w:r>
      </w:hyperlink>
      <w:r>
        <w:t>.</w:t>
      </w:r>
    </w:p>
  </w:footnote>
  <w:footnote w:id="60">
    <w:p w14:paraId="1B2C451C" w14:textId="67A95DB1" w:rsidR="00691752" w:rsidRDefault="00691752">
      <w:pPr>
        <w:pStyle w:val="FootnoteText"/>
      </w:pPr>
      <w:r>
        <w:rPr>
          <w:rStyle w:val="FootnoteReference"/>
        </w:rPr>
        <w:footnoteRef/>
      </w:r>
      <w:r>
        <w:t xml:space="preserve"> FDA. </w:t>
      </w:r>
      <w:r w:rsidRPr="009F5539">
        <w:t>Emergency Use of Approved MCMs</w:t>
      </w:r>
      <w:r>
        <w:t xml:space="preserve">. Webpage current as of April 30, 2019. Retrieved from </w:t>
      </w:r>
      <w:hyperlink r:id="rId55" w:history="1">
        <w:r>
          <w:rPr>
            <w:rStyle w:val="Hyperlink"/>
          </w:rPr>
          <w:t>https://www.fda.gov/emergency-preparedness-and-response/mcm-legal-regulatory-and-policy-framework/emergency-use-approved-mcms</w:t>
        </w:r>
      </w:hyperlink>
      <w:r>
        <w:t>.</w:t>
      </w:r>
    </w:p>
  </w:footnote>
  <w:footnote w:id="61">
    <w:p w14:paraId="709475B3" w14:textId="26EC54BE" w:rsidR="00691752" w:rsidRDefault="00691752">
      <w:pPr>
        <w:pStyle w:val="FootnoteText"/>
      </w:pPr>
      <w:r>
        <w:rPr>
          <w:rStyle w:val="FootnoteReference"/>
        </w:rPr>
        <w:footnoteRef/>
      </w:r>
      <w:r>
        <w:t xml:space="preserve"> FDA. </w:t>
      </w:r>
      <w:r w:rsidRPr="009F5539">
        <w:t>Emergency Use of Approved MCMs</w:t>
      </w:r>
      <w:r>
        <w:t xml:space="preserve">. Webpage current as of April 30, 2019. Retrieved from </w:t>
      </w:r>
      <w:hyperlink r:id="rId56" w:history="1">
        <w:r>
          <w:rPr>
            <w:rStyle w:val="Hyperlink"/>
          </w:rPr>
          <w:t>https://www.fda.gov/emergency-preparedness-and-response/mcm-legal-regulatory-and-policy-framework/emergency-use-approved-mcms</w:t>
        </w:r>
      </w:hyperlink>
      <w:r>
        <w:t>.</w:t>
      </w:r>
    </w:p>
  </w:footnote>
  <w:footnote w:id="62">
    <w:p w14:paraId="4CBAAB51" w14:textId="5AEC42E5" w:rsidR="00691752" w:rsidRDefault="00691752">
      <w:pPr>
        <w:pStyle w:val="FootnoteText"/>
      </w:pPr>
      <w:r>
        <w:rPr>
          <w:rStyle w:val="FootnoteReference"/>
        </w:rPr>
        <w:footnoteRef/>
      </w:r>
      <w:r>
        <w:t xml:space="preserve"> </w:t>
      </w:r>
      <w:r w:rsidRPr="006E07E4">
        <w:t xml:space="preserve">FD&amp;C Act </w:t>
      </w:r>
      <w:r>
        <w:t>§</w:t>
      </w:r>
      <w:r w:rsidRPr="006E07E4">
        <w:t>564A(b)</w:t>
      </w:r>
      <w:r>
        <w:t xml:space="preserve">. </w:t>
      </w:r>
      <w:r w:rsidRPr="00F14BFE">
        <w:rPr>
          <w:i/>
          <w:iCs/>
        </w:rPr>
        <w:t>See also</w:t>
      </w:r>
      <w:r>
        <w:t xml:space="preserve"> FDA. </w:t>
      </w:r>
      <w:r w:rsidRPr="009F5539">
        <w:t>Emergency Use of Approved MCMs</w:t>
      </w:r>
      <w:r>
        <w:t xml:space="preserve">. Webpage current as of April 30, 2019. Retrieved from </w:t>
      </w:r>
      <w:hyperlink r:id="rId57" w:history="1">
        <w:r>
          <w:rPr>
            <w:rStyle w:val="Hyperlink"/>
          </w:rPr>
          <w:t>https://www.fda.gov/emergency-preparedness-and-response/mcm-legal-regulatory-and-policy-framework/emergency-use-approved-mcms</w:t>
        </w:r>
      </w:hyperlink>
      <w:r>
        <w:t>.</w:t>
      </w:r>
    </w:p>
  </w:footnote>
  <w:footnote w:id="63">
    <w:p w14:paraId="1EEB7BB5" w14:textId="5944661F" w:rsidR="00691752" w:rsidRDefault="00691752">
      <w:pPr>
        <w:pStyle w:val="FootnoteText"/>
      </w:pPr>
      <w:r>
        <w:rPr>
          <w:rStyle w:val="FootnoteReference"/>
        </w:rPr>
        <w:footnoteRef/>
      </w:r>
      <w:r>
        <w:t xml:space="preserve"> H</w:t>
      </w:r>
      <w:r w:rsidRPr="00371663">
        <w:t>HS</w:t>
      </w:r>
      <w:r>
        <w:t xml:space="preserve">. Memorandum from HHS Secretary. </w:t>
      </w:r>
      <w:r w:rsidRPr="00371663">
        <w:t xml:space="preserve">Delegation of Authority of FD&amp;C Act </w:t>
      </w:r>
      <w:r>
        <w:t>§</w:t>
      </w:r>
      <w:r w:rsidRPr="00371663">
        <w:t>564A(e)</w:t>
      </w:r>
      <w:r>
        <w:t xml:space="preserve">, </w:t>
      </w:r>
      <w:r w:rsidRPr="00371663">
        <w:t>December 16, 2013</w:t>
      </w:r>
      <w:r>
        <w:t xml:space="preserve">. Retrieved from </w:t>
      </w:r>
      <w:hyperlink r:id="rId58" w:history="1">
        <w:r>
          <w:rPr>
            <w:rStyle w:val="Hyperlink"/>
          </w:rPr>
          <w:t>https://www.fda.gov/media/99227/download</w:t>
        </w:r>
      </w:hyperlink>
      <w:r>
        <w:t>.</w:t>
      </w:r>
    </w:p>
  </w:footnote>
  <w:footnote w:id="64">
    <w:p w14:paraId="2FD53C92" w14:textId="0404D406" w:rsidR="00691752" w:rsidRDefault="00691752">
      <w:pPr>
        <w:pStyle w:val="FootnoteText"/>
      </w:pPr>
      <w:r>
        <w:rPr>
          <w:rStyle w:val="FootnoteReference"/>
        </w:rPr>
        <w:footnoteRef/>
      </w:r>
      <w:r>
        <w:t xml:space="preserve"> </w:t>
      </w:r>
      <w:r w:rsidRPr="00371663">
        <w:t xml:space="preserve">FD&amp;C Act </w:t>
      </w:r>
      <w:r>
        <w:t>§</w:t>
      </w:r>
      <w:r w:rsidRPr="00371663">
        <w:t>Sec. 564A(e)</w:t>
      </w:r>
      <w:r>
        <w:t>. H</w:t>
      </w:r>
      <w:r w:rsidRPr="00371663">
        <w:t>HS</w:t>
      </w:r>
      <w:r>
        <w:t xml:space="preserve">. Memorandum from HHS Secretary. </w:t>
      </w:r>
      <w:r w:rsidRPr="00371663">
        <w:t xml:space="preserve">Delegation of Authority of FD&amp;C Act </w:t>
      </w:r>
      <w:r>
        <w:t>§</w:t>
      </w:r>
      <w:r w:rsidRPr="00371663">
        <w:t>564A(e)</w:t>
      </w:r>
      <w:r>
        <w:t xml:space="preserve">, </w:t>
      </w:r>
      <w:r w:rsidRPr="00371663">
        <w:t>December 16, 2013</w:t>
      </w:r>
      <w:r>
        <w:t xml:space="preserve">. Retrieved from </w:t>
      </w:r>
      <w:hyperlink r:id="rId59" w:history="1">
        <w:r>
          <w:rPr>
            <w:rStyle w:val="Hyperlink"/>
          </w:rPr>
          <w:t>https://www.fda.gov/media/99227/download</w:t>
        </w:r>
      </w:hyperlink>
      <w:r>
        <w:t xml:space="preserve">.. </w:t>
      </w:r>
      <w:r w:rsidRPr="00F14BFE">
        <w:rPr>
          <w:i/>
          <w:iCs/>
        </w:rPr>
        <w:t>See also</w:t>
      </w:r>
      <w:r>
        <w:t xml:space="preserve"> FDA. </w:t>
      </w:r>
      <w:r w:rsidRPr="009F5539">
        <w:t>Emergency Use of Approved MCMs</w:t>
      </w:r>
      <w:r>
        <w:t xml:space="preserve">. Webpage current as of April 30, 2019. Retrieved from </w:t>
      </w:r>
      <w:hyperlink r:id="rId60" w:history="1">
        <w:r>
          <w:rPr>
            <w:rStyle w:val="Hyperlink"/>
          </w:rPr>
          <w:t>https://www.fda.gov/emergency-preparedness-and-response/mcm-legal-regulatory-and-policy-framework/emergency-use-approved-mcms</w:t>
        </w:r>
      </w:hyperlink>
      <w:r>
        <w:t>.</w:t>
      </w:r>
    </w:p>
  </w:footnote>
  <w:footnote w:id="65">
    <w:p w14:paraId="4891D57C" w14:textId="01029BA6" w:rsidR="00691752" w:rsidRDefault="00691752">
      <w:pPr>
        <w:pStyle w:val="FootnoteText"/>
      </w:pPr>
      <w:r>
        <w:rPr>
          <w:rStyle w:val="FootnoteReference"/>
        </w:rPr>
        <w:footnoteRef/>
      </w:r>
      <w:r>
        <w:t xml:space="preserve"> </w:t>
      </w:r>
      <w:r w:rsidRPr="00371663">
        <w:t xml:space="preserve">FD&amp;C Act </w:t>
      </w:r>
      <w:r>
        <w:t>§</w:t>
      </w:r>
      <w:r w:rsidRPr="00042952">
        <w:t>Sec. 564A(c)</w:t>
      </w:r>
      <w:r>
        <w:t xml:space="preserve">. </w:t>
      </w:r>
      <w:r w:rsidRPr="00F14BFE">
        <w:rPr>
          <w:i/>
          <w:iCs/>
        </w:rPr>
        <w:t>See also</w:t>
      </w:r>
      <w:r>
        <w:t xml:space="preserve"> FDA. </w:t>
      </w:r>
      <w:r w:rsidRPr="009F5539">
        <w:t>Emergency Use of Approved MCMs</w:t>
      </w:r>
      <w:r>
        <w:t xml:space="preserve">. Webpage current as of April 30, 2019. Retrieved from </w:t>
      </w:r>
      <w:hyperlink r:id="rId61" w:history="1">
        <w:r>
          <w:rPr>
            <w:rStyle w:val="Hyperlink"/>
          </w:rPr>
          <w:t>https://www.fda.gov/emergency-preparedness-and-response/mcm-legal-regulatory-and-policy-framework/emergency-use-approved-mcms</w:t>
        </w:r>
      </w:hyperlink>
      <w:r>
        <w:t xml:space="preserve">. </w:t>
      </w:r>
      <w:r w:rsidRPr="005F7704">
        <w:rPr>
          <w:i/>
          <w:iCs/>
        </w:rPr>
        <w:t>And see</w:t>
      </w:r>
      <w:r>
        <w:t xml:space="preserve"> FDA. </w:t>
      </w:r>
      <w:r w:rsidRPr="00221E89">
        <w:t>Emergency Dispensing Orders</w:t>
      </w:r>
      <w:r>
        <w:t xml:space="preserve">. Webpage current as of April 30, 2019. Retrieved from </w:t>
      </w:r>
      <w:hyperlink r:id="rId62" w:history="1">
        <w:r w:rsidRPr="00CE1B0D">
          <w:rPr>
            <w:rStyle w:val="Hyperlink"/>
          </w:rPr>
          <w:t>https://www.fda.gov/emergency-preparedness-and-response/mcm-legal-regulatory-and-policy-framework/emergency-dispensing-orders</w:t>
        </w:r>
      </w:hyperlink>
      <w:r>
        <w:t>.</w:t>
      </w:r>
    </w:p>
  </w:footnote>
  <w:footnote w:id="66">
    <w:p w14:paraId="512474DC" w14:textId="6D532911" w:rsidR="00691752" w:rsidRDefault="00691752">
      <w:pPr>
        <w:pStyle w:val="FootnoteText"/>
      </w:pPr>
      <w:r>
        <w:rPr>
          <w:rStyle w:val="FootnoteReference"/>
        </w:rPr>
        <w:footnoteRef/>
      </w:r>
      <w:r>
        <w:t xml:space="preserve"> </w:t>
      </w:r>
      <w:r w:rsidRPr="00C5436E">
        <w:t xml:space="preserve">FD&amp;C Act </w:t>
      </w:r>
      <w:r>
        <w:t>§</w:t>
      </w:r>
      <w:r w:rsidRPr="00C5436E">
        <w:t>564A(d)</w:t>
      </w:r>
      <w:r>
        <w:t xml:space="preserve">. </w:t>
      </w:r>
      <w:r w:rsidRPr="00F14BFE">
        <w:rPr>
          <w:i/>
          <w:iCs/>
        </w:rPr>
        <w:t>See also</w:t>
      </w:r>
      <w:r>
        <w:t xml:space="preserve"> FDA. </w:t>
      </w:r>
      <w:r w:rsidRPr="009F5539">
        <w:t>Emergency Use of Approved MCMs</w:t>
      </w:r>
      <w:r>
        <w:t xml:space="preserve">. Webpage current as of April 30, 2019. Retrieved from </w:t>
      </w:r>
      <w:hyperlink r:id="rId63" w:history="1">
        <w:r>
          <w:rPr>
            <w:rStyle w:val="Hyperlink"/>
          </w:rPr>
          <w:t>https://www.fda.gov/emergency-preparedness-and-response/mcm-legal-regulatory-and-policy-framework/emergency-use-approved-mcms</w:t>
        </w:r>
      </w:hyperlink>
      <w:r>
        <w:t xml:space="preserve">. </w:t>
      </w:r>
      <w:r w:rsidRPr="005F7704">
        <w:rPr>
          <w:i/>
          <w:iCs/>
        </w:rPr>
        <w:t>And see</w:t>
      </w:r>
      <w:r>
        <w:t xml:space="preserve"> FDA. </w:t>
      </w:r>
      <w:r w:rsidRPr="00221E89">
        <w:t>Emergency Dispensing Orders</w:t>
      </w:r>
      <w:r>
        <w:t xml:space="preserve">. Webpage current as of April 30, 2019. Retrieved from </w:t>
      </w:r>
      <w:hyperlink r:id="rId64" w:history="1">
        <w:r w:rsidRPr="00CE1B0D">
          <w:rPr>
            <w:rStyle w:val="Hyperlink"/>
          </w:rPr>
          <w:t>https://www.fda.gov/emergency-preparedness-and-response/mcm-legal-regulatory-and-policy-framework/emergency-dispensing-orders</w:t>
        </w:r>
      </w:hyperlink>
      <w:r>
        <w:t xml:space="preserve">. </w:t>
      </w:r>
    </w:p>
  </w:footnote>
  <w:footnote w:id="67">
    <w:p w14:paraId="719858AC" w14:textId="1A3FE350" w:rsidR="00691752" w:rsidRDefault="00691752">
      <w:pPr>
        <w:pStyle w:val="FootnoteText"/>
      </w:pPr>
      <w:r>
        <w:rPr>
          <w:rStyle w:val="FootnoteReference"/>
        </w:rPr>
        <w:footnoteRef/>
      </w:r>
      <w:r>
        <w:t xml:space="preserve"> FDA. </w:t>
      </w:r>
      <w:r w:rsidRPr="009F5539">
        <w:t>Emergency Use of Approved MCMs</w:t>
      </w:r>
      <w:r>
        <w:t xml:space="preserve">. Webpage current as of April 30, 2019. Retrieved from </w:t>
      </w:r>
      <w:hyperlink r:id="rId65" w:history="1">
        <w:r>
          <w:rPr>
            <w:rStyle w:val="Hyperlink"/>
          </w:rPr>
          <w:t>https://www.fda.gov/emergency-preparedness-and-response/mcm-legal-regulatory-and-policy-framework/emergency-use-approved-mcms</w:t>
        </w:r>
      </w:hyperlink>
      <w:r>
        <w:t>.</w:t>
      </w:r>
    </w:p>
  </w:footnote>
  <w:footnote w:id="68">
    <w:p w14:paraId="09B338C3" w14:textId="3381B973" w:rsidR="00691752" w:rsidRDefault="00691752">
      <w:pPr>
        <w:pStyle w:val="FootnoteText"/>
      </w:pPr>
      <w:r>
        <w:rPr>
          <w:rStyle w:val="FootnoteReference"/>
        </w:rPr>
        <w:footnoteRef/>
      </w:r>
      <w:r>
        <w:t xml:space="preserve"> </w:t>
      </w:r>
      <w:r w:rsidRPr="00C5436E">
        <w:t xml:space="preserve">FD&amp;C Act </w:t>
      </w:r>
      <w:r>
        <w:t>§</w:t>
      </w:r>
      <w:r w:rsidRPr="00936484">
        <w:t>505-1</w:t>
      </w:r>
      <w:r>
        <w:t xml:space="preserve">. </w:t>
      </w:r>
      <w:r w:rsidRPr="00F14BFE">
        <w:rPr>
          <w:i/>
          <w:iCs/>
        </w:rPr>
        <w:t>See also</w:t>
      </w:r>
      <w:r>
        <w:t xml:space="preserve"> FDA. </w:t>
      </w:r>
      <w:r w:rsidRPr="009F5539">
        <w:t>Emergency Use of Approved MCMs</w:t>
      </w:r>
      <w:r>
        <w:t xml:space="preserve">. Webpage current as of April 30, 2019. Retrieved from </w:t>
      </w:r>
      <w:hyperlink r:id="rId66" w:history="1">
        <w:r>
          <w:rPr>
            <w:rStyle w:val="Hyperlink"/>
          </w:rPr>
          <w:t>https://www.fda.gov/emergency-preparedness-and-response/mcm-legal-regulatory-and-policy-framework/emergency-use-approved-mcms</w:t>
        </w:r>
      </w:hyperlink>
      <w:r>
        <w:t>.</w:t>
      </w:r>
    </w:p>
  </w:footnote>
  <w:footnote w:id="69">
    <w:p w14:paraId="06842F34" w14:textId="5C136642" w:rsidR="00691752" w:rsidRDefault="00691752">
      <w:pPr>
        <w:pStyle w:val="FootnoteText"/>
      </w:pPr>
      <w:r>
        <w:rPr>
          <w:rStyle w:val="FootnoteReference"/>
        </w:rPr>
        <w:footnoteRef/>
      </w:r>
      <w:r>
        <w:t xml:space="preserve"> 21 U.S.C. § 360bbb-3.</w:t>
      </w:r>
    </w:p>
  </w:footnote>
  <w:footnote w:id="70">
    <w:p w14:paraId="34DD8FAA" w14:textId="7DC465CC" w:rsidR="00691752" w:rsidRDefault="00691752" w:rsidP="00277489">
      <w:pPr>
        <w:pStyle w:val="FootnoteText"/>
      </w:pPr>
      <w:r>
        <w:rPr>
          <w:rStyle w:val="FootnoteReference"/>
        </w:rPr>
        <w:footnoteRef/>
      </w:r>
      <w:r>
        <w:t xml:space="preserve"> FDA. </w:t>
      </w:r>
      <w:r w:rsidRPr="00E3674C">
        <w:t>Emergency Use Authorization</w:t>
      </w:r>
      <w:r>
        <w:t xml:space="preserve">. Webpage current as of March 17, 2020. Retrieved from </w:t>
      </w:r>
      <w:hyperlink r:id="rId67" w:history="1">
        <w:r w:rsidRPr="00CE1B0D">
          <w:rPr>
            <w:rStyle w:val="Hyperlink"/>
          </w:rPr>
          <w:t>https://www.fda.gov/emergency-preparedness-and-response/mcm-legal-regulatory-and-policy-framework/emergency-use-authorization</w:t>
        </w:r>
      </w:hyperlink>
      <w:r>
        <w:t xml:space="preserve">. </w:t>
      </w:r>
      <w:r w:rsidRPr="00691752">
        <w:t>Section 564 of the FD&amp;C Act was amended by the Project Bioshield Act of 2004 and was further amended by the Pandemic and All-Hazards Preparedness Reauthorization Act of 2013 (PAHPRA), the 21st Century Cures Act of 2016, and Public Law 115-92 of 2017.</w:t>
      </w:r>
      <w:r>
        <w:t xml:space="preserve"> </w:t>
      </w:r>
      <w:r w:rsidRPr="00691752">
        <w:t xml:space="preserve">EUA authority for sections 564, 564A, and 564B of </w:t>
      </w:r>
      <w:r>
        <w:t xml:space="preserve">FD&amp;C Act </w:t>
      </w:r>
      <w:r w:rsidRPr="00691752">
        <w:t>was expanded by the 21st Century Cures Act of 2016, Pub. L. No. 114-255, to include drugs approved for use in animals.</w:t>
      </w:r>
    </w:p>
  </w:footnote>
  <w:footnote w:id="71">
    <w:p w14:paraId="155E094A" w14:textId="3A39094F" w:rsidR="00691752" w:rsidRDefault="00691752">
      <w:pPr>
        <w:pStyle w:val="FootnoteText"/>
      </w:pPr>
      <w:r>
        <w:rPr>
          <w:rStyle w:val="FootnoteReference"/>
        </w:rPr>
        <w:footnoteRef/>
      </w:r>
      <w:r>
        <w:t xml:space="preserve"> CDC PH Law Program. Selected Federal Legal Authorities Pertinent to Public Health Emergencies. August 2017. Retrieved from </w:t>
      </w:r>
      <w:hyperlink r:id="rId68" w:history="1">
        <w:r>
          <w:rPr>
            <w:rStyle w:val="Hyperlink"/>
          </w:rPr>
          <w:t>https://www.cdc.gov/phlp/docs/ph-emergencies.pdf</w:t>
        </w:r>
      </w:hyperlink>
      <w:r>
        <w:t>.</w:t>
      </w:r>
    </w:p>
  </w:footnote>
  <w:footnote w:id="72">
    <w:p w14:paraId="11597A71" w14:textId="1EE16461" w:rsidR="00691752" w:rsidRDefault="00691752">
      <w:pPr>
        <w:pStyle w:val="FootnoteText"/>
      </w:pPr>
      <w:r>
        <w:rPr>
          <w:rStyle w:val="FootnoteReference"/>
        </w:rPr>
        <w:footnoteRef/>
      </w:r>
      <w:r>
        <w:t xml:space="preserve"> CDC PH Law Program. Selected Federal Legal Authorities Pertinent to Public Health Emergencies. August 2017. Retrieved from </w:t>
      </w:r>
      <w:hyperlink r:id="rId69" w:history="1">
        <w:r>
          <w:rPr>
            <w:rStyle w:val="Hyperlink"/>
          </w:rPr>
          <w:t>https://www.cdc.gov/phlp/docs/ph-emergencies.pdf</w:t>
        </w:r>
      </w:hyperlink>
      <w:r>
        <w:t>.</w:t>
      </w:r>
    </w:p>
  </w:footnote>
  <w:footnote w:id="73">
    <w:p w14:paraId="506A6514" w14:textId="4EE320D5" w:rsidR="00691752" w:rsidRDefault="00691752">
      <w:pPr>
        <w:pStyle w:val="FootnoteText"/>
      </w:pPr>
      <w:r>
        <w:rPr>
          <w:rStyle w:val="FootnoteReference"/>
        </w:rPr>
        <w:footnoteRef/>
      </w:r>
      <w:r>
        <w:t xml:space="preserve"> CDC PH Law Program. Selected Federal Legal Authorities Pertinent to Public Health Emergencies. August 2017. Retrieved from </w:t>
      </w:r>
      <w:hyperlink r:id="rId70" w:history="1">
        <w:r>
          <w:rPr>
            <w:rStyle w:val="Hyperlink"/>
          </w:rPr>
          <w:t>https://www.cdc.gov/phlp/docs/ph-emergencies.pdf</w:t>
        </w:r>
      </w:hyperlink>
      <w:r>
        <w:t>.</w:t>
      </w:r>
    </w:p>
  </w:footnote>
  <w:footnote w:id="74">
    <w:p w14:paraId="5590788B" w14:textId="77777777" w:rsidR="00691752" w:rsidRDefault="00691752" w:rsidP="00E20C52">
      <w:pPr>
        <w:pStyle w:val="FootnoteText"/>
      </w:pPr>
      <w:r>
        <w:rPr>
          <w:rStyle w:val="FootnoteReference"/>
        </w:rPr>
        <w:footnoteRef/>
      </w:r>
      <w:r>
        <w:t xml:space="preserve"> FDA. </w:t>
      </w:r>
      <w:r w:rsidRPr="000E6791">
        <w:t>Summary of Process for EUA Issuance</w:t>
      </w:r>
      <w:r>
        <w:t xml:space="preserve">. Webpage current as of February 7, 2020. Retrieved from </w:t>
      </w:r>
      <w:hyperlink r:id="rId71" w:history="1">
        <w:r w:rsidRPr="00FC5DE4">
          <w:rPr>
            <w:rStyle w:val="Hyperlink"/>
          </w:rPr>
          <w:t>https://www.fda.gov/emergency-preparedness-and-response/mcm-legal-regulatory-and-policy-framework/summary-process-eua-issuance</w:t>
        </w:r>
      </w:hyperlink>
      <w:r>
        <w:t>.</w:t>
      </w:r>
    </w:p>
  </w:footnote>
  <w:footnote w:id="75">
    <w:p w14:paraId="3AA6A470" w14:textId="6A522A80" w:rsidR="00691752" w:rsidRDefault="00691752">
      <w:pPr>
        <w:pStyle w:val="FootnoteText"/>
      </w:pPr>
      <w:r>
        <w:rPr>
          <w:rStyle w:val="FootnoteReference"/>
        </w:rPr>
        <w:footnoteRef/>
      </w:r>
      <w:r>
        <w:t xml:space="preserve"> </w:t>
      </w:r>
      <w:bookmarkStart w:id="8" w:name="_Hlk35437476"/>
      <w:r>
        <w:t xml:space="preserve">FDA. </w:t>
      </w:r>
      <w:r w:rsidRPr="000E6791">
        <w:t>Summary of Process for EUA Issuance</w:t>
      </w:r>
      <w:r>
        <w:t xml:space="preserve">. Webpage current as of February 7, 2020. Retrieved from </w:t>
      </w:r>
      <w:hyperlink r:id="rId72" w:history="1">
        <w:r w:rsidRPr="00FC5DE4">
          <w:rPr>
            <w:rStyle w:val="Hyperlink"/>
          </w:rPr>
          <w:t>https://www.fda.gov/emergency-preparedness-and-response/mcm-legal-regulatory-and-policy-framework/summary-process-eua-issuance</w:t>
        </w:r>
      </w:hyperlink>
      <w:r>
        <w:t>.</w:t>
      </w:r>
      <w:bookmarkEnd w:id="8"/>
    </w:p>
  </w:footnote>
  <w:footnote w:id="76">
    <w:p w14:paraId="60D2401B" w14:textId="2C76CD90" w:rsidR="00691752" w:rsidRDefault="00691752">
      <w:pPr>
        <w:pStyle w:val="FootnoteText"/>
      </w:pPr>
      <w:r>
        <w:rPr>
          <w:rStyle w:val="FootnoteReference"/>
        </w:rPr>
        <w:footnoteRef/>
      </w:r>
      <w:r>
        <w:t xml:space="preserve"> FDA. </w:t>
      </w:r>
      <w:r w:rsidRPr="000E6791">
        <w:t>Summary of Process for EUA Issuance</w:t>
      </w:r>
      <w:r>
        <w:t xml:space="preserve">. Webpage current as of February 7, 2020. Retrieved from </w:t>
      </w:r>
      <w:hyperlink r:id="rId73" w:history="1">
        <w:r w:rsidRPr="00FC5DE4">
          <w:rPr>
            <w:rStyle w:val="Hyperlink"/>
          </w:rPr>
          <w:t>https://www.fda.gov/emergency-preparedness-and-response/mcm-legal-regulatory-and-policy-framework/summary-process-eua-issuance</w:t>
        </w:r>
      </w:hyperlink>
      <w:r>
        <w:t>.</w:t>
      </w:r>
    </w:p>
  </w:footnote>
  <w:footnote w:id="77">
    <w:p w14:paraId="5EF77C29" w14:textId="69710404" w:rsidR="00691752" w:rsidRDefault="00691752">
      <w:pPr>
        <w:pStyle w:val="FootnoteText"/>
      </w:pPr>
      <w:r>
        <w:rPr>
          <w:rStyle w:val="FootnoteReference"/>
        </w:rPr>
        <w:footnoteRef/>
      </w:r>
      <w:r>
        <w:t xml:space="preserve"> FDA.</w:t>
      </w:r>
      <w:r w:rsidRPr="00020E45">
        <w:t xml:space="preserve"> </w:t>
      </w:r>
      <w:r>
        <w:t xml:space="preserve">Emergency Use Authorization of Medical Products and Related Authorities: Guidance for Industry and Other Stakeholders. January 2017. Retrieved from </w:t>
      </w:r>
      <w:hyperlink r:id="rId74" w:history="1">
        <w:r w:rsidRPr="00CE1B0D">
          <w:rPr>
            <w:rStyle w:val="Hyperlink"/>
          </w:rPr>
          <w:t>https://www.fda.gov/regulatory-information/search-fda-guidance-documents/emergency-use-authorization-medical-products-and-related-authorities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3022B" w14:textId="4C935BBF" w:rsidR="00DF6CED" w:rsidRPr="00DF6CED" w:rsidRDefault="00DF6CED" w:rsidP="00DF6CED">
    <w:pPr>
      <w:pStyle w:val="Header"/>
      <w:jc w:val="center"/>
      <w:rPr>
        <w:b/>
        <w:bCs/>
      </w:rPr>
    </w:pPr>
    <w:r w:rsidRPr="00DF6CED">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A4AE8"/>
    <w:multiLevelType w:val="hybridMultilevel"/>
    <w:tmpl w:val="2548A4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C445AC5"/>
    <w:multiLevelType w:val="hybridMultilevel"/>
    <w:tmpl w:val="E6667138"/>
    <w:lvl w:ilvl="0" w:tplc="2500E9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6B6BC8"/>
    <w:multiLevelType w:val="hybridMultilevel"/>
    <w:tmpl w:val="4ABA1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B66B4C"/>
    <w:multiLevelType w:val="hybridMultilevel"/>
    <w:tmpl w:val="2D58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44"/>
    <w:rsid w:val="00000F1E"/>
    <w:rsid w:val="0000222F"/>
    <w:rsid w:val="000034DB"/>
    <w:rsid w:val="00003AC7"/>
    <w:rsid w:val="00006F7F"/>
    <w:rsid w:val="0001078D"/>
    <w:rsid w:val="00016CC4"/>
    <w:rsid w:val="00020E45"/>
    <w:rsid w:val="00023DF2"/>
    <w:rsid w:val="00023EF1"/>
    <w:rsid w:val="00026965"/>
    <w:rsid w:val="00026E12"/>
    <w:rsid w:val="0003207C"/>
    <w:rsid w:val="00034B69"/>
    <w:rsid w:val="000350FA"/>
    <w:rsid w:val="0003510C"/>
    <w:rsid w:val="00042952"/>
    <w:rsid w:val="00044463"/>
    <w:rsid w:val="00050D9F"/>
    <w:rsid w:val="00051340"/>
    <w:rsid w:val="0005394A"/>
    <w:rsid w:val="00061107"/>
    <w:rsid w:val="00065091"/>
    <w:rsid w:val="0006684A"/>
    <w:rsid w:val="00070840"/>
    <w:rsid w:val="00074EC8"/>
    <w:rsid w:val="000762D3"/>
    <w:rsid w:val="00080703"/>
    <w:rsid w:val="00081366"/>
    <w:rsid w:val="0008313C"/>
    <w:rsid w:val="00090049"/>
    <w:rsid w:val="00090F4B"/>
    <w:rsid w:val="000940AB"/>
    <w:rsid w:val="0009512D"/>
    <w:rsid w:val="000A1581"/>
    <w:rsid w:val="000A38D4"/>
    <w:rsid w:val="000B2B3D"/>
    <w:rsid w:val="000B4CFB"/>
    <w:rsid w:val="000B68B6"/>
    <w:rsid w:val="000B6C29"/>
    <w:rsid w:val="000C0423"/>
    <w:rsid w:val="000C3BC4"/>
    <w:rsid w:val="000C735B"/>
    <w:rsid w:val="000D1F49"/>
    <w:rsid w:val="000D20AF"/>
    <w:rsid w:val="000D50A9"/>
    <w:rsid w:val="000E12B4"/>
    <w:rsid w:val="000E1857"/>
    <w:rsid w:val="000E5066"/>
    <w:rsid w:val="000E528E"/>
    <w:rsid w:val="000E6791"/>
    <w:rsid w:val="000F5AAC"/>
    <w:rsid w:val="001028F0"/>
    <w:rsid w:val="00105B25"/>
    <w:rsid w:val="0011202D"/>
    <w:rsid w:val="001139E8"/>
    <w:rsid w:val="0011603B"/>
    <w:rsid w:val="00117B28"/>
    <w:rsid w:val="001218C6"/>
    <w:rsid w:val="001269A6"/>
    <w:rsid w:val="00134EDC"/>
    <w:rsid w:val="0013690C"/>
    <w:rsid w:val="00141C86"/>
    <w:rsid w:val="001472DA"/>
    <w:rsid w:val="00151278"/>
    <w:rsid w:val="00154A6A"/>
    <w:rsid w:val="0015721F"/>
    <w:rsid w:val="001603B2"/>
    <w:rsid w:val="00165434"/>
    <w:rsid w:val="001664DB"/>
    <w:rsid w:val="00167B1C"/>
    <w:rsid w:val="0017266C"/>
    <w:rsid w:val="00173A3F"/>
    <w:rsid w:val="00173FCA"/>
    <w:rsid w:val="00174E95"/>
    <w:rsid w:val="00175EE3"/>
    <w:rsid w:val="00176B53"/>
    <w:rsid w:val="00176B82"/>
    <w:rsid w:val="00177074"/>
    <w:rsid w:val="00180E45"/>
    <w:rsid w:val="00183D46"/>
    <w:rsid w:val="00183DB7"/>
    <w:rsid w:val="00185486"/>
    <w:rsid w:val="00194425"/>
    <w:rsid w:val="00196595"/>
    <w:rsid w:val="00196DD1"/>
    <w:rsid w:val="001A4EF3"/>
    <w:rsid w:val="001A5401"/>
    <w:rsid w:val="001A6DDA"/>
    <w:rsid w:val="001B27EE"/>
    <w:rsid w:val="001B460C"/>
    <w:rsid w:val="001B498B"/>
    <w:rsid w:val="001C1742"/>
    <w:rsid w:val="001C1B3B"/>
    <w:rsid w:val="001C2A51"/>
    <w:rsid w:val="001C2AB1"/>
    <w:rsid w:val="001C2C4C"/>
    <w:rsid w:val="001C54D4"/>
    <w:rsid w:val="001D0E32"/>
    <w:rsid w:val="001D6C42"/>
    <w:rsid w:val="001D7E8A"/>
    <w:rsid w:val="001E1797"/>
    <w:rsid w:val="001E1D97"/>
    <w:rsid w:val="001E2957"/>
    <w:rsid w:val="001E2B74"/>
    <w:rsid w:val="001E3317"/>
    <w:rsid w:val="001E3A5B"/>
    <w:rsid w:val="001F16E4"/>
    <w:rsid w:val="001F1FDA"/>
    <w:rsid w:val="001F30EC"/>
    <w:rsid w:val="001F709B"/>
    <w:rsid w:val="00202828"/>
    <w:rsid w:val="00211FD7"/>
    <w:rsid w:val="00213A18"/>
    <w:rsid w:val="002216C6"/>
    <w:rsid w:val="00221E89"/>
    <w:rsid w:val="00222B23"/>
    <w:rsid w:val="00223813"/>
    <w:rsid w:val="00236859"/>
    <w:rsid w:val="002368A6"/>
    <w:rsid w:val="00240775"/>
    <w:rsid w:val="00240836"/>
    <w:rsid w:val="002450AB"/>
    <w:rsid w:val="002454F5"/>
    <w:rsid w:val="00256365"/>
    <w:rsid w:val="00260E22"/>
    <w:rsid w:val="002662EE"/>
    <w:rsid w:val="00267927"/>
    <w:rsid w:val="00270A6B"/>
    <w:rsid w:val="002723EB"/>
    <w:rsid w:val="00274FEE"/>
    <w:rsid w:val="00276693"/>
    <w:rsid w:val="00277053"/>
    <w:rsid w:val="00277489"/>
    <w:rsid w:val="00277DA7"/>
    <w:rsid w:val="002863FF"/>
    <w:rsid w:val="00291F5B"/>
    <w:rsid w:val="0029383A"/>
    <w:rsid w:val="002A664B"/>
    <w:rsid w:val="002A7DDB"/>
    <w:rsid w:val="002B3133"/>
    <w:rsid w:val="002B3646"/>
    <w:rsid w:val="002C36C8"/>
    <w:rsid w:val="002C434D"/>
    <w:rsid w:val="002C5CF2"/>
    <w:rsid w:val="002C6648"/>
    <w:rsid w:val="002D0EA2"/>
    <w:rsid w:val="002D7E3A"/>
    <w:rsid w:val="002E0314"/>
    <w:rsid w:val="002E2FAF"/>
    <w:rsid w:val="002E481B"/>
    <w:rsid w:val="002E7BC4"/>
    <w:rsid w:val="002F4B42"/>
    <w:rsid w:val="002F5B44"/>
    <w:rsid w:val="00306AB3"/>
    <w:rsid w:val="00327247"/>
    <w:rsid w:val="00333F1F"/>
    <w:rsid w:val="00347423"/>
    <w:rsid w:val="00353DB4"/>
    <w:rsid w:val="00356C7E"/>
    <w:rsid w:val="00357573"/>
    <w:rsid w:val="0036492A"/>
    <w:rsid w:val="00364979"/>
    <w:rsid w:val="003678D1"/>
    <w:rsid w:val="00371663"/>
    <w:rsid w:val="0037459D"/>
    <w:rsid w:val="003759D8"/>
    <w:rsid w:val="00377FA6"/>
    <w:rsid w:val="00382F4C"/>
    <w:rsid w:val="003834D1"/>
    <w:rsid w:val="00384ED2"/>
    <w:rsid w:val="003850D0"/>
    <w:rsid w:val="00387E05"/>
    <w:rsid w:val="003A0501"/>
    <w:rsid w:val="003A157F"/>
    <w:rsid w:val="003A185B"/>
    <w:rsid w:val="003A28F9"/>
    <w:rsid w:val="003A2BFC"/>
    <w:rsid w:val="003A2FCD"/>
    <w:rsid w:val="003A3375"/>
    <w:rsid w:val="003A454E"/>
    <w:rsid w:val="003A4D3F"/>
    <w:rsid w:val="003A6D4A"/>
    <w:rsid w:val="003B0D91"/>
    <w:rsid w:val="003B38F8"/>
    <w:rsid w:val="003C36C4"/>
    <w:rsid w:val="003C792D"/>
    <w:rsid w:val="003D094D"/>
    <w:rsid w:val="003D1D52"/>
    <w:rsid w:val="003D45F5"/>
    <w:rsid w:val="003E0731"/>
    <w:rsid w:val="003E3334"/>
    <w:rsid w:val="003E5D99"/>
    <w:rsid w:val="003F3C40"/>
    <w:rsid w:val="00405A3B"/>
    <w:rsid w:val="00405E60"/>
    <w:rsid w:val="004131E2"/>
    <w:rsid w:val="004146A5"/>
    <w:rsid w:val="004171D9"/>
    <w:rsid w:val="004173E7"/>
    <w:rsid w:val="004177A9"/>
    <w:rsid w:val="00417C01"/>
    <w:rsid w:val="00421127"/>
    <w:rsid w:val="00423A6A"/>
    <w:rsid w:val="00426B22"/>
    <w:rsid w:val="00431D00"/>
    <w:rsid w:val="00433CBC"/>
    <w:rsid w:val="004351D6"/>
    <w:rsid w:val="0044313D"/>
    <w:rsid w:val="00445308"/>
    <w:rsid w:val="00456E39"/>
    <w:rsid w:val="004602F3"/>
    <w:rsid w:val="00462167"/>
    <w:rsid w:val="00462778"/>
    <w:rsid w:val="00464645"/>
    <w:rsid w:val="00476446"/>
    <w:rsid w:val="00480F4A"/>
    <w:rsid w:val="00491010"/>
    <w:rsid w:val="004916B6"/>
    <w:rsid w:val="00492920"/>
    <w:rsid w:val="00494334"/>
    <w:rsid w:val="004954E1"/>
    <w:rsid w:val="004A0340"/>
    <w:rsid w:val="004A0FA8"/>
    <w:rsid w:val="004A1D05"/>
    <w:rsid w:val="004A29D7"/>
    <w:rsid w:val="004A2BFC"/>
    <w:rsid w:val="004B0BE7"/>
    <w:rsid w:val="004C1254"/>
    <w:rsid w:val="004C3BB6"/>
    <w:rsid w:val="004C5E09"/>
    <w:rsid w:val="004C6FD8"/>
    <w:rsid w:val="004C7725"/>
    <w:rsid w:val="004C7E00"/>
    <w:rsid w:val="004D3CA7"/>
    <w:rsid w:val="004D3FD4"/>
    <w:rsid w:val="004E3C9C"/>
    <w:rsid w:val="004E500D"/>
    <w:rsid w:val="004F0D1D"/>
    <w:rsid w:val="004F1D89"/>
    <w:rsid w:val="004F34A0"/>
    <w:rsid w:val="005112D8"/>
    <w:rsid w:val="0051279D"/>
    <w:rsid w:val="00513E4D"/>
    <w:rsid w:val="0051511E"/>
    <w:rsid w:val="0052024F"/>
    <w:rsid w:val="00521CE9"/>
    <w:rsid w:val="00525B12"/>
    <w:rsid w:val="00525FDD"/>
    <w:rsid w:val="0053280D"/>
    <w:rsid w:val="00533DBC"/>
    <w:rsid w:val="00543DF8"/>
    <w:rsid w:val="00547D4C"/>
    <w:rsid w:val="00554761"/>
    <w:rsid w:val="005634A9"/>
    <w:rsid w:val="00566B5F"/>
    <w:rsid w:val="00571099"/>
    <w:rsid w:val="005830AE"/>
    <w:rsid w:val="005930DB"/>
    <w:rsid w:val="00593856"/>
    <w:rsid w:val="00595E0E"/>
    <w:rsid w:val="005A1845"/>
    <w:rsid w:val="005A2348"/>
    <w:rsid w:val="005A3905"/>
    <w:rsid w:val="005B0789"/>
    <w:rsid w:val="005B0852"/>
    <w:rsid w:val="005B1C73"/>
    <w:rsid w:val="005B38F0"/>
    <w:rsid w:val="005B5DAA"/>
    <w:rsid w:val="005B68A4"/>
    <w:rsid w:val="005C1AF1"/>
    <w:rsid w:val="005C37BF"/>
    <w:rsid w:val="005C3C3B"/>
    <w:rsid w:val="005C4B77"/>
    <w:rsid w:val="005C6410"/>
    <w:rsid w:val="005C664D"/>
    <w:rsid w:val="005D3B23"/>
    <w:rsid w:val="005D5DBF"/>
    <w:rsid w:val="005D7A2C"/>
    <w:rsid w:val="005D7CF7"/>
    <w:rsid w:val="005E7220"/>
    <w:rsid w:val="005F00CB"/>
    <w:rsid w:val="005F7691"/>
    <w:rsid w:val="005F7704"/>
    <w:rsid w:val="006017D6"/>
    <w:rsid w:val="006172D0"/>
    <w:rsid w:val="00624F24"/>
    <w:rsid w:val="006336C8"/>
    <w:rsid w:val="00635C13"/>
    <w:rsid w:val="00636915"/>
    <w:rsid w:val="00641656"/>
    <w:rsid w:val="00646869"/>
    <w:rsid w:val="006474BD"/>
    <w:rsid w:val="006506ED"/>
    <w:rsid w:val="00653B9B"/>
    <w:rsid w:val="00667964"/>
    <w:rsid w:val="00671787"/>
    <w:rsid w:val="00672537"/>
    <w:rsid w:val="006852A2"/>
    <w:rsid w:val="00691752"/>
    <w:rsid w:val="00693ABB"/>
    <w:rsid w:val="00696BA3"/>
    <w:rsid w:val="006A1313"/>
    <w:rsid w:val="006A415E"/>
    <w:rsid w:val="006A48EF"/>
    <w:rsid w:val="006A5C6F"/>
    <w:rsid w:val="006A618F"/>
    <w:rsid w:val="006A6783"/>
    <w:rsid w:val="006A6E58"/>
    <w:rsid w:val="006B04BF"/>
    <w:rsid w:val="006B0FFB"/>
    <w:rsid w:val="006B49EC"/>
    <w:rsid w:val="006C160E"/>
    <w:rsid w:val="006D0CF6"/>
    <w:rsid w:val="006D7905"/>
    <w:rsid w:val="006D7E44"/>
    <w:rsid w:val="006E05A2"/>
    <w:rsid w:val="006E07E4"/>
    <w:rsid w:val="006E0CE2"/>
    <w:rsid w:val="006E1963"/>
    <w:rsid w:val="006E47E2"/>
    <w:rsid w:val="006E489E"/>
    <w:rsid w:val="006E547C"/>
    <w:rsid w:val="006E6540"/>
    <w:rsid w:val="006E7069"/>
    <w:rsid w:val="006F06F0"/>
    <w:rsid w:val="007001FD"/>
    <w:rsid w:val="007360CD"/>
    <w:rsid w:val="007430E5"/>
    <w:rsid w:val="007444A0"/>
    <w:rsid w:val="00745D03"/>
    <w:rsid w:val="0074641D"/>
    <w:rsid w:val="00747D22"/>
    <w:rsid w:val="007525E1"/>
    <w:rsid w:val="0075313C"/>
    <w:rsid w:val="00754F1C"/>
    <w:rsid w:val="00756088"/>
    <w:rsid w:val="00761985"/>
    <w:rsid w:val="00762BBE"/>
    <w:rsid w:val="007721C6"/>
    <w:rsid w:val="00774265"/>
    <w:rsid w:val="00790061"/>
    <w:rsid w:val="00797E89"/>
    <w:rsid w:val="007A16D2"/>
    <w:rsid w:val="007A46D9"/>
    <w:rsid w:val="007B20BE"/>
    <w:rsid w:val="007B53BF"/>
    <w:rsid w:val="007B629B"/>
    <w:rsid w:val="007B67D7"/>
    <w:rsid w:val="007C0325"/>
    <w:rsid w:val="007C05A2"/>
    <w:rsid w:val="007C0A25"/>
    <w:rsid w:val="007C6262"/>
    <w:rsid w:val="007C70CA"/>
    <w:rsid w:val="007C7112"/>
    <w:rsid w:val="007D4734"/>
    <w:rsid w:val="007D6FFF"/>
    <w:rsid w:val="007E1038"/>
    <w:rsid w:val="007E14AC"/>
    <w:rsid w:val="007E22D5"/>
    <w:rsid w:val="007E3CC2"/>
    <w:rsid w:val="007E75BB"/>
    <w:rsid w:val="007E7D34"/>
    <w:rsid w:val="007E7D64"/>
    <w:rsid w:val="007F20A7"/>
    <w:rsid w:val="007F41B2"/>
    <w:rsid w:val="007F4B5B"/>
    <w:rsid w:val="007F6D95"/>
    <w:rsid w:val="0080166F"/>
    <w:rsid w:val="00805671"/>
    <w:rsid w:val="0080658E"/>
    <w:rsid w:val="008122C5"/>
    <w:rsid w:val="008155C1"/>
    <w:rsid w:val="008214D2"/>
    <w:rsid w:val="00840AAE"/>
    <w:rsid w:val="008427C7"/>
    <w:rsid w:val="00851B1A"/>
    <w:rsid w:val="0085665F"/>
    <w:rsid w:val="008568C9"/>
    <w:rsid w:val="00862132"/>
    <w:rsid w:val="0086595E"/>
    <w:rsid w:val="0086669B"/>
    <w:rsid w:val="00873E4F"/>
    <w:rsid w:val="0087468B"/>
    <w:rsid w:val="00875AF9"/>
    <w:rsid w:val="00875BE6"/>
    <w:rsid w:val="00876925"/>
    <w:rsid w:val="00882D27"/>
    <w:rsid w:val="0088340A"/>
    <w:rsid w:val="00885FC9"/>
    <w:rsid w:val="00890263"/>
    <w:rsid w:val="008909D9"/>
    <w:rsid w:val="0089494D"/>
    <w:rsid w:val="0089644F"/>
    <w:rsid w:val="00896637"/>
    <w:rsid w:val="008A1AFE"/>
    <w:rsid w:val="008A26B9"/>
    <w:rsid w:val="008A7852"/>
    <w:rsid w:val="008B12AD"/>
    <w:rsid w:val="008B1712"/>
    <w:rsid w:val="008B43DA"/>
    <w:rsid w:val="008B4E89"/>
    <w:rsid w:val="008C43D1"/>
    <w:rsid w:val="008C4C39"/>
    <w:rsid w:val="008C4FF7"/>
    <w:rsid w:val="008D4BCE"/>
    <w:rsid w:val="008D754C"/>
    <w:rsid w:val="008E152B"/>
    <w:rsid w:val="008E2B6B"/>
    <w:rsid w:val="008E2E90"/>
    <w:rsid w:val="008E5D82"/>
    <w:rsid w:val="008E6894"/>
    <w:rsid w:val="008E771D"/>
    <w:rsid w:val="009023B4"/>
    <w:rsid w:val="00903346"/>
    <w:rsid w:val="00904E70"/>
    <w:rsid w:val="00905974"/>
    <w:rsid w:val="00905DBC"/>
    <w:rsid w:val="00910190"/>
    <w:rsid w:val="009117C9"/>
    <w:rsid w:val="009121D7"/>
    <w:rsid w:val="009129A5"/>
    <w:rsid w:val="009225F0"/>
    <w:rsid w:val="0092431A"/>
    <w:rsid w:val="00935FF3"/>
    <w:rsid w:val="00936484"/>
    <w:rsid w:val="009377B6"/>
    <w:rsid w:val="00940BBB"/>
    <w:rsid w:val="009412F2"/>
    <w:rsid w:val="00943EC2"/>
    <w:rsid w:val="00943FF3"/>
    <w:rsid w:val="00945120"/>
    <w:rsid w:val="00945B11"/>
    <w:rsid w:val="00950285"/>
    <w:rsid w:val="00950AD2"/>
    <w:rsid w:val="009535EC"/>
    <w:rsid w:val="00953A7B"/>
    <w:rsid w:val="009558CB"/>
    <w:rsid w:val="009572CE"/>
    <w:rsid w:val="0096518E"/>
    <w:rsid w:val="0097176C"/>
    <w:rsid w:val="00976691"/>
    <w:rsid w:val="009853B1"/>
    <w:rsid w:val="0098666E"/>
    <w:rsid w:val="009871B2"/>
    <w:rsid w:val="009922CF"/>
    <w:rsid w:val="00994361"/>
    <w:rsid w:val="00994FA7"/>
    <w:rsid w:val="009A0449"/>
    <w:rsid w:val="009A0C25"/>
    <w:rsid w:val="009A20FC"/>
    <w:rsid w:val="009A4828"/>
    <w:rsid w:val="009A5862"/>
    <w:rsid w:val="009A770A"/>
    <w:rsid w:val="009B1B90"/>
    <w:rsid w:val="009B5A0A"/>
    <w:rsid w:val="009B6D6F"/>
    <w:rsid w:val="009C0347"/>
    <w:rsid w:val="009C1800"/>
    <w:rsid w:val="009C5EF8"/>
    <w:rsid w:val="009D458A"/>
    <w:rsid w:val="009D4889"/>
    <w:rsid w:val="009D612B"/>
    <w:rsid w:val="009D6D2B"/>
    <w:rsid w:val="009E4AB8"/>
    <w:rsid w:val="009E7245"/>
    <w:rsid w:val="009F2B5B"/>
    <w:rsid w:val="009F5539"/>
    <w:rsid w:val="009F6EF3"/>
    <w:rsid w:val="009F77EF"/>
    <w:rsid w:val="009F7BC2"/>
    <w:rsid w:val="00A006E8"/>
    <w:rsid w:val="00A01A86"/>
    <w:rsid w:val="00A0369A"/>
    <w:rsid w:val="00A04B4A"/>
    <w:rsid w:val="00A0558B"/>
    <w:rsid w:val="00A1185E"/>
    <w:rsid w:val="00A1267A"/>
    <w:rsid w:val="00A17B41"/>
    <w:rsid w:val="00A17DDD"/>
    <w:rsid w:val="00A20535"/>
    <w:rsid w:val="00A26B8A"/>
    <w:rsid w:val="00A33B65"/>
    <w:rsid w:val="00A34CC6"/>
    <w:rsid w:val="00A35147"/>
    <w:rsid w:val="00A5103B"/>
    <w:rsid w:val="00A52A44"/>
    <w:rsid w:val="00A54AFD"/>
    <w:rsid w:val="00A57E2E"/>
    <w:rsid w:val="00A70C0E"/>
    <w:rsid w:val="00A73CE7"/>
    <w:rsid w:val="00A77F37"/>
    <w:rsid w:val="00A82866"/>
    <w:rsid w:val="00A8304F"/>
    <w:rsid w:val="00A83F1D"/>
    <w:rsid w:val="00A8786B"/>
    <w:rsid w:val="00A915D6"/>
    <w:rsid w:val="00A92C75"/>
    <w:rsid w:val="00A948CE"/>
    <w:rsid w:val="00AA1EE5"/>
    <w:rsid w:val="00AB13DF"/>
    <w:rsid w:val="00AB1F0F"/>
    <w:rsid w:val="00AB2D09"/>
    <w:rsid w:val="00AB4EF2"/>
    <w:rsid w:val="00AC33E8"/>
    <w:rsid w:val="00AC3B98"/>
    <w:rsid w:val="00AD26F6"/>
    <w:rsid w:val="00AD6790"/>
    <w:rsid w:val="00AD731B"/>
    <w:rsid w:val="00AD7996"/>
    <w:rsid w:val="00AE5E31"/>
    <w:rsid w:val="00AF0798"/>
    <w:rsid w:val="00AF4D0C"/>
    <w:rsid w:val="00B00E6E"/>
    <w:rsid w:val="00B1378E"/>
    <w:rsid w:val="00B15715"/>
    <w:rsid w:val="00B159A7"/>
    <w:rsid w:val="00B17136"/>
    <w:rsid w:val="00B204E6"/>
    <w:rsid w:val="00B20ED4"/>
    <w:rsid w:val="00B216E7"/>
    <w:rsid w:val="00B23CC1"/>
    <w:rsid w:val="00B267D6"/>
    <w:rsid w:val="00B26FAF"/>
    <w:rsid w:val="00B314CB"/>
    <w:rsid w:val="00B31798"/>
    <w:rsid w:val="00B34B52"/>
    <w:rsid w:val="00B37858"/>
    <w:rsid w:val="00B439A2"/>
    <w:rsid w:val="00B51F80"/>
    <w:rsid w:val="00B53921"/>
    <w:rsid w:val="00B6133D"/>
    <w:rsid w:val="00B6587F"/>
    <w:rsid w:val="00B67BC4"/>
    <w:rsid w:val="00B71642"/>
    <w:rsid w:val="00B73636"/>
    <w:rsid w:val="00B753B4"/>
    <w:rsid w:val="00B75B7F"/>
    <w:rsid w:val="00B7651B"/>
    <w:rsid w:val="00B802E3"/>
    <w:rsid w:val="00B8206F"/>
    <w:rsid w:val="00B84527"/>
    <w:rsid w:val="00B90DEE"/>
    <w:rsid w:val="00B913D8"/>
    <w:rsid w:val="00B93A8B"/>
    <w:rsid w:val="00B96E69"/>
    <w:rsid w:val="00B96EF8"/>
    <w:rsid w:val="00BB0284"/>
    <w:rsid w:val="00BB378A"/>
    <w:rsid w:val="00BB5BF5"/>
    <w:rsid w:val="00BB7B57"/>
    <w:rsid w:val="00BC02FD"/>
    <w:rsid w:val="00BC1770"/>
    <w:rsid w:val="00BC49A2"/>
    <w:rsid w:val="00BC4D31"/>
    <w:rsid w:val="00BD195F"/>
    <w:rsid w:val="00BD2635"/>
    <w:rsid w:val="00BD3142"/>
    <w:rsid w:val="00BD43BB"/>
    <w:rsid w:val="00BD59DA"/>
    <w:rsid w:val="00BD741E"/>
    <w:rsid w:val="00BE1699"/>
    <w:rsid w:val="00BE427F"/>
    <w:rsid w:val="00BE4A64"/>
    <w:rsid w:val="00BE585E"/>
    <w:rsid w:val="00BF0761"/>
    <w:rsid w:val="00BF7E85"/>
    <w:rsid w:val="00C007B4"/>
    <w:rsid w:val="00C04194"/>
    <w:rsid w:val="00C1275E"/>
    <w:rsid w:val="00C13D64"/>
    <w:rsid w:val="00C15B28"/>
    <w:rsid w:val="00C25D51"/>
    <w:rsid w:val="00C27FEE"/>
    <w:rsid w:val="00C425FA"/>
    <w:rsid w:val="00C42E8C"/>
    <w:rsid w:val="00C44456"/>
    <w:rsid w:val="00C46175"/>
    <w:rsid w:val="00C506C9"/>
    <w:rsid w:val="00C5436E"/>
    <w:rsid w:val="00C57CBB"/>
    <w:rsid w:val="00C62149"/>
    <w:rsid w:val="00C66FF9"/>
    <w:rsid w:val="00C732FD"/>
    <w:rsid w:val="00C76E25"/>
    <w:rsid w:val="00C7776B"/>
    <w:rsid w:val="00C83F0B"/>
    <w:rsid w:val="00C8749A"/>
    <w:rsid w:val="00C96554"/>
    <w:rsid w:val="00CA34D6"/>
    <w:rsid w:val="00CA3547"/>
    <w:rsid w:val="00CA4D59"/>
    <w:rsid w:val="00CA6213"/>
    <w:rsid w:val="00CA7CB9"/>
    <w:rsid w:val="00CB3169"/>
    <w:rsid w:val="00CB5DA6"/>
    <w:rsid w:val="00CC305B"/>
    <w:rsid w:val="00CC52D2"/>
    <w:rsid w:val="00CC6C7E"/>
    <w:rsid w:val="00CD240D"/>
    <w:rsid w:val="00CD351B"/>
    <w:rsid w:val="00CD57D2"/>
    <w:rsid w:val="00CE1179"/>
    <w:rsid w:val="00CE3A99"/>
    <w:rsid w:val="00CE4607"/>
    <w:rsid w:val="00CE7EBB"/>
    <w:rsid w:val="00CF3ED2"/>
    <w:rsid w:val="00CF6CEF"/>
    <w:rsid w:val="00D015B7"/>
    <w:rsid w:val="00D02E7B"/>
    <w:rsid w:val="00D111BC"/>
    <w:rsid w:val="00D1553D"/>
    <w:rsid w:val="00D22A72"/>
    <w:rsid w:val="00D233A1"/>
    <w:rsid w:val="00D25610"/>
    <w:rsid w:val="00D30EDD"/>
    <w:rsid w:val="00D355C9"/>
    <w:rsid w:val="00D40EA2"/>
    <w:rsid w:val="00D42EFE"/>
    <w:rsid w:val="00D544DD"/>
    <w:rsid w:val="00D54DA5"/>
    <w:rsid w:val="00D56D11"/>
    <w:rsid w:val="00D5780B"/>
    <w:rsid w:val="00D6269A"/>
    <w:rsid w:val="00D645B8"/>
    <w:rsid w:val="00D65CBB"/>
    <w:rsid w:val="00D72D2F"/>
    <w:rsid w:val="00D75AA7"/>
    <w:rsid w:val="00D766FB"/>
    <w:rsid w:val="00D834E5"/>
    <w:rsid w:val="00D8544F"/>
    <w:rsid w:val="00D86872"/>
    <w:rsid w:val="00D94391"/>
    <w:rsid w:val="00D96D43"/>
    <w:rsid w:val="00DA2A93"/>
    <w:rsid w:val="00DB023F"/>
    <w:rsid w:val="00DB1D82"/>
    <w:rsid w:val="00DB3154"/>
    <w:rsid w:val="00DC28F9"/>
    <w:rsid w:val="00DC4E5B"/>
    <w:rsid w:val="00DC6946"/>
    <w:rsid w:val="00DC75F3"/>
    <w:rsid w:val="00DD48BA"/>
    <w:rsid w:val="00DD777D"/>
    <w:rsid w:val="00DD787F"/>
    <w:rsid w:val="00DE1401"/>
    <w:rsid w:val="00DE5FDA"/>
    <w:rsid w:val="00DF0FBB"/>
    <w:rsid w:val="00DF4641"/>
    <w:rsid w:val="00DF6CED"/>
    <w:rsid w:val="00E01C6B"/>
    <w:rsid w:val="00E01DB8"/>
    <w:rsid w:val="00E03D92"/>
    <w:rsid w:val="00E0607B"/>
    <w:rsid w:val="00E07261"/>
    <w:rsid w:val="00E13CC4"/>
    <w:rsid w:val="00E146B4"/>
    <w:rsid w:val="00E1759C"/>
    <w:rsid w:val="00E20542"/>
    <w:rsid w:val="00E20C52"/>
    <w:rsid w:val="00E22A92"/>
    <w:rsid w:val="00E23D20"/>
    <w:rsid w:val="00E26B24"/>
    <w:rsid w:val="00E302C8"/>
    <w:rsid w:val="00E333CD"/>
    <w:rsid w:val="00E3674C"/>
    <w:rsid w:val="00E37983"/>
    <w:rsid w:val="00E41F90"/>
    <w:rsid w:val="00E46E02"/>
    <w:rsid w:val="00E474C8"/>
    <w:rsid w:val="00E503F5"/>
    <w:rsid w:val="00E555ED"/>
    <w:rsid w:val="00E63644"/>
    <w:rsid w:val="00E636AB"/>
    <w:rsid w:val="00E71542"/>
    <w:rsid w:val="00E71751"/>
    <w:rsid w:val="00E74F05"/>
    <w:rsid w:val="00E95A04"/>
    <w:rsid w:val="00E96045"/>
    <w:rsid w:val="00EA14CA"/>
    <w:rsid w:val="00EA4C3C"/>
    <w:rsid w:val="00EA5765"/>
    <w:rsid w:val="00EA6A38"/>
    <w:rsid w:val="00EB0F57"/>
    <w:rsid w:val="00EB386D"/>
    <w:rsid w:val="00EB4173"/>
    <w:rsid w:val="00EB606D"/>
    <w:rsid w:val="00EC7283"/>
    <w:rsid w:val="00ED009E"/>
    <w:rsid w:val="00ED66E5"/>
    <w:rsid w:val="00EE0C4E"/>
    <w:rsid w:val="00EE3F40"/>
    <w:rsid w:val="00EF4287"/>
    <w:rsid w:val="00EF4792"/>
    <w:rsid w:val="00EF7EFE"/>
    <w:rsid w:val="00F00ADF"/>
    <w:rsid w:val="00F0167E"/>
    <w:rsid w:val="00F02278"/>
    <w:rsid w:val="00F079B3"/>
    <w:rsid w:val="00F12DBE"/>
    <w:rsid w:val="00F14B38"/>
    <w:rsid w:val="00F14BFE"/>
    <w:rsid w:val="00F222CD"/>
    <w:rsid w:val="00F240D8"/>
    <w:rsid w:val="00F26BEC"/>
    <w:rsid w:val="00F26DCC"/>
    <w:rsid w:val="00F27D94"/>
    <w:rsid w:val="00F30D0C"/>
    <w:rsid w:val="00F367DC"/>
    <w:rsid w:val="00F37036"/>
    <w:rsid w:val="00F37DE7"/>
    <w:rsid w:val="00F41172"/>
    <w:rsid w:val="00F45A77"/>
    <w:rsid w:val="00F4617E"/>
    <w:rsid w:val="00F546F7"/>
    <w:rsid w:val="00F570D4"/>
    <w:rsid w:val="00F61DD5"/>
    <w:rsid w:val="00F71144"/>
    <w:rsid w:val="00F754AB"/>
    <w:rsid w:val="00F765EA"/>
    <w:rsid w:val="00F76EDB"/>
    <w:rsid w:val="00F77212"/>
    <w:rsid w:val="00F825FC"/>
    <w:rsid w:val="00F95B57"/>
    <w:rsid w:val="00F96790"/>
    <w:rsid w:val="00FA0F79"/>
    <w:rsid w:val="00FA188E"/>
    <w:rsid w:val="00FA6331"/>
    <w:rsid w:val="00FB2DA4"/>
    <w:rsid w:val="00FB55F4"/>
    <w:rsid w:val="00FB5D8D"/>
    <w:rsid w:val="00FC2788"/>
    <w:rsid w:val="00FC5DE4"/>
    <w:rsid w:val="00FC6AD8"/>
    <w:rsid w:val="00FC72EF"/>
    <w:rsid w:val="00FC760B"/>
    <w:rsid w:val="00FE2E84"/>
    <w:rsid w:val="00FE4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583F664"/>
  <w15:chartTrackingRefBased/>
  <w15:docId w15:val="{22A2E2E5-B58C-47C2-8F5E-FE67BC9D3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7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FootnoteText">
    <w:name w:val="footnote text"/>
    <w:basedOn w:val="Normal"/>
    <w:link w:val="FootnoteTextChar"/>
    <w:uiPriority w:val="99"/>
    <w:semiHidden/>
    <w:unhideWhenUsed/>
    <w:rsid w:val="00081366"/>
    <w:rPr>
      <w:sz w:val="20"/>
      <w:szCs w:val="20"/>
    </w:rPr>
  </w:style>
  <w:style w:type="character" w:customStyle="1" w:styleId="FootnoteTextChar">
    <w:name w:val="Footnote Text Char"/>
    <w:basedOn w:val="DefaultParagraphFont"/>
    <w:link w:val="FootnoteText"/>
    <w:uiPriority w:val="99"/>
    <w:semiHidden/>
    <w:rsid w:val="00081366"/>
    <w:rPr>
      <w:sz w:val="20"/>
      <w:szCs w:val="20"/>
    </w:rPr>
  </w:style>
  <w:style w:type="character" w:styleId="FootnoteReference">
    <w:name w:val="footnote reference"/>
    <w:basedOn w:val="DefaultParagraphFont"/>
    <w:uiPriority w:val="99"/>
    <w:semiHidden/>
    <w:unhideWhenUsed/>
    <w:rsid w:val="00081366"/>
    <w:rPr>
      <w:vertAlign w:val="superscript"/>
    </w:rPr>
  </w:style>
  <w:style w:type="character" w:styleId="Hyperlink">
    <w:name w:val="Hyperlink"/>
    <w:basedOn w:val="DefaultParagraphFont"/>
    <w:uiPriority w:val="99"/>
    <w:unhideWhenUsed/>
    <w:rsid w:val="009D458A"/>
    <w:rPr>
      <w:color w:val="0000FF"/>
      <w:u w:val="single"/>
    </w:rPr>
  </w:style>
  <w:style w:type="paragraph" w:styleId="ListParagraph">
    <w:name w:val="List Paragraph"/>
    <w:basedOn w:val="Normal"/>
    <w:uiPriority w:val="34"/>
    <w:qFormat/>
    <w:rsid w:val="00904E70"/>
    <w:pPr>
      <w:ind w:left="720"/>
      <w:contextualSpacing/>
    </w:pPr>
  </w:style>
  <w:style w:type="character" w:styleId="FollowedHyperlink">
    <w:name w:val="FollowedHyperlink"/>
    <w:basedOn w:val="DefaultParagraphFont"/>
    <w:uiPriority w:val="99"/>
    <w:semiHidden/>
    <w:unhideWhenUsed/>
    <w:rsid w:val="00291F5B"/>
    <w:rPr>
      <w:color w:val="954F72" w:themeColor="followedHyperlink"/>
      <w:u w:val="single"/>
    </w:rPr>
  </w:style>
  <w:style w:type="character" w:styleId="UnresolvedMention">
    <w:name w:val="Unresolved Mention"/>
    <w:basedOn w:val="DefaultParagraphFont"/>
    <w:uiPriority w:val="99"/>
    <w:semiHidden/>
    <w:unhideWhenUsed/>
    <w:rsid w:val="004A0340"/>
    <w:rPr>
      <w:color w:val="605E5C"/>
      <w:shd w:val="clear" w:color="auto" w:fill="E1DFDD"/>
    </w:rPr>
  </w:style>
  <w:style w:type="paragraph" w:styleId="Header">
    <w:name w:val="header"/>
    <w:basedOn w:val="Normal"/>
    <w:link w:val="HeaderChar"/>
    <w:uiPriority w:val="99"/>
    <w:unhideWhenUsed/>
    <w:rsid w:val="00E0607B"/>
    <w:pPr>
      <w:tabs>
        <w:tab w:val="center" w:pos="4680"/>
        <w:tab w:val="right" w:pos="9360"/>
      </w:tabs>
    </w:pPr>
  </w:style>
  <w:style w:type="character" w:customStyle="1" w:styleId="HeaderChar">
    <w:name w:val="Header Char"/>
    <w:basedOn w:val="DefaultParagraphFont"/>
    <w:link w:val="Header"/>
    <w:uiPriority w:val="99"/>
    <w:rsid w:val="00E0607B"/>
  </w:style>
  <w:style w:type="paragraph" w:styleId="Footer">
    <w:name w:val="footer"/>
    <w:basedOn w:val="Normal"/>
    <w:link w:val="FooterChar"/>
    <w:uiPriority w:val="99"/>
    <w:unhideWhenUsed/>
    <w:rsid w:val="00E0607B"/>
    <w:pPr>
      <w:tabs>
        <w:tab w:val="center" w:pos="4680"/>
        <w:tab w:val="right" w:pos="9360"/>
      </w:tabs>
    </w:pPr>
  </w:style>
  <w:style w:type="character" w:customStyle="1" w:styleId="FooterChar">
    <w:name w:val="Footer Char"/>
    <w:basedOn w:val="DefaultParagraphFont"/>
    <w:link w:val="Footer"/>
    <w:uiPriority w:val="99"/>
    <w:rsid w:val="00E06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38215">
      <w:bodyDiv w:val="1"/>
      <w:marLeft w:val="0"/>
      <w:marRight w:val="0"/>
      <w:marTop w:val="0"/>
      <w:marBottom w:val="0"/>
      <w:divBdr>
        <w:top w:val="none" w:sz="0" w:space="0" w:color="auto"/>
        <w:left w:val="none" w:sz="0" w:space="0" w:color="auto"/>
        <w:bottom w:val="none" w:sz="0" w:space="0" w:color="auto"/>
        <w:right w:val="none" w:sz="0" w:space="0" w:color="auto"/>
      </w:divBdr>
    </w:div>
    <w:div w:id="282004059">
      <w:bodyDiv w:val="1"/>
      <w:marLeft w:val="0"/>
      <w:marRight w:val="0"/>
      <w:marTop w:val="0"/>
      <w:marBottom w:val="0"/>
      <w:divBdr>
        <w:top w:val="none" w:sz="0" w:space="0" w:color="auto"/>
        <w:left w:val="none" w:sz="0" w:space="0" w:color="auto"/>
        <w:bottom w:val="none" w:sz="0" w:space="0" w:color="auto"/>
        <w:right w:val="none" w:sz="0" w:space="0" w:color="auto"/>
      </w:divBdr>
    </w:div>
    <w:div w:id="345637293">
      <w:bodyDiv w:val="1"/>
      <w:marLeft w:val="0"/>
      <w:marRight w:val="0"/>
      <w:marTop w:val="0"/>
      <w:marBottom w:val="0"/>
      <w:divBdr>
        <w:top w:val="none" w:sz="0" w:space="0" w:color="auto"/>
        <w:left w:val="none" w:sz="0" w:space="0" w:color="auto"/>
        <w:bottom w:val="none" w:sz="0" w:space="0" w:color="auto"/>
        <w:right w:val="none" w:sz="0" w:space="0" w:color="auto"/>
      </w:divBdr>
    </w:div>
    <w:div w:id="467013543">
      <w:bodyDiv w:val="1"/>
      <w:marLeft w:val="0"/>
      <w:marRight w:val="0"/>
      <w:marTop w:val="0"/>
      <w:marBottom w:val="0"/>
      <w:divBdr>
        <w:top w:val="none" w:sz="0" w:space="0" w:color="auto"/>
        <w:left w:val="none" w:sz="0" w:space="0" w:color="auto"/>
        <w:bottom w:val="none" w:sz="0" w:space="0" w:color="auto"/>
        <w:right w:val="none" w:sz="0" w:space="0" w:color="auto"/>
      </w:divBdr>
    </w:div>
    <w:div w:id="480659235">
      <w:bodyDiv w:val="1"/>
      <w:marLeft w:val="0"/>
      <w:marRight w:val="0"/>
      <w:marTop w:val="0"/>
      <w:marBottom w:val="0"/>
      <w:divBdr>
        <w:top w:val="none" w:sz="0" w:space="0" w:color="auto"/>
        <w:left w:val="none" w:sz="0" w:space="0" w:color="auto"/>
        <w:bottom w:val="none" w:sz="0" w:space="0" w:color="auto"/>
        <w:right w:val="none" w:sz="0" w:space="0" w:color="auto"/>
      </w:divBdr>
    </w:div>
    <w:div w:id="590239209">
      <w:bodyDiv w:val="1"/>
      <w:marLeft w:val="0"/>
      <w:marRight w:val="0"/>
      <w:marTop w:val="0"/>
      <w:marBottom w:val="0"/>
      <w:divBdr>
        <w:top w:val="none" w:sz="0" w:space="0" w:color="auto"/>
        <w:left w:val="none" w:sz="0" w:space="0" w:color="auto"/>
        <w:bottom w:val="none" w:sz="0" w:space="0" w:color="auto"/>
        <w:right w:val="none" w:sz="0" w:space="0" w:color="auto"/>
      </w:divBdr>
    </w:div>
    <w:div w:id="754327114">
      <w:bodyDiv w:val="1"/>
      <w:marLeft w:val="0"/>
      <w:marRight w:val="0"/>
      <w:marTop w:val="0"/>
      <w:marBottom w:val="0"/>
      <w:divBdr>
        <w:top w:val="none" w:sz="0" w:space="0" w:color="auto"/>
        <w:left w:val="none" w:sz="0" w:space="0" w:color="auto"/>
        <w:bottom w:val="none" w:sz="0" w:space="0" w:color="auto"/>
        <w:right w:val="none" w:sz="0" w:space="0" w:color="auto"/>
      </w:divBdr>
    </w:div>
    <w:div w:id="904413092">
      <w:bodyDiv w:val="1"/>
      <w:marLeft w:val="0"/>
      <w:marRight w:val="0"/>
      <w:marTop w:val="0"/>
      <w:marBottom w:val="0"/>
      <w:divBdr>
        <w:top w:val="none" w:sz="0" w:space="0" w:color="auto"/>
        <w:left w:val="none" w:sz="0" w:space="0" w:color="auto"/>
        <w:bottom w:val="none" w:sz="0" w:space="0" w:color="auto"/>
        <w:right w:val="none" w:sz="0" w:space="0" w:color="auto"/>
      </w:divBdr>
    </w:div>
    <w:div w:id="961810249">
      <w:bodyDiv w:val="1"/>
      <w:marLeft w:val="0"/>
      <w:marRight w:val="0"/>
      <w:marTop w:val="0"/>
      <w:marBottom w:val="0"/>
      <w:divBdr>
        <w:top w:val="none" w:sz="0" w:space="0" w:color="auto"/>
        <w:left w:val="none" w:sz="0" w:space="0" w:color="auto"/>
        <w:bottom w:val="none" w:sz="0" w:space="0" w:color="auto"/>
        <w:right w:val="none" w:sz="0" w:space="0" w:color="auto"/>
      </w:divBdr>
    </w:div>
    <w:div w:id="1323436564">
      <w:bodyDiv w:val="1"/>
      <w:marLeft w:val="0"/>
      <w:marRight w:val="0"/>
      <w:marTop w:val="0"/>
      <w:marBottom w:val="0"/>
      <w:divBdr>
        <w:top w:val="none" w:sz="0" w:space="0" w:color="auto"/>
        <w:left w:val="none" w:sz="0" w:space="0" w:color="auto"/>
        <w:bottom w:val="none" w:sz="0" w:space="0" w:color="auto"/>
        <w:right w:val="none" w:sz="0" w:space="0" w:color="auto"/>
      </w:divBdr>
    </w:div>
    <w:div w:id="1495603809">
      <w:bodyDiv w:val="1"/>
      <w:marLeft w:val="0"/>
      <w:marRight w:val="0"/>
      <w:marTop w:val="0"/>
      <w:marBottom w:val="0"/>
      <w:divBdr>
        <w:top w:val="none" w:sz="0" w:space="0" w:color="auto"/>
        <w:left w:val="none" w:sz="0" w:space="0" w:color="auto"/>
        <w:bottom w:val="none" w:sz="0" w:space="0" w:color="auto"/>
        <w:right w:val="none" w:sz="0" w:space="0" w:color="auto"/>
      </w:divBdr>
    </w:div>
    <w:div w:id="1648776517">
      <w:bodyDiv w:val="1"/>
      <w:marLeft w:val="0"/>
      <w:marRight w:val="0"/>
      <w:marTop w:val="0"/>
      <w:marBottom w:val="0"/>
      <w:divBdr>
        <w:top w:val="none" w:sz="0" w:space="0" w:color="auto"/>
        <w:left w:val="none" w:sz="0" w:space="0" w:color="auto"/>
        <w:bottom w:val="none" w:sz="0" w:space="0" w:color="auto"/>
        <w:right w:val="none" w:sz="0" w:space="0" w:color="auto"/>
      </w:divBdr>
    </w:div>
    <w:div w:id="171018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cdc.gov/washington/testimony/2018/t20180606.htm" TargetMode="External"/><Relationship Id="rId18" Type="http://schemas.openxmlformats.org/officeDocument/2006/relationships/hyperlink" Target="https://www.fda.gov/emergency-preparedness-and-response/about-mcmi/mcmi-history" TargetMode="External"/><Relationship Id="rId26" Type="http://schemas.openxmlformats.org/officeDocument/2006/relationships/hyperlink" Target="https://www.cdc.gov/phlp/docs/ph-emergencies.pdf" TargetMode="External"/><Relationship Id="rId39" Type="http://schemas.openxmlformats.org/officeDocument/2006/relationships/hyperlink" Target="https://www.cdc.gov/phlp/docs/ph-emergencies.pdf" TargetMode="External"/><Relationship Id="rId21" Type="http://schemas.openxmlformats.org/officeDocument/2006/relationships/hyperlink" Target="https://www.fda.gov/emergency-preparedness-and-response/about-mcmi/mcmi-history" TargetMode="External"/><Relationship Id="rId34" Type="http://schemas.openxmlformats.org/officeDocument/2006/relationships/hyperlink" Target="https://www.fda.gov/emergency-preparedness-and-response/mcm-legal-regulatory-and-policy-framework/mcm-related-counterterrorism-legislation" TargetMode="External"/><Relationship Id="rId42" Type="http://schemas.openxmlformats.org/officeDocument/2006/relationships/hyperlink" Target="https://www.cdc.gov/phlp/docs/ph-emergencies.pdf" TargetMode="External"/><Relationship Id="rId47" Type="http://schemas.openxmlformats.org/officeDocument/2006/relationships/hyperlink" Target="https://www.fda.gov/emergency-preparedness-and-response/mcm-legal-regulatory-and-policy-framework/summary-pahpras-mcm-provisions" TargetMode="External"/><Relationship Id="rId50" Type="http://schemas.openxmlformats.org/officeDocument/2006/relationships/hyperlink" Target="https://www.fda.gov/emergency-preparedness-and-response/mcm-legal-regulatory-and-policy-framework/21st-century-cures-act-mcm-related-cures-provisions" TargetMode="External"/><Relationship Id="rId55" Type="http://schemas.openxmlformats.org/officeDocument/2006/relationships/hyperlink" Target="https://www.fda.gov/emergency-preparedness-and-response/mcm-legal-regulatory-and-policy-framework/emergency-use-approved-mcms" TargetMode="External"/><Relationship Id="rId63" Type="http://schemas.openxmlformats.org/officeDocument/2006/relationships/hyperlink" Target="https://www.fda.gov/emergency-preparedness-and-response/mcm-legal-regulatory-and-policy-framework/emergency-use-approved-mcms" TargetMode="External"/><Relationship Id="rId68" Type="http://schemas.openxmlformats.org/officeDocument/2006/relationships/hyperlink" Target="https://www.cdc.gov/phlp/docs/ph-emergencies.pdf" TargetMode="External"/><Relationship Id="rId7" Type="http://schemas.openxmlformats.org/officeDocument/2006/relationships/hyperlink" Target="https://www.phe.gov/about/aspr/Pages/default.aspx" TargetMode="External"/><Relationship Id="rId71" Type="http://schemas.openxmlformats.org/officeDocument/2006/relationships/hyperlink" Target="https://www.fda.gov/emergency-preparedness-and-response/mcm-legal-regulatory-and-policy-framework/summary-process-eua-issuance" TargetMode="External"/><Relationship Id="rId2" Type="http://schemas.openxmlformats.org/officeDocument/2006/relationships/hyperlink" Target="https://www.fda.gov/emergency-preparedness-and-response/about-mcmi/what-are-medical-countermeasures" TargetMode="External"/><Relationship Id="rId16" Type="http://schemas.openxmlformats.org/officeDocument/2006/relationships/hyperlink" Target="https://www.fda.gov/emergency-preparedness-and-response/about-mcmi/mcmi-history" TargetMode="External"/><Relationship Id="rId29" Type="http://schemas.openxmlformats.org/officeDocument/2006/relationships/hyperlink" Target="https://fas.org/sgp/crs/terror/RS21507.pdf" TargetMode="External"/><Relationship Id="rId11" Type="http://schemas.openxmlformats.org/officeDocument/2006/relationships/hyperlink" Target="https://www.cdc.gov/cpr/readiness/mcm.html" TargetMode="External"/><Relationship Id="rId24" Type="http://schemas.openxmlformats.org/officeDocument/2006/relationships/hyperlink" Target="https://www.niaid.nih.gov/research/biodefense" TargetMode="External"/><Relationship Id="rId32" Type="http://schemas.openxmlformats.org/officeDocument/2006/relationships/hyperlink" Target="https://www.fda.gov/emergency-preparedness-and-response/mcm-legal-regulatory-and-policy-framework/mcm-related-counterterrorism-legislation" TargetMode="External"/><Relationship Id="rId37" Type="http://schemas.openxmlformats.org/officeDocument/2006/relationships/hyperlink" Target="https://www.fda.gov/emergency-preparedness-and-response/mcm-legal-regulatory-and-policy-framework/mcm-related-counterterrorism-legislation" TargetMode="External"/><Relationship Id="rId40" Type="http://schemas.openxmlformats.org/officeDocument/2006/relationships/hyperlink" Target="https://www.cdc.gov/phlp/docs/ph-emergencies.pdf" TargetMode="External"/><Relationship Id="rId45" Type="http://schemas.openxmlformats.org/officeDocument/2006/relationships/hyperlink" Target="https://www.cdc.gov/phlp/docs/ph-emergencies.pdf" TargetMode="External"/><Relationship Id="rId53" Type="http://schemas.openxmlformats.org/officeDocument/2006/relationships/hyperlink" Target="https://www.fda.gov/regulatory-information/search-fda-guidance-documents/emergency-use-authorization-medical-products-and-related-authorities" TargetMode="External"/><Relationship Id="rId58" Type="http://schemas.openxmlformats.org/officeDocument/2006/relationships/hyperlink" Target="https://www.fda.gov/media/99227/download" TargetMode="External"/><Relationship Id="rId66" Type="http://schemas.openxmlformats.org/officeDocument/2006/relationships/hyperlink" Target="https://www.fda.gov/emergency-preparedness-and-response/mcm-legal-regulatory-and-policy-framework/emergency-use-approved-mcms" TargetMode="External"/><Relationship Id="rId74" Type="http://schemas.openxmlformats.org/officeDocument/2006/relationships/hyperlink" Target="https://www.fda.gov/regulatory-information/search-fda-guidance-documents/emergency-use-authorization-medical-products-and-related-authorities" TargetMode="External"/><Relationship Id="rId5" Type="http://schemas.openxmlformats.org/officeDocument/2006/relationships/hyperlink" Target="https://www.phe.gov/Preparedness/mcm/phemce/Pages/mission.aspx" TargetMode="External"/><Relationship Id="rId15" Type="http://schemas.openxmlformats.org/officeDocument/2006/relationships/hyperlink" Target="https://www.cdc.gov/washington/testimony/2018/t20180606.htm" TargetMode="External"/><Relationship Id="rId23" Type="http://schemas.openxmlformats.org/officeDocument/2006/relationships/hyperlink" Target="https://www.fda.gov/emergency-preparedness-and-response/medical-countermeasures-initiative-mcmi/mcm-legal-regulatory-and-policy-framework" TargetMode="External"/><Relationship Id="rId28" Type="http://schemas.openxmlformats.org/officeDocument/2006/relationships/hyperlink" Target="https://www.fda.gov/emergency-preparedness-and-response/mcm-legal-regulatory-and-policy-framework/mcm-related-counterterrorism-legislation" TargetMode="External"/><Relationship Id="rId36" Type="http://schemas.openxmlformats.org/officeDocument/2006/relationships/hyperlink" Target="https://www.fda.gov/emergency-preparedness-and-response/mcm-legal-regulatory-and-policy-framework/mcm-related-counterterrorism-legislation" TargetMode="External"/><Relationship Id="rId49" Type="http://schemas.openxmlformats.org/officeDocument/2006/relationships/hyperlink" Target="https://www.fda.gov/regulatory-information/selected-amendments-fdc-act/21st-century-cures-act" TargetMode="External"/><Relationship Id="rId57" Type="http://schemas.openxmlformats.org/officeDocument/2006/relationships/hyperlink" Target="https://www.fda.gov/emergency-preparedness-and-response/mcm-legal-regulatory-and-policy-framework/emergency-use-approved-mcms" TargetMode="External"/><Relationship Id="rId61" Type="http://schemas.openxmlformats.org/officeDocument/2006/relationships/hyperlink" Target="https://www.fda.gov/emergency-preparedness-and-response/mcm-legal-regulatory-and-policy-framework/emergency-use-approved-mcms" TargetMode="External"/><Relationship Id="rId10" Type="http://schemas.openxmlformats.org/officeDocument/2006/relationships/hyperlink" Target="https://www.cdc.gov/washington/testimony/2018/t20180606.htm" TargetMode="External"/><Relationship Id="rId19" Type="http://schemas.openxmlformats.org/officeDocument/2006/relationships/hyperlink" Target="https://www.fda.gov/emergency-preparedness-and-response/about-mcmi/mcmi-history" TargetMode="External"/><Relationship Id="rId31" Type="http://schemas.openxmlformats.org/officeDocument/2006/relationships/hyperlink" Target="https://www.fda.gov/emergency-preparedness-and-response/mcm-legal-regulatory-and-policy-framework/mcm-related-counterterrorism-legislation" TargetMode="External"/><Relationship Id="rId44" Type="http://schemas.openxmlformats.org/officeDocument/2006/relationships/hyperlink" Target="https://www.phe.gov/about/barda/Pages/default.aspx" TargetMode="External"/><Relationship Id="rId52" Type="http://schemas.openxmlformats.org/officeDocument/2006/relationships/hyperlink" Target="https://www.fda.gov/emergency-preparedness-and-response/mcm-legal-regulatory-and-policy-framework/21st-century-cures-act-mcm-related-cures-provisions" TargetMode="External"/><Relationship Id="rId60" Type="http://schemas.openxmlformats.org/officeDocument/2006/relationships/hyperlink" Target="https://www.fda.gov/emergency-preparedness-and-response/mcm-legal-regulatory-and-policy-framework/emergency-use-approved-mcms" TargetMode="External"/><Relationship Id="rId65" Type="http://schemas.openxmlformats.org/officeDocument/2006/relationships/hyperlink" Target="https://www.fda.gov/emergency-preparedness-and-response/mcm-legal-regulatory-and-policy-framework/emergency-use-approved-mcms" TargetMode="External"/><Relationship Id="rId73" Type="http://schemas.openxmlformats.org/officeDocument/2006/relationships/hyperlink" Target="https://www.fda.gov/emergency-preparedness-and-response/mcm-legal-regulatory-and-policy-framework/summary-process-eua-issuance" TargetMode="External"/><Relationship Id="rId4" Type="http://schemas.openxmlformats.org/officeDocument/2006/relationships/hyperlink" Target="https://www.phe.gov/Preparedness/mcm/phemce/Pages/default.aspx" TargetMode="External"/><Relationship Id="rId9" Type="http://schemas.openxmlformats.org/officeDocument/2006/relationships/hyperlink" Target="https://www.phe.gov/about/barda/Pages/default.aspx" TargetMode="External"/><Relationship Id="rId14" Type="http://schemas.openxmlformats.org/officeDocument/2006/relationships/hyperlink" Target="https://www.cdc.gov/washington/testimony/2018/t20180606.htm" TargetMode="External"/><Relationship Id="rId22" Type="http://schemas.openxmlformats.org/officeDocument/2006/relationships/hyperlink" Target="https://www.fda.gov/emergency-preparedness-and-response/about-mcmi/mcmi-history" TargetMode="External"/><Relationship Id="rId27" Type="http://schemas.openxmlformats.org/officeDocument/2006/relationships/hyperlink" Target="https://www.fda.gov/emergency-preparedness-and-response/mcm-legal-regulatory-and-policy-framework/mcm-related-counterterrorism-legislation" TargetMode="External"/><Relationship Id="rId30" Type="http://schemas.openxmlformats.org/officeDocument/2006/relationships/hyperlink" Target="https://www.fda.gov/emergency-preparedness-and-response/mcm-legal-regulatory-and-policy-framework/mcm-related-counterterrorism-legislation" TargetMode="External"/><Relationship Id="rId35" Type="http://schemas.openxmlformats.org/officeDocument/2006/relationships/hyperlink" Target="https://www.phe.gov/Preparedness/legal/prepact/Pages/default.aspx" TargetMode="External"/><Relationship Id="rId43" Type="http://schemas.openxmlformats.org/officeDocument/2006/relationships/hyperlink" Target="https://www.cdc.gov/phlp/docs/ph-emergencies.pdf" TargetMode="External"/><Relationship Id="rId48" Type="http://schemas.openxmlformats.org/officeDocument/2006/relationships/hyperlink" Target="https://www.fda.gov/regulatory-information/selected-amendments-fdc-act/21st-century-cures-act" TargetMode="External"/><Relationship Id="rId56" Type="http://schemas.openxmlformats.org/officeDocument/2006/relationships/hyperlink" Target="https://www.fda.gov/emergency-preparedness-and-response/mcm-legal-regulatory-and-policy-framework/emergency-use-approved-mcms" TargetMode="External"/><Relationship Id="rId64" Type="http://schemas.openxmlformats.org/officeDocument/2006/relationships/hyperlink" Target="https://www.fda.gov/emergency-preparedness-and-response/mcm-legal-regulatory-and-policy-framework/emergency-dispensing-orders" TargetMode="External"/><Relationship Id="rId69" Type="http://schemas.openxmlformats.org/officeDocument/2006/relationships/hyperlink" Target="https://www.cdc.gov/phlp/docs/ph-emergencies.pdf" TargetMode="External"/><Relationship Id="rId8" Type="http://schemas.openxmlformats.org/officeDocument/2006/relationships/hyperlink" Target="https://www.phe.gov/about/barda/Pages/default.aspx" TargetMode="External"/><Relationship Id="rId51" Type="http://schemas.openxmlformats.org/officeDocument/2006/relationships/hyperlink" Target="https://www.fda.gov/emergency-preparedness-and-response/mcm-legal-regulatory-and-policy-framework/21st-century-cures-act-mcm-related-cures-provisions" TargetMode="External"/><Relationship Id="rId72" Type="http://schemas.openxmlformats.org/officeDocument/2006/relationships/hyperlink" Target="https://www.fda.gov/emergency-preparedness-and-response/mcm-legal-regulatory-and-policy-framework/summary-process-eua-issuance" TargetMode="External"/><Relationship Id="rId3" Type="http://schemas.openxmlformats.org/officeDocument/2006/relationships/hyperlink" Target="https://www.fda.gov/emergency-preparedness-and-response/about-mcmi/what-are-medical-countermeasures" TargetMode="External"/><Relationship Id="rId12" Type="http://schemas.openxmlformats.org/officeDocument/2006/relationships/hyperlink" Target="https://www.cdc.gov/washington/testimony/2018/t20180606.htm" TargetMode="External"/><Relationship Id="rId17" Type="http://schemas.openxmlformats.org/officeDocument/2006/relationships/hyperlink" Target="https://www.fda.gov/emergency-preparedness-and-response/about-mcmi/mcmi-history" TargetMode="External"/><Relationship Id="rId25" Type="http://schemas.openxmlformats.org/officeDocument/2006/relationships/hyperlink" Target="https://www.niaid.nih.gov/research/biodefense" TargetMode="External"/><Relationship Id="rId33" Type="http://schemas.openxmlformats.org/officeDocument/2006/relationships/hyperlink" Target="https://www.phe.gov/Preparedness/legal/prepact/Pages/default.aspx" TargetMode="External"/><Relationship Id="rId38" Type="http://schemas.openxmlformats.org/officeDocument/2006/relationships/hyperlink" Target="https://www.hrsa.gov/cicp/" TargetMode="External"/><Relationship Id="rId46" Type="http://schemas.openxmlformats.org/officeDocument/2006/relationships/hyperlink" Target="https://www.fda.gov/emergency-preparedness-and-response/mcm-legal-regulatory-and-policy-framework/summary-pahpras-mcm-provisions" TargetMode="External"/><Relationship Id="rId59" Type="http://schemas.openxmlformats.org/officeDocument/2006/relationships/hyperlink" Target="https://www.fda.gov/media/99227/download" TargetMode="External"/><Relationship Id="rId67" Type="http://schemas.openxmlformats.org/officeDocument/2006/relationships/hyperlink" Target="https://www.fda.gov/emergency-preparedness-and-response/mcm-legal-regulatory-and-policy-framework/emergency-use-authorization" TargetMode="External"/><Relationship Id="rId20" Type="http://schemas.openxmlformats.org/officeDocument/2006/relationships/hyperlink" Target="https://www.fda.gov/emergency-preparedness-and-response/about-mcmi/mcmi-history" TargetMode="External"/><Relationship Id="rId41" Type="http://schemas.openxmlformats.org/officeDocument/2006/relationships/hyperlink" Target="https://www.fda.gov/emergency-preparedness-and-response/mcm-legal-regulatory-and-policy-framework/mcm-related-counterterrorism-legislation" TargetMode="External"/><Relationship Id="rId54" Type="http://schemas.openxmlformats.org/officeDocument/2006/relationships/hyperlink" Target="https://www.fda.gov/emergency-preparedness-and-response/mcm-legal-regulatory-and-policy-framework/21st-century-cures-act-mcm-related-cures-provisions" TargetMode="External"/><Relationship Id="rId62" Type="http://schemas.openxmlformats.org/officeDocument/2006/relationships/hyperlink" Target="https://www.fda.gov/emergency-preparedness-and-response/mcm-legal-regulatory-and-policy-framework/emergency-dispensing-orders" TargetMode="External"/><Relationship Id="rId70" Type="http://schemas.openxmlformats.org/officeDocument/2006/relationships/hyperlink" Target="https://www.cdc.gov/phlp/docs/ph-emergencies.pdf" TargetMode="External"/><Relationship Id="rId1" Type="http://schemas.openxmlformats.org/officeDocument/2006/relationships/hyperlink" Target="https://www.fda.gov/emergency-preparedness-and-response/about-mcmi/what-are-medical-countermeasures" TargetMode="External"/><Relationship Id="rId6" Type="http://schemas.openxmlformats.org/officeDocument/2006/relationships/hyperlink" Target="https://www.phe.gov/about/aspr/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1847</TotalTime>
  <Pages>14</Pages>
  <Words>3256</Words>
  <Characters>18561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727</cp:revision>
  <dcterms:created xsi:type="dcterms:W3CDTF">2020-03-17T18:01:00Z</dcterms:created>
  <dcterms:modified xsi:type="dcterms:W3CDTF">2020-03-19T23:37:00Z</dcterms:modified>
</cp:coreProperties>
</file>