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D81E3" w14:textId="4701AB45" w:rsidR="001D7142" w:rsidRPr="00B87B98" w:rsidRDefault="00B10F64" w:rsidP="0096691A">
      <w:pPr>
        <w:spacing w:line="360" w:lineRule="auto"/>
        <w:jc w:val="center"/>
        <w:rPr>
          <w:rFonts w:ascii="Calibri" w:eastAsia="Times New Roman" w:hAnsi="Calibri" w:cs="Calibri"/>
          <w:spacing w:val="15"/>
          <w:kern w:val="36"/>
          <w:sz w:val="24"/>
          <w:szCs w:val="24"/>
        </w:rPr>
      </w:pPr>
      <w:r w:rsidRPr="00B87B98">
        <w:rPr>
          <w:rFonts w:ascii="Calibri" w:eastAsia="Times New Roman" w:hAnsi="Calibri" w:cs="Calibri"/>
          <w:b/>
          <w:bCs/>
          <w:spacing w:val="15"/>
          <w:kern w:val="36"/>
          <w:sz w:val="24"/>
          <w:szCs w:val="32"/>
        </w:rPr>
        <w:t>MEDICAL STOCKPILES AND DISTRIBUTION</w:t>
      </w:r>
    </w:p>
    <w:p w14:paraId="2AF1B524" w14:textId="77777777" w:rsidR="0096691A" w:rsidRPr="00B87B98" w:rsidRDefault="0096691A" w:rsidP="0096691A">
      <w:pPr>
        <w:spacing w:line="360" w:lineRule="auto"/>
        <w:jc w:val="center"/>
        <w:rPr>
          <w:rFonts w:ascii="Calibri" w:eastAsia="Times New Roman" w:hAnsi="Calibri" w:cs="Calibri"/>
          <w:spacing w:val="15"/>
          <w:kern w:val="36"/>
          <w:sz w:val="24"/>
          <w:szCs w:val="24"/>
        </w:rPr>
      </w:pPr>
    </w:p>
    <w:p w14:paraId="51FA1FC2" w14:textId="77777777" w:rsidR="00A63BE9" w:rsidRPr="00B87B98" w:rsidRDefault="00A6059A" w:rsidP="00A63BE9">
      <w:pPr>
        <w:spacing w:line="360" w:lineRule="auto"/>
        <w:rPr>
          <w:rFonts w:ascii="Calibri" w:eastAsia="Times New Roman" w:hAnsi="Calibri" w:cs="Calibri"/>
          <w:b/>
          <w:bCs/>
          <w:sz w:val="24"/>
          <w:szCs w:val="24"/>
        </w:rPr>
      </w:pPr>
      <w:r w:rsidRPr="00B87B98">
        <w:rPr>
          <w:rFonts w:ascii="Calibri" w:eastAsia="Times New Roman" w:hAnsi="Calibri" w:cs="Calibri"/>
          <w:b/>
          <w:bCs/>
          <w:sz w:val="24"/>
          <w:szCs w:val="24"/>
        </w:rPr>
        <w:t>Overview</w:t>
      </w:r>
    </w:p>
    <w:p w14:paraId="0866F93B" w14:textId="77777777" w:rsidR="00FD25CC" w:rsidRDefault="00FD25CC" w:rsidP="00FD25CC">
      <w:pPr>
        <w:spacing w:line="360" w:lineRule="auto"/>
        <w:rPr>
          <w:rFonts w:ascii="Calibri" w:eastAsia="Times New Roman" w:hAnsi="Calibri" w:cs="Calibri"/>
          <w:bdr w:val="none" w:sz="0" w:space="0" w:color="auto" w:frame="1"/>
        </w:rPr>
      </w:pPr>
      <w:r w:rsidRPr="00B87B98">
        <w:rPr>
          <w:rFonts w:ascii="Calibri" w:eastAsia="Times New Roman" w:hAnsi="Calibri" w:cs="Calibri"/>
        </w:rPr>
        <w:t xml:space="preserve">The </w:t>
      </w:r>
      <w:r w:rsidRPr="00120401">
        <w:rPr>
          <w:rFonts w:ascii="Calibri" w:eastAsia="Times New Roman" w:hAnsi="Calibri" w:cs="Calibri"/>
        </w:rPr>
        <w:t xml:space="preserve">Strategic National Stockpile </w:t>
      </w:r>
      <w:r>
        <w:rPr>
          <w:rFonts w:ascii="Calibri" w:eastAsia="Times New Roman" w:hAnsi="Calibri" w:cs="Calibri"/>
        </w:rPr>
        <w:t>(</w:t>
      </w:r>
      <w:r w:rsidRPr="00B87B98">
        <w:rPr>
          <w:rFonts w:ascii="Calibri" w:eastAsia="Times New Roman" w:hAnsi="Calibri" w:cs="Calibri"/>
        </w:rPr>
        <w:t>SNS</w:t>
      </w:r>
      <w:r>
        <w:rPr>
          <w:rFonts w:ascii="Calibri" w:eastAsia="Times New Roman" w:hAnsi="Calibri" w:cs="Calibri"/>
        </w:rPr>
        <w:t>)</w:t>
      </w:r>
      <w:r w:rsidRPr="00B87B98">
        <w:rPr>
          <w:rFonts w:ascii="Calibri" w:eastAsia="Times New Roman" w:hAnsi="Calibri" w:cs="Calibri"/>
        </w:rPr>
        <w:t xml:space="preserve"> program is designed to supplement and resupply state and local inventories of </w:t>
      </w:r>
      <w:r>
        <w:rPr>
          <w:rFonts w:ascii="Calibri" w:eastAsia="Times New Roman" w:hAnsi="Calibri" w:cs="Calibri"/>
        </w:rPr>
        <w:t>pharmaceuticals</w:t>
      </w:r>
      <w:r w:rsidRPr="00B87B98">
        <w:rPr>
          <w:rFonts w:ascii="Calibri" w:eastAsia="Times New Roman" w:hAnsi="Calibri" w:cs="Calibri"/>
        </w:rPr>
        <w:t xml:space="preserve"> and supplies during emergencies acute enough to exhaust local supplies.</w:t>
      </w:r>
      <w:r w:rsidRPr="00B87B98">
        <w:rPr>
          <w:rStyle w:val="FootnoteReference"/>
          <w:rFonts w:ascii="Calibri" w:eastAsia="Times New Roman" w:hAnsi="Calibri" w:cs="Calibri"/>
        </w:rPr>
        <w:footnoteReference w:id="1"/>
      </w:r>
      <w:r>
        <w:rPr>
          <w:rFonts w:ascii="Calibri" w:eastAsia="Times New Roman" w:hAnsi="Calibri" w:cs="Calibri"/>
          <w:bdr w:val="none" w:sz="0" w:space="0" w:color="auto" w:frame="1"/>
        </w:rPr>
        <w:t xml:space="preserve"> </w:t>
      </w:r>
    </w:p>
    <w:p w14:paraId="6F2FB24A" w14:textId="77A6E875" w:rsidR="00A21CB7" w:rsidRDefault="00A21CB7" w:rsidP="00A63BE9">
      <w:pPr>
        <w:spacing w:line="360" w:lineRule="auto"/>
        <w:rPr>
          <w:rFonts w:ascii="Calibri" w:eastAsia="Times New Roman" w:hAnsi="Calibri" w:cs="Calibri"/>
        </w:rPr>
      </w:pPr>
    </w:p>
    <w:p w14:paraId="48EFF6AB" w14:textId="3C980CD5" w:rsidR="00A746D7" w:rsidRPr="00B87B98" w:rsidRDefault="00120401" w:rsidP="00A746D7">
      <w:pPr>
        <w:spacing w:line="360" w:lineRule="auto"/>
        <w:rPr>
          <w:rFonts w:ascii="Calibri" w:eastAsia="Times New Roman" w:hAnsi="Calibri" w:cs="Calibri"/>
          <w:b/>
          <w:bCs/>
          <w:sz w:val="24"/>
          <w:szCs w:val="24"/>
        </w:rPr>
      </w:pPr>
      <w:r w:rsidRPr="00120401">
        <w:rPr>
          <w:rFonts w:ascii="Calibri" w:eastAsia="Times New Roman" w:hAnsi="Calibri" w:cs="Calibri"/>
          <w:b/>
          <w:bCs/>
          <w:sz w:val="24"/>
          <w:szCs w:val="24"/>
        </w:rPr>
        <w:t>Strategic National Stockpile</w:t>
      </w:r>
    </w:p>
    <w:p w14:paraId="617A20C5" w14:textId="4556F06F" w:rsidR="00F65759" w:rsidRDefault="001D2226" w:rsidP="00D92C41">
      <w:pPr>
        <w:spacing w:line="360" w:lineRule="auto"/>
        <w:rPr>
          <w:rFonts w:ascii="Calibri" w:eastAsia="Times New Roman" w:hAnsi="Calibri" w:cs="Calibri"/>
          <w:bdr w:val="none" w:sz="0" w:space="0" w:color="auto" w:frame="1"/>
        </w:rPr>
      </w:pPr>
      <w:r w:rsidRPr="001D2226">
        <w:rPr>
          <w:rFonts w:ascii="Calibri" w:eastAsia="Times New Roman" w:hAnsi="Calibri" w:cs="Calibri"/>
          <w:bdr w:val="none" w:sz="0" w:space="0" w:color="auto" w:frame="1"/>
        </w:rPr>
        <w:t>The Public Health Service Act authorizes the secretary of Health and Human Services, in collaboration with the Assistant Secretary for Preparedness and Response (ASPR) and the Director of the Centers for Disease Control and Prevention (CDC), and in coordination with the Secretary of Homeland Security, to maintain a stockpile of “drugs, vaccines and other biological products, medical devices, and other supplies in such numbers, types, and amounts” to provide for the emergency health security of the United States.</w:t>
      </w:r>
      <w:r w:rsidR="00A73838">
        <w:rPr>
          <w:rStyle w:val="FootnoteReference"/>
          <w:rFonts w:ascii="Calibri" w:eastAsia="Times New Roman" w:hAnsi="Calibri" w:cs="Calibri"/>
          <w:bdr w:val="none" w:sz="0" w:space="0" w:color="auto" w:frame="1"/>
        </w:rPr>
        <w:footnoteReference w:id="2"/>
      </w:r>
      <w:r w:rsidRPr="001D2226">
        <w:rPr>
          <w:rFonts w:ascii="Calibri" w:eastAsia="Times New Roman" w:hAnsi="Calibri" w:cs="Calibri"/>
          <w:bdr w:val="none" w:sz="0" w:space="0" w:color="auto" w:frame="1"/>
        </w:rPr>
        <w:t xml:space="preserve"> </w:t>
      </w:r>
      <w:r w:rsidR="00E607D9">
        <w:rPr>
          <w:rFonts w:ascii="Calibri" w:eastAsia="Times New Roman" w:hAnsi="Calibri" w:cs="Calibri"/>
          <w:bdr w:val="none" w:sz="0" w:space="0" w:color="auto" w:frame="1"/>
        </w:rPr>
        <w:t>The Public Health Service Act assigns t</w:t>
      </w:r>
      <w:r w:rsidR="00E26CF3" w:rsidRPr="001D2226">
        <w:rPr>
          <w:rFonts w:ascii="Calibri" w:eastAsia="Times New Roman" w:hAnsi="Calibri" w:cs="Calibri"/>
          <w:bdr w:val="none" w:sz="0" w:space="0" w:color="auto" w:frame="1"/>
        </w:rPr>
        <w:t>he responsibility</w:t>
      </w:r>
      <w:r w:rsidR="00E26CF3">
        <w:rPr>
          <w:rFonts w:ascii="Calibri" w:eastAsia="Times New Roman" w:hAnsi="Calibri" w:cs="Calibri"/>
          <w:bdr w:val="none" w:sz="0" w:space="0" w:color="auto" w:frame="1"/>
        </w:rPr>
        <w:t xml:space="preserve"> </w:t>
      </w:r>
      <w:r w:rsidR="00E26CF3" w:rsidRPr="001D2226">
        <w:rPr>
          <w:rFonts w:ascii="Calibri" w:eastAsia="Times New Roman" w:hAnsi="Calibri" w:cs="Calibri"/>
          <w:bdr w:val="none" w:sz="0" w:space="0" w:color="auto" w:frame="1"/>
        </w:rPr>
        <w:t xml:space="preserve">and authority </w:t>
      </w:r>
      <w:r w:rsidR="00E607D9">
        <w:rPr>
          <w:rFonts w:ascii="Calibri" w:eastAsia="Times New Roman" w:hAnsi="Calibri" w:cs="Calibri"/>
          <w:bdr w:val="none" w:sz="0" w:space="0" w:color="auto" w:frame="1"/>
        </w:rPr>
        <w:t>for</w:t>
      </w:r>
      <w:r w:rsidR="00E26CF3" w:rsidRPr="001D2226">
        <w:rPr>
          <w:rFonts w:ascii="Calibri" w:eastAsia="Times New Roman" w:hAnsi="Calibri" w:cs="Calibri"/>
          <w:bdr w:val="none" w:sz="0" w:space="0" w:color="auto" w:frame="1"/>
        </w:rPr>
        <w:t xml:space="preserve"> coordinat</w:t>
      </w:r>
      <w:r w:rsidR="00E607D9">
        <w:rPr>
          <w:rFonts w:ascii="Calibri" w:eastAsia="Times New Roman" w:hAnsi="Calibri" w:cs="Calibri"/>
          <w:bdr w:val="none" w:sz="0" w:space="0" w:color="auto" w:frame="1"/>
        </w:rPr>
        <w:t>ing t</w:t>
      </w:r>
      <w:r w:rsidR="00E26CF3" w:rsidRPr="001D2226">
        <w:rPr>
          <w:rFonts w:ascii="Calibri" w:eastAsia="Times New Roman" w:hAnsi="Calibri" w:cs="Calibri"/>
          <w:bdr w:val="none" w:sz="0" w:space="0" w:color="auto" w:frame="1"/>
        </w:rPr>
        <w:t xml:space="preserve">he </w:t>
      </w:r>
      <w:r w:rsidR="002C3B90">
        <w:rPr>
          <w:rFonts w:ascii="Calibri" w:eastAsia="Times New Roman" w:hAnsi="Calibri" w:cs="Calibri"/>
          <w:bdr w:val="none" w:sz="0" w:space="0" w:color="auto" w:frame="1"/>
        </w:rPr>
        <w:t>SNS</w:t>
      </w:r>
      <w:r w:rsidR="00E26CF3" w:rsidRPr="001D2226">
        <w:rPr>
          <w:rFonts w:ascii="Calibri" w:eastAsia="Times New Roman" w:hAnsi="Calibri" w:cs="Calibri"/>
          <w:bdr w:val="none" w:sz="0" w:space="0" w:color="auto" w:frame="1"/>
        </w:rPr>
        <w:t xml:space="preserve"> </w:t>
      </w:r>
      <w:r w:rsidR="00E607D9">
        <w:rPr>
          <w:rFonts w:ascii="Calibri" w:eastAsia="Times New Roman" w:hAnsi="Calibri" w:cs="Calibri"/>
          <w:bdr w:val="none" w:sz="0" w:space="0" w:color="auto" w:frame="1"/>
        </w:rPr>
        <w:t>to ASPR.</w:t>
      </w:r>
      <w:r w:rsidR="00E607D9">
        <w:rPr>
          <w:rStyle w:val="FootnoteReference"/>
          <w:rFonts w:ascii="Calibri" w:eastAsia="Times New Roman" w:hAnsi="Calibri" w:cs="Calibri"/>
          <w:bdr w:val="none" w:sz="0" w:space="0" w:color="auto" w:frame="1"/>
        </w:rPr>
        <w:footnoteReference w:id="3"/>
      </w:r>
      <w:r w:rsidR="00E607D9">
        <w:rPr>
          <w:rFonts w:ascii="Calibri" w:eastAsia="Times New Roman" w:hAnsi="Calibri" w:cs="Calibri"/>
          <w:bdr w:val="none" w:sz="0" w:space="0" w:color="auto" w:frame="1"/>
        </w:rPr>
        <w:t xml:space="preserve"> </w:t>
      </w:r>
    </w:p>
    <w:p w14:paraId="5B598E30" w14:textId="77777777" w:rsidR="00F65759" w:rsidRDefault="00F65759" w:rsidP="00D92C41">
      <w:pPr>
        <w:spacing w:line="360" w:lineRule="auto"/>
        <w:rPr>
          <w:rFonts w:ascii="Calibri" w:eastAsia="Times New Roman" w:hAnsi="Calibri" w:cs="Calibri"/>
          <w:bdr w:val="none" w:sz="0" w:space="0" w:color="auto" w:frame="1"/>
        </w:rPr>
      </w:pPr>
    </w:p>
    <w:p w14:paraId="0A05A2C4" w14:textId="77777777" w:rsidR="00A5154E" w:rsidRDefault="00E1243D" w:rsidP="001D2226">
      <w:pPr>
        <w:spacing w:line="360" w:lineRule="auto"/>
        <w:rPr>
          <w:rFonts w:ascii="Calibri" w:eastAsia="Times New Roman" w:hAnsi="Calibri" w:cs="Calibri"/>
          <w:bdr w:val="none" w:sz="0" w:space="0" w:color="auto" w:frame="1"/>
        </w:rPr>
      </w:pPr>
      <w:r>
        <w:rPr>
          <w:rFonts w:ascii="Calibri" w:eastAsia="Times New Roman" w:hAnsi="Calibri" w:cs="Calibri"/>
          <w:bdr w:val="none" w:sz="0" w:space="0" w:color="auto" w:frame="1"/>
        </w:rPr>
        <w:t xml:space="preserve">The HHS Secretary is required to conduct an annual </w:t>
      </w:r>
      <w:r w:rsidRPr="00E1243D">
        <w:rPr>
          <w:rFonts w:ascii="Calibri" w:eastAsia="Times New Roman" w:hAnsi="Calibri" w:cs="Calibri"/>
          <w:bdr w:val="none" w:sz="0" w:space="0" w:color="auto" w:frame="1"/>
        </w:rPr>
        <w:t>threat-based review</w:t>
      </w:r>
      <w:r w:rsidR="008C46CC">
        <w:rPr>
          <w:rFonts w:ascii="Calibri" w:eastAsia="Times New Roman" w:hAnsi="Calibri" w:cs="Calibri"/>
          <w:bdr w:val="none" w:sz="0" w:space="0" w:color="auto" w:frame="1"/>
        </w:rPr>
        <w:t xml:space="preserve"> of the </w:t>
      </w:r>
      <w:r w:rsidR="00745F9B">
        <w:rPr>
          <w:rFonts w:ascii="Calibri" w:eastAsia="Times New Roman" w:hAnsi="Calibri" w:cs="Calibri"/>
          <w:bdr w:val="none" w:sz="0" w:space="0" w:color="auto" w:frame="1"/>
        </w:rPr>
        <w:t>stockpile’s contents</w:t>
      </w:r>
      <w:r w:rsidR="00C74C03">
        <w:rPr>
          <w:rFonts w:ascii="Calibri" w:eastAsia="Times New Roman" w:hAnsi="Calibri" w:cs="Calibri"/>
          <w:bdr w:val="none" w:sz="0" w:space="0" w:color="auto" w:frame="1"/>
        </w:rPr>
        <w:t xml:space="preserve"> in consultation with </w:t>
      </w:r>
      <w:r w:rsidR="00C74C03" w:rsidRPr="00E1243D">
        <w:rPr>
          <w:rFonts w:ascii="Calibri" w:eastAsia="Times New Roman" w:hAnsi="Calibri" w:cs="Calibri"/>
          <w:bdr w:val="none" w:sz="0" w:space="0" w:color="auto" w:frame="1"/>
        </w:rPr>
        <w:t xml:space="preserve">the Public Health Emergency Medical Countermeasures Enterprise </w:t>
      </w:r>
      <w:r w:rsidR="00C74C03">
        <w:rPr>
          <w:rFonts w:ascii="Calibri" w:eastAsia="Times New Roman" w:hAnsi="Calibri" w:cs="Calibri"/>
          <w:bdr w:val="none" w:sz="0" w:space="0" w:color="auto" w:frame="1"/>
        </w:rPr>
        <w:t>(PHEMCE)</w:t>
      </w:r>
      <w:r w:rsidR="00CB7CF6">
        <w:rPr>
          <w:rFonts w:ascii="Calibri" w:eastAsia="Times New Roman" w:hAnsi="Calibri" w:cs="Calibri"/>
          <w:bdr w:val="none" w:sz="0" w:space="0" w:color="auto" w:frame="1"/>
        </w:rPr>
        <w:t>.</w:t>
      </w:r>
      <w:r w:rsidR="007C21A6">
        <w:rPr>
          <w:rStyle w:val="FootnoteReference"/>
          <w:rFonts w:ascii="Calibri" w:eastAsia="Times New Roman" w:hAnsi="Calibri" w:cs="Calibri"/>
          <w:bdr w:val="none" w:sz="0" w:space="0" w:color="auto" w:frame="1"/>
        </w:rPr>
        <w:footnoteReference w:id="4"/>
      </w:r>
      <w:r w:rsidR="000A083F">
        <w:rPr>
          <w:rFonts w:ascii="Calibri" w:eastAsia="Times New Roman" w:hAnsi="Calibri" w:cs="Calibri"/>
          <w:bdr w:val="none" w:sz="0" w:space="0" w:color="auto" w:frame="1"/>
        </w:rPr>
        <w:t xml:space="preserve"> </w:t>
      </w:r>
      <w:r w:rsidR="00A745A3">
        <w:rPr>
          <w:rStyle w:val="FootnoteReference"/>
          <w:rFonts w:ascii="Calibri" w:eastAsia="Times New Roman" w:hAnsi="Calibri" w:cs="Calibri"/>
          <w:bdr w:val="none" w:sz="0" w:space="0" w:color="auto" w:frame="1"/>
        </w:rPr>
        <w:footnoteReference w:id="5"/>
      </w:r>
      <w:r w:rsidR="00A745A3">
        <w:rPr>
          <w:rFonts w:ascii="Calibri" w:eastAsia="Times New Roman" w:hAnsi="Calibri" w:cs="Calibri"/>
          <w:bdr w:val="none" w:sz="0" w:space="0" w:color="auto" w:frame="1"/>
        </w:rPr>
        <w:t xml:space="preserve"> </w:t>
      </w:r>
      <w:r w:rsidR="00747B73">
        <w:rPr>
          <w:rFonts w:ascii="Calibri" w:eastAsia="Times New Roman" w:hAnsi="Calibri" w:cs="Calibri"/>
          <w:bdr w:val="none" w:sz="0" w:space="0" w:color="auto" w:frame="1"/>
        </w:rPr>
        <w:t>The review</w:t>
      </w:r>
      <w:r w:rsidR="00A93273">
        <w:rPr>
          <w:rFonts w:ascii="Calibri" w:eastAsia="Times New Roman" w:hAnsi="Calibri" w:cs="Calibri"/>
          <w:bdr w:val="none" w:sz="0" w:space="0" w:color="auto" w:frame="1"/>
        </w:rPr>
        <w:t xml:space="preserve"> is to consider both the pharmaceutical and non-pharmaceutical supplies</w:t>
      </w:r>
      <w:r w:rsidR="008B4068">
        <w:rPr>
          <w:rFonts w:ascii="Calibri" w:eastAsia="Times New Roman" w:hAnsi="Calibri" w:cs="Calibri"/>
          <w:bdr w:val="none" w:sz="0" w:space="0" w:color="auto" w:frame="1"/>
        </w:rPr>
        <w:t xml:space="preserve"> and </w:t>
      </w:r>
      <w:r w:rsidR="00901FA6">
        <w:rPr>
          <w:rFonts w:ascii="Calibri" w:eastAsia="Times New Roman" w:hAnsi="Calibri" w:cs="Calibri"/>
          <w:bdr w:val="none" w:sz="0" w:space="0" w:color="auto" w:frame="1"/>
        </w:rPr>
        <w:t xml:space="preserve">assess whether the contents are consistent with </w:t>
      </w:r>
      <w:r w:rsidR="00CA4AAB">
        <w:rPr>
          <w:rFonts w:ascii="Calibri" w:eastAsia="Times New Roman" w:hAnsi="Calibri" w:cs="Calibri"/>
          <w:bdr w:val="none" w:sz="0" w:space="0" w:color="auto" w:frame="1"/>
        </w:rPr>
        <w:t xml:space="preserve">PHEMCE recommendations </w:t>
      </w:r>
      <w:r w:rsidR="007C21A6">
        <w:rPr>
          <w:rFonts w:ascii="Calibri" w:eastAsia="Times New Roman" w:hAnsi="Calibri" w:cs="Calibri"/>
          <w:bdr w:val="none" w:sz="0" w:space="0" w:color="auto" w:frame="1"/>
        </w:rPr>
        <w:t xml:space="preserve">of based on </w:t>
      </w:r>
      <w:r w:rsidR="002439EE" w:rsidRPr="002439EE">
        <w:rPr>
          <w:rFonts w:ascii="Calibri" w:eastAsia="Times New Roman" w:hAnsi="Calibri" w:cs="Calibri"/>
          <w:bdr w:val="none" w:sz="0" w:space="0" w:color="auto" w:frame="1"/>
        </w:rPr>
        <w:t xml:space="preserve">assessments of current national </w:t>
      </w:r>
      <w:r w:rsidR="002439EE" w:rsidRPr="002439EE">
        <w:rPr>
          <w:rFonts w:ascii="Calibri" w:eastAsia="Times New Roman" w:hAnsi="Calibri" w:cs="Calibri"/>
          <w:bdr w:val="none" w:sz="0" w:space="0" w:color="auto" w:frame="1"/>
        </w:rPr>
        <w:lastRenderedPageBreak/>
        <w:t xml:space="preserve">security threats, including chemical, biological, radiological, and nuclear </w:t>
      </w:r>
      <w:r w:rsidR="00A5154E">
        <w:rPr>
          <w:rFonts w:ascii="Calibri" w:eastAsia="Times New Roman" w:hAnsi="Calibri" w:cs="Calibri"/>
          <w:bdr w:val="none" w:sz="0" w:space="0" w:color="auto" w:frame="1"/>
        </w:rPr>
        <w:t xml:space="preserve">(CBRN) </w:t>
      </w:r>
      <w:r w:rsidR="002439EE" w:rsidRPr="002439EE">
        <w:rPr>
          <w:rFonts w:ascii="Calibri" w:eastAsia="Times New Roman" w:hAnsi="Calibri" w:cs="Calibri"/>
          <w:bdr w:val="none" w:sz="0" w:space="0" w:color="auto" w:frame="1"/>
        </w:rPr>
        <w:t>threats, including emerging infectious diseases.</w:t>
      </w:r>
      <w:r w:rsidR="005D5FC8">
        <w:rPr>
          <w:rStyle w:val="FootnoteReference"/>
          <w:rFonts w:ascii="Calibri" w:eastAsia="Times New Roman" w:hAnsi="Calibri" w:cs="Calibri"/>
          <w:bdr w:val="none" w:sz="0" w:space="0" w:color="auto" w:frame="1"/>
        </w:rPr>
        <w:footnoteReference w:id="6"/>
      </w:r>
      <w:r w:rsidR="007C21A6">
        <w:rPr>
          <w:rFonts w:ascii="Calibri" w:eastAsia="Times New Roman" w:hAnsi="Calibri" w:cs="Calibri"/>
          <w:bdr w:val="none" w:sz="0" w:space="0" w:color="auto" w:frame="1"/>
        </w:rPr>
        <w:t xml:space="preserve"> </w:t>
      </w:r>
    </w:p>
    <w:p w14:paraId="1D3B7FB9" w14:textId="77777777" w:rsidR="00A5154E" w:rsidRDefault="00A5154E" w:rsidP="001D2226">
      <w:pPr>
        <w:spacing w:line="360" w:lineRule="auto"/>
        <w:rPr>
          <w:rFonts w:ascii="Calibri" w:eastAsia="Times New Roman" w:hAnsi="Calibri" w:cs="Calibri"/>
          <w:bdr w:val="none" w:sz="0" w:space="0" w:color="auto" w:frame="1"/>
        </w:rPr>
      </w:pPr>
    </w:p>
    <w:p w14:paraId="7BFB22F3" w14:textId="564EAA7C" w:rsidR="00A62663" w:rsidRPr="00430607" w:rsidRDefault="00430607" w:rsidP="00A62663">
      <w:pPr>
        <w:spacing w:line="360" w:lineRule="auto"/>
        <w:rPr>
          <w:rFonts w:ascii="Calibri" w:eastAsia="Times New Roman" w:hAnsi="Calibri" w:cs="Calibri"/>
          <w:b/>
          <w:bCs/>
          <w:sz w:val="24"/>
          <w:szCs w:val="24"/>
        </w:rPr>
      </w:pPr>
      <w:r w:rsidRPr="00430607">
        <w:rPr>
          <w:rFonts w:ascii="Calibri" w:eastAsia="Times New Roman" w:hAnsi="Calibri" w:cs="Calibri"/>
          <w:b/>
          <w:bCs/>
          <w:sz w:val="24"/>
          <w:szCs w:val="24"/>
        </w:rPr>
        <w:t>SNS De</w:t>
      </w:r>
      <w:r w:rsidR="00A6059A" w:rsidRPr="00430607">
        <w:rPr>
          <w:rFonts w:ascii="Calibri" w:eastAsia="Times New Roman" w:hAnsi="Calibri" w:cs="Calibri"/>
          <w:b/>
          <w:bCs/>
          <w:sz w:val="24"/>
          <w:szCs w:val="24"/>
        </w:rPr>
        <w:t>ployment</w:t>
      </w:r>
    </w:p>
    <w:p w14:paraId="293030B0" w14:textId="666D6A23" w:rsidR="0015482E" w:rsidRDefault="00D62E07" w:rsidP="0015482E">
      <w:pPr>
        <w:spacing w:line="360" w:lineRule="auto"/>
        <w:rPr>
          <w:rFonts w:ascii="Calibri" w:eastAsia="Times New Roman" w:hAnsi="Calibri" w:cs="Calibri"/>
        </w:rPr>
      </w:pPr>
      <w:r w:rsidRPr="001D2226">
        <w:rPr>
          <w:rFonts w:ascii="Calibri" w:eastAsia="Times New Roman" w:hAnsi="Calibri" w:cs="Calibri"/>
          <w:bdr w:val="none" w:sz="0" w:space="0" w:color="auto" w:frame="1"/>
        </w:rPr>
        <w:t xml:space="preserve">The </w:t>
      </w:r>
      <w:r w:rsidR="001542CA">
        <w:rPr>
          <w:rFonts w:ascii="Calibri" w:eastAsia="Times New Roman" w:hAnsi="Calibri" w:cs="Calibri"/>
          <w:bdr w:val="none" w:sz="0" w:space="0" w:color="auto" w:frame="1"/>
        </w:rPr>
        <w:t xml:space="preserve">HHS </w:t>
      </w:r>
      <w:r w:rsidRPr="001D2226">
        <w:rPr>
          <w:rFonts w:ascii="Calibri" w:eastAsia="Times New Roman" w:hAnsi="Calibri" w:cs="Calibri"/>
          <w:bdr w:val="none" w:sz="0" w:space="0" w:color="auto" w:frame="1"/>
        </w:rPr>
        <w:t xml:space="preserve">Secretary may deploy the </w:t>
      </w:r>
      <w:r w:rsidR="001542CA">
        <w:rPr>
          <w:rFonts w:ascii="Calibri" w:eastAsia="Times New Roman" w:hAnsi="Calibri" w:cs="Calibri"/>
          <w:bdr w:val="none" w:sz="0" w:space="0" w:color="auto" w:frame="1"/>
        </w:rPr>
        <w:t>SNS</w:t>
      </w:r>
      <w:r w:rsidRPr="001D2226">
        <w:rPr>
          <w:rFonts w:ascii="Calibri" w:eastAsia="Times New Roman" w:hAnsi="Calibri" w:cs="Calibri"/>
          <w:bdr w:val="none" w:sz="0" w:space="0" w:color="auto" w:frame="1"/>
        </w:rPr>
        <w:t xml:space="preserve"> to respond to an actual or</w:t>
      </w:r>
      <w:r>
        <w:rPr>
          <w:rFonts w:ascii="Calibri" w:eastAsia="Times New Roman" w:hAnsi="Calibri" w:cs="Calibri"/>
          <w:bdr w:val="none" w:sz="0" w:space="0" w:color="auto" w:frame="1"/>
        </w:rPr>
        <w:t xml:space="preserve"> </w:t>
      </w:r>
      <w:r w:rsidRPr="001D2226">
        <w:rPr>
          <w:rFonts w:ascii="Calibri" w:eastAsia="Times New Roman" w:hAnsi="Calibri" w:cs="Calibri"/>
          <w:bdr w:val="none" w:sz="0" w:space="0" w:color="auto" w:frame="1"/>
        </w:rPr>
        <w:t>potential public health emergency, protect the public health or safety, or as required by the</w:t>
      </w:r>
      <w:r>
        <w:rPr>
          <w:rFonts w:ascii="Calibri" w:eastAsia="Times New Roman" w:hAnsi="Calibri" w:cs="Calibri"/>
          <w:bdr w:val="none" w:sz="0" w:space="0" w:color="auto" w:frame="1"/>
        </w:rPr>
        <w:t xml:space="preserve"> </w:t>
      </w:r>
      <w:r w:rsidRPr="001D2226">
        <w:rPr>
          <w:rFonts w:ascii="Calibri" w:eastAsia="Times New Roman" w:hAnsi="Calibri" w:cs="Calibri"/>
          <w:bdr w:val="none" w:sz="0" w:space="0" w:color="auto" w:frame="1"/>
        </w:rPr>
        <w:t xml:space="preserve">Secretary of Homeland Security, </w:t>
      </w:r>
      <w:r>
        <w:rPr>
          <w:rFonts w:ascii="Calibri" w:eastAsia="Times New Roman" w:hAnsi="Calibri" w:cs="Calibri"/>
          <w:bdr w:val="none" w:sz="0" w:space="0" w:color="auto" w:frame="1"/>
        </w:rPr>
        <w:t xml:space="preserve">to </w:t>
      </w:r>
      <w:r w:rsidRPr="001D2226">
        <w:rPr>
          <w:rFonts w:ascii="Calibri" w:eastAsia="Times New Roman" w:hAnsi="Calibri" w:cs="Calibri"/>
          <w:bdr w:val="none" w:sz="0" w:space="0" w:color="auto" w:frame="1"/>
        </w:rPr>
        <w:t>respond to an actual or potential emergency.</w:t>
      </w:r>
      <w:r w:rsidR="004F26EB">
        <w:rPr>
          <w:rStyle w:val="FootnoteReference"/>
          <w:rFonts w:ascii="Calibri" w:eastAsia="Times New Roman" w:hAnsi="Calibri" w:cs="Calibri"/>
          <w:bdr w:val="none" w:sz="0" w:space="0" w:color="auto" w:frame="1"/>
        </w:rPr>
        <w:footnoteReference w:id="7"/>
      </w:r>
      <w:r w:rsidRPr="001D2226">
        <w:rPr>
          <w:rFonts w:ascii="Calibri" w:eastAsia="Times New Roman" w:hAnsi="Calibri" w:cs="Calibri"/>
          <w:bdr w:val="none" w:sz="0" w:space="0" w:color="auto" w:frame="1"/>
        </w:rPr>
        <w:t xml:space="preserve"> </w:t>
      </w:r>
      <w:r w:rsidR="0015482E" w:rsidRPr="00B87B98">
        <w:rPr>
          <w:rFonts w:ascii="Calibri" w:eastAsia="Times New Roman" w:hAnsi="Calibri" w:cs="Calibri"/>
        </w:rPr>
        <w:t>Items in the SNS can be deployed by the secretary of Homeland Security to respond to an actual or potential emergency or by the HHS secretary to respond to an actual or potential public health emergency or other situation in which deployment is necessary to protect public health and safety.</w:t>
      </w:r>
      <w:r w:rsidR="0095019F">
        <w:rPr>
          <w:rStyle w:val="FootnoteReference"/>
          <w:rFonts w:ascii="Calibri" w:eastAsia="Times New Roman" w:hAnsi="Calibri" w:cs="Calibri"/>
        </w:rPr>
        <w:footnoteReference w:id="8"/>
      </w:r>
      <w:r w:rsidR="0015482E" w:rsidRPr="00B87B98">
        <w:rPr>
          <w:rFonts w:ascii="Calibri" w:eastAsia="Times New Roman" w:hAnsi="Calibri" w:cs="Calibri"/>
        </w:rPr>
        <w:t xml:space="preserve"> The declaration of a federal or state public health emergency is not required to deploy the stockpile, and its contents can be deployed in advance of a public health emergency.</w:t>
      </w:r>
    </w:p>
    <w:p w14:paraId="341D2ACD" w14:textId="77777777" w:rsidR="00D62E07" w:rsidRDefault="00D62E07" w:rsidP="00A62663">
      <w:pPr>
        <w:spacing w:line="360" w:lineRule="auto"/>
        <w:rPr>
          <w:rFonts w:ascii="Calibri" w:eastAsia="Times New Roman" w:hAnsi="Calibri" w:cs="Calibri"/>
        </w:rPr>
      </w:pPr>
    </w:p>
    <w:p w14:paraId="76FBF9CE" w14:textId="4607CBAB" w:rsidR="00B741D6" w:rsidRDefault="00A6059A" w:rsidP="00A62663">
      <w:pPr>
        <w:spacing w:line="360" w:lineRule="auto"/>
        <w:rPr>
          <w:rFonts w:ascii="Calibri" w:eastAsia="Times New Roman" w:hAnsi="Calibri" w:cs="Calibri"/>
        </w:rPr>
      </w:pPr>
      <w:r w:rsidRPr="00B87B98">
        <w:rPr>
          <w:rFonts w:ascii="Calibri" w:eastAsia="Times New Roman" w:hAnsi="Calibri" w:cs="Calibri"/>
        </w:rPr>
        <w:t>State governors or their designees request deployment of SNS assets when there has been an overt terrorist event that will harm the public’s health or where epidemiological, laboratory, or other surveillance systems have identified unusual patterns of disease or deaths that may indicate a terrorist event or other national emergency.</w:t>
      </w:r>
      <w:r w:rsidR="00A62663">
        <w:rPr>
          <w:rStyle w:val="FootnoteReference"/>
          <w:rFonts w:ascii="Calibri" w:eastAsia="Times New Roman" w:hAnsi="Calibri" w:cs="Calibri"/>
        </w:rPr>
        <w:footnoteReference w:id="9"/>
      </w:r>
      <w:r w:rsidR="00A62663">
        <w:rPr>
          <w:rFonts w:ascii="Calibri" w:eastAsia="Times New Roman" w:hAnsi="Calibri" w:cs="Calibri"/>
        </w:rPr>
        <w:t xml:space="preserve"> </w:t>
      </w:r>
      <w:r w:rsidRPr="00B87B98">
        <w:rPr>
          <w:rFonts w:ascii="Calibri" w:eastAsia="Times New Roman" w:hAnsi="Calibri" w:cs="Calibri"/>
        </w:rPr>
        <w:t>Federal personnel work in conjunction with state and local officials to determine if and what components of the SNS are needed.</w:t>
      </w:r>
      <w:r w:rsidR="00A62663">
        <w:rPr>
          <w:rStyle w:val="FootnoteReference"/>
          <w:rFonts w:ascii="Calibri" w:eastAsia="Times New Roman" w:hAnsi="Calibri" w:cs="Calibri"/>
        </w:rPr>
        <w:footnoteReference w:id="10"/>
      </w:r>
      <w:r w:rsidR="00A62663">
        <w:rPr>
          <w:rFonts w:ascii="Calibri" w:eastAsia="Times New Roman" w:hAnsi="Calibri" w:cs="Calibri"/>
          <w:bdr w:val="none" w:sz="0" w:space="0" w:color="auto" w:frame="1"/>
        </w:rPr>
        <w:t xml:space="preserve"> </w:t>
      </w:r>
      <w:r w:rsidRPr="00B87B98">
        <w:rPr>
          <w:rFonts w:ascii="Calibri" w:eastAsia="Times New Roman" w:hAnsi="Calibri" w:cs="Calibri"/>
        </w:rPr>
        <w:t>Ultimately, however, the federal government is responsible for making the decision to deploy all or portions of the SNS.</w:t>
      </w:r>
      <w:r w:rsidR="00B741D6">
        <w:rPr>
          <w:rStyle w:val="FootnoteReference"/>
          <w:rFonts w:ascii="Calibri" w:eastAsia="Times New Roman" w:hAnsi="Calibri" w:cs="Calibri"/>
        </w:rPr>
        <w:footnoteReference w:id="11"/>
      </w:r>
      <w:r w:rsidR="00A62663">
        <w:rPr>
          <w:rFonts w:ascii="Calibri" w:eastAsia="Times New Roman" w:hAnsi="Calibri" w:cs="Calibri"/>
          <w:bdr w:val="none" w:sz="0" w:space="0" w:color="auto" w:frame="1"/>
        </w:rPr>
        <w:t xml:space="preserve"> </w:t>
      </w:r>
      <w:r w:rsidRPr="00B87B98">
        <w:rPr>
          <w:rFonts w:ascii="Calibri" w:eastAsia="Times New Roman" w:hAnsi="Calibri" w:cs="Calibri"/>
        </w:rPr>
        <w:t>The SNS is not considered a first response tool, but rather as a support mechanism to state and local response efforts.</w:t>
      </w:r>
    </w:p>
    <w:p w14:paraId="710C6723" w14:textId="77777777" w:rsidR="000F01DB" w:rsidRDefault="000F01DB" w:rsidP="00A62663">
      <w:pPr>
        <w:spacing w:line="360" w:lineRule="auto"/>
        <w:rPr>
          <w:rFonts w:ascii="Calibri" w:eastAsia="Times New Roman" w:hAnsi="Calibri" w:cs="Calibri"/>
        </w:rPr>
      </w:pPr>
    </w:p>
    <w:p w14:paraId="7FA21998" w14:textId="0731B64A" w:rsidR="006732A2" w:rsidRDefault="00A6059A" w:rsidP="00A62663">
      <w:pPr>
        <w:spacing w:line="360" w:lineRule="auto"/>
        <w:rPr>
          <w:rFonts w:ascii="Calibri" w:eastAsia="Times New Roman" w:hAnsi="Calibri" w:cs="Calibri"/>
        </w:rPr>
      </w:pPr>
      <w:r w:rsidRPr="00B87B98">
        <w:rPr>
          <w:rFonts w:ascii="Calibri" w:eastAsia="Times New Roman" w:hAnsi="Calibri" w:cs="Calibri"/>
        </w:rPr>
        <w:t>SNS caches are strategically located in secured warehouses across the United States to ensure the timely deployment of materiel to any location in the country by land or air.</w:t>
      </w:r>
      <w:r w:rsidR="00EA5483">
        <w:rPr>
          <w:rStyle w:val="FootnoteReference"/>
          <w:rFonts w:ascii="Calibri" w:eastAsia="Times New Roman" w:hAnsi="Calibri" w:cs="Calibri"/>
        </w:rPr>
        <w:footnoteReference w:id="12"/>
      </w:r>
      <w:r w:rsidR="00EA5483">
        <w:rPr>
          <w:rFonts w:ascii="Calibri" w:eastAsia="Times New Roman" w:hAnsi="Calibri" w:cs="Calibri"/>
          <w:bdr w:val="none" w:sz="0" w:space="0" w:color="auto" w:frame="1"/>
        </w:rPr>
        <w:t xml:space="preserve"> </w:t>
      </w:r>
      <w:r w:rsidRPr="00B87B98">
        <w:rPr>
          <w:rFonts w:ascii="Calibri" w:eastAsia="Times New Roman" w:hAnsi="Calibri" w:cs="Calibri"/>
        </w:rPr>
        <w:t xml:space="preserve">Initial deployments from the SNS are 12-hour caches of medicines and medical supplies that can address a range of needs arising from </w:t>
      </w:r>
      <w:r w:rsidRPr="00B87B98">
        <w:rPr>
          <w:rFonts w:ascii="Calibri" w:eastAsia="Times New Roman" w:hAnsi="Calibri" w:cs="Calibri"/>
        </w:rPr>
        <w:lastRenderedPageBreak/>
        <w:t>what may be an ill-defined threat in the early hours of an emergency event.</w:t>
      </w:r>
      <w:r w:rsidR="00EA5483">
        <w:rPr>
          <w:rStyle w:val="FootnoteReference"/>
          <w:rFonts w:ascii="Calibri" w:eastAsia="Times New Roman" w:hAnsi="Calibri" w:cs="Calibri"/>
        </w:rPr>
        <w:footnoteReference w:id="13"/>
      </w:r>
      <w:r w:rsidR="00EA5483">
        <w:rPr>
          <w:rFonts w:ascii="Calibri" w:eastAsia="Times New Roman" w:hAnsi="Calibri" w:cs="Calibri"/>
          <w:bdr w:val="none" w:sz="0" w:space="0" w:color="auto" w:frame="1"/>
        </w:rPr>
        <w:t xml:space="preserve"> </w:t>
      </w:r>
      <w:r w:rsidRPr="00B87B98">
        <w:rPr>
          <w:rFonts w:ascii="Calibri" w:eastAsia="Times New Roman" w:hAnsi="Calibri" w:cs="Calibri"/>
        </w:rPr>
        <w:t xml:space="preserve">The </w:t>
      </w:r>
      <w:r w:rsidR="00E07EF7">
        <w:rPr>
          <w:rFonts w:ascii="Calibri" w:eastAsia="Times New Roman" w:hAnsi="Calibri" w:cs="Calibri"/>
        </w:rPr>
        <w:t>SNS program</w:t>
      </w:r>
      <w:r w:rsidRPr="00B87B98">
        <w:rPr>
          <w:rFonts w:ascii="Calibri" w:eastAsia="Times New Roman" w:hAnsi="Calibri" w:cs="Calibri"/>
        </w:rPr>
        <w:t xml:space="preserve"> also simultaneously deploys its </w:t>
      </w:r>
      <w:r w:rsidR="002450FF" w:rsidRPr="002450FF">
        <w:rPr>
          <w:rFonts w:ascii="Calibri" w:eastAsia="Times New Roman" w:hAnsi="Calibri" w:cs="Calibri"/>
        </w:rPr>
        <w:t xml:space="preserve">Technical Advisory Response Unit (TARU) </w:t>
      </w:r>
      <w:r w:rsidRPr="00B87B98">
        <w:rPr>
          <w:rFonts w:ascii="Calibri" w:eastAsia="Times New Roman" w:hAnsi="Calibri" w:cs="Calibri"/>
        </w:rPr>
        <w:t>to coordinate with state and local officials in the receipt and distribution of SNS assets.</w:t>
      </w:r>
      <w:r w:rsidR="009365EB">
        <w:rPr>
          <w:rStyle w:val="FootnoteReference"/>
          <w:rFonts w:ascii="Calibri" w:eastAsia="Times New Roman" w:hAnsi="Calibri" w:cs="Calibri"/>
        </w:rPr>
        <w:footnoteReference w:id="14"/>
      </w:r>
      <w:r w:rsidRPr="00B87B98">
        <w:rPr>
          <w:rFonts w:ascii="Calibri" w:eastAsia="Times New Roman" w:hAnsi="Calibri" w:cs="Calibri"/>
        </w:rPr>
        <w:t xml:space="preserve"> </w:t>
      </w:r>
      <w:r w:rsidR="00E07EF7">
        <w:rPr>
          <w:rFonts w:ascii="Calibri" w:eastAsia="Times New Roman" w:hAnsi="Calibri" w:cs="Calibri"/>
        </w:rPr>
        <w:t>ASPR</w:t>
      </w:r>
      <w:r w:rsidRPr="00B87B98">
        <w:rPr>
          <w:rFonts w:ascii="Calibri" w:eastAsia="Times New Roman" w:hAnsi="Calibri" w:cs="Calibri"/>
        </w:rPr>
        <w:t xml:space="preserve"> transfers authority for the SNS assets to state and local officials once the materiel has arrived at its receiving/storage site.</w:t>
      </w:r>
      <w:r w:rsidR="006732A2">
        <w:rPr>
          <w:rStyle w:val="FootnoteReference"/>
          <w:rFonts w:ascii="Calibri" w:eastAsia="Times New Roman" w:hAnsi="Calibri" w:cs="Calibri"/>
        </w:rPr>
        <w:footnoteReference w:id="15"/>
      </w:r>
      <w:r w:rsidR="006732A2">
        <w:rPr>
          <w:rFonts w:ascii="Calibri" w:eastAsia="Times New Roman" w:hAnsi="Calibri" w:cs="Calibri"/>
          <w:bdr w:val="none" w:sz="0" w:space="0" w:color="auto" w:frame="1"/>
        </w:rPr>
        <w:t xml:space="preserve"> </w:t>
      </w:r>
      <w:r w:rsidRPr="00B87B98">
        <w:rPr>
          <w:rFonts w:ascii="Calibri" w:eastAsia="Times New Roman" w:hAnsi="Calibri" w:cs="Calibri"/>
        </w:rPr>
        <w:t>State and local officials are responsible for unpacking the SNS assets for distribution to various warehouses or dispensing sites identified by state and local officials.</w:t>
      </w:r>
      <w:r w:rsidR="006732A2">
        <w:rPr>
          <w:rStyle w:val="FootnoteReference"/>
          <w:rFonts w:ascii="Calibri" w:eastAsia="Times New Roman" w:hAnsi="Calibri" w:cs="Calibri"/>
        </w:rPr>
        <w:footnoteReference w:id="16"/>
      </w:r>
    </w:p>
    <w:p w14:paraId="50584D4B" w14:textId="77777777" w:rsidR="006732A2" w:rsidRDefault="006732A2" w:rsidP="00A62663">
      <w:pPr>
        <w:spacing w:line="360" w:lineRule="auto"/>
        <w:rPr>
          <w:rFonts w:ascii="Calibri" w:eastAsia="Times New Roman" w:hAnsi="Calibri" w:cs="Calibri"/>
        </w:rPr>
      </w:pPr>
    </w:p>
    <w:p w14:paraId="00826B00" w14:textId="77777777" w:rsidR="00286FD0" w:rsidRDefault="00A6059A" w:rsidP="00A62663">
      <w:pPr>
        <w:spacing w:line="360" w:lineRule="auto"/>
        <w:rPr>
          <w:rFonts w:ascii="Calibri" w:eastAsia="Times New Roman" w:hAnsi="Calibri" w:cs="Calibri"/>
        </w:rPr>
      </w:pPr>
      <w:r w:rsidRPr="00B87B98">
        <w:rPr>
          <w:rFonts w:ascii="Calibri" w:eastAsia="Times New Roman" w:hAnsi="Calibri" w:cs="Calibri"/>
        </w:rPr>
        <w:t>If an event requires specific or additional medicines and supplies, a deployment from managed inventory (MI) supplies is delivered within 24-36 hours.</w:t>
      </w:r>
      <w:r w:rsidR="006732A2">
        <w:rPr>
          <w:rStyle w:val="FootnoteReference"/>
          <w:rFonts w:ascii="Calibri" w:eastAsia="Times New Roman" w:hAnsi="Calibri" w:cs="Calibri"/>
        </w:rPr>
        <w:footnoteReference w:id="17"/>
      </w:r>
      <w:r w:rsidR="006732A2">
        <w:rPr>
          <w:rFonts w:ascii="Calibri" w:eastAsia="Times New Roman" w:hAnsi="Calibri" w:cs="Calibri"/>
          <w:bdr w:val="none" w:sz="0" w:space="0" w:color="auto" w:frame="1"/>
        </w:rPr>
        <w:t xml:space="preserve"> </w:t>
      </w:r>
      <w:r w:rsidRPr="00B87B98">
        <w:rPr>
          <w:rFonts w:ascii="Calibri" w:eastAsia="Times New Roman" w:hAnsi="Calibri" w:cs="Calibri"/>
        </w:rPr>
        <w:t>Medicines and supplies in an MI-deployed stockpile can be modified depending on the nature of the emergency and the suspected or confirmed agent.</w:t>
      </w:r>
      <w:r w:rsidR="006732A2">
        <w:rPr>
          <w:rStyle w:val="FootnoteReference"/>
          <w:rFonts w:ascii="Calibri" w:eastAsia="Times New Roman" w:hAnsi="Calibri" w:cs="Calibri"/>
        </w:rPr>
        <w:footnoteReference w:id="18"/>
      </w:r>
      <w:r w:rsidR="006732A2">
        <w:rPr>
          <w:rFonts w:ascii="Calibri" w:eastAsia="Times New Roman" w:hAnsi="Calibri" w:cs="Calibri"/>
          <w:bdr w:val="none" w:sz="0" w:space="0" w:color="auto" w:frame="1"/>
        </w:rPr>
        <w:t xml:space="preserve"> </w:t>
      </w:r>
      <w:r w:rsidRPr="00B87B98">
        <w:rPr>
          <w:rFonts w:ascii="Calibri" w:eastAsia="Times New Roman" w:hAnsi="Calibri" w:cs="Calibri"/>
        </w:rPr>
        <w:t>Where the agent is well defined, the SNS would be immediately deployed from MI with medicines and supplies appropriate for that agent.</w:t>
      </w:r>
      <w:r w:rsidR="009D5D20">
        <w:rPr>
          <w:rStyle w:val="FootnoteReference"/>
          <w:rFonts w:ascii="Calibri" w:eastAsia="Times New Roman" w:hAnsi="Calibri" w:cs="Calibri"/>
        </w:rPr>
        <w:footnoteReference w:id="19"/>
      </w:r>
    </w:p>
    <w:p w14:paraId="56E6B628" w14:textId="77777777" w:rsidR="00286FD0" w:rsidRDefault="00286FD0" w:rsidP="00A62663">
      <w:pPr>
        <w:spacing w:line="360" w:lineRule="auto"/>
        <w:rPr>
          <w:rFonts w:ascii="Calibri" w:eastAsia="Times New Roman" w:hAnsi="Calibri" w:cs="Calibri"/>
        </w:rPr>
      </w:pPr>
    </w:p>
    <w:p w14:paraId="3A40CFC3" w14:textId="0A26A5DC" w:rsidR="003D1CE2" w:rsidRDefault="00A6059A" w:rsidP="00A62663">
      <w:pPr>
        <w:spacing w:line="360" w:lineRule="auto"/>
        <w:rPr>
          <w:rFonts w:ascii="Calibri" w:eastAsia="Times New Roman" w:hAnsi="Calibri" w:cs="Calibri"/>
        </w:rPr>
      </w:pPr>
      <w:r w:rsidRPr="00B87B98">
        <w:rPr>
          <w:rFonts w:ascii="Calibri" w:eastAsia="Times New Roman" w:hAnsi="Calibri" w:cs="Calibri"/>
        </w:rPr>
        <w:t>The SNS may also include medicines that have been authorized under the FDA’s</w:t>
      </w:r>
      <w:r w:rsidR="00286FD0">
        <w:rPr>
          <w:rFonts w:ascii="Calibri" w:eastAsia="Times New Roman" w:hAnsi="Calibri" w:cs="Calibri"/>
        </w:rPr>
        <w:t xml:space="preserve"> </w:t>
      </w:r>
      <w:r w:rsidRPr="00B87B98">
        <w:rPr>
          <w:rFonts w:ascii="Calibri" w:eastAsia="Times New Roman" w:hAnsi="Calibri" w:cs="Calibri"/>
          <w:bdr w:val="none" w:sz="0" w:space="0" w:color="auto" w:frame="1"/>
        </w:rPr>
        <w:t>Emergency Use Authorization (EUA)</w:t>
      </w:r>
      <w:r w:rsidR="00286FD0">
        <w:rPr>
          <w:rFonts w:ascii="Calibri" w:eastAsia="Times New Roman" w:hAnsi="Calibri" w:cs="Calibri"/>
        </w:rPr>
        <w:t xml:space="preserve"> </w:t>
      </w:r>
      <w:r w:rsidRPr="00B87B98">
        <w:rPr>
          <w:rFonts w:ascii="Calibri" w:eastAsia="Times New Roman" w:hAnsi="Calibri" w:cs="Calibri"/>
        </w:rPr>
        <w:t xml:space="preserve">authority, which allows for the use of unapproved medical products (drugs, biologics </w:t>
      </w:r>
      <w:r w:rsidR="00A81E6F">
        <w:rPr>
          <w:rFonts w:ascii="Calibri" w:eastAsia="Times New Roman" w:hAnsi="Calibri" w:cs="Calibri"/>
        </w:rPr>
        <w:t>(</w:t>
      </w:r>
      <w:r w:rsidRPr="00B87B98">
        <w:rPr>
          <w:rFonts w:ascii="Calibri" w:eastAsia="Times New Roman" w:hAnsi="Calibri" w:cs="Calibri"/>
        </w:rPr>
        <w:t>e.g., vaccines</w:t>
      </w:r>
      <w:r w:rsidR="00A81E6F">
        <w:rPr>
          <w:rFonts w:ascii="Calibri" w:eastAsia="Times New Roman" w:hAnsi="Calibri" w:cs="Calibri"/>
        </w:rPr>
        <w:t>)</w:t>
      </w:r>
      <w:r w:rsidRPr="00B87B98">
        <w:rPr>
          <w:rFonts w:ascii="Calibri" w:eastAsia="Times New Roman" w:hAnsi="Calibri" w:cs="Calibri"/>
        </w:rPr>
        <w:t>, and devices</w:t>
      </w:r>
      <w:r w:rsidR="00A81E6F">
        <w:rPr>
          <w:rFonts w:ascii="Calibri" w:eastAsia="Times New Roman" w:hAnsi="Calibri" w:cs="Calibri"/>
        </w:rPr>
        <w:t>(</w:t>
      </w:r>
      <w:r w:rsidRPr="00B87B98">
        <w:rPr>
          <w:rFonts w:ascii="Calibri" w:eastAsia="Times New Roman" w:hAnsi="Calibri" w:cs="Calibri"/>
        </w:rPr>
        <w:t>[e.g., diagnostics</w:t>
      </w:r>
      <w:r w:rsidR="00A81E6F">
        <w:rPr>
          <w:rFonts w:ascii="Calibri" w:eastAsia="Times New Roman" w:hAnsi="Calibri" w:cs="Calibri"/>
        </w:rPr>
        <w:t>)</w:t>
      </w:r>
      <w:r w:rsidRPr="00B87B98">
        <w:rPr>
          <w:rFonts w:ascii="Calibri" w:eastAsia="Times New Roman" w:hAnsi="Calibri" w:cs="Calibri"/>
        </w:rPr>
        <w:t>) or the use of approved medical products in unapproved ways to diagnose, treat, or prevent diseases or conditions caused by chemical, biological, radiological, or nuclear (CBRN) agents if criteria in the Federal Food, Drug, and Cosmetics Act are met. Medicines authorized by an EUA must be distributed and dispensed according to conditions imposed as a part of its authorization by the FDA. Conditions can include the dissemination of information (e.g., fact sheets) to healthcare providers, authorized dispensers, patients, and other consumers regarding the EUA, the product’s significant known and potential benefits and risks, and the extent to which such benefits and risks are unknown.</w:t>
      </w:r>
      <w:r w:rsidR="008F2DED">
        <w:rPr>
          <w:rFonts w:ascii="Calibri" w:eastAsia="Times New Roman" w:hAnsi="Calibri" w:cs="Calibri"/>
        </w:rPr>
        <w:t xml:space="preserve"> </w:t>
      </w:r>
    </w:p>
    <w:p w14:paraId="3DCB61A7" w14:textId="317EF12A" w:rsidR="003D1CE2" w:rsidRDefault="003D1CE2" w:rsidP="00A62663">
      <w:pPr>
        <w:spacing w:line="360" w:lineRule="auto"/>
        <w:rPr>
          <w:rFonts w:ascii="Calibri" w:eastAsia="Times New Roman" w:hAnsi="Calibri" w:cs="Calibri"/>
        </w:rPr>
      </w:pPr>
    </w:p>
    <w:p w14:paraId="7DDED63C" w14:textId="77777777" w:rsidR="003D1CE2" w:rsidRDefault="00A6059A" w:rsidP="003D1CE2">
      <w:pPr>
        <w:spacing w:line="360" w:lineRule="auto"/>
        <w:rPr>
          <w:rFonts w:ascii="Calibri" w:eastAsia="Times New Roman" w:hAnsi="Calibri" w:cs="Calibri"/>
          <w:b/>
          <w:bCs/>
        </w:rPr>
      </w:pPr>
      <w:r w:rsidRPr="00B87B98">
        <w:rPr>
          <w:rFonts w:ascii="Calibri" w:eastAsia="Times New Roman" w:hAnsi="Calibri" w:cs="Calibri"/>
          <w:b/>
          <w:bCs/>
        </w:rPr>
        <w:t>State and Local Receipt and Distribution of SNS Assets</w:t>
      </w:r>
    </w:p>
    <w:p w14:paraId="41102D39" w14:textId="77777777" w:rsidR="003D1CE2" w:rsidRDefault="00A6059A" w:rsidP="003D1CE2">
      <w:pPr>
        <w:spacing w:line="360" w:lineRule="auto"/>
        <w:rPr>
          <w:rFonts w:ascii="Calibri" w:eastAsia="Times New Roman" w:hAnsi="Calibri" w:cs="Calibri"/>
        </w:rPr>
      </w:pPr>
      <w:r w:rsidRPr="00B87B98">
        <w:rPr>
          <w:rFonts w:ascii="Calibri" w:eastAsia="Times New Roman" w:hAnsi="Calibri" w:cs="Calibri"/>
        </w:rPr>
        <w:t>Each state has established plans to receive and distribute SNS assets to their local jurisdictions as soon as possible after receipt of the deployment.</w:t>
      </w:r>
      <w:r w:rsidR="003D1CE2">
        <w:rPr>
          <w:rStyle w:val="FootnoteReference"/>
          <w:rFonts w:ascii="Calibri" w:eastAsia="Times New Roman" w:hAnsi="Calibri" w:cs="Calibri"/>
        </w:rPr>
        <w:footnoteReference w:id="20"/>
      </w:r>
      <w:r w:rsidR="003D1CE2">
        <w:rPr>
          <w:rFonts w:ascii="Calibri" w:eastAsia="Times New Roman" w:hAnsi="Calibri" w:cs="Calibri"/>
          <w:bdr w:val="none" w:sz="0" w:space="0" w:color="auto" w:frame="1"/>
        </w:rPr>
        <w:t xml:space="preserve"> </w:t>
      </w:r>
      <w:r w:rsidRPr="00B87B98">
        <w:rPr>
          <w:rFonts w:ascii="Calibri" w:eastAsia="Times New Roman" w:hAnsi="Calibri" w:cs="Calibri"/>
        </w:rPr>
        <w:t>SNS assets are delivered to one predesignated location in the state; once authorized state personnel sign for receipt of the SNS assets, the materiel becomes the responsibility of the state. States are required to store the assets under appropriate environmental conditions and properly secure the assets, especially products that are on the U.S. Drug Enforcement Agency’s schedule of controlled substances.</w:t>
      </w:r>
    </w:p>
    <w:p w14:paraId="39A41A4F" w14:textId="77777777" w:rsidR="003D1CE2" w:rsidRDefault="003D1CE2" w:rsidP="003D1CE2">
      <w:pPr>
        <w:spacing w:line="360" w:lineRule="auto"/>
        <w:rPr>
          <w:rFonts w:ascii="Calibri" w:eastAsia="Times New Roman" w:hAnsi="Calibri" w:cs="Calibri"/>
        </w:rPr>
      </w:pPr>
    </w:p>
    <w:p w14:paraId="55E34DDF" w14:textId="77777777" w:rsidR="00213E9E" w:rsidRDefault="00A6059A" w:rsidP="003D1CE2">
      <w:pPr>
        <w:spacing w:line="360" w:lineRule="auto"/>
        <w:rPr>
          <w:rFonts w:ascii="Calibri" w:eastAsia="Times New Roman" w:hAnsi="Calibri" w:cs="Calibri"/>
        </w:rPr>
      </w:pPr>
      <w:r w:rsidRPr="00B87B98">
        <w:rPr>
          <w:rFonts w:ascii="Calibri" w:eastAsia="Times New Roman" w:hAnsi="Calibri" w:cs="Calibri"/>
        </w:rPr>
        <w:t>State personnel are then responsible for unpacking the shipment and distributing the materiel within the state for further distribution by state and/or local officials, depending on the state’s SNS plan. SNS assets now generally come ready to dispense to individuals (“unit of use”) without further repacking required. Medicines and supplies are distributed and ultimately dispensed to according state and local SNS plans.</w:t>
      </w:r>
    </w:p>
    <w:p w14:paraId="0C111E1C" w14:textId="77777777" w:rsidR="00213E9E" w:rsidRDefault="00213E9E" w:rsidP="003D1CE2">
      <w:pPr>
        <w:spacing w:line="360" w:lineRule="auto"/>
        <w:rPr>
          <w:rFonts w:ascii="Calibri" w:eastAsia="Times New Roman" w:hAnsi="Calibri" w:cs="Calibri"/>
        </w:rPr>
      </w:pPr>
    </w:p>
    <w:p w14:paraId="4AF22B53" w14:textId="77777777" w:rsidR="00213E9E" w:rsidRDefault="00A6059A" w:rsidP="00213E9E">
      <w:pPr>
        <w:spacing w:line="360" w:lineRule="auto"/>
        <w:rPr>
          <w:rFonts w:ascii="Calibri" w:eastAsia="Times New Roman" w:hAnsi="Calibri" w:cs="Calibri"/>
          <w:b/>
          <w:bCs/>
        </w:rPr>
      </w:pPr>
      <w:r w:rsidRPr="00B87B98">
        <w:rPr>
          <w:rFonts w:ascii="Calibri" w:eastAsia="Times New Roman" w:hAnsi="Calibri" w:cs="Calibri"/>
          <w:b/>
          <w:bCs/>
        </w:rPr>
        <w:t>Storage, Replenishment, and Destruction of SNS Assets</w:t>
      </w:r>
    </w:p>
    <w:p w14:paraId="23B615AC" w14:textId="28FE0336" w:rsidR="006E4F5A" w:rsidRDefault="00A6059A" w:rsidP="00213E9E">
      <w:pPr>
        <w:spacing w:line="360" w:lineRule="auto"/>
        <w:rPr>
          <w:rFonts w:ascii="Calibri" w:eastAsia="Times New Roman" w:hAnsi="Calibri" w:cs="Calibri"/>
        </w:rPr>
      </w:pPr>
      <w:r w:rsidRPr="00B87B98">
        <w:rPr>
          <w:rFonts w:ascii="Calibri" w:eastAsia="Times New Roman" w:hAnsi="Calibri" w:cs="Calibri"/>
        </w:rPr>
        <w:t>Th</w:t>
      </w:r>
      <w:r w:rsidR="0091110C">
        <w:rPr>
          <w:rFonts w:ascii="Calibri" w:eastAsia="Times New Roman" w:hAnsi="Calibri" w:cs="Calibri"/>
        </w:rPr>
        <w:t>e ASPR</w:t>
      </w:r>
      <w:r w:rsidRPr="00B87B98">
        <w:rPr>
          <w:rFonts w:ascii="Calibri" w:eastAsia="Times New Roman" w:hAnsi="Calibri" w:cs="Calibri"/>
        </w:rPr>
        <w:t xml:space="preserve"> is responsible for ensuring that the medicines in the SNS are routinely checked and rotated to keep within shelf-life potency limits.</w:t>
      </w:r>
      <w:r w:rsidR="00213E9E">
        <w:rPr>
          <w:rStyle w:val="FootnoteReference"/>
          <w:rFonts w:ascii="Calibri" w:eastAsia="Times New Roman" w:hAnsi="Calibri" w:cs="Calibri"/>
        </w:rPr>
        <w:footnoteReference w:id="21"/>
      </w:r>
      <w:r w:rsidR="00213E9E">
        <w:rPr>
          <w:rFonts w:ascii="Calibri" w:eastAsia="Times New Roman" w:hAnsi="Calibri" w:cs="Calibri"/>
          <w:bdr w:val="none" w:sz="0" w:space="0" w:color="auto" w:frame="1"/>
        </w:rPr>
        <w:t xml:space="preserve"> </w:t>
      </w:r>
      <w:r w:rsidRPr="00B87B98">
        <w:rPr>
          <w:rFonts w:ascii="Calibri" w:eastAsia="Times New Roman" w:hAnsi="Calibri" w:cs="Calibri"/>
        </w:rPr>
        <w:t>The SNS is part of the federal</w:t>
      </w:r>
      <w:r w:rsidR="006E4F5A">
        <w:rPr>
          <w:rFonts w:ascii="Calibri" w:eastAsia="Times New Roman" w:hAnsi="Calibri" w:cs="Calibri"/>
        </w:rPr>
        <w:t xml:space="preserve"> </w:t>
      </w:r>
      <w:r w:rsidRPr="00B87B98">
        <w:rPr>
          <w:rFonts w:ascii="Calibri" w:eastAsia="Times New Roman" w:hAnsi="Calibri" w:cs="Calibri"/>
          <w:bdr w:val="none" w:sz="0" w:space="0" w:color="auto" w:frame="1"/>
        </w:rPr>
        <w:t>Shelf Life Extension Program (SLEP)</w:t>
      </w:r>
      <w:r w:rsidR="001D7142" w:rsidRPr="00B87B98">
        <w:rPr>
          <w:rFonts w:ascii="Calibri" w:eastAsia="Times New Roman" w:hAnsi="Calibri" w:cs="Calibri"/>
        </w:rPr>
        <w:t xml:space="preserve"> </w:t>
      </w:r>
      <w:r w:rsidRPr="00B87B98">
        <w:rPr>
          <w:rFonts w:ascii="Calibri" w:eastAsia="Times New Roman" w:hAnsi="Calibri" w:cs="Calibri"/>
        </w:rPr>
        <w:t xml:space="preserve">administered by the Department of Defense and the Food and Drug Administration. SLEP tests eligible medicines from the SNS to determine if, and for how long, the expiration date on the qualifying products can be extended. Extending the shelf life of SNS assets may be a </w:t>
      </w:r>
      <w:r w:rsidR="001D7142" w:rsidRPr="00B87B98">
        <w:rPr>
          <w:rFonts w:ascii="Calibri" w:eastAsia="Times New Roman" w:hAnsi="Calibri" w:cs="Calibri"/>
        </w:rPr>
        <w:t>cost-effective</w:t>
      </w:r>
      <w:r w:rsidRPr="00B87B98">
        <w:rPr>
          <w:rFonts w:ascii="Calibri" w:eastAsia="Times New Roman" w:hAnsi="Calibri" w:cs="Calibri"/>
        </w:rPr>
        <w:t xml:space="preserve"> alternative to replacing large quantities of medicines that have expired. Items that are not extended or returned to the manufacturer for product rotation are destroyed.</w:t>
      </w:r>
    </w:p>
    <w:p w14:paraId="5364E0D6" w14:textId="77777777" w:rsidR="006E4F5A" w:rsidRDefault="006E4F5A" w:rsidP="00213E9E">
      <w:pPr>
        <w:spacing w:line="360" w:lineRule="auto"/>
        <w:rPr>
          <w:rFonts w:ascii="Calibri" w:eastAsia="Times New Roman" w:hAnsi="Calibri" w:cs="Calibri"/>
        </w:rPr>
      </w:pPr>
    </w:p>
    <w:p w14:paraId="4FC16E43" w14:textId="77777777" w:rsidR="006E4F5A" w:rsidRDefault="00A6059A" w:rsidP="006E4F5A">
      <w:pPr>
        <w:spacing w:line="360" w:lineRule="auto"/>
        <w:rPr>
          <w:rFonts w:ascii="Calibri" w:eastAsia="Times New Roman" w:hAnsi="Calibri" w:cs="Calibri"/>
          <w:b/>
          <w:bCs/>
        </w:rPr>
      </w:pPr>
      <w:r w:rsidRPr="00B87B98">
        <w:rPr>
          <w:rFonts w:ascii="Calibri" w:eastAsia="Times New Roman" w:hAnsi="Calibri" w:cs="Calibri"/>
          <w:b/>
          <w:bCs/>
          <w:sz w:val="24"/>
          <w:szCs w:val="24"/>
        </w:rPr>
        <w:t>State and Other Stockpiles</w:t>
      </w:r>
    </w:p>
    <w:p w14:paraId="4DB4D44D" w14:textId="607230E6" w:rsidR="006E4F5A" w:rsidRDefault="00A6059A" w:rsidP="006E4F5A">
      <w:pPr>
        <w:spacing w:line="360" w:lineRule="auto"/>
        <w:rPr>
          <w:rFonts w:ascii="Calibri" w:eastAsia="Times New Roman" w:hAnsi="Calibri" w:cs="Calibri"/>
        </w:rPr>
      </w:pPr>
      <w:r w:rsidRPr="00B87B98">
        <w:rPr>
          <w:rFonts w:ascii="Calibri" w:eastAsia="Times New Roman" w:hAnsi="Calibri" w:cs="Calibri"/>
        </w:rPr>
        <w:t>In addition to the SNS, most states have their own stockpiles of medicines and supplies that were purchased either with partial federal funding or with state funds.</w:t>
      </w:r>
      <w:r w:rsidR="00852D1D">
        <w:rPr>
          <w:rFonts w:ascii="Calibri" w:eastAsia="Times New Roman" w:hAnsi="Calibri" w:cs="Calibri"/>
        </w:rPr>
        <w:t xml:space="preserve"> </w:t>
      </w:r>
      <w:r w:rsidRPr="00B87B98">
        <w:rPr>
          <w:rFonts w:ascii="Calibri" w:eastAsia="Times New Roman" w:hAnsi="Calibri" w:cs="Calibri"/>
        </w:rPr>
        <w:t>The</w:t>
      </w:r>
      <w:r w:rsidR="006E4F5A">
        <w:rPr>
          <w:rFonts w:ascii="Calibri" w:eastAsia="Times New Roman" w:hAnsi="Calibri" w:cs="Calibri"/>
        </w:rPr>
        <w:t xml:space="preserve"> </w:t>
      </w:r>
      <w:r w:rsidRPr="00B87B98">
        <w:rPr>
          <w:rFonts w:ascii="Calibri" w:eastAsia="Times New Roman" w:hAnsi="Calibri" w:cs="Calibri"/>
          <w:bdr w:val="none" w:sz="0" w:space="0" w:color="auto" w:frame="1"/>
        </w:rPr>
        <w:t>Cities Readiness Initiative (CRI</w:t>
      </w:r>
      <w:r w:rsidR="00CB3E40">
        <w:rPr>
          <w:rFonts w:ascii="Calibri" w:eastAsia="Times New Roman" w:hAnsi="Calibri" w:cs="Calibri"/>
          <w:bdr w:val="none" w:sz="0" w:space="0" w:color="auto" w:frame="1"/>
        </w:rPr>
        <w:t>)</w:t>
      </w:r>
      <w:r w:rsidR="006E4F5A">
        <w:rPr>
          <w:rFonts w:ascii="Calibri" w:eastAsia="Times New Roman" w:hAnsi="Calibri" w:cs="Calibri"/>
          <w:bdr w:val="none" w:sz="0" w:space="0" w:color="auto" w:frame="1"/>
        </w:rPr>
        <w:t xml:space="preserve"> </w:t>
      </w:r>
      <w:r w:rsidR="00015BD5">
        <w:rPr>
          <w:rFonts w:ascii="Calibri" w:eastAsia="Times New Roman" w:hAnsi="Calibri" w:cs="Calibri"/>
        </w:rPr>
        <w:t>w</w:t>
      </w:r>
      <w:r w:rsidRPr="00B87B98">
        <w:rPr>
          <w:rFonts w:ascii="Calibri" w:eastAsia="Times New Roman" w:hAnsi="Calibri" w:cs="Calibri"/>
        </w:rPr>
        <w:t xml:space="preserve">as created in 2004 to focus on emergency preparedness in the largest cities and metropolitan areas in </w:t>
      </w:r>
      <w:r w:rsidRPr="00B87B98">
        <w:rPr>
          <w:rFonts w:ascii="Calibri" w:eastAsia="Times New Roman" w:hAnsi="Calibri" w:cs="Calibri"/>
        </w:rPr>
        <w:lastRenderedPageBreak/>
        <w:t xml:space="preserve">the United States, where </w:t>
      </w:r>
      <w:r w:rsidR="00581B7F">
        <w:rPr>
          <w:rFonts w:ascii="Calibri" w:eastAsia="Times New Roman" w:hAnsi="Calibri" w:cs="Calibri"/>
        </w:rPr>
        <w:t>nearly 60</w:t>
      </w:r>
      <w:r w:rsidRPr="00B87B98">
        <w:rPr>
          <w:rFonts w:ascii="Calibri" w:eastAsia="Times New Roman" w:hAnsi="Calibri" w:cs="Calibri"/>
        </w:rPr>
        <w:t xml:space="preserve"> percent of the nation’s population resides.</w:t>
      </w:r>
      <w:r w:rsidR="00581B7F">
        <w:rPr>
          <w:rStyle w:val="FootnoteReference"/>
          <w:rFonts w:ascii="Calibri" w:eastAsia="Times New Roman" w:hAnsi="Calibri" w:cs="Calibri"/>
        </w:rPr>
        <w:footnoteReference w:id="22"/>
      </w:r>
      <w:r w:rsidRPr="00B87B98">
        <w:rPr>
          <w:rFonts w:ascii="Calibri" w:eastAsia="Times New Roman" w:hAnsi="Calibri" w:cs="Calibri"/>
        </w:rPr>
        <w:t xml:space="preserve"> The CRI has enabled public health departments in states and large metropolitan areas to develop plans to respond to large-scale bioterrorist events by dispensing antibiotics to the entire population of a specified metropolitan area within 48 hours.</w:t>
      </w:r>
      <w:r w:rsidR="006E4F5A">
        <w:rPr>
          <w:rStyle w:val="FootnoteReference"/>
          <w:rFonts w:ascii="Calibri" w:eastAsia="Times New Roman" w:hAnsi="Calibri" w:cs="Calibri"/>
        </w:rPr>
        <w:footnoteReference w:id="23"/>
      </w:r>
    </w:p>
    <w:p w14:paraId="17CAC1B2" w14:textId="77777777" w:rsidR="00267032" w:rsidRDefault="00267032" w:rsidP="006E4F5A">
      <w:pPr>
        <w:spacing w:line="360" w:lineRule="auto"/>
        <w:rPr>
          <w:rFonts w:ascii="Calibri" w:eastAsia="Times New Roman" w:hAnsi="Calibri" w:cs="Calibri"/>
        </w:rPr>
      </w:pPr>
    </w:p>
    <w:p w14:paraId="43E1A996" w14:textId="319FBAF4" w:rsidR="006E4F5A" w:rsidRPr="00267032" w:rsidRDefault="00267032" w:rsidP="006E4F5A">
      <w:pPr>
        <w:spacing w:line="360" w:lineRule="auto"/>
        <w:rPr>
          <w:rFonts w:ascii="Calibri" w:eastAsia="Times New Roman" w:hAnsi="Calibri" w:cs="Calibri"/>
        </w:rPr>
      </w:pPr>
      <w:r w:rsidRPr="008A3E91">
        <w:rPr>
          <w:rFonts w:ascii="Calibri" w:eastAsia="Times New Roman" w:hAnsi="Calibri" w:cs="Calibri"/>
          <w:highlight w:val="yellow"/>
        </w:rPr>
        <w:t>State-maintained stockpiles are not currently eligible for participation in SLEP.</w:t>
      </w:r>
      <w:r>
        <w:rPr>
          <w:rFonts w:ascii="Calibri" w:eastAsia="Times New Roman" w:hAnsi="Calibri" w:cs="Calibri"/>
        </w:rPr>
        <w:t xml:space="preserve"> </w:t>
      </w:r>
      <w:r w:rsidRPr="00852D1D">
        <w:rPr>
          <w:rFonts w:ascii="Calibri" w:eastAsia="Times New Roman" w:hAnsi="Calibri" w:cs="Calibri"/>
          <w:b/>
          <w:bCs/>
          <w:i/>
          <w:iCs/>
          <w:highlight w:val="yellow"/>
        </w:rPr>
        <w:t>[need reconfirmation]</w:t>
      </w:r>
      <w:r>
        <w:rPr>
          <w:rFonts w:ascii="Calibri" w:eastAsia="Times New Roman" w:hAnsi="Calibri" w:cs="Calibri"/>
        </w:rPr>
        <w:t xml:space="preserve"> </w:t>
      </w:r>
      <w:r w:rsidR="000546CF" w:rsidRPr="00A73245">
        <w:rPr>
          <w:rFonts w:ascii="Calibri" w:eastAsia="Times New Roman" w:hAnsi="Calibri" w:cs="Calibri"/>
          <w:highlight w:val="yellow"/>
        </w:rPr>
        <w:t xml:space="preserve">[Need to add more information about other FDA expiration </w:t>
      </w:r>
      <w:r w:rsidR="00A73245" w:rsidRPr="00A73245">
        <w:rPr>
          <w:rFonts w:ascii="Calibri" w:eastAsia="Times New Roman" w:hAnsi="Calibri" w:cs="Calibri"/>
          <w:highlight w:val="yellow"/>
        </w:rPr>
        <w:t>date extension options]</w:t>
      </w:r>
    </w:p>
    <w:p w14:paraId="5028EB45" w14:textId="77777777" w:rsidR="00267032" w:rsidRDefault="00267032" w:rsidP="006E4F5A">
      <w:pPr>
        <w:spacing w:line="360" w:lineRule="auto"/>
        <w:rPr>
          <w:rFonts w:ascii="Calibri" w:eastAsia="Times New Roman" w:hAnsi="Calibri" w:cs="Calibri"/>
        </w:rPr>
      </w:pPr>
    </w:p>
    <w:sectPr w:rsidR="0026703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62115" w14:textId="77777777" w:rsidR="00FC0345" w:rsidRDefault="00FC0345" w:rsidP="001D7142">
      <w:r>
        <w:separator/>
      </w:r>
    </w:p>
  </w:endnote>
  <w:endnote w:type="continuationSeparator" w:id="0">
    <w:p w14:paraId="75E6F3C2" w14:textId="77777777" w:rsidR="00FC0345" w:rsidRDefault="00FC0345" w:rsidP="001D7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4227725"/>
      <w:docPartObj>
        <w:docPartGallery w:val="Page Numbers (Bottom of Page)"/>
        <w:docPartUnique/>
      </w:docPartObj>
    </w:sdtPr>
    <w:sdtEndPr>
      <w:rPr>
        <w:noProof/>
      </w:rPr>
    </w:sdtEndPr>
    <w:sdtContent>
      <w:p w14:paraId="7A23F16F" w14:textId="3788C706" w:rsidR="001D7142" w:rsidRDefault="001D7142" w:rsidP="001D71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15E89" w14:textId="77777777" w:rsidR="00FC0345" w:rsidRDefault="00FC0345" w:rsidP="001D7142">
      <w:r>
        <w:separator/>
      </w:r>
    </w:p>
  </w:footnote>
  <w:footnote w:type="continuationSeparator" w:id="0">
    <w:p w14:paraId="152ECF95" w14:textId="77777777" w:rsidR="00FC0345" w:rsidRDefault="00FC0345" w:rsidP="001D7142">
      <w:r>
        <w:continuationSeparator/>
      </w:r>
    </w:p>
  </w:footnote>
  <w:footnote w:id="1">
    <w:p w14:paraId="4807D17C" w14:textId="18E61AAB" w:rsidR="00767FFE" w:rsidRDefault="00C107DF" w:rsidP="00FD25CC">
      <w:pPr>
        <w:pStyle w:val="FootnoteText"/>
      </w:pPr>
      <w:r w:rsidRPr="006B646B">
        <w:rPr>
          <w:b/>
          <w:bCs/>
          <w:highlight w:val="yellow"/>
        </w:rPr>
        <w:t xml:space="preserve">Footnotes will be streamlined and edited to </w:t>
      </w:r>
      <w:r>
        <w:rPr>
          <w:b/>
          <w:bCs/>
          <w:highlight w:val="yellow"/>
        </w:rPr>
        <w:t xml:space="preserve">a </w:t>
      </w:r>
      <w:r w:rsidRPr="006B646B">
        <w:rPr>
          <w:b/>
          <w:bCs/>
          <w:highlight w:val="yellow"/>
        </w:rPr>
        <w:t>style guide once text is finalized</w:t>
      </w:r>
    </w:p>
    <w:p w14:paraId="71740740" w14:textId="61F3260E" w:rsidR="00FD25CC" w:rsidRDefault="00FD25CC" w:rsidP="00FD25CC">
      <w:pPr>
        <w:pStyle w:val="FootnoteText"/>
      </w:pPr>
      <w:r>
        <w:rPr>
          <w:rStyle w:val="FootnoteReference"/>
        </w:rPr>
        <w:footnoteRef/>
      </w:r>
      <w:r>
        <w:t xml:space="preserve"> HHS ASPR. </w:t>
      </w:r>
      <w:r w:rsidRPr="00C303FA">
        <w:t>Strategic National Stockpile</w:t>
      </w:r>
      <w:r>
        <w:t>. W</w:t>
      </w:r>
      <w:r w:rsidRPr="00B87B98">
        <w:t>ebpage</w:t>
      </w:r>
      <w:r>
        <w:t xml:space="preserve"> last reviewed March 19, 2020</w:t>
      </w:r>
      <w:r w:rsidRPr="00B87B98">
        <w:t xml:space="preserve">. </w:t>
      </w:r>
      <w:r>
        <w:t xml:space="preserve">Retrieved from </w:t>
      </w:r>
      <w:hyperlink r:id="rId1" w:history="1">
        <w:r>
          <w:rPr>
            <w:rStyle w:val="Hyperlink"/>
          </w:rPr>
          <w:t>https://www.phe.gov/about/sns/Pages/default.aspx</w:t>
        </w:r>
      </w:hyperlink>
      <w:r>
        <w:t xml:space="preserve">. </w:t>
      </w:r>
      <w:r w:rsidRPr="00502E91">
        <w:t>The current SNS program has its origin in the National Pharmaceutical Stockpile (NPS), which Congress required the Department of Health and Human Services (HHS) and the Centers for Disease Control and Prevention (CDC) to create in 1999. The mission of the NPS was to assemble large quantities of essential medical supplies to provide to states and communities during an emergency within 12 hours of a federal decision to deploy the stockpile. In 2003, the NPS was renamed the SNS.</w:t>
      </w:r>
      <w:bookmarkStart w:id="0" w:name="_GoBack"/>
      <w:bookmarkEnd w:id="0"/>
    </w:p>
  </w:footnote>
  <w:footnote w:id="2">
    <w:p w14:paraId="6E327678" w14:textId="556FC0A0" w:rsidR="00A73838" w:rsidRDefault="00A73838">
      <w:pPr>
        <w:pStyle w:val="FootnoteText"/>
      </w:pPr>
      <w:r>
        <w:rPr>
          <w:rStyle w:val="FootnoteReference"/>
        </w:rPr>
        <w:footnoteRef/>
      </w:r>
      <w:r>
        <w:t xml:space="preserve"> Public Health Service Act</w:t>
      </w:r>
      <w:r w:rsidR="00FA328E">
        <w:t xml:space="preserve"> §</w:t>
      </w:r>
      <w:r w:rsidR="00FA328E" w:rsidRPr="00FA328E">
        <w:t xml:space="preserve"> 319F-2</w:t>
      </w:r>
      <w:r w:rsidR="00FA328E">
        <w:t xml:space="preserve">; </w:t>
      </w:r>
      <w:r w:rsidR="00F3766C" w:rsidRPr="00F3766C">
        <w:t>42 U.S.C. § 247d-6b</w:t>
      </w:r>
      <w:r w:rsidR="00F3766C">
        <w:t>.</w:t>
      </w:r>
    </w:p>
  </w:footnote>
  <w:footnote w:id="3">
    <w:p w14:paraId="491913A8" w14:textId="78A29AE6" w:rsidR="00E607D9" w:rsidRDefault="00E607D9">
      <w:pPr>
        <w:pStyle w:val="FootnoteText"/>
      </w:pPr>
      <w:r>
        <w:rPr>
          <w:rStyle w:val="FootnoteReference"/>
        </w:rPr>
        <w:footnoteRef/>
      </w:r>
      <w:r>
        <w:t xml:space="preserve"> </w:t>
      </w:r>
      <w:r w:rsidRPr="00E607D9">
        <w:t>42 U.S.C. § 300hh-10(c)(3)(b).</w:t>
      </w:r>
    </w:p>
  </w:footnote>
  <w:footnote w:id="4">
    <w:p w14:paraId="5BA5E8AF" w14:textId="55C3F9F0" w:rsidR="007C21A6" w:rsidRDefault="007C21A6" w:rsidP="007C21A6">
      <w:pPr>
        <w:pStyle w:val="FootnoteText"/>
      </w:pPr>
      <w:r>
        <w:rPr>
          <w:rStyle w:val="FootnoteReference"/>
        </w:rPr>
        <w:footnoteRef/>
      </w:r>
      <w:r>
        <w:t xml:space="preserve"> Public Health Service Act §</w:t>
      </w:r>
      <w:r w:rsidRPr="00FA328E">
        <w:t xml:space="preserve"> 319F-2</w:t>
      </w:r>
      <w:r>
        <w:t xml:space="preserve">; </w:t>
      </w:r>
      <w:r w:rsidRPr="00F3766C">
        <w:t>42 U.S.C. § 247d-6b</w:t>
      </w:r>
      <w:r>
        <w:t>.</w:t>
      </w:r>
      <w:r w:rsidR="00314CBE">
        <w:t xml:space="preserve"> The </w:t>
      </w:r>
      <w:r w:rsidR="0009628E">
        <w:t xml:space="preserve">statute also requires that the </w:t>
      </w:r>
      <w:r w:rsidR="00314CBE">
        <w:t xml:space="preserve">review must also </w:t>
      </w:r>
      <w:r w:rsidR="00E46ED4">
        <w:t>consider</w:t>
      </w:r>
      <w:r w:rsidR="00314CBE">
        <w:t xml:space="preserve"> the needs of at-risk individuals.</w:t>
      </w:r>
    </w:p>
  </w:footnote>
  <w:footnote w:id="5">
    <w:p w14:paraId="74380D7F" w14:textId="152C70B3" w:rsidR="00A745A3" w:rsidRDefault="00A745A3">
      <w:pPr>
        <w:pStyle w:val="FootnoteText"/>
      </w:pPr>
      <w:r>
        <w:rPr>
          <w:rStyle w:val="FootnoteReference"/>
        </w:rPr>
        <w:footnoteRef/>
      </w:r>
      <w:r>
        <w:t xml:space="preserve"> </w:t>
      </w:r>
      <w:r w:rsidR="00CE2272" w:rsidRPr="00CE2272">
        <w:t>The role of PHEMCH is to coordinate federal efforts to enhance</w:t>
      </w:r>
      <w:r w:rsidR="00CE2272">
        <w:t xml:space="preserve"> </w:t>
      </w:r>
      <w:r w:rsidR="00A359B5">
        <w:t xml:space="preserve">MCM </w:t>
      </w:r>
      <w:r w:rsidR="00CE2272">
        <w:t>preparedness</w:t>
      </w:r>
      <w:r w:rsidR="00CE2272" w:rsidRPr="00CE2272">
        <w:t xml:space="preserve"> </w:t>
      </w:r>
      <w:r w:rsidR="002128A9">
        <w:t xml:space="preserve">for </w:t>
      </w:r>
      <w:r w:rsidR="00DD2F5E">
        <w:t xml:space="preserve">threats from </w:t>
      </w:r>
      <w:r w:rsidR="002128A9">
        <w:t>chemical, biological, radio</w:t>
      </w:r>
      <w:r w:rsidR="00DD2F5E">
        <w:t xml:space="preserve">logical, </w:t>
      </w:r>
      <w:r w:rsidR="00EC5704">
        <w:t xml:space="preserve">nuclear, </w:t>
      </w:r>
      <w:r w:rsidR="00CE2272" w:rsidRPr="00CE2272">
        <w:t>emerging infectious diseases</w:t>
      </w:r>
      <w:r w:rsidR="00EC5704">
        <w:t>,</w:t>
      </w:r>
      <w:r w:rsidR="00CE2272" w:rsidRPr="00CE2272">
        <w:t xml:space="preserve"> and pandemic</w:t>
      </w:r>
      <w:r w:rsidR="00EC5704">
        <w:t xml:space="preserve">s. </w:t>
      </w:r>
      <w:r w:rsidRPr="00A745A3">
        <w:t xml:space="preserve">The HHS Office of the Assistant Secretary for Preparedness and Response (ASPR) leads PHEMCE, which includes three HHS agencies: </w:t>
      </w:r>
      <w:proofErr w:type="gramStart"/>
      <w:r w:rsidRPr="00A745A3">
        <w:t>the</w:t>
      </w:r>
      <w:proofErr w:type="gramEnd"/>
      <w:r w:rsidRPr="00A745A3">
        <w:t xml:space="preserve"> Centers for Disease Control and Prevention (CDC), the Food and Drug Administration (FDA) and the National Institutes of Health (NIH). It also includes the Department of Defense (DoD), the U.S. Department of Veterans Affairs (VA), the Department of Homeland Security (DHS), and the U.S. Department of Agriculture (USDA)</w:t>
      </w:r>
    </w:p>
  </w:footnote>
  <w:footnote w:id="6">
    <w:p w14:paraId="75BE8B94" w14:textId="1B780E29" w:rsidR="005D5FC8" w:rsidRDefault="005D5FC8" w:rsidP="005D5FC8">
      <w:pPr>
        <w:pStyle w:val="FootnoteText"/>
      </w:pPr>
      <w:r>
        <w:rPr>
          <w:rStyle w:val="FootnoteReference"/>
        </w:rPr>
        <w:footnoteRef/>
      </w:r>
      <w:r>
        <w:t xml:space="preserve"> Public Health Service Act §</w:t>
      </w:r>
      <w:r w:rsidRPr="00FA328E">
        <w:t xml:space="preserve"> 319F-2</w:t>
      </w:r>
      <w:r>
        <w:t xml:space="preserve">; </w:t>
      </w:r>
      <w:r w:rsidRPr="00F3766C">
        <w:t>42 U.S.C. § 247d-6b</w:t>
      </w:r>
      <w:r>
        <w:t>.</w:t>
      </w:r>
      <w:r w:rsidR="00CA1C93">
        <w:t xml:space="preserve"> </w:t>
      </w:r>
      <w:r w:rsidR="00A049F1">
        <w:t>42 U.S.C. § 300hh-10a.</w:t>
      </w:r>
    </w:p>
  </w:footnote>
  <w:footnote w:id="7">
    <w:p w14:paraId="2D1D1524" w14:textId="57848F43" w:rsidR="004F26EB" w:rsidRDefault="004F26EB">
      <w:pPr>
        <w:pStyle w:val="FootnoteText"/>
      </w:pPr>
      <w:r>
        <w:rPr>
          <w:rStyle w:val="FootnoteReference"/>
        </w:rPr>
        <w:footnoteRef/>
      </w:r>
      <w:r>
        <w:t xml:space="preserve"> </w:t>
      </w:r>
      <w:r w:rsidR="007250BE" w:rsidRPr="007250BE">
        <w:t>42 U.S. Code § 247d–6b</w:t>
      </w:r>
      <w:r w:rsidR="007250BE">
        <w:t>.</w:t>
      </w:r>
    </w:p>
  </w:footnote>
  <w:footnote w:id="8">
    <w:p w14:paraId="0E8DB0F6" w14:textId="15D68EF0" w:rsidR="0095019F" w:rsidRDefault="0095019F">
      <w:pPr>
        <w:pStyle w:val="FootnoteText"/>
      </w:pPr>
      <w:r>
        <w:rPr>
          <w:rStyle w:val="FootnoteReference"/>
        </w:rPr>
        <w:footnoteRef/>
      </w:r>
      <w:r>
        <w:t xml:space="preserve"> </w:t>
      </w:r>
      <w:r w:rsidR="007250BE" w:rsidRPr="007250BE">
        <w:t>42 U.S. Code § 247d–6b</w:t>
      </w:r>
      <w:r w:rsidR="007250BE">
        <w:t>.</w:t>
      </w:r>
    </w:p>
  </w:footnote>
  <w:footnote w:id="9">
    <w:p w14:paraId="0E96D519" w14:textId="4A832BF1" w:rsidR="00A62663" w:rsidRDefault="00A62663">
      <w:pPr>
        <w:pStyle w:val="FootnoteText"/>
      </w:pPr>
      <w:r>
        <w:rPr>
          <w:rStyle w:val="FootnoteReference"/>
        </w:rPr>
        <w:footnoteRef/>
      </w:r>
      <w:r w:rsidR="00402980">
        <w:t xml:space="preserve"> HHS. </w:t>
      </w:r>
      <w:r w:rsidR="00DB7CA8">
        <w:t>Chemical Haza</w:t>
      </w:r>
      <w:r w:rsidR="00C609C9">
        <w:t>rds Emergency Medical Management</w:t>
      </w:r>
      <w:r w:rsidR="004341FA">
        <w:t xml:space="preserve"> (CHEMM). </w:t>
      </w:r>
      <w:r w:rsidRPr="00A62663">
        <w:t>Strategic National Stockpile (SNS)</w:t>
      </w:r>
      <w:r w:rsidR="00402980">
        <w:t>.</w:t>
      </w:r>
      <w:r w:rsidRPr="00A62663">
        <w:t xml:space="preserve"> </w:t>
      </w:r>
      <w:r w:rsidR="00402980">
        <w:t>Webpage last reviewed March 10, 2020</w:t>
      </w:r>
      <w:r w:rsidRPr="00A62663">
        <w:t xml:space="preserve">. </w:t>
      </w:r>
      <w:r w:rsidR="00ED5C8A">
        <w:t xml:space="preserve">Retrieved from </w:t>
      </w:r>
      <w:hyperlink r:id="rId2" w:history="1">
        <w:r w:rsidR="00ED5C8A">
          <w:rPr>
            <w:rStyle w:val="Hyperlink"/>
          </w:rPr>
          <w:t>https://chemm.nlm.nih.gov/sns.htm</w:t>
        </w:r>
      </w:hyperlink>
      <w:r w:rsidR="00ED5C8A">
        <w:t>.</w:t>
      </w:r>
    </w:p>
  </w:footnote>
  <w:footnote w:id="10">
    <w:p w14:paraId="6C93B932" w14:textId="71FAE236" w:rsidR="00A62663" w:rsidRDefault="00A62663">
      <w:pPr>
        <w:pStyle w:val="FootnoteText"/>
      </w:pPr>
      <w:r>
        <w:rPr>
          <w:rStyle w:val="FootnoteReference"/>
        </w:rPr>
        <w:footnoteRef/>
      </w:r>
      <w:r>
        <w:t xml:space="preserve"> </w:t>
      </w:r>
      <w:r w:rsidR="00D24417">
        <w:t xml:space="preserve">HHS. Chemical Hazards Emergency Medical Management (CHEMM). </w:t>
      </w:r>
      <w:r w:rsidR="00D24417" w:rsidRPr="00A62663">
        <w:t>Strategic National Stockpile (SNS)</w:t>
      </w:r>
      <w:r w:rsidR="00D24417">
        <w:t>.</w:t>
      </w:r>
      <w:r w:rsidR="00D24417" w:rsidRPr="00A62663">
        <w:t xml:space="preserve"> </w:t>
      </w:r>
      <w:r w:rsidR="00D24417">
        <w:t>Webpage last reviewed March 10, 2020</w:t>
      </w:r>
      <w:r w:rsidR="00D24417" w:rsidRPr="00A62663">
        <w:t xml:space="preserve">. </w:t>
      </w:r>
      <w:r w:rsidR="00D24417">
        <w:t xml:space="preserve">Retrieved from </w:t>
      </w:r>
      <w:hyperlink r:id="rId3" w:history="1">
        <w:r w:rsidR="00D24417">
          <w:rPr>
            <w:rStyle w:val="Hyperlink"/>
          </w:rPr>
          <w:t>https://chemm.nlm.nih.gov/sns.htm</w:t>
        </w:r>
      </w:hyperlink>
      <w:r w:rsidR="00D24417">
        <w:t>.</w:t>
      </w:r>
    </w:p>
  </w:footnote>
  <w:footnote w:id="11">
    <w:p w14:paraId="255DD868" w14:textId="68C74F04" w:rsidR="00B741D6" w:rsidRDefault="00B741D6">
      <w:pPr>
        <w:pStyle w:val="FootnoteText"/>
      </w:pPr>
      <w:r>
        <w:rPr>
          <w:rStyle w:val="FootnoteReference"/>
        </w:rPr>
        <w:footnoteRef/>
      </w:r>
      <w:r>
        <w:t xml:space="preserve"> </w:t>
      </w:r>
      <w:r w:rsidR="00D24417">
        <w:t xml:space="preserve">HHS. Chemical Hazards Emergency Medical Management (CHEMM). </w:t>
      </w:r>
      <w:r w:rsidR="00D24417" w:rsidRPr="00A62663">
        <w:t>Strategic National Stockpile (SNS)</w:t>
      </w:r>
      <w:r w:rsidR="00D24417">
        <w:t>.</w:t>
      </w:r>
      <w:r w:rsidR="00D24417" w:rsidRPr="00A62663">
        <w:t xml:space="preserve"> </w:t>
      </w:r>
      <w:r w:rsidR="00D24417">
        <w:t>Webpage last reviewed March 10, 2020</w:t>
      </w:r>
      <w:r w:rsidR="00D24417" w:rsidRPr="00A62663">
        <w:t xml:space="preserve">. </w:t>
      </w:r>
      <w:r w:rsidR="00D24417">
        <w:t xml:space="preserve">Retrieved from </w:t>
      </w:r>
      <w:hyperlink r:id="rId4" w:history="1">
        <w:r w:rsidR="00D24417">
          <w:rPr>
            <w:rStyle w:val="Hyperlink"/>
          </w:rPr>
          <w:t>https://chemm.nlm.nih.gov/sns.htm</w:t>
        </w:r>
      </w:hyperlink>
      <w:r w:rsidR="00D24417">
        <w:t>.</w:t>
      </w:r>
    </w:p>
  </w:footnote>
  <w:footnote w:id="12">
    <w:p w14:paraId="63C88654" w14:textId="49BB57D2" w:rsidR="00EA5483" w:rsidRDefault="00EA5483">
      <w:pPr>
        <w:pStyle w:val="FootnoteText"/>
      </w:pPr>
      <w:r>
        <w:rPr>
          <w:rStyle w:val="FootnoteReference"/>
        </w:rPr>
        <w:footnoteRef/>
      </w:r>
      <w:r>
        <w:t xml:space="preserve"> </w:t>
      </w:r>
      <w:r w:rsidR="006A6385">
        <w:t xml:space="preserve">HHS ASPR. </w:t>
      </w:r>
      <w:r w:rsidRPr="00EA5483">
        <w:t>Stockpile</w:t>
      </w:r>
      <w:r w:rsidR="00371C6E">
        <w:t xml:space="preserve"> Products.</w:t>
      </w:r>
      <w:r w:rsidRPr="00EA5483">
        <w:t xml:space="preserve"> </w:t>
      </w:r>
      <w:r w:rsidR="006A6385">
        <w:t>W</w:t>
      </w:r>
      <w:r w:rsidRPr="00EA5483">
        <w:t>ebpage</w:t>
      </w:r>
      <w:r w:rsidR="006A6385">
        <w:t xml:space="preserve"> last reviewed September 19, 2020.</w:t>
      </w:r>
      <w:r w:rsidRPr="00EA5483">
        <w:t xml:space="preserve"> </w:t>
      </w:r>
      <w:r w:rsidR="006A6385">
        <w:t xml:space="preserve">Retrieved from </w:t>
      </w:r>
      <w:hyperlink r:id="rId5" w:history="1">
        <w:r w:rsidR="006A6385">
          <w:rPr>
            <w:rStyle w:val="Hyperlink"/>
          </w:rPr>
          <w:t>https://www.phe.gov/about/sns/Pages/products.aspx</w:t>
        </w:r>
      </w:hyperlink>
      <w:r w:rsidR="006A6385">
        <w:t>.</w:t>
      </w:r>
      <w:r w:rsidR="0037561E" w:rsidRPr="0037561E">
        <w:t xml:space="preserve"> </w:t>
      </w:r>
    </w:p>
  </w:footnote>
  <w:footnote w:id="13">
    <w:p w14:paraId="410FFC6A" w14:textId="3B124950" w:rsidR="00EA5483" w:rsidRDefault="00EA5483">
      <w:pPr>
        <w:pStyle w:val="FootnoteText"/>
      </w:pPr>
      <w:r>
        <w:rPr>
          <w:rStyle w:val="FootnoteReference"/>
        </w:rPr>
        <w:footnoteRef/>
      </w:r>
      <w:r>
        <w:t xml:space="preserve"> </w:t>
      </w:r>
      <w:r w:rsidR="008323BC">
        <w:t xml:space="preserve">HHS ASPR. </w:t>
      </w:r>
      <w:r w:rsidR="008323BC" w:rsidRPr="00EA5483">
        <w:t>Stockpile</w:t>
      </w:r>
      <w:r w:rsidR="008323BC">
        <w:t xml:space="preserve"> Products.</w:t>
      </w:r>
      <w:r w:rsidR="008323BC" w:rsidRPr="00EA5483">
        <w:t xml:space="preserve"> </w:t>
      </w:r>
      <w:r w:rsidR="008323BC">
        <w:t>W</w:t>
      </w:r>
      <w:r w:rsidR="008323BC" w:rsidRPr="00EA5483">
        <w:t>ebpage</w:t>
      </w:r>
      <w:r w:rsidR="008323BC">
        <w:t xml:space="preserve"> last reviewed September 19, 2020.</w:t>
      </w:r>
      <w:r w:rsidR="008323BC" w:rsidRPr="00EA5483">
        <w:t xml:space="preserve"> </w:t>
      </w:r>
      <w:r w:rsidR="008323BC">
        <w:t xml:space="preserve">Retrieved from </w:t>
      </w:r>
      <w:hyperlink r:id="rId6" w:history="1">
        <w:r w:rsidR="008323BC">
          <w:rPr>
            <w:rStyle w:val="Hyperlink"/>
          </w:rPr>
          <w:t>https://www.phe.gov/about/sns/Pages/products.aspx</w:t>
        </w:r>
      </w:hyperlink>
      <w:r w:rsidR="008323BC">
        <w:t>.</w:t>
      </w:r>
    </w:p>
  </w:footnote>
  <w:footnote w:id="14">
    <w:p w14:paraId="34784C21" w14:textId="36F6F118" w:rsidR="009365EB" w:rsidRDefault="009365EB">
      <w:pPr>
        <w:pStyle w:val="FootnoteText"/>
      </w:pPr>
      <w:r>
        <w:rPr>
          <w:rStyle w:val="FootnoteReference"/>
        </w:rPr>
        <w:footnoteRef/>
      </w:r>
      <w:r>
        <w:t xml:space="preserve"> </w:t>
      </w:r>
      <w:r w:rsidRPr="009365EB">
        <w:t xml:space="preserve">HHS. Chemical Hazards Emergency Medical Management (CHEMM). Strategic National Stockpile (SNS). Webpage last reviewed March 10, 2020. Retrieved from </w:t>
      </w:r>
      <w:hyperlink r:id="rId7" w:history="1">
        <w:r w:rsidRPr="00DB577A">
          <w:rPr>
            <w:rStyle w:val="Hyperlink"/>
          </w:rPr>
          <w:t>https://chemm.nlm.nih.gov/sns.htm</w:t>
        </w:r>
      </w:hyperlink>
      <w:r w:rsidRPr="009365EB">
        <w:t>.</w:t>
      </w:r>
      <w:r>
        <w:t xml:space="preserve"> </w:t>
      </w:r>
    </w:p>
  </w:footnote>
  <w:footnote w:id="15">
    <w:p w14:paraId="1BC0C057" w14:textId="596D515F" w:rsidR="006732A2" w:rsidRDefault="006732A2">
      <w:pPr>
        <w:pStyle w:val="FootnoteText"/>
      </w:pPr>
      <w:r>
        <w:rPr>
          <w:rStyle w:val="FootnoteReference"/>
        </w:rPr>
        <w:footnoteRef/>
      </w:r>
      <w:r>
        <w:t xml:space="preserve"> </w:t>
      </w:r>
      <w:r w:rsidR="00770B11" w:rsidRPr="00770B11">
        <w:rPr>
          <w:highlight w:val="yellow"/>
        </w:rPr>
        <w:t>Need current citation</w:t>
      </w:r>
      <w:r w:rsidR="00770B11">
        <w:t xml:space="preserve"> (former: </w:t>
      </w:r>
      <w:r w:rsidR="00770B11" w:rsidRPr="006732A2">
        <w:t>CDC. “Strategic National Stockpile (SNS)” webpage. Available at www.cdc.gov/phpr/stockpile/stockpile.htm. Accessed January 31, 2012.</w:t>
      </w:r>
    </w:p>
  </w:footnote>
  <w:footnote w:id="16">
    <w:p w14:paraId="6D37E72C" w14:textId="6CBB9D86" w:rsidR="006732A2" w:rsidRDefault="006732A2">
      <w:pPr>
        <w:pStyle w:val="FootnoteText"/>
      </w:pPr>
      <w:r>
        <w:rPr>
          <w:rStyle w:val="FootnoteReference"/>
        </w:rPr>
        <w:footnoteRef/>
      </w:r>
      <w:r>
        <w:t xml:space="preserve"> </w:t>
      </w:r>
      <w:r w:rsidR="00770B11" w:rsidRPr="00770B11">
        <w:rPr>
          <w:highlight w:val="yellow"/>
        </w:rPr>
        <w:t>Need current citation</w:t>
      </w:r>
      <w:r w:rsidR="00770B11">
        <w:t xml:space="preserve"> (former: </w:t>
      </w:r>
      <w:r w:rsidR="00770B11" w:rsidRPr="006732A2">
        <w:t>CDC. “Strategic National Stockpile (SNS)” webpage. Available at www.cdc.gov/phpr/stockpile/stockpile.htm. Accessed January 31, 2012.</w:t>
      </w:r>
    </w:p>
  </w:footnote>
  <w:footnote w:id="17">
    <w:p w14:paraId="7F46AFFB" w14:textId="6B389518" w:rsidR="006732A2" w:rsidRDefault="006732A2">
      <w:pPr>
        <w:pStyle w:val="FootnoteText"/>
      </w:pPr>
      <w:r>
        <w:rPr>
          <w:rStyle w:val="FootnoteReference"/>
        </w:rPr>
        <w:footnoteRef/>
      </w:r>
      <w:r>
        <w:t xml:space="preserve"> </w:t>
      </w:r>
      <w:r w:rsidR="002B34B6">
        <w:t xml:space="preserve">HHS ASPR. </w:t>
      </w:r>
      <w:r w:rsidR="002B34B6" w:rsidRPr="00EA5483">
        <w:t>Stockpile</w:t>
      </w:r>
      <w:r w:rsidR="002B34B6">
        <w:t xml:space="preserve"> Products.</w:t>
      </w:r>
      <w:r w:rsidR="002B34B6" w:rsidRPr="00EA5483">
        <w:t xml:space="preserve"> </w:t>
      </w:r>
      <w:r w:rsidR="002B34B6">
        <w:t>W</w:t>
      </w:r>
      <w:r w:rsidR="002B34B6" w:rsidRPr="00EA5483">
        <w:t>ebpage</w:t>
      </w:r>
      <w:r w:rsidR="002B34B6">
        <w:t xml:space="preserve"> last reviewed September 19, 2020.</w:t>
      </w:r>
      <w:r w:rsidR="002B34B6" w:rsidRPr="00EA5483">
        <w:t xml:space="preserve"> </w:t>
      </w:r>
      <w:r w:rsidR="002B34B6">
        <w:t xml:space="preserve">Retrieved from </w:t>
      </w:r>
      <w:hyperlink r:id="rId8" w:history="1">
        <w:r w:rsidR="002B34B6">
          <w:rPr>
            <w:rStyle w:val="Hyperlink"/>
          </w:rPr>
          <w:t>https://www.phe.gov/about/sns/Pages/products.aspx</w:t>
        </w:r>
      </w:hyperlink>
      <w:r w:rsidR="002B34B6">
        <w:t>.</w:t>
      </w:r>
    </w:p>
  </w:footnote>
  <w:footnote w:id="18">
    <w:p w14:paraId="252B8011" w14:textId="4197924C" w:rsidR="006732A2" w:rsidRDefault="006732A2">
      <w:pPr>
        <w:pStyle w:val="FootnoteText"/>
      </w:pPr>
      <w:r>
        <w:rPr>
          <w:rStyle w:val="FootnoteReference"/>
        </w:rPr>
        <w:footnoteRef/>
      </w:r>
      <w:r>
        <w:t xml:space="preserve"> </w:t>
      </w:r>
      <w:r w:rsidR="000F635C">
        <w:t xml:space="preserve">HHS ASPR. </w:t>
      </w:r>
      <w:r w:rsidR="000F635C" w:rsidRPr="00EA5483">
        <w:t>Stockpile</w:t>
      </w:r>
      <w:r w:rsidR="000F635C">
        <w:t xml:space="preserve"> Products.</w:t>
      </w:r>
      <w:r w:rsidR="000F635C" w:rsidRPr="00EA5483">
        <w:t xml:space="preserve"> </w:t>
      </w:r>
      <w:r w:rsidR="000F635C">
        <w:t>W</w:t>
      </w:r>
      <w:r w:rsidR="000F635C" w:rsidRPr="00EA5483">
        <w:t>ebpage</w:t>
      </w:r>
      <w:r w:rsidR="000F635C">
        <w:t xml:space="preserve"> last reviewed September 19, 2020.</w:t>
      </w:r>
      <w:r w:rsidR="000F635C" w:rsidRPr="00EA5483">
        <w:t xml:space="preserve"> </w:t>
      </w:r>
      <w:r w:rsidR="000F635C">
        <w:t xml:space="preserve">Retrieved from </w:t>
      </w:r>
      <w:hyperlink r:id="rId9" w:history="1">
        <w:r w:rsidR="000F635C">
          <w:rPr>
            <w:rStyle w:val="Hyperlink"/>
          </w:rPr>
          <w:t>https://www.phe.gov/about/sns/Pages/products.aspx</w:t>
        </w:r>
      </w:hyperlink>
      <w:r w:rsidR="000F635C">
        <w:t>.</w:t>
      </w:r>
    </w:p>
  </w:footnote>
  <w:footnote w:id="19">
    <w:p w14:paraId="01AE1974" w14:textId="6349BB7A" w:rsidR="009D5D20" w:rsidRDefault="009D5D20">
      <w:pPr>
        <w:pStyle w:val="FootnoteText"/>
      </w:pPr>
      <w:r>
        <w:rPr>
          <w:rStyle w:val="FootnoteReference"/>
        </w:rPr>
        <w:footnoteRef/>
      </w:r>
      <w:r>
        <w:t xml:space="preserve"> </w:t>
      </w:r>
      <w:bookmarkStart w:id="1" w:name="_Hlk35605988"/>
      <w:r w:rsidR="000F635C">
        <w:t xml:space="preserve">HHS ASPR. </w:t>
      </w:r>
      <w:r w:rsidR="000F635C" w:rsidRPr="00EA5483">
        <w:t>Stockpile</w:t>
      </w:r>
      <w:r w:rsidR="000F635C">
        <w:t xml:space="preserve"> Products.</w:t>
      </w:r>
      <w:r w:rsidR="000F635C" w:rsidRPr="00EA5483">
        <w:t xml:space="preserve"> </w:t>
      </w:r>
      <w:r w:rsidR="000F635C">
        <w:t>W</w:t>
      </w:r>
      <w:r w:rsidR="000F635C" w:rsidRPr="00EA5483">
        <w:t>ebpage</w:t>
      </w:r>
      <w:r w:rsidR="000F635C">
        <w:t xml:space="preserve"> last reviewed September 19, 2020.</w:t>
      </w:r>
      <w:r w:rsidR="000F635C" w:rsidRPr="00EA5483">
        <w:t xml:space="preserve"> </w:t>
      </w:r>
      <w:r w:rsidR="000F635C">
        <w:t xml:space="preserve">Retrieved from </w:t>
      </w:r>
      <w:hyperlink r:id="rId10" w:history="1">
        <w:r w:rsidR="000F635C">
          <w:rPr>
            <w:rStyle w:val="Hyperlink"/>
          </w:rPr>
          <w:t>https://www.phe.gov/about/sns/Pages/products.aspx</w:t>
        </w:r>
      </w:hyperlink>
      <w:r w:rsidR="000F635C">
        <w:t>.</w:t>
      </w:r>
      <w:bookmarkEnd w:id="1"/>
    </w:p>
  </w:footnote>
  <w:footnote w:id="20">
    <w:p w14:paraId="73E719E9" w14:textId="52B8266F" w:rsidR="003D1CE2" w:rsidRDefault="003D1CE2">
      <w:pPr>
        <w:pStyle w:val="FootnoteText"/>
      </w:pPr>
      <w:r>
        <w:rPr>
          <w:rStyle w:val="FootnoteReference"/>
        </w:rPr>
        <w:footnoteRef/>
      </w:r>
      <w:r>
        <w:t xml:space="preserve"> </w:t>
      </w:r>
      <w:r w:rsidR="00C0505A">
        <w:t xml:space="preserve">HHS ASPR. </w:t>
      </w:r>
      <w:r w:rsidR="00C0505A" w:rsidRPr="00EA5483">
        <w:t>Stockpile</w:t>
      </w:r>
      <w:r w:rsidR="00C0505A">
        <w:t xml:space="preserve"> Products.</w:t>
      </w:r>
      <w:r w:rsidR="00C0505A" w:rsidRPr="00EA5483">
        <w:t xml:space="preserve"> </w:t>
      </w:r>
      <w:r w:rsidR="00C0505A">
        <w:t>W</w:t>
      </w:r>
      <w:r w:rsidR="00C0505A" w:rsidRPr="00EA5483">
        <w:t>ebpage</w:t>
      </w:r>
      <w:r w:rsidR="00C0505A">
        <w:t xml:space="preserve"> last reviewed September 19, 20</w:t>
      </w:r>
      <w:r w:rsidR="00E323DC">
        <w:t>19</w:t>
      </w:r>
      <w:r w:rsidR="00C0505A">
        <w:t>.</w:t>
      </w:r>
      <w:r w:rsidR="00C0505A" w:rsidRPr="00EA5483">
        <w:t xml:space="preserve"> </w:t>
      </w:r>
      <w:r w:rsidR="00C0505A">
        <w:t xml:space="preserve">Retrieved from </w:t>
      </w:r>
      <w:hyperlink r:id="rId11" w:history="1">
        <w:r w:rsidR="00C0505A">
          <w:rPr>
            <w:rStyle w:val="Hyperlink"/>
          </w:rPr>
          <w:t>https://www.phe.gov/about/sns/Pages/products.aspx</w:t>
        </w:r>
      </w:hyperlink>
      <w:r w:rsidR="00C0505A">
        <w:t>.</w:t>
      </w:r>
    </w:p>
  </w:footnote>
  <w:footnote w:id="21">
    <w:p w14:paraId="7E0DC9B1" w14:textId="271E0207" w:rsidR="00213E9E" w:rsidRDefault="00213E9E">
      <w:pPr>
        <w:pStyle w:val="FootnoteText"/>
      </w:pPr>
      <w:r>
        <w:rPr>
          <w:rStyle w:val="FootnoteReference"/>
        </w:rPr>
        <w:footnoteRef/>
      </w:r>
      <w:r>
        <w:t xml:space="preserve"> </w:t>
      </w:r>
      <w:r w:rsidR="004C15F2">
        <w:t xml:space="preserve">HHS ASPR. </w:t>
      </w:r>
      <w:r w:rsidR="004C15F2" w:rsidRPr="004C15F2">
        <w:t>Sustaining the Stockpile</w:t>
      </w:r>
      <w:r w:rsidR="004C15F2">
        <w:t xml:space="preserve">. Webpage last reviewed </w:t>
      </w:r>
      <w:r w:rsidR="000D5F91">
        <w:t xml:space="preserve">March 12, 2020. Retrieved from </w:t>
      </w:r>
      <w:hyperlink r:id="rId12" w:history="1">
        <w:r w:rsidR="00B30859">
          <w:rPr>
            <w:rStyle w:val="Hyperlink"/>
          </w:rPr>
          <w:t>https://www.phe.gov/about/sns/Pages/sustaining.aspx</w:t>
        </w:r>
      </w:hyperlink>
      <w:r w:rsidR="00B30859">
        <w:t>.</w:t>
      </w:r>
    </w:p>
  </w:footnote>
  <w:footnote w:id="22">
    <w:p w14:paraId="488ABE44" w14:textId="732F7758" w:rsidR="00581B7F" w:rsidRDefault="00581B7F">
      <w:pPr>
        <w:pStyle w:val="FootnoteText"/>
      </w:pPr>
      <w:r>
        <w:rPr>
          <w:rStyle w:val="FootnoteReference"/>
        </w:rPr>
        <w:footnoteRef/>
      </w:r>
      <w:r>
        <w:t xml:space="preserve"> </w:t>
      </w:r>
      <w:r w:rsidRPr="006E4F5A">
        <w:t xml:space="preserve">CDC. </w:t>
      </w:r>
      <w:r w:rsidRPr="002B3279">
        <w:t>Cities Readiness Initiative</w:t>
      </w:r>
      <w:r>
        <w:t>. W</w:t>
      </w:r>
      <w:r w:rsidRPr="006E4F5A">
        <w:t>ebpage</w:t>
      </w:r>
      <w:r>
        <w:t xml:space="preserve"> last reviewed July 16, 2019. Retrieved from </w:t>
      </w:r>
      <w:hyperlink r:id="rId13" w:history="1">
        <w:r>
          <w:rPr>
            <w:rStyle w:val="Hyperlink"/>
          </w:rPr>
          <w:t>https://www.cdc.gov/cpr/readiness/mcm/cri.html</w:t>
        </w:r>
      </w:hyperlink>
      <w:r w:rsidRPr="006E4F5A">
        <w:t>.</w:t>
      </w:r>
    </w:p>
  </w:footnote>
  <w:footnote w:id="23">
    <w:p w14:paraId="75E62DE0" w14:textId="6ECDA0A9" w:rsidR="006E4F5A" w:rsidRDefault="006E4F5A">
      <w:pPr>
        <w:pStyle w:val="FootnoteText"/>
      </w:pPr>
      <w:r>
        <w:rPr>
          <w:rStyle w:val="FootnoteReference"/>
        </w:rPr>
        <w:footnoteRef/>
      </w:r>
      <w:r>
        <w:t xml:space="preserve"> </w:t>
      </w:r>
      <w:r w:rsidRPr="006E4F5A">
        <w:t xml:space="preserve">CDC. </w:t>
      </w:r>
      <w:r w:rsidR="002B3279" w:rsidRPr="002B3279">
        <w:t>Cities Readiness Initiative</w:t>
      </w:r>
      <w:r w:rsidR="002B3279">
        <w:t>. W</w:t>
      </w:r>
      <w:r w:rsidRPr="006E4F5A">
        <w:t>ebpage</w:t>
      </w:r>
      <w:r w:rsidR="002B3279">
        <w:t xml:space="preserve"> </w:t>
      </w:r>
      <w:r w:rsidR="008A7394">
        <w:t xml:space="preserve">last reviewed July 16, 2019. Retrieved from </w:t>
      </w:r>
      <w:hyperlink r:id="rId14" w:history="1">
        <w:r w:rsidR="00C64725">
          <w:rPr>
            <w:rStyle w:val="Hyperlink"/>
          </w:rPr>
          <w:t>https://www.cdc.gov/cpr/readiness/mcm/cri.html</w:t>
        </w:r>
      </w:hyperlink>
      <w:r w:rsidRPr="006E4F5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8F9AF" w14:textId="2BDE59DE" w:rsidR="00F54A57" w:rsidRPr="00F54A57" w:rsidRDefault="00F54A57" w:rsidP="00F54A57">
    <w:pPr>
      <w:pStyle w:val="Header"/>
      <w:jc w:val="center"/>
      <w:rPr>
        <w:b/>
        <w:bCs/>
      </w:rPr>
    </w:pPr>
    <w:r w:rsidRPr="00F54A57">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A250E"/>
    <w:multiLevelType w:val="multilevel"/>
    <w:tmpl w:val="AC1C2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FF5281"/>
    <w:multiLevelType w:val="multilevel"/>
    <w:tmpl w:val="CA325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B4058D"/>
    <w:multiLevelType w:val="hybridMultilevel"/>
    <w:tmpl w:val="4B1E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9A"/>
    <w:rsid w:val="00010883"/>
    <w:rsid w:val="00015BD5"/>
    <w:rsid w:val="000546CF"/>
    <w:rsid w:val="00062072"/>
    <w:rsid w:val="00077150"/>
    <w:rsid w:val="0008593F"/>
    <w:rsid w:val="0009628E"/>
    <w:rsid w:val="000A083F"/>
    <w:rsid w:val="000B1F2C"/>
    <w:rsid w:val="000D5F91"/>
    <w:rsid w:val="000F01DB"/>
    <w:rsid w:val="000F635C"/>
    <w:rsid w:val="00120401"/>
    <w:rsid w:val="00151278"/>
    <w:rsid w:val="001542CA"/>
    <w:rsid w:val="0015482E"/>
    <w:rsid w:val="00170875"/>
    <w:rsid w:val="001727DA"/>
    <w:rsid w:val="00182DE5"/>
    <w:rsid w:val="00185ADC"/>
    <w:rsid w:val="001A265F"/>
    <w:rsid w:val="001A6AA2"/>
    <w:rsid w:val="001D2226"/>
    <w:rsid w:val="001D7142"/>
    <w:rsid w:val="001E50FB"/>
    <w:rsid w:val="002128A9"/>
    <w:rsid w:val="00213E9E"/>
    <w:rsid w:val="002439EE"/>
    <w:rsid w:val="002450FF"/>
    <w:rsid w:val="00267032"/>
    <w:rsid w:val="00286FD0"/>
    <w:rsid w:val="0029175C"/>
    <w:rsid w:val="002B3279"/>
    <w:rsid w:val="002B34B6"/>
    <w:rsid w:val="002C07AB"/>
    <w:rsid w:val="002C3B90"/>
    <w:rsid w:val="00300FBF"/>
    <w:rsid w:val="00314CBE"/>
    <w:rsid w:val="00316F24"/>
    <w:rsid w:val="0035155D"/>
    <w:rsid w:val="003627F9"/>
    <w:rsid w:val="00371C6E"/>
    <w:rsid w:val="0037561E"/>
    <w:rsid w:val="00387725"/>
    <w:rsid w:val="003C4291"/>
    <w:rsid w:val="003D1CE2"/>
    <w:rsid w:val="00402980"/>
    <w:rsid w:val="00404FD0"/>
    <w:rsid w:val="00406CFD"/>
    <w:rsid w:val="00430607"/>
    <w:rsid w:val="004341FA"/>
    <w:rsid w:val="00476446"/>
    <w:rsid w:val="004A33A8"/>
    <w:rsid w:val="004C15F2"/>
    <w:rsid w:val="004F26EB"/>
    <w:rsid w:val="00502E91"/>
    <w:rsid w:val="00551EC2"/>
    <w:rsid w:val="00581B7F"/>
    <w:rsid w:val="005D5FC8"/>
    <w:rsid w:val="005D6E52"/>
    <w:rsid w:val="005E6A96"/>
    <w:rsid w:val="00645296"/>
    <w:rsid w:val="00646CCD"/>
    <w:rsid w:val="00653DEF"/>
    <w:rsid w:val="0066133D"/>
    <w:rsid w:val="006732A2"/>
    <w:rsid w:val="006A6385"/>
    <w:rsid w:val="006C666B"/>
    <w:rsid w:val="006E4F5A"/>
    <w:rsid w:val="007250BE"/>
    <w:rsid w:val="00727E63"/>
    <w:rsid w:val="00745F9B"/>
    <w:rsid w:val="00747B73"/>
    <w:rsid w:val="00757BE8"/>
    <w:rsid w:val="00767FFE"/>
    <w:rsid w:val="00770B11"/>
    <w:rsid w:val="00772C44"/>
    <w:rsid w:val="007C21A6"/>
    <w:rsid w:val="007F5F0E"/>
    <w:rsid w:val="007F6164"/>
    <w:rsid w:val="008166B4"/>
    <w:rsid w:val="008226FB"/>
    <w:rsid w:val="00825439"/>
    <w:rsid w:val="008323BC"/>
    <w:rsid w:val="00852D1D"/>
    <w:rsid w:val="0088649E"/>
    <w:rsid w:val="008A251A"/>
    <w:rsid w:val="008A3E91"/>
    <w:rsid w:val="008A7394"/>
    <w:rsid w:val="008B4068"/>
    <w:rsid w:val="008C46CC"/>
    <w:rsid w:val="008F2DED"/>
    <w:rsid w:val="00901FA6"/>
    <w:rsid w:val="0091110C"/>
    <w:rsid w:val="009365EB"/>
    <w:rsid w:val="0095019F"/>
    <w:rsid w:val="00962DF8"/>
    <w:rsid w:val="0096691A"/>
    <w:rsid w:val="009D5D20"/>
    <w:rsid w:val="00A049F1"/>
    <w:rsid w:val="00A21CB7"/>
    <w:rsid w:val="00A359B5"/>
    <w:rsid w:val="00A5154E"/>
    <w:rsid w:val="00A57A21"/>
    <w:rsid w:val="00A6059A"/>
    <w:rsid w:val="00A62663"/>
    <w:rsid w:val="00A63BE9"/>
    <w:rsid w:val="00A73245"/>
    <w:rsid w:val="00A73838"/>
    <w:rsid w:val="00A745A3"/>
    <w:rsid w:val="00A746D7"/>
    <w:rsid w:val="00A81E6F"/>
    <w:rsid w:val="00A93273"/>
    <w:rsid w:val="00AA3052"/>
    <w:rsid w:val="00AD318E"/>
    <w:rsid w:val="00B10F64"/>
    <w:rsid w:val="00B30859"/>
    <w:rsid w:val="00B31B7B"/>
    <w:rsid w:val="00B35A84"/>
    <w:rsid w:val="00B741D6"/>
    <w:rsid w:val="00B75B7F"/>
    <w:rsid w:val="00B8617E"/>
    <w:rsid w:val="00B87B98"/>
    <w:rsid w:val="00C0505A"/>
    <w:rsid w:val="00C107DF"/>
    <w:rsid w:val="00C303FA"/>
    <w:rsid w:val="00C609C9"/>
    <w:rsid w:val="00C64725"/>
    <w:rsid w:val="00C74C03"/>
    <w:rsid w:val="00CA1C93"/>
    <w:rsid w:val="00CA4AAB"/>
    <w:rsid w:val="00CB3E40"/>
    <w:rsid w:val="00CB7CF6"/>
    <w:rsid w:val="00CE2272"/>
    <w:rsid w:val="00CF51A7"/>
    <w:rsid w:val="00D24417"/>
    <w:rsid w:val="00D4322C"/>
    <w:rsid w:val="00D62E07"/>
    <w:rsid w:val="00D92C41"/>
    <w:rsid w:val="00DB7716"/>
    <w:rsid w:val="00DB7CA8"/>
    <w:rsid w:val="00DD2F5E"/>
    <w:rsid w:val="00DF46D8"/>
    <w:rsid w:val="00E07EF7"/>
    <w:rsid w:val="00E1243D"/>
    <w:rsid w:val="00E26CF3"/>
    <w:rsid w:val="00E323DC"/>
    <w:rsid w:val="00E46ED4"/>
    <w:rsid w:val="00E607D9"/>
    <w:rsid w:val="00E71EFD"/>
    <w:rsid w:val="00EA5483"/>
    <w:rsid w:val="00EC5704"/>
    <w:rsid w:val="00ED5C8A"/>
    <w:rsid w:val="00EF3B7B"/>
    <w:rsid w:val="00F05275"/>
    <w:rsid w:val="00F27D5C"/>
    <w:rsid w:val="00F3766C"/>
    <w:rsid w:val="00F54A57"/>
    <w:rsid w:val="00F65759"/>
    <w:rsid w:val="00F97AA2"/>
    <w:rsid w:val="00FA328E"/>
    <w:rsid w:val="00FB4BF2"/>
    <w:rsid w:val="00FC0345"/>
    <w:rsid w:val="00FD25CC"/>
    <w:rsid w:val="00FE7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0B514"/>
  <w15:chartTrackingRefBased/>
  <w15:docId w15:val="{DF8EA1B9-11DD-4614-8244-862F74D2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6059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6059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6059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59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6059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6059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6059A"/>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059A"/>
    <w:rPr>
      <w:color w:val="0000FF"/>
      <w:u w:val="single"/>
    </w:rPr>
  </w:style>
  <w:style w:type="character" w:styleId="Emphasis">
    <w:name w:val="Emphasis"/>
    <w:basedOn w:val="DefaultParagraphFont"/>
    <w:uiPriority w:val="20"/>
    <w:qFormat/>
    <w:rsid w:val="00A6059A"/>
    <w:rPr>
      <w:i/>
      <w:iCs/>
    </w:rPr>
  </w:style>
  <w:style w:type="paragraph" w:styleId="Header">
    <w:name w:val="header"/>
    <w:basedOn w:val="Normal"/>
    <w:link w:val="HeaderChar"/>
    <w:uiPriority w:val="99"/>
    <w:unhideWhenUsed/>
    <w:rsid w:val="001D7142"/>
    <w:pPr>
      <w:tabs>
        <w:tab w:val="center" w:pos="4680"/>
        <w:tab w:val="right" w:pos="9360"/>
      </w:tabs>
    </w:pPr>
  </w:style>
  <w:style w:type="character" w:customStyle="1" w:styleId="HeaderChar">
    <w:name w:val="Header Char"/>
    <w:basedOn w:val="DefaultParagraphFont"/>
    <w:link w:val="Header"/>
    <w:uiPriority w:val="99"/>
    <w:rsid w:val="001D7142"/>
  </w:style>
  <w:style w:type="paragraph" w:styleId="Footer">
    <w:name w:val="footer"/>
    <w:basedOn w:val="Normal"/>
    <w:link w:val="FooterChar"/>
    <w:uiPriority w:val="99"/>
    <w:unhideWhenUsed/>
    <w:rsid w:val="001D7142"/>
    <w:pPr>
      <w:tabs>
        <w:tab w:val="center" w:pos="4680"/>
        <w:tab w:val="right" w:pos="9360"/>
      </w:tabs>
    </w:pPr>
  </w:style>
  <w:style w:type="character" w:customStyle="1" w:styleId="FooterChar">
    <w:name w:val="Footer Char"/>
    <w:basedOn w:val="DefaultParagraphFont"/>
    <w:link w:val="Footer"/>
    <w:uiPriority w:val="99"/>
    <w:rsid w:val="001D7142"/>
  </w:style>
  <w:style w:type="paragraph" w:styleId="ListParagraph">
    <w:name w:val="List Paragraph"/>
    <w:basedOn w:val="Normal"/>
    <w:uiPriority w:val="34"/>
    <w:qFormat/>
    <w:rsid w:val="001D7142"/>
    <w:pPr>
      <w:ind w:left="720"/>
      <w:contextualSpacing/>
    </w:pPr>
  </w:style>
  <w:style w:type="paragraph" w:styleId="FootnoteText">
    <w:name w:val="footnote text"/>
    <w:basedOn w:val="Normal"/>
    <w:link w:val="FootnoteTextChar"/>
    <w:uiPriority w:val="99"/>
    <w:semiHidden/>
    <w:unhideWhenUsed/>
    <w:rsid w:val="00DF46D8"/>
    <w:rPr>
      <w:sz w:val="20"/>
      <w:szCs w:val="20"/>
    </w:rPr>
  </w:style>
  <w:style w:type="character" w:customStyle="1" w:styleId="FootnoteTextChar">
    <w:name w:val="Footnote Text Char"/>
    <w:basedOn w:val="DefaultParagraphFont"/>
    <w:link w:val="FootnoteText"/>
    <w:uiPriority w:val="99"/>
    <w:semiHidden/>
    <w:rsid w:val="00DF46D8"/>
    <w:rPr>
      <w:sz w:val="20"/>
      <w:szCs w:val="20"/>
    </w:rPr>
  </w:style>
  <w:style w:type="character" w:styleId="FootnoteReference">
    <w:name w:val="footnote reference"/>
    <w:basedOn w:val="DefaultParagraphFont"/>
    <w:uiPriority w:val="99"/>
    <w:semiHidden/>
    <w:unhideWhenUsed/>
    <w:rsid w:val="00DF46D8"/>
    <w:rPr>
      <w:vertAlign w:val="superscript"/>
    </w:rPr>
  </w:style>
  <w:style w:type="character" w:styleId="UnresolvedMention">
    <w:name w:val="Unresolved Mention"/>
    <w:basedOn w:val="DefaultParagraphFont"/>
    <w:uiPriority w:val="99"/>
    <w:semiHidden/>
    <w:unhideWhenUsed/>
    <w:rsid w:val="003C4291"/>
    <w:rPr>
      <w:color w:val="605E5C"/>
      <w:shd w:val="clear" w:color="auto" w:fill="E1DFDD"/>
    </w:rPr>
  </w:style>
  <w:style w:type="character" w:styleId="FollowedHyperlink">
    <w:name w:val="FollowedHyperlink"/>
    <w:basedOn w:val="DefaultParagraphFont"/>
    <w:uiPriority w:val="99"/>
    <w:semiHidden/>
    <w:unhideWhenUsed/>
    <w:rsid w:val="003C42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1623676">
      <w:bodyDiv w:val="1"/>
      <w:marLeft w:val="0"/>
      <w:marRight w:val="0"/>
      <w:marTop w:val="0"/>
      <w:marBottom w:val="0"/>
      <w:divBdr>
        <w:top w:val="none" w:sz="0" w:space="0" w:color="auto"/>
        <w:left w:val="none" w:sz="0" w:space="0" w:color="auto"/>
        <w:bottom w:val="none" w:sz="0" w:space="0" w:color="auto"/>
        <w:right w:val="none" w:sz="0" w:space="0" w:color="auto"/>
      </w:divBdr>
    </w:div>
    <w:div w:id="1532374114">
      <w:bodyDiv w:val="1"/>
      <w:marLeft w:val="0"/>
      <w:marRight w:val="0"/>
      <w:marTop w:val="0"/>
      <w:marBottom w:val="0"/>
      <w:divBdr>
        <w:top w:val="none" w:sz="0" w:space="0" w:color="auto"/>
        <w:left w:val="none" w:sz="0" w:space="0" w:color="auto"/>
        <w:bottom w:val="none" w:sz="0" w:space="0" w:color="auto"/>
        <w:right w:val="none" w:sz="0" w:space="0" w:color="auto"/>
      </w:divBdr>
    </w:div>
    <w:div w:id="181779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phe.gov/about/sns/Pages/products.aspx" TargetMode="External"/><Relationship Id="rId13" Type="http://schemas.openxmlformats.org/officeDocument/2006/relationships/hyperlink" Target="https://www.cdc.gov/cpr/readiness/mcm/cri.html" TargetMode="External"/><Relationship Id="rId3" Type="http://schemas.openxmlformats.org/officeDocument/2006/relationships/hyperlink" Target="https://chemm.nlm.nih.gov/sns.htm" TargetMode="External"/><Relationship Id="rId7" Type="http://schemas.openxmlformats.org/officeDocument/2006/relationships/hyperlink" Target="https://chemm.nlm.nih.gov/sns.htm" TargetMode="External"/><Relationship Id="rId12" Type="http://schemas.openxmlformats.org/officeDocument/2006/relationships/hyperlink" Target="https://www.phe.gov/about/sns/Pages/sustaining.aspx" TargetMode="External"/><Relationship Id="rId2" Type="http://schemas.openxmlformats.org/officeDocument/2006/relationships/hyperlink" Target="https://chemm.nlm.nih.gov/sns.htm" TargetMode="External"/><Relationship Id="rId1" Type="http://schemas.openxmlformats.org/officeDocument/2006/relationships/hyperlink" Target="https://www.phe.gov/about/sns/Pages/default.aspx" TargetMode="External"/><Relationship Id="rId6" Type="http://schemas.openxmlformats.org/officeDocument/2006/relationships/hyperlink" Target="https://www.phe.gov/about/sns/Pages/products.aspx" TargetMode="External"/><Relationship Id="rId11" Type="http://schemas.openxmlformats.org/officeDocument/2006/relationships/hyperlink" Target="https://www.phe.gov/about/sns/Pages/products.aspx" TargetMode="External"/><Relationship Id="rId5" Type="http://schemas.openxmlformats.org/officeDocument/2006/relationships/hyperlink" Target="https://www.phe.gov/about/sns/Pages/products.aspx" TargetMode="External"/><Relationship Id="rId10" Type="http://schemas.openxmlformats.org/officeDocument/2006/relationships/hyperlink" Target="https://www.phe.gov/about/sns/Pages/products.aspx" TargetMode="External"/><Relationship Id="rId4" Type="http://schemas.openxmlformats.org/officeDocument/2006/relationships/hyperlink" Target="https://chemm.nlm.nih.gov/sns.htm" TargetMode="External"/><Relationship Id="rId9" Type="http://schemas.openxmlformats.org/officeDocument/2006/relationships/hyperlink" Target="https://www.phe.gov/about/sns/Pages/products.aspx" TargetMode="External"/><Relationship Id="rId14" Type="http://schemas.openxmlformats.org/officeDocument/2006/relationships/hyperlink" Target="https://www.cdc.gov/cpr/readiness/mcm/cr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67FF9-B1D8-49BC-8018-6CA7DC3E6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5</Pages>
  <Words>1154</Words>
  <Characters>6583</Characters>
  <Application>Microsoft Office Word</Application>
  <DocSecurity>0</DocSecurity>
  <Lines>54</Lines>
  <Paragraphs>15</Paragraphs>
  <ScaleCrop>false</ScaleCrop>
  <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161</cp:revision>
  <dcterms:created xsi:type="dcterms:W3CDTF">2020-03-20T14:52:00Z</dcterms:created>
  <dcterms:modified xsi:type="dcterms:W3CDTF">2020-03-20T19:07:00Z</dcterms:modified>
</cp:coreProperties>
</file>