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B43ABB" w14:textId="366B7699" w:rsidR="001361E5" w:rsidRDefault="00CD5042" w:rsidP="0096691A">
      <w:pPr>
        <w:spacing w:line="360" w:lineRule="auto"/>
        <w:jc w:val="center"/>
        <w:rPr>
          <w:rFonts w:ascii="Calibri" w:eastAsia="Times New Roman" w:hAnsi="Calibri" w:cs="Calibri"/>
          <w:b/>
          <w:bCs/>
          <w:spacing w:val="15"/>
          <w:kern w:val="36"/>
          <w:sz w:val="24"/>
          <w:szCs w:val="32"/>
        </w:rPr>
      </w:pPr>
      <w:r w:rsidRPr="00583C60">
        <w:rPr>
          <w:b/>
          <w:bCs/>
        </w:rPr>
        <w:t>CSTE Legal Preparedness Toolkit Series</w:t>
      </w:r>
    </w:p>
    <w:p w14:paraId="185D81E3" w14:textId="6F3E14E3" w:rsidR="001D7142" w:rsidRPr="00B87B98" w:rsidRDefault="00B10F64" w:rsidP="0096691A">
      <w:pPr>
        <w:spacing w:line="360" w:lineRule="auto"/>
        <w:jc w:val="center"/>
        <w:rPr>
          <w:rFonts w:ascii="Calibri" w:eastAsia="Times New Roman" w:hAnsi="Calibri" w:cs="Calibri"/>
          <w:spacing w:val="15"/>
          <w:kern w:val="36"/>
          <w:sz w:val="24"/>
          <w:szCs w:val="24"/>
        </w:rPr>
      </w:pPr>
      <w:r w:rsidRPr="00B87B98">
        <w:rPr>
          <w:rFonts w:ascii="Calibri" w:eastAsia="Times New Roman" w:hAnsi="Calibri" w:cs="Calibri"/>
          <w:b/>
          <w:bCs/>
          <w:spacing w:val="15"/>
          <w:kern w:val="36"/>
          <w:sz w:val="24"/>
          <w:szCs w:val="32"/>
        </w:rPr>
        <w:t>MEDICAL STOCKPILES AND DISTRIBUTION</w:t>
      </w:r>
    </w:p>
    <w:p w14:paraId="2AF1B524" w14:textId="61FCDF11" w:rsidR="0096691A" w:rsidRDefault="0096691A" w:rsidP="0096691A">
      <w:pPr>
        <w:spacing w:line="360" w:lineRule="auto"/>
        <w:jc w:val="center"/>
        <w:rPr>
          <w:rFonts w:ascii="Calibri" w:eastAsia="Times New Roman" w:hAnsi="Calibri" w:cs="Calibri"/>
          <w:spacing w:val="15"/>
          <w:kern w:val="36"/>
          <w:sz w:val="24"/>
          <w:szCs w:val="24"/>
        </w:rPr>
      </w:pPr>
    </w:p>
    <w:p w14:paraId="3A92C924" w14:textId="100295E5" w:rsidR="001361E5" w:rsidRPr="00420287" w:rsidRDefault="001361E5" w:rsidP="001361E5">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0D46CA">
        <w:rPr>
          <w:i/>
          <w:iCs/>
        </w:rPr>
        <w:t>May</w:t>
      </w:r>
      <w:r w:rsidRPr="00420287">
        <w:rPr>
          <w:i/>
          <w:iCs/>
        </w:rPr>
        <w:t xml:space="preserve"> 2020</w:t>
      </w:r>
      <w:r>
        <w:rPr>
          <w:i/>
          <w:iCs/>
        </w:rPr>
        <w:t>.</w:t>
      </w:r>
    </w:p>
    <w:p w14:paraId="3D066D10" w14:textId="77777777" w:rsidR="001361E5" w:rsidRPr="00B87B98" w:rsidRDefault="001361E5" w:rsidP="001361E5">
      <w:pPr>
        <w:spacing w:line="360" w:lineRule="auto"/>
        <w:rPr>
          <w:rFonts w:ascii="Calibri" w:eastAsia="Times New Roman" w:hAnsi="Calibri" w:cs="Calibri"/>
          <w:spacing w:val="15"/>
          <w:kern w:val="36"/>
          <w:sz w:val="24"/>
          <w:szCs w:val="24"/>
        </w:rPr>
      </w:pPr>
    </w:p>
    <w:p w14:paraId="51FA1FC2" w14:textId="77777777" w:rsidR="00A63BE9" w:rsidRPr="00B87B98" w:rsidRDefault="00A6059A" w:rsidP="00A63BE9">
      <w:pPr>
        <w:spacing w:line="360" w:lineRule="auto"/>
        <w:rPr>
          <w:rFonts w:ascii="Calibri" w:eastAsia="Times New Roman" w:hAnsi="Calibri" w:cs="Calibri"/>
          <w:b/>
          <w:bCs/>
          <w:sz w:val="24"/>
          <w:szCs w:val="24"/>
        </w:rPr>
      </w:pPr>
      <w:r w:rsidRPr="00B87B98">
        <w:rPr>
          <w:rFonts w:ascii="Calibri" w:eastAsia="Times New Roman" w:hAnsi="Calibri" w:cs="Calibri"/>
          <w:b/>
          <w:bCs/>
          <w:sz w:val="24"/>
          <w:szCs w:val="24"/>
        </w:rPr>
        <w:t>Overview</w:t>
      </w:r>
    </w:p>
    <w:p w14:paraId="0866F93B" w14:textId="3A2931A2" w:rsidR="00FD25CC" w:rsidRDefault="00FB2918" w:rsidP="00FD25CC">
      <w:pPr>
        <w:spacing w:line="360" w:lineRule="auto"/>
        <w:rPr>
          <w:rFonts w:ascii="Calibri" w:eastAsia="Times New Roman" w:hAnsi="Calibri" w:cs="Calibri"/>
          <w:bdr w:val="none" w:sz="0" w:space="0" w:color="auto" w:frame="1"/>
        </w:rPr>
      </w:pPr>
      <w:r>
        <w:rPr>
          <w:noProof/>
        </w:rPr>
        <mc:AlternateContent>
          <mc:Choice Requires="wps">
            <w:drawing>
              <wp:anchor distT="45720" distB="45720" distL="114300" distR="114300" simplePos="0" relativeHeight="251659264" behindDoc="0" locked="0" layoutInCell="1" allowOverlap="1" wp14:anchorId="6F82F6C5" wp14:editId="595C3A49">
                <wp:simplePos x="0" y="0"/>
                <wp:positionH relativeFrom="margin">
                  <wp:align>center</wp:align>
                </wp:positionH>
                <wp:positionV relativeFrom="paragraph">
                  <wp:posOffset>1446081</wp:posOffset>
                </wp:positionV>
                <wp:extent cx="5833872"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4B654017" w14:textId="77777777" w:rsidR="00743D1B" w:rsidRPr="00CA76E9" w:rsidRDefault="00743D1B" w:rsidP="00743D1B">
                            <w:pPr>
                              <w:jc w:val="center"/>
                              <w:rPr>
                                <w:i/>
                                <w:iCs/>
                              </w:rPr>
                            </w:pPr>
                            <w:r w:rsidRPr="00CA76E9">
                              <w:rPr>
                                <w:i/>
                                <w:iCs/>
                              </w:rPr>
                              <w:t xml:space="preserve">[Call out </w:t>
                            </w:r>
                            <w:r>
                              <w:rPr>
                                <w:i/>
                                <w:iCs/>
                              </w:rPr>
                              <w:t xml:space="preserve">box </w:t>
                            </w:r>
                            <w:r w:rsidRPr="00CA76E9">
                              <w:rPr>
                                <w:i/>
                                <w:iCs/>
                              </w:rPr>
                              <w:t>for first page of document]</w:t>
                            </w:r>
                          </w:p>
                          <w:p w14:paraId="06589171" w14:textId="5B2C3841" w:rsidR="00743D1B" w:rsidRDefault="00743D1B" w:rsidP="00743D1B">
                            <w:r>
                              <w:t xml:space="preserve">Please see the Practice Guide accompanying this </w:t>
                            </w:r>
                            <w:r w:rsidR="00B72F5C">
                              <w:t>t</w:t>
                            </w:r>
                            <w:r>
                              <w:t xml:space="preserve">oolkit for access to </w:t>
                            </w:r>
                            <w:r w:rsidR="00B72F5C">
                              <w:t>pr</w:t>
                            </w:r>
                            <w:r>
                              <w:t>actice notices, legal analysis tools, examples</w:t>
                            </w:r>
                            <w:r w:rsidR="00A9093F">
                              <w:t>,</w:t>
                            </w:r>
                            <w:r>
                              <w:t xml:space="preserve">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82F6C5" id="_x0000_t202" coordsize="21600,21600" o:spt="202" path="m,l,21600r21600,l21600,xe">
                <v:stroke joinstyle="miter"/>
                <v:path gradientshapeok="t" o:connecttype="rect"/>
              </v:shapetype>
              <v:shape id="Text Box 2" o:spid="_x0000_s1026" type="#_x0000_t202" style="position:absolute;margin-left:0;margin-top:113.85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">
                <v:textbox style="mso-fit-shape-to-text:t">
                  <w:txbxContent>
                    <w:p w14:paraId="4B654017" w14:textId="77777777" w:rsidR="00743D1B" w:rsidRPr="00CA76E9" w:rsidRDefault="00743D1B" w:rsidP="00743D1B">
                      <w:pPr>
                        <w:jc w:val="center"/>
                        <w:rPr>
                          <w:i/>
                          <w:iCs/>
                        </w:rPr>
                      </w:pPr>
                      <w:r w:rsidRPr="00CA76E9">
                        <w:rPr>
                          <w:i/>
                          <w:iCs/>
                        </w:rPr>
                        <w:t xml:space="preserve">[Call out </w:t>
                      </w:r>
                      <w:r>
                        <w:rPr>
                          <w:i/>
                          <w:iCs/>
                        </w:rPr>
                        <w:t xml:space="preserve">box </w:t>
                      </w:r>
                      <w:r w:rsidRPr="00CA76E9">
                        <w:rPr>
                          <w:i/>
                          <w:iCs/>
                        </w:rPr>
                        <w:t>for first page of document]</w:t>
                      </w:r>
                    </w:p>
                    <w:p w14:paraId="06589171" w14:textId="5B2C3841" w:rsidR="00743D1B" w:rsidRDefault="00743D1B" w:rsidP="00743D1B">
                      <w:r>
                        <w:t xml:space="preserve">Please see the Practice Guide accompanying this </w:t>
                      </w:r>
                      <w:r w:rsidR="00B72F5C">
                        <w:t>t</w:t>
                      </w:r>
                      <w:r>
                        <w:t xml:space="preserve">oolkit for access to </w:t>
                      </w:r>
                      <w:r w:rsidR="00B72F5C">
                        <w:t>pr</w:t>
                      </w:r>
                      <w:r>
                        <w:t>actice notices, legal analysis tools, examples</w:t>
                      </w:r>
                      <w:r w:rsidR="00A9093F">
                        <w:t>,</w:t>
                      </w:r>
                      <w:r>
                        <w:t xml:space="preserve"> and templates.</w:t>
                      </w:r>
                    </w:p>
                  </w:txbxContent>
                </v:textbox>
                <w10:wrap type="topAndBottom" anchorx="margin"/>
              </v:shape>
            </w:pict>
          </mc:Fallback>
        </mc:AlternateContent>
      </w:r>
      <w:r w:rsidR="002B745B">
        <w:rPr>
          <w:rFonts w:ascii="Calibri" w:eastAsia="Times New Roman" w:hAnsi="Calibri" w:cs="Calibri"/>
          <w:bdr w:val="none" w:sz="0" w:space="0" w:color="auto" w:frame="1"/>
        </w:rPr>
        <w:t>Stockpiles of medicine</w:t>
      </w:r>
      <w:r w:rsidR="00250EC9">
        <w:rPr>
          <w:rFonts w:ascii="Calibri" w:eastAsia="Times New Roman" w:hAnsi="Calibri" w:cs="Calibri"/>
          <w:bdr w:val="none" w:sz="0" w:space="0" w:color="auto" w:frame="1"/>
        </w:rPr>
        <w:t>s</w:t>
      </w:r>
      <w:r w:rsidR="00D439EE">
        <w:rPr>
          <w:rFonts w:ascii="Calibri" w:eastAsia="Times New Roman" w:hAnsi="Calibri" w:cs="Calibri"/>
          <w:bdr w:val="none" w:sz="0" w:space="0" w:color="auto" w:frame="1"/>
        </w:rPr>
        <w:t xml:space="preserve">, </w:t>
      </w:r>
      <w:r w:rsidR="00250EC9">
        <w:rPr>
          <w:rFonts w:ascii="Calibri" w:eastAsia="Times New Roman" w:hAnsi="Calibri" w:cs="Calibri"/>
          <w:bdr w:val="none" w:sz="0" w:space="0" w:color="auto" w:frame="1"/>
        </w:rPr>
        <w:t>medical supplies</w:t>
      </w:r>
      <w:r w:rsidR="00D439EE">
        <w:rPr>
          <w:rFonts w:ascii="Calibri" w:eastAsia="Times New Roman" w:hAnsi="Calibri" w:cs="Calibri"/>
          <w:bdr w:val="none" w:sz="0" w:space="0" w:color="auto" w:frame="1"/>
        </w:rPr>
        <w:t>,</w:t>
      </w:r>
      <w:r w:rsidR="00250EC9">
        <w:rPr>
          <w:rFonts w:ascii="Calibri" w:eastAsia="Times New Roman" w:hAnsi="Calibri" w:cs="Calibri"/>
          <w:bdr w:val="none" w:sz="0" w:space="0" w:color="auto" w:frame="1"/>
        </w:rPr>
        <w:t xml:space="preserve"> and equipment are a </w:t>
      </w:r>
      <w:r w:rsidR="0095231E">
        <w:rPr>
          <w:rFonts w:ascii="Calibri" w:eastAsia="Times New Roman" w:hAnsi="Calibri" w:cs="Calibri"/>
          <w:bdr w:val="none" w:sz="0" w:space="0" w:color="auto" w:frame="1"/>
        </w:rPr>
        <w:t>key</w:t>
      </w:r>
      <w:r w:rsidR="00250EC9">
        <w:rPr>
          <w:rFonts w:ascii="Calibri" w:eastAsia="Times New Roman" w:hAnsi="Calibri" w:cs="Calibri"/>
          <w:bdr w:val="none" w:sz="0" w:space="0" w:color="auto" w:frame="1"/>
        </w:rPr>
        <w:t xml:space="preserve"> component </w:t>
      </w:r>
      <w:r w:rsidR="00D06A3D">
        <w:rPr>
          <w:rFonts w:ascii="Calibri" w:eastAsia="Times New Roman" w:hAnsi="Calibri" w:cs="Calibri"/>
          <w:bdr w:val="none" w:sz="0" w:space="0" w:color="auto" w:frame="1"/>
        </w:rPr>
        <w:t>of public health emergency preparedness and response</w:t>
      </w:r>
      <w:r w:rsidR="009448F9">
        <w:rPr>
          <w:rFonts w:ascii="Calibri" w:eastAsia="Times New Roman" w:hAnsi="Calibri" w:cs="Calibri"/>
          <w:bdr w:val="none" w:sz="0" w:space="0" w:color="auto" w:frame="1"/>
        </w:rPr>
        <w:t>.</w:t>
      </w:r>
      <w:r w:rsidR="00B15931">
        <w:rPr>
          <w:rFonts w:ascii="Calibri" w:eastAsia="Times New Roman" w:hAnsi="Calibri" w:cs="Calibri"/>
          <w:bdr w:val="none" w:sz="0" w:space="0" w:color="auto" w:frame="1"/>
        </w:rPr>
        <w:t xml:space="preserve"> </w:t>
      </w:r>
      <w:r w:rsidR="009448F9">
        <w:rPr>
          <w:rFonts w:ascii="Calibri" w:eastAsia="Times New Roman" w:hAnsi="Calibri" w:cs="Calibri"/>
          <w:bdr w:val="none" w:sz="0" w:space="0" w:color="auto" w:frame="1"/>
        </w:rPr>
        <w:t>The COVID-19 pandemic</w:t>
      </w:r>
      <w:r w:rsidR="006F3DB0">
        <w:rPr>
          <w:rFonts w:ascii="Calibri" w:eastAsia="Times New Roman" w:hAnsi="Calibri" w:cs="Calibri"/>
          <w:bdr w:val="none" w:sz="0" w:space="0" w:color="auto" w:frame="1"/>
        </w:rPr>
        <w:t xml:space="preserve"> has</w:t>
      </w:r>
      <w:r w:rsidR="004B211F">
        <w:rPr>
          <w:rFonts w:ascii="Calibri" w:eastAsia="Times New Roman" w:hAnsi="Calibri" w:cs="Calibri"/>
          <w:bdr w:val="none" w:sz="0" w:space="0" w:color="auto" w:frame="1"/>
        </w:rPr>
        <w:t xml:space="preserve"> c</w:t>
      </w:r>
      <w:r w:rsidR="0097185B">
        <w:rPr>
          <w:rFonts w:ascii="Calibri" w:eastAsia="Times New Roman" w:hAnsi="Calibri" w:cs="Calibri"/>
          <w:bdr w:val="none" w:sz="0" w:space="0" w:color="auto" w:frame="1"/>
        </w:rPr>
        <w:t xml:space="preserve">learly demonstrated the vital role </w:t>
      </w:r>
      <w:r w:rsidR="00CD5B47">
        <w:rPr>
          <w:rFonts w:ascii="Calibri" w:eastAsia="Times New Roman" w:hAnsi="Calibri" w:cs="Calibri"/>
          <w:bdr w:val="none" w:sz="0" w:space="0" w:color="auto" w:frame="1"/>
        </w:rPr>
        <w:t>that stockpiles and access to</w:t>
      </w:r>
      <w:r w:rsidR="007A43A8">
        <w:rPr>
          <w:rFonts w:ascii="Calibri" w:eastAsia="Times New Roman" w:hAnsi="Calibri" w:cs="Calibri"/>
          <w:bdr w:val="none" w:sz="0" w:space="0" w:color="auto" w:frame="1"/>
        </w:rPr>
        <w:t xml:space="preserve"> </w:t>
      </w:r>
      <w:r w:rsidR="00A579C2">
        <w:rPr>
          <w:rFonts w:ascii="Calibri" w:eastAsia="Times New Roman" w:hAnsi="Calibri" w:cs="Calibri"/>
          <w:bdr w:val="none" w:sz="0" w:space="0" w:color="auto" w:frame="1"/>
        </w:rPr>
        <w:t xml:space="preserve">supply </w:t>
      </w:r>
      <w:r w:rsidR="007A43A8">
        <w:rPr>
          <w:rFonts w:ascii="Calibri" w:eastAsia="Times New Roman" w:hAnsi="Calibri" w:cs="Calibri"/>
          <w:bdr w:val="none" w:sz="0" w:space="0" w:color="auto" w:frame="1"/>
        </w:rPr>
        <w:t>inventories</w:t>
      </w:r>
      <w:r w:rsidR="00A64FA2">
        <w:rPr>
          <w:rFonts w:ascii="Calibri" w:eastAsia="Times New Roman" w:hAnsi="Calibri" w:cs="Calibri"/>
          <w:bdr w:val="none" w:sz="0" w:space="0" w:color="auto" w:frame="1"/>
        </w:rPr>
        <w:t xml:space="preserve"> during a nationwide public health emergency</w:t>
      </w:r>
      <w:r w:rsidR="00A579C2">
        <w:rPr>
          <w:rFonts w:ascii="Calibri" w:eastAsia="Times New Roman" w:hAnsi="Calibri" w:cs="Calibri"/>
          <w:bdr w:val="none" w:sz="0" w:space="0" w:color="auto" w:frame="1"/>
        </w:rPr>
        <w:t>.</w:t>
      </w:r>
      <w:r w:rsidR="00CD5B47">
        <w:rPr>
          <w:rFonts w:ascii="Calibri" w:eastAsia="Times New Roman" w:hAnsi="Calibri" w:cs="Calibri"/>
          <w:bdr w:val="none" w:sz="0" w:space="0" w:color="auto" w:frame="1"/>
        </w:rPr>
        <w:t xml:space="preserve"> </w:t>
      </w:r>
      <w:r w:rsidR="003B7CC9">
        <w:rPr>
          <w:rFonts w:ascii="Calibri" w:eastAsia="Times New Roman" w:hAnsi="Calibri" w:cs="Calibri"/>
          <w:bdr w:val="none" w:sz="0" w:space="0" w:color="auto" w:frame="1"/>
        </w:rPr>
        <w:t>This document describes the federal Strategic National Stockpile pro</w:t>
      </w:r>
      <w:r w:rsidR="003279F1">
        <w:rPr>
          <w:rFonts w:ascii="Calibri" w:eastAsia="Times New Roman" w:hAnsi="Calibri" w:cs="Calibri"/>
          <w:bdr w:val="none" w:sz="0" w:space="0" w:color="auto" w:frame="1"/>
        </w:rPr>
        <w:t xml:space="preserve">gram, </w:t>
      </w:r>
      <w:r w:rsidR="00B37491">
        <w:rPr>
          <w:rFonts w:ascii="Calibri" w:eastAsia="Times New Roman" w:hAnsi="Calibri" w:cs="Calibri"/>
          <w:bdr w:val="none" w:sz="0" w:space="0" w:color="auto" w:frame="1"/>
        </w:rPr>
        <w:t>how the program operates, as well as</w:t>
      </w:r>
      <w:r w:rsidR="00DD2C7A">
        <w:rPr>
          <w:rFonts w:ascii="Calibri" w:eastAsia="Times New Roman" w:hAnsi="Calibri" w:cs="Calibri"/>
          <w:bdr w:val="none" w:sz="0" w:space="0" w:color="auto" w:frame="1"/>
        </w:rPr>
        <w:t xml:space="preserve"> </w:t>
      </w:r>
      <w:r w:rsidR="00B37491">
        <w:rPr>
          <w:rFonts w:ascii="Calibri" w:eastAsia="Times New Roman" w:hAnsi="Calibri" w:cs="Calibri"/>
          <w:bdr w:val="none" w:sz="0" w:space="0" w:color="auto" w:frame="1"/>
        </w:rPr>
        <w:t>state, tribal, local</w:t>
      </w:r>
      <w:r w:rsidR="007B49D0">
        <w:rPr>
          <w:rFonts w:ascii="Calibri" w:eastAsia="Times New Roman" w:hAnsi="Calibri" w:cs="Calibri"/>
          <w:bdr w:val="none" w:sz="0" w:space="0" w:color="auto" w:frame="1"/>
        </w:rPr>
        <w:t>,</w:t>
      </w:r>
      <w:r w:rsidR="00B37491">
        <w:rPr>
          <w:rFonts w:ascii="Calibri" w:eastAsia="Times New Roman" w:hAnsi="Calibri" w:cs="Calibri"/>
          <w:bdr w:val="none" w:sz="0" w:space="0" w:color="auto" w:frame="1"/>
        </w:rPr>
        <w:t xml:space="preserve"> and territorial (ST</w:t>
      </w:r>
      <w:r w:rsidR="001B6496">
        <w:rPr>
          <w:rFonts w:ascii="Calibri" w:eastAsia="Times New Roman" w:hAnsi="Calibri" w:cs="Calibri"/>
          <w:bdr w:val="none" w:sz="0" w:space="0" w:color="auto" w:frame="1"/>
        </w:rPr>
        <w:t>LT)</w:t>
      </w:r>
      <w:r w:rsidR="00DD2C7A">
        <w:rPr>
          <w:rFonts w:ascii="Calibri" w:eastAsia="Times New Roman" w:hAnsi="Calibri" w:cs="Calibri"/>
          <w:bdr w:val="none" w:sz="0" w:space="0" w:color="auto" w:frame="1"/>
        </w:rPr>
        <w:t xml:space="preserve"> and other stockpile programs.</w:t>
      </w:r>
    </w:p>
    <w:p w14:paraId="6F2FB24A" w14:textId="669D433C" w:rsidR="00A21CB7" w:rsidRDefault="00A21CB7" w:rsidP="00A63BE9">
      <w:pPr>
        <w:spacing w:line="360" w:lineRule="auto"/>
        <w:rPr>
          <w:rFonts w:ascii="Calibri" w:eastAsia="Times New Roman" w:hAnsi="Calibri" w:cs="Calibri"/>
        </w:rPr>
      </w:pPr>
    </w:p>
    <w:p w14:paraId="48EFF6AB" w14:textId="77F7043E" w:rsidR="00A746D7" w:rsidRPr="00B87B98" w:rsidRDefault="00120401" w:rsidP="00A746D7">
      <w:pPr>
        <w:spacing w:line="360" w:lineRule="auto"/>
        <w:rPr>
          <w:rFonts w:ascii="Calibri" w:eastAsia="Times New Roman" w:hAnsi="Calibri" w:cs="Calibri"/>
          <w:b/>
          <w:bCs/>
          <w:sz w:val="24"/>
          <w:szCs w:val="24"/>
        </w:rPr>
      </w:pPr>
      <w:r w:rsidRPr="00120401">
        <w:rPr>
          <w:rFonts w:ascii="Calibri" w:eastAsia="Times New Roman" w:hAnsi="Calibri" w:cs="Calibri"/>
          <w:b/>
          <w:bCs/>
          <w:sz w:val="24"/>
          <w:szCs w:val="24"/>
        </w:rPr>
        <w:t>Strategic National Stockpile</w:t>
      </w:r>
    </w:p>
    <w:p w14:paraId="617A20C5" w14:textId="14CE102C" w:rsidR="00F65759" w:rsidRDefault="00671095" w:rsidP="00D92C41">
      <w:pPr>
        <w:spacing w:line="360" w:lineRule="auto"/>
        <w:rPr>
          <w:rFonts w:ascii="Calibri" w:eastAsia="Times New Roman" w:hAnsi="Calibri" w:cs="Calibri"/>
          <w:bdr w:val="none" w:sz="0" w:space="0" w:color="auto" w:frame="1"/>
        </w:rPr>
      </w:pPr>
      <w:r w:rsidRPr="00A63F6A">
        <w:rPr>
          <w:rFonts w:ascii="Calibri" w:eastAsia="Times New Roman" w:hAnsi="Calibri" w:cs="Calibri"/>
        </w:rPr>
        <w:t xml:space="preserve">The </w:t>
      </w:r>
      <w:bookmarkStart w:id="0" w:name="_Hlk41925510"/>
      <w:r w:rsidRPr="00120401">
        <w:rPr>
          <w:rFonts w:ascii="Calibri" w:eastAsia="Times New Roman" w:hAnsi="Calibri" w:cs="Calibri"/>
        </w:rPr>
        <w:t xml:space="preserve">Strategic National Stockpile </w:t>
      </w:r>
      <w:r>
        <w:rPr>
          <w:rFonts w:ascii="Calibri" w:eastAsia="Times New Roman" w:hAnsi="Calibri" w:cs="Calibri"/>
        </w:rPr>
        <w:t>(</w:t>
      </w:r>
      <w:r w:rsidRPr="00B87B98">
        <w:rPr>
          <w:rFonts w:ascii="Calibri" w:eastAsia="Times New Roman" w:hAnsi="Calibri" w:cs="Calibri"/>
        </w:rPr>
        <w:t>SNS</w:t>
      </w:r>
      <w:r>
        <w:rPr>
          <w:rFonts w:ascii="Calibri" w:eastAsia="Times New Roman" w:hAnsi="Calibri" w:cs="Calibri"/>
        </w:rPr>
        <w:t>)</w:t>
      </w:r>
      <w:r w:rsidRPr="00B87B98">
        <w:rPr>
          <w:rFonts w:ascii="Calibri" w:eastAsia="Times New Roman" w:hAnsi="Calibri" w:cs="Calibri"/>
        </w:rPr>
        <w:t xml:space="preserve"> </w:t>
      </w:r>
      <w:bookmarkEnd w:id="0"/>
      <w:r w:rsidR="00487572">
        <w:rPr>
          <w:rFonts w:ascii="Calibri" w:eastAsia="Times New Roman" w:hAnsi="Calibri" w:cs="Calibri"/>
        </w:rPr>
        <w:t>is “a</w:t>
      </w:r>
      <w:r w:rsidR="00A63F6A" w:rsidRPr="00A63F6A">
        <w:rPr>
          <w:rFonts w:ascii="Calibri" w:eastAsia="Times New Roman" w:hAnsi="Calibri" w:cs="Calibri"/>
        </w:rPr>
        <w:t xml:space="preserve"> national repository of antibiotics, chemical antidotes, antitoxins, life-support medications, IV administration, airway maintenance supplies, and medical/surgical items.</w:t>
      </w:r>
      <w:r w:rsidR="00D019A7">
        <w:rPr>
          <w:rFonts w:ascii="Calibri" w:eastAsia="Times New Roman" w:hAnsi="Calibri" w:cs="Calibri"/>
        </w:rPr>
        <w:t>”</w:t>
      </w:r>
      <w:r w:rsidR="00D019A7">
        <w:rPr>
          <w:rStyle w:val="FootnoteReference"/>
          <w:rFonts w:ascii="Calibri" w:eastAsia="Times New Roman" w:hAnsi="Calibri" w:cs="Calibri"/>
        </w:rPr>
        <w:footnoteReference w:id="1"/>
      </w:r>
      <w:r w:rsidR="006F634D">
        <w:rPr>
          <w:rFonts w:ascii="Calibri" w:eastAsia="Times New Roman" w:hAnsi="Calibri" w:cs="Calibri"/>
        </w:rPr>
        <w:t xml:space="preserve"> </w:t>
      </w:r>
      <w:r w:rsidR="001D2226" w:rsidRPr="001D2226">
        <w:rPr>
          <w:rFonts w:ascii="Calibri" w:eastAsia="Times New Roman" w:hAnsi="Calibri" w:cs="Calibri"/>
          <w:bdr w:val="none" w:sz="0" w:space="0" w:color="auto" w:frame="1"/>
        </w:rPr>
        <w:t xml:space="preserve">The Public Health Service Act authorizes the </w:t>
      </w:r>
      <w:r w:rsidR="00AC0233">
        <w:rPr>
          <w:rFonts w:ascii="Calibri" w:eastAsia="Times New Roman" w:hAnsi="Calibri" w:cs="Calibri"/>
          <w:bdr w:val="none" w:sz="0" w:space="0" w:color="auto" w:frame="1"/>
        </w:rPr>
        <w:t>S</w:t>
      </w:r>
      <w:r w:rsidR="001D2226" w:rsidRPr="001D2226">
        <w:rPr>
          <w:rFonts w:ascii="Calibri" w:eastAsia="Times New Roman" w:hAnsi="Calibri" w:cs="Calibri"/>
          <w:bdr w:val="none" w:sz="0" w:space="0" w:color="auto" w:frame="1"/>
        </w:rPr>
        <w:t>ecretary of Health and Human Services</w:t>
      </w:r>
      <w:r w:rsidR="00D63288">
        <w:rPr>
          <w:rFonts w:ascii="Calibri" w:eastAsia="Times New Roman" w:hAnsi="Calibri" w:cs="Calibri"/>
          <w:bdr w:val="none" w:sz="0" w:space="0" w:color="auto" w:frame="1"/>
        </w:rPr>
        <w:t xml:space="preserve"> (HHS)</w:t>
      </w:r>
      <w:r w:rsidR="001D2226" w:rsidRPr="001D2226">
        <w:rPr>
          <w:rFonts w:ascii="Calibri" w:eastAsia="Times New Roman" w:hAnsi="Calibri" w:cs="Calibri"/>
          <w:bdr w:val="none" w:sz="0" w:space="0" w:color="auto" w:frame="1"/>
        </w:rPr>
        <w:t xml:space="preserve">, in collaboration with the Assistant Secretary for Preparedness and Response (ASPR) and the Director of the Centers for Disease Control and Prevention (CDC), and in coordination with the Secretary of Homeland Security, to maintain a stockpile of “drugs, vaccines and other biological </w:t>
      </w:r>
      <w:r w:rsidR="001D2226" w:rsidRPr="001D2226">
        <w:rPr>
          <w:rFonts w:ascii="Calibri" w:eastAsia="Times New Roman" w:hAnsi="Calibri" w:cs="Calibri"/>
          <w:bdr w:val="none" w:sz="0" w:space="0" w:color="auto" w:frame="1"/>
        </w:rPr>
        <w:lastRenderedPageBreak/>
        <w:t>products, medical devices, and other supplies in such numbers, types, and amounts” to provide for the emergency health security of the United States.</w:t>
      </w:r>
      <w:r w:rsidR="00A73838">
        <w:rPr>
          <w:rStyle w:val="FootnoteReference"/>
          <w:rFonts w:ascii="Calibri" w:eastAsia="Times New Roman" w:hAnsi="Calibri" w:cs="Calibri"/>
          <w:bdr w:val="none" w:sz="0" w:space="0" w:color="auto" w:frame="1"/>
        </w:rPr>
        <w:footnoteReference w:id="2"/>
      </w:r>
      <w:r w:rsidR="001D2226" w:rsidRPr="001D2226">
        <w:rPr>
          <w:rFonts w:ascii="Calibri" w:eastAsia="Times New Roman" w:hAnsi="Calibri" w:cs="Calibri"/>
          <w:bdr w:val="none" w:sz="0" w:space="0" w:color="auto" w:frame="1"/>
        </w:rPr>
        <w:t xml:space="preserve"> </w:t>
      </w:r>
      <w:r w:rsidR="00E607D9">
        <w:rPr>
          <w:rFonts w:ascii="Calibri" w:eastAsia="Times New Roman" w:hAnsi="Calibri" w:cs="Calibri"/>
          <w:bdr w:val="none" w:sz="0" w:space="0" w:color="auto" w:frame="1"/>
        </w:rPr>
        <w:t>The Public Health Service Act assigns t</w:t>
      </w:r>
      <w:r w:rsidR="00E26CF3" w:rsidRPr="001D2226">
        <w:rPr>
          <w:rFonts w:ascii="Calibri" w:eastAsia="Times New Roman" w:hAnsi="Calibri" w:cs="Calibri"/>
          <w:bdr w:val="none" w:sz="0" w:space="0" w:color="auto" w:frame="1"/>
        </w:rPr>
        <w:t>he responsibility</w:t>
      </w:r>
      <w:r w:rsidR="00E26CF3">
        <w:rPr>
          <w:rFonts w:ascii="Calibri" w:eastAsia="Times New Roman" w:hAnsi="Calibri" w:cs="Calibri"/>
          <w:bdr w:val="none" w:sz="0" w:space="0" w:color="auto" w:frame="1"/>
        </w:rPr>
        <w:t xml:space="preserve"> </w:t>
      </w:r>
      <w:r w:rsidR="00E26CF3" w:rsidRPr="001D2226">
        <w:rPr>
          <w:rFonts w:ascii="Calibri" w:eastAsia="Times New Roman" w:hAnsi="Calibri" w:cs="Calibri"/>
          <w:bdr w:val="none" w:sz="0" w:space="0" w:color="auto" w:frame="1"/>
        </w:rPr>
        <w:t xml:space="preserve">and authority </w:t>
      </w:r>
      <w:r w:rsidR="00E607D9">
        <w:rPr>
          <w:rFonts w:ascii="Calibri" w:eastAsia="Times New Roman" w:hAnsi="Calibri" w:cs="Calibri"/>
          <w:bdr w:val="none" w:sz="0" w:space="0" w:color="auto" w:frame="1"/>
        </w:rPr>
        <w:t>for</w:t>
      </w:r>
      <w:r w:rsidR="00E26CF3" w:rsidRPr="001D2226">
        <w:rPr>
          <w:rFonts w:ascii="Calibri" w:eastAsia="Times New Roman" w:hAnsi="Calibri" w:cs="Calibri"/>
          <w:bdr w:val="none" w:sz="0" w:space="0" w:color="auto" w:frame="1"/>
        </w:rPr>
        <w:t xml:space="preserve"> coordinat</w:t>
      </w:r>
      <w:r w:rsidR="00E607D9">
        <w:rPr>
          <w:rFonts w:ascii="Calibri" w:eastAsia="Times New Roman" w:hAnsi="Calibri" w:cs="Calibri"/>
          <w:bdr w:val="none" w:sz="0" w:space="0" w:color="auto" w:frame="1"/>
        </w:rPr>
        <w:t>ing t</w:t>
      </w:r>
      <w:r w:rsidR="00E26CF3" w:rsidRPr="001D2226">
        <w:rPr>
          <w:rFonts w:ascii="Calibri" w:eastAsia="Times New Roman" w:hAnsi="Calibri" w:cs="Calibri"/>
          <w:bdr w:val="none" w:sz="0" w:space="0" w:color="auto" w:frame="1"/>
        </w:rPr>
        <w:t xml:space="preserve">he </w:t>
      </w:r>
      <w:r w:rsidR="005D3AED" w:rsidRPr="005D3AED">
        <w:rPr>
          <w:rFonts w:ascii="Calibri" w:eastAsia="Times New Roman" w:hAnsi="Calibri" w:cs="Calibri"/>
        </w:rPr>
        <w:t>federal</w:t>
      </w:r>
      <w:r w:rsidR="005D3AED">
        <w:rPr>
          <w:rFonts w:ascii="Calibri" w:eastAsia="Times New Roman" w:hAnsi="Calibri" w:cs="Calibri"/>
        </w:rPr>
        <w:t xml:space="preserve"> </w:t>
      </w:r>
      <w:r w:rsidR="005D3AED" w:rsidRPr="00B87B98">
        <w:rPr>
          <w:rFonts w:ascii="Calibri" w:eastAsia="Times New Roman" w:hAnsi="Calibri" w:cs="Calibri"/>
        </w:rPr>
        <w:t>SN</w:t>
      </w:r>
      <w:r w:rsidR="006F634D">
        <w:rPr>
          <w:rFonts w:ascii="Calibri" w:eastAsia="Times New Roman" w:hAnsi="Calibri" w:cs="Calibri"/>
        </w:rPr>
        <w:t>S</w:t>
      </w:r>
      <w:r w:rsidR="005D3AED" w:rsidRPr="00B87B98">
        <w:rPr>
          <w:rFonts w:ascii="Calibri" w:eastAsia="Times New Roman" w:hAnsi="Calibri" w:cs="Calibri"/>
        </w:rPr>
        <w:t xml:space="preserve"> </w:t>
      </w:r>
      <w:r w:rsidR="00E607D9">
        <w:rPr>
          <w:rFonts w:ascii="Calibri" w:eastAsia="Times New Roman" w:hAnsi="Calibri" w:cs="Calibri"/>
          <w:bdr w:val="none" w:sz="0" w:space="0" w:color="auto" w:frame="1"/>
        </w:rPr>
        <w:t>to ASPR.</w:t>
      </w:r>
      <w:r w:rsidR="00E607D9">
        <w:rPr>
          <w:rStyle w:val="FootnoteReference"/>
          <w:rFonts w:ascii="Calibri" w:eastAsia="Times New Roman" w:hAnsi="Calibri" w:cs="Calibri"/>
          <w:bdr w:val="none" w:sz="0" w:space="0" w:color="auto" w:frame="1"/>
        </w:rPr>
        <w:footnoteReference w:id="3"/>
      </w:r>
      <w:r w:rsidR="00E607D9">
        <w:rPr>
          <w:rFonts w:ascii="Calibri" w:eastAsia="Times New Roman" w:hAnsi="Calibri" w:cs="Calibri"/>
          <w:bdr w:val="none" w:sz="0" w:space="0" w:color="auto" w:frame="1"/>
        </w:rPr>
        <w:t xml:space="preserve"> </w:t>
      </w:r>
    </w:p>
    <w:p w14:paraId="5B598E30" w14:textId="77777777" w:rsidR="00F65759" w:rsidRDefault="00F65759" w:rsidP="00D92C41">
      <w:pPr>
        <w:spacing w:line="360" w:lineRule="auto"/>
        <w:rPr>
          <w:rFonts w:ascii="Calibri" w:eastAsia="Times New Roman" w:hAnsi="Calibri" w:cs="Calibri"/>
          <w:bdr w:val="none" w:sz="0" w:space="0" w:color="auto" w:frame="1"/>
        </w:rPr>
      </w:pPr>
    </w:p>
    <w:p w14:paraId="0A05A2C4" w14:textId="77777777" w:rsidR="00A5154E" w:rsidRDefault="00E1243D" w:rsidP="001D2226">
      <w:pPr>
        <w:spacing w:line="360" w:lineRule="auto"/>
        <w:rPr>
          <w:rFonts w:ascii="Calibri" w:eastAsia="Times New Roman" w:hAnsi="Calibri" w:cs="Calibri"/>
          <w:bdr w:val="none" w:sz="0" w:space="0" w:color="auto" w:frame="1"/>
        </w:rPr>
      </w:pPr>
      <w:r>
        <w:rPr>
          <w:rFonts w:ascii="Calibri" w:eastAsia="Times New Roman" w:hAnsi="Calibri" w:cs="Calibri"/>
          <w:bdr w:val="none" w:sz="0" w:space="0" w:color="auto" w:frame="1"/>
        </w:rPr>
        <w:t xml:space="preserve">The HHS Secretary is required to conduct an annual </w:t>
      </w:r>
      <w:r w:rsidRPr="00E1243D">
        <w:rPr>
          <w:rFonts w:ascii="Calibri" w:eastAsia="Times New Roman" w:hAnsi="Calibri" w:cs="Calibri"/>
          <w:bdr w:val="none" w:sz="0" w:space="0" w:color="auto" w:frame="1"/>
        </w:rPr>
        <w:t>threat-based review</w:t>
      </w:r>
      <w:r w:rsidR="008C46CC">
        <w:rPr>
          <w:rFonts w:ascii="Calibri" w:eastAsia="Times New Roman" w:hAnsi="Calibri" w:cs="Calibri"/>
          <w:bdr w:val="none" w:sz="0" w:space="0" w:color="auto" w:frame="1"/>
        </w:rPr>
        <w:t xml:space="preserve"> of the </w:t>
      </w:r>
      <w:r w:rsidR="00745F9B">
        <w:rPr>
          <w:rFonts w:ascii="Calibri" w:eastAsia="Times New Roman" w:hAnsi="Calibri" w:cs="Calibri"/>
          <w:bdr w:val="none" w:sz="0" w:space="0" w:color="auto" w:frame="1"/>
        </w:rPr>
        <w:t>stockpile’s contents</w:t>
      </w:r>
      <w:r w:rsidR="00C74C03">
        <w:rPr>
          <w:rFonts w:ascii="Calibri" w:eastAsia="Times New Roman" w:hAnsi="Calibri" w:cs="Calibri"/>
          <w:bdr w:val="none" w:sz="0" w:space="0" w:color="auto" w:frame="1"/>
        </w:rPr>
        <w:t xml:space="preserve"> in consultation with </w:t>
      </w:r>
      <w:r w:rsidR="00C74C03" w:rsidRPr="00E1243D">
        <w:rPr>
          <w:rFonts w:ascii="Calibri" w:eastAsia="Times New Roman" w:hAnsi="Calibri" w:cs="Calibri"/>
          <w:bdr w:val="none" w:sz="0" w:space="0" w:color="auto" w:frame="1"/>
        </w:rPr>
        <w:t xml:space="preserve">the Public Health Emergency Medical Countermeasures Enterprise </w:t>
      </w:r>
      <w:r w:rsidR="00C74C03">
        <w:rPr>
          <w:rFonts w:ascii="Calibri" w:eastAsia="Times New Roman" w:hAnsi="Calibri" w:cs="Calibri"/>
          <w:bdr w:val="none" w:sz="0" w:space="0" w:color="auto" w:frame="1"/>
        </w:rPr>
        <w:t>(PHEMCE)</w:t>
      </w:r>
      <w:r w:rsidR="00CB7CF6">
        <w:rPr>
          <w:rFonts w:ascii="Calibri" w:eastAsia="Times New Roman" w:hAnsi="Calibri" w:cs="Calibri"/>
          <w:bdr w:val="none" w:sz="0" w:space="0" w:color="auto" w:frame="1"/>
        </w:rPr>
        <w:t>.</w:t>
      </w:r>
      <w:r w:rsidR="007C21A6">
        <w:rPr>
          <w:rStyle w:val="FootnoteReference"/>
          <w:rFonts w:ascii="Calibri" w:eastAsia="Times New Roman" w:hAnsi="Calibri" w:cs="Calibri"/>
          <w:bdr w:val="none" w:sz="0" w:space="0" w:color="auto" w:frame="1"/>
        </w:rPr>
        <w:footnoteReference w:id="4"/>
      </w:r>
      <w:r w:rsidR="000A083F">
        <w:rPr>
          <w:rFonts w:ascii="Calibri" w:eastAsia="Times New Roman" w:hAnsi="Calibri" w:cs="Calibri"/>
          <w:bdr w:val="none" w:sz="0" w:space="0" w:color="auto" w:frame="1"/>
        </w:rPr>
        <w:t xml:space="preserve"> </w:t>
      </w:r>
      <w:r w:rsidR="00A745A3">
        <w:rPr>
          <w:rStyle w:val="FootnoteReference"/>
          <w:rFonts w:ascii="Calibri" w:eastAsia="Times New Roman" w:hAnsi="Calibri" w:cs="Calibri"/>
          <w:bdr w:val="none" w:sz="0" w:space="0" w:color="auto" w:frame="1"/>
        </w:rPr>
        <w:footnoteReference w:id="5"/>
      </w:r>
      <w:r w:rsidR="00A745A3">
        <w:rPr>
          <w:rFonts w:ascii="Calibri" w:eastAsia="Times New Roman" w:hAnsi="Calibri" w:cs="Calibri"/>
          <w:bdr w:val="none" w:sz="0" w:space="0" w:color="auto" w:frame="1"/>
        </w:rPr>
        <w:t xml:space="preserve"> </w:t>
      </w:r>
      <w:r w:rsidR="00747B73">
        <w:rPr>
          <w:rFonts w:ascii="Calibri" w:eastAsia="Times New Roman" w:hAnsi="Calibri" w:cs="Calibri"/>
          <w:bdr w:val="none" w:sz="0" w:space="0" w:color="auto" w:frame="1"/>
        </w:rPr>
        <w:t>The review</w:t>
      </w:r>
      <w:r w:rsidR="00A93273">
        <w:rPr>
          <w:rFonts w:ascii="Calibri" w:eastAsia="Times New Roman" w:hAnsi="Calibri" w:cs="Calibri"/>
          <w:bdr w:val="none" w:sz="0" w:space="0" w:color="auto" w:frame="1"/>
        </w:rPr>
        <w:t xml:space="preserve"> is to consider both the pharmaceutical and non-pharmaceutical supplies</w:t>
      </w:r>
      <w:r w:rsidR="008B4068">
        <w:rPr>
          <w:rFonts w:ascii="Calibri" w:eastAsia="Times New Roman" w:hAnsi="Calibri" w:cs="Calibri"/>
          <w:bdr w:val="none" w:sz="0" w:space="0" w:color="auto" w:frame="1"/>
        </w:rPr>
        <w:t xml:space="preserve"> and </w:t>
      </w:r>
      <w:r w:rsidR="00901FA6">
        <w:rPr>
          <w:rFonts w:ascii="Calibri" w:eastAsia="Times New Roman" w:hAnsi="Calibri" w:cs="Calibri"/>
          <w:bdr w:val="none" w:sz="0" w:space="0" w:color="auto" w:frame="1"/>
        </w:rPr>
        <w:t xml:space="preserve">assess whether the contents are consistent with </w:t>
      </w:r>
      <w:r w:rsidR="00CA4AAB">
        <w:rPr>
          <w:rFonts w:ascii="Calibri" w:eastAsia="Times New Roman" w:hAnsi="Calibri" w:cs="Calibri"/>
          <w:bdr w:val="none" w:sz="0" w:space="0" w:color="auto" w:frame="1"/>
        </w:rPr>
        <w:t xml:space="preserve">PHEMCE recommendations </w:t>
      </w:r>
      <w:r w:rsidR="007C21A6">
        <w:rPr>
          <w:rFonts w:ascii="Calibri" w:eastAsia="Times New Roman" w:hAnsi="Calibri" w:cs="Calibri"/>
          <w:bdr w:val="none" w:sz="0" w:space="0" w:color="auto" w:frame="1"/>
        </w:rPr>
        <w:t xml:space="preserve">of based on </w:t>
      </w:r>
      <w:r w:rsidR="002439EE" w:rsidRPr="002439EE">
        <w:rPr>
          <w:rFonts w:ascii="Calibri" w:eastAsia="Times New Roman" w:hAnsi="Calibri" w:cs="Calibri"/>
          <w:bdr w:val="none" w:sz="0" w:space="0" w:color="auto" w:frame="1"/>
        </w:rPr>
        <w:t xml:space="preserve">assessments of current national security threats, including chemical, biological, radiological, and nuclear </w:t>
      </w:r>
      <w:r w:rsidR="00A5154E">
        <w:rPr>
          <w:rFonts w:ascii="Calibri" w:eastAsia="Times New Roman" w:hAnsi="Calibri" w:cs="Calibri"/>
          <w:bdr w:val="none" w:sz="0" w:space="0" w:color="auto" w:frame="1"/>
        </w:rPr>
        <w:t xml:space="preserve">(CBRN) </w:t>
      </w:r>
      <w:r w:rsidR="002439EE" w:rsidRPr="002439EE">
        <w:rPr>
          <w:rFonts w:ascii="Calibri" w:eastAsia="Times New Roman" w:hAnsi="Calibri" w:cs="Calibri"/>
          <w:bdr w:val="none" w:sz="0" w:space="0" w:color="auto" w:frame="1"/>
        </w:rPr>
        <w:t>threats, including emerging infectious diseases.</w:t>
      </w:r>
      <w:r w:rsidR="005D5FC8">
        <w:rPr>
          <w:rStyle w:val="FootnoteReference"/>
          <w:rFonts w:ascii="Calibri" w:eastAsia="Times New Roman" w:hAnsi="Calibri" w:cs="Calibri"/>
          <w:bdr w:val="none" w:sz="0" w:space="0" w:color="auto" w:frame="1"/>
        </w:rPr>
        <w:footnoteReference w:id="6"/>
      </w:r>
      <w:r w:rsidR="007C21A6">
        <w:rPr>
          <w:rFonts w:ascii="Calibri" w:eastAsia="Times New Roman" w:hAnsi="Calibri" w:cs="Calibri"/>
          <w:bdr w:val="none" w:sz="0" w:space="0" w:color="auto" w:frame="1"/>
        </w:rPr>
        <w:t xml:space="preserve"> </w:t>
      </w:r>
    </w:p>
    <w:p w14:paraId="3875DA94" w14:textId="77777777" w:rsidR="00671095" w:rsidRDefault="00671095" w:rsidP="001D2226">
      <w:pPr>
        <w:spacing w:line="360" w:lineRule="auto"/>
        <w:rPr>
          <w:rFonts w:ascii="Calibri" w:eastAsia="Times New Roman" w:hAnsi="Calibri" w:cs="Calibri"/>
          <w:bdr w:val="none" w:sz="0" w:space="0" w:color="auto" w:frame="1"/>
        </w:rPr>
      </w:pPr>
    </w:p>
    <w:p w14:paraId="7BFB22F3" w14:textId="564EAA7C" w:rsidR="00A62663" w:rsidRPr="00430607" w:rsidRDefault="00430607" w:rsidP="00A62663">
      <w:pPr>
        <w:spacing w:line="360" w:lineRule="auto"/>
        <w:rPr>
          <w:rFonts w:ascii="Calibri" w:eastAsia="Times New Roman" w:hAnsi="Calibri" w:cs="Calibri"/>
          <w:b/>
          <w:bCs/>
          <w:sz w:val="24"/>
          <w:szCs w:val="24"/>
        </w:rPr>
      </w:pPr>
      <w:r w:rsidRPr="00430607">
        <w:rPr>
          <w:rFonts w:ascii="Calibri" w:eastAsia="Times New Roman" w:hAnsi="Calibri" w:cs="Calibri"/>
          <w:b/>
          <w:bCs/>
          <w:sz w:val="24"/>
          <w:szCs w:val="24"/>
        </w:rPr>
        <w:t>SNS De</w:t>
      </w:r>
      <w:r w:rsidR="00A6059A" w:rsidRPr="00430607">
        <w:rPr>
          <w:rFonts w:ascii="Calibri" w:eastAsia="Times New Roman" w:hAnsi="Calibri" w:cs="Calibri"/>
          <w:b/>
          <w:bCs/>
          <w:sz w:val="24"/>
          <w:szCs w:val="24"/>
        </w:rPr>
        <w:t>ployment</w:t>
      </w:r>
    </w:p>
    <w:p w14:paraId="293030B0" w14:textId="666D6A23" w:rsidR="0015482E" w:rsidRDefault="00D62E07" w:rsidP="0015482E">
      <w:pPr>
        <w:spacing w:line="360" w:lineRule="auto"/>
        <w:rPr>
          <w:rFonts w:ascii="Calibri" w:eastAsia="Times New Roman" w:hAnsi="Calibri" w:cs="Calibri"/>
        </w:rPr>
      </w:pPr>
      <w:r w:rsidRPr="001D2226">
        <w:rPr>
          <w:rFonts w:ascii="Calibri" w:eastAsia="Times New Roman" w:hAnsi="Calibri" w:cs="Calibri"/>
          <w:bdr w:val="none" w:sz="0" w:space="0" w:color="auto" w:frame="1"/>
        </w:rPr>
        <w:t xml:space="preserve">The </w:t>
      </w:r>
      <w:r w:rsidR="001542CA">
        <w:rPr>
          <w:rFonts w:ascii="Calibri" w:eastAsia="Times New Roman" w:hAnsi="Calibri" w:cs="Calibri"/>
          <w:bdr w:val="none" w:sz="0" w:space="0" w:color="auto" w:frame="1"/>
        </w:rPr>
        <w:t xml:space="preserve">HHS </w:t>
      </w:r>
      <w:r w:rsidRPr="001D2226">
        <w:rPr>
          <w:rFonts w:ascii="Calibri" w:eastAsia="Times New Roman" w:hAnsi="Calibri" w:cs="Calibri"/>
          <w:bdr w:val="none" w:sz="0" w:space="0" w:color="auto" w:frame="1"/>
        </w:rPr>
        <w:t xml:space="preserve">Secretary may deploy the </w:t>
      </w:r>
      <w:r w:rsidR="001542CA">
        <w:rPr>
          <w:rFonts w:ascii="Calibri" w:eastAsia="Times New Roman" w:hAnsi="Calibri" w:cs="Calibri"/>
          <w:bdr w:val="none" w:sz="0" w:space="0" w:color="auto" w:frame="1"/>
        </w:rPr>
        <w:t>SNS</w:t>
      </w:r>
      <w:r w:rsidRPr="001D2226">
        <w:rPr>
          <w:rFonts w:ascii="Calibri" w:eastAsia="Times New Roman" w:hAnsi="Calibri" w:cs="Calibri"/>
          <w:bdr w:val="none" w:sz="0" w:space="0" w:color="auto" w:frame="1"/>
        </w:rPr>
        <w:t xml:space="preserve"> to respond to an actual or</w:t>
      </w:r>
      <w:r>
        <w:rPr>
          <w:rFonts w:ascii="Calibri" w:eastAsia="Times New Roman" w:hAnsi="Calibri" w:cs="Calibri"/>
          <w:bdr w:val="none" w:sz="0" w:space="0" w:color="auto" w:frame="1"/>
        </w:rPr>
        <w:t xml:space="preserve"> </w:t>
      </w:r>
      <w:r w:rsidRPr="001D2226">
        <w:rPr>
          <w:rFonts w:ascii="Calibri" w:eastAsia="Times New Roman" w:hAnsi="Calibri" w:cs="Calibri"/>
          <w:bdr w:val="none" w:sz="0" w:space="0" w:color="auto" w:frame="1"/>
        </w:rPr>
        <w:t>potential public health emergency, protect the public health or safety, or as required by the</w:t>
      </w:r>
      <w:r>
        <w:rPr>
          <w:rFonts w:ascii="Calibri" w:eastAsia="Times New Roman" w:hAnsi="Calibri" w:cs="Calibri"/>
          <w:bdr w:val="none" w:sz="0" w:space="0" w:color="auto" w:frame="1"/>
        </w:rPr>
        <w:t xml:space="preserve"> </w:t>
      </w:r>
      <w:r w:rsidRPr="001D2226">
        <w:rPr>
          <w:rFonts w:ascii="Calibri" w:eastAsia="Times New Roman" w:hAnsi="Calibri" w:cs="Calibri"/>
          <w:bdr w:val="none" w:sz="0" w:space="0" w:color="auto" w:frame="1"/>
        </w:rPr>
        <w:t xml:space="preserve">Secretary of Homeland Security, </w:t>
      </w:r>
      <w:r>
        <w:rPr>
          <w:rFonts w:ascii="Calibri" w:eastAsia="Times New Roman" w:hAnsi="Calibri" w:cs="Calibri"/>
          <w:bdr w:val="none" w:sz="0" w:space="0" w:color="auto" w:frame="1"/>
        </w:rPr>
        <w:t xml:space="preserve">to </w:t>
      </w:r>
      <w:r w:rsidRPr="001D2226">
        <w:rPr>
          <w:rFonts w:ascii="Calibri" w:eastAsia="Times New Roman" w:hAnsi="Calibri" w:cs="Calibri"/>
          <w:bdr w:val="none" w:sz="0" w:space="0" w:color="auto" w:frame="1"/>
        </w:rPr>
        <w:t>respond to an actual or potential emergency.</w:t>
      </w:r>
      <w:r w:rsidR="004F26EB">
        <w:rPr>
          <w:rStyle w:val="FootnoteReference"/>
          <w:rFonts w:ascii="Calibri" w:eastAsia="Times New Roman" w:hAnsi="Calibri" w:cs="Calibri"/>
          <w:bdr w:val="none" w:sz="0" w:space="0" w:color="auto" w:frame="1"/>
        </w:rPr>
        <w:footnoteReference w:id="7"/>
      </w:r>
      <w:r w:rsidRPr="001D2226">
        <w:rPr>
          <w:rFonts w:ascii="Calibri" w:eastAsia="Times New Roman" w:hAnsi="Calibri" w:cs="Calibri"/>
          <w:bdr w:val="none" w:sz="0" w:space="0" w:color="auto" w:frame="1"/>
        </w:rPr>
        <w:t xml:space="preserve"> </w:t>
      </w:r>
      <w:r w:rsidR="0015482E" w:rsidRPr="00B87B98">
        <w:rPr>
          <w:rFonts w:ascii="Calibri" w:eastAsia="Times New Roman" w:hAnsi="Calibri" w:cs="Calibri"/>
        </w:rPr>
        <w:t>Items in the SNS can be deployed by the secretary of Homeland Security to respond to an actual or potential emergency or by the HHS secretary to respond to an actual or potential public health emergency or other situation in which deployment is necessary to protect public health and safety.</w:t>
      </w:r>
      <w:r w:rsidR="0095019F">
        <w:rPr>
          <w:rStyle w:val="FootnoteReference"/>
          <w:rFonts w:ascii="Calibri" w:eastAsia="Times New Roman" w:hAnsi="Calibri" w:cs="Calibri"/>
        </w:rPr>
        <w:footnoteReference w:id="8"/>
      </w:r>
      <w:r w:rsidR="0015482E" w:rsidRPr="00B87B98">
        <w:rPr>
          <w:rFonts w:ascii="Calibri" w:eastAsia="Times New Roman" w:hAnsi="Calibri" w:cs="Calibri"/>
        </w:rPr>
        <w:t xml:space="preserve"> The declaration of a federal or state public health emergency is not required to deploy the stockpile, and its contents can be deployed in advance of a public health emergency.</w:t>
      </w:r>
    </w:p>
    <w:p w14:paraId="341D2ACD" w14:textId="77777777" w:rsidR="00D62E07" w:rsidRDefault="00D62E07" w:rsidP="00A62663">
      <w:pPr>
        <w:spacing w:line="360" w:lineRule="auto"/>
        <w:rPr>
          <w:rFonts w:ascii="Calibri" w:eastAsia="Times New Roman" w:hAnsi="Calibri" w:cs="Calibri"/>
        </w:rPr>
      </w:pPr>
    </w:p>
    <w:p w14:paraId="5869D295" w14:textId="4A473714" w:rsidR="00E155B5" w:rsidRDefault="00A6059A" w:rsidP="00A62663">
      <w:pPr>
        <w:spacing w:line="360" w:lineRule="auto"/>
        <w:rPr>
          <w:rFonts w:ascii="Calibri" w:eastAsia="Times New Roman" w:hAnsi="Calibri" w:cs="Calibri"/>
          <w:bdr w:val="none" w:sz="0" w:space="0" w:color="auto" w:frame="1"/>
        </w:rPr>
      </w:pPr>
      <w:r w:rsidRPr="00637072">
        <w:rPr>
          <w:rFonts w:ascii="Calibri" w:eastAsia="Times New Roman" w:hAnsi="Calibri" w:cs="Calibri"/>
        </w:rPr>
        <w:t>State governors</w:t>
      </w:r>
      <w:r w:rsidRPr="00B87B98">
        <w:rPr>
          <w:rFonts w:ascii="Calibri" w:eastAsia="Times New Roman" w:hAnsi="Calibri" w:cs="Calibri"/>
        </w:rPr>
        <w:t xml:space="preserve"> or their designees </w:t>
      </w:r>
      <w:r w:rsidR="007C1CF4">
        <w:rPr>
          <w:rFonts w:ascii="Calibri" w:eastAsia="Times New Roman" w:hAnsi="Calibri" w:cs="Calibri"/>
        </w:rPr>
        <w:t xml:space="preserve">may </w:t>
      </w:r>
      <w:r w:rsidRPr="00B87B98">
        <w:rPr>
          <w:rFonts w:ascii="Calibri" w:eastAsia="Times New Roman" w:hAnsi="Calibri" w:cs="Calibri"/>
        </w:rPr>
        <w:t>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w:t>
      </w:r>
      <w:r w:rsidR="00A62663">
        <w:rPr>
          <w:rStyle w:val="FootnoteReference"/>
          <w:rFonts w:ascii="Calibri" w:eastAsia="Times New Roman" w:hAnsi="Calibri" w:cs="Calibri"/>
        </w:rPr>
        <w:footnoteReference w:id="9"/>
      </w:r>
      <w:r w:rsidR="00A62663">
        <w:rPr>
          <w:rFonts w:ascii="Calibri" w:eastAsia="Times New Roman" w:hAnsi="Calibri" w:cs="Calibri"/>
        </w:rPr>
        <w:t xml:space="preserve"> </w:t>
      </w:r>
      <w:r w:rsidR="00B83FD2">
        <w:rPr>
          <w:rFonts w:ascii="Calibri" w:eastAsia="Times New Roman" w:hAnsi="Calibri" w:cs="Calibri"/>
        </w:rPr>
        <w:t>F</w:t>
      </w:r>
      <w:r w:rsidRPr="00B87B98">
        <w:rPr>
          <w:rFonts w:ascii="Calibri" w:eastAsia="Times New Roman" w:hAnsi="Calibri" w:cs="Calibri"/>
        </w:rPr>
        <w:t xml:space="preserve">ederal personnel </w:t>
      </w:r>
      <w:r w:rsidR="00B83FD2">
        <w:rPr>
          <w:rFonts w:ascii="Calibri" w:eastAsia="Times New Roman" w:hAnsi="Calibri" w:cs="Calibri"/>
        </w:rPr>
        <w:t xml:space="preserve">work with </w:t>
      </w:r>
      <w:r w:rsidR="000674B5">
        <w:rPr>
          <w:rFonts w:ascii="Calibri" w:eastAsia="Times New Roman" w:hAnsi="Calibri" w:cs="Calibri"/>
        </w:rPr>
        <w:t>STLT</w:t>
      </w:r>
      <w:r w:rsidRPr="00B87B98">
        <w:rPr>
          <w:rFonts w:ascii="Calibri" w:eastAsia="Times New Roman" w:hAnsi="Calibri" w:cs="Calibri"/>
        </w:rPr>
        <w:t xml:space="preserve"> officials to determine if and what </w:t>
      </w:r>
      <w:r w:rsidRPr="00B87B98">
        <w:rPr>
          <w:rFonts w:ascii="Calibri" w:eastAsia="Times New Roman" w:hAnsi="Calibri" w:cs="Calibri"/>
        </w:rPr>
        <w:lastRenderedPageBreak/>
        <w:t xml:space="preserve">components of the SNS </w:t>
      </w:r>
      <w:r w:rsidR="00B83FD2">
        <w:rPr>
          <w:rFonts w:ascii="Calibri" w:eastAsia="Times New Roman" w:hAnsi="Calibri" w:cs="Calibri"/>
        </w:rPr>
        <w:t xml:space="preserve">are needed. </w:t>
      </w:r>
      <w:r w:rsidRPr="00B87B98">
        <w:rPr>
          <w:rFonts w:ascii="Calibri" w:eastAsia="Times New Roman" w:hAnsi="Calibri" w:cs="Calibri"/>
        </w:rPr>
        <w:t xml:space="preserve">Ultimately, however, the federal government </w:t>
      </w:r>
      <w:r w:rsidR="009E4C35">
        <w:rPr>
          <w:rFonts w:ascii="Calibri" w:eastAsia="Times New Roman" w:hAnsi="Calibri" w:cs="Calibri"/>
        </w:rPr>
        <w:t>is</w:t>
      </w:r>
      <w:r w:rsidRPr="00B87B98">
        <w:rPr>
          <w:rFonts w:ascii="Calibri" w:eastAsia="Times New Roman" w:hAnsi="Calibri" w:cs="Calibri"/>
        </w:rPr>
        <w:t xml:space="preserve"> responsible for making the decision to deploy all or portions of the SNS.</w:t>
      </w:r>
      <w:r w:rsidR="00B741D6">
        <w:rPr>
          <w:rStyle w:val="FootnoteReference"/>
          <w:rFonts w:ascii="Calibri" w:eastAsia="Times New Roman" w:hAnsi="Calibri" w:cs="Calibri"/>
        </w:rPr>
        <w:footnoteReference w:id="10"/>
      </w:r>
      <w:r w:rsidR="00A62663">
        <w:rPr>
          <w:rFonts w:ascii="Calibri" w:eastAsia="Times New Roman" w:hAnsi="Calibri" w:cs="Calibri"/>
          <w:bdr w:val="none" w:sz="0" w:space="0" w:color="auto" w:frame="1"/>
        </w:rPr>
        <w:t xml:space="preserve"> </w:t>
      </w:r>
    </w:p>
    <w:p w14:paraId="6D30E3F0" w14:textId="77777777" w:rsidR="00E155B5" w:rsidRDefault="00E155B5" w:rsidP="00A62663">
      <w:pPr>
        <w:spacing w:line="360" w:lineRule="auto"/>
        <w:rPr>
          <w:rFonts w:ascii="Calibri" w:eastAsia="Times New Roman" w:hAnsi="Calibri" w:cs="Calibri"/>
          <w:bdr w:val="none" w:sz="0" w:space="0" w:color="auto" w:frame="1"/>
        </w:rPr>
      </w:pPr>
    </w:p>
    <w:p w14:paraId="76FBF9CE" w14:textId="49209516" w:rsidR="00B741D6" w:rsidRDefault="00CB7711" w:rsidP="00A62663">
      <w:pPr>
        <w:spacing w:line="360" w:lineRule="auto"/>
        <w:rPr>
          <w:rFonts w:ascii="Calibri" w:eastAsia="Times New Roman" w:hAnsi="Calibri" w:cs="Calibri"/>
        </w:rPr>
      </w:pPr>
      <w:r>
        <w:rPr>
          <w:rFonts w:ascii="Calibri" w:eastAsia="Times New Roman" w:hAnsi="Calibri" w:cs="Calibri"/>
        </w:rPr>
        <w:t xml:space="preserve">Historically, the goal of the </w:t>
      </w:r>
      <w:r w:rsidR="00BF357D">
        <w:rPr>
          <w:rFonts w:ascii="Calibri" w:eastAsia="Times New Roman" w:hAnsi="Calibri" w:cs="Calibri"/>
        </w:rPr>
        <w:t xml:space="preserve">SNS </w:t>
      </w:r>
      <w:r>
        <w:rPr>
          <w:rFonts w:ascii="Calibri" w:eastAsia="Times New Roman" w:hAnsi="Calibri" w:cs="Calibri"/>
        </w:rPr>
        <w:t xml:space="preserve">program </w:t>
      </w:r>
      <w:r w:rsidR="00675A3B">
        <w:rPr>
          <w:rFonts w:ascii="Calibri" w:eastAsia="Times New Roman" w:hAnsi="Calibri" w:cs="Calibri"/>
        </w:rPr>
        <w:t xml:space="preserve">has been </w:t>
      </w:r>
      <w:r w:rsidR="00675A3B" w:rsidRPr="00B87B98">
        <w:rPr>
          <w:rFonts w:ascii="Calibri" w:eastAsia="Times New Roman" w:hAnsi="Calibri" w:cs="Calibri"/>
        </w:rPr>
        <w:t xml:space="preserve">to supplement and resupply state and local inventories of </w:t>
      </w:r>
      <w:r w:rsidR="00675A3B">
        <w:rPr>
          <w:rFonts w:ascii="Calibri" w:eastAsia="Times New Roman" w:hAnsi="Calibri" w:cs="Calibri"/>
        </w:rPr>
        <w:t>pharmaceuticals</w:t>
      </w:r>
      <w:r w:rsidR="00675A3B" w:rsidRPr="00B87B98">
        <w:rPr>
          <w:rFonts w:ascii="Calibri" w:eastAsia="Times New Roman" w:hAnsi="Calibri" w:cs="Calibri"/>
        </w:rPr>
        <w:t xml:space="preserve"> and supplies during emergencies acute enough to exhaust local supplies.</w:t>
      </w:r>
      <w:r w:rsidR="00675A3B" w:rsidRPr="00B87B98">
        <w:rPr>
          <w:rStyle w:val="FootnoteReference"/>
          <w:rFonts w:ascii="Calibri" w:eastAsia="Times New Roman" w:hAnsi="Calibri" w:cs="Calibri"/>
        </w:rPr>
        <w:footnoteReference w:id="11"/>
      </w:r>
      <w:r w:rsidR="00CA1A9A">
        <w:rPr>
          <w:rFonts w:ascii="Calibri" w:eastAsia="Times New Roman" w:hAnsi="Calibri" w:cs="Calibri"/>
        </w:rPr>
        <w:t xml:space="preserve"> </w:t>
      </w:r>
      <w:r w:rsidR="005B1118">
        <w:rPr>
          <w:rFonts w:ascii="Calibri" w:eastAsia="Times New Roman" w:hAnsi="Calibri" w:cs="Calibri"/>
        </w:rPr>
        <w:t xml:space="preserve">The program was </w:t>
      </w:r>
      <w:r w:rsidR="00844C9C">
        <w:rPr>
          <w:rFonts w:ascii="Calibri" w:eastAsia="Times New Roman" w:hAnsi="Calibri" w:cs="Calibri"/>
        </w:rPr>
        <w:t xml:space="preserve">designed to allow for </w:t>
      </w:r>
      <w:r w:rsidR="00CA1A9A" w:rsidRPr="00CA1A9A">
        <w:rPr>
          <w:rFonts w:ascii="Calibri" w:eastAsia="Times New Roman" w:hAnsi="Calibri" w:cs="Calibri"/>
        </w:rPr>
        <w:t>scalable response</w:t>
      </w:r>
      <w:r w:rsidR="00844C9C">
        <w:rPr>
          <w:rFonts w:ascii="Calibri" w:eastAsia="Times New Roman" w:hAnsi="Calibri" w:cs="Calibri"/>
        </w:rPr>
        <w:t>s</w:t>
      </w:r>
      <w:r w:rsidR="00CA1A9A" w:rsidRPr="00CA1A9A">
        <w:rPr>
          <w:rFonts w:ascii="Calibri" w:eastAsia="Times New Roman" w:hAnsi="Calibri" w:cs="Calibri"/>
        </w:rPr>
        <w:t xml:space="preserve"> to a </w:t>
      </w:r>
      <w:r w:rsidR="006B5620">
        <w:rPr>
          <w:rFonts w:ascii="Calibri" w:eastAsia="Times New Roman" w:hAnsi="Calibri" w:cs="Calibri"/>
        </w:rPr>
        <w:t xml:space="preserve">number </w:t>
      </w:r>
      <w:r w:rsidR="00CA1A9A" w:rsidRPr="00CA1A9A">
        <w:rPr>
          <w:rFonts w:ascii="Calibri" w:eastAsia="Times New Roman" w:hAnsi="Calibri" w:cs="Calibri"/>
        </w:rPr>
        <w:t>of public health threats</w:t>
      </w:r>
      <w:r w:rsidR="006B5620">
        <w:rPr>
          <w:rFonts w:ascii="Calibri" w:eastAsia="Times New Roman" w:hAnsi="Calibri" w:cs="Calibri"/>
        </w:rPr>
        <w:t xml:space="preserve"> by containing </w:t>
      </w:r>
      <w:r w:rsidR="006B5620" w:rsidRPr="00CA1A9A">
        <w:rPr>
          <w:rFonts w:ascii="Calibri" w:eastAsia="Times New Roman" w:hAnsi="Calibri" w:cs="Calibri"/>
        </w:rPr>
        <w:t>adequate</w:t>
      </w:r>
      <w:r w:rsidR="00CA1A9A" w:rsidRPr="00CA1A9A">
        <w:rPr>
          <w:rFonts w:ascii="Calibri" w:eastAsia="Times New Roman" w:hAnsi="Calibri" w:cs="Calibri"/>
        </w:rPr>
        <w:t xml:space="preserve"> supplies to respond to multiple large-scale emergencies </w:t>
      </w:r>
      <w:r w:rsidR="001C41C2">
        <w:rPr>
          <w:rFonts w:ascii="Calibri" w:eastAsia="Times New Roman" w:hAnsi="Calibri" w:cs="Calibri"/>
        </w:rPr>
        <w:t>at one time.</w:t>
      </w:r>
      <w:r w:rsidR="00FB081A">
        <w:rPr>
          <w:rStyle w:val="FootnoteReference"/>
          <w:rFonts w:ascii="Calibri" w:eastAsia="Times New Roman" w:hAnsi="Calibri" w:cs="Calibri"/>
        </w:rPr>
        <w:footnoteReference w:id="12"/>
      </w:r>
      <w:r w:rsidR="001C41C2">
        <w:rPr>
          <w:rFonts w:ascii="Calibri" w:eastAsia="Times New Roman" w:hAnsi="Calibri" w:cs="Calibri"/>
        </w:rPr>
        <w:t xml:space="preserve"> </w:t>
      </w:r>
      <w:r w:rsidR="00605009">
        <w:rPr>
          <w:rFonts w:ascii="Calibri" w:eastAsia="Times New Roman" w:hAnsi="Calibri" w:cs="Calibri"/>
        </w:rPr>
        <w:t>HHS</w:t>
      </w:r>
      <w:r w:rsidR="00F767F1">
        <w:rPr>
          <w:rFonts w:ascii="Calibri" w:eastAsia="Times New Roman" w:hAnsi="Calibri" w:cs="Calibri"/>
        </w:rPr>
        <w:t xml:space="preserve"> lists specific examples of </w:t>
      </w:r>
      <w:r w:rsidR="0068487A">
        <w:rPr>
          <w:rFonts w:ascii="Calibri" w:eastAsia="Times New Roman" w:hAnsi="Calibri" w:cs="Calibri"/>
        </w:rPr>
        <w:t xml:space="preserve">previous stockpile responses and </w:t>
      </w:r>
      <w:r w:rsidR="00605009">
        <w:rPr>
          <w:rFonts w:ascii="Calibri" w:eastAsia="Times New Roman" w:hAnsi="Calibri" w:cs="Calibri"/>
        </w:rPr>
        <w:t>notes: “</w:t>
      </w:r>
      <w:r w:rsidR="00605009" w:rsidRPr="00605009">
        <w:rPr>
          <w:rFonts w:ascii="Calibri" w:eastAsia="Times New Roman" w:hAnsi="Calibri" w:cs="Calibri"/>
        </w:rPr>
        <w:t>Since its beginning, the stockpile has responded to multiple large-scale emergencies including floods, hurricanes, and influenza pandemics. It has also supported various small-scale deployments for the treatment of individuals with life-threatening infectious diseases like anthrax, smallpox, and botulism.</w:t>
      </w:r>
      <w:r w:rsidR="00605009">
        <w:rPr>
          <w:rFonts w:ascii="Calibri" w:eastAsia="Times New Roman" w:hAnsi="Calibri" w:cs="Calibri"/>
        </w:rPr>
        <w:t>”</w:t>
      </w:r>
      <w:r w:rsidR="0068487A">
        <w:rPr>
          <w:rStyle w:val="FootnoteReference"/>
          <w:rFonts w:ascii="Calibri" w:eastAsia="Times New Roman" w:hAnsi="Calibri" w:cs="Calibri"/>
        </w:rPr>
        <w:footnoteReference w:id="13"/>
      </w:r>
      <w:r w:rsidR="006E2F8D">
        <w:rPr>
          <w:rFonts w:ascii="Calibri" w:eastAsia="Times New Roman" w:hAnsi="Calibri" w:cs="Calibri"/>
        </w:rPr>
        <w:t xml:space="preserve"> </w:t>
      </w:r>
      <w:r w:rsidR="00BE6082" w:rsidRPr="00564AD6">
        <w:rPr>
          <w:rFonts w:ascii="Calibri" w:eastAsia="Times New Roman" w:hAnsi="Calibri" w:cs="Calibri"/>
        </w:rPr>
        <w:t xml:space="preserve">However, given </w:t>
      </w:r>
      <w:r w:rsidR="00E25BDC">
        <w:rPr>
          <w:rFonts w:ascii="Calibri" w:eastAsia="Times New Roman" w:hAnsi="Calibri" w:cs="Calibri"/>
        </w:rPr>
        <w:t xml:space="preserve">the </w:t>
      </w:r>
      <w:r w:rsidR="00564AD6" w:rsidRPr="00564AD6">
        <w:rPr>
          <w:rFonts w:ascii="Calibri" w:eastAsia="Times New Roman" w:hAnsi="Calibri" w:cs="Calibri"/>
        </w:rPr>
        <w:t xml:space="preserve">scale and unprecedented levels of demand for SNS assets by STLT governments during </w:t>
      </w:r>
      <w:r w:rsidR="004E44F3" w:rsidRPr="00564AD6">
        <w:rPr>
          <w:rFonts w:ascii="Calibri" w:eastAsia="Times New Roman" w:hAnsi="Calibri" w:cs="Calibri"/>
        </w:rPr>
        <w:t xml:space="preserve">the </w:t>
      </w:r>
      <w:r w:rsidR="00312F06" w:rsidRPr="00564AD6">
        <w:rPr>
          <w:rFonts w:ascii="Calibri" w:eastAsia="Times New Roman" w:hAnsi="Calibri" w:cs="Calibri"/>
        </w:rPr>
        <w:t>COVID-19 pandemic</w:t>
      </w:r>
      <w:r w:rsidR="004E44F3" w:rsidRPr="00E25BDC">
        <w:rPr>
          <w:rFonts w:ascii="Calibri" w:eastAsia="Times New Roman" w:hAnsi="Calibri" w:cs="Calibri"/>
        </w:rPr>
        <w:t xml:space="preserve">, the SNS program </w:t>
      </w:r>
      <w:r w:rsidR="00E25BDC">
        <w:rPr>
          <w:rFonts w:ascii="Calibri" w:eastAsia="Times New Roman" w:hAnsi="Calibri" w:cs="Calibri"/>
        </w:rPr>
        <w:t>had to revise</w:t>
      </w:r>
      <w:r w:rsidR="00A0540C">
        <w:rPr>
          <w:rFonts w:ascii="Calibri" w:eastAsia="Times New Roman" w:hAnsi="Calibri" w:cs="Calibri"/>
        </w:rPr>
        <w:t xml:space="preserve"> </w:t>
      </w:r>
      <w:r w:rsidR="00A166BA">
        <w:rPr>
          <w:rFonts w:ascii="Calibri" w:eastAsia="Times New Roman" w:hAnsi="Calibri" w:cs="Calibri"/>
        </w:rPr>
        <w:t>the</w:t>
      </w:r>
      <w:r w:rsidR="00A0540C">
        <w:rPr>
          <w:rFonts w:ascii="Calibri" w:eastAsia="Times New Roman" w:hAnsi="Calibri" w:cs="Calibri"/>
        </w:rPr>
        <w:t xml:space="preserve"> expectations for the re</w:t>
      </w:r>
      <w:r w:rsidR="00A166BA">
        <w:rPr>
          <w:rFonts w:ascii="Calibri" w:eastAsia="Times New Roman" w:hAnsi="Calibri" w:cs="Calibri"/>
        </w:rPr>
        <w:t>pository in early April 2020: “</w:t>
      </w:r>
      <w:r w:rsidR="002A70E1" w:rsidRPr="002A70E1">
        <w:rPr>
          <w:rFonts w:ascii="Calibri" w:eastAsia="Times New Roman" w:hAnsi="Calibri" w:cs="Calibri"/>
        </w:rPr>
        <w:t>The supplies, medicines, and devices for life-saving care contained in the stockpile can be used as a short-term stopgap buffer when the immediate supply of adequate amounts of these materials may not be immediately available.</w:t>
      </w:r>
      <w:r w:rsidR="00C846F6">
        <w:rPr>
          <w:rFonts w:ascii="Calibri" w:eastAsia="Times New Roman" w:hAnsi="Calibri" w:cs="Calibri"/>
        </w:rPr>
        <w:t>”</w:t>
      </w:r>
      <w:r w:rsidR="00C846F6">
        <w:rPr>
          <w:rStyle w:val="FootnoteReference"/>
          <w:rFonts w:ascii="Calibri" w:eastAsia="Times New Roman" w:hAnsi="Calibri" w:cs="Calibri"/>
        </w:rPr>
        <w:footnoteReference w:id="14"/>
      </w:r>
    </w:p>
    <w:p w14:paraId="710C6723" w14:textId="20198943" w:rsidR="000F01DB" w:rsidRDefault="000F01DB" w:rsidP="00A62663">
      <w:pPr>
        <w:spacing w:line="360" w:lineRule="auto"/>
        <w:rPr>
          <w:rFonts w:ascii="Calibri" w:eastAsia="Times New Roman" w:hAnsi="Calibri" w:cs="Calibri"/>
        </w:rPr>
      </w:pPr>
    </w:p>
    <w:p w14:paraId="28BD175C" w14:textId="191399D4" w:rsidR="006F634D" w:rsidRPr="00D53255" w:rsidRDefault="00D53255" w:rsidP="00A62663">
      <w:pPr>
        <w:spacing w:line="360" w:lineRule="auto"/>
        <w:rPr>
          <w:rFonts w:ascii="Calibri" w:eastAsia="Times New Roman" w:hAnsi="Calibri" w:cs="Calibri"/>
          <w:b/>
          <w:bCs/>
        </w:rPr>
      </w:pPr>
      <w:r w:rsidRPr="00D53255">
        <w:rPr>
          <w:rFonts w:ascii="Calibri" w:eastAsia="Times New Roman" w:hAnsi="Calibri" w:cs="Calibri"/>
          <w:b/>
          <w:bCs/>
        </w:rPr>
        <w:t>SNS Contents</w:t>
      </w:r>
    </w:p>
    <w:p w14:paraId="19D5E4A0" w14:textId="4BE35538" w:rsidR="0026704D" w:rsidRDefault="00282DA5" w:rsidP="0026704D">
      <w:pPr>
        <w:spacing w:line="360" w:lineRule="auto"/>
        <w:rPr>
          <w:rFonts w:ascii="Calibri" w:eastAsia="Times New Roman" w:hAnsi="Calibri" w:cs="Calibri"/>
        </w:rPr>
      </w:pPr>
      <w:r>
        <w:rPr>
          <w:rFonts w:ascii="Calibri" w:eastAsia="Times New Roman" w:hAnsi="Calibri" w:cs="Calibri"/>
        </w:rPr>
        <w:t>HHS notes that “</w:t>
      </w:r>
      <w:r w:rsidR="00BA2D82">
        <w:rPr>
          <w:rFonts w:ascii="Calibri" w:eastAsia="Times New Roman" w:hAnsi="Calibri" w:cs="Calibri"/>
        </w:rPr>
        <w:t>[t]</w:t>
      </w:r>
      <w:r w:rsidRPr="00282DA5">
        <w:rPr>
          <w:rFonts w:ascii="Calibri" w:eastAsia="Times New Roman" w:hAnsi="Calibri" w:cs="Calibri"/>
        </w:rPr>
        <w:t>he majority of stockpile assets are held in storage and kept as managed inventory.</w:t>
      </w:r>
      <w:r w:rsidR="00BA2D82">
        <w:rPr>
          <w:rFonts w:ascii="Calibri" w:eastAsia="Times New Roman" w:hAnsi="Calibri" w:cs="Calibri"/>
        </w:rPr>
        <w:t>”</w:t>
      </w:r>
      <w:r w:rsidR="00BA2D82">
        <w:rPr>
          <w:rStyle w:val="FootnoteReference"/>
          <w:rFonts w:ascii="Calibri" w:eastAsia="Times New Roman" w:hAnsi="Calibri" w:cs="Calibri"/>
        </w:rPr>
        <w:footnoteReference w:id="15"/>
      </w:r>
      <w:r w:rsidRPr="00282DA5">
        <w:rPr>
          <w:rFonts w:ascii="Calibri" w:eastAsia="Times New Roman" w:hAnsi="Calibri" w:cs="Calibri"/>
        </w:rPr>
        <w:t xml:space="preserve"> </w:t>
      </w:r>
      <w:r w:rsidR="008B352A" w:rsidRPr="00B87B98">
        <w:rPr>
          <w:rFonts w:ascii="Calibri" w:eastAsia="Times New Roman" w:hAnsi="Calibri" w:cs="Calibri"/>
        </w:rPr>
        <w:t xml:space="preserve">Initial deployments from the SNS are 12-hour caches of medicines and medical supplies that can address a range of needs arising from what may be an ill-defined threat in the early hours of an emergency </w:t>
      </w:r>
      <w:r w:rsidR="008B352A" w:rsidRPr="00B87B98">
        <w:rPr>
          <w:rFonts w:ascii="Calibri" w:eastAsia="Times New Roman" w:hAnsi="Calibri" w:cs="Calibri"/>
        </w:rPr>
        <w:lastRenderedPageBreak/>
        <w:t>event.</w:t>
      </w:r>
      <w:r w:rsidR="008B352A">
        <w:rPr>
          <w:rStyle w:val="FootnoteReference"/>
          <w:rFonts w:ascii="Calibri" w:eastAsia="Times New Roman" w:hAnsi="Calibri" w:cs="Calibri"/>
        </w:rPr>
        <w:footnoteReference w:id="16"/>
      </w:r>
      <w:r w:rsidR="008B352A">
        <w:rPr>
          <w:rFonts w:ascii="Calibri" w:eastAsia="Times New Roman" w:hAnsi="Calibri" w:cs="Calibri"/>
          <w:bdr w:val="none" w:sz="0" w:space="0" w:color="auto" w:frame="1"/>
        </w:rPr>
        <w:t xml:space="preserve"> </w:t>
      </w:r>
      <w:r w:rsidR="00A6059A" w:rsidRPr="00B87B98">
        <w:rPr>
          <w:rFonts w:ascii="Calibri" w:eastAsia="Times New Roman" w:hAnsi="Calibri" w:cs="Calibri"/>
        </w:rPr>
        <w:t>SNS caches are strategically located in secured warehouses across the United States to ensure the timely deployment of materiel to any location in the country by land or air.</w:t>
      </w:r>
      <w:r w:rsidR="00EA5483">
        <w:rPr>
          <w:rStyle w:val="FootnoteReference"/>
          <w:rFonts w:ascii="Calibri" w:eastAsia="Times New Roman" w:hAnsi="Calibri" w:cs="Calibri"/>
        </w:rPr>
        <w:footnoteReference w:id="17"/>
      </w:r>
      <w:r w:rsidR="00EA5483">
        <w:rPr>
          <w:rFonts w:ascii="Calibri" w:eastAsia="Times New Roman" w:hAnsi="Calibri" w:cs="Calibri"/>
          <w:bdr w:val="none" w:sz="0" w:space="0" w:color="auto" w:frame="1"/>
        </w:rPr>
        <w:t xml:space="preserve"> </w:t>
      </w:r>
      <w:r w:rsidR="0026704D" w:rsidRPr="00B87B98">
        <w:rPr>
          <w:rFonts w:ascii="Calibri" w:eastAsia="Times New Roman" w:hAnsi="Calibri" w:cs="Calibri"/>
        </w:rPr>
        <w:t xml:space="preserve">If an event requires specific or additional medicines and supplies, a deployment </w:t>
      </w:r>
      <w:r w:rsidR="0071371F">
        <w:rPr>
          <w:rFonts w:ascii="Calibri" w:eastAsia="Times New Roman" w:hAnsi="Calibri" w:cs="Calibri"/>
        </w:rPr>
        <w:t xml:space="preserve">is made </w:t>
      </w:r>
      <w:r w:rsidR="0026704D" w:rsidRPr="00B87B98">
        <w:rPr>
          <w:rFonts w:ascii="Calibri" w:eastAsia="Times New Roman" w:hAnsi="Calibri" w:cs="Calibri"/>
        </w:rPr>
        <w:t>from managed inventory (MI)</w:t>
      </w:r>
      <w:r w:rsidR="0026704D">
        <w:rPr>
          <w:rFonts w:ascii="Calibri" w:eastAsia="Times New Roman" w:hAnsi="Calibri" w:cs="Calibri"/>
        </w:rPr>
        <w:t>.</w:t>
      </w:r>
      <w:r w:rsidR="0026704D">
        <w:rPr>
          <w:rStyle w:val="FootnoteReference"/>
          <w:rFonts w:ascii="Calibri" w:eastAsia="Times New Roman" w:hAnsi="Calibri" w:cs="Calibri"/>
        </w:rPr>
        <w:footnoteReference w:id="18"/>
      </w:r>
      <w:r w:rsidR="0026704D">
        <w:rPr>
          <w:rFonts w:ascii="Calibri" w:eastAsia="Times New Roman" w:hAnsi="Calibri" w:cs="Calibri"/>
          <w:bdr w:val="none" w:sz="0" w:space="0" w:color="auto" w:frame="1"/>
        </w:rPr>
        <w:t xml:space="preserve"> </w:t>
      </w:r>
      <w:r w:rsidR="0026704D" w:rsidRPr="00B87B98">
        <w:rPr>
          <w:rFonts w:ascii="Calibri" w:eastAsia="Times New Roman" w:hAnsi="Calibri" w:cs="Calibri"/>
        </w:rPr>
        <w:t>Medicines and supplies in an MI-deployed stockpile can be modified depending on the nature of the emergency and the suspected or confirmed agent.</w:t>
      </w:r>
      <w:r w:rsidR="0026704D">
        <w:rPr>
          <w:rStyle w:val="FootnoteReference"/>
          <w:rFonts w:ascii="Calibri" w:eastAsia="Times New Roman" w:hAnsi="Calibri" w:cs="Calibri"/>
        </w:rPr>
        <w:footnoteReference w:id="19"/>
      </w:r>
      <w:r w:rsidR="0026704D">
        <w:rPr>
          <w:rFonts w:ascii="Calibri" w:eastAsia="Times New Roman" w:hAnsi="Calibri" w:cs="Calibri"/>
          <w:bdr w:val="none" w:sz="0" w:space="0" w:color="auto" w:frame="1"/>
        </w:rPr>
        <w:t xml:space="preserve"> </w:t>
      </w:r>
      <w:r w:rsidR="0026704D" w:rsidRPr="00B87B98">
        <w:rPr>
          <w:rFonts w:ascii="Calibri" w:eastAsia="Times New Roman" w:hAnsi="Calibri" w:cs="Calibri"/>
        </w:rPr>
        <w:t>Where the agent is well defined, the SNS would be immediately deployed from MI with medicines and supplies appropriate for that agent.</w:t>
      </w:r>
      <w:r w:rsidR="0026704D">
        <w:rPr>
          <w:rStyle w:val="FootnoteReference"/>
          <w:rFonts w:ascii="Calibri" w:eastAsia="Times New Roman" w:hAnsi="Calibri" w:cs="Calibri"/>
        </w:rPr>
        <w:footnoteReference w:id="20"/>
      </w:r>
    </w:p>
    <w:p w14:paraId="19468B14" w14:textId="66A69B63" w:rsidR="0026704D" w:rsidRDefault="0026704D" w:rsidP="00A62663">
      <w:pPr>
        <w:spacing w:line="360" w:lineRule="auto"/>
        <w:rPr>
          <w:rFonts w:ascii="Calibri" w:eastAsia="Times New Roman" w:hAnsi="Calibri" w:cs="Calibri"/>
          <w:bdr w:val="none" w:sz="0" w:space="0" w:color="auto" w:frame="1"/>
        </w:rPr>
      </w:pPr>
    </w:p>
    <w:p w14:paraId="52164C9B" w14:textId="77777777" w:rsidR="0071371F" w:rsidRDefault="0071371F" w:rsidP="0071371F">
      <w:pPr>
        <w:spacing w:line="360" w:lineRule="auto"/>
        <w:rPr>
          <w:rFonts w:ascii="Calibri" w:eastAsia="Times New Roman" w:hAnsi="Calibri" w:cs="Calibri"/>
        </w:rPr>
      </w:pPr>
      <w:r w:rsidRPr="00B87B98">
        <w:rPr>
          <w:rFonts w:ascii="Calibri" w:eastAsia="Times New Roman" w:hAnsi="Calibri" w:cs="Calibri"/>
        </w:rPr>
        <w:t xml:space="preserve">The SNS may also include medicines that have been authorized </w:t>
      </w:r>
      <w:r>
        <w:rPr>
          <w:rFonts w:ascii="Calibri" w:eastAsia="Times New Roman" w:hAnsi="Calibri" w:cs="Calibri"/>
        </w:rPr>
        <w:t>by t</w:t>
      </w:r>
      <w:r w:rsidRPr="00B87B98">
        <w:rPr>
          <w:rFonts w:ascii="Calibri" w:eastAsia="Times New Roman" w:hAnsi="Calibri" w:cs="Calibri"/>
        </w:rPr>
        <w:t xml:space="preserve">he </w:t>
      </w:r>
      <w:r w:rsidRPr="00760C0D">
        <w:rPr>
          <w:rFonts w:ascii="Calibri" w:eastAsia="Times New Roman" w:hAnsi="Calibri" w:cs="Calibri"/>
        </w:rPr>
        <w:t>U.S. Food and Drug Administration (FDA)</w:t>
      </w:r>
      <w:r>
        <w:rPr>
          <w:rFonts w:ascii="Calibri" w:eastAsia="Times New Roman" w:hAnsi="Calibri" w:cs="Calibri"/>
        </w:rPr>
        <w:t xml:space="preserve"> under its </w:t>
      </w:r>
      <w:r w:rsidRPr="00B87B98">
        <w:rPr>
          <w:rFonts w:ascii="Calibri" w:eastAsia="Times New Roman" w:hAnsi="Calibri" w:cs="Calibri"/>
          <w:bdr w:val="none" w:sz="0" w:space="0" w:color="auto" w:frame="1"/>
        </w:rPr>
        <w:t>Emergency Use Authorization (EUA)</w:t>
      </w:r>
      <w:r>
        <w:rPr>
          <w:rFonts w:ascii="Calibri" w:eastAsia="Times New Roman" w:hAnsi="Calibri" w:cs="Calibri"/>
        </w:rPr>
        <w:t xml:space="preserve"> </w:t>
      </w:r>
      <w:r w:rsidRPr="00B87B98">
        <w:rPr>
          <w:rFonts w:ascii="Calibri" w:eastAsia="Times New Roman" w:hAnsi="Calibri" w:cs="Calibri"/>
        </w:rPr>
        <w:t>authority</w:t>
      </w:r>
      <w:r>
        <w:rPr>
          <w:rFonts w:ascii="Calibri" w:eastAsia="Times New Roman" w:hAnsi="Calibri" w:cs="Calibri"/>
        </w:rPr>
        <w:t xml:space="preserve">. EUA </w:t>
      </w:r>
      <w:r w:rsidRPr="00760C0D">
        <w:rPr>
          <w:rFonts w:ascii="Calibri" w:eastAsia="Times New Roman" w:hAnsi="Calibri" w:cs="Calibri"/>
        </w:rPr>
        <w:t xml:space="preserve">authorization </w:t>
      </w:r>
      <w:r>
        <w:rPr>
          <w:rFonts w:ascii="Calibri" w:eastAsia="Times New Roman" w:hAnsi="Calibri" w:cs="Calibri"/>
        </w:rPr>
        <w:t>“</w:t>
      </w:r>
      <w:r w:rsidRPr="00760C0D">
        <w:rPr>
          <w:rFonts w:ascii="Calibri" w:eastAsia="Times New Roman" w:hAnsi="Calibri" w:cs="Calibri"/>
        </w:rPr>
        <w:t>allows for the emergency use of an unapproved medical product (e.g., drugs, vaccines, and devices) or unapproved use of an approved medical product to diagnose, treat, or prevent serious or life-threatening diseases or conditions for which no adequate, FDA-approved alternative is available.</w:t>
      </w:r>
      <w:r>
        <w:rPr>
          <w:rFonts w:ascii="Calibri" w:eastAsia="Times New Roman" w:hAnsi="Calibri" w:cs="Calibri"/>
        </w:rPr>
        <w:t>”</w:t>
      </w:r>
      <w:r>
        <w:rPr>
          <w:rStyle w:val="FootnoteReference"/>
          <w:rFonts w:ascii="Calibri" w:eastAsia="Times New Roman" w:hAnsi="Calibri" w:cs="Calibri"/>
        </w:rPr>
        <w:footnoteReference w:id="21"/>
      </w:r>
      <w:r>
        <w:rPr>
          <w:rFonts w:ascii="Calibri" w:eastAsia="Times New Roman" w:hAnsi="Calibri" w:cs="Calibri"/>
        </w:rPr>
        <w:t xml:space="preserve"> Medical products</w:t>
      </w:r>
      <w:r w:rsidRPr="00B87B98">
        <w:rPr>
          <w:rFonts w:ascii="Calibri" w:eastAsia="Times New Roman" w:hAnsi="Calibri" w:cs="Calibri"/>
        </w:rPr>
        <w:t xml:space="preserve"> authorized by an EUA must be distributed and dispensed according to conditions imposed as a part of its authorization by the FDA. Conditions can include the dissemination of information (e.g., fact sheets) to healthcare providers, authorized dispensers, patients, and other consumers regarding the EUA, the product’s significant known and potential benefits and risks, and the extent to which such benefits and risks are unknown.</w:t>
      </w:r>
      <w:r>
        <w:rPr>
          <w:rFonts w:ascii="Calibri" w:eastAsia="Times New Roman" w:hAnsi="Calibri" w:cs="Calibri"/>
        </w:rPr>
        <w:t xml:space="preserve"> (See the </w:t>
      </w:r>
      <w:r w:rsidRPr="002F2FB6">
        <w:rPr>
          <w:rFonts w:ascii="Calibri" w:eastAsia="Times New Roman" w:hAnsi="Calibri" w:cs="Calibri"/>
        </w:rPr>
        <w:t>Federal Medical Countermeasures Framework and Legal Authorities</w:t>
      </w:r>
      <w:r>
        <w:rPr>
          <w:rFonts w:ascii="Calibri" w:eastAsia="Times New Roman" w:hAnsi="Calibri" w:cs="Calibri"/>
        </w:rPr>
        <w:t xml:space="preserve"> Issue Brief in this toolkit for more information about EUAs.)</w:t>
      </w:r>
    </w:p>
    <w:p w14:paraId="6902B865" w14:textId="77777777" w:rsidR="0026704D" w:rsidRDefault="0026704D" w:rsidP="00A62663">
      <w:pPr>
        <w:spacing w:line="360" w:lineRule="auto"/>
        <w:rPr>
          <w:rFonts w:ascii="Calibri" w:eastAsia="Times New Roman" w:hAnsi="Calibri" w:cs="Calibri"/>
          <w:bdr w:val="none" w:sz="0" w:space="0" w:color="auto" w:frame="1"/>
        </w:rPr>
      </w:pPr>
    </w:p>
    <w:p w14:paraId="7FA21998" w14:textId="425243E0" w:rsidR="006732A2" w:rsidRDefault="00A6059A" w:rsidP="00A62663">
      <w:pPr>
        <w:spacing w:line="360" w:lineRule="auto"/>
        <w:rPr>
          <w:rFonts w:ascii="Calibri" w:eastAsia="Times New Roman" w:hAnsi="Calibri" w:cs="Calibri"/>
        </w:rPr>
      </w:pPr>
      <w:r w:rsidRPr="00B87B98">
        <w:rPr>
          <w:rFonts w:ascii="Calibri" w:eastAsia="Times New Roman" w:hAnsi="Calibri" w:cs="Calibri"/>
        </w:rPr>
        <w:t xml:space="preserve">The </w:t>
      </w:r>
      <w:r w:rsidR="00E07EF7">
        <w:rPr>
          <w:rFonts w:ascii="Calibri" w:eastAsia="Times New Roman" w:hAnsi="Calibri" w:cs="Calibri"/>
        </w:rPr>
        <w:t>SNS program</w:t>
      </w:r>
      <w:r w:rsidRPr="00B87B98">
        <w:rPr>
          <w:rFonts w:ascii="Calibri" w:eastAsia="Times New Roman" w:hAnsi="Calibri" w:cs="Calibri"/>
        </w:rPr>
        <w:t xml:space="preserve"> also simultaneously deploys its </w:t>
      </w:r>
      <w:r w:rsidR="002450FF" w:rsidRPr="002450FF">
        <w:rPr>
          <w:rFonts w:ascii="Calibri" w:eastAsia="Times New Roman" w:hAnsi="Calibri" w:cs="Calibri"/>
        </w:rPr>
        <w:t xml:space="preserve">Technical Advisory Response Unit (TARU) </w:t>
      </w:r>
      <w:r w:rsidRPr="00B87B98">
        <w:rPr>
          <w:rFonts w:ascii="Calibri" w:eastAsia="Times New Roman" w:hAnsi="Calibri" w:cs="Calibri"/>
        </w:rPr>
        <w:t>to coordinate with state and local officials in the receipt and distribution of SNS assets.</w:t>
      </w:r>
      <w:r w:rsidR="009365EB">
        <w:rPr>
          <w:rStyle w:val="FootnoteReference"/>
          <w:rFonts w:ascii="Calibri" w:eastAsia="Times New Roman" w:hAnsi="Calibri" w:cs="Calibri"/>
        </w:rPr>
        <w:footnoteReference w:id="22"/>
      </w:r>
      <w:r w:rsidRPr="00B87B98">
        <w:rPr>
          <w:rFonts w:ascii="Calibri" w:eastAsia="Times New Roman" w:hAnsi="Calibri" w:cs="Calibri"/>
        </w:rPr>
        <w:t xml:space="preserve"> </w:t>
      </w:r>
      <w:r w:rsidR="00E07EF7">
        <w:rPr>
          <w:rFonts w:ascii="Calibri" w:eastAsia="Times New Roman" w:hAnsi="Calibri" w:cs="Calibri"/>
        </w:rPr>
        <w:t>ASPR</w:t>
      </w:r>
      <w:r w:rsidRPr="00B87B98">
        <w:rPr>
          <w:rFonts w:ascii="Calibri" w:eastAsia="Times New Roman" w:hAnsi="Calibri" w:cs="Calibri"/>
        </w:rPr>
        <w:t xml:space="preserve"> transfers authority for </w:t>
      </w:r>
      <w:r w:rsidRPr="00B87B98">
        <w:rPr>
          <w:rFonts w:ascii="Calibri" w:eastAsia="Times New Roman" w:hAnsi="Calibri" w:cs="Calibri"/>
        </w:rPr>
        <w:lastRenderedPageBreak/>
        <w:t>the SNS assets to state and local officials once the materiel has arrived at its receiving/storage site.</w:t>
      </w:r>
      <w:r w:rsidR="006732A2">
        <w:rPr>
          <w:rStyle w:val="FootnoteReference"/>
          <w:rFonts w:ascii="Calibri" w:eastAsia="Times New Roman" w:hAnsi="Calibri" w:cs="Calibri"/>
        </w:rPr>
        <w:footnoteReference w:id="23"/>
      </w:r>
      <w:r w:rsidR="006732A2">
        <w:rPr>
          <w:rFonts w:ascii="Calibri" w:eastAsia="Times New Roman" w:hAnsi="Calibri" w:cs="Calibri"/>
          <w:bdr w:val="none" w:sz="0" w:space="0" w:color="auto" w:frame="1"/>
        </w:rPr>
        <w:t xml:space="preserve"> </w:t>
      </w:r>
      <w:r w:rsidRPr="00B87B98">
        <w:rPr>
          <w:rFonts w:ascii="Calibri" w:eastAsia="Times New Roman" w:hAnsi="Calibri" w:cs="Calibri"/>
        </w:rPr>
        <w:t>State and local officials are responsible for unpacking the SNS assets for distribution to various warehouses or dispensing sites identified by state and local officials.</w:t>
      </w:r>
      <w:r w:rsidR="006732A2">
        <w:rPr>
          <w:rStyle w:val="FootnoteReference"/>
          <w:rFonts w:ascii="Calibri" w:eastAsia="Times New Roman" w:hAnsi="Calibri" w:cs="Calibri"/>
        </w:rPr>
        <w:footnoteReference w:id="24"/>
      </w:r>
    </w:p>
    <w:p w14:paraId="3DCB61A7" w14:textId="0752F4E9" w:rsidR="003D1CE2" w:rsidRDefault="003D1CE2" w:rsidP="00A62663">
      <w:pPr>
        <w:spacing w:line="360" w:lineRule="auto"/>
        <w:rPr>
          <w:rFonts w:ascii="Calibri" w:eastAsia="Times New Roman" w:hAnsi="Calibri" w:cs="Calibri"/>
        </w:rPr>
      </w:pPr>
    </w:p>
    <w:p w14:paraId="7DDED63C" w14:textId="17FB2FB5" w:rsidR="003D1CE2" w:rsidRDefault="00A6059A" w:rsidP="003D1CE2">
      <w:pPr>
        <w:spacing w:line="360" w:lineRule="auto"/>
        <w:rPr>
          <w:rFonts w:ascii="Calibri" w:eastAsia="Times New Roman" w:hAnsi="Calibri" w:cs="Calibri"/>
          <w:b/>
          <w:bCs/>
        </w:rPr>
      </w:pPr>
      <w:r w:rsidRPr="00B87B98">
        <w:rPr>
          <w:rFonts w:ascii="Calibri" w:eastAsia="Times New Roman" w:hAnsi="Calibri" w:cs="Calibri"/>
          <w:b/>
          <w:bCs/>
        </w:rPr>
        <w:t>State and Local Receipt and Distribution of SNS Assets</w:t>
      </w:r>
    </w:p>
    <w:p w14:paraId="41102D39" w14:textId="52F41DE2" w:rsidR="003D1CE2" w:rsidRDefault="00A6059A" w:rsidP="003D1CE2">
      <w:pPr>
        <w:spacing w:line="360" w:lineRule="auto"/>
        <w:rPr>
          <w:rFonts w:ascii="Calibri" w:eastAsia="Times New Roman" w:hAnsi="Calibri" w:cs="Calibri"/>
        </w:rPr>
      </w:pPr>
      <w:r w:rsidRPr="00B87B98">
        <w:rPr>
          <w:rFonts w:ascii="Calibri" w:eastAsia="Times New Roman" w:hAnsi="Calibri" w:cs="Calibri"/>
        </w:rPr>
        <w:t>Each state has established plans to receive and distribute SNS assets to their local jurisdictions as soon as possible after receipt of the deployment.</w:t>
      </w:r>
      <w:r w:rsidR="003D1CE2">
        <w:rPr>
          <w:rStyle w:val="FootnoteReference"/>
          <w:rFonts w:ascii="Calibri" w:eastAsia="Times New Roman" w:hAnsi="Calibri" w:cs="Calibri"/>
        </w:rPr>
        <w:footnoteReference w:id="25"/>
      </w:r>
      <w:r w:rsidR="003D1CE2">
        <w:rPr>
          <w:rFonts w:ascii="Calibri" w:eastAsia="Times New Roman" w:hAnsi="Calibri" w:cs="Calibri"/>
          <w:bdr w:val="none" w:sz="0" w:space="0" w:color="auto" w:frame="1"/>
        </w:rPr>
        <w:t xml:space="preserve"> </w:t>
      </w:r>
      <w:r w:rsidRPr="00B87B98">
        <w:rPr>
          <w:rFonts w:ascii="Calibri" w:eastAsia="Times New Roman" w:hAnsi="Calibri" w:cs="Calibri"/>
        </w:rPr>
        <w:t>SNS assets are delivered to one predesignated location in the state; once authorized state personnel sign for receipt of the SNS assets, the materiel becomes the responsibility of the state. States are required to store the assets under appropriate environmental conditions and properly secure the assets, especially products that are on the U.S. Drug Enforcement Agency’s schedule of controlled substances.</w:t>
      </w:r>
    </w:p>
    <w:p w14:paraId="39A41A4F" w14:textId="77777777" w:rsidR="003D1CE2" w:rsidRDefault="003D1CE2" w:rsidP="003D1CE2">
      <w:pPr>
        <w:spacing w:line="360" w:lineRule="auto"/>
        <w:rPr>
          <w:rFonts w:ascii="Calibri" w:eastAsia="Times New Roman" w:hAnsi="Calibri" w:cs="Calibri"/>
        </w:rPr>
      </w:pPr>
    </w:p>
    <w:p w14:paraId="55E34DDF" w14:textId="77777777" w:rsidR="00213E9E" w:rsidRDefault="00A6059A" w:rsidP="003D1CE2">
      <w:pPr>
        <w:spacing w:line="360" w:lineRule="auto"/>
        <w:rPr>
          <w:rFonts w:ascii="Calibri" w:eastAsia="Times New Roman" w:hAnsi="Calibri" w:cs="Calibri"/>
        </w:rPr>
      </w:pPr>
      <w:r w:rsidRPr="00B87B98">
        <w:rPr>
          <w:rFonts w:ascii="Calibri" w:eastAsia="Times New Roman" w:hAnsi="Calibri" w:cs="Calibri"/>
        </w:rPr>
        <w:t>State personnel are then responsible for unpacking the shipment and distributing the materiel within the state for further distribution by state and/or local officials, depending on the state’s SNS plan. SNS assets now generally come ready to dispense to individuals (“unit of use”) without further repacking required. Medicines and supplies are distributed and ultimately dispensed to according state and local SNS plans.</w:t>
      </w:r>
    </w:p>
    <w:p w14:paraId="0C111E1C" w14:textId="77777777" w:rsidR="00213E9E" w:rsidRDefault="00213E9E" w:rsidP="003D1CE2">
      <w:pPr>
        <w:spacing w:line="360" w:lineRule="auto"/>
        <w:rPr>
          <w:rFonts w:ascii="Calibri" w:eastAsia="Times New Roman" w:hAnsi="Calibri" w:cs="Calibri"/>
        </w:rPr>
      </w:pPr>
    </w:p>
    <w:p w14:paraId="4AF22B53" w14:textId="0E8AA0CD" w:rsidR="00213E9E" w:rsidRDefault="00A6059A" w:rsidP="00213E9E">
      <w:pPr>
        <w:spacing w:line="360" w:lineRule="auto"/>
        <w:rPr>
          <w:rFonts w:ascii="Calibri" w:eastAsia="Times New Roman" w:hAnsi="Calibri" w:cs="Calibri"/>
          <w:b/>
          <w:bCs/>
        </w:rPr>
      </w:pPr>
      <w:r w:rsidRPr="00B87B98">
        <w:rPr>
          <w:rFonts w:ascii="Calibri" w:eastAsia="Times New Roman" w:hAnsi="Calibri" w:cs="Calibri"/>
          <w:b/>
          <w:bCs/>
        </w:rPr>
        <w:t>Storage, Replenishment, and Destruction of SNS Assets</w:t>
      </w:r>
    </w:p>
    <w:p w14:paraId="23B615AC" w14:textId="28FE0336" w:rsidR="006E4F5A" w:rsidRDefault="00A6059A" w:rsidP="00213E9E">
      <w:pPr>
        <w:spacing w:line="360" w:lineRule="auto"/>
        <w:rPr>
          <w:rFonts w:ascii="Calibri" w:eastAsia="Times New Roman" w:hAnsi="Calibri" w:cs="Calibri"/>
        </w:rPr>
      </w:pPr>
      <w:r w:rsidRPr="00B87B98">
        <w:rPr>
          <w:rFonts w:ascii="Calibri" w:eastAsia="Times New Roman" w:hAnsi="Calibri" w:cs="Calibri"/>
        </w:rPr>
        <w:t>Th</w:t>
      </w:r>
      <w:r w:rsidR="0091110C">
        <w:rPr>
          <w:rFonts w:ascii="Calibri" w:eastAsia="Times New Roman" w:hAnsi="Calibri" w:cs="Calibri"/>
        </w:rPr>
        <w:t>e ASPR</w:t>
      </w:r>
      <w:r w:rsidRPr="00B87B98">
        <w:rPr>
          <w:rFonts w:ascii="Calibri" w:eastAsia="Times New Roman" w:hAnsi="Calibri" w:cs="Calibri"/>
        </w:rPr>
        <w:t xml:space="preserve"> is responsible for ensuring that the medicines in the SNS are routinely checked and rotated to keep within shelf-life potency limits.</w:t>
      </w:r>
      <w:r w:rsidR="00213E9E">
        <w:rPr>
          <w:rStyle w:val="FootnoteReference"/>
          <w:rFonts w:ascii="Calibri" w:eastAsia="Times New Roman" w:hAnsi="Calibri" w:cs="Calibri"/>
        </w:rPr>
        <w:footnoteReference w:id="26"/>
      </w:r>
      <w:r w:rsidR="00213E9E">
        <w:rPr>
          <w:rFonts w:ascii="Calibri" w:eastAsia="Times New Roman" w:hAnsi="Calibri" w:cs="Calibri"/>
          <w:bdr w:val="none" w:sz="0" w:space="0" w:color="auto" w:frame="1"/>
        </w:rPr>
        <w:t xml:space="preserve"> </w:t>
      </w:r>
      <w:r w:rsidRPr="00B87B98">
        <w:rPr>
          <w:rFonts w:ascii="Calibri" w:eastAsia="Times New Roman" w:hAnsi="Calibri" w:cs="Calibri"/>
        </w:rPr>
        <w:t>The SNS is part of the federal</w:t>
      </w:r>
      <w:r w:rsidR="006E4F5A">
        <w:rPr>
          <w:rFonts w:ascii="Calibri" w:eastAsia="Times New Roman" w:hAnsi="Calibri" w:cs="Calibri"/>
        </w:rPr>
        <w:t xml:space="preserve"> </w:t>
      </w:r>
      <w:r w:rsidRPr="00B87B98">
        <w:rPr>
          <w:rFonts w:ascii="Calibri" w:eastAsia="Times New Roman" w:hAnsi="Calibri" w:cs="Calibri"/>
          <w:bdr w:val="none" w:sz="0" w:space="0" w:color="auto" w:frame="1"/>
        </w:rPr>
        <w:t>Shelf Life Extension Program (SLEP)</w:t>
      </w:r>
      <w:r w:rsidR="001D7142" w:rsidRPr="00B87B98">
        <w:rPr>
          <w:rFonts w:ascii="Calibri" w:eastAsia="Times New Roman" w:hAnsi="Calibri" w:cs="Calibri"/>
        </w:rPr>
        <w:t xml:space="preserve"> </w:t>
      </w:r>
      <w:r w:rsidRPr="00B87B98">
        <w:rPr>
          <w:rFonts w:ascii="Calibri" w:eastAsia="Times New Roman" w:hAnsi="Calibri" w:cs="Calibri"/>
        </w:rPr>
        <w:t xml:space="preserve">administered by the Department of Defense and the Food and Drug Administration. SLEP tests eligible medicines from the SNS to determine if, and for how long, the expiration date on the qualifying products can be extended. Extending the shelf life of SNS assets may be a </w:t>
      </w:r>
      <w:r w:rsidR="001D7142" w:rsidRPr="00B87B98">
        <w:rPr>
          <w:rFonts w:ascii="Calibri" w:eastAsia="Times New Roman" w:hAnsi="Calibri" w:cs="Calibri"/>
        </w:rPr>
        <w:t>cost-effective</w:t>
      </w:r>
      <w:r w:rsidRPr="00B87B98">
        <w:rPr>
          <w:rFonts w:ascii="Calibri" w:eastAsia="Times New Roman" w:hAnsi="Calibri" w:cs="Calibri"/>
        </w:rPr>
        <w:t xml:space="preserve"> alternative to replacing large quantities of medicines that have expired. Items that are not extended or returned to the manufacturer for product rotation are destroyed.</w:t>
      </w:r>
    </w:p>
    <w:p w14:paraId="572E17FA" w14:textId="77777777" w:rsidR="00AA6DEC" w:rsidRDefault="00AA6DEC" w:rsidP="00213E9E">
      <w:pPr>
        <w:spacing w:line="360" w:lineRule="auto"/>
        <w:rPr>
          <w:rFonts w:ascii="Calibri" w:eastAsia="Times New Roman" w:hAnsi="Calibri" w:cs="Calibri"/>
        </w:rPr>
      </w:pPr>
    </w:p>
    <w:p w14:paraId="4FC16E43" w14:textId="25CBCE42" w:rsidR="006E4F5A" w:rsidRDefault="00F06391" w:rsidP="006E4F5A">
      <w:pPr>
        <w:spacing w:line="360" w:lineRule="auto"/>
        <w:rPr>
          <w:rFonts w:ascii="Calibri" w:eastAsia="Times New Roman" w:hAnsi="Calibri" w:cs="Calibri"/>
          <w:b/>
          <w:bCs/>
        </w:rPr>
      </w:pPr>
      <w:r>
        <w:rPr>
          <w:rFonts w:ascii="Calibri" w:eastAsia="Times New Roman" w:hAnsi="Calibri" w:cs="Calibri"/>
          <w:b/>
          <w:bCs/>
          <w:sz w:val="24"/>
          <w:szCs w:val="24"/>
        </w:rPr>
        <w:t>STLT</w:t>
      </w:r>
      <w:r w:rsidR="00A6059A" w:rsidRPr="00B87B98">
        <w:rPr>
          <w:rFonts w:ascii="Calibri" w:eastAsia="Times New Roman" w:hAnsi="Calibri" w:cs="Calibri"/>
          <w:b/>
          <w:bCs/>
          <w:sz w:val="24"/>
          <w:szCs w:val="24"/>
        </w:rPr>
        <w:t xml:space="preserve"> and Other Stockpiles</w:t>
      </w:r>
    </w:p>
    <w:p w14:paraId="44FCCB84" w14:textId="05D69812" w:rsidR="00E35D91" w:rsidRDefault="00A6059A" w:rsidP="006E4F5A">
      <w:pPr>
        <w:spacing w:line="360" w:lineRule="auto"/>
        <w:rPr>
          <w:rFonts w:ascii="Calibri" w:eastAsia="Times New Roman" w:hAnsi="Calibri" w:cs="Calibri"/>
        </w:rPr>
      </w:pPr>
      <w:r w:rsidRPr="00B87B98">
        <w:rPr>
          <w:rFonts w:ascii="Calibri" w:eastAsia="Times New Roman" w:hAnsi="Calibri" w:cs="Calibri"/>
        </w:rPr>
        <w:t>In addition to the</w:t>
      </w:r>
      <w:r w:rsidR="00AA6DEC">
        <w:rPr>
          <w:rFonts w:ascii="Calibri" w:eastAsia="Times New Roman" w:hAnsi="Calibri" w:cs="Calibri"/>
        </w:rPr>
        <w:t xml:space="preserve"> federal </w:t>
      </w:r>
      <w:r w:rsidRPr="00B87B98">
        <w:rPr>
          <w:rFonts w:ascii="Calibri" w:eastAsia="Times New Roman" w:hAnsi="Calibri" w:cs="Calibri"/>
        </w:rPr>
        <w:t xml:space="preserve">SNS, </w:t>
      </w:r>
      <w:r w:rsidR="00F06391">
        <w:rPr>
          <w:rFonts w:ascii="Calibri" w:eastAsia="Times New Roman" w:hAnsi="Calibri" w:cs="Calibri"/>
        </w:rPr>
        <w:t>STLT</w:t>
      </w:r>
      <w:r w:rsidRPr="00B87B98">
        <w:rPr>
          <w:rFonts w:ascii="Calibri" w:eastAsia="Times New Roman" w:hAnsi="Calibri" w:cs="Calibri"/>
        </w:rPr>
        <w:t xml:space="preserve"> </w:t>
      </w:r>
      <w:r w:rsidR="00F31690">
        <w:rPr>
          <w:rFonts w:ascii="Calibri" w:eastAsia="Times New Roman" w:hAnsi="Calibri" w:cs="Calibri"/>
        </w:rPr>
        <w:t xml:space="preserve">may </w:t>
      </w:r>
      <w:r w:rsidRPr="00B87B98">
        <w:rPr>
          <w:rFonts w:ascii="Calibri" w:eastAsia="Times New Roman" w:hAnsi="Calibri" w:cs="Calibri"/>
        </w:rPr>
        <w:t xml:space="preserve">have their own stockpiles of medicines and supplies purchased either with partial federal funding or </w:t>
      </w:r>
      <w:r w:rsidR="00F06391">
        <w:rPr>
          <w:rFonts w:ascii="Calibri" w:eastAsia="Times New Roman" w:hAnsi="Calibri" w:cs="Calibri"/>
        </w:rPr>
        <w:t>STLT</w:t>
      </w:r>
      <w:r w:rsidRPr="00B87B98">
        <w:rPr>
          <w:rFonts w:ascii="Calibri" w:eastAsia="Times New Roman" w:hAnsi="Calibri" w:cs="Calibri"/>
        </w:rPr>
        <w:t xml:space="preserve"> funds.</w:t>
      </w:r>
      <w:r w:rsidR="00852D1D">
        <w:rPr>
          <w:rFonts w:ascii="Calibri" w:eastAsia="Times New Roman" w:hAnsi="Calibri" w:cs="Calibri"/>
        </w:rPr>
        <w:t xml:space="preserve"> </w:t>
      </w:r>
      <w:r w:rsidRPr="00B87B98">
        <w:rPr>
          <w:rFonts w:ascii="Calibri" w:eastAsia="Times New Roman" w:hAnsi="Calibri" w:cs="Calibri"/>
        </w:rPr>
        <w:t>The</w:t>
      </w:r>
      <w:r w:rsidR="006E4F5A">
        <w:rPr>
          <w:rFonts w:ascii="Calibri" w:eastAsia="Times New Roman" w:hAnsi="Calibri" w:cs="Calibri"/>
        </w:rPr>
        <w:t xml:space="preserve"> </w:t>
      </w:r>
      <w:r w:rsidRPr="00B87B98">
        <w:rPr>
          <w:rFonts w:ascii="Calibri" w:eastAsia="Times New Roman" w:hAnsi="Calibri" w:cs="Calibri"/>
          <w:bdr w:val="none" w:sz="0" w:space="0" w:color="auto" w:frame="1"/>
        </w:rPr>
        <w:t>Cities Readiness Initiative (CRI</w:t>
      </w:r>
      <w:r w:rsidR="00CB3E40">
        <w:rPr>
          <w:rFonts w:ascii="Calibri" w:eastAsia="Times New Roman" w:hAnsi="Calibri" w:cs="Calibri"/>
          <w:bdr w:val="none" w:sz="0" w:space="0" w:color="auto" w:frame="1"/>
        </w:rPr>
        <w:t>)</w:t>
      </w:r>
      <w:r w:rsidR="006E4F5A">
        <w:rPr>
          <w:rFonts w:ascii="Calibri" w:eastAsia="Times New Roman" w:hAnsi="Calibri" w:cs="Calibri"/>
          <w:bdr w:val="none" w:sz="0" w:space="0" w:color="auto" w:frame="1"/>
        </w:rPr>
        <w:t xml:space="preserve"> </w:t>
      </w:r>
      <w:r w:rsidR="00015BD5">
        <w:rPr>
          <w:rFonts w:ascii="Calibri" w:eastAsia="Times New Roman" w:hAnsi="Calibri" w:cs="Calibri"/>
        </w:rPr>
        <w:t>w</w:t>
      </w:r>
      <w:r w:rsidRPr="00B87B98">
        <w:rPr>
          <w:rFonts w:ascii="Calibri" w:eastAsia="Times New Roman" w:hAnsi="Calibri" w:cs="Calibri"/>
        </w:rPr>
        <w:t xml:space="preserve">as created in 2004 to focus on emergency preparedness in the largest cities and metropolitan areas in the United States, where </w:t>
      </w:r>
      <w:r w:rsidR="00581B7F">
        <w:rPr>
          <w:rFonts w:ascii="Calibri" w:eastAsia="Times New Roman" w:hAnsi="Calibri" w:cs="Calibri"/>
        </w:rPr>
        <w:t>nearly 60</w:t>
      </w:r>
      <w:r w:rsidRPr="00B87B98">
        <w:rPr>
          <w:rFonts w:ascii="Calibri" w:eastAsia="Times New Roman" w:hAnsi="Calibri" w:cs="Calibri"/>
        </w:rPr>
        <w:t xml:space="preserve"> percent of the nation’s population resides.</w:t>
      </w:r>
      <w:r w:rsidR="00581B7F">
        <w:rPr>
          <w:rStyle w:val="FootnoteReference"/>
          <w:rFonts w:ascii="Calibri" w:eastAsia="Times New Roman" w:hAnsi="Calibri" w:cs="Calibri"/>
        </w:rPr>
        <w:footnoteReference w:id="27"/>
      </w:r>
      <w:r w:rsidRPr="00B87B98">
        <w:rPr>
          <w:rFonts w:ascii="Calibri" w:eastAsia="Times New Roman" w:hAnsi="Calibri" w:cs="Calibri"/>
        </w:rPr>
        <w:t xml:space="preserve"> The CRI has enabled public health departments in states and large metropolitan areas to develop plans to respond to large-scale bioterrorist events by dispensing antibiotics to the entire population of a specified metropolitan area within 48 hours.</w:t>
      </w:r>
      <w:r w:rsidR="006E4F5A">
        <w:rPr>
          <w:rStyle w:val="FootnoteReference"/>
          <w:rFonts w:ascii="Calibri" w:eastAsia="Times New Roman" w:hAnsi="Calibri" w:cs="Calibri"/>
        </w:rPr>
        <w:footnoteReference w:id="28"/>
      </w:r>
      <w:r w:rsidR="00F7094F">
        <w:rPr>
          <w:rFonts w:ascii="Calibri" w:eastAsia="Times New Roman" w:hAnsi="Calibri" w:cs="Calibri"/>
        </w:rPr>
        <w:t xml:space="preserve"> </w:t>
      </w:r>
    </w:p>
    <w:p w14:paraId="0DE48D54" w14:textId="77777777" w:rsidR="00E35D91" w:rsidRDefault="00E35D91" w:rsidP="006E4F5A">
      <w:pPr>
        <w:spacing w:line="360" w:lineRule="auto"/>
        <w:rPr>
          <w:rFonts w:ascii="Calibri" w:eastAsia="Times New Roman" w:hAnsi="Calibri" w:cs="Calibri"/>
        </w:rPr>
      </w:pPr>
    </w:p>
    <w:p w14:paraId="1C572E6C" w14:textId="5F07C494" w:rsidR="00E24271" w:rsidRDefault="00F7094F" w:rsidP="006E4F5A">
      <w:pPr>
        <w:spacing w:line="360" w:lineRule="auto"/>
        <w:rPr>
          <w:rFonts w:ascii="Calibri" w:eastAsia="Times New Roman" w:hAnsi="Calibri" w:cs="Calibri"/>
        </w:rPr>
      </w:pPr>
      <w:r>
        <w:rPr>
          <w:rFonts w:ascii="Calibri" w:eastAsia="Times New Roman" w:hAnsi="Calibri" w:cs="Calibri"/>
        </w:rPr>
        <w:t xml:space="preserve">During the </w:t>
      </w:r>
      <w:r w:rsidR="00223855">
        <w:rPr>
          <w:rFonts w:ascii="Calibri" w:eastAsia="Times New Roman" w:hAnsi="Calibri" w:cs="Calibri"/>
        </w:rPr>
        <w:t xml:space="preserve">H1N1 influenza </w:t>
      </w:r>
      <w:r w:rsidR="00246CBE">
        <w:rPr>
          <w:rFonts w:ascii="Calibri" w:eastAsia="Times New Roman" w:hAnsi="Calibri" w:cs="Calibri"/>
        </w:rPr>
        <w:t>pandemic</w:t>
      </w:r>
      <w:r w:rsidR="00223855">
        <w:rPr>
          <w:rFonts w:ascii="Calibri" w:eastAsia="Times New Roman" w:hAnsi="Calibri" w:cs="Calibri"/>
        </w:rPr>
        <w:t xml:space="preserve"> in 2009, </w:t>
      </w:r>
      <w:r w:rsidR="00E23127">
        <w:rPr>
          <w:rFonts w:ascii="Calibri" w:eastAsia="Times New Roman" w:hAnsi="Calibri" w:cs="Calibri"/>
        </w:rPr>
        <w:t>STLT governments</w:t>
      </w:r>
      <w:r w:rsidR="00305797">
        <w:rPr>
          <w:rFonts w:ascii="Calibri" w:eastAsia="Times New Roman" w:hAnsi="Calibri" w:cs="Calibri"/>
        </w:rPr>
        <w:t xml:space="preserve"> created </w:t>
      </w:r>
      <w:r w:rsidR="00E31934">
        <w:rPr>
          <w:rFonts w:ascii="Calibri" w:eastAsia="Times New Roman" w:hAnsi="Calibri" w:cs="Calibri"/>
        </w:rPr>
        <w:t>or aug</w:t>
      </w:r>
      <w:r w:rsidR="004B59C9">
        <w:rPr>
          <w:rFonts w:ascii="Calibri" w:eastAsia="Times New Roman" w:hAnsi="Calibri" w:cs="Calibri"/>
        </w:rPr>
        <w:t xml:space="preserve">mented </w:t>
      </w:r>
      <w:r w:rsidR="00E23127">
        <w:rPr>
          <w:rFonts w:ascii="Calibri" w:eastAsia="Times New Roman" w:hAnsi="Calibri" w:cs="Calibri"/>
        </w:rPr>
        <w:t>their</w:t>
      </w:r>
      <w:r w:rsidR="00305797">
        <w:rPr>
          <w:rFonts w:ascii="Calibri" w:eastAsia="Times New Roman" w:hAnsi="Calibri" w:cs="Calibri"/>
        </w:rPr>
        <w:t xml:space="preserve"> </w:t>
      </w:r>
      <w:r w:rsidR="00E35D91">
        <w:rPr>
          <w:rFonts w:ascii="Calibri" w:eastAsia="Times New Roman" w:hAnsi="Calibri" w:cs="Calibri"/>
        </w:rPr>
        <w:t xml:space="preserve">own </w:t>
      </w:r>
      <w:r w:rsidR="005B428D">
        <w:rPr>
          <w:rFonts w:ascii="Calibri" w:eastAsia="Times New Roman" w:hAnsi="Calibri" w:cs="Calibri"/>
        </w:rPr>
        <w:t xml:space="preserve">existing </w:t>
      </w:r>
      <w:r w:rsidR="00305797">
        <w:rPr>
          <w:rFonts w:ascii="Calibri" w:eastAsia="Times New Roman" w:hAnsi="Calibri" w:cs="Calibri"/>
        </w:rPr>
        <w:t xml:space="preserve">caches </w:t>
      </w:r>
      <w:r w:rsidR="004B59C9">
        <w:rPr>
          <w:rFonts w:ascii="Calibri" w:eastAsia="Times New Roman" w:hAnsi="Calibri" w:cs="Calibri"/>
        </w:rPr>
        <w:t xml:space="preserve">by supplementing with </w:t>
      </w:r>
      <w:r w:rsidR="00305797">
        <w:rPr>
          <w:rFonts w:ascii="Calibri" w:eastAsia="Times New Roman" w:hAnsi="Calibri" w:cs="Calibri"/>
        </w:rPr>
        <w:t>antiviral</w:t>
      </w:r>
      <w:r w:rsidR="006E2D8F">
        <w:rPr>
          <w:rFonts w:ascii="Calibri" w:eastAsia="Times New Roman" w:hAnsi="Calibri" w:cs="Calibri"/>
        </w:rPr>
        <w:t>s</w:t>
      </w:r>
      <w:r w:rsidR="00305797">
        <w:rPr>
          <w:rFonts w:ascii="Calibri" w:eastAsia="Times New Roman" w:hAnsi="Calibri" w:cs="Calibri"/>
        </w:rPr>
        <w:t xml:space="preserve"> and</w:t>
      </w:r>
      <w:r w:rsidR="006E2D8F">
        <w:rPr>
          <w:rFonts w:ascii="Calibri" w:eastAsia="Times New Roman" w:hAnsi="Calibri" w:cs="Calibri"/>
        </w:rPr>
        <w:t xml:space="preserve"> medical supplies like </w:t>
      </w:r>
      <w:r w:rsidR="00CB6CF9">
        <w:rPr>
          <w:rFonts w:ascii="Calibri" w:eastAsia="Times New Roman" w:hAnsi="Calibri" w:cs="Calibri"/>
        </w:rPr>
        <w:t xml:space="preserve">N95 </w:t>
      </w:r>
      <w:r w:rsidR="00E35D91">
        <w:rPr>
          <w:rFonts w:ascii="Calibri" w:eastAsia="Times New Roman" w:hAnsi="Calibri" w:cs="Calibri"/>
        </w:rPr>
        <w:t>respirators</w:t>
      </w:r>
      <w:r w:rsidR="002A5954">
        <w:rPr>
          <w:rFonts w:ascii="Calibri" w:eastAsia="Times New Roman" w:hAnsi="Calibri" w:cs="Calibri"/>
        </w:rPr>
        <w:t>.</w:t>
      </w:r>
      <w:r w:rsidR="00246CBE">
        <w:rPr>
          <w:rStyle w:val="FootnoteReference"/>
          <w:rFonts w:ascii="Calibri" w:eastAsia="Times New Roman" w:hAnsi="Calibri" w:cs="Calibri"/>
        </w:rPr>
        <w:footnoteReference w:id="29"/>
      </w:r>
      <w:r w:rsidR="00E23127">
        <w:rPr>
          <w:rFonts w:ascii="Calibri" w:eastAsia="Times New Roman" w:hAnsi="Calibri" w:cs="Calibri"/>
        </w:rPr>
        <w:t xml:space="preserve"> </w:t>
      </w:r>
      <w:r w:rsidR="001708DC">
        <w:rPr>
          <w:rFonts w:ascii="Calibri" w:eastAsia="Times New Roman" w:hAnsi="Calibri" w:cs="Calibri"/>
        </w:rPr>
        <w:t>The</w:t>
      </w:r>
      <w:r w:rsidR="001F2CBB">
        <w:rPr>
          <w:rFonts w:ascii="Calibri" w:eastAsia="Times New Roman" w:hAnsi="Calibri" w:cs="Calibri"/>
        </w:rPr>
        <w:t xml:space="preserve"> response to the </w:t>
      </w:r>
      <w:r w:rsidR="001708DC">
        <w:rPr>
          <w:rFonts w:ascii="Calibri" w:eastAsia="Times New Roman" w:hAnsi="Calibri" w:cs="Calibri"/>
        </w:rPr>
        <w:t xml:space="preserve">H1N1 pandemic </w:t>
      </w:r>
      <w:r w:rsidR="001F2CBB">
        <w:rPr>
          <w:rFonts w:ascii="Calibri" w:eastAsia="Times New Roman" w:hAnsi="Calibri" w:cs="Calibri"/>
        </w:rPr>
        <w:t>experienced</w:t>
      </w:r>
      <w:r w:rsidR="001708DC">
        <w:rPr>
          <w:rFonts w:ascii="Calibri" w:eastAsia="Times New Roman" w:hAnsi="Calibri" w:cs="Calibri"/>
        </w:rPr>
        <w:t xml:space="preserve"> shortages of key medical products and supplies</w:t>
      </w:r>
      <w:r w:rsidR="00AA4B4F">
        <w:rPr>
          <w:rFonts w:ascii="Calibri" w:eastAsia="Times New Roman" w:hAnsi="Calibri" w:cs="Calibri"/>
        </w:rPr>
        <w:t xml:space="preserve"> and required </w:t>
      </w:r>
      <w:r w:rsidR="00125813">
        <w:rPr>
          <w:rFonts w:ascii="Calibri" w:eastAsia="Times New Roman" w:hAnsi="Calibri" w:cs="Calibri"/>
        </w:rPr>
        <w:t>reliance on commercial supply chains</w:t>
      </w:r>
      <w:r w:rsidR="00CE0589">
        <w:rPr>
          <w:rFonts w:ascii="Calibri" w:eastAsia="Times New Roman" w:hAnsi="Calibri" w:cs="Calibri"/>
        </w:rPr>
        <w:t xml:space="preserve"> to provide </w:t>
      </w:r>
      <w:r w:rsidR="001F2CBB">
        <w:rPr>
          <w:rFonts w:ascii="Calibri" w:eastAsia="Times New Roman" w:hAnsi="Calibri" w:cs="Calibri"/>
        </w:rPr>
        <w:t xml:space="preserve">these </w:t>
      </w:r>
      <w:r w:rsidR="00CE0589">
        <w:rPr>
          <w:rFonts w:ascii="Calibri" w:eastAsia="Times New Roman" w:hAnsi="Calibri" w:cs="Calibri"/>
        </w:rPr>
        <w:t xml:space="preserve">materials. </w:t>
      </w:r>
      <w:r w:rsidR="006962DB">
        <w:rPr>
          <w:rFonts w:ascii="Calibri" w:eastAsia="Times New Roman" w:hAnsi="Calibri" w:cs="Calibri"/>
        </w:rPr>
        <w:t xml:space="preserve">To address these shortages, </w:t>
      </w:r>
      <w:r w:rsidR="00606BDD">
        <w:rPr>
          <w:rFonts w:ascii="Calibri" w:eastAsia="Times New Roman" w:hAnsi="Calibri" w:cs="Calibri"/>
        </w:rPr>
        <w:t xml:space="preserve">a </w:t>
      </w:r>
      <w:r w:rsidR="00CE0589">
        <w:rPr>
          <w:rFonts w:ascii="Calibri" w:eastAsia="Times New Roman" w:hAnsi="Calibri" w:cs="Calibri"/>
        </w:rPr>
        <w:t xml:space="preserve">limited-access </w:t>
      </w:r>
      <w:r w:rsidR="00A1746B">
        <w:rPr>
          <w:color w:val="000000"/>
          <w:shd w:val="clear" w:color="auto" w:fill="FFFFFF"/>
        </w:rPr>
        <w:t xml:space="preserve">Commercial Supply Chain Dashboard </w:t>
      </w:r>
      <w:r w:rsidR="00EE6282">
        <w:rPr>
          <w:rFonts w:ascii="Calibri" w:eastAsia="Times New Roman" w:hAnsi="Calibri" w:cs="Calibri"/>
        </w:rPr>
        <w:t>was created in cooperation with federal and state governments and private sector</w:t>
      </w:r>
      <w:r w:rsidR="00814209">
        <w:rPr>
          <w:rFonts w:ascii="Calibri" w:eastAsia="Times New Roman" w:hAnsi="Calibri" w:cs="Calibri"/>
        </w:rPr>
        <w:t xml:space="preserve"> suppliers</w:t>
      </w:r>
      <w:r w:rsidR="003F4EC6">
        <w:rPr>
          <w:rFonts w:ascii="Calibri" w:eastAsia="Times New Roman" w:hAnsi="Calibri" w:cs="Calibri"/>
        </w:rPr>
        <w:t xml:space="preserve">. The goal </w:t>
      </w:r>
      <w:r w:rsidR="007F139E">
        <w:rPr>
          <w:rFonts w:ascii="Calibri" w:eastAsia="Times New Roman" w:hAnsi="Calibri" w:cs="Calibri"/>
        </w:rPr>
        <w:t>of the effort</w:t>
      </w:r>
      <w:r w:rsidR="006C3F66">
        <w:rPr>
          <w:rFonts w:ascii="Calibri" w:eastAsia="Times New Roman" w:hAnsi="Calibri" w:cs="Calibri"/>
        </w:rPr>
        <w:t>—developed in two months—</w:t>
      </w:r>
      <w:r w:rsidR="003F4EC6">
        <w:rPr>
          <w:rFonts w:ascii="Calibri" w:eastAsia="Times New Roman" w:hAnsi="Calibri" w:cs="Calibri"/>
        </w:rPr>
        <w:t xml:space="preserve">was </w:t>
      </w:r>
      <w:r w:rsidR="006C3F66">
        <w:rPr>
          <w:rFonts w:ascii="Calibri" w:eastAsia="Times New Roman" w:hAnsi="Calibri" w:cs="Calibri"/>
        </w:rPr>
        <w:t>to</w:t>
      </w:r>
      <w:r w:rsidR="009672D2">
        <w:rPr>
          <w:rFonts w:ascii="Calibri" w:eastAsia="Times New Roman" w:hAnsi="Calibri" w:cs="Calibri"/>
        </w:rPr>
        <w:t xml:space="preserve"> “</w:t>
      </w:r>
      <w:r w:rsidR="003F4EC6">
        <w:rPr>
          <w:color w:val="000000"/>
          <w:shd w:val="clear" w:color="auto" w:fill="FFFFFF"/>
        </w:rPr>
        <w:t>help federal and state public health officials make more informed decisions about what to release and when by providing a snapshot of quantities on hand in the commercial supply chain as well as in federal and state stockpiles.</w:t>
      </w:r>
      <w:r w:rsidR="009672D2">
        <w:rPr>
          <w:color w:val="000000"/>
          <w:shd w:val="clear" w:color="auto" w:fill="FFFFFF"/>
        </w:rPr>
        <w:t>”</w:t>
      </w:r>
      <w:r w:rsidR="009672D2">
        <w:rPr>
          <w:rStyle w:val="FootnoteReference"/>
          <w:color w:val="000000"/>
          <w:shd w:val="clear" w:color="auto" w:fill="FFFFFF"/>
        </w:rPr>
        <w:footnoteReference w:id="30"/>
      </w:r>
      <w:r w:rsidR="00C62752">
        <w:rPr>
          <w:rFonts w:ascii="Calibri" w:eastAsia="Times New Roman" w:hAnsi="Calibri" w:cs="Calibri"/>
        </w:rPr>
        <w:t xml:space="preserve"> Limited access to </w:t>
      </w:r>
      <w:r w:rsidR="008F20BD">
        <w:rPr>
          <w:rFonts w:ascii="Calibri" w:eastAsia="Times New Roman" w:hAnsi="Calibri" w:cs="Calibri"/>
        </w:rPr>
        <w:t xml:space="preserve">dashboard </w:t>
      </w:r>
      <w:r w:rsidR="00C62752">
        <w:rPr>
          <w:rFonts w:ascii="Calibri" w:eastAsia="Times New Roman" w:hAnsi="Calibri" w:cs="Calibri"/>
        </w:rPr>
        <w:t xml:space="preserve">data helped to </w:t>
      </w:r>
      <w:r w:rsidR="007C0C16">
        <w:rPr>
          <w:rFonts w:ascii="Calibri" w:eastAsia="Times New Roman" w:hAnsi="Calibri" w:cs="Calibri"/>
        </w:rPr>
        <w:t xml:space="preserve">address </w:t>
      </w:r>
      <w:r w:rsidR="00FB4C70" w:rsidRPr="00FB4C70">
        <w:rPr>
          <w:rFonts w:ascii="Calibri" w:eastAsia="Times New Roman" w:hAnsi="Calibri" w:cs="Calibri"/>
        </w:rPr>
        <w:t>private partner</w:t>
      </w:r>
      <w:r w:rsidR="007C0C16">
        <w:rPr>
          <w:rFonts w:ascii="Calibri" w:eastAsia="Times New Roman" w:hAnsi="Calibri" w:cs="Calibri"/>
        </w:rPr>
        <w:t xml:space="preserve">s’ concerns about competition and antitrust </w:t>
      </w:r>
      <w:r w:rsidR="00B85388">
        <w:rPr>
          <w:rFonts w:ascii="Calibri" w:eastAsia="Times New Roman" w:hAnsi="Calibri" w:cs="Calibri"/>
        </w:rPr>
        <w:t>issue</w:t>
      </w:r>
      <w:r w:rsidR="00E31934">
        <w:rPr>
          <w:rFonts w:ascii="Calibri" w:eastAsia="Times New Roman" w:hAnsi="Calibri" w:cs="Calibri"/>
        </w:rPr>
        <w:t>s.</w:t>
      </w:r>
      <w:r w:rsidR="00606BDD">
        <w:rPr>
          <w:rStyle w:val="FootnoteReference"/>
          <w:rFonts w:ascii="Calibri" w:eastAsia="Times New Roman" w:hAnsi="Calibri" w:cs="Calibri"/>
        </w:rPr>
        <w:footnoteReference w:id="31"/>
      </w:r>
      <w:r w:rsidR="00E31934">
        <w:rPr>
          <w:rFonts w:ascii="Calibri" w:eastAsia="Times New Roman" w:hAnsi="Calibri" w:cs="Calibri"/>
        </w:rPr>
        <w:t xml:space="preserve"> </w:t>
      </w:r>
    </w:p>
    <w:p w14:paraId="30EB49A4" w14:textId="77777777" w:rsidR="00E24271" w:rsidRDefault="00E24271" w:rsidP="006E4F5A">
      <w:pPr>
        <w:spacing w:line="360" w:lineRule="auto"/>
        <w:rPr>
          <w:rFonts w:ascii="Calibri" w:eastAsia="Times New Roman" w:hAnsi="Calibri" w:cs="Calibri"/>
        </w:rPr>
      </w:pPr>
    </w:p>
    <w:p w14:paraId="43920FEA" w14:textId="5F86EA72" w:rsidR="00F06391" w:rsidRDefault="0098053F" w:rsidP="006E4F5A">
      <w:pPr>
        <w:spacing w:line="360" w:lineRule="auto"/>
        <w:rPr>
          <w:rFonts w:ascii="Calibri" w:eastAsia="Times New Roman" w:hAnsi="Calibri" w:cs="Calibri"/>
        </w:rPr>
      </w:pPr>
      <w:r>
        <w:rPr>
          <w:rFonts w:ascii="Calibri" w:eastAsia="Times New Roman" w:hAnsi="Calibri" w:cs="Calibri"/>
        </w:rPr>
        <w:t>Importantly, STLT</w:t>
      </w:r>
      <w:r w:rsidR="00267032" w:rsidRPr="007D4A7D">
        <w:rPr>
          <w:rFonts w:ascii="Calibri" w:eastAsia="Times New Roman" w:hAnsi="Calibri" w:cs="Calibri"/>
        </w:rPr>
        <w:t xml:space="preserve">-maintained stockpiles are not currently eligible for participation in </w:t>
      </w:r>
      <w:r w:rsidR="007D4A7D">
        <w:rPr>
          <w:rFonts w:ascii="Calibri" w:eastAsia="Times New Roman" w:hAnsi="Calibri" w:cs="Calibri"/>
        </w:rPr>
        <w:t xml:space="preserve">the federal </w:t>
      </w:r>
      <w:r w:rsidR="00267032" w:rsidRPr="007D4A7D">
        <w:rPr>
          <w:rFonts w:ascii="Calibri" w:eastAsia="Times New Roman" w:hAnsi="Calibri" w:cs="Calibri"/>
        </w:rPr>
        <w:t>SLEP.</w:t>
      </w:r>
      <w:r w:rsidR="00F95F0A">
        <w:rPr>
          <w:rStyle w:val="FootnoteReference"/>
          <w:rFonts w:ascii="Calibri" w:eastAsia="Times New Roman" w:hAnsi="Calibri" w:cs="Calibri"/>
        </w:rPr>
        <w:footnoteReference w:id="32"/>
      </w:r>
      <w:r w:rsidR="007D4A7D">
        <w:rPr>
          <w:rFonts w:ascii="Calibri" w:eastAsia="Times New Roman" w:hAnsi="Calibri" w:cs="Calibri"/>
        </w:rPr>
        <w:t xml:space="preserve"> However, FDA has addressed </w:t>
      </w:r>
      <w:r w:rsidR="006E5C74">
        <w:rPr>
          <w:rFonts w:ascii="Calibri" w:eastAsia="Times New Roman" w:hAnsi="Calibri" w:cs="Calibri"/>
        </w:rPr>
        <w:t xml:space="preserve">the issue of extending expiration dates </w:t>
      </w:r>
      <w:r w:rsidR="008B7F9B">
        <w:rPr>
          <w:rFonts w:ascii="Calibri" w:eastAsia="Times New Roman" w:hAnsi="Calibri" w:cs="Calibri"/>
        </w:rPr>
        <w:t xml:space="preserve">of its regulated products </w:t>
      </w:r>
      <w:r w:rsidR="006E5C74">
        <w:rPr>
          <w:rFonts w:ascii="Calibri" w:eastAsia="Times New Roman" w:hAnsi="Calibri" w:cs="Calibri"/>
        </w:rPr>
        <w:t>in non-f</w:t>
      </w:r>
      <w:r w:rsidR="00F06391">
        <w:rPr>
          <w:rFonts w:ascii="Calibri" w:eastAsia="Times New Roman" w:hAnsi="Calibri" w:cs="Calibri"/>
        </w:rPr>
        <w:t>ederal stockpiles</w:t>
      </w:r>
      <w:r w:rsidR="00D47AA8">
        <w:rPr>
          <w:rFonts w:ascii="Calibri" w:eastAsia="Times New Roman" w:hAnsi="Calibri" w:cs="Calibri"/>
        </w:rPr>
        <w:t xml:space="preserve"> through several mechanisms</w:t>
      </w:r>
      <w:r w:rsidR="005A6F33">
        <w:rPr>
          <w:rFonts w:ascii="Calibri" w:eastAsia="Times New Roman" w:hAnsi="Calibri" w:cs="Calibri"/>
        </w:rPr>
        <w:t xml:space="preserve">, including: extension requests initiated by the manufacturer; </w:t>
      </w:r>
      <w:r w:rsidR="003F2D67">
        <w:rPr>
          <w:rFonts w:ascii="Calibri" w:eastAsia="Times New Roman" w:hAnsi="Calibri" w:cs="Calibri"/>
        </w:rPr>
        <w:t>emergency use authorities (including stockpile-initiated requests)</w:t>
      </w:r>
      <w:r w:rsidR="005B7C66">
        <w:rPr>
          <w:rFonts w:ascii="Calibri" w:eastAsia="Times New Roman" w:hAnsi="Calibri" w:cs="Calibri"/>
        </w:rPr>
        <w:t xml:space="preserve">; FDA enforcement discretion; and, expiration dating extensions for </w:t>
      </w:r>
      <w:r w:rsidR="00C93F17">
        <w:rPr>
          <w:rFonts w:ascii="Calibri" w:eastAsia="Times New Roman" w:hAnsi="Calibri" w:cs="Calibri"/>
        </w:rPr>
        <w:t>specific medical countermeasures (e.g., antivirals, Doxyc</w:t>
      </w:r>
      <w:r w:rsidR="00F47366">
        <w:rPr>
          <w:rFonts w:ascii="Calibri" w:eastAsia="Times New Roman" w:hAnsi="Calibri" w:cs="Calibri"/>
        </w:rPr>
        <w:t xml:space="preserve">ycline, </w:t>
      </w:r>
      <w:r w:rsidR="001E6C96">
        <w:rPr>
          <w:rFonts w:ascii="Calibri" w:eastAsia="Times New Roman" w:hAnsi="Calibri" w:cs="Calibri"/>
        </w:rPr>
        <w:t>nerve-agent auto-injectors, Potassium Iodide)</w:t>
      </w:r>
      <w:r w:rsidR="00D47AA8">
        <w:rPr>
          <w:rFonts w:ascii="Calibri" w:eastAsia="Times New Roman" w:hAnsi="Calibri" w:cs="Calibri"/>
        </w:rPr>
        <w:t>.</w:t>
      </w:r>
      <w:r w:rsidR="00D47AA8">
        <w:rPr>
          <w:rStyle w:val="FootnoteReference"/>
          <w:rFonts w:ascii="Calibri" w:eastAsia="Times New Roman" w:hAnsi="Calibri" w:cs="Calibri"/>
        </w:rPr>
        <w:footnoteReference w:id="33"/>
      </w:r>
    </w:p>
    <w:p w14:paraId="55DD1092" w14:textId="0CD7699D" w:rsidR="00D32615" w:rsidRDefault="00D32615" w:rsidP="006E4F5A">
      <w:pPr>
        <w:spacing w:line="360" w:lineRule="auto"/>
        <w:rPr>
          <w:rFonts w:ascii="Calibri" w:eastAsia="Times New Roman" w:hAnsi="Calibri" w:cs="Calibri"/>
        </w:rPr>
      </w:pPr>
    </w:p>
    <w:p w14:paraId="3EFB6F79" w14:textId="4EF03AB7" w:rsidR="00D32615" w:rsidRDefault="00D32615" w:rsidP="006E4F5A">
      <w:pPr>
        <w:spacing w:line="360" w:lineRule="auto"/>
        <w:rPr>
          <w:rFonts w:ascii="Calibri" w:eastAsia="Times New Roman" w:hAnsi="Calibri" w:cs="Calibri"/>
        </w:rPr>
      </w:pPr>
    </w:p>
    <w:p w14:paraId="71095C70" w14:textId="315A203A" w:rsidR="00D32615" w:rsidRDefault="00D32615" w:rsidP="006E4F5A">
      <w:pPr>
        <w:spacing w:line="360" w:lineRule="auto"/>
        <w:rPr>
          <w:rFonts w:ascii="Calibri" w:eastAsia="Times New Roman" w:hAnsi="Calibri" w:cs="Calibri"/>
        </w:rPr>
      </w:pPr>
      <w:r>
        <w:rPr>
          <w:noProof/>
        </w:rPr>
        <mc:AlternateContent>
          <mc:Choice Requires="wps">
            <w:drawing>
              <wp:anchor distT="45720" distB="45720" distL="114300" distR="114300" simplePos="0" relativeHeight="251661312" behindDoc="0" locked="0" layoutInCell="1" allowOverlap="1" wp14:anchorId="699316D4" wp14:editId="5CAD4D04">
                <wp:simplePos x="0" y="0"/>
                <wp:positionH relativeFrom="margin">
                  <wp:align>center</wp:align>
                </wp:positionH>
                <wp:positionV relativeFrom="paragraph">
                  <wp:posOffset>3308985</wp:posOffset>
                </wp:positionV>
                <wp:extent cx="5513705" cy="1404620"/>
                <wp:effectExtent l="0" t="0" r="10795"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0F2C2C5A" w14:textId="77777777" w:rsidR="00D32615" w:rsidRPr="004C64AD" w:rsidRDefault="00D32615" w:rsidP="00D32615">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9316D4" id="_x0000_s1027" type="#_x0000_t202" style="position:absolute;margin-left:0;margin-top:260.5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fJJgIAAEw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">
                <v:textbox style="mso-fit-shape-to-text:t">
                  <w:txbxContent>
                    <w:p w14:paraId="0F2C2C5A" w14:textId="77777777" w:rsidR="00D32615" w:rsidRPr="004C64AD" w:rsidRDefault="00D32615" w:rsidP="00D32615">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D32615" w:rsidSect="00E643F5">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4F118" w14:textId="77777777" w:rsidR="00D60EC4" w:rsidRDefault="00D60EC4" w:rsidP="001D7142">
      <w:r>
        <w:separator/>
      </w:r>
    </w:p>
  </w:endnote>
  <w:endnote w:type="continuationSeparator" w:id="0">
    <w:p w14:paraId="4595663E" w14:textId="77777777" w:rsidR="00D60EC4" w:rsidRDefault="00D60EC4" w:rsidP="001D7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4227725"/>
      <w:docPartObj>
        <w:docPartGallery w:val="Page Numbers (Bottom of Page)"/>
        <w:docPartUnique/>
      </w:docPartObj>
    </w:sdtPr>
    <w:sdtEndPr>
      <w:rPr>
        <w:noProof/>
      </w:rPr>
    </w:sdtEndPr>
    <w:sdtContent>
      <w:p w14:paraId="7A23F16F" w14:textId="3788C706" w:rsidR="001D7142" w:rsidRDefault="001D7142" w:rsidP="001D71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28F92" w14:textId="77777777" w:rsidR="00C635B4" w:rsidRDefault="00C635B4" w:rsidP="00C635B4">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35CB0B9D" w14:textId="5AA5ECA1" w:rsidR="00E643F5" w:rsidRDefault="00C635B4" w:rsidP="00C635B4">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BF8EBB" w14:textId="77777777" w:rsidR="00D60EC4" w:rsidRDefault="00D60EC4" w:rsidP="001D7142">
      <w:r>
        <w:separator/>
      </w:r>
    </w:p>
  </w:footnote>
  <w:footnote w:type="continuationSeparator" w:id="0">
    <w:p w14:paraId="1B662C20" w14:textId="77777777" w:rsidR="00D60EC4" w:rsidRDefault="00D60EC4" w:rsidP="001D7142">
      <w:r>
        <w:continuationSeparator/>
      </w:r>
    </w:p>
  </w:footnote>
  <w:footnote w:id="1">
    <w:p w14:paraId="00C79660" w14:textId="0E982467" w:rsidR="00D019A7" w:rsidRDefault="00D019A7">
      <w:pPr>
        <w:pStyle w:val="FootnoteText"/>
      </w:pPr>
      <w:r w:rsidRPr="006B646B">
        <w:rPr>
          <w:b/>
          <w:bCs/>
          <w:highlight w:val="yellow"/>
        </w:rPr>
        <w:t xml:space="preserve">Footnotes will be streamlined and edited to </w:t>
      </w:r>
      <w:r>
        <w:rPr>
          <w:b/>
          <w:bCs/>
          <w:highlight w:val="yellow"/>
        </w:rPr>
        <w:t xml:space="preserve">a </w:t>
      </w:r>
      <w:r w:rsidRPr="006B646B">
        <w:rPr>
          <w:b/>
          <w:bCs/>
          <w:highlight w:val="yellow"/>
        </w:rPr>
        <w:t>style guide once text is finalized</w:t>
      </w:r>
    </w:p>
    <w:p w14:paraId="7B85B3A6" w14:textId="5776B7D7" w:rsidR="00D019A7" w:rsidRDefault="00D019A7">
      <w:pPr>
        <w:pStyle w:val="FootnoteText"/>
      </w:pPr>
      <w:r>
        <w:rPr>
          <w:rStyle w:val="FootnoteReference"/>
        </w:rPr>
        <w:footnoteRef/>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1" w:history="1">
        <w:r w:rsidRPr="00DB577A">
          <w:rPr>
            <w:rStyle w:val="Hyperlink"/>
          </w:rPr>
          <w:t>https://chemm.nlm.nih.gov/sns.htm</w:t>
        </w:r>
      </w:hyperlink>
      <w:r w:rsidRPr="009365EB">
        <w:t>.</w:t>
      </w:r>
      <w:r>
        <w:t xml:space="preserve"> Accessed June 4, 2020.</w:t>
      </w:r>
      <w:r w:rsidR="00F57E22">
        <w:t xml:space="preserve"> </w:t>
      </w:r>
      <w:r w:rsidR="007B49D0" w:rsidRPr="000F210D">
        <w:rPr>
          <w:i/>
          <w:iCs/>
        </w:rPr>
        <w:t>No</w:t>
      </w:r>
      <w:r w:rsidR="000F210D" w:rsidRPr="000F210D">
        <w:rPr>
          <w:i/>
          <w:iCs/>
        </w:rPr>
        <w:t>te:</w:t>
      </w:r>
      <w:r w:rsidR="000F210D">
        <w:t xml:space="preserve"> </w:t>
      </w:r>
      <w:r w:rsidR="00F57E22" w:rsidRPr="00502E91">
        <w:t>The current SNS program has its origin in the National Pharmaceutical Stockpile (NPS), which Congress required HHS and CDC to create in 1999. The mission of the NPS was to assemble large quantities of essential medical supplies to provide to states and communities during an emergency within 12 hours of a federal decision to deploy the stockpile. In 2003, the NPS was renamed the SNS.</w:t>
      </w:r>
    </w:p>
  </w:footnote>
  <w:footnote w:id="2">
    <w:p w14:paraId="6E327678" w14:textId="556FC0A0" w:rsidR="00A73838" w:rsidRDefault="00A73838">
      <w:pPr>
        <w:pStyle w:val="FootnoteText"/>
      </w:pPr>
      <w:r>
        <w:rPr>
          <w:rStyle w:val="FootnoteReference"/>
        </w:rPr>
        <w:footnoteRef/>
      </w:r>
      <w:r>
        <w:t xml:space="preserve"> Public Health Service Act</w:t>
      </w:r>
      <w:r w:rsidR="00FA328E">
        <w:t xml:space="preserve"> §</w:t>
      </w:r>
      <w:r w:rsidR="00FA328E" w:rsidRPr="00FA328E">
        <w:t xml:space="preserve"> 319F-2</w:t>
      </w:r>
      <w:r w:rsidR="00FA328E">
        <w:t xml:space="preserve">; </w:t>
      </w:r>
      <w:r w:rsidR="00F3766C" w:rsidRPr="00F3766C">
        <w:t>42 U.S.C. § 247d-6b</w:t>
      </w:r>
      <w:r w:rsidR="00F3766C">
        <w:t>.</w:t>
      </w:r>
    </w:p>
  </w:footnote>
  <w:footnote w:id="3">
    <w:p w14:paraId="491913A8" w14:textId="78A29AE6" w:rsidR="00E607D9" w:rsidRDefault="00E607D9">
      <w:pPr>
        <w:pStyle w:val="FootnoteText"/>
      </w:pPr>
      <w:r>
        <w:rPr>
          <w:rStyle w:val="FootnoteReference"/>
        </w:rPr>
        <w:footnoteRef/>
      </w:r>
      <w:r>
        <w:t xml:space="preserve"> </w:t>
      </w:r>
      <w:r w:rsidRPr="00E607D9">
        <w:t>42 U.S.C. § 300hh-10(c)(3)(b).</w:t>
      </w:r>
    </w:p>
  </w:footnote>
  <w:footnote w:id="4">
    <w:p w14:paraId="5BA5E8AF" w14:textId="55C3F9F0" w:rsidR="007C21A6" w:rsidRDefault="007C21A6" w:rsidP="007C21A6">
      <w:pPr>
        <w:pStyle w:val="FootnoteText"/>
      </w:pPr>
      <w:r>
        <w:rPr>
          <w:rStyle w:val="FootnoteReference"/>
        </w:rPr>
        <w:footnoteRef/>
      </w:r>
      <w:r>
        <w:t xml:space="preserve"> Public Health Service Act §</w:t>
      </w:r>
      <w:r w:rsidRPr="00FA328E">
        <w:t xml:space="preserve"> 319F-2</w:t>
      </w:r>
      <w:r>
        <w:t xml:space="preserve">; </w:t>
      </w:r>
      <w:r w:rsidRPr="00F3766C">
        <w:t>42 U.S.C. § 247d-6b</w:t>
      </w:r>
      <w:r>
        <w:t>.</w:t>
      </w:r>
      <w:r w:rsidR="00314CBE">
        <w:t xml:space="preserve"> The </w:t>
      </w:r>
      <w:r w:rsidR="0009628E">
        <w:t xml:space="preserve">statute also requires that the </w:t>
      </w:r>
      <w:r w:rsidR="00314CBE">
        <w:t xml:space="preserve">review must also </w:t>
      </w:r>
      <w:r w:rsidR="00E46ED4">
        <w:t>consider</w:t>
      </w:r>
      <w:r w:rsidR="00314CBE">
        <w:t xml:space="preserve"> the needs of at-risk individuals.</w:t>
      </w:r>
    </w:p>
  </w:footnote>
  <w:footnote w:id="5">
    <w:p w14:paraId="74380D7F" w14:textId="26B2B25D" w:rsidR="00A745A3" w:rsidRDefault="00A745A3">
      <w:pPr>
        <w:pStyle w:val="FootnoteText"/>
      </w:pPr>
      <w:r>
        <w:rPr>
          <w:rStyle w:val="FootnoteReference"/>
        </w:rPr>
        <w:footnoteRef/>
      </w:r>
      <w:r>
        <w:t xml:space="preserve"> </w:t>
      </w:r>
      <w:r w:rsidR="00CE2272" w:rsidRPr="00CE2272">
        <w:t>The role of PHEMCH is to coordinate federal efforts to enhance</w:t>
      </w:r>
      <w:r w:rsidR="00CE2272">
        <w:t xml:space="preserve"> </w:t>
      </w:r>
      <w:r w:rsidR="00A359B5">
        <w:t xml:space="preserve">MCM </w:t>
      </w:r>
      <w:r w:rsidR="00CE2272">
        <w:t>preparedness</w:t>
      </w:r>
      <w:r w:rsidR="00CE2272" w:rsidRPr="00CE2272">
        <w:t xml:space="preserve"> </w:t>
      </w:r>
      <w:r w:rsidR="002128A9">
        <w:t xml:space="preserve">for </w:t>
      </w:r>
      <w:r w:rsidR="00DD2F5E">
        <w:t xml:space="preserve">threats from </w:t>
      </w:r>
      <w:r w:rsidR="002128A9">
        <w:t>chemical, biological, radio</w:t>
      </w:r>
      <w:r w:rsidR="00DD2F5E">
        <w:t xml:space="preserve">logical, </w:t>
      </w:r>
      <w:r w:rsidR="00EC5704">
        <w:t xml:space="preserve">nuclear, </w:t>
      </w:r>
      <w:r w:rsidR="00CE2272" w:rsidRPr="00CE2272">
        <w:t>emerging infectious diseases</w:t>
      </w:r>
      <w:r w:rsidR="00EC5704">
        <w:t>,</w:t>
      </w:r>
      <w:r w:rsidR="00CE2272" w:rsidRPr="00CE2272">
        <w:t xml:space="preserve"> and pandemic</w:t>
      </w:r>
      <w:r w:rsidR="00EC5704">
        <w:t xml:space="preserve">s. </w:t>
      </w:r>
      <w:r w:rsidRPr="00A745A3">
        <w:t>The HHS ASPR leads PHEMCE, which includes three HHS agencies: CDC, FDA</w:t>
      </w:r>
      <w:r w:rsidR="00B97EEC">
        <w:t xml:space="preserve">, </w:t>
      </w:r>
      <w:r w:rsidR="008F0DF0">
        <w:t xml:space="preserve">and </w:t>
      </w:r>
      <w:r w:rsidRPr="00A745A3">
        <w:t>NIH. It also includes DoD</w:t>
      </w:r>
      <w:r w:rsidR="008F0DF0">
        <w:t>, the VA, DHS, and USDA.</w:t>
      </w:r>
    </w:p>
  </w:footnote>
  <w:footnote w:id="6">
    <w:p w14:paraId="75BE8B94" w14:textId="1B780E29" w:rsidR="005D5FC8" w:rsidRDefault="005D5FC8" w:rsidP="005D5FC8">
      <w:pPr>
        <w:pStyle w:val="FootnoteText"/>
      </w:pPr>
      <w:r>
        <w:rPr>
          <w:rStyle w:val="FootnoteReference"/>
        </w:rPr>
        <w:footnoteRef/>
      </w:r>
      <w:r>
        <w:t xml:space="preserve"> Public Health Service Act §</w:t>
      </w:r>
      <w:r w:rsidRPr="00FA328E">
        <w:t xml:space="preserve"> 319F-2</w:t>
      </w:r>
      <w:r>
        <w:t xml:space="preserve">; </w:t>
      </w:r>
      <w:r w:rsidRPr="00F3766C">
        <w:t>42 U.S.C. § 247d-6b</w:t>
      </w:r>
      <w:r>
        <w:t>.</w:t>
      </w:r>
      <w:r w:rsidR="00CA1C93">
        <w:t xml:space="preserve"> </w:t>
      </w:r>
      <w:r w:rsidR="00A049F1">
        <w:t>42 U.S.C. § 300hh-10a.</w:t>
      </w:r>
    </w:p>
  </w:footnote>
  <w:footnote w:id="7">
    <w:p w14:paraId="2D1D1524" w14:textId="57848F43" w:rsidR="004F26EB" w:rsidRDefault="004F26EB">
      <w:pPr>
        <w:pStyle w:val="FootnoteText"/>
      </w:pPr>
      <w:r>
        <w:rPr>
          <w:rStyle w:val="FootnoteReference"/>
        </w:rPr>
        <w:footnoteRef/>
      </w:r>
      <w:r>
        <w:t xml:space="preserve"> </w:t>
      </w:r>
      <w:r w:rsidR="007250BE" w:rsidRPr="007250BE">
        <w:t>42 U.S. Code § 247d–6b</w:t>
      </w:r>
      <w:r w:rsidR="007250BE">
        <w:t>.</w:t>
      </w:r>
    </w:p>
  </w:footnote>
  <w:footnote w:id="8">
    <w:p w14:paraId="0E8DB0F6" w14:textId="15D68EF0" w:rsidR="0095019F" w:rsidRDefault="0095019F">
      <w:pPr>
        <w:pStyle w:val="FootnoteText"/>
      </w:pPr>
      <w:r>
        <w:rPr>
          <w:rStyle w:val="FootnoteReference"/>
        </w:rPr>
        <w:footnoteRef/>
      </w:r>
      <w:r>
        <w:t xml:space="preserve"> </w:t>
      </w:r>
      <w:r w:rsidR="007250BE" w:rsidRPr="007250BE">
        <w:t>42 U.S. Code § 247d–6b</w:t>
      </w:r>
      <w:r w:rsidR="007250BE">
        <w:t>.</w:t>
      </w:r>
    </w:p>
  </w:footnote>
  <w:footnote w:id="9">
    <w:p w14:paraId="0E96D519" w14:textId="5BA20198" w:rsidR="00A62663" w:rsidRDefault="00A62663">
      <w:pPr>
        <w:pStyle w:val="FootnoteText"/>
      </w:pPr>
      <w:r>
        <w:rPr>
          <w:rStyle w:val="FootnoteReference"/>
        </w:rPr>
        <w:footnoteRef/>
      </w:r>
      <w:r w:rsidR="00402980">
        <w:t xml:space="preserve"> </w:t>
      </w:r>
      <w:r w:rsidR="00637072" w:rsidRPr="009365EB">
        <w:t xml:space="preserve">HHS. Chemical Hazards Emergency Medical Management (CHEMM). Strategic National Stockpile (SNS). Webpage last reviewed </w:t>
      </w:r>
      <w:r w:rsidR="00637072">
        <w:t>by HHS April 17</w:t>
      </w:r>
      <w:r w:rsidR="00637072" w:rsidRPr="009365EB">
        <w:t xml:space="preserve">, 2020. Retrieved from </w:t>
      </w:r>
      <w:hyperlink r:id="rId2" w:history="1">
        <w:r w:rsidR="00637072" w:rsidRPr="00DB577A">
          <w:rPr>
            <w:rStyle w:val="Hyperlink"/>
          </w:rPr>
          <w:t>https://chemm.nlm.nih.gov/sns.htm</w:t>
        </w:r>
      </w:hyperlink>
      <w:r w:rsidR="00637072" w:rsidRPr="009365EB">
        <w:t>.</w:t>
      </w:r>
      <w:r w:rsidR="00637072">
        <w:t xml:space="preserve"> Accessed June 4, 2020.</w:t>
      </w:r>
    </w:p>
  </w:footnote>
  <w:footnote w:id="10">
    <w:p w14:paraId="255DD868" w14:textId="7311350E" w:rsidR="00B741D6" w:rsidRDefault="00B741D6">
      <w:pPr>
        <w:pStyle w:val="FootnoteText"/>
      </w:pPr>
      <w:r>
        <w:rPr>
          <w:rStyle w:val="FootnoteReference"/>
        </w:rPr>
        <w:footnoteRef/>
      </w:r>
      <w:r>
        <w:t xml:space="preserve"> </w:t>
      </w:r>
      <w:bookmarkStart w:id="1" w:name="_Hlk42199832"/>
      <w:r w:rsidR="00E155B5" w:rsidRPr="009365EB">
        <w:t xml:space="preserve">HHS. Chemical Hazards Emergency Medical Management (CHEMM). Strategic National Stockpile (SNS). Webpage last reviewed </w:t>
      </w:r>
      <w:r w:rsidR="00E155B5">
        <w:t>by HHS April 17</w:t>
      </w:r>
      <w:r w:rsidR="00E155B5" w:rsidRPr="009365EB">
        <w:t xml:space="preserve">, 2020. Retrieved from </w:t>
      </w:r>
      <w:hyperlink r:id="rId3" w:history="1">
        <w:r w:rsidR="00E155B5" w:rsidRPr="00DB577A">
          <w:rPr>
            <w:rStyle w:val="Hyperlink"/>
          </w:rPr>
          <w:t>https://chemm.nlm.nih.gov/sns.htm</w:t>
        </w:r>
      </w:hyperlink>
      <w:r w:rsidR="00E155B5" w:rsidRPr="009365EB">
        <w:t>.</w:t>
      </w:r>
      <w:r w:rsidR="00E155B5">
        <w:t xml:space="preserve"> Accessed June 4, 2020.</w:t>
      </w:r>
      <w:bookmarkEnd w:id="1"/>
    </w:p>
  </w:footnote>
  <w:footnote w:id="11">
    <w:p w14:paraId="238E806C" w14:textId="64AB8D1F" w:rsidR="00675A3B" w:rsidRDefault="00675A3B" w:rsidP="00675A3B">
      <w:pPr>
        <w:pStyle w:val="FootnoteText"/>
      </w:pPr>
      <w:r>
        <w:rPr>
          <w:rStyle w:val="FootnoteReference"/>
        </w:rPr>
        <w:footnoteRef/>
      </w:r>
      <w:r>
        <w:t xml:space="preserve"> HHS ASPR. </w:t>
      </w:r>
      <w:r w:rsidRPr="00C303FA">
        <w:t>Strategic National Stockpile</w:t>
      </w:r>
      <w:r>
        <w:t xml:space="preserve">. </w:t>
      </w:r>
      <w:r w:rsidR="007716F7">
        <w:t xml:space="preserve">Webpage </w:t>
      </w:r>
      <w:r w:rsidR="001249B5">
        <w:t xml:space="preserve">version as of </w:t>
      </w:r>
      <w:r w:rsidR="007716F7">
        <w:t>March 2</w:t>
      </w:r>
      <w:r w:rsidR="00CD0B51">
        <w:t>1</w:t>
      </w:r>
      <w:r w:rsidR="00E90574">
        <w:t>, 2020</w:t>
      </w:r>
      <w:r w:rsidR="0016506C">
        <w:t xml:space="preserve"> r</w:t>
      </w:r>
      <w:r w:rsidR="001E5A5A">
        <w:t>etrieved from</w:t>
      </w:r>
      <w:r w:rsidR="00C5086F">
        <w:t xml:space="preserve"> Internet Archive</w:t>
      </w:r>
      <w:r w:rsidR="001E5A5A">
        <w:t xml:space="preserve"> </w:t>
      </w:r>
      <w:r w:rsidR="00E24A28">
        <w:t xml:space="preserve">at </w:t>
      </w:r>
      <w:hyperlink r:id="rId4" w:history="1">
        <w:r w:rsidR="00E24A28">
          <w:rPr>
            <w:rStyle w:val="Hyperlink"/>
          </w:rPr>
          <w:t>https://web.archive.org/web/20200401024027/https://www.phe.gov/about/sns/Pages/default.aspx</w:t>
        </w:r>
      </w:hyperlink>
      <w:r w:rsidR="00E24A28">
        <w:t>. Accessed June 4, 2020.</w:t>
      </w:r>
      <w:r>
        <w:t xml:space="preserve"> </w:t>
      </w:r>
    </w:p>
  </w:footnote>
  <w:footnote w:id="12">
    <w:p w14:paraId="41A5E3FE" w14:textId="52D1F906" w:rsidR="00FB081A" w:rsidRDefault="00FB081A">
      <w:pPr>
        <w:pStyle w:val="FootnoteText"/>
      </w:pPr>
      <w:r>
        <w:rPr>
          <w:rStyle w:val="FootnoteReference"/>
        </w:rPr>
        <w:footnoteRef/>
      </w:r>
      <w:r>
        <w:t xml:space="preserve"> </w:t>
      </w:r>
      <w:r w:rsidR="00DF14AE">
        <w:t xml:space="preserve">HHS ASPR. </w:t>
      </w:r>
      <w:r w:rsidR="00DF14AE" w:rsidRPr="00C303FA">
        <w:t>Strategic National Stockpile</w:t>
      </w:r>
      <w:r w:rsidR="00DF14AE">
        <w:t>. Webpage version as of March 2</w:t>
      </w:r>
      <w:r w:rsidR="00CD0B51">
        <w:t>1</w:t>
      </w:r>
      <w:r w:rsidR="00DF14AE">
        <w:t xml:space="preserve">, 2020 retrieved from Internet Archive at </w:t>
      </w:r>
      <w:hyperlink r:id="rId5" w:history="1">
        <w:r w:rsidR="00DF14AE">
          <w:rPr>
            <w:rStyle w:val="Hyperlink"/>
          </w:rPr>
          <w:t>https://web.archive.org/web/20200401024027/https://www.phe.gov/about/sns/Pages/default.aspx</w:t>
        </w:r>
      </w:hyperlink>
      <w:r w:rsidR="00DF14AE">
        <w:t>. Accessed June 4, 2020.</w:t>
      </w:r>
    </w:p>
  </w:footnote>
  <w:footnote w:id="13">
    <w:p w14:paraId="6F4D6288" w14:textId="0206D04A" w:rsidR="0068487A" w:rsidRDefault="0068487A">
      <w:pPr>
        <w:pStyle w:val="FootnoteText"/>
      </w:pPr>
      <w:r>
        <w:rPr>
          <w:rStyle w:val="FootnoteReference"/>
        </w:rPr>
        <w:footnoteRef/>
      </w:r>
      <w:r>
        <w:t xml:space="preserve"> </w:t>
      </w:r>
      <w:r w:rsidR="00DF14AE">
        <w:t xml:space="preserve">HHS ASPR. </w:t>
      </w:r>
      <w:r w:rsidR="00DF14AE" w:rsidRPr="00EA5483">
        <w:t>Stockpile</w:t>
      </w:r>
      <w:r w:rsidR="00DF14AE">
        <w:t xml:space="preserve"> Responses.</w:t>
      </w:r>
      <w:r w:rsidR="00DF14AE" w:rsidRPr="00EA5483">
        <w:t xml:space="preserve"> </w:t>
      </w:r>
      <w:r w:rsidR="00DF14AE">
        <w:t>W</w:t>
      </w:r>
      <w:r w:rsidR="00DF14AE" w:rsidRPr="00EA5483">
        <w:t>ebpage</w:t>
      </w:r>
      <w:r w:rsidR="00DF14AE">
        <w:t xml:space="preserve"> last reviewed by HHS May 30, 2020.</w:t>
      </w:r>
      <w:r w:rsidR="00DF14AE" w:rsidRPr="00EA5483">
        <w:t xml:space="preserve"> </w:t>
      </w:r>
      <w:r w:rsidR="00DF14AE">
        <w:t xml:space="preserve">Retrieved from </w:t>
      </w:r>
      <w:hyperlink r:id="rId6" w:history="1">
        <w:r w:rsidR="00DF14AE">
          <w:rPr>
            <w:rStyle w:val="Hyperlink"/>
          </w:rPr>
          <w:t>https://www.phe.gov/about/sns/Pages/responses.aspx</w:t>
        </w:r>
      </w:hyperlink>
      <w:r w:rsidR="00DF14AE">
        <w:t>.</w:t>
      </w:r>
      <w:r w:rsidR="00DF14AE" w:rsidRPr="0037561E">
        <w:t xml:space="preserve"> </w:t>
      </w:r>
      <w:r w:rsidR="00DF14AE">
        <w:t>Accessed June 4, 2020.</w:t>
      </w:r>
    </w:p>
  </w:footnote>
  <w:footnote w:id="14">
    <w:p w14:paraId="02043B39" w14:textId="7137662E" w:rsidR="00C846F6" w:rsidRDefault="00C846F6">
      <w:pPr>
        <w:pStyle w:val="FootnoteText"/>
      </w:pPr>
      <w:r>
        <w:rPr>
          <w:rStyle w:val="FootnoteReference"/>
        </w:rPr>
        <w:footnoteRef/>
      </w:r>
      <w:r>
        <w:t xml:space="preserve"> </w:t>
      </w:r>
      <w:r w:rsidR="003A5ED4">
        <w:t xml:space="preserve">HHS ASPR. </w:t>
      </w:r>
      <w:r w:rsidR="003A5ED4" w:rsidRPr="00C303FA">
        <w:t>Strategic National Stockpile</w:t>
      </w:r>
      <w:r w:rsidR="003A5ED4">
        <w:t xml:space="preserve">. Webpage last reviewed by HHS </w:t>
      </w:r>
      <w:r w:rsidR="00AF0B89">
        <w:t xml:space="preserve">April 3, 2020. Retrieved from </w:t>
      </w:r>
      <w:hyperlink r:id="rId7" w:history="1">
        <w:r w:rsidR="00AF0B89">
          <w:rPr>
            <w:rStyle w:val="Hyperlink"/>
          </w:rPr>
          <w:t>https://www.phe.gov/about/sns/Pages/default.aspx</w:t>
        </w:r>
      </w:hyperlink>
      <w:r w:rsidR="00AF0B89">
        <w:t>. Accessed June 4, 2020.</w:t>
      </w:r>
    </w:p>
  </w:footnote>
  <w:footnote w:id="15">
    <w:p w14:paraId="0ED9CD8B" w14:textId="3482A777" w:rsidR="00BA2D82" w:rsidRDefault="00BA2D82">
      <w:pPr>
        <w:pStyle w:val="FootnoteText"/>
      </w:pPr>
      <w:r>
        <w:rPr>
          <w:rStyle w:val="FootnoteReference"/>
        </w:rPr>
        <w:footnoteRef/>
      </w:r>
      <w:r>
        <w:t xml:space="preserve"> </w:t>
      </w:r>
      <w:r w:rsidR="00483755">
        <w:t xml:space="preserve">HHS ASPR. </w:t>
      </w:r>
      <w:r w:rsidR="00483755" w:rsidRPr="00EA5483">
        <w:t>Stockpile</w:t>
      </w:r>
      <w:r w:rsidR="00483755">
        <w:t xml:space="preserve"> Products.</w:t>
      </w:r>
      <w:r w:rsidR="00483755" w:rsidRPr="00EA5483">
        <w:t xml:space="preserve"> </w:t>
      </w:r>
      <w:r w:rsidR="00483755">
        <w:t>W</w:t>
      </w:r>
      <w:r w:rsidR="00483755" w:rsidRPr="00EA5483">
        <w:t>ebpage</w:t>
      </w:r>
      <w:r w:rsidR="00483755">
        <w:t xml:space="preserve"> last reviewed by HHS April 16, 2020.</w:t>
      </w:r>
      <w:r w:rsidR="00483755" w:rsidRPr="00EA5483">
        <w:t xml:space="preserve"> </w:t>
      </w:r>
      <w:r w:rsidR="00483755">
        <w:t xml:space="preserve">Retrieved from </w:t>
      </w:r>
      <w:hyperlink r:id="rId8" w:history="1">
        <w:r w:rsidR="00483755">
          <w:rPr>
            <w:rStyle w:val="Hyperlink"/>
          </w:rPr>
          <w:t>https://www.phe.gov/about/sns/Pages/products.aspx</w:t>
        </w:r>
      </w:hyperlink>
      <w:r w:rsidR="00483755">
        <w:t>.</w:t>
      </w:r>
      <w:r w:rsidR="00483755" w:rsidRPr="0037561E">
        <w:t xml:space="preserve"> </w:t>
      </w:r>
      <w:r w:rsidR="00483755">
        <w:t>Accessed June 4, 2020.</w:t>
      </w:r>
    </w:p>
  </w:footnote>
  <w:footnote w:id="16">
    <w:p w14:paraId="72C97F41" w14:textId="77777777" w:rsidR="008B352A" w:rsidRDefault="008B352A" w:rsidP="008B352A">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9" w:history="1">
        <w:r>
          <w:rPr>
            <w:rStyle w:val="Hyperlink"/>
          </w:rPr>
          <w:t>https://www.phe.gov/about/sns/Pages/products.aspx</w:t>
        </w:r>
      </w:hyperlink>
      <w:r>
        <w:t>. Accessed June 4, 2020.</w:t>
      </w:r>
    </w:p>
  </w:footnote>
  <w:footnote w:id="17">
    <w:p w14:paraId="63C88654" w14:textId="771C2E4E" w:rsidR="00EA5483" w:rsidRDefault="00EA5483">
      <w:pPr>
        <w:pStyle w:val="FootnoteText"/>
      </w:pPr>
      <w:r>
        <w:rPr>
          <w:rStyle w:val="FootnoteReference"/>
        </w:rPr>
        <w:footnoteRef/>
      </w:r>
      <w:r>
        <w:t xml:space="preserve"> </w:t>
      </w:r>
      <w:bookmarkStart w:id="2" w:name="_Hlk42201210"/>
      <w:r w:rsidR="006A6385">
        <w:t xml:space="preserve">HHS ASPR. </w:t>
      </w:r>
      <w:r w:rsidRPr="00EA5483">
        <w:t>Stockpile</w:t>
      </w:r>
      <w:r w:rsidR="00371C6E">
        <w:t xml:space="preserve"> Products.</w:t>
      </w:r>
      <w:r w:rsidRPr="00EA5483">
        <w:t xml:space="preserve"> </w:t>
      </w:r>
      <w:r w:rsidR="006A6385">
        <w:t>W</w:t>
      </w:r>
      <w:r w:rsidRPr="00EA5483">
        <w:t>ebpage</w:t>
      </w:r>
      <w:r w:rsidR="006A6385">
        <w:t xml:space="preserve"> last reviewed </w:t>
      </w:r>
      <w:r w:rsidR="00F70285">
        <w:t>by HHS April 16, 2020.</w:t>
      </w:r>
      <w:r w:rsidRPr="00EA5483">
        <w:t xml:space="preserve"> </w:t>
      </w:r>
      <w:r w:rsidR="006A6385">
        <w:t xml:space="preserve">Retrieved from </w:t>
      </w:r>
      <w:hyperlink r:id="rId10" w:history="1">
        <w:r w:rsidR="006A6385">
          <w:rPr>
            <w:rStyle w:val="Hyperlink"/>
          </w:rPr>
          <w:t>https://www.phe.gov/about/sns/Pages/products.aspx</w:t>
        </w:r>
      </w:hyperlink>
      <w:r w:rsidR="006A6385">
        <w:t>.</w:t>
      </w:r>
      <w:r w:rsidR="0037561E" w:rsidRPr="0037561E">
        <w:t xml:space="preserve"> </w:t>
      </w:r>
      <w:r w:rsidR="00DC602F">
        <w:t>Accessed June 4, 2020.</w:t>
      </w:r>
      <w:bookmarkEnd w:id="2"/>
    </w:p>
  </w:footnote>
  <w:footnote w:id="18">
    <w:p w14:paraId="384338CA" w14:textId="77777777" w:rsidR="0026704D" w:rsidRDefault="0026704D" w:rsidP="0026704D">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1" w:history="1">
        <w:r>
          <w:rPr>
            <w:rStyle w:val="Hyperlink"/>
          </w:rPr>
          <w:t>https://www.phe.gov/about/sns/Pages/products.aspx</w:t>
        </w:r>
      </w:hyperlink>
      <w:r>
        <w:t xml:space="preserve">. Accessed June 4, 2020. </w:t>
      </w:r>
      <w:r w:rsidRPr="00523C3F">
        <w:rPr>
          <w:i/>
          <w:iCs/>
        </w:rPr>
        <w:t>See also</w:t>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12" w:history="1">
        <w:r w:rsidRPr="00DB577A">
          <w:rPr>
            <w:rStyle w:val="Hyperlink"/>
          </w:rPr>
          <w:t>https://chemm.nlm.nih.gov/sns.htm</w:t>
        </w:r>
      </w:hyperlink>
      <w:r w:rsidRPr="009365EB">
        <w:t>.</w:t>
      </w:r>
      <w:r>
        <w:t xml:space="preserve"> Accessed June 4, 2020.</w:t>
      </w:r>
    </w:p>
  </w:footnote>
  <w:footnote w:id="19">
    <w:p w14:paraId="05E6707B" w14:textId="77777777" w:rsidR="0026704D" w:rsidRDefault="0026704D" w:rsidP="0026704D">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3" w:history="1">
        <w:r>
          <w:rPr>
            <w:rStyle w:val="Hyperlink"/>
          </w:rPr>
          <w:t>https://www.phe.gov/about/sns/Pages/products.aspx</w:t>
        </w:r>
      </w:hyperlink>
      <w:r>
        <w:t>. Accessed June 4, 2020.</w:t>
      </w:r>
    </w:p>
  </w:footnote>
  <w:footnote w:id="20">
    <w:p w14:paraId="7475E304" w14:textId="77777777" w:rsidR="0026704D" w:rsidRDefault="0026704D" w:rsidP="0026704D">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4" w:history="1">
        <w:r>
          <w:rPr>
            <w:rStyle w:val="Hyperlink"/>
          </w:rPr>
          <w:t>https://www.phe.gov/about/sns/Pages/products.aspx</w:t>
        </w:r>
      </w:hyperlink>
      <w:r>
        <w:t>. Accessed June 4, 2020.</w:t>
      </w:r>
    </w:p>
  </w:footnote>
  <w:footnote w:id="21">
    <w:p w14:paraId="3C85B731" w14:textId="77777777" w:rsidR="0071371F" w:rsidRDefault="0071371F" w:rsidP="0071371F">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5" w:history="1">
        <w:r>
          <w:rPr>
            <w:rStyle w:val="Hyperlink"/>
          </w:rPr>
          <w:t>https://www.phe.gov/about/sns/Pages/products.aspx</w:t>
        </w:r>
      </w:hyperlink>
      <w:r>
        <w:t>. Accessed June 4, 2020.</w:t>
      </w:r>
    </w:p>
  </w:footnote>
  <w:footnote w:id="22">
    <w:p w14:paraId="34784C21" w14:textId="54CCFA8B" w:rsidR="009365EB" w:rsidRDefault="009365EB">
      <w:pPr>
        <w:pStyle w:val="FootnoteText"/>
      </w:pPr>
      <w:r>
        <w:rPr>
          <w:rStyle w:val="FootnoteReference"/>
        </w:rPr>
        <w:footnoteRef/>
      </w:r>
      <w:r>
        <w:t xml:space="preserve"> </w:t>
      </w:r>
      <w:bookmarkStart w:id="3" w:name="_Hlk42198469"/>
      <w:r w:rsidRPr="009365EB">
        <w:t xml:space="preserve">HHS. Chemical Hazards Emergency Medical Management (CHEMM). Strategic National Stockpile (SNS). Webpage last reviewed </w:t>
      </w:r>
      <w:r w:rsidR="00560878">
        <w:t xml:space="preserve">by HHS </w:t>
      </w:r>
      <w:r w:rsidR="00CA40EF">
        <w:t>April 17</w:t>
      </w:r>
      <w:r w:rsidRPr="009365EB">
        <w:t xml:space="preserve">, 2020. Retrieved from </w:t>
      </w:r>
      <w:hyperlink r:id="rId16" w:history="1">
        <w:r w:rsidRPr="00DB577A">
          <w:rPr>
            <w:rStyle w:val="Hyperlink"/>
          </w:rPr>
          <w:t>https://chemm.nlm.nih.gov/sns.htm</w:t>
        </w:r>
      </w:hyperlink>
      <w:r w:rsidRPr="009365EB">
        <w:t>.</w:t>
      </w:r>
      <w:r>
        <w:t xml:space="preserve"> </w:t>
      </w:r>
      <w:r w:rsidR="00CA40EF">
        <w:t>Accessed June 4, 2020.</w:t>
      </w:r>
      <w:bookmarkEnd w:id="3"/>
    </w:p>
  </w:footnote>
  <w:footnote w:id="23">
    <w:p w14:paraId="1BC0C057" w14:textId="2050E098" w:rsidR="006732A2" w:rsidRDefault="006732A2">
      <w:pPr>
        <w:pStyle w:val="FootnoteText"/>
      </w:pPr>
      <w:r>
        <w:rPr>
          <w:rStyle w:val="FootnoteReference"/>
        </w:rPr>
        <w:footnoteRef/>
      </w:r>
      <w:r>
        <w:t xml:space="preserve"> </w:t>
      </w:r>
      <w:r w:rsidR="003C664B" w:rsidRPr="009365EB">
        <w:t xml:space="preserve">HHS. Chemical Hazards Emergency Medical Management (CHEMM). Strategic National Stockpile (SNS). Webpage last reviewed </w:t>
      </w:r>
      <w:r w:rsidR="003C664B">
        <w:t>by HHS April 17</w:t>
      </w:r>
      <w:r w:rsidR="003C664B" w:rsidRPr="009365EB">
        <w:t xml:space="preserve">, 2020. Retrieved from </w:t>
      </w:r>
      <w:hyperlink r:id="rId17" w:history="1">
        <w:r w:rsidR="003C664B" w:rsidRPr="00DB577A">
          <w:rPr>
            <w:rStyle w:val="Hyperlink"/>
          </w:rPr>
          <w:t>https://chemm.nlm.nih.gov/sns.htm</w:t>
        </w:r>
      </w:hyperlink>
      <w:r w:rsidR="003C664B" w:rsidRPr="009365EB">
        <w:t>.</w:t>
      </w:r>
      <w:r w:rsidR="003C664B">
        <w:t xml:space="preserve"> Accessed June 4, 2020.</w:t>
      </w:r>
    </w:p>
  </w:footnote>
  <w:footnote w:id="24">
    <w:p w14:paraId="6D37E72C" w14:textId="149AC68C" w:rsidR="006732A2" w:rsidRDefault="006732A2">
      <w:pPr>
        <w:pStyle w:val="FootnoteText"/>
      </w:pPr>
      <w:r>
        <w:rPr>
          <w:rStyle w:val="FootnoteReference"/>
        </w:rPr>
        <w:footnoteRef/>
      </w:r>
      <w:r>
        <w:t xml:space="preserve"> </w:t>
      </w:r>
      <w:r w:rsidR="003C664B" w:rsidRPr="009365EB">
        <w:t xml:space="preserve">HHS. Chemical Hazards Emergency Medical Management (CHEMM). Strategic National Stockpile (SNS). Webpage last reviewed </w:t>
      </w:r>
      <w:r w:rsidR="003C664B">
        <w:t>by HHS April 17</w:t>
      </w:r>
      <w:r w:rsidR="003C664B" w:rsidRPr="009365EB">
        <w:t xml:space="preserve">, 2020. Retrieved from </w:t>
      </w:r>
      <w:hyperlink r:id="rId18" w:history="1">
        <w:r w:rsidR="003C664B" w:rsidRPr="00DB577A">
          <w:rPr>
            <w:rStyle w:val="Hyperlink"/>
          </w:rPr>
          <w:t>https://chemm.nlm.nih.gov/sns.htm</w:t>
        </w:r>
      </w:hyperlink>
      <w:r w:rsidR="003C664B" w:rsidRPr="009365EB">
        <w:t>.</w:t>
      </w:r>
      <w:r w:rsidR="003C664B">
        <w:t xml:space="preserve"> Accessed June 4, 2020.</w:t>
      </w:r>
    </w:p>
  </w:footnote>
  <w:footnote w:id="25">
    <w:p w14:paraId="73E719E9" w14:textId="697EEB88" w:rsidR="003D1CE2" w:rsidRDefault="003D1CE2">
      <w:pPr>
        <w:pStyle w:val="FootnoteText"/>
      </w:pPr>
      <w:r>
        <w:rPr>
          <w:rStyle w:val="FootnoteReference"/>
        </w:rPr>
        <w:footnoteRef/>
      </w:r>
      <w:r>
        <w:t xml:space="preserve"> </w:t>
      </w:r>
      <w:r w:rsidR="00E50EF6">
        <w:t xml:space="preserve">HHS ASPR. </w:t>
      </w:r>
      <w:r w:rsidR="00E50EF6" w:rsidRPr="00EA5483">
        <w:t>Stockpile</w:t>
      </w:r>
      <w:r w:rsidR="00E50EF6">
        <w:t xml:space="preserve"> Products.</w:t>
      </w:r>
      <w:r w:rsidR="00E50EF6" w:rsidRPr="00EA5483">
        <w:t xml:space="preserve"> </w:t>
      </w:r>
      <w:r w:rsidR="00E50EF6">
        <w:t>W</w:t>
      </w:r>
      <w:r w:rsidR="00E50EF6" w:rsidRPr="00EA5483">
        <w:t>ebpage</w:t>
      </w:r>
      <w:r w:rsidR="00E50EF6">
        <w:t xml:space="preserve"> last reviewed by HHS April 16, 2020.</w:t>
      </w:r>
      <w:r w:rsidR="00E50EF6" w:rsidRPr="00EA5483">
        <w:t xml:space="preserve"> </w:t>
      </w:r>
      <w:r w:rsidR="00E50EF6">
        <w:t xml:space="preserve">Retrieved from </w:t>
      </w:r>
      <w:hyperlink r:id="rId19" w:history="1">
        <w:r w:rsidR="00E50EF6">
          <w:rPr>
            <w:rStyle w:val="Hyperlink"/>
          </w:rPr>
          <w:t>https://www.phe.gov/about/sns/Pages/products.aspx</w:t>
        </w:r>
      </w:hyperlink>
      <w:r w:rsidR="00E50EF6">
        <w:t>. Accessed June 4, 2020.</w:t>
      </w:r>
    </w:p>
  </w:footnote>
  <w:footnote w:id="26">
    <w:p w14:paraId="7E0DC9B1" w14:textId="119CFA0C" w:rsidR="00213E9E" w:rsidRDefault="00213E9E">
      <w:pPr>
        <w:pStyle w:val="FootnoteText"/>
      </w:pPr>
      <w:r>
        <w:rPr>
          <w:rStyle w:val="FootnoteReference"/>
        </w:rPr>
        <w:footnoteRef/>
      </w:r>
      <w:r>
        <w:t xml:space="preserve"> </w:t>
      </w:r>
      <w:r w:rsidR="004C15F2">
        <w:t xml:space="preserve">HHS ASPR. </w:t>
      </w:r>
      <w:r w:rsidR="004C15F2" w:rsidRPr="004C15F2">
        <w:t>Sustaining the Stockpile</w:t>
      </w:r>
      <w:r w:rsidR="004C15F2">
        <w:t xml:space="preserve">. </w:t>
      </w:r>
      <w:r w:rsidR="008107C4" w:rsidRPr="009365EB">
        <w:t xml:space="preserve">Webpage last reviewed </w:t>
      </w:r>
      <w:r w:rsidR="008107C4">
        <w:t>by HHS April 16</w:t>
      </w:r>
      <w:r w:rsidR="008107C4" w:rsidRPr="009365EB">
        <w:t xml:space="preserve">, 2020. Retrieved from </w:t>
      </w:r>
      <w:hyperlink r:id="rId20" w:history="1">
        <w:r w:rsidR="00ED3DC5" w:rsidRPr="00ED3DC5">
          <w:rPr>
            <w:rStyle w:val="Hyperlink"/>
          </w:rPr>
          <w:t>https://www.phe.gov/about/sns/Pages/sustaining.aspx</w:t>
        </w:r>
      </w:hyperlink>
      <w:r w:rsidR="008107C4" w:rsidRPr="009365EB">
        <w:t>.</w:t>
      </w:r>
      <w:r w:rsidR="008107C4">
        <w:t xml:space="preserve"> Accessed June 4, 2020.</w:t>
      </w:r>
    </w:p>
  </w:footnote>
  <w:footnote w:id="27">
    <w:p w14:paraId="488ABE44" w14:textId="22162D76" w:rsidR="00581B7F" w:rsidRDefault="00581B7F">
      <w:pPr>
        <w:pStyle w:val="FootnoteText"/>
      </w:pPr>
      <w:r>
        <w:rPr>
          <w:rStyle w:val="FootnoteReference"/>
        </w:rPr>
        <w:footnoteRef/>
      </w:r>
      <w:r>
        <w:t xml:space="preserve"> </w:t>
      </w:r>
      <w:r w:rsidRPr="006E4F5A">
        <w:t xml:space="preserve">CDC. </w:t>
      </w:r>
      <w:r w:rsidRPr="002B3279">
        <w:t>Cities Readiness Initiative</w:t>
      </w:r>
      <w:r>
        <w:t>. W</w:t>
      </w:r>
      <w:r w:rsidRPr="006E4F5A">
        <w:t>ebpage</w:t>
      </w:r>
      <w:r>
        <w:t xml:space="preserve"> last reviewed </w:t>
      </w:r>
      <w:r w:rsidR="00701CA6">
        <w:t xml:space="preserve">by CDC </w:t>
      </w:r>
      <w:r>
        <w:t xml:space="preserve">July 16, 2019. Retrieved from </w:t>
      </w:r>
      <w:hyperlink r:id="rId21" w:history="1">
        <w:r>
          <w:rPr>
            <w:rStyle w:val="Hyperlink"/>
          </w:rPr>
          <w:t>https://www.cdc.gov/cpr/readiness/mcm/cri.html</w:t>
        </w:r>
      </w:hyperlink>
      <w:r w:rsidRPr="006E4F5A">
        <w:t>.</w:t>
      </w:r>
      <w:r w:rsidR="00701CA6">
        <w:t xml:space="preserve"> Accessed June 4, 2020.</w:t>
      </w:r>
    </w:p>
  </w:footnote>
  <w:footnote w:id="28">
    <w:p w14:paraId="75E62DE0" w14:textId="2E5F11B8" w:rsidR="006E4F5A" w:rsidRDefault="006E4F5A">
      <w:pPr>
        <w:pStyle w:val="FootnoteText"/>
      </w:pPr>
      <w:r>
        <w:rPr>
          <w:rStyle w:val="FootnoteReference"/>
        </w:rPr>
        <w:footnoteRef/>
      </w:r>
      <w:r>
        <w:t xml:space="preserve"> </w:t>
      </w:r>
      <w:r w:rsidR="00701CA6" w:rsidRPr="006E4F5A">
        <w:t xml:space="preserve">CDC. </w:t>
      </w:r>
      <w:r w:rsidR="00701CA6" w:rsidRPr="002B3279">
        <w:t>Cities Readiness Initiative</w:t>
      </w:r>
      <w:r w:rsidR="00701CA6">
        <w:t>. W</w:t>
      </w:r>
      <w:r w:rsidR="00701CA6" w:rsidRPr="006E4F5A">
        <w:t>ebpage</w:t>
      </w:r>
      <w:r w:rsidR="00701CA6">
        <w:t xml:space="preserve"> last reviewed by CDC July 16, 2019. Retrieved from </w:t>
      </w:r>
      <w:hyperlink r:id="rId22" w:history="1">
        <w:r w:rsidR="00701CA6">
          <w:rPr>
            <w:rStyle w:val="Hyperlink"/>
          </w:rPr>
          <w:t>https://www.cdc.gov/cpr/readiness/mcm/cri.html</w:t>
        </w:r>
      </w:hyperlink>
      <w:r w:rsidR="00701CA6" w:rsidRPr="006E4F5A">
        <w:t>.</w:t>
      </w:r>
      <w:r w:rsidR="00701CA6">
        <w:t xml:space="preserve"> Accessed June 4, 2020.</w:t>
      </w:r>
    </w:p>
  </w:footnote>
  <w:footnote w:id="29">
    <w:p w14:paraId="4F64AD65" w14:textId="7843EB93" w:rsidR="00246CBE" w:rsidRDefault="00246CBE">
      <w:pPr>
        <w:pStyle w:val="FootnoteText"/>
      </w:pPr>
      <w:r>
        <w:rPr>
          <w:rStyle w:val="FootnoteReference"/>
        </w:rPr>
        <w:footnoteRef/>
      </w:r>
      <w:r>
        <w:t xml:space="preserve"> </w:t>
      </w:r>
      <w:r w:rsidR="003978F5" w:rsidRPr="003978F5">
        <w:t>Institute of Medicine</w:t>
      </w:r>
      <w:r w:rsidR="003978F5">
        <w:t>.</w:t>
      </w:r>
      <w:r w:rsidR="00D40473" w:rsidRPr="00D40473">
        <w:t xml:space="preserve"> Forum on Medical and Public Health Preparedness for Catastrophic Events. Medical Countermeasures Dispensing: Emergency Use Authorization and the Postal Model, Workshop Summary. Washington (DC): National Academies Press (US); 2010. Medical Countermeasures Distribution and Dispensing in Response to the 2009 H1N1 Influenza Pandemic. </w:t>
      </w:r>
      <w:r w:rsidR="00D40473">
        <w:t>Retrieved</w:t>
      </w:r>
      <w:r w:rsidR="00D40473" w:rsidRPr="00D40473">
        <w:t xml:space="preserve"> from </w:t>
      </w:r>
      <w:hyperlink r:id="rId23" w:history="1">
        <w:r w:rsidR="00D40473" w:rsidRPr="001F175C">
          <w:rPr>
            <w:rStyle w:val="Hyperlink"/>
          </w:rPr>
          <w:t>https://www.ncbi.nlm.nih.gov/books/NBK53127/</w:t>
        </w:r>
      </w:hyperlink>
      <w:r w:rsidR="00D40473">
        <w:t>. Accessed June 4, 2020.</w:t>
      </w:r>
    </w:p>
  </w:footnote>
  <w:footnote w:id="30">
    <w:p w14:paraId="4C91E1EF" w14:textId="4A8D08D7" w:rsidR="009672D2" w:rsidRDefault="009672D2">
      <w:pPr>
        <w:pStyle w:val="FootnoteText"/>
      </w:pPr>
      <w:r>
        <w:rPr>
          <w:rStyle w:val="FootnoteReference"/>
        </w:rPr>
        <w:footnoteRef/>
      </w:r>
      <w:r>
        <w:t xml:space="preserve"> </w:t>
      </w:r>
      <w:r w:rsidRPr="003978F5">
        <w:t>Institute of Medicine</w:t>
      </w:r>
      <w:r>
        <w:t>.</w:t>
      </w:r>
      <w:r w:rsidRPr="00D40473">
        <w:t xml:space="preserve"> Forum on Medical and Public Health Preparedness for Catastrophic Events. Medical Countermeasures Dispensing: Emergency Use Authorization and the Postal Model, Workshop Summary. Washington (DC): National Academies Press (US); 2010. Medical Countermeasures Distribution and Dispensing in Response to the 2009 H1N1 Influenza Pandemic. </w:t>
      </w:r>
      <w:r>
        <w:t>Retrieved</w:t>
      </w:r>
      <w:r w:rsidRPr="00D40473">
        <w:t xml:space="preserve"> from </w:t>
      </w:r>
      <w:hyperlink r:id="rId24" w:history="1">
        <w:r w:rsidRPr="001F175C">
          <w:rPr>
            <w:rStyle w:val="Hyperlink"/>
          </w:rPr>
          <w:t>https://www.ncbi.nlm.nih.gov/books/NBK53127/</w:t>
        </w:r>
      </w:hyperlink>
      <w:r>
        <w:t>. Accessed June 4, 2020.</w:t>
      </w:r>
    </w:p>
  </w:footnote>
  <w:footnote w:id="31">
    <w:p w14:paraId="6A664A50" w14:textId="251ECCE0" w:rsidR="00606BDD" w:rsidRDefault="00606BDD">
      <w:pPr>
        <w:pStyle w:val="FootnoteText"/>
      </w:pPr>
      <w:r>
        <w:rPr>
          <w:rStyle w:val="FootnoteReference"/>
        </w:rPr>
        <w:footnoteRef/>
      </w:r>
      <w:r>
        <w:t xml:space="preserve"> “</w:t>
      </w:r>
      <w:r w:rsidRPr="00606BDD">
        <w:t>Every week, commercial partners submitted data on quantities of materials on hand as well as an assessment of their ability to fill orders. The DSNS gathered its own data from its project-area stockpiles and inventories, aggregated data from commercial partners, and then generated reports for review. Data from the dashboard were only made available to certain individuals at the federal and state levels—local health departments did not have access.</w:t>
      </w:r>
      <w:r>
        <w:t>”</w:t>
      </w:r>
      <w:r w:rsidR="004053D4">
        <w:t xml:space="preserve"> </w:t>
      </w:r>
      <w:r w:rsidR="004053D4" w:rsidRPr="003978F5">
        <w:t>Institute of Medicine</w:t>
      </w:r>
      <w:r w:rsidR="004053D4">
        <w:t>.</w:t>
      </w:r>
      <w:r w:rsidR="004053D4" w:rsidRPr="00D40473">
        <w:t xml:space="preserve"> Forum on Medical and Public Health Preparedness for Catastrophic Events. Medical Countermeasures Dispensing: Emergency Use Authorization and the Postal Model, Workshop Summary. Washington (DC): National Academies Press (US); 2010. Medical Countermeasures Distribution and Dispensing in Response to the 2009 H1N1 Influenza Pandemic. </w:t>
      </w:r>
      <w:r w:rsidR="004053D4">
        <w:t>Retrieved</w:t>
      </w:r>
      <w:r w:rsidR="004053D4" w:rsidRPr="00D40473">
        <w:t xml:space="preserve"> from </w:t>
      </w:r>
      <w:hyperlink r:id="rId25" w:history="1">
        <w:r w:rsidR="004053D4" w:rsidRPr="001F175C">
          <w:rPr>
            <w:rStyle w:val="Hyperlink"/>
          </w:rPr>
          <w:t>https://www.ncbi.nlm.nih.gov/books/NBK53127/</w:t>
        </w:r>
      </w:hyperlink>
      <w:r w:rsidR="004053D4">
        <w:t>. Accessed June 4, 2020.</w:t>
      </w:r>
    </w:p>
  </w:footnote>
  <w:footnote w:id="32">
    <w:p w14:paraId="68C81E7A" w14:textId="3556F109" w:rsidR="00F95F0A" w:rsidRDefault="00F95F0A">
      <w:pPr>
        <w:pStyle w:val="FootnoteText"/>
      </w:pPr>
      <w:r>
        <w:rPr>
          <w:rStyle w:val="FootnoteReference"/>
        </w:rPr>
        <w:footnoteRef/>
      </w:r>
      <w:r>
        <w:t xml:space="preserve"> FDA. </w:t>
      </w:r>
      <w:r w:rsidRPr="00932152">
        <w:t>Expiration Dating Extension</w:t>
      </w:r>
      <w:r>
        <w:t xml:space="preserve">. Webpage last reviewed by FDA June 3, 2020. Retrieved from </w:t>
      </w:r>
      <w:hyperlink r:id="rId26" w:history="1">
        <w:r w:rsidRPr="001F175C">
          <w:rPr>
            <w:rStyle w:val="Hyperlink"/>
          </w:rPr>
          <w:t>https://www.fda.gov/emergency-preparedness-and-response/mcm-legal-regulatory-and-policy-framework/expiration-dating-extension</w:t>
        </w:r>
      </w:hyperlink>
      <w:r>
        <w:t>. Accessed June 4, 2020.</w:t>
      </w:r>
    </w:p>
  </w:footnote>
  <w:footnote w:id="33">
    <w:p w14:paraId="22871491" w14:textId="428C654D" w:rsidR="00D47AA8" w:rsidRDefault="00D47AA8">
      <w:pPr>
        <w:pStyle w:val="FootnoteText"/>
      </w:pPr>
      <w:r>
        <w:rPr>
          <w:rStyle w:val="FootnoteReference"/>
        </w:rPr>
        <w:footnoteRef/>
      </w:r>
      <w:r>
        <w:t xml:space="preserve"> </w:t>
      </w:r>
      <w:r w:rsidR="003C1931">
        <w:t xml:space="preserve">FDA. </w:t>
      </w:r>
      <w:r w:rsidR="00932152" w:rsidRPr="00932152">
        <w:t>Expiration Dating Extension</w:t>
      </w:r>
      <w:r w:rsidR="00932152">
        <w:t>. Webpage l</w:t>
      </w:r>
      <w:r w:rsidR="0079451C">
        <w:t xml:space="preserve">ast reviewed by FDA June </w:t>
      </w:r>
      <w:r w:rsidR="003702C1">
        <w:t xml:space="preserve">3, 2020. Retrieved from </w:t>
      </w:r>
      <w:hyperlink r:id="rId27" w:history="1">
        <w:r w:rsidR="003702C1" w:rsidRPr="001F175C">
          <w:rPr>
            <w:rStyle w:val="Hyperlink"/>
          </w:rPr>
          <w:t>https://www.fda.gov/emergency-preparedness-and-response/mcm-legal-regulatory-and-policy-framework/expiration-dating-extension</w:t>
        </w:r>
      </w:hyperlink>
      <w:r w:rsidR="003702C1">
        <w:t>. Accessed June 4,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8F9AF" w14:textId="7F5D7EBB" w:rsidR="00F54A57" w:rsidRPr="009E7D12" w:rsidRDefault="009E7D12" w:rsidP="009E7D12">
    <w:pPr>
      <w:pStyle w:val="Head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1A4E8" w14:textId="756F73FD" w:rsidR="00E643F5" w:rsidRDefault="009E7D12" w:rsidP="007C07D0">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A250E"/>
    <w:multiLevelType w:val="multilevel"/>
    <w:tmpl w:val="AC1C2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FF5281"/>
    <w:multiLevelType w:val="multilevel"/>
    <w:tmpl w:val="CA32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B4058D"/>
    <w:multiLevelType w:val="hybridMultilevel"/>
    <w:tmpl w:val="4B1E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9A"/>
    <w:rsid w:val="000018DC"/>
    <w:rsid w:val="00010883"/>
    <w:rsid w:val="00015350"/>
    <w:rsid w:val="00015BD5"/>
    <w:rsid w:val="00051637"/>
    <w:rsid w:val="000546CF"/>
    <w:rsid w:val="00062072"/>
    <w:rsid w:val="000674B5"/>
    <w:rsid w:val="00073934"/>
    <w:rsid w:val="00077150"/>
    <w:rsid w:val="0008593F"/>
    <w:rsid w:val="0009628E"/>
    <w:rsid w:val="000A083F"/>
    <w:rsid w:val="000B1F2C"/>
    <w:rsid w:val="000B2B70"/>
    <w:rsid w:val="000D46CA"/>
    <w:rsid w:val="000D5F91"/>
    <w:rsid w:val="000F01DB"/>
    <w:rsid w:val="000F210D"/>
    <w:rsid w:val="000F635C"/>
    <w:rsid w:val="0011426D"/>
    <w:rsid w:val="00120401"/>
    <w:rsid w:val="0012064C"/>
    <w:rsid w:val="001249B5"/>
    <w:rsid w:val="00125813"/>
    <w:rsid w:val="001361E5"/>
    <w:rsid w:val="00151278"/>
    <w:rsid w:val="001542CA"/>
    <w:rsid w:val="0015430B"/>
    <w:rsid w:val="0015482E"/>
    <w:rsid w:val="00160B24"/>
    <w:rsid w:val="0016506C"/>
    <w:rsid w:val="0017049C"/>
    <w:rsid w:val="00170875"/>
    <w:rsid w:val="001708DC"/>
    <w:rsid w:val="001727DA"/>
    <w:rsid w:val="00182DE5"/>
    <w:rsid w:val="00185ADC"/>
    <w:rsid w:val="0019136D"/>
    <w:rsid w:val="001A265F"/>
    <w:rsid w:val="001A6AA2"/>
    <w:rsid w:val="001B3DE3"/>
    <w:rsid w:val="001B6496"/>
    <w:rsid w:val="001C41C2"/>
    <w:rsid w:val="001D2226"/>
    <w:rsid w:val="001D4639"/>
    <w:rsid w:val="001D7142"/>
    <w:rsid w:val="001E50FB"/>
    <w:rsid w:val="001E5A5A"/>
    <w:rsid w:val="001E6C96"/>
    <w:rsid w:val="001F2CBB"/>
    <w:rsid w:val="00201A46"/>
    <w:rsid w:val="002128A9"/>
    <w:rsid w:val="002138A9"/>
    <w:rsid w:val="00213E9E"/>
    <w:rsid w:val="00223855"/>
    <w:rsid w:val="002439EE"/>
    <w:rsid w:val="002450FF"/>
    <w:rsid w:val="00246CBE"/>
    <w:rsid w:val="00250EC9"/>
    <w:rsid w:val="00267032"/>
    <w:rsid w:val="0026704D"/>
    <w:rsid w:val="0027562A"/>
    <w:rsid w:val="00282DA5"/>
    <w:rsid w:val="00286FD0"/>
    <w:rsid w:val="0029175C"/>
    <w:rsid w:val="002A00E9"/>
    <w:rsid w:val="002A5954"/>
    <w:rsid w:val="002A70E1"/>
    <w:rsid w:val="002A7EED"/>
    <w:rsid w:val="002B3279"/>
    <w:rsid w:val="002B34B6"/>
    <w:rsid w:val="002B745B"/>
    <w:rsid w:val="002C07AB"/>
    <w:rsid w:val="002C3B90"/>
    <w:rsid w:val="002E129F"/>
    <w:rsid w:val="002E7E6A"/>
    <w:rsid w:val="002F2FB6"/>
    <w:rsid w:val="00300FBF"/>
    <w:rsid w:val="00305797"/>
    <w:rsid w:val="00312F06"/>
    <w:rsid w:val="00314CBE"/>
    <w:rsid w:val="00316F24"/>
    <w:rsid w:val="00322978"/>
    <w:rsid w:val="00322E24"/>
    <w:rsid w:val="003279F1"/>
    <w:rsid w:val="00340592"/>
    <w:rsid w:val="0035155D"/>
    <w:rsid w:val="003627F9"/>
    <w:rsid w:val="003702C1"/>
    <w:rsid w:val="00371C6E"/>
    <w:rsid w:val="0037561E"/>
    <w:rsid w:val="00387725"/>
    <w:rsid w:val="003978F5"/>
    <w:rsid w:val="003A5ED4"/>
    <w:rsid w:val="003B7CC9"/>
    <w:rsid w:val="003C1931"/>
    <w:rsid w:val="003C4291"/>
    <w:rsid w:val="003C664B"/>
    <w:rsid w:val="003D1CE2"/>
    <w:rsid w:val="003D5FB2"/>
    <w:rsid w:val="003F2D67"/>
    <w:rsid w:val="003F4EC6"/>
    <w:rsid w:val="00402980"/>
    <w:rsid w:val="00404FD0"/>
    <w:rsid w:val="004053D4"/>
    <w:rsid w:val="00406CFD"/>
    <w:rsid w:val="00430607"/>
    <w:rsid w:val="004341FA"/>
    <w:rsid w:val="00476446"/>
    <w:rsid w:val="00483755"/>
    <w:rsid w:val="00487572"/>
    <w:rsid w:val="004977DF"/>
    <w:rsid w:val="004A2B9D"/>
    <w:rsid w:val="004A33A8"/>
    <w:rsid w:val="004B211F"/>
    <w:rsid w:val="004B59C9"/>
    <w:rsid w:val="004C15F2"/>
    <w:rsid w:val="004D3BCC"/>
    <w:rsid w:val="004E44F3"/>
    <w:rsid w:val="004F26EB"/>
    <w:rsid w:val="00502E91"/>
    <w:rsid w:val="00523C3F"/>
    <w:rsid w:val="00551EC2"/>
    <w:rsid w:val="00553FBF"/>
    <w:rsid w:val="00560878"/>
    <w:rsid w:val="00564AD6"/>
    <w:rsid w:val="00581B7F"/>
    <w:rsid w:val="005A6F33"/>
    <w:rsid w:val="005B1118"/>
    <w:rsid w:val="005B428D"/>
    <w:rsid w:val="005B7C66"/>
    <w:rsid w:val="005D3AED"/>
    <w:rsid w:val="005D5FC8"/>
    <w:rsid w:val="005D6E52"/>
    <w:rsid w:val="005E4225"/>
    <w:rsid w:val="005E6A96"/>
    <w:rsid w:val="006000F7"/>
    <w:rsid w:val="00605009"/>
    <w:rsid w:val="00606176"/>
    <w:rsid w:val="00606BDD"/>
    <w:rsid w:val="006126A9"/>
    <w:rsid w:val="006127AD"/>
    <w:rsid w:val="00637072"/>
    <w:rsid w:val="00645296"/>
    <w:rsid w:val="00646CCD"/>
    <w:rsid w:val="00653DEF"/>
    <w:rsid w:val="0066133D"/>
    <w:rsid w:val="00667147"/>
    <w:rsid w:val="00671095"/>
    <w:rsid w:val="006732A2"/>
    <w:rsid w:val="00675A3B"/>
    <w:rsid w:val="0068487A"/>
    <w:rsid w:val="00696177"/>
    <w:rsid w:val="006962DB"/>
    <w:rsid w:val="006A3190"/>
    <w:rsid w:val="006A6385"/>
    <w:rsid w:val="006A6F33"/>
    <w:rsid w:val="006B5620"/>
    <w:rsid w:val="006C3F66"/>
    <w:rsid w:val="006C666B"/>
    <w:rsid w:val="006D429E"/>
    <w:rsid w:val="006E0B5A"/>
    <w:rsid w:val="006E2D8F"/>
    <w:rsid w:val="006E2F8D"/>
    <w:rsid w:val="006E4F5A"/>
    <w:rsid w:val="006E5C74"/>
    <w:rsid w:val="006F3C73"/>
    <w:rsid w:val="006F3DB0"/>
    <w:rsid w:val="006F634D"/>
    <w:rsid w:val="00701CA6"/>
    <w:rsid w:val="0071371F"/>
    <w:rsid w:val="007250BE"/>
    <w:rsid w:val="00727E63"/>
    <w:rsid w:val="00743D1B"/>
    <w:rsid w:val="00745F9B"/>
    <w:rsid w:val="00747B73"/>
    <w:rsid w:val="00757BE8"/>
    <w:rsid w:val="00760C0D"/>
    <w:rsid w:val="00767FFE"/>
    <w:rsid w:val="00770B11"/>
    <w:rsid w:val="007716F7"/>
    <w:rsid w:val="00772C44"/>
    <w:rsid w:val="0079451C"/>
    <w:rsid w:val="00794CC5"/>
    <w:rsid w:val="007A1E09"/>
    <w:rsid w:val="007A43A8"/>
    <w:rsid w:val="007A70D2"/>
    <w:rsid w:val="007A7220"/>
    <w:rsid w:val="007B49D0"/>
    <w:rsid w:val="007C07D0"/>
    <w:rsid w:val="007C0C16"/>
    <w:rsid w:val="007C1CF4"/>
    <w:rsid w:val="007C21A6"/>
    <w:rsid w:val="007C3196"/>
    <w:rsid w:val="007D4A7D"/>
    <w:rsid w:val="007E5178"/>
    <w:rsid w:val="007F139E"/>
    <w:rsid w:val="007F5F0E"/>
    <w:rsid w:val="007F6164"/>
    <w:rsid w:val="008107C4"/>
    <w:rsid w:val="00814209"/>
    <w:rsid w:val="008166B4"/>
    <w:rsid w:val="008226FB"/>
    <w:rsid w:val="00825439"/>
    <w:rsid w:val="008323BC"/>
    <w:rsid w:val="00844C9C"/>
    <w:rsid w:val="00852D1D"/>
    <w:rsid w:val="008709FD"/>
    <w:rsid w:val="00876D8E"/>
    <w:rsid w:val="0088649E"/>
    <w:rsid w:val="008A251A"/>
    <w:rsid w:val="008A3E91"/>
    <w:rsid w:val="008A7394"/>
    <w:rsid w:val="008B352A"/>
    <w:rsid w:val="008B4068"/>
    <w:rsid w:val="008B7F9B"/>
    <w:rsid w:val="008C36EF"/>
    <w:rsid w:val="008C46CC"/>
    <w:rsid w:val="008D2644"/>
    <w:rsid w:val="008F0DF0"/>
    <w:rsid w:val="008F20BD"/>
    <w:rsid w:val="008F2DED"/>
    <w:rsid w:val="008F65DC"/>
    <w:rsid w:val="00901FA6"/>
    <w:rsid w:val="0091110C"/>
    <w:rsid w:val="00932152"/>
    <w:rsid w:val="009365EB"/>
    <w:rsid w:val="009448F9"/>
    <w:rsid w:val="0095019F"/>
    <w:rsid w:val="0095231E"/>
    <w:rsid w:val="00962DF8"/>
    <w:rsid w:val="0096691A"/>
    <w:rsid w:val="0096726A"/>
    <w:rsid w:val="009672D2"/>
    <w:rsid w:val="0097185B"/>
    <w:rsid w:val="0098053F"/>
    <w:rsid w:val="00993730"/>
    <w:rsid w:val="009A595E"/>
    <w:rsid w:val="009D5D20"/>
    <w:rsid w:val="009E4C35"/>
    <w:rsid w:val="009E7D12"/>
    <w:rsid w:val="00A049F1"/>
    <w:rsid w:val="00A0540C"/>
    <w:rsid w:val="00A05AB9"/>
    <w:rsid w:val="00A15943"/>
    <w:rsid w:val="00A166BA"/>
    <w:rsid w:val="00A1746B"/>
    <w:rsid w:val="00A21CB7"/>
    <w:rsid w:val="00A359B5"/>
    <w:rsid w:val="00A4116C"/>
    <w:rsid w:val="00A5154E"/>
    <w:rsid w:val="00A579C2"/>
    <w:rsid w:val="00A57A21"/>
    <w:rsid w:val="00A6059A"/>
    <w:rsid w:val="00A62663"/>
    <w:rsid w:val="00A63BE9"/>
    <w:rsid w:val="00A63F6A"/>
    <w:rsid w:val="00A64FA2"/>
    <w:rsid w:val="00A73245"/>
    <w:rsid w:val="00A73838"/>
    <w:rsid w:val="00A745A3"/>
    <w:rsid w:val="00A746D7"/>
    <w:rsid w:val="00A81E6F"/>
    <w:rsid w:val="00A87DCA"/>
    <w:rsid w:val="00A9093F"/>
    <w:rsid w:val="00A930D5"/>
    <w:rsid w:val="00A93273"/>
    <w:rsid w:val="00AA3052"/>
    <w:rsid w:val="00AA4B4F"/>
    <w:rsid w:val="00AA6DEC"/>
    <w:rsid w:val="00AC0233"/>
    <w:rsid w:val="00AC587A"/>
    <w:rsid w:val="00AD318E"/>
    <w:rsid w:val="00AE1306"/>
    <w:rsid w:val="00AE4B47"/>
    <w:rsid w:val="00AF0B89"/>
    <w:rsid w:val="00AF39C1"/>
    <w:rsid w:val="00B10F64"/>
    <w:rsid w:val="00B15931"/>
    <w:rsid w:val="00B30859"/>
    <w:rsid w:val="00B31B7B"/>
    <w:rsid w:val="00B35A84"/>
    <w:rsid w:val="00B37491"/>
    <w:rsid w:val="00B5187A"/>
    <w:rsid w:val="00B72F5C"/>
    <w:rsid w:val="00B741D6"/>
    <w:rsid w:val="00B75B7F"/>
    <w:rsid w:val="00B83FD2"/>
    <w:rsid w:val="00B85388"/>
    <w:rsid w:val="00B8617E"/>
    <w:rsid w:val="00B87B98"/>
    <w:rsid w:val="00B97EEC"/>
    <w:rsid w:val="00BA23EF"/>
    <w:rsid w:val="00BA2C5D"/>
    <w:rsid w:val="00BA2D82"/>
    <w:rsid w:val="00BA6DA3"/>
    <w:rsid w:val="00BE6082"/>
    <w:rsid w:val="00BF357D"/>
    <w:rsid w:val="00C0505A"/>
    <w:rsid w:val="00C107DF"/>
    <w:rsid w:val="00C14A2C"/>
    <w:rsid w:val="00C17E46"/>
    <w:rsid w:val="00C303FA"/>
    <w:rsid w:val="00C4570D"/>
    <w:rsid w:val="00C45834"/>
    <w:rsid w:val="00C5086F"/>
    <w:rsid w:val="00C609C9"/>
    <w:rsid w:val="00C62752"/>
    <w:rsid w:val="00C62B30"/>
    <w:rsid w:val="00C635B4"/>
    <w:rsid w:val="00C64725"/>
    <w:rsid w:val="00C74C03"/>
    <w:rsid w:val="00C846F6"/>
    <w:rsid w:val="00C8644F"/>
    <w:rsid w:val="00C93F17"/>
    <w:rsid w:val="00CA1A9A"/>
    <w:rsid w:val="00CA1C93"/>
    <w:rsid w:val="00CA40EF"/>
    <w:rsid w:val="00CA4AAB"/>
    <w:rsid w:val="00CB3E40"/>
    <w:rsid w:val="00CB6CF9"/>
    <w:rsid w:val="00CB7711"/>
    <w:rsid w:val="00CB7CF6"/>
    <w:rsid w:val="00CD0B51"/>
    <w:rsid w:val="00CD5042"/>
    <w:rsid w:val="00CD5B47"/>
    <w:rsid w:val="00CE0589"/>
    <w:rsid w:val="00CE2272"/>
    <w:rsid w:val="00CE64EB"/>
    <w:rsid w:val="00CF2710"/>
    <w:rsid w:val="00CF51A7"/>
    <w:rsid w:val="00D019A7"/>
    <w:rsid w:val="00D06A3D"/>
    <w:rsid w:val="00D169B5"/>
    <w:rsid w:val="00D230B9"/>
    <w:rsid w:val="00D24417"/>
    <w:rsid w:val="00D2475F"/>
    <w:rsid w:val="00D32615"/>
    <w:rsid w:val="00D40473"/>
    <w:rsid w:val="00D4322C"/>
    <w:rsid w:val="00D439EE"/>
    <w:rsid w:val="00D47AA8"/>
    <w:rsid w:val="00D53255"/>
    <w:rsid w:val="00D60EC4"/>
    <w:rsid w:val="00D62E07"/>
    <w:rsid w:val="00D63288"/>
    <w:rsid w:val="00D74723"/>
    <w:rsid w:val="00D866DA"/>
    <w:rsid w:val="00D92C41"/>
    <w:rsid w:val="00DB1A2C"/>
    <w:rsid w:val="00DB7716"/>
    <w:rsid w:val="00DB7B9C"/>
    <w:rsid w:val="00DB7CA8"/>
    <w:rsid w:val="00DC602F"/>
    <w:rsid w:val="00DD2C7A"/>
    <w:rsid w:val="00DD2F5E"/>
    <w:rsid w:val="00DE29CE"/>
    <w:rsid w:val="00DF14AE"/>
    <w:rsid w:val="00DF46D8"/>
    <w:rsid w:val="00E07EF7"/>
    <w:rsid w:val="00E1243D"/>
    <w:rsid w:val="00E155B5"/>
    <w:rsid w:val="00E23127"/>
    <w:rsid w:val="00E23762"/>
    <w:rsid w:val="00E24271"/>
    <w:rsid w:val="00E24A28"/>
    <w:rsid w:val="00E25BDC"/>
    <w:rsid w:val="00E26CF3"/>
    <w:rsid w:val="00E31934"/>
    <w:rsid w:val="00E323DC"/>
    <w:rsid w:val="00E35D91"/>
    <w:rsid w:val="00E46ED4"/>
    <w:rsid w:val="00E50EF6"/>
    <w:rsid w:val="00E607D9"/>
    <w:rsid w:val="00E633CF"/>
    <w:rsid w:val="00E643F5"/>
    <w:rsid w:val="00E71EFD"/>
    <w:rsid w:val="00E85C46"/>
    <w:rsid w:val="00E90574"/>
    <w:rsid w:val="00EA2C2B"/>
    <w:rsid w:val="00EA5483"/>
    <w:rsid w:val="00EC5704"/>
    <w:rsid w:val="00ED3DC5"/>
    <w:rsid w:val="00ED43B5"/>
    <w:rsid w:val="00ED5C8A"/>
    <w:rsid w:val="00EE6282"/>
    <w:rsid w:val="00EF39FD"/>
    <w:rsid w:val="00EF3B7B"/>
    <w:rsid w:val="00F05275"/>
    <w:rsid w:val="00F06391"/>
    <w:rsid w:val="00F15075"/>
    <w:rsid w:val="00F24797"/>
    <w:rsid w:val="00F27D5C"/>
    <w:rsid w:val="00F31690"/>
    <w:rsid w:val="00F3766C"/>
    <w:rsid w:val="00F379D9"/>
    <w:rsid w:val="00F47366"/>
    <w:rsid w:val="00F5026B"/>
    <w:rsid w:val="00F54A57"/>
    <w:rsid w:val="00F57E22"/>
    <w:rsid w:val="00F65759"/>
    <w:rsid w:val="00F70285"/>
    <w:rsid w:val="00F7094F"/>
    <w:rsid w:val="00F767F1"/>
    <w:rsid w:val="00F95F0A"/>
    <w:rsid w:val="00F97AA2"/>
    <w:rsid w:val="00FA328E"/>
    <w:rsid w:val="00FB081A"/>
    <w:rsid w:val="00FB1CFE"/>
    <w:rsid w:val="00FB2918"/>
    <w:rsid w:val="00FB3C60"/>
    <w:rsid w:val="00FB4BF2"/>
    <w:rsid w:val="00FB4C70"/>
    <w:rsid w:val="00FC0345"/>
    <w:rsid w:val="00FC7628"/>
    <w:rsid w:val="00FD25CC"/>
    <w:rsid w:val="00FE1CA0"/>
    <w:rsid w:val="00FE7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B514"/>
  <w15:chartTrackingRefBased/>
  <w15:docId w15:val="{DF8EA1B9-11DD-4614-8244-862F74D2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6059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6059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6059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59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6059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6059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6059A"/>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059A"/>
    <w:rPr>
      <w:color w:val="0000FF"/>
      <w:u w:val="single"/>
    </w:rPr>
  </w:style>
  <w:style w:type="character" w:styleId="Emphasis">
    <w:name w:val="Emphasis"/>
    <w:basedOn w:val="DefaultParagraphFont"/>
    <w:uiPriority w:val="20"/>
    <w:qFormat/>
    <w:rsid w:val="00A6059A"/>
    <w:rPr>
      <w:i/>
      <w:iCs/>
    </w:rPr>
  </w:style>
  <w:style w:type="paragraph" w:styleId="Header">
    <w:name w:val="header"/>
    <w:basedOn w:val="Normal"/>
    <w:link w:val="HeaderChar"/>
    <w:uiPriority w:val="99"/>
    <w:unhideWhenUsed/>
    <w:rsid w:val="001D7142"/>
    <w:pPr>
      <w:tabs>
        <w:tab w:val="center" w:pos="4680"/>
        <w:tab w:val="right" w:pos="9360"/>
      </w:tabs>
    </w:pPr>
  </w:style>
  <w:style w:type="character" w:customStyle="1" w:styleId="HeaderChar">
    <w:name w:val="Header Char"/>
    <w:basedOn w:val="DefaultParagraphFont"/>
    <w:link w:val="Header"/>
    <w:uiPriority w:val="99"/>
    <w:rsid w:val="001D7142"/>
  </w:style>
  <w:style w:type="paragraph" w:styleId="Footer">
    <w:name w:val="footer"/>
    <w:basedOn w:val="Normal"/>
    <w:link w:val="FooterChar"/>
    <w:uiPriority w:val="99"/>
    <w:unhideWhenUsed/>
    <w:rsid w:val="001D7142"/>
    <w:pPr>
      <w:tabs>
        <w:tab w:val="center" w:pos="4680"/>
        <w:tab w:val="right" w:pos="9360"/>
      </w:tabs>
    </w:pPr>
  </w:style>
  <w:style w:type="character" w:customStyle="1" w:styleId="FooterChar">
    <w:name w:val="Footer Char"/>
    <w:basedOn w:val="DefaultParagraphFont"/>
    <w:link w:val="Footer"/>
    <w:uiPriority w:val="99"/>
    <w:rsid w:val="001D7142"/>
  </w:style>
  <w:style w:type="paragraph" w:styleId="ListParagraph">
    <w:name w:val="List Paragraph"/>
    <w:basedOn w:val="Normal"/>
    <w:uiPriority w:val="34"/>
    <w:qFormat/>
    <w:rsid w:val="001D7142"/>
    <w:pPr>
      <w:ind w:left="720"/>
      <w:contextualSpacing/>
    </w:pPr>
  </w:style>
  <w:style w:type="paragraph" w:styleId="FootnoteText">
    <w:name w:val="footnote text"/>
    <w:basedOn w:val="Normal"/>
    <w:link w:val="FootnoteTextChar"/>
    <w:uiPriority w:val="99"/>
    <w:semiHidden/>
    <w:unhideWhenUsed/>
    <w:rsid w:val="00DF46D8"/>
    <w:rPr>
      <w:sz w:val="20"/>
      <w:szCs w:val="20"/>
    </w:rPr>
  </w:style>
  <w:style w:type="character" w:customStyle="1" w:styleId="FootnoteTextChar">
    <w:name w:val="Footnote Text Char"/>
    <w:basedOn w:val="DefaultParagraphFont"/>
    <w:link w:val="FootnoteText"/>
    <w:uiPriority w:val="99"/>
    <w:semiHidden/>
    <w:rsid w:val="00DF46D8"/>
    <w:rPr>
      <w:sz w:val="20"/>
      <w:szCs w:val="20"/>
    </w:rPr>
  </w:style>
  <w:style w:type="character" w:styleId="FootnoteReference">
    <w:name w:val="footnote reference"/>
    <w:basedOn w:val="DefaultParagraphFont"/>
    <w:uiPriority w:val="99"/>
    <w:semiHidden/>
    <w:unhideWhenUsed/>
    <w:rsid w:val="00DF46D8"/>
    <w:rPr>
      <w:vertAlign w:val="superscript"/>
    </w:rPr>
  </w:style>
  <w:style w:type="character" w:styleId="UnresolvedMention">
    <w:name w:val="Unresolved Mention"/>
    <w:basedOn w:val="DefaultParagraphFont"/>
    <w:uiPriority w:val="99"/>
    <w:semiHidden/>
    <w:unhideWhenUsed/>
    <w:rsid w:val="003C4291"/>
    <w:rPr>
      <w:color w:val="605E5C"/>
      <w:shd w:val="clear" w:color="auto" w:fill="E1DFDD"/>
    </w:rPr>
  </w:style>
  <w:style w:type="character" w:styleId="FollowedHyperlink">
    <w:name w:val="FollowedHyperlink"/>
    <w:basedOn w:val="DefaultParagraphFont"/>
    <w:uiPriority w:val="99"/>
    <w:semiHidden/>
    <w:unhideWhenUsed/>
    <w:rsid w:val="003C42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17547">
      <w:bodyDiv w:val="1"/>
      <w:marLeft w:val="0"/>
      <w:marRight w:val="0"/>
      <w:marTop w:val="0"/>
      <w:marBottom w:val="0"/>
      <w:divBdr>
        <w:top w:val="none" w:sz="0" w:space="0" w:color="auto"/>
        <w:left w:val="none" w:sz="0" w:space="0" w:color="auto"/>
        <w:bottom w:val="none" w:sz="0" w:space="0" w:color="auto"/>
        <w:right w:val="none" w:sz="0" w:space="0" w:color="auto"/>
      </w:divBdr>
    </w:div>
    <w:div w:id="1181623676">
      <w:bodyDiv w:val="1"/>
      <w:marLeft w:val="0"/>
      <w:marRight w:val="0"/>
      <w:marTop w:val="0"/>
      <w:marBottom w:val="0"/>
      <w:divBdr>
        <w:top w:val="none" w:sz="0" w:space="0" w:color="auto"/>
        <w:left w:val="none" w:sz="0" w:space="0" w:color="auto"/>
        <w:bottom w:val="none" w:sz="0" w:space="0" w:color="auto"/>
        <w:right w:val="none" w:sz="0" w:space="0" w:color="auto"/>
      </w:divBdr>
    </w:div>
    <w:div w:id="1532374114">
      <w:bodyDiv w:val="1"/>
      <w:marLeft w:val="0"/>
      <w:marRight w:val="0"/>
      <w:marTop w:val="0"/>
      <w:marBottom w:val="0"/>
      <w:divBdr>
        <w:top w:val="none" w:sz="0" w:space="0" w:color="auto"/>
        <w:left w:val="none" w:sz="0" w:space="0" w:color="auto"/>
        <w:bottom w:val="none" w:sz="0" w:space="0" w:color="auto"/>
        <w:right w:val="none" w:sz="0" w:space="0" w:color="auto"/>
      </w:divBdr>
    </w:div>
    <w:div w:id="181779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phe.gov/about/sns/Pages/products.aspx" TargetMode="External"/><Relationship Id="rId13" Type="http://schemas.openxmlformats.org/officeDocument/2006/relationships/hyperlink" Target="https://www.phe.gov/about/sns/Pages/products.aspx" TargetMode="External"/><Relationship Id="rId18" Type="http://schemas.openxmlformats.org/officeDocument/2006/relationships/hyperlink" Target="https://chemm.nlm.nih.gov/sns.htm" TargetMode="External"/><Relationship Id="rId26" Type="http://schemas.openxmlformats.org/officeDocument/2006/relationships/hyperlink" Target="https://www.fda.gov/emergency-preparedness-and-response/mcm-legal-regulatory-and-policy-framework/expiration-dating-extension" TargetMode="External"/><Relationship Id="rId3" Type="http://schemas.openxmlformats.org/officeDocument/2006/relationships/hyperlink" Target="https://chemm.nlm.nih.gov/sns.htm" TargetMode="External"/><Relationship Id="rId21" Type="http://schemas.openxmlformats.org/officeDocument/2006/relationships/hyperlink" Target="https://www.cdc.gov/cpr/readiness/mcm/cri.html" TargetMode="External"/><Relationship Id="rId7" Type="http://schemas.openxmlformats.org/officeDocument/2006/relationships/hyperlink" Target="https://www.phe.gov/about/sns/Pages/default.aspx" TargetMode="External"/><Relationship Id="rId12" Type="http://schemas.openxmlformats.org/officeDocument/2006/relationships/hyperlink" Target="https://chemm.nlm.nih.gov/sns.htm" TargetMode="External"/><Relationship Id="rId17" Type="http://schemas.openxmlformats.org/officeDocument/2006/relationships/hyperlink" Target="https://chemm.nlm.nih.gov/sns.htm" TargetMode="External"/><Relationship Id="rId25" Type="http://schemas.openxmlformats.org/officeDocument/2006/relationships/hyperlink" Target="https://www.ncbi.nlm.nih.gov/books/NBK53127/" TargetMode="External"/><Relationship Id="rId2" Type="http://schemas.openxmlformats.org/officeDocument/2006/relationships/hyperlink" Target="https://chemm.nlm.nih.gov/sns.htm" TargetMode="External"/><Relationship Id="rId16" Type="http://schemas.openxmlformats.org/officeDocument/2006/relationships/hyperlink" Target="https://chemm.nlm.nih.gov/sns.htm" TargetMode="External"/><Relationship Id="rId20" Type="http://schemas.openxmlformats.org/officeDocument/2006/relationships/hyperlink" Target="https://www.phe.gov/about/sns/Pages/sustaining.aspx" TargetMode="External"/><Relationship Id="rId1" Type="http://schemas.openxmlformats.org/officeDocument/2006/relationships/hyperlink" Target="https://chemm.nlm.nih.gov/sns.htm" TargetMode="External"/><Relationship Id="rId6" Type="http://schemas.openxmlformats.org/officeDocument/2006/relationships/hyperlink" Target="https://www.phe.gov/about/sns/Pages/responses.aspx" TargetMode="External"/><Relationship Id="rId11" Type="http://schemas.openxmlformats.org/officeDocument/2006/relationships/hyperlink" Target="https://www.phe.gov/about/sns/Pages/products.aspx" TargetMode="External"/><Relationship Id="rId24" Type="http://schemas.openxmlformats.org/officeDocument/2006/relationships/hyperlink" Target="https://www.ncbi.nlm.nih.gov/books/NBK53127/" TargetMode="External"/><Relationship Id="rId5" Type="http://schemas.openxmlformats.org/officeDocument/2006/relationships/hyperlink" Target="https://web.archive.org/web/20200401024027/https:/www.phe.gov/about/sns/Pages/default.aspx" TargetMode="External"/><Relationship Id="rId15" Type="http://schemas.openxmlformats.org/officeDocument/2006/relationships/hyperlink" Target="https://www.phe.gov/about/sns/Pages/products.aspx" TargetMode="External"/><Relationship Id="rId23" Type="http://schemas.openxmlformats.org/officeDocument/2006/relationships/hyperlink" Target="https://www.ncbi.nlm.nih.gov/books/NBK53127/" TargetMode="External"/><Relationship Id="rId10" Type="http://schemas.openxmlformats.org/officeDocument/2006/relationships/hyperlink" Target="https://www.phe.gov/about/sns/Pages/products.aspx" TargetMode="External"/><Relationship Id="rId19" Type="http://schemas.openxmlformats.org/officeDocument/2006/relationships/hyperlink" Target="https://www.phe.gov/about/sns/Pages/products.aspx" TargetMode="External"/><Relationship Id="rId4" Type="http://schemas.openxmlformats.org/officeDocument/2006/relationships/hyperlink" Target="https://web.archive.org/web/20200401024027/https:/www.phe.gov/about/sns/Pages/default.aspx" TargetMode="External"/><Relationship Id="rId9" Type="http://schemas.openxmlformats.org/officeDocument/2006/relationships/hyperlink" Target="https://www.phe.gov/about/sns/Pages/products.aspx" TargetMode="External"/><Relationship Id="rId14" Type="http://schemas.openxmlformats.org/officeDocument/2006/relationships/hyperlink" Target="https://www.phe.gov/about/sns/Pages/products.aspx" TargetMode="External"/><Relationship Id="rId22" Type="http://schemas.openxmlformats.org/officeDocument/2006/relationships/hyperlink" Target="https://www.cdc.gov/cpr/readiness/mcm/cri.html" TargetMode="External"/><Relationship Id="rId27" Type="http://schemas.openxmlformats.org/officeDocument/2006/relationships/hyperlink" Target="https://www.fda.gov/emergency-preparedness-and-response/mcm-legal-regulatory-and-policy-framework/expiration-dating-exten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FC3EA-9B39-4A0B-9B9E-7694D4BB0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2716</TotalTime>
  <Pages>7</Pages>
  <Words>1680</Words>
  <Characters>9582</Characters>
  <Application>Microsoft Office Word</Application>
  <DocSecurity>0</DocSecurity>
  <Lines>79</Lines>
  <Paragraphs>22</Paragraphs>
  <ScaleCrop>false</ScaleCrop>
  <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255</cp:revision>
  <dcterms:created xsi:type="dcterms:W3CDTF">2020-04-28T22:11:00Z</dcterms:created>
  <dcterms:modified xsi:type="dcterms:W3CDTF">2020-08-26T13:24:00Z</dcterms:modified>
</cp:coreProperties>
</file>