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7ADB860" w14:textId="5DDB4220" w:rsidR="00B75B7F" w:rsidRDefault="00B75B7F"/>
    <w:p w14:paraId="185736B8" w14:textId="77777777" w:rsidR="00D067EB" w:rsidRPr="00D067EB" w:rsidRDefault="00D067EB" w:rsidP="00D067EB">
      <w:pPr>
        <w:spacing w:line="360" w:lineRule="auto"/>
        <w:jc w:val="center"/>
        <w:rPr>
          <w:rFonts w:asciiTheme="minorHAnsi" w:eastAsiaTheme="minorHAnsi" w:hAnsiTheme="minorHAnsi" w:cstheme="minorBidi"/>
          <w:sz w:val="24"/>
          <w:szCs w:val="24"/>
        </w:rPr>
      </w:pPr>
      <w:r w:rsidRPr="00D067EB">
        <w:rPr>
          <w:rFonts w:asciiTheme="minorHAnsi" w:eastAsiaTheme="minorHAnsi" w:hAnsiTheme="minorHAnsi" w:cstheme="minorBidi"/>
          <w:b/>
          <w:bCs/>
        </w:rPr>
        <w:t>CSTE Legal Preparedness Toolkit Series</w:t>
      </w:r>
    </w:p>
    <w:p w14:paraId="5DAFCC5C" w14:textId="1C464214" w:rsidR="006A2A02" w:rsidRPr="0044006A" w:rsidRDefault="00402D08" w:rsidP="006A2A02">
      <w:pPr>
        <w:spacing w:after="120"/>
        <w:jc w:val="center"/>
        <w:rPr>
          <w:rFonts w:asciiTheme="minorHAnsi" w:eastAsiaTheme="minorHAnsi" w:hAnsiTheme="minorHAnsi" w:cstheme="minorHAnsi"/>
          <w:b/>
          <w:bCs/>
          <w:sz w:val="20"/>
          <w:szCs w:val="20"/>
        </w:rPr>
      </w:pPr>
      <w:r>
        <w:rPr>
          <w:rFonts w:asciiTheme="minorHAnsi" w:hAnsiTheme="minorHAnsi" w:cstheme="minorHAnsi"/>
          <w:b/>
          <w:sz w:val="24"/>
          <w:szCs w:val="24"/>
        </w:rPr>
        <w:t>MEDICAL SUPPLIES AND COUNTERMEASURES</w:t>
      </w:r>
    </w:p>
    <w:p w14:paraId="3C3FC063" w14:textId="77777777" w:rsidR="006A2A02" w:rsidRPr="00052A34" w:rsidRDefault="006A2A02" w:rsidP="006A2A02">
      <w:pPr>
        <w:jc w:val="center"/>
        <w:rPr>
          <w:rFonts w:asciiTheme="minorHAnsi" w:eastAsiaTheme="minorHAnsi" w:hAnsiTheme="minorHAnsi" w:cstheme="minorBidi"/>
          <w:b/>
          <w:bCs/>
          <w:sz w:val="24"/>
          <w:szCs w:val="24"/>
        </w:rPr>
      </w:pPr>
      <w:r w:rsidRPr="00052A34">
        <w:rPr>
          <w:rFonts w:asciiTheme="minorHAnsi" w:eastAsiaTheme="minorHAnsi" w:hAnsiTheme="minorHAnsi" w:cstheme="minorBidi"/>
          <w:b/>
          <w:bCs/>
          <w:sz w:val="24"/>
          <w:szCs w:val="24"/>
        </w:rPr>
        <w:t>PRACTICE GUIDE</w:t>
      </w:r>
    </w:p>
    <w:p w14:paraId="597E3758" w14:textId="485F4078" w:rsidR="00C35C4C" w:rsidRDefault="00C35C4C" w:rsidP="006A2A02">
      <w:pPr>
        <w:rPr>
          <w:rFonts w:asciiTheme="minorHAnsi" w:eastAsiaTheme="minorHAnsi" w:hAnsiTheme="minorHAnsi" w:cstheme="minorBidi"/>
        </w:rPr>
      </w:pPr>
    </w:p>
    <w:p w14:paraId="09391D74" w14:textId="77777777" w:rsidR="00D067EB" w:rsidRDefault="00D067EB" w:rsidP="006A2A02">
      <w:pPr>
        <w:rPr>
          <w:rFonts w:asciiTheme="minorHAnsi" w:eastAsiaTheme="minorHAnsi" w:hAnsiTheme="minorHAnsi" w:cstheme="minorBidi"/>
        </w:rPr>
      </w:pPr>
    </w:p>
    <w:p w14:paraId="40FAFBCE" w14:textId="2C09F712" w:rsidR="00461A40" w:rsidRPr="00A826B0" w:rsidRDefault="00461A40" w:rsidP="006A2A02">
      <w:pPr>
        <w:rPr>
          <w:rFonts w:asciiTheme="minorHAnsi" w:eastAsiaTheme="minorHAnsi" w:hAnsiTheme="minorHAnsi" w:cstheme="minorBidi"/>
          <w:i/>
          <w:iCs/>
        </w:rPr>
      </w:pPr>
      <w:r w:rsidRPr="00A826B0">
        <w:rPr>
          <w:rFonts w:asciiTheme="minorHAnsi" w:eastAsiaTheme="minorHAnsi" w:hAnsiTheme="minorHAnsi" w:cstheme="minorBidi"/>
          <w:b/>
          <w:bCs/>
          <w:i/>
          <w:iCs/>
          <w:highlight w:val="yellow"/>
        </w:rPr>
        <w:t>Note to reviewers:</w:t>
      </w:r>
      <w:r w:rsidRPr="00A826B0">
        <w:rPr>
          <w:rFonts w:asciiTheme="minorHAnsi" w:eastAsiaTheme="minorHAnsi" w:hAnsiTheme="minorHAnsi" w:cstheme="minorBidi"/>
          <w:i/>
          <w:iCs/>
          <w:highlight w:val="yellow"/>
        </w:rPr>
        <w:t xml:space="preserve"> Th</w:t>
      </w:r>
      <w:r w:rsidR="00975F5A" w:rsidRPr="00A826B0">
        <w:rPr>
          <w:rFonts w:asciiTheme="minorHAnsi" w:eastAsiaTheme="minorHAnsi" w:hAnsiTheme="minorHAnsi" w:cstheme="minorBidi"/>
          <w:i/>
          <w:iCs/>
          <w:highlight w:val="yellow"/>
        </w:rPr>
        <w:t xml:space="preserve">is draft has minimal formatting at this point. Once </w:t>
      </w:r>
      <w:r w:rsidR="00EB3931" w:rsidRPr="00A826B0">
        <w:rPr>
          <w:rFonts w:asciiTheme="minorHAnsi" w:eastAsiaTheme="minorHAnsi" w:hAnsiTheme="minorHAnsi" w:cstheme="minorBidi"/>
          <w:i/>
          <w:iCs/>
          <w:highlight w:val="yellow"/>
        </w:rPr>
        <w:t xml:space="preserve">we have further developed </w:t>
      </w:r>
      <w:r w:rsidR="00C35C4C" w:rsidRPr="00A826B0">
        <w:rPr>
          <w:rFonts w:asciiTheme="minorHAnsi" w:eastAsiaTheme="minorHAnsi" w:hAnsiTheme="minorHAnsi" w:cstheme="minorBidi"/>
          <w:i/>
          <w:iCs/>
          <w:highlight w:val="yellow"/>
        </w:rPr>
        <w:t xml:space="preserve">the </w:t>
      </w:r>
      <w:r w:rsidR="00A826B0" w:rsidRPr="00A826B0">
        <w:rPr>
          <w:rFonts w:asciiTheme="minorHAnsi" w:eastAsiaTheme="minorHAnsi" w:hAnsiTheme="minorHAnsi" w:cstheme="minorBidi"/>
          <w:i/>
          <w:iCs/>
          <w:highlight w:val="yellow"/>
        </w:rPr>
        <w:t>contents,</w:t>
      </w:r>
      <w:r w:rsidR="00EB3931" w:rsidRPr="00A826B0">
        <w:rPr>
          <w:rFonts w:asciiTheme="minorHAnsi" w:eastAsiaTheme="minorHAnsi" w:hAnsiTheme="minorHAnsi" w:cstheme="minorBidi"/>
          <w:i/>
          <w:iCs/>
          <w:highlight w:val="yellow"/>
        </w:rPr>
        <w:t xml:space="preserve"> we w</w:t>
      </w:r>
      <w:r w:rsidR="00AD4F2B" w:rsidRPr="00A826B0">
        <w:rPr>
          <w:rFonts w:asciiTheme="minorHAnsi" w:eastAsiaTheme="minorHAnsi" w:hAnsiTheme="minorHAnsi" w:cstheme="minorBidi"/>
          <w:i/>
          <w:iCs/>
          <w:highlight w:val="yellow"/>
        </w:rPr>
        <w:t xml:space="preserve">ill </w:t>
      </w:r>
      <w:r w:rsidR="00C8457E" w:rsidRPr="00A826B0">
        <w:rPr>
          <w:rFonts w:asciiTheme="minorHAnsi" w:eastAsiaTheme="minorHAnsi" w:hAnsiTheme="minorHAnsi" w:cstheme="minorBidi"/>
          <w:i/>
          <w:iCs/>
          <w:highlight w:val="yellow"/>
        </w:rPr>
        <w:t>refine the presentation</w:t>
      </w:r>
      <w:r w:rsidR="00931EF8">
        <w:rPr>
          <w:rFonts w:asciiTheme="minorHAnsi" w:eastAsiaTheme="minorHAnsi" w:hAnsiTheme="minorHAnsi" w:cstheme="minorBidi"/>
          <w:i/>
          <w:iCs/>
          <w:highlight w:val="yellow"/>
        </w:rPr>
        <w:t xml:space="preserve"> and identify additional resources</w:t>
      </w:r>
      <w:r w:rsidR="00A826B0" w:rsidRPr="00A826B0">
        <w:rPr>
          <w:rFonts w:asciiTheme="minorHAnsi" w:eastAsiaTheme="minorHAnsi" w:hAnsiTheme="minorHAnsi" w:cstheme="minorBidi"/>
          <w:i/>
          <w:iCs/>
          <w:highlight w:val="yellow"/>
        </w:rPr>
        <w:t>.</w:t>
      </w:r>
      <w:r w:rsidR="004F2BE5">
        <w:rPr>
          <w:rFonts w:asciiTheme="minorHAnsi" w:eastAsiaTheme="minorHAnsi" w:hAnsiTheme="minorHAnsi" w:cstheme="minorBidi"/>
          <w:i/>
          <w:iCs/>
        </w:rPr>
        <w:t xml:space="preserve"> </w:t>
      </w:r>
    </w:p>
    <w:p w14:paraId="2C3363D7" w14:textId="77777777" w:rsidR="006A2A02" w:rsidRPr="00052A34" w:rsidRDefault="006A2A02" w:rsidP="006A2A02">
      <w:pPr>
        <w:rPr>
          <w:rFonts w:asciiTheme="minorHAnsi" w:eastAsiaTheme="minorHAnsi" w:hAnsiTheme="minorHAnsi" w:cstheme="minorBidi"/>
        </w:rPr>
      </w:pPr>
    </w:p>
    <w:p w14:paraId="4A8A02F3" w14:textId="77777777" w:rsidR="006A2A02" w:rsidRPr="00052A34" w:rsidRDefault="006A2A02" w:rsidP="006A2A02">
      <w:pPr>
        <w:spacing w:after="120"/>
        <w:rPr>
          <w:rFonts w:asciiTheme="minorHAnsi" w:eastAsiaTheme="minorHAnsi" w:hAnsiTheme="minorHAnsi" w:cstheme="minorBidi"/>
        </w:rPr>
      </w:pPr>
      <w:r w:rsidRPr="00052A34">
        <w:rPr>
          <w:rFonts w:asciiTheme="minorHAnsi" w:eastAsiaTheme="minorHAnsi" w:hAnsiTheme="minorHAnsi" w:cstheme="minorBidi"/>
        </w:rPr>
        <w:t>This Practice Guide is intended to:</w:t>
      </w:r>
    </w:p>
    <w:p w14:paraId="2BA007EF" w14:textId="77777777" w:rsidR="006A2A02" w:rsidRPr="00052A34" w:rsidRDefault="006A2A02" w:rsidP="006A2A02">
      <w:pPr>
        <w:numPr>
          <w:ilvl w:val="0"/>
          <w:numId w:val="1"/>
        </w:numPr>
        <w:spacing w:after="120"/>
        <w:rPr>
          <w:rFonts w:asciiTheme="minorHAnsi" w:eastAsiaTheme="minorHAnsi" w:hAnsiTheme="minorHAnsi" w:cstheme="minorBidi"/>
        </w:rPr>
      </w:pPr>
      <w:r w:rsidRPr="00052A34">
        <w:rPr>
          <w:rFonts w:asciiTheme="minorHAnsi" w:eastAsiaTheme="minorHAnsi" w:hAnsiTheme="minorHAnsi" w:cstheme="minorBidi"/>
        </w:rPr>
        <w:t>Provide practice notes and tips gathered from public health emergency preparedness professionals</w:t>
      </w:r>
      <w:r>
        <w:rPr>
          <w:rFonts w:asciiTheme="minorHAnsi" w:eastAsiaTheme="minorHAnsi" w:hAnsiTheme="minorHAnsi" w:cstheme="minorBidi"/>
        </w:rPr>
        <w:t xml:space="preserve"> in state, tribal, local, and territorial (STLT) governments </w:t>
      </w:r>
      <w:r w:rsidRPr="00052A34">
        <w:rPr>
          <w:rFonts w:asciiTheme="minorHAnsi" w:eastAsiaTheme="minorHAnsi" w:hAnsiTheme="minorHAnsi" w:cstheme="minorBidi"/>
        </w:rPr>
        <w:t>and their legal counsel</w:t>
      </w:r>
    </w:p>
    <w:p w14:paraId="355D25A1" w14:textId="6931C5E9" w:rsidR="006A2A02" w:rsidRPr="00052A34" w:rsidRDefault="006A2A02" w:rsidP="006A2A02">
      <w:pPr>
        <w:numPr>
          <w:ilvl w:val="0"/>
          <w:numId w:val="1"/>
        </w:numPr>
        <w:spacing w:after="120"/>
        <w:rPr>
          <w:rFonts w:asciiTheme="minorHAnsi" w:eastAsiaTheme="minorHAnsi" w:hAnsiTheme="minorHAnsi" w:cstheme="minorBidi"/>
        </w:rPr>
      </w:pPr>
      <w:r w:rsidRPr="00052A34">
        <w:rPr>
          <w:rFonts w:asciiTheme="minorHAnsi" w:eastAsiaTheme="minorHAnsi" w:hAnsiTheme="minorHAnsi" w:cstheme="minorBidi"/>
        </w:rPr>
        <w:t xml:space="preserve">Assist </w:t>
      </w:r>
      <w:r>
        <w:rPr>
          <w:rFonts w:asciiTheme="minorHAnsi" w:eastAsiaTheme="minorHAnsi" w:hAnsiTheme="minorHAnsi" w:cstheme="minorBidi"/>
        </w:rPr>
        <w:t xml:space="preserve">STLT </w:t>
      </w:r>
      <w:r w:rsidRPr="00052A34">
        <w:rPr>
          <w:rFonts w:asciiTheme="minorHAnsi" w:eastAsiaTheme="minorHAnsi" w:hAnsiTheme="minorHAnsi" w:cstheme="minorBidi"/>
        </w:rPr>
        <w:t xml:space="preserve">health agency staff and legal counsel to identify and analyze their </w:t>
      </w:r>
      <w:r>
        <w:rPr>
          <w:rFonts w:asciiTheme="minorHAnsi" w:eastAsiaTheme="minorHAnsi" w:hAnsiTheme="minorHAnsi" w:cstheme="minorBidi"/>
        </w:rPr>
        <w:t>jurisdiction’s</w:t>
      </w:r>
      <w:r w:rsidRPr="00052A34">
        <w:rPr>
          <w:rFonts w:asciiTheme="minorHAnsi" w:eastAsiaTheme="minorHAnsi" w:hAnsiTheme="minorHAnsi" w:cstheme="minorBidi"/>
        </w:rPr>
        <w:t xml:space="preserve"> laws, rules, policies, and implementation plans </w:t>
      </w:r>
      <w:r w:rsidRPr="00FE4652">
        <w:rPr>
          <w:rFonts w:asciiTheme="minorHAnsi" w:eastAsiaTheme="minorHAnsi" w:hAnsiTheme="minorHAnsi" w:cstheme="minorBidi"/>
        </w:rPr>
        <w:t xml:space="preserve">that </w:t>
      </w:r>
      <w:r w:rsidRPr="006A2A02">
        <w:rPr>
          <w:rFonts w:asciiTheme="minorHAnsi" w:eastAsiaTheme="minorHAnsi" w:hAnsiTheme="minorHAnsi" w:cstheme="minorBidi"/>
        </w:rPr>
        <w:t>governing the storage, distribution, dispensing, and administration of pharmaceuticals and other regulated medical products in the context of emergency preparedness and response activities. Although the Federal Food, Drug, and Cosmetic Act (FD&amp;C Act) establishes the minimum regulation of medical products (e.g., drugs, devices, biologics), state laws may add more stringent requirements and generally govern the licensing of persons who distribute, compound, dispense, and administer medical products.</w:t>
      </w:r>
    </w:p>
    <w:p w14:paraId="5179681B" w14:textId="77777777" w:rsidR="006A2A02" w:rsidRPr="00052A34" w:rsidRDefault="006A2A02" w:rsidP="006A2A02">
      <w:pPr>
        <w:numPr>
          <w:ilvl w:val="0"/>
          <w:numId w:val="1"/>
        </w:numPr>
        <w:contextualSpacing/>
        <w:rPr>
          <w:rFonts w:asciiTheme="minorHAnsi" w:eastAsiaTheme="minorHAnsi" w:hAnsiTheme="minorHAnsi" w:cstheme="minorBidi"/>
        </w:rPr>
      </w:pPr>
      <w:r w:rsidRPr="00052A34">
        <w:rPr>
          <w:rFonts w:asciiTheme="minorHAnsi" w:eastAsiaTheme="minorHAnsi" w:hAnsiTheme="minorHAnsi" w:cstheme="minorBidi"/>
        </w:rPr>
        <w:t>Highlight examples and templates from other jurisdictions</w:t>
      </w:r>
    </w:p>
    <w:p w14:paraId="399BACC0" w14:textId="77777777" w:rsidR="006A2A02" w:rsidRPr="00052A34" w:rsidRDefault="006A2A02" w:rsidP="006A2A02">
      <w:pPr>
        <w:rPr>
          <w:rFonts w:asciiTheme="minorHAnsi" w:eastAsiaTheme="minorHAnsi" w:hAnsiTheme="minorHAnsi" w:cstheme="minorBidi"/>
        </w:rPr>
      </w:pPr>
    </w:p>
    <w:p w14:paraId="243F0C88" w14:textId="19FA32FB" w:rsidR="006A2A02" w:rsidRPr="000C077C" w:rsidRDefault="006A2A02" w:rsidP="006A2A02">
      <w:pPr>
        <w:spacing w:after="120"/>
        <w:rPr>
          <w:rFonts w:asciiTheme="minorHAnsi" w:eastAsiaTheme="minorHAnsi" w:hAnsiTheme="minorHAnsi" w:cstheme="minorBidi"/>
        </w:rPr>
      </w:pPr>
      <w:r w:rsidRPr="00052A34">
        <w:rPr>
          <w:rFonts w:asciiTheme="minorHAnsi" w:eastAsiaTheme="minorHAnsi" w:hAnsiTheme="minorHAnsi" w:cstheme="minorBidi"/>
        </w:rPr>
        <w:t>It</w:t>
      </w:r>
      <w:r w:rsidRPr="008A343A">
        <w:rPr>
          <w:rFonts w:asciiTheme="minorHAnsi" w:eastAsiaTheme="minorHAnsi" w:hAnsiTheme="minorHAnsi" w:cstheme="minorBidi"/>
        </w:rPr>
        <w:t xml:space="preserve"> </w:t>
      </w:r>
      <w:r w:rsidRPr="000C077C">
        <w:rPr>
          <w:rFonts w:asciiTheme="minorHAnsi" w:eastAsiaTheme="minorHAnsi" w:hAnsiTheme="minorHAnsi" w:cstheme="minorBidi"/>
        </w:rPr>
        <w:t xml:space="preserve">includes </w:t>
      </w:r>
      <w:r w:rsidR="00802C72">
        <w:rPr>
          <w:rFonts w:asciiTheme="minorHAnsi" w:eastAsiaTheme="minorHAnsi" w:hAnsiTheme="minorHAnsi" w:cstheme="minorBidi"/>
        </w:rPr>
        <w:t xml:space="preserve">practice </w:t>
      </w:r>
      <w:r w:rsidRPr="000C077C">
        <w:rPr>
          <w:rFonts w:asciiTheme="minorHAnsi" w:eastAsiaTheme="minorHAnsi" w:hAnsiTheme="minorHAnsi" w:cstheme="minorBidi"/>
        </w:rPr>
        <w:t xml:space="preserve">checklists in </w:t>
      </w:r>
      <w:r w:rsidR="000C077C">
        <w:rPr>
          <w:rFonts w:asciiTheme="minorHAnsi" w:eastAsiaTheme="minorHAnsi" w:hAnsiTheme="minorHAnsi" w:cstheme="minorBidi"/>
        </w:rPr>
        <w:t>five</w:t>
      </w:r>
      <w:r w:rsidRPr="000C077C">
        <w:rPr>
          <w:rFonts w:asciiTheme="minorHAnsi" w:eastAsiaTheme="minorHAnsi" w:hAnsiTheme="minorHAnsi" w:cstheme="minorBidi"/>
        </w:rPr>
        <w:t xml:space="preserve"> areas:</w:t>
      </w:r>
    </w:p>
    <w:p w14:paraId="21D07B86" w14:textId="1C12EE16" w:rsidR="006A2A02" w:rsidRPr="000C077C" w:rsidRDefault="0010034D" w:rsidP="000C077C">
      <w:pPr>
        <w:numPr>
          <w:ilvl w:val="0"/>
          <w:numId w:val="2"/>
        </w:numPr>
        <w:spacing w:after="120"/>
        <w:rPr>
          <w:rFonts w:asciiTheme="minorHAnsi" w:eastAsiaTheme="minorHAnsi" w:hAnsiTheme="minorHAnsi" w:cstheme="minorBidi"/>
        </w:rPr>
      </w:pPr>
      <w:r w:rsidRPr="000C077C">
        <w:rPr>
          <w:rFonts w:asciiTheme="minorHAnsi" w:eastAsiaTheme="minorHAnsi" w:hAnsiTheme="minorHAnsi" w:cstheme="minorBidi"/>
        </w:rPr>
        <w:t>Storage of medical products</w:t>
      </w:r>
      <w:r w:rsidR="006A2A02" w:rsidRPr="000C077C">
        <w:rPr>
          <w:rFonts w:asciiTheme="minorHAnsi" w:eastAsiaTheme="minorHAnsi" w:hAnsiTheme="minorHAnsi" w:cstheme="minorBidi"/>
        </w:rPr>
        <w:t xml:space="preserve"> </w:t>
      </w:r>
    </w:p>
    <w:p w14:paraId="3DA45235" w14:textId="51AE5AA0" w:rsidR="0010034D" w:rsidRPr="000C077C" w:rsidRDefault="000C077C" w:rsidP="000C077C">
      <w:pPr>
        <w:numPr>
          <w:ilvl w:val="0"/>
          <w:numId w:val="2"/>
        </w:numPr>
        <w:spacing w:after="120"/>
        <w:rPr>
          <w:rFonts w:asciiTheme="minorHAnsi" w:eastAsiaTheme="minorHAnsi" w:hAnsiTheme="minorHAnsi" w:cstheme="minorBidi"/>
        </w:rPr>
      </w:pPr>
      <w:r w:rsidRPr="000C077C">
        <w:rPr>
          <w:rFonts w:asciiTheme="minorHAnsi" w:eastAsiaTheme="minorHAnsi" w:hAnsiTheme="minorHAnsi" w:cstheme="minorBidi"/>
        </w:rPr>
        <w:t xml:space="preserve">Labeling and packaging of medical products </w:t>
      </w:r>
    </w:p>
    <w:p w14:paraId="38D2FC15" w14:textId="39CF8C1E" w:rsidR="0021126D" w:rsidRPr="000C077C" w:rsidRDefault="000C077C" w:rsidP="000C077C">
      <w:pPr>
        <w:numPr>
          <w:ilvl w:val="0"/>
          <w:numId w:val="2"/>
        </w:numPr>
        <w:spacing w:after="120"/>
        <w:rPr>
          <w:rFonts w:asciiTheme="minorHAnsi" w:eastAsiaTheme="minorHAnsi" w:hAnsiTheme="minorHAnsi" w:cstheme="minorBidi"/>
        </w:rPr>
      </w:pPr>
      <w:r w:rsidRPr="000C077C">
        <w:rPr>
          <w:rFonts w:asciiTheme="minorHAnsi" w:eastAsiaTheme="minorHAnsi" w:hAnsiTheme="minorHAnsi" w:cstheme="minorBidi"/>
        </w:rPr>
        <w:t>Distribution of medical products</w:t>
      </w:r>
    </w:p>
    <w:p w14:paraId="207FA29A" w14:textId="1264900A" w:rsidR="0010034D" w:rsidRPr="000C077C" w:rsidRDefault="000C077C" w:rsidP="000C077C">
      <w:pPr>
        <w:numPr>
          <w:ilvl w:val="0"/>
          <w:numId w:val="2"/>
        </w:numPr>
        <w:spacing w:after="120"/>
        <w:rPr>
          <w:rFonts w:asciiTheme="minorHAnsi" w:eastAsiaTheme="minorHAnsi" w:hAnsiTheme="minorHAnsi" w:cstheme="minorBidi"/>
        </w:rPr>
      </w:pPr>
      <w:r w:rsidRPr="000C077C">
        <w:rPr>
          <w:rFonts w:asciiTheme="minorHAnsi" w:eastAsiaTheme="minorHAnsi" w:hAnsiTheme="minorHAnsi" w:cstheme="minorBidi"/>
        </w:rPr>
        <w:t>Compounding and dispensing of medical products</w:t>
      </w:r>
    </w:p>
    <w:p w14:paraId="6D2E19F7" w14:textId="29DFBD0B" w:rsidR="0021126D" w:rsidRPr="000C077C" w:rsidRDefault="000C077C" w:rsidP="006A2A02">
      <w:pPr>
        <w:numPr>
          <w:ilvl w:val="0"/>
          <w:numId w:val="2"/>
        </w:numPr>
        <w:contextualSpacing/>
        <w:rPr>
          <w:rFonts w:asciiTheme="minorHAnsi" w:eastAsiaTheme="minorHAnsi" w:hAnsiTheme="minorHAnsi" w:cstheme="minorBidi"/>
        </w:rPr>
      </w:pPr>
      <w:r w:rsidRPr="000C077C">
        <w:rPr>
          <w:rFonts w:asciiTheme="minorHAnsi" w:eastAsiaTheme="minorHAnsi" w:hAnsiTheme="minorHAnsi" w:cstheme="minorBidi"/>
        </w:rPr>
        <w:t>Administration of medical products</w:t>
      </w:r>
    </w:p>
    <w:p w14:paraId="4E0A7CCE" w14:textId="77777777" w:rsidR="006A2A02" w:rsidRDefault="006A2A02" w:rsidP="006A2A02">
      <w:pPr>
        <w:rPr>
          <w:rFonts w:asciiTheme="minorHAnsi" w:eastAsiaTheme="minorHAnsi" w:hAnsiTheme="minorHAnsi" w:cstheme="minorBidi"/>
        </w:rPr>
      </w:pPr>
    </w:p>
    <w:p w14:paraId="0362DB9B" w14:textId="77777777" w:rsidR="006A2A02" w:rsidRPr="00052A34" w:rsidRDefault="006A2A02" w:rsidP="006A2A02">
      <w:pPr>
        <w:rPr>
          <w:rFonts w:asciiTheme="minorHAnsi" w:eastAsiaTheme="minorHAnsi" w:hAnsiTheme="minorHAnsi" w:cstheme="minorBidi"/>
        </w:rPr>
      </w:pPr>
      <w:r w:rsidRPr="00052A34">
        <w:rPr>
          <w:rFonts w:asciiTheme="minorHAnsi" w:eastAsiaTheme="minorHAnsi" w:hAnsiTheme="minorHAnsi" w:cstheme="minorBidi"/>
        </w:rPr>
        <w:t xml:space="preserve">Because each jurisdiction’s law is unique, this guide may not identify all issues that arise while analyzing a law. In all instances the language and requirements of the specific jurisdiction’s laws, regulations, treaties, ordinances, rules, policies, guidance, case law, and other sources of legal authority overrule this general analysis guide. </w:t>
      </w:r>
    </w:p>
    <w:p w14:paraId="028F8AF3" w14:textId="77777777" w:rsidR="006A2A02" w:rsidRPr="00052A34" w:rsidRDefault="006A2A02" w:rsidP="006A2A02">
      <w:pPr>
        <w:rPr>
          <w:rFonts w:asciiTheme="minorHAnsi" w:eastAsiaTheme="minorHAnsi" w:hAnsiTheme="minorHAnsi" w:cstheme="minorBidi"/>
        </w:rPr>
      </w:pPr>
    </w:p>
    <w:p w14:paraId="57D2443F" w14:textId="01E7BEEA" w:rsidR="006A2A02" w:rsidRDefault="006A2A02" w:rsidP="006A2A02">
      <w:pPr>
        <w:rPr>
          <w:rFonts w:asciiTheme="minorHAnsi" w:eastAsiaTheme="minorHAnsi" w:hAnsiTheme="minorHAnsi" w:cstheme="minorBidi"/>
          <w:b/>
          <w:bCs/>
        </w:rPr>
      </w:pPr>
      <w:r w:rsidRPr="00052A34">
        <w:rPr>
          <w:rFonts w:asciiTheme="minorHAnsi" w:eastAsiaTheme="minorHAnsi" w:hAnsiTheme="minorHAnsi" w:cstheme="minorBidi"/>
          <w:b/>
          <w:bCs/>
        </w:rPr>
        <w:t>This resource is for informational purposes only and is not intended as a substitute for professional legal or other advice.</w:t>
      </w:r>
    </w:p>
    <w:p w14:paraId="3293D1D4" w14:textId="6BE5878B" w:rsidR="00D067EB" w:rsidRDefault="00D067EB">
      <w:pPr>
        <w:rPr>
          <w:rFonts w:asciiTheme="minorHAnsi" w:eastAsiaTheme="minorHAnsi" w:hAnsiTheme="minorHAnsi" w:cstheme="minorBidi"/>
          <w:b/>
          <w:bCs/>
        </w:rPr>
      </w:pPr>
      <w:r>
        <w:rPr>
          <w:rFonts w:asciiTheme="minorHAnsi" w:eastAsiaTheme="minorHAnsi" w:hAnsiTheme="minorHAnsi" w:cstheme="minorBidi"/>
          <w:b/>
          <w:bCs/>
        </w:rPr>
        <w:br w:type="page"/>
      </w:r>
    </w:p>
    <w:p w14:paraId="38911907" w14:textId="04D4C1A3" w:rsidR="006A2A02" w:rsidRDefault="006A2A02" w:rsidP="006A2A02">
      <w:pPr>
        <w:rPr>
          <w:rFonts w:asciiTheme="minorHAnsi" w:eastAsiaTheme="minorHAnsi" w:hAnsiTheme="minorHAnsi" w:cstheme="minorBidi"/>
        </w:rPr>
      </w:pPr>
    </w:p>
    <w:p w14:paraId="71154614" w14:textId="7543C8A1" w:rsidR="007C6EB6" w:rsidRDefault="007C6EB6" w:rsidP="007C6EB6">
      <w:pPr>
        <w:jc w:val="center"/>
        <w:rPr>
          <w:rFonts w:asciiTheme="minorHAnsi" w:eastAsiaTheme="minorHAnsi" w:hAnsiTheme="minorHAnsi" w:cstheme="minorBidi"/>
        </w:rPr>
      </w:pPr>
      <w:r>
        <w:rPr>
          <w:rFonts w:asciiTheme="minorHAnsi" w:eastAsiaTheme="minorHAnsi" w:hAnsiTheme="minorHAnsi" w:cstheme="minorBidi"/>
        </w:rPr>
        <w:t>_____________________________________________________________________________</w:t>
      </w:r>
    </w:p>
    <w:p w14:paraId="317A00DA" w14:textId="77777777" w:rsidR="006A2A02" w:rsidRDefault="006A2A02" w:rsidP="006A2A02">
      <w:pPr>
        <w:rPr>
          <w:rFonts w:asciiTheme="minorHAnsi" w:eastAsiaTheme="minorHAnsi" w:hAnsiTheme="minorHAnsi" w:cstheme="minorBidi"/>
        </w:rPr>
      </w:pPr>
    </w:p>
    <w:p w14:paraId="5579715B" w14:textId="77777777" w:rsidR="005F1FFC" w:rsidRPr="005F1FFC" w:rsidRDefault="006A2A02" w:rsidP="005F1FFC">
      <w:pPr>
        <w:spacing w:after="120"/>
        <w:rPr>
          <w:rFonts w:asciiTheme="minorHAnsi" w:hAnsiTheme="minorHAnsi" w:cstheme="minorHAnsi"/>
          <w:b/>
          <w:sz w:val="24"/>
          <w:szCs w:val="24"/>
        </w:rPr>
      </w:pPr>
      <w:r w:rsidRPr="00E50B89">
        <w:rPr>
          <w:rFonts w:asciiTheme="minorHAnsi" w:eastAsiaTheme="minorHAnsi" w:hAnsiTheme="minorHAnsi" w:cstheme="minorBidi"/>
          <w:b/>
          <w:sz w:val="24"/>
          <w:szCs w:val="24"/>
        </w:rPr>
        <w:t>Checklist</w:t>
      </w:r>
      <w:r w:rsidRPr="00E50B89">
        <w:rPr>
          <w:rFonts w:asciiTheme="minorHAnsi" w:eastAsia="Times New Roman" w:hAnsiTheme="minorHAnsi" w:cs="Arial"/>
          <w:b/>
          <w:color w:val="3C3030"/>
          <w:sz w:val="24"/>
          <w:szCs w:val="24"/>
        </w:rPr>
        <w:t xml:space="preserve"> – </w:t>
      </w:r>
      <w:r w:rsidR="005F1FFC" w:rsidRPr="005F1FFC">
        <w:rPr>
          <w:rFonts w:asciiTheme="minorHAnsi" w:hAnsiTheme="minorHAnsi" w:cstheme="minorHAnsi"/>
          <w:b/>
          <w:sz w:val="24"/>
          <w:szCs w:val="24"/>
        </w:rPr>
        <w:t>Storage of Medical Products</w:t>
      </w:r>
    </w:p>
    <w:p w14:paraId="71381D34" w14:textId="77777777" w:rsidR="005F1FFC" w:rsidRDefault="005F1FFC" w:rsidP="0066423F">
      <w:pPr>
        <w:pStyle w:val="ListParagraph"/>
        <w:numPr>
          <w:ilvl w:val="0"/>
          <w:numId w:val="4"/>
        </w:numPr>
        <w:spacing w:after="120"/>
        <w:contextualSpacing w:val="0"/>
      </w:pPr>
      <w:r>
        <w:t>Identify state legal authorities governing the storage of medical products (e.g., drugs, devices, biologics).</w:t>
      </w:r>
    </w:p>
    <w:p w14:paraId="10C54483" w14:textId="573CB901" w:rsidR="005F1FFC" w:rsidRDefault="005F1FFC" w:rsidP="0066423F">
      <w:pPr>
        <w:pStyle w:val="ListParagraph"/>
        <w:numPr>
          <w:ilvl w:val="0"/>
          <w:numId w:val="5"/>
        </w:numPr>
        <w:spacing w:after="120"/>
        <w:contextualSpacing w:val="0"/>
      </w:pPr>
      <w:r>
        <w:t>How is the term “storage” defined?</w:t>
      </w:r>
      <w:r w:rsidR="008D26D7">
        <w:t xml:space="preserve"> </w:t>
      </w:r>
    </w:p>
    <w:p w14:paraId="4F9246E2" w14:textId="5DF894B1" w:rsidR="005212E7" w:rsidRDefault="005212E7" w:rsidP="0066423F">
      <w:pPr>
        <w:pStyle w:val="ListParagraph"/>
        <w:numPr>
          <w:ilvl w:val="0"/>
          <w:numId w:val="5"/>
        </w:numPr>
        <w:spacing w:after="120"/>
        <w:contextualSpacing w:val="0"/>
      </w:pPr>
      <w:r>
        <w:t>Does state law use other or additional terms for “storage” (e.g.,</w:t>
      </w:r>
      <w:r w:rsidR="0083304A">
        <w:t>”</w:t>
      </w:r>
      <w:r>
        <w:t xml:space="preserve"> warehousing</w:t>
      </w:r>
      <w:r w:rsidR="0083304A">
        <w:t>”</w:t>
      </w:r>
      <w:r>
        <w:t xml:space="preserve">, </w:t>
      </w:r>
      <w:r w:rsidR="0083304A">
        <w:t>“possession”)?</w:t>
      </w:r>
    </w:p>
    <w:p w14:paraId="7AE2095D" w14:textId="77777777" w:rsidR="005F1FFC" w:rsidRDefault="005F1FFC" w:rsidP="0066423F">
      <w:pPr>
        <w:pStyle w:val="ListParagraph"/>
        <w:numPr>
          <w:ilvl w:val="0"/>
          <w:numId w:val="6"/>
        </w:numPr>
        <w:spacing w:after="120"/>
        <w:contextualSpacing w:val="0"/>
      </w:pPr>
      <w:r>
        <w:t>Identify if and how the legal requirements for storage differ depending on the type of medical product.</w:t>
      </w:r>
    </w:p>
    <w:p w14:paraId="4C8E2254" w14:textId="77777777" w:rsidR="005F1FFC" w:rsidRDefault="005F1FFC" w:rsidP="0066423F">
      <w:pPr>
        <w:pStyle w:val="ListParagraph"/>
        <w:numPr>
          <w:ilvl w:val="0"/>
          <w:numId w:val="6"/>
        </w:numPr>
        <w:spacing w:after="120"/>
        <w:contextualSpacing w:val="0"/>
      </w:pPr>
      <w:r>
        <w:t>Identify if and how the legal authorities apply to caches and stockpiles of medical products.</w:t>
      </w:r>
    </w:p>
    <w:p w14:paraId="03C7DFF0" w14:textId="3A368E98" w:rsidR="005F1FFC" w:rsidRDefault="005F1FFC" w:rsidP="0066423F">
      <w:pPr>
        <w:pStyle w:val="ListParagraph"/>
        <w:numPr>
          <w:ilvl w:val="0"/>
          <w:numId w:val="7"/>
        </w:numPr>
        <w:spacing w:after="120"/>
        <w:contextualSpacing w:val="0"/>
      </w:pPr>
      <w:r>
        <w:t>Are the legal requirements any different for government caches and stockpiles or private caches and stockpiles?</w:t>
      </w:r>
    </w:p>
    <w:p w14:paraId="25E6B17D" w14:textId="213C7E1A" w:rsidR="005F1FFC" w:rsidRDefault="005F1FFC" w:rsidP="0066423F">
      <w:pPr>
        <w:pStyle w:val="ListParagraph"/>
        <w:numPr>
          <w:ilvl w:val="0"/>
          <w:numId w:val="7"/>
        </w:numPr>
        <w:spacing w:after="120"/>
        <w:contextualSpacing w:val="0"/>
      </w:pPr>
      <w:r>
        <w:t>Are there different requirements if the government caches and stockpiles are stored/managed in a government-owned or -controlled facility? In a privately owned or controlled facility?</w:t>
      </w:r>
    </w:p>
    <w:p w14:paraId="1E33BDD6" w14:textId="77777777" w:rsidR="005F1FFC" w:rsidRDefault="005F1FFC" w:rsidP="0066423F">
      <w:pPr>
        <w:pStyle w:val="ListParagraph"/>
        <w:numPr>
          <w:ilvl w:val="0"/>
          <w:numId w:val="8"/>
        </w:numPr>
        <w:spacing w:after="120"/>
        <w:contextualSpacing w:val="0"/>
      </w:pPr>
      <w:r>
        <w:t>Are there any state immunities or other liability protections available to those storing medical products? If so, identify the protected parties, protected actions, and any limits on the protections.</w:t>
      </w:r>
    </w:p>
    <w:p w14:paraId="420681C6" w14:textId="77777777" w:rsidR="005F1FFC" w:rsidRDefault="005F1FFC" w:rsidP="0066423F">
      <w:pPr>
        <w:pStyle w:val="ListParagraph"/>
        <w:numPr>
          <w:ilvl w:val="0"/>
          <w:numId w:val="9"/>
        </w:numPr>
        <w:spacing w:after="120"/>
        <w:contextualSpacing w:val="0"/>
      </w:pPr>
      <w:r>
        <w:t>Identify if and how the legal requirements change when there is an emergency declaration.</w:t>
      </w:r>
    </w:p>
    <w:p w14:paraId="3F849E0A" w14:textId="0EAD6A44" w:rsidR="006A2A02" w:rsidRPr="006A2A02" w:rsidRDefault="005F1FFC" w:rsidP="0066423F">
      <w:pPr>
        <w:pStyle w:val="ListParagraph"/>
        <w:numPr>
          <w:ilvl w:val="0"/>
          <w:numId w:val="9"/>
        </w:numPr>
      </w:pPr>
      <w:r>
        <w:t>Identify if any state legal authorities governing storage of medical products conflict with any federal legal requirements.</w:t>
      </w:r>
    </w:p>
    <w:p w14:paraId="0035951D" w14:textId="4C2AA3BE" w:rsidR="006A2A02" w:rsidRDefault="006A2A02"/>
    <w:p w14:paraId="7F2260FB" w14:textId="77777777" w:rsidR="007C6EB6" w:rsidRDefault="007C6EB6" w:rsidP="007C6EB6">
      <w:pPr>
        <w:jc w:val="center"/>
        <w:rPr>
          <w:rFonts w:asciiTheme="minorHAnsi" w:eastAsiaTheme="minorHAnsi" w:hAnsiTheme="minorHAnsi" w:cstheme="minorBidi"/>
        </w:rPr>
      </w:pPr>
      <w:r>
        <w:rPr>
          <w:rFonts w:asciiTheme="minorHAnsi" w:eastAsiaTheme="minorHAnsi" w:hAnsiTheme="minorHAnsi" w:cstheme="minorBidi"/>
        </w:rPr>
        <w:t>_____________________________________________________________________________</w:t>
      </w:r>
    </w:p>
    <w:p w14:paraId="1AD882E6" w14:textId="77777777" w:rsidR="007C6EB6" w:rsidRPr="006A2A02" w:rsidRDefault="007C6EB6"/>
    <w:p w14:paraId="5D5B8F47" w14:textId="5E3FCBA8" w:rsidR="006A2A02" w:rsidRDefault="006A2A02"/>
    <w:p w14:paraId="2DAB0093" w14:textId="77777777" w:rsidR="00230CB9" w:rsidRPr="00230CB9" w:rsidRDefault="005F1FFC" w:rsidP="00230CB9">
      <w:pPr>
        <w:spacing w:after="120"/>
        <w:rPr>
          <w:rFonts w:asciiTheme="minorHAnsi" w:hAnsiTheme="minorHAnsi" w:cstheme="minorHAnsi"/>
          <w:b/>
          <w:sz w:val="24"/>
          <w:szCs w:val="24"/>
        </w:rPr>
      </w:pPr>
      <w:r w:rsidRPr="00E50B89">
        <w:rPr>
          <w:rFonts w:asciiTheme="minorHAnsi" w:eastAsiaTheme="minorHAnsi" w:hAnsiTheme="minorHAnsi" w:cstheme="minorBidi"/>
          <w:b/>
          <w:sz w:val="24"/>
          <w:szCs w:val="24"/>
        </w:rPr>
        <w:t>Checklist</w:t>
      </w:r>
      <w:r w:rsidRPr="00E50B89">
        <w:rPr>
          <w:rFonts w:asciiTheme="minorHAnsi" w:eastAsia="Times New Roman" w:hAnsiTheme="minorHAnsi" w:cs="Arial"/>
          <w:b/>
          <w:color w:val="3C3030"/>
          <w:sz w:val="24"/>
          <w:szCs w:val="24"/>
        </w:rPr>
        <w:t xml:space="preserve"> – </w:t>
      </w:r>
      <w:r w:rsidR="00230CB9" w:rsidRPr="00230CB9">
        <w:rPr>
          <w:rFonts w:asciiTheme="minorHAnsi" w:hAnsiTheme="minorHAnsi" w:cstheme="minorHAnsi"/>
          <w:b/>
          <w:sz w:val="24"/>
          <w:szCs w:val="24"/>
        </w:rPr>
        <w:t>Labeling and Packaging of Medical Products</w:t>
      </w:r>
    </w:p>
    <w:p w14:paraId="2DA75EC8" w14:textId="64DED1EE" w:rsidR="00254507" w:rsidRDefault="00254507" w:rsidP="002E2E94">
      <w:pPr>
        <w:pStyle w:val="ListParagraph"/>
        <w:numPr>
          <w:ilvl w:val="0"/>
          <w:numId w:val="10"/>
        </w:numPr>
        <w:spacing w:after="120"/>
        <w:contextualSpacing w:val="0"/>
      </w:pPr>
      <w:r>
        <w:t>Identify state legal authorities governing the labeling/relabeling or packaging/repackaging of medical products.</w:t>
      </w:r>
    </w:p>
    <w:p w14:paraId="08EBED56" w14:textId="53287EF0" w:rsidR="00254507" w:rsidRDefault="00254507" w:rsidP="002E2E94">
      <w:pPr>
        <w:pStyle w:val="ListParagraph"/>
        <w:numPr>
          <w:ilvl w:val="0"/>
          <w:numId w:val="11"/>
        </w:numPr>
        <w:spacing w:after="120"/>
        <w:contextualSpacing w:val="0"/>
      </w:pPr>
      <w:r>
        <w:t>How are the terms “labeling/relabeling” and “packaging/repackaging” defined?</w:t>
      </w:r>
    </w:p>
    <w:p w14:paraId="6BBDA36E" w14:textId="3C2E36F3" w:rsidR="002E2E94" w:rsidRDefault="00254507" w:rsidP="002E2E94">
      <w:pPr>
        <w:pStyle w:val="ListParagraph"/>
        <w:numPr>
          <w:ilvl w:val="0"/>
          <w:numId w:val="13"/>
        </w:numPr>
        <w:spacing w:after="120"/>
        <w:contextualSpacing w:val="0"/>
      </w:pPr>
      <w:r>
        <w:t>Identify if and how the state legal authorities differ for governments and other actors (e.g., private organizations).</w:t>
      </w:r>
    </w:p>
    <w:p w14:paraId="4055C9E1" w14:textId="53FEE736" w:rsidR="00254507" w:rsidRDefault="00254507" w:rsidP="002E2E94">
      <w:pPr>
        <w:pStyle w:val="ListParagraph"/>
        <w:numPr>
          <w:ilvl w:val="0"/>
          <w:numId w:val="13"/>
        </w:numPr>
        <w:spacing w:after="120"/>
        <w:contextualSpacing w:val="0"/>
      </w:pPr>
      <w:r>
        <w:t>Are there any state immunities or other liability protections available to those labeling or packaging medical products? If so, identify the protected parties, protected actions, and any limits on the protections.</w:t>
      </w:r>
    </w:p>
    <w:p w14:paraId="362E9FDF" w14:textId="74F8E1C6" w:rsidR="00254507" w:rsidRDefault="00254507" w:rsidP="002E2E94">
      <w:pPr>
        <w:pStyle w:val="ListParagraph"/>
        <w:numPr>
          <w:ilvl w:val="0"/>
          <w:numId w:val="13"/>
        </w:numPr>
        <w:spacing w:after="120"/>
        <w:contextualSpacing w:val="0"/>
      </w:pPr>
      <w:r>
        <w:t>Identify if and how the legal requirements change when there is an emergency declaration.</w:t>
      </w:r>
    </w:p>
    <w:p w14:paraId="5074DDEC" w14:textId="08511B47" w:rsidR="005F1FFC" w:rsidRDefault="00254507" w:rsidP="00254507">
      <w:pPr>
        <w:pStyle w:val="ListParagraph"/>
        <w:numPr>
          <w:ilvl w:val="0"/>
          <w:numId w:val="13"/>
        </w:numPr>
      </w:pPr>
      <w:r>
        <w:t>Identify if any state legal authorities governing the labeling/relabeling or packaging/repackaging of medical products conflict with any federal legal requirements.</w:t>
      </w:r>
    </w:p>
    <w:p w14:paraId="7A4552DD" w14:textId="2F1CABFF" w:rsidR="005F1FFC" w:rsidRDefault="005F1FFC"/>
    <w:p w14:paraId="244689CF" w14:textId="77777777" w:rsidR="007C6EB6" w:rsidRDefault="007C6EB6" w:rsidP="007C6EB6">
      <w:pPr>
        <w:jc w:val="center"/>
        <w:rPr>
          <w:rFonts w:asciiTheme="minorHAnsi" w:eastAsiaTheme="minorHAnsi" w:hAnsiTheme="minorHAnsi" w:cstheme="minorBidi"/>
        </w:rPr>
      </w:pPr>
      <w:r>
        <w:rPr>
          <w:rFonts w:asciiTheme="minorHAnsi" w:eastAsiaTheme="minorHAnsi" w:hAnsiTheme="minorHAnsi" w:cstheme="minorBidi"/>
        </w:rPr>
        <w:t>_____________________________________________________________________________</w:t>
      </w:r>
    </w:p>
    <w:p w14:paraId="528A720F" w14:textId="6F2BA728" w:rsidR="00D067EB" w:rsidRDefault="00D067EB">
      <w:r>
        <w:br w:type="page"/>
      </w:r>
    </w:p>
    <w:p w14:paraId="5BA17537" w14:textId="77777777" w:rsidR="007C6EB6" w:rsidRDefault="007C6EB6"/>
    <w:p w14:paraId="7B754232" w14:textId="77777777" w:rsidR="00B55BE8" w:rsidRPr="00B55BE8" w:rsidRDefault="00230CB9" w:rsidP="00B55BE8">
      <w:pPr>
        <w:spacing w:after="120"/>
        <w:rPr>
          <w:rFonts w:asciiTheme="minorHAnsi" w:hAnsiTheme="minorHAnsi" w:cstheme="minorHAnsi"/>
          <w:b/>
          <w:sz w:val="24"/>
          <w:szCs w:val="24"/>
        </w:rPr>
      </w:pPr>
      <w:r w:rsidRPr="00E50B89">
        <w:rPr>
          <w:rFonts w:asciiTheme="minorHAnsi" w:eastAsiaTheme="minorHAnsi" w:hAnsiTheme="minorHAnsi" w:cstheme="minorBidi"/>
          <w:b/>
          <w:sz w:val="24"/>
          <w:szCs w:val="24"/>
        </w:rPr>
        <w:t>Checklist</w:t>
      </w:r>
      <w:r w:rsidRPr="00E50B89">
        <w:rPr>
          <w:rFonts w:asciiTheme="minorHAnsi" w:eastAsia="Times New Roman" w:hAnsiTheme="minorHAnsi" w:cs="Arial"/>
          <w:b/>
          <w:color w:val="3C3030"/>
          <w:sz w:val="24"/>
          <w:szCs w:val="24"/>
        </w:rPr>
        <w:t xml:space="preserve"> – </w:t>
      </w:r>
      <w:r w:rsidR="00B55BE8" w:rsidRPr="00B55BE8">
        <w:rPr>
          <w:rFonts w:asciiTheme="minorHAnsi" w:hAnsiTheme="minorHAnsi" w:cstheme="minorHAnsi"/>
          <w:b/>
          <w:sz w:val="24"/>
          <w:szCs w:val="24"/>
        </w:rPr>
        <w:t>Distribution of Medical Products</w:t>
      </w:r>
    </w:p>
    <w:p w14:paraId="1A9D5D90" w14:textId="77777777" w:rsidR="00B55BE8" w:rsidRDefault="00B55BE8" w:rsidP="0053100B">
      <w:pPr>
        <w:pStyle w:val="ListParagraph"/>
        <w:numPr>
          <w:ilvl w:val="0"/>
          <w:numId w:val="14"/>
        </w:numPr>
        <w:spacing w:after="120"/>
        <w:contextualSpacing w:val="0"/>
      </w:pPr>
      <w:r>
        <w:t>Identify state legal authorities governing the distribution of medical products.</w:t>
      </w:r>
    </w:p>
    <w:p w14:paraId="221B302F" w14:textId="3EA6D3BB" w:rsidR="00B55BE8" w:rsidRDefault="00B55BE8" w:rsidP="0053100B">
      <w:pPr>
        <w:pStyle w:val="ListParagraph"/>
        <w:numPr>
          <w:ilvl w:val="0"/>
          <w:numId w:val="11"/>
        </w:numPr>
        <w:spacing w:after="120"/>
        <w:contextualSpacing w:val="0"/>
      </w:pPr>
      <w:r>
        <w:t>How is the term “distribution” defined?</w:t>
      </w:r>
    </w:p>
    <w:p w14:paraId="081450DF" w14:textId="77777777" w:rsidR="00B55BE8" w:rsidRDefault="00B55BE8" w:rsidP="0053100B">
      <w:pPr>
        <w:pStyle w:val="ListParagraph"/>
        <w:numPr>
          <w:ilvl w:val="0"/>
          <w:numId w:val="15"/>
        </w:numPr>
        <w:spacing w:after="120"/>
        <w:contextualSpacing w:val="0"/>
      </w:pPr>
      <w:r>
        <w:t>Identify if state legal authorities specify or limit the types of persons or professions that can undertake distribution activities (e.g., breaking down pallet shipments of medical products, packing shipments for dispensing, transporting shipments to dispensing sites).</w:t>
      </w:r>
    </w:p>
    <w:p w14:paraId="0E6F2DAB" w14:textId="77777777" w:rsidR="00B55BE8" w:rsidRDefault="00B55BE8" w:rsidP="0053100B">
      <w:pPr>
        <w:pStyle w:val="ListParagraph"/>
        <w:numPr>
          <w:ilvl w:val="0"/>
          <w:numId w:val="15"/>
        </w:numPr>
        <w:spacing w:after="120"/>
        <w:contextualSpacing w:val="0"/>
      </w:pPr>
      <w:r>
        <w:t>Identify if and how the legal authorities apply to the distribution of medical products from government caches or stockpiles.</w:t>
      </w:r>
    </w:p>
    <w:p w14:paraId="5A37A481" w14:textId="77777777" w:rsidR="00B55BE8" w:rsidRDefault="00B55BE8" w:rsidP="0053100B">
      <w:pPr>
        <w:pStyle w:val="ListParagraph"/>
        <w:numPr>
          <w:ilvl w:val="0"/>
          <w:numId w:val="15"/>
        </w:numPr>
        <w:spacing w:after="120"/>
        <w:contextualSpacing w:val="0"/>
      </w:pPr>
      <w:r>
        <w:t>Are there any state immunities or other liability protections available to those distributing medical products? If so, identify the protected parties, protected actions, and any limits on the protections.</w:t>
      </w:r>
    </w:p>
    <w:p w14:paraId="23AEC939" w14:textId="77777777" w:rsidR="00B55BE8" w:rsidRDefault="00B55BE8" w:rsidP="0053100B">
      <w:pPr>
        <w:pStyle w:val="ListParagraph"/>
        <w:numPr>
          <w:ilvl w:val="0"/>
          <w:numId w:val="15"/>
        </w:numPr>
        <w:spacing w:after="120"/>
        <w:contextualSpacing w:val="0"/>
      </w:pPr>
      <w:r>
        <w:t>Identify if and how the legal requirements change when there is an emergency declaration.</w:t>
      </w:r>
    </w:p>
    <w:p w14:paraId="61CB452D" w14:textId="036A59D1" w:rsidR="00230CB9" w:rsidRDefault="00B55BE8" w:rsidP="0053100B">
      <w:pPr>
        <w:pStyle w:val="ListParagraph"/>
        <w:numPr>
          <w:ilvl w:val="0"/>
          <w:numId w:val="15"/>
        </w:numPr>
        <w:spacing w:after="120"/>
        <w:contextualSpacing w:val="0"/>
      </w:pPr>
      <w:r>
        <w:t>Identify if any state legal authorities governing the distribution of medical products conflict with any federal legal requirements.</w:t>
      </w:r>
    </w:p>
    <w:p w14:paraId="65687C2F" w14:textId="38DEC9E9" w:rsidR="00230CB9" w:rsidRDefault="00230CB9"/>
    <w:p w14:paraId="741D6091" w14:textId="77777777" w:rsidR="007C6EB6" w:rsidRDefault="007C6EB6" w:rsidP="007C6EB6">
      <w:pPr>
        <w:jc w:val="center"/>
        <w:rPr>
          <w:rFonts w:asciiTheme="minorHAnsi" w:eastAsiaTheme="minorHAnsi" w:hAnsiTheme="minorHAnsi" w:cstheme="minorBidi"/>
        </w:rPr>
      </w:pPr>
      <w:r>
        <w:rPr>
          <w:rFonts w:asciiTheme="minorHAnsi" w:eastAsiaTheme="minorHAnsi" w:hAnsiTheme="minorHAnsi" w:cstheme="minorBidi"/>
        </w:rPr>
        <w:t>_____________________________________________________________________________</w:t>
      </w:r>
    </w:p>
    <w:p w14:paraId="02E707A8" w14:textId="51B21143" w:rsidR="007C6EB6" w:rsidRDefault="007C6EB6"/>
    <w:p w14:paraId="374D2410" w14:textId="77777777" w:rsidR="002A6B1E" w:rsidRDefault="002A6B1E"/>
    <w:p w14:paraId="0C35F6C8" w14:textId="77777777" w:rsidR="000A7811" w:rsidRPr="000A7811" w:rsidRDefault="000B455E" w:rsidP="007B541E">
      <w:pPr>
        <w:keepNext/>
        <w:spacing w:after="120"/>
        <w:rPr>
          <w:rFonts w:asciiTheme="minorHAnsi" w:hAnsiTheme="minorHAnsi" w:cstheme="minorHAnsi"/>
          <w:b/>
          <w:sz w:val="24"/>
          <w:szCs w:val="24"/>
        </w:rPr>
      </w:pPr>
      <w:r w:rsidRPr="00E50B89">
        <w:rPr>
          <w:rFonts w:asciiTheme="minorHAnsi" w:eastAsiaTheme="minorHAnsi" w:hAnsiTheme="minorHAnsi" w:cstheme="minorBidi"/>
          <w:b/>
          <w:sz w:val="24"/>
          <w:szCs w:val="24"/>
        </w:rPr>
        <w:t>Checklist</w:t>
      </w:r>
      <w:r w:rsidRPr="00E50B89">
        <w:rPr>
          <w:rFonts w:asciiTheme="minorHAnsi" w:eastAsia="Times New Roman" w:hAnsiTheme="minorHAnsi" w:cs="Arial"/>
          <w:b/>
          <w:color w:val="3C3030"/>
          <w:sz w:val="24"/>
          <w:szCs w:val="24"/>
        </w:rPr>
        <w:t xml:space="preserve"> – </w:t>
      </w:r>
      <w:bookmarkStart w:id="0" w:name="_Hlk35607414"/>
      <w:r w:rsidR="000A7811" w:rsidRPr="000A7811">
        <w:rPr>
          <w:rFonts w:asciiTheme="minorHAnsi" w:hAnsiTheme="minorHAnsi" w:cstheme="minorHAnsi"/>
          <w:b/>
          <w:sz w:val="24"/>
          <w:szCs w:val="24"/>
        </w:rPr>
        <w:t>Compounding and Dispensing of Medical Products</w:t>
      </w:r>
      <w:bookmarkEnd w:id="0"/>
    </w:p>
    <w:p w14:paraId="04F1A64F" w14:textId="77777777" w:rsidR="000A7811" w:rsidRDefault="000A7811" w:rsidP="007D7D60">
      <w:pPr>
        <w:pStyle w:val="ListParagraph"/>
        <w:numPr>
          <w:ilvl w:val="0"/>
          <w:numId w:val="16"/>
        </w:numPr>
        <w:spacing w:after="120"/>
        <w:contextualSpacing w:val="0"/>
      </w:pPr>
      <w:r>
        <w:t>Identify state legal authorities governing the compounding and dispensing of medical products.</w:t>
      </w:r>
    </w:p>
    <w:p w14:paraId="4585CD4F" w14:textId="24B55D1D" w:rsidR="000A7811" w:rsidRDefault="000A7811" w:rsidP="007D7D60">
      <w:pPr>
        <w:pStyle w:val="ListParagraph"/>
        <w:numPr>
          <w:ilvl w:val="0"/>
          <w:numId w:val="11"/>
        </w:numPr>
        <w:spacing w:after="120"/>
        <w:contextualSpacing w:val="0"/>
      </w:pPr>
      <w:r>
        <w:t>How are the terms “compounding” and “dispensing” defined?</w:t>
      </w:r>
    </w:p>
    <w:p w14:paraId="39223AC6" w14:textId="77777777" w:rsidR="000A7811" w:rsidRDefault="000A7811" w:rsidP="007D7D60">
      <w:pPr>
        <w:pStyle w:val="ListParagraph"/>
        <w:numPr>
          <w:ilvl w:val="0"/>
          <w:numId w:val="17"/>
        </w:numPr>
        <w:spacing w:after="120"/>
        <w:contextualSpacing w:val="0"/>
      </w:pPr>
      <w:r>
        <w:t>Identify the types of persons/professions permitted to compound or dispense medical products and the types of medical products each is allowed to compound or dispense.</w:t>
      </w:r>
    </w:p>
    <w:p w14:paraId="7135870F" w14:textId="77777777" w:rsidR="000A7811" w:rsidRDefault="000A7811" w:rsidP="007D7D60">
      <w:pPr>
        <w:pStyle w:val="ListParagraph"/>
        <w:numPr>
          <w:ilvl w:val="0"/>
          <w:numId w:val="17"/>
        </w:numPr>
        <w:spacing w:after="120"/>
        <w:contextualSpacing w:val="0"/>
      </w:pPr>
      <w:r>
        <w:t>Identify if state legal authorities specify or limit the types of persons or professions that can undertake compounding or dispensing activities (e.g., cannot compound but can dispense, can only dispense certain types of medical products).</w:t>
      </w:r>
    </w:p>
    <w:p w14:paraId="2D8B2F14" w14:textId="77777777" w:rsidR="000A7811" w:rsidRDefault="000A7811" w:rsidP="007D7D60">
      <w:pPr>
        <w:pStyle w:val="ListParagraph"/>
        <w:numPr>
          <w:ilvl w:val="0"/>
          <w:numId w:val="17"/>
        </w:numPr>
        <w:spacing w:after="120"/>
        <w:contextualSpacing w:val="0"/>
      </w:pPr>
      <w:r>
        <w:t>Are there any state immunities or other liability protections available to those compounding or dispensing medical products? If so, identify the protected parties, protected actions, and any limits on the protections.</w:t>
      </w:r>
    </w:p>
    <w:p w14:paraId="4F99EA02" w14:textId="2BEEA919" w:rsidR="000A7811" w:rsidRDefault="007E114A" w:rsidP="007D7D60">
      <w:pPr>
        <w:pStyle w:val="ListParagraph"/>
        <w:numPr>
          <w:ilvl w:val="0"/>
          <w:numId w:val="17"/>
        </w:numPr>
        <w:spacing w:after="120"/>
        <w:contextualSpacing w:val="0"/>
      </w:pPr>
      <w:r>
        <w:t>Can</w:t>
      </w:r>
      <w:r w:rsidR="000A7811">
        <w:t xml:space="preserve"> the persons/professions authorized to compound/dispense medical products, the types of medical products they are authorized to compound/dispense, or the conditions under which they are authorized to compound/dispense change when there is an emergency declaration? If so, identify the changes.</w:t>
      </w:r>
    </w:p>
    <w:p w14:paraId="457781EF" w14:textId="5EB31D1A" w:rsidR="00B55BE8" w:rsidRPr="006A2A02" w:rsidRDefault="000A7811" w:rsidP="007D7D60">
      <w:pPr>
        <w:pStyle w:val="ListParagraph"/>
        <w:numPr>
          <w:ilvl w:val="0"/>
          <w:numId w:val="17"/>
        </w:numPr>
      </w:pPr>
      <w:r>
        <w:t>Identify if any state legal authorities governing the compounding or dispensing of medical products conflict with any federal legal requirements.</w:t>
      </w:r>
    </w:p>
    <w:p w14:paraId="4B28E77B" w14:textId="69B79E5A" w:rsidR="006A2A02" w:rsidRDefault="006A2A02" w:rsidP="006A2A02">
      <w:pPr>
        <w:rPr>
          <w:sz w:val="24"/>
          <w:szCs w:val="24"/>
        </w:rPr>
      </w:pPr>
    </w:p>
    <w:p w14:paraId="30237499" w14:textId="77777777" w:rsidR="002A6B1E" w:rsidRDefault="002A6B1E" w:rsidP="002A6B1E">
      <w:pPr>
        <w:jc w:val="center"/>
        <w:rPr>
          <w:rFonts w:asciiTheme="minorHAnsi" w:eastAsiaTheme="minorHAnsi" w:hAnsiTheme="minorHAnsi" w:cstheme="minorBidi"/>
        </w:rPr>
      </w:pPr>
      <w:r>
        <w:rPr>
          <w:rFonts w:asciiTheme="minorHAnsi" w:eastAsiaTheme="minorHAnsi" w:hAnsiTheme="minorHAnsi" w:cstheme="minorBidi"/>
        </w:rPr>
        <w:t>_____________________________________________________________________________</w:t>
      </w:r>
    </w:p>
    <w:p w14:paraId="6BA83C70" w14:textId="6DA23CA9" w:rsidR="002A6B1E" w:rsidRDefault="002A6B1E" w:rsidP="006A2A02">
      <w:pPr>
        <w:rPr>
          <w:sz w:val="24"/>
          <w:szCs w:val="24"/>
        </w:rPr>
      </w:pPr>
    </w:p>
    <w:p w14:paraId="03FE00CE" w14:textId="562527A0" w:rsidR="002A6B1E" w:rsidRDefault="00D067EB" w:rsidP="006A2A02">
      <w:pPr>
        <w:rPr>
          <w:sz w:val="24"/>
          <w:szCs w:val="24"/>
        </w:rPr>
      </w:pPr>
      <w:r>
        <w:rPr>
          <w:sz w:val="24"/>
          <w:szCs w:val="24"/>
        </w:rPr>
        <w:br/>
      </w:r>
    </w:p>
    <w:p w14:paraId="20292A6E" w14:textId="77777777" w:rsidR="00CD4932" w:rsidRPr="00CD4932" w:rsidRDefault="00CD4932" w:rsidP="00CD4932">
      <w:pPr>
        <w:spacing w:after="120"/>
        <w:rPr>
          <w:rFonts w:asciiTheme="minorHAnsi" w:hAnsiTheme="minorHAnsi" w:cstheme="minorHAnsi"/>
          <w:b/>
          <w:sz w:val="24"/>
          <w:szCs w:val="24"/>
        </w:rPr>
      </w:pPr>
      <w:r w:rsidRPr="00E50B89">
        <w:rPr>
          <w:rFonts w:asciiTheme="minorHAnsi" w:eastAsiaTheme="minorHAnsi" w:hAnsiTheme="minorHAnsi" w:cstheme="minorBidi"/>
          <w:b/>
          <w:sz w:val="24"/>
          <w:szCs w:val="24"/>
        </w:rPr>
        <w:lastRenderedPageBreak/>
        <w:t>Checklist</w:t>
      </w:r>
      <w:r w:rsidRPr="00E50B89">
        <w:rPr>
          <w:rFonts w:asciiTheme="minorHAnsi" w:eastAsia="Times New Roman" w:hAnsiTheme="minorHAnsi" w:cs="Arial"/>
          <w:b/>
          <w:color w:val="3C3030"/>
          <w:sz w:val="24"/>
          <w:szCs w:val="24"/>
        </w:rPr>
        <w:t xml:space="preserve"> – </w:t>
      </w:r>
      <w:r w:rsidRPr="00CD4932">
        <w:rPr>
          <w:rFonts w:asciiTheme="minorHAnsi" w:hAnsiTheme="minorHAnsi" w:cstheme="minorHAnsi"/>
          <w:b/>
          <w:sz w:val="24"/>
          <w:szCs w:val="24"/>
        </w:rPr>
        <w:t>Administration of Medical Products</w:t>
      </w:r>
    </w:p>
    <w:p w14:paraId="2A9173DF" w14:textId="77777777" w:rsidR="00CD4932" w:rsidRPr="00D040AD" w:rsidRDefault="00CD4932" w:rsidP="000D01D1">
      <w:pPr>
        <w:pStyle w:val="ListParagraph"/>
        <w:numPr>
          <w:ilvl w:val="0"/>
          <w:numId w:val="18"/>
        </w:numPr>
        <w:spacing w:after="120"/>
        <w:contextualSpacing w:val="0"/>
      </w:pPr>
      <w:r w:rsidRPr="00D040AD">
        <w:t>Identify state legal authorities governing the administration of medical products.</w:t>
      </w:r>
    </w:p>
    <w:p w14:paraId="2916FA65" w14:textId="76F0C004" w:rsidR="00CD4932" w:rsidRPr="00D040AD" w:rsidRDefault="00CD4932" w:rsidP="000D01D1">
      <w:pPr>
        <w:pStyle w:val="ListParagraph"/>
        <w:numPr>
          <w:ilvl w:val="0"/>
          <w:numId w:val="11"/>
        </w:numPr>
        <w:spacing w:after="120"/>
        <w:contextualSpacing w:val="0"/>
      </w:pPr>
      <w:r w:rsidRPr="00D040AD">
        <w:t>How is the term “administration” defined?</w:t>
      </w:r>
    </w:p>
    <w:p w14:paraId="7190B9FF" w14:textId="77777777" w:rsidR="00CD4932" w:rsidRPr="00D040AD" w:rsidRDefault="00CD4932" w:rsidP="000D01D1">
      <w:pPr>
        <w:pStyle w:val="ListParagraph"/>
        <w:numPr>
          <w:ilvl w:val="0"/>
          <w:numId w:val="19"/>
        </w:numPr>
        <w:spacing w:after="120"/>
        <w:contextualSpacing w:val="0"/>
      </w:pPr>
      <w:r w:rsidRPr="00D040AD">
        <w:t>Identify the types of persons/professions permitted to administer medical products and the types of medical products each is allowed to administer.</w:t>
      </w:r>
    </w:p>
    <w:p w14:paraId="583C6C83" w14:textId="77777777" w:rsidR="00CD4932" w:rsidRPr="00D040AD" w:rsidRDefault="00CD4932" w:rsidP="000D01D1">
      <w:pPr>
        <w:pStyle w:val="ListParagraph"/>
        <w:numPr>
          <w:ilvl w:val="0"/>
          <w:numId w:val="19"/>
        </w:numPr>
        <w:spacing w:after="120"/>
        <w:contextualSpacing w:val="0"/>
      </w:pPr>
      <w:r w:rsidRPr="00D040AD">
        <w:t xml:space="preserve">Identify if state legal authorities specify or limit the types of persons or professions that can administer medical products (e.g., only administer to adults, only give pills, but not vaccinate). </w:t>
      </w:r>
    </w:p>
    <w:p w14:paraId="211BC79E" w14:textId="77777777" w:rsidR="00CD4932" w:rsidRPr="00D040AD" w:rsidRDefault="00CD4932" w:rsidP="000D01D1">
      <w:pPr>
        <w:pStyle w:val="ListParagraph"/>
        <w:numPr>
          <w:ilvl w:val="0"/>
          <w:numId w:val="19"/>
        </w:numPr>
        <w:spacing w:after="120"/>
        <w:contextualSpacing w:val="0"/>
      </w:pPr>
      <w:r w:rsidRPr="00D040AD">
        <w:t>Identify if and how the state legal authorities apply to administering medical products from government caches/stockpiles.</w:t>
      </w:r>
    </w:p>
    <w:p w14:paraId="41C5ACB3" w14:textId="77777777" w:rsidR="00CD4932" w:rsidRPr="00D040AD" w:rsidRDefault="00CD4932" w:rsidP="000D01D1">
      <w:pPr>
        <w:pStyle w:val="ListParagraph"/>
        <w:numPr>
          <w:ilvl w:val="0"/>
          <w:numId w:val="19"/>
        </w:numPr>
        <w:spacing w:after="120"/>
        <w:contextualSpacing w:val="0"/>
      </w:pPr>
      <w:r w:rsidRPr="00D040AD">
        <w:t>Identify if and how state legal authorities apply to administration of medical products at government-controlled open points of dispensing (PODs?) Government-controlled closed PODs? Privately controlled PODs?</w:t>
      </w:r>
    </w:p>
    <w:p w14:paraId="577F20A0" w14:textId="77777777" w:rsidR="00CD4932" w:rsidRPr="00D040AD" w:rsidRDefault="00CD4932" w:rsidP="000D01D1">
      <w:pPr>
        <w:pStyle w:val="ListParagraph"/>
        <w:numPr>
          <w:ilvl w:val="0"/>
          <w:numId w:val="19"/>
        </w:numPr>
        <w:spacing w:after="120"/>
        <w:contextualSpacing w:val="0"/>
      </w:pPr>
      <w:r w:rsidRPr="00D040AD">
        <w:t>Do the persons/professions authorized to administer medical products, the types of medical products they are authorized to administer, or the conditions in which they can administer them change when there is an emergency declaration? If so, identify the changes.</w:t>
      </w:r>
    </w:p>
    <w:p w14:paraId="43136C8C" w14:textId="77777777" w:rsidR="00CD4932" w:rsidRPr="00D040AD" w:rsidRDefault="00CD4932" w:rsidP="000D01D1">
      <w:pPr>
        <w:pStyle w:val="ListParagraph"/>
        <w:numPr>
          <w:ilvl w:val="0"/>
          <w:numId w:val="19"/>
        </w:numPr>
        <w:spacing w:after="120"/>
        <w:contextualSpacing w:val="0"/>
      </w:pPr>
      <w:r w:rsidRPr="00D040AD">
        <w:t>Are there any state immunities or other liability protections available to those administering medical products? If so, identify the protected parties, protected actions, and any limits on the protections.</w:t>
      </w:r>
    </w:p>
    <w:p w14:paraId="5B380934" w14:textId="77777777" w:rsidR="00CD4932" w:rsidRPr="00D040AD" w:rsidRDefault="00CD4932" w:rsidP="000D01D1">
      <w:pPr>
        <w:pStyle w:val="ListParagraph"/>
        <w:numPr>
          <w:ilvl w:val="0"/>
          <w:numId w:val="19"/>
        </w:numPr>
        <w:spacing w:after="120"/>
        <w:contextualSpacing w:val="0"/>
      </w:pPr>
      <w:r w:rsidRPr="00D040AD">
        <w:t>Are there any state legal authorities governing informed consent requirements? If so, what are they?</w:t>
      </w:r>
    </w:p>
    <w:p w14:paraId="0FC601A3" w14:textId="77777777" w:rsidR="00CD4932" w:rsidRPr="00D040AD" w:rsidRDefault="00CD4932" w:rsidP="000D01D1">
      <w:pPr>
        <w:pStyle w:val="ListParagraph"/>
        <w:numPr>
          <w:ilvl w:val="0"/>
          <w:numId w:val="19"/>
        </w:numPr>
        <w:spacing w:after="120"/>
        <w:contextualSpacing w:val="0"/>
      </w:pPr>
      <w:r w:rsidRPr="00D040AD">
        <w:t>Are there any state legal authorities requiring that certain information or literature be given to patients/recipients before or after the administration of a medical product? If so, is the required content specified?</w:t>
      </w:r>
    </w:p>
    <w:p w14:paraId="3A39735A" w14:textId="77777777" w:rsidR="00CD4932" w:rsidRPr="00D040AD" w:rsidRDefault="00CD4932" w:rsidP="000D01D1">
      <w:pPr>
        <w:pStyle w:val="ListParagraph"/>
        <w:numPr>
          <w:ilvl w:val="0"/>
          <w:numId w:val="19"/>
        </w:numPr>
        <w:spacing w:after="120"/>
        <w:contextualSpacing w:val="0"/>
      </w:pPr>
      <w:r w:rsidRPr="00D040AD">
        <w:t>Are there any state legal authorities requiring the reporting of adverse events from the administration of a medical product to state or federal agencies? If so, identify the information to be reported, the person required to make the report, and the agency(ies) to report to.</w:t>
      </w:r>
    </w:p>
    <w:p w14:paraId="1BFE6663" w14:textId="490B12D2" w:rsidR="00CD4932" w:rsidRPr="00D040AD" w:rsidRDefault="00CD4932" w:rsidP="000D01D1">
      <w:pPr>
        <w:pStyle w:val="ListParagraph"/>
        <w:numPr>
          <w:ilvl w:val="0"/>
          <w:numId w:val="19"/>
        </w:numPr>
        <w:spacing w:after="120"/>
        <w:contextualSpacing w:val="0"/>
      </w:pPr>
      <w:r w:rsidRPr="00D040AD">
        <w:t>Identify if any state legal authorities governing the administration of medical products conflict with any federal legal requirements.</w:t>
      </w:r>
    </w:p>
    <w:p w14:paraId="74159277" w14:textId="7AA0D4B7" w:rsidR="00CD4932" w:rsidRDefault="00CD4932" w:rsidP="006A2A02">
      <w:pPr>
        <w:rPr>
          <w:sz w:val="24"/>
          <w:szCs w:val="24"/>
        </w:rPr>
      </w:pPr>
    </w:p>
    <w:p w14:paraId="651CE87D" w14:textId="77777777" w:rsidR="00C3426F" w:rsidRDefault="00C3426F" w:rsidP="00C3426F">
      <w:pPr>
        <w:jc w:val="center"/>
        <w:rPr>
          <w:rFonts w:asciiTheme="minorHAnsi" w:eastAsiaTheme="minorHAnsi" w:hAnsiTheme="minorHAnsi" w:cstheme="minorBidi"/>
        </w:rPr>
      </w:pPr>
      <w:r>
        <w:rPr>
          <w:rFonts w:asciiTheme="minorHAnsi" w:eastAsiaTheme="minorHAnsi" w:hAnsiTheme="minorHAnsi" w:cstheme="minorBidi"/>
        </w:rPr>
        <w:t>_____________________________________________________________________________</w:t>
      </w:r>
    </w:p>
    <w:p w14:paraId="070D697E" w14:textId="4504D54D" w:rsidR="00CD4932" w:rsidRDefault="00CD4932" w:rsidP="006A2A02">
      <w:pPr>
        <w:rPr>
          <w:sz w:val="24"/>
          <w:szCs w:val="24"/>
        </w:rPr>
      </w:pPr>
    </w:p>
    <w:p w14:paraId="6577B1C7" w14:textId="77777777" w:rsidR="00C3426F" w:rsidRDefault="00C3426F" w:rsidP="006A2A02">
      <w:pPr>
        <w:rPr>
          <w:sz w:val="24"/>
          <w:szCs w:val="24"/>
        </w:rPr>
      </w:pPr>
    </w:p>
    <w:p w14:paraId="2853360E" w14:textId="247141D8" w:rsidR="00C660E6" w:rsidRDefault="00C660E6" w:rsidP="003F2E34">
      <w:pPr>
        <w:spacing w:after="120"/>
        <w:rPr>
          <w:sz w:val="24"/>
          <w:szCs w:val="24"/>
        </w:rPr>
      </w:pPr>
      <w:r w:rsidRPr="00FB252B">
        <w:rPr>
          <w:b/>
          <w:bCs/>
          <w:sz w:val="24"/>
          <w:szCs w:val="24"/>
        </w:rPr>
        <w:t>Practice Notes</w:t>
      </w:r>
      <w:r>
        <w:rPr>
          <w:b/>
          <w:bCs/>
          <w:sz w:val="24"/>
          <w:szCs w:val="24"/>
        </w:rPr>
        <w:t xml:space="preserve"> –</w:t>
      </w:r>
      <w:r w:rsidR="003F2E34">
        <w:rPr>
          <w:b/>
          <w:bCs/>
          <w:sz w:val="24"/>
          <w:szCs w:val="24"/>
        </w:rPr>
        <w:t>Strategic National Stockpile (SNS)</w:t>
      </w:r>
    </w:p>
    <w:p w14:paraId="317F7030" w14:textId="10E54C3F" w:rsidR="003F2E34" w:rsidRPr="003F2E34" w:rsidRDefault="003F2E34" w:rsidP="003F2E34">
      <w:pPr>
        <w:pStyle w:val="ListParagraph"/>
        <w:numPr>
          <w:ilvl w:val="0"/>
          <w:numId w:val="21"/>
        </w:numPr>
        <w:spacing w:after="120"/>
        <w:contextualSpacing w:val="0"/>
      </w:pPr>
      <w:r w:rsidRPr="003F2E34">
        <w:t>Identify the agency and offices(s) responsible for managing your state’s SNS program and other medical stockpiles.</w:t>
      </w:r>
    </w:p>
    <w:p w14:paraId="00FFB86F" w14:textId="7F51828B" w:rsidR="003F2E34" w:rsidRPr="003F2E34" w:rsidRDefault="003F2E34" w:rsidP="003F2E34">
      <w:pPr>
        <w:pStyle w:val="ListParagraph"/>
        <w:numPr>
          <w:ilvl w:val="0"/>
          <w:numId w:val="21"/>
        </w:numPr>
        <w:spacing w:after="120"/>
        <w:contextualSpacing w:val="0"/>
      </w:pPr>
      <w:r w:rsidRPr="003F2E34">
        <w:t>Understand the procedures, protocols, and legal requirements for receiving and managing an SNS deployment.</w:t>
      </w:r>
    </w:p>
    <w:p w14:paraId="085C15AE" w14:textId="1FB185E1" w:rsidR="00C660E6" w:rsidRPr="003F2E34" w:rsidRDefault="003F2E34" w:rsidP="003F2E34">
      <w:pPr>
        <w:pStyle w:val="ListParagraph"/>
        <w:numPr>
          <w:ilvl w:val="0"/>
          <w:numId w:val="21"/>
        </w:numPr>
        <w:spacing w:after="120"/>
        <w:contextualSpacing w:val="0"/>
      </w:pPr>
      <w:r w:rsidRPr="003F2E34">
        <w:t>Understand your state’s plan for distributing and dispensing medicines and supplies from the SNS, CRI, and state stockpiles.</w:t>
      </w:r>
    </w:p>
    <w:p w14:paraId="6EBF63A4" w14:textId="210FF7A0" w:rsidR="00CD4932" w:rsidRDefault="00CD4932" w:rsidP="006A2A02">
      <w:pPr>
        <w:rPr>
          <w:sz w:val="24"/>
          <w:szCs w:val="24"/>
        </w:rPr>
      </w:pPr>
    </w:p>
    <w:p w14:paraId="75331DA2" w14:textId="77777777" w:rsidR="00C3426F" w:rsidRDefault="00C3426F" w:rsidP="00C3426F">
      <w:pPr>
        <w:jc w:val="center"/>
        <w:rPr>
          <w:rFonts w:asciiTheme="minorHAnsi" w:eastAsiaTheme="minorHAnsi" w:hAnsiTheme="minorHAnsi" w:cstheme="minorBidi"/>
        </w:rPr>
      </w:pPr>
      <w:r>
        <w:rPr>
          <w:rFonts w:asciiTheme="minorHAnsi" w:eastAsiaTheme="minorHAnsi" w:hAnsiTheme="minorHAnsi" w:cstheme="minorBidi"/>
        </w:rPr>
        <w:lastRenderedPageBreak/>
        <w:t>_____________________________________________________________________________</w:t>
      </w:r>
    </w:p>
    <w:p w14:paraId="7C9B8465" w14:textId="3BEC1215" w:rsidR="00C3426F" w:rsidRDefault="00C3426F" w:rsidP="006A2A02">
      <w:pPr>
        <w:rPr>
          <w:sz w:val="24"/>
          <w:szCs w:val="24"/>
        </w:rPr>
      </w:pPr>
    </w:p>
    <w:p w14:paraId="6A7E93F5" w14:textId="77777777" w:rsidR="00C3426F" w:rsidRPr="006A2A02" w:rsidRDefault="00C3426F" w:rsidP="006A2A02">
      <w:pPr>
        <w:rPr>
          <w:sz w:val="24"/>
          <w:szCs w:val="24"/>
        </w:rPr>
      </w:pPr>
    </w:p>
    <w:p w14:paraId="7B45413B" w14:textId="195516C2" w:rsidR="006A2A02" w:rsidRDefault="006A2A02" w:rsidP="003F2E34">
      <w:pPr>
        <w:spacing w:after="120"/>
        <w:rPr>
          <w:rFonts w:asciiTheme="minorHAnsi" w:eastAsia="Times New Roman" w:hAnsiTheme="minorHAnsi" w:cs="Arial"/>
          <w:b/>
          <w:color w:val="3C3030"/>
          <w:sz w:val="24"/>
          <w:szCs w:val="24"/>
        </w:rPr>
      </w:pPr>
      <w:r w:rsidRPr="00FB252B">
        <w:rPr>
          <w:b/>
          <w:bCs/>
          <w:sz w:val="24"/>
          <w:szCs w:val="24"/>
        </w:rPr>
        <w:t>Practice Notes</w:t>
      </w:r>
      <w:r w:rsidR="005B404B">
        <w:rPr>
          <w:b/>
          <w:bCs/>
          <w:sz w:val="24"/>
          <w:szCs w:val="24"/>
        </w:rPr>
        <w:t xml:space="preserve"> – Federal Shelf Life Extension Program</w:t>
      </w:r>
      <w:r w:rsidRPr="00FB252B">
        <w:rPr>
          <w:rFonts w:asciiTheme="minorHAnsi" w:eastAsia="Times New Roman" w:hAnsiTheme="minorHAnsi" w:cs="Arial"/>
          <w:b/>
          <w:color w:val="3C3030"/>
          <w:sz w:val="24"/>
          <w:szCs w:val="24"/>
        </w:rPr>
        <w:t xml:space="preserve"> </w:t>
      </w:r>
    </w:p>
    <w:p w14:paraId="1CA2A10B" w14:textId="4106C93A" w:rsidR="005B404B" w:rsidRPr="005B404B" w:rsidRDefault="005B404B" w:rsidP="00C660E6">
      <w:pPr>
        <w:pStyle w:val="ListParagraph"/>
        <w:numPr>
          <w:ilvl w:val="0"/>
          <w:numId w:val="20"/>
        </w:numPr>
        <w:spacing w:after="120"/>
        <w:contextualSpacing w:val="0"/>
        <w:rPr>
          <w:rFonts w:eastAsia="Times New Roman" w:cs="Arial"/>
          <w:bCs/>
          <w:color w:val="3C3030"/>
        </w:rPr>
      </w:pPr>
      <w:r w:rsidRPr="005B404B">
        <w:rPr>
          <w:rFonts w:eastAsia="Times New Roman" w:cs="Arial"/>
          <w:bCs/>
          <w:color w:val="3C3030"/>
        </w:rPr>
        <w:t>Identify the agency and office responsible for managing your state’s SNS and other medical stockpiles.</w:t>
      </w:r>
    </w:p>
    <w:p w14:paraId="3DB3BF23" w14:textId="2EA49362" w:rsidR="005B404B" w:rsidRPr="005B404B" w:rsidRDefault="005B404B" w:rsidP="00C660E6">
      <w:pPr>
        <w:pStyle w:val="ListParagraph"/>
        <w:numPr>
          <w:ilvl w:val="0"/>
          <w:numId w:val="20"/>
        </w:numPr>
        <w:spacing w:after="120"/>
        <w:contextualSpacing w:val="0"/>
        <w:rPr>
          <w:rFonts w:eastAsia="Times New Roman" w:cs="Arial"/>
          <w:bCs/>
          <w:color w:val="3C3030"/>
        </w:rPr>
      </w:pPr>
      <w:r w:rsidRPr="005B404B">
        <w:rPr>
          <w:rFonts w:eastAsia="Times New Roman" w:cs="Arial"/>
          <w:bCs/>
          <w:color w:val="3C3030"/>
        </w:rPr>
        <w:t>Understand the systems your state has in place to deal with shelf-life-extended products, including storage, relabeling, and dispensing.</w:t>
      </w:r>
    </w:p>
    <w:p w14:paraId="4543C0F6" w14:textId="55F6BEF3" w:rsidR="005B404B" w:rsidRPr="005B404B" w:rsidRDefault="005B404B" w:rsidP="00C660E6">
      <w:pPr>
        <w:pStyle w:val="ListParagraph"/>
        <w:numPr>
          <w:ilvl w:val="0"/>
          <w:numId w:val="20"/>
        </w:numPr>
        <w:spacing w:after="120"/>
        <w:contextualSpacing w:val="0"/>
        <w:rPr>
          <w:rFonts w:eastAsia="Times New Roman" w:cs="Arial"/>
          <w:bCs/>
          <w:color w:val="3C3030"/>
        </w:rPr>
      </w:pPr>
      <w:r w:rsidRPr="005B404B">
        <w:rPr>
          <w:rFonts w:eastAsia="Times New Roman" w:cs="Arial"/>
          <w:bCs/>
          <w:color w:val="3C3030"/>
        </w:rPr>
        <w:t>Identify how your state’s laws and regulations may affect the dispensing of shelf-life-extended items and where your state laws may be preempted by federal laws.</w:t>
      </w:r>
    </w:p>
    <w:p w14:paraId="1983A127" w14:textId="35F0BF81" w:rsidR="006A2A02" w:rsidRPr="005B404B" w:rsidRDefault="005B404B" w:rsidP="00C660E6">
      <w:pPr>
        <w:pStyle w:val="ListParagraph"/>
        <w:numPr>
          <w:ilvl w:val="0"/>
          <w:numId w:val="20"/>
        </w:numPr>
        <w:spacing w:after="120"/>
        <w:contextualSpacing w:val="0"/>
        <w:rPr>
          <w:rFonts w:eastAsia="Times New Roman" w:cs="Arial"/>
          <w:bCs/>
          <w:color w:val="3C3030"/>
        </w:rPr>
      </w:pPr>
      <w:r w:rsidRPr="005B404B">
        <w:rPr>
          <w:rFonts w:eastAsia="Times New Roman" w:cs="Arial"/>
          <w:bCs/>
          <w:color w:val="3C3030"/>
        </w:rPr>
        <w:t>Identify how your state educates healthcare providers, pharmacists, and other persons dispensing shelf-life-extended products.</w:t>
      </w:r>
    </w:p>
    <w:p w14:paraId="69CA2231" w14:textId="77777777" w:rsidR="006A2A02" w:rsidRPr="0044006A" w:rsidRDefault="006A2A02" w:rsidP="006A2A02">
      <w:pPr>
        <w:rPr>
          <w:rFonts w:asciiTheme="minorHAnsi" w:eastAsia="Times New Roman" w:hAnsiTheme="minorHAnsi" w:cs="Arial"/>
          <w:bCs/>
          <w:color w:val="3C3030"/>
        </w:rPr>
      </w:pPr>
    </w:p>
    <w:p w14:paraId="14FF002A" w14:textId="77777777" w:rsidR="00C3426F" w:rsidRDefault="00C3426F" w:rsidP="00C3426F">
      <w:pPr>
        <w:jc w:val="center"/>
        <w:rPr>
          <w:rFonts w:asciiTheme="minorHAnsi" w:eastAsiaTheme="minorHAnsi" w:hAnsiTheme="minorHAnsi" w:cstheme="minorBidi"/>
        </w:rPr>
      </w:pPr>
      <w:r>
        <w:rPr>
          <w:rFonts w:asciiTheme="minorHAnsi" w:eastAsiaTheme="minorHAnsi" w:hAnsiTheme="minorHAnsi" w:cstheme="minorBidi"/>
        </w:rPr>
        <w:t>_____________________________________________________________________________</w:t>
      </w:r>
    </w:p>
    <w:p w14:paraId="0A8EA784" w14:textId="15B5FCCA" w:rsidR="006A2A02" w:rsidRDefault="006A2A02" w:rsidP="006A2A02">
      <w:pPr>
        <w:rPr>
          <w:rFonts w:asciiTheme="minorHAnsi" w:eastAsia="Times New Roman" w:hAnsiTheme="minorHAnsi" w:cs="Arial"/>
          <w:bCs/>
          <w:color w:val="3C3030"/>
        </w:rPr>
      </w:pPr>
    </w:p>
    <w:p w14:paraId="01AF8756" w14:textId="77777777" w:rsidR="00C3426F" w:rsidRPr="0044006A" w:rsidRDefault="00C3426F" w:rsidP="006A2A02">
      <w:pPr>
        <w:rPr>
          <w:rFonts w:asciiTheme="minorHAnsi" w:eastAsia="Times New Roman" w:hAnsiTheme="minorHAnsi" w:cs="Arial"/>
          <w:bCs/>
          <w:color w:val="3C3030"/>
        </w:rPr>
      </w:pPr>
    </w:p>
    <w:p w14:paraId="1DBD3425" w14:textId="77777777" w:rsidR="006A2A02" w:rsidRPr="00FB252B" w:rsidRDefault="006A2A02" w:rsidP="008F0240">
      <w:pPr>
        <w:jc w:val="center"/>
        <w:rPr>
          <w:b/>
          <w:bCs/>
          <w:sz w:val="24"/>
          <w:szCs w:val="24"/>
        </w:rPr>
      </w:pPr>
      <w:r w:rsidRPr="00FB252B">
        <w:rPr>
          <w:b/>
          <w:bCs/>
          <w:sz w:val="24"/>
          <w:szCs w:val="24"/>
        </w:rPr>
        <w:t>Examples and Templates</w:t>
      </w:r>
    </w:p>
    <w:p w14:paraId="7E8623F6" w14:textId="3B02A6DC" w:rsidR="006A2A02" w:rsidRDefault="006A2A02" w:rsidP="008F0240">
      <w:bookmarkStart w:id="1" w:name="_Hlk34999048"/>
    </w:p>
    <w:bookmarkEnd w:id="1"/>
    <w:p w14:paraId="079A728B" w14:textId="6A2FF7E1" w:rsidR="006A2A02" w:rsidRDefault="006A2A02"/>
    <w:p w14:paraId="79327D6E" w14:textId="18ABE569" w:rsidR="00D32BB2" w:rsidRPr="00D32BB2" w:rsidRDefault="00D32BB2" w:rsidP="00D32BB2">
      <w:pPr>
        <w:spacing w:line="360" w:lineRule="auto"/>
        <w:rPr>
          <w:rFonts w:eastAsia="Times New Roman" w:cs="Arial"/>
          <w:b/>
          <w:bCs/>
          <w:color w:val="000000" w:themeColor="text1"/>
        </w:rPr>
      </w:pPr>
      <w:r w:rsidRPr="00D32BB2">
        <w:rPr>
          <w:rFonts w:eastAsia="Times New Roman" w:cs="Arial"/>
          <w:b/>
          <w:bCs/>
          <w:color w:val="000000" w:themeColor="text1"/>
        </w:rPr>
        <w:t>PREP Act Declarations</w:t>
      </w:r>
    </w:p>
    <w:p w14:paraId="2102E7B7" w14:textId="4CD5F3E3" w:rsidR="00D32BB2" w:rsidRPr="00D32BB2" w:rsidRDefault="00D32BB2" w:rsidP="00D32BB2">
      <w:r w:rsidRPr="00D32BB2">
        <w:t xml:space="preserve">The following is a list from the HHS Office of the Assistant Secretary of Preparedness and Emergency Response of PREP Act declarations in effect as of </w:t>
      </w:r>
      <w:r>
        <w:t>May</w:t>
      </w:r>
      <w:r w:rsidRPr="00D32BB2">
        <w:t xml:space="preserve"> 2020: </w:t>
      </w:r>
    </w:p>
    <w:p w14:paraId="0780099C" w14:textId="3098B49E" w:rsidR="00D32BB2" w:rsidRDefault="00D32BB2" w:rsidP="005B10A8"/>
    <w:p w14:paraId="0E5A8411" w14:textId="77777777" w:rsidR="00395336" w:rsidRPr="00395336" w:rsidRDefault="00C52345" w:rsidP="00781DAE">
      <w:pPr>
        <w:pStyle w:val="ListParagraph"/>
        <w:numPr>
          <w:ilvl w:val="0"/>
          <w:numId w:val="25"/>
        </w:numPr>
      </w:pPr>
      <w:hyperlink r:id="rId7" w:history="1">
        <w:r w:rsidR="00395336" w:rsidRPr="00395336">
          <w:rPr>
            <w:rStyle w:val="Hyperlink"/>
          </w:rPr>
          <w:t>COVID-19 - Medical Countermeasures (effective February 4, 2020)</w:t>
        </w:r>
      </w:hyperlink>
    </w:p>
    <w:p w14:paraId="41892DE2" w14:textId="77777777" w:rsidR="00395336" w:rsidRPr="00395336" w:rsidRDefault="00C52345" w:rsidP="00781DAE">
      <w:pPr>
        <w:pStyle w:val="ListParagraph"/>
        <w:numPr>
          <w:ilvl w:val="1"/>
          <w:numId w:val="25"/>
        </w:numPr>
      </w:pPr>
      <w:hyperlink r:id="rId8" w:history="1">
        <w:r w:rsidR="00395336" w:rsidRPr="00395336">
          <w:rPr>
            <w:rStyle w:val="Hyperlink"/>
          </w:rPr>
          <w:t>Amended April 10, 2020 to add countermeasures pursuant to the CARES Act</w:t>
        </w:r>
      </w:hyperlink>
    </w:p>
    <w:p w14:paraId="46B2094C" w14:textId="77777777" w:rsidR="00395336" w:rsidRPr="00395336" w:rsidRDefault="00C52345" w:rsidP="00781DAE">
      <w:pPr>
        <w:pStyle w:val="ListParagraph"/>
        <w:numPr>
          <w:ilvl w:val="1"/>
          <w:numId w:val="25"/>
        </w:numPr>
      </w:pPr>
      <w:hyperlink r:id="rId9" w:history="1">
        <w:r w:rsidR="00395336" w:rsidRPr="00395336">
          <w:rPr>
            <w:rStyle w:val="Hyperlink"/>
          </w:rPr>
          <w:t>COVID-19 - Medical Countermeasures (effective February 4, 2020) Amended April 10, 2020 to add countermeasures pursuant to the CARES Act OGC Advisory Opinion on PREP Act Declaration</w:t>
        </w:r>
      </w:hyperlink>
    </w:p>
    <w:p w14:paraId="55FD6D01" w14:textId="77777777" w:rsidR="00D32BB2" w:rsidRPr="00D32BB2" w:rsidRDefault="00C52345" w:rsidP="00781DAE">
      <w:pPr>
        <w:pStyle w:val="ListParagraph"/>
        <w:numPr>
          <w:ilvl w:val="0"/>
          <w:numId w:val="25"/>
        </w:numPr>
        <w:spacing w:after="60"/>
      </w:pPr>
      <w:hyperlink r:id="rId10" w:tgtFrame="_blank" w:history="1">
        <w:r w:rsidR="00D32BB2" w:rsidRPr="00D32BB2">
          <w:rPr>
            <w:rStyle w:val="Hyperlink"/>
          </w:rPr>
          <w:t>Ebola Disease Vaccines - Amendment (effective December 1, 2018)</w:t>
        </w:r>
      </w:hyperlink>
    </w:p>
    <w:p w14:paraId="764B9634" w14:textId="77777777" w:rsidR="00D32BB2" w:rsidRPr="00D32BB2" w:rsidRDefault="00C52345" w:rsidP="00781DAE">
      <w:pPr>
        <w:pStyle w:val="ListParagraph"/>
        <w:numPr>
          <w:ilvl w:val="0"/>
          <w:numId w:val="25"/>
        </w:numPr>
        <w:spacing w:after="60"/>
      </w:pPr>
      <w:hyperlink r:id="rId11" w:tgtFrame="_blank" w:history="1">
        <w:r w:rsidR="00D32BB2" w:rsidRPr="00D32BB2">
          <w:rPr>
            <w:rStyle w:val="Hyperlink"/>
          </w:rPr>
          <w:t>Ebola Disease Therapeutics - Amendment (effective December 1, 2018)</w:t>
        </w:r>
      </w:hyperlink>
    </w:p>
    <w:p w14:paraId="4CCE36BC" w14:textId="77777777" w:rsidR="00D32BB2" w:rsidRPr="00D32BB2" w:rsidRDefault="00C52345" w:rsidP="00781DAE">
      <w:pPr>
        <w:pStyle w:val="ListParagraph"/>
        <w:numPr>
          <w:ilvl w:val="0"/>
          <w:numId w:val="25"/>
        </w:numPr>
        <w:spacing w:after="60"/>
      </w:pPr>
      <w:hyperlink r:id="rId12" w:history="1">
        <w:r w:rsidR="00D32BB2" w:rsidRPr="00D32BB2">
          <w:rPr>
            <w:rStyle w:val="Hyperlink"/>
          </w:rPr>
          <w:t>Nerve Agents and Certain Insecticides (Organophosphorus and/or Carbamate) Countermeasures (effective April 11, 2017)</w:t>
        </w:r>
      </w:hyperlink>
    </w:p>
    <w:p w14:paraId="1E16AF3A" w14:textId="77777777" w:rsidR="00D32BB2" w:rsidRPr="00D32BB2" w:rsidRDefault="00C52345" w:rsidP="00781DAE">
      <w:pPr>
        <w:pStyle w:val="ListParagraph"/>
        <w:numPr>
          <w:ilvl w:val="0"/>
          <w:numId w:val="25"/>
        </w:numPr>
        <w:spacing w:after="60"/>
      </w:pPr>
      <w:hyperlink r:id="rId13" w:history="1">
        <w:r w:rsidR="00D32BB2" w:rsidRPr="00D32BB2">
          <w:rPr>
            <w:rStyle w:val="Hyperlink"/>
          </w:rPr>
          <w:t>Zika Virus Vaccines (effective August 1, 2016)</w:t>
        </w:r>
      </w:hyperlink>
    </w:p>
    <w:p w14:paraId="674D113F" w14:textId="77777777" w:rsidR="00D32BB2" w:rsidRPr="00D32BB2" w:rsidRDefault="00C52345" w:rsidP="00781DAE">
      <w:pPr>
        <w:pStyle w:val="ListParagraph"/>
        <w:numPr>
          <w:ilvl w:val="0"/>
          <w:numId w:val="25"/>
        </w:numPr>
        <w:spacing w:after="60"/>
      </w:pPr>
      <w:hyperlink r:id="rId14" w:history="1">
        <w:r w:rsidR="00D32BB2" w:rsidRPr="00D32BB2">
          <w:rPr>
            <w:rStyle w:val="Hyperlink"/>
          </w:rPr>
          <w:t>Pandemic Influenza Medical Countermeasures (amended effective January 1, 2016)</w:t>
        </w:r>
      </w:hyperlink>
    </w:p>
    <w:p w14:paraId="129B7B2D" w14:textId="77777777" w:rsidR="00D32BB2" w:rsidRPr="00D32BB2" w:rsidRDefault="00C52345" w:rsidP="00781DAE">
      <w:pPr>
        <w:pStyle w:val="ListParagraph"/>
        <w:numPr>
          <w:ilvl w:val="0"/>
          <w:numId w:val="25"/>
        </w:numPr>
        <w:spacing w:after="60"/>
      </w:pPr>
      <w:hyperlink r:id="rId15" w:history="1">
        <w:r w:rsidR="00D32BB2" w:rsidRPr="00D32BB2">
          <w:rPr>
            <w:rStyle w:val="Hyperlink"/>
          </w:rPr>
          <w:t>Anthrax Medical Countermeasures (amended effective January 1, 2016)</w:t>
        </w:r>
      </w:hyperlink>
    </w:p>
    <w:p w14:paraId="71D1264A" w14:textId="77777777" w:rsidR="00D32BB2" w:rsidRPr="00D32BB2" w:rsidRDefault="00C52345" w:rsidP="00781DAE">
      <w:pPr>
        <w:pStyle w:val="ListParagraph"/>
        <w:numPr>
          <w:ilvl w:val="0"/>
          <w:numId w:val="25"/>
        </w:numPr>
        <w:spacing w:after="60"/>
      </w:pPr>
      <w:hyperlink r:id="rId16" w:history="1">
        <w:r w:rsidR="00D32BB2" w:rsidRPr="00D32BB2">
          <w:rPr>
            <w:rStyle w:val="Hyperlink"/>
          </w:rPr>
          <w:t>Acute Radiation Syndrome Medical Countermeasures (amended effective January 1, 2016)</w:t>
        </w:r>
      </w:hyperlink>
    </w:p>
    <w:p w14:paraId="7FB6E6E1" w14:textId="77777777" w:rsidR="00D32BB2" w:rsidRPr="00D32BB2" w:rsidRDefault="00C52345" w:rsidP="00781DAE">
      <w:pPr>
        <w:pStyle w:val="ListParagraph"/>
        <w:numPr>
          <w:ilvl w:val="0"/>
          <w:numId w:val="25"/>
        </w:numPr>
        <w:spacing w:after="60"/>
      </w:pPr>
      <w:hyperlink r:id="rId17" w:history="1">
        <w:r w:rsidR="00D32BB2" w:rsidRPr="00D32BB2">
          <w:rPr>
            <w:rStyle w:val="Hyperlink"/>
          </w:rPr>
          <w:t>Botulinum Toxin Medical Countermeasures (amended effective January 1, 2016)</w:t>
        </w:r>
      </w:hyperlink>
    </w:p>
    <w:p w14:paraId="26C44BA3" w14:textId="77777777" w:rsidR="00D32BB2" w:rsidRPr="00D32BB2" w:rsidRDefault="00C52345" w:rsidP="00781DAE">
      <w:pPr>
        <w:pStyle w:val="ListParagraph"/>
        <w:numPr>
          <w:ilvl w:val="0"/>
          <w:numId w:val="25"/>
        </w:numPr>
        <w:spacing w:after="60"/>
        <w:rPr>
          <w:rStyle w:val="Hyperlink"/>
        </w:rPr>
      </w:pPr>
      <w:hyperlink r:id="rId18" w:history="1">
        <w:r w:rsidR="00D32BB2" w:rsidRPr="00D32BB2">
          <w:rPr>
            <w:rStyle w:val="Hyperlink"/>
          </w:rPr>
          <w:t>Smallpox Medical Countermeasures (amended effective January 1, 2016)</w:t>
        </w:r>
      </w:hyperlink>
    </w:p>
    <w:p w14:paraId="53967678" w14:textId="77777777" w:rsidR="00D32BB2" w:rsidRPr="00D32BB2" w:rsidRDefault="00D32BB2" w:rsidP="005B10A8">
      <w:pPr>
        <w:spacing w:after="60"/>
        <w:rPr>
          <w:rStyle w:val="Hyperlink"/>
        </w:rPr>
      </w:pPr>
    </w:p>
    <w:p w14:paraId="4E4BB3A8" w14:textId="77777777" w:rsidR="00D32BB2" w:rsidRPr="00D32BB2" w:rsidRDefault="00D32BB2" w:rsidP="00D32BB2">
      <w:pPr>
        <w:spacing w:after="60"/>
      </w:pPr>
      <w:r w:rsidRPr="00D32BB2">
        <w:rPr>
          <w:rStyle w:val="Hyperlink"/>
          <w:i/>
          <w:iCs/>
        </w:rPr>
        <w:t xml:space="preserve">Source: </w:t>
      </w:r>
      <w:r w:rsidRPr="00D32BB2">
        <w:rPr>
          <w:rStyle w:val="Hyperlink"/>
        </w:rPr>
        <w:t xml:space="preserve"> </w:t>
      </w:r>
      <w:hyperlink r:id="rId19" w:history="1">
        <w:r w:rsidRPr="00D32BB2">
          <w:rPr>
            <w:rStyle w:val="Hyperlink"/>
          </w:rPr>
          <w:t>https://www.phe.gov/Preparedness/legal/prepact/Pages/default.aspx</w:t>
        </w:r>
      </w:hyperlink>
      <w:r w:rsidRPr="00D32BB2">
        <w:t>.</w:t>
      </w:r>
    </w:p>
    <w:p w14:paraId="4D455DF6" w14:textId="6A6E0A80" w:rsidR="00D32BB2" w:rsidRPr="00D32BB2" w:rsidRDefault="00D067EB">
      <w:r>
        <w:br/>
      </w:r>
    </w:p>
    <w:p w14:paraId="11D56D22" w14:textId="738A6AF1" w:rsidR="00802CDB" w:rsidRDefault="00802CDB"/>
    <w:p w14:paraId="2FB30687" w14:textId="65467AEA" w:rsidR="00C8720B" w:rsidRDefault="00781DAE">
      <w:pPr>
        <w:rPr>
          <w:b/>
          <w:bCs/>
        </w:rPr>
      </w:pPr>
      <w:r w:rsidRPr="00781DAE">
        <w:rPr>
          <w:b/>
          <w:bCs/>
        </w:rPr>
        <w:lastRenderedPageBreak/>
        <w:t xml:space="preserve">FDA </w:t>
      </w:r>
      <w:r w:rsidR="00C8720B">
        <w:rPr>
          <w:b/>
          <w:bCs/>
        </w:rPr>
        <w:t xml:space="preserve">Medical </w:t>
      </w:r>
      <w:r w:rsidR="00FE5613">
        <w:rPr>
          <w:b/>
          <w:bCs/>
        </w:rPr>
        <w:t>Countermeasure Initiative (MCMi)</w:t>
      </w:r>
    </w:p>
    <w:p w14:paraId="76B5DA74" w14:textId="77777777" w:rsidR="00C8720B" w:rsidRDefault="00C8720B">
      <w:pPr>
        <w:rPr>
          <w:b/>
          <w:bCs/>
        </w:rPr>
      </w:pPr>
    </w:p>
    <w:p w14:paraId="1386C6F0" w14:textId="0553DB05" w:rsidR="00C8720B" w:rsidRPr="00FE5613" w:rsidRDefault="00C8720B">
      <w:r w:rsidRPr="00FE5613">
        <w:t>MCMi is an FDA-wide initiative to coordinate medical countermeasure (MCM) development, preparedness, and response.</w:t>
      </w:r>
      <w:r w:rsidR="00FE5613">
        <w:t xml:space="preserve"> </w:t>
      </w:r>
      <w:r w:rsidR="008F5014">
        <w:t>(</w:t>
      </w:r>
      <w:hyperlink r:id="rId20" w:history="1">
        <w:r w:rsidR="008F5014" w:rsidRPr="008F5014">
          <w:rPr>
            <w:rStyle w:val="Hyperlink"/>
          </w:rPr>
          <w:t>https://www.fda.gov/emergency-preparedness-and-response/counterterrorism-and-emerging-threats/medical-countermeasures-initiative-mcmi</w:t>
        </w:r>
      </w:hyperlink>
      <w:r w:rsidR="008F5014">
        <w:t>)</w:t>
      </w:r>
    </w:p>
    <w:p w14:paraId="7C2CA2BE" w14:textId="640D3BC9" w:rsidR="00C8720B" w:rsidRPr="00CE3EE0" w:rsidRDefault="00C8720B"/>
    <w:p w14:paraId="6ABB6A54" w14:textId="46750D51" w:rsidR="00CE3EE0" w:rsidRDefault="00CE3EE0">
      <w:r w:rsidRPr="00CE3EE0">
        <w:t>FDA</w:t>
      </w:r>
      <w:r w:rsidR="00183767">
        <w:t xml:space="preserve"> MCMi materials related to </w:t>
      </w:r>
      <w:r w:rsidR="00B56315">
        <w:t>selected</w:t>
      </w:r>
      <w:r w:rsidR="00183767">
        <w:t xml:space="preserve"> public health emergencies</w:t>
      </w:r>
      <w:r w:rsidR="00B56315">
        <w:t>. See</w:t>
      </w:r>
      <w:r w:rsidR="007971F1">
        <w:t>(</w:t>
      </w:r>
      <w:r w:rsidR="00B56315">
        <w:t xml:space="preserve"> </w:t>
      </w:r>
      <w:r w:rsidR="00EC5116">
        <w:t xml:space="preserve">MCMi Issues page </w:t>
      </w:r>
      <w:r w:rsidR="007971F1">
        <w:t>for all items</w:t>
      </w:r>
      <w:r w:rsidR="002D7299">
        <w:t xml:space="preserve">: </w:t>
      </w:r>
      <w:hyperlink r:id="rId21" w:history="1">
        <w:r w:rsidR="002D7299" w:rsidRPr="002D7299">
          <w:rPr>
            <w:rStyle w:val="Hyperlink"/>
          </w:rPr>
          <w:t>https://www.fda.gov/emergency-preparedness-and-response/medical-countermeasures-initiative-mcmi/mcm-issues</w:t>
        </w:r>
      </w:hyperlink>
      <w:r w:rsidR="002D7299">
        <w:t>)</w:t>
      </w:r>
    </w:p>
    <w:p w14:paraId="24F2900D" w14:textId="67D86914" w:rsidR="00A25E03" w:rsidRDefault="00A25E03"/>
    <w:p w14:paraId="744421D8" w14:textId="77B02593" w:rsidR="00B56315" w:rsidRDefault="00C52345" w:rsidP="00FF1777">
      <w:pPr>
        <w:pStyle w:val="ListParagraph"/>
        <w:numPr>
          <w:ilvl w:val="0"/>
          <w:numId w:val="26"/>
        </w:numPr>
      </w:pPr>
      <w:hyperlink r:id="rId22" w:history="1">
        <w:r w:rsidR="00DA3786" w:rsidRPr="00DA3786">
          <w:rPr>
            <w:rStyle w:val="Hyperlink"/>
          </w:rPr>
          <w:t>Coronavirus Disease 2019 (COVID-19)</w:t>
        </w:r>
      </w:hyperlink>
      <w:r w:rsidR="00DA3786" w:rsidRPr="00CE3EE0">
        <w:t xml:space="preserve"> </w:t>
      </w:r>
    </w:p>
    <w:p w14:paraId="3B9E704A" w14:textId="7355CAAD" w:rsidR="00DA3786" w:rsidRDefault="00C52345" w:rsidP="00FF1777">
      <w:pPr>
        <w:pStyle w:val="ListParagraph"/>
        <w:numPr>
          <w:ilvl w:val="0"/>
          <w:numId w:val="26"/>
        </w:numPr>
      </w:pPr>
      <w:hyperlink r:id="rId23" w:history="1">
        <w:r w:rsidR="001D46E3" w:rsidRPr="00B343A4">
          <w:rPr>
            <w:rStyle w:val="Hyperlink"/>
          </w:rPr>
          <w:t>Ebola Preparedness and Response Updates</w:t>
        </w:r>
      </w:hyperlink>
    </w:p>
    <w:p w14:paraId="3D4D3DD1" w14:textId="3C3B24A3" w:rsidR="00D038DB" w:rsidRDefault="00C52345" w:rsidP="00FF1777">
      <w:pPr>
        <w:pStyle w:val="ListParagraph"/>
        <w:numPr>
          <w:ilvl w:val="0"/>
          <w:numId w:val="26"/>
        </w:numPr>
      </w:pPr>
      <w:hyperlink r:id="rId24" w:history="1">
        <w:r w:rsidR="00D038DB" w:rsidRPr="00B97651">
          <w:rPr>
            <w:rStyle w:val="Hyperlink"/>
          </w:rPr>
          <w:t>Zika Virus Response Updates</w:t>
        </w:r>
      </w:hyperlink>
    </w:p>
    <w:p w14:paraId="43F960D3" w14:textId="02C19838" w:rsidR="00B97651" w:rsidRDefault="00C52345" w:rsidP="00FF1777">
      <w:pPr>
        <w:pStyle w:val="ListParagraph"/>
        <w:numPr>
          <w:ilvl w:val="0"/>
          <w:numId w:val="26"/>
        </w:numPr>
      </w:pPr>
      <w:hyperlink r:id="rId25" w:history="1">
        <w:r w:rsidR="005964AB" w:rsidRPr="00C67353">
          <w:rPr>
            <w:rStyle w:val="Hyperlink"/>
          </w:rPr>
          <w:t>Radiological and Nuclear Emergency Preparedness</w:t>
        </w:r>
      </w:hyperlink>
    </w:p>
    <w:p w14:paraId="57F94ED8" w14:textId="6B8974DB" w:rsidR="00C67353" w:rsidRDefault="00C52345" w:rsidP="00FF1777">
      <w:pPr>
        <w:pStyle w:val="ListParagraph"/>
        <w:numPr>
          <w:ilvl w:val="0"/>
          <w:numId w:val="26"/>
        </w:numPr>
      </w:pPr>
      <w:hyperlink r:id="rId26" w:history="1">
        <w:r w:rsidR="002813EA" w:rsidRPr="000D653E">
          <w:rPr>
            <w:rStyle w:val="Hyperlink"/>
          </w:rPr>
          <w:t>Smallpox Preparedness and Response Updates</w:t>
        </w:r>
      </w:hyperlink>
    </w:p>
    <w:p w14:paraId="1354D53F" w14:textId="1638AB9A" w:rsidR="00755339" w:rsidRDefault="00C52345" w:rsidP="00FF1777">
      <w:pPr>
        <w:pStyle w:val="ListParagraph"/>
        <w:numPr>
          <w:ilvl w:val="0"/>
          <w:numId w:val="26"/>
        </w:numPr>
      </w:pPr>
      <w:hyperlink r:id="rId27" w:history="1">
        <w:r w:rsidR="00755339" w:rsidRPr="00C44D68">
          <w:rPr>
            <w:rStyle w:val="Hyperlink"/>
          </w:rPr>
          <w:t>Medical Countermeasure Monitoring and Assessment</w:t>
        </w:r>
      </w:hyperlink>
    </w:p>
    <w:p w14:paraId="171BDD95" w14:textId="2A35157E" w:rsidR="00D23A0C" w:rsidRDefault="00C52345" w:rsidP="00FF1777">
      <w:pPr>
        <w:pStyle w:val="ListParagraph"/>
        <w:numPr>
          <w:ilvl w:val="0"/>
          <w:numId w:val="26"/>
        </w:numPr>
      </w:pPr>
      <w:hyperlink r:id="rId28" w:history="1">
        <w:r w:rsidR="00D23A0C" w:rsidRPr="00FF1777">
          <w:rPr>
            <w:rStyle w:val="Hyperlink"/>
          </w:rPr>
          <w:t>Pediatric Medical Countermeasures</w:t>
        </w:r>
      </w:hyperlink>
    </w:p>
    <w:p w14:paraId="6A6D6B7D" w14:textId="77777777" w:rsidR="00C67353" w:rsidRDefault="00C67353"/>
    <w:p w14:paraId="430B1A0F" w14:textId="77777777" w:rsidR="00B343A4" w:rsidRPr="00CE3EE0" w:rsidRDefault="00B343A4"/>
    <w:p w14:paraId="7C466E5D" w14:textId="01DA0394" w:rsidR="00802CDB" w:rsidRPr="00781DAE" w:rsidRDefault="00AC74DD">
      <w:pPr>
        <w:rPr>
          <w:b/>
          <w:bCs/>
        </w:rPr>
      </w:pPr>
      <w:r>
        <w:rPr>
          <w:b/>
          <w:bCs/>
        </w:rPr>
        <w:t xml:space="preserve">FDA </w:t>
      </w:r>
      <w:r w:rsidR="00A86A35">
        <w:rPr>
          <w:b/>
          <w:bCs/>
        </w:rPr>
        <w:t xml:space="preserve">MCM </w:t>
      </w:r>
      <w:r w:rsidR="00781DAE" w:rsidRPr="00781DAE">
        <w:rPr>
          <w:b/>
          <w:bCs/>
        </w:rPr>
        <w:t xml:space="preserve">Emergency Use Authorities </w:t>
      </w:r>
    </w:p>
    <w:p w14:paraId="2F4BAB13" w14:textId="04EEB7AC" w:rsidR="00781DAE" w:rsidRDefault="00781DAE"/>
    <w:p w14:paraId="5508E4B3" w14:textId="0D7D4195" w:rsidR="00781DAE" w:rsidRDefault="00A86A35" w:rsidP="00A86A35">
      <w:r>
        <w:t>FDA can authorize the emergency use of MCMs through Emergency Use Authorization (EUA) and authorities related to emergency use of approved MCMs</w:t>
      </w:r>
      <w:r w:rsidR="00DC09A0">
        <w:t>. (</w:t>
      </w:r>
      <w:hyperlink r:id="rId29" w:history="1">
        <w:r w:rsidR="00DC09A0" w:rsidRPr="00DC09A0">
          <w:rPr>
            <w:rStyle w:val="Hyperlink"/>
          </w:rPr>
          <w:t>https://www.fda.gov/emergency-preparedness-and-response/mcm-legal-regulatory-and-policy-framework/mcm-emergency-use-authorities</w:t>
        </w:r>
      </w:hyperlink>
      <w:r w:rsidR="00DC09A0">
        <w:t>)</w:t>
      </w:r>
    </w:p>
    <w:p w14:paraId="19499ED6" w14:textId="385F49F0" w:rsidR="0018510B" w:rsidRDefault="0018510B" w:rsidP="00A86A35"/>
    <w:p w14:paraId="5FAEAB6B" w14:textId="3FF5B29E" w:rsidR="0018510B" w:rsidRPr="0018510B" w:rsidRDefault="00C52345" w:rsidP="0018510B">
      <w:pPr>
        <w:numPr>
          <w:ilvl w:val="0"/>
          <w:numId w:val="27"/>
        </w:numPr>
      </w:pPr>
      <w:hyperlink r:id="rId30" w:history="1">
        <w:r w:rsidR="0018510B" w:rsidRPr="0018510B">
          <w:rPr>
            <w:rStyle w:val="Hyperlink"/>
          </w:rPr>
          <w:t>Emergency Use Authorization (EUA)</w:t>
        </w:r>
      </w:hyperlink>
      <w:r w:rsidR="008B239E">
        <w:t xml:space="preserve"> - M</w:t>
      </w:r>
      <w:r w:rsidR="0018510B" w:rsidRPr="0018510B">
        <w:t>ore information and a list of current EUAs</w:t>
      </w:r>
    </w:p>
    <w:p w14:paraId="4AF30EE6" w14:textId="26F9CD5F" w:rsidR="0018510B" w:rsidRPr="0018510B" w:rsidRDefault="00C52345" w:rsidP="002C174A">
      <w:pPr>
        <w:numPr>
          <w:ilvl w:val="1"/>
          <w:numId w:val="27"/>
        </w:numPr>
      </w:pPr>
      <w:hyperlink r:id="rId31" w:history="1">
        <w:r w:rsidR="002C174A">
          <w:rPr>
            <w:rStyle w:val="Hyperlink"/>
          </w:rPr>
          <w:t>Emergency Use Authorization (archived information)</w:t>
        </w:r>
      </w:hyperlink>
    </w:p>
    <w:p w14:paraId="698F5E07" w14:textId="188D2C60" w:rsidR="0018510B" w:rsidRDefault="00C52345" w:rsidP="00157D88">
      <w:pPr>
        <w:numPr>
          <w:ilvl w:val="1"/>
          <w:numId w:val="27"/>
        </w:numPr>
      </w:pPr>
      <w:hyperlink r:id="rId32" w:history="1">
        <w:r w:rsidR="0018510B" w:rsidRPr="0018510B">
          <w:rPr>
            <w:rStyle w:val="Hyperlink"/>
          </w:rPr>
          <w:t>Summary of process for EUA issuance</w:t>
        </w:r>
      </w:hyperlink>
      <w:r w:rsidR="00040BF5">
        <w:t xml:space="preserve"> - G</w:t>
      </w:r>
      <w:r w:rsidR="0018510B" w:rsidRPr="0018510B">
        <w:t xml:space="preserve">raphic illustrating the </w:t>
      </w:r>
      <w:r w:rsidR="00040BF5">
        <w:t xml:space="preserve">EUA </w:t>
      </w:r>
      <w:r w:rsidR="0018510B" w:rsidRPr="0018510B">
        <w:t>process</w:t>
      </w:r>
    </w:p>
    <w:p w14:paraId="322E049C" w14:textId="77777777" w:rsidR="0082673A" w:rsidRDefault="00C52345" w:rsidP="0018510B">
      <w:pPr>
        <w:numPr>
          <w:ilvl w:val="0"/>
          <w:numId w:val="27"/>
        </w:numPr>
      </w:pPr>
      <w:hyperlink r:id="rId33" w:history="1">
        <w:r w:rsidR="0018510B" w:rsidRPr="0018510B">
          <w:rPr>
            <w:rStyle w:val="Hyperlink"/>
          </w:rPr>
          <w:t>Emergency use of approved MCMs</w:t>
        </w:r>
      </w:hyperlink>
    </w:p>
    <w:p w14:paraId="3C170F88" w14:textId="4C862402" w:rsidR="0018510B" w:rsidRDefault="00C52345" w:rsidP="0018510B">
      <w:pPr>
        <w:numPr>
          <w:ilvl w:val="0"/>
          <w:numId w:val="27"/>
        </w:numPr>
      </w:pPr>
      <w:hyperlink r:id="rId34" w:history="1">
        <w:r w:rsidR="0082673A">
          <w:rPr>
            <w:rStyle w:val="Hyperlink"/>
          </w:rPr>
          <w:t>Expiration dating extensions</w:t>
        </w:r>
      </w:hyperlink>
    </w:p>
    <w:p w14:paraId="5BBB97D7" w14:textId="31FD60D7" w:rsidR="0018510B" w:rsidRPr="0018510B" w:rsidRDefault="00C52345" w:rsidP="0018510B">
      <w:pPr>
        <w:numPr>
          <w:ilvl w:val="0"/>
          <w:numId w:val="27"/>
        </w:numPr>
      </w:pPr>
      <w:hyperlink r:id="rId35" w:history="1">
        <w:r w:rsidR="0018510B" w:rsidRPr="0018510B">
          <w:rPr>
            <w:rStyle w:val="Hyperlink"/>
          </w:rPr>
          <w:t>Emergency dispensing orders and Emergency Use Instructions</w:t>
        </w:r>
      </w:hyperlink>
      <w:r w:rsidR="00026046">
        <w:t xml:space="preserve"> </w:t>
      </w:r>
      <w:r w:rsidR="0018510B" w:rsidRPr="0018510B">
        <w:t>(EUI)</w:t>
      </w:r>
    </w:p>
    <w:p w14:paraId="2502DE7D" w14:textId="77777777" w:rsidR="001E514D" w:rsidRDefault="0018510B" w:rsidP="0018510B">
      <w:pPr>
        <w:numPr>
          <w:ilvl w:val="0"/>
          <w:numId w:val="27"/>
        </w:numPr>
      </w:pPr>
      <w:r w:rsidRPr="0018510B">
        <w:t>EUA information for</w:t>
      </w:r>
      <w:r w:rsidR="001E514D">
        <w:t xml:space="preserve"> </w:t>
      </w:r>
      <w:r w:rsidRPr="0018510B">
        <w:rPr>
          <w:i/>
          <w:iCs/>
        </w:rPr>
        <w:t>in vitr</w:t>
      </w:r>
      <w:r w:rsidR="001E514D">
        <w:rPr>
          <w:i/>
          <w:iCs/>
        </w:rPr>
        <w:t xml:space="preserve">o </w:t>
      </w:r>
      <w:r w:rsidRPr="0018510B">
        <w:t>diagnostic devices (IVDs), including</w:t>
      </w:r>
      <w:r w:rsidR="001E514D">
        <w:t>:</w:t>
      </w:r>
    </w:p>
    <w:p w14:paraId="343FC04A" w14:textId="77777777" w:rsidR="001E514D" w:rsidRDefault="00C52345" w:rsidP="0013663E">
      <w:pPr>
        <w:pStyle w:val="ListParagraph"/>
        <w:numPr>
          <w:ilvl w:val="1"/>
          <w:numId w:val="27"/>
        </w:numPr>
      </w:pPr>
      <w:hyperlink r:id="rId36" w:tooltip="How to Submit a Pre-EUA for In vitro Diagnostics to FDA " w:history="1">
        <w:r w:rsidR="001E514D">
          <w:rPr>
            <w:rStyle w:val="Hyperlink"/>
          </w:rPr>
          <w:t>Process to submit a Pre-EUA for IVDs to FDA</w:t>
        </w:r>
      </w:hyperlink>
    </w:p>
    <w:p w14:paraId="46BCFF3A" w14:textId="27ABEA51" w:rsidR="0018510B" w:rsidRPr="0018510B" w:rsidRDefault="00C52345" w:rsidP="0013663E">
      <w:pPr>
        <w:pStyle w:val="ListParagraph"/>
        <w:numPr>
          <w:ilvl w:val="1"/>
          <w:numId w:val="27"/>
        </w:numPr>
      </w:pPr>
      <w:hyperlink r:id="rId37" w:tooltip="Information for Laboratories Implementing IVD Tests Under EUA  " w:history="1">
        <w:r w:rsidR="001E514D">
          <w:rPr>
            <w:rStyle w:val="Hyperlink"/>
          </w:rPr>
          <w:t>Information for laboratories implementing IVD tests under EUA</w:t>
        </w:r>
      </w:hyperlink>
    </w:p>
    <w:p w14:paraId="3AA45FFE" w14:textId="6E93ABE0" w:rsidR="0018510B" w:rsidRDefault="0018510B" w:rsidP="00A86A35"/>
    <w:p w14:paraId="2482F5FC" w14:textId="2C2BEE9C" w:rsidR="00350D4C" w:rsidRPr="00350D4C" w:rsidRDefault="00350D4C" w:rsidP="00350D4C">
      <w:pPr>
        <w:rPr>
          <w:b/>
          <w:bCs/>
        </w:rPr>
      </w:pPr>
      <w:r w:rsidRPr="00350D4C">
        <w:rPr>
          <w:b/>
          <w:bCs/>
        </w:rPr>
        <w:t>COVID-19 EUA Information</w:t>
      </w:r>
    </w:p>
    <w:p w14:paraId="4F238728" w14:textId="77777777" w:rsidR="00350D4C" w:rsidRPr="00350D4C" w:rsidRDefault="00C52345" w:rsidP="00350D4C">
      <w:pPr>
        <w:numPr>
          <w:ilvl w:val="0"/>
          <w:numId w:val="28"/>
        </w:numPr>
      </w:pPr>
      <w:hyperlink r:id="rId38" w:tooltip="Coronavirus Disease 2019 (COVID-19)" w:history="1">
        <w:r w:rsidR="00350D4C" w:rsidRPr="00350D4C">
          <w:rPr>
            <w:rStyle w:val="Hyperlink"/>
            <w:b/>
            <w:bCs/>
          </w:rPr>
          <w:t>Coronavirus Disease (COVID-19) updates from FDA</w:t>
        </w:r>
      </w:hyperlink>
    </w:p>
    <w:p w14:paraId="2104F5BB" w14:textId="77777777" w:rsidR="00350D4C" w:rsidRPr="00350D4C" w:rsidRDefault="00350D4C" w:rsidP="00350D4C">
      <w:pPr>
        <w:numPr>
          <w:ilvl w:val="0"/>
          <w:numId w:val="28"/>
        </w:numPr>
      </w:pPr>
      <w:r w:rsidRPr="00350D4C">
        <w:rPr>
          <w:b/>
          <w:bCs/>
        </w:rPr>
        <w:t>Overviews:</w:t>
      </w:r>
    </w:p>
    <w:p w14:paraId="5653C57F" w14:textId="02175CF2" w:rsidR="00350D4C" w:rsidRPr="00350D4C" w:rsidRDefault="00C52345" w:rsidP="00350D4C">
      <w:pPr>
        <w:numPr>
          <w:ilvl w:val="1"/>
          <w:numId w:val="28"/>
        </w:numPr>
      </w:pPr>
      <w:hyperlink r:id="rId39" w:tooltip="FDA Combating COVID-19 With Medical Devices " w:history="1">
        <w:r w:rsidR="00350D4C" w:rsidRPr="00350D4C">
          <w:rPr>
            <w:rStyle w:val="Hyperlink"/>
            <w:b/>
            <w:bCs/>
          </w:rPr>
          <w:t>FDA Combating COVID-19 With Medical Devices</w:t>
        </w:r>
      </w:hyperlink>
      <w:r w:rsidR="00A72A80">
        <w:rPr>
          <w:b/>
          <w:bCs/>
        </w:rPr>
        <w:t xml:space="preserve"> </w:t>
      </w:r>
      <w:r w:rsidR="00350D4C" w:rsidRPr="00350D4C">
        <w:t>(PDF, 708 KB)</w:t>
      </w:r>
    </w:p>
    <w:p w14:paraId="66CC8CAD" w14:textId="473D4BBA" w:rsidR="00350D4C" w:rsidRPr="00350D4C" w:rsidRDefault="00C52345" w:rsidP="00350D4C">
      <w:pPr>
        <w:numPr>
          <w:ilvl w:val="1"/>
          <w:numId w:val="28"/>
        </w:numPr>
      </w:pPr>
      <w:hyperlink r:id="rId40" w:tooltip="FDA Combating COVID-19 With Therapeutics" w:history="1">
        <w:r w:rsidR="00350D4C" w:rsidRPr="00350D4C">
          <w:rPr>
            <w:rStyle w:val="Hyperlink"/>
            <w:b/>
            <w:bCs/>
          </w:rPr>
          <w:t>FDA Combating COVID-19 With Therapeutics</w:t>
        </w:r>
      </w:hyperlink>
      <w:r w:rsidR="00A72A80">
        <w:t xml:space="preserve"> </w:t>
      </w:r>
      <w:r w:rsidR="00350D4C" w:rsidRPr="00350D4C">
        <w:t>(PDF, 610 KB)</w:t>
      </w:r>
    </w:p>
    <w:p w14:paraId="503DA622" w14:textId="77777777" w:rsidR="00350D4C" w:rsidRPr="00350D4C" w:rsidRDefault="00C52345" w:rsidP="00350D4C">
      <w:pPr>
        <w:numPr>
          <w:ilvl w:val="1"/>
          <w:numId w:val="28"/>
        </w:numPr>
      </w:pPr>
      <w:hyperlink r:id="rId41" w:tooltip="EUA Authorized Serology Test Performance" w:history="1">
        <w:r w:rsidR="00350D4C" w:rsidRPr="00350D4C">
          <w:rPr>
            <w:rStyle w:val="Hyperlink"/>
            <w:b/>
            <w:bCs/>
          </w:rPr>
          <w:t>EUA Authorized Serology Test Performance</w:t>
        </w:r>
      </w:hyperlink>
    </w:p>
    <w:p w14:paraId="681B45A9" w14:textId="77777777" w:rsidR="00350D4C" w:rsidRPr="00350D4C" w:rsidRDefault="00350D4C" w:rsidP="00350D4C">
      <w:pPr>
        <w:numPr>
          <w:ilvl w:val="0"/>
          <w:numId w:val="28"/>
        </w:numPr>
      </w:pPr>
      <w:r w:rsidRPr="00350D4C">
        <w:rPr>
          <w:b/>
          <w:bCs/>
        </w:rPr>
        <w:t>Detailed Information for all COVID-19 EUAs, including authorizations and fact sheets</w:t>
      </w:r>
    </w:p>
    <w:p w14:paraId="794C4007" w14:textId="77777777" w:rsidR="00350D4C" w:rsidRPr="00350D4C" w:rsidRDefault="00C52345" w:rsidP="00350D4C">
      <w:pPr>
        <w:numPr>
          <w:ilvl w:val="1"/>
          <w:numId w:val="28"/>
        </w:numPr>
      </w:pPr>
      <w:hyperlink r:id="rId42" w:anchor="covidinvitrodev" w:history="1">
        <w:r w:rsidR="00350D4C" w:rsidRPr="00350D4C">
          <w:rPr>
            <w:rStyle w:val="Hyperlink"/>
          </w:rPr>
          <w:t>In Vitro Diagnostic Products</w:t>
        </w:r>
      </w:hyperlink>
    </w:p>
    <w:p w14:paraId="7D41525D" w14:textId="77777777" w:rsidR="00350D4C" w:rsidRPr="00350D4C" w:rsidRDefault="00C52345" w:rsidP="00350D4C">
      <w:pPr>
        <w:numPr>
          <w:ilvl w:val="1"/>
          <w:numId w:val="28"/>
        </w:numPr>
      </w:pPr>
      <w:hyperlink r:id="rId43" w:anchor="LDTs" w:history="1">
        <w:r w:rsidR="00350D4C" w:rsidRPr="00350D4C">
          <w:rPr>
            <w:rStyle w:val="Hyperlink"/>
          </w:rPr>
          <w:t>High Complexity Molecular-Based Laboratory Developed Tests</w:t>
        </w:r>
      </w:hyperlink>
    </w:p>
    <w:p w14:paraId="4E01A382" w14:textId="77777777" w:rsidR="00350D4C" w:rsidRPr="00350D4C" w:rsidRDefault="00C52345" w:rsidP="00350D4C">
      <w:pPr>
        <w:numPr>
          <w:ilvl w:val="1"/>
          <w:numId w:val="28"/>
        </w:numPr>
      </w:pPr>
      <w:hyperlink r:id="rId44" w:anchor="sarscov2antibody" w:history="1">
        <w:r w:rsidR="00350D4C" w:rsidRPr="00350D4C">
          <w:rPr>
            <w:rStyle w:val="Hyperlink"/>
          </w:rPr>
          <w:t>SARS-CoV-2 Antibody Tests</w:t>
        </w:r>
      </w:hyperlink>
    </w:p>
    <w:p w14:paraId="2FEA9775" w14:textId="77777777" w:rsidR="00350D4C" w:rsidRPr="00350D4C" w:rsidRDefault="00C52345" w:rsidP="00350D4C">
      <w:pPr>
        <w:numPr>
          <w:ilvl w:val="1"/>
          <w:numId w:val="28"/>
        </w:numPr>
      </w:pPr>
      <w:hyperlink r:id="rId45" w:anchor="covidppe" w:history="1">
        <w:r w:rsidR="00350D4C" w:rsidRPr="00350D4C">
          <w:rPr>
            <w:rStyle w:val="Hyperlink"/>
          </w:rPr>
          <w:t>Personal Protective Equipment and Related Devices</w:t>
        </w:r>
      </w:hyperlink>
    </w:p>
    <w:p w14:paraId="55C12630" w14:textId="77777777" w:rsidR="00350D4C" w:rsidRPr="00350D4C" w:rsidRDefault="00C52345" w:rsidP="00350D4C">
      <w:pPr>
        <w:numPr>
          <w:ilvl w:val="1"/>
          <w:numId w:val="28"/>
        </w:numPr>
      </w:pPr>
      <w:hyperlink r:id="rId46" w:anchor="covidothermeddev" w:history="1">
        <w:r w:rsidR="00350D4C" w:rsidRPr="00350D4C">
          <w:rPr>
            <w:rStyle w:val="Hyperlink"/>
          </w:rPr>
          <w:t>Ventilators and Other Medical Devices</w:t>
        </w:r>
      </w:hyperlink>
    </w:p>
    <w:p w14:paraId="6DE2F29A" w14:textId="77777777" w:rsidR="00350D4C" w:rsidRPr="00350D4C" w:rsidRDefault="00C52345" w:rsidP="00350D4C">
      <w:pPr>
        <w:numPr>
          <w:ilvl w:val="1"/>
          <w:numId w:val="28"/>
        </w:numPr>
      </w:pPr>
      <w:hyperlink r:id="rId47" w:anchor="coviddrugs" w:history="1">
        <w:r w:rsidR="00350D4C" w:rsidRPr="00350D4C">
          <w:rPr>
            <w:rStyle w:val="Hyperlink"/>
          </w:rPr>
          <w:t>Drug Products</w:t>
        </w:r>
      </w:hyperlink>
    </w:p>
    <w:p w14:paraId="670956A4" w14:textId="77777777" w:rsidR="00350D4C" w:rsidRDefault="00350D4C" w:rsidP="00A86A35"/>
    <w:p w14:paraId="7EDF76AA" w14:textId="77777777" w:rsidR="00350D4C" w:rsidRDefault="00350D4C"/>
    <w:sectPr w:rsidR="00350D4C">
      <w:headerReference w:type="default" r:id="rId48"/>
      <w:footerReference w:type="default" r:id="rId4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95F4D9A" w14:textId="77777777" w:rsidR="00C52345" w:rsidRDefault="00C52345" w:rsidP="000D01D1">
      <w:r>
        <w:separator/>
      </w:r>
    </w:p>
  </w:endnote>
  <w:endnote w:type="continuationSeparator" w:id="0">
    <w:p w14:paraId="02BFD07C" w14:textId="77777777" w:rsidR="00C52345" w:rsidRDefault="00C52345" w:rsidP="000D01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68432621"/>
      <w:docPartObj>
        <w:docPartGallery w:val="Page Numbers (Bottom of Page)"/>
        <w:docPartUnique/>
      </w:docPartObj>
    </w:sdtPr>
    <w:sdtEndPr>
      <w:rPr>
        <w:noProof/>
      </w:rPr>
    </w:sdtEndPr>
    <w:sdtContent>
      <w:p w14:paraId="46CAAF8D" w14:textId="6812ECC3" w:rsidR="000D01D1" w:rsidRDefault="002D2423" w:rsidP="002D242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5119580" w14:textId="77777777" w:rsidR="00C52345" w:rsidRDefault="00C52345" w:rsidP="000D01D1">
      <w:r>
        <w:separator/>
      </w:r>
    </w:p>
  </w:footnote>
  <w:footnote w:type="continuationSeparator" w:id="0">
    <w:p w14:paraId="15B377B0" w14:textId="77777777" w:rsidR="00C52345" w:rsidRDefault="00C52345" w:rsidP="000D01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8FE08A" w14:textId="2177108F" w:rsidR="00045C85" w:rsidRPr="00E73CB5" w:rsidRDefault="00E73CB5" w:rsidP="00E73CB5">
    <w:pPr>
      <w:tabs>
        <w:tab w:val="center" w:pos="4680"/>
        <w:tab w:val="right" w:pos="9360"/>
      </w:tabs>
      <w:jc w:val="center"/>
      <w:rPr>
        <w:rFonts w:asciiTheme="minorHAnsi" w:eastAsiaTheme="minorHAnsi" w:hAnsiTheme="minorHAnsi" w:cstheme="minorBidi"/>
      </w:rPr>
    </w:pPr>
    <w:r w:rsidRPr="000E2930">
      <w:rPr>
        <w:highlight w:val="yellow"/>
      </w:rPr>
      <w:t xml:space="preserve">DRAFT </w:t>
    </w:r>
    <w:r>
      <w:rPr>
        <w:highlight w:val="yellow"/>
      </w:rPr>
      <w:t xml:space="preserve">Pre-Federal Clearance – August 2020 – </w:t>
    </w:r>
    <w:r w:rsidRPr="000E2930">
      <w:rPr>
        <w:highlight w:val="yellow"/>
      </w:rPr>
      <w:t>DO NOT CITE OR CIRCULATE BEYOND CSTE REVIEWERS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1F2D81"/>
    <w:multiLevelType w:val="hybridMultilevel"/>
    <w:tmpl w:val="B49C5732"/>
    <w:lvl w:ilvl="0" w:tplc="7A963908">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58A36BA"/>
    <w:multiLevelType w:val="hybridMultilevel"/>
    <w:tmpl w:val="9D9E67C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D0C3417"/>
    <w:multiLevelType w:val="multilevel"/>
    <w:tmpl w:val="351832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DD0398"/>
    <w:multiLevelType w:val="hybridMultilevel"/>
    <w:tmpl w:val="332C8B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04441F6"/>
    <w:multiLevelType w:val="hybridMultilevel"/>
    <w:tmpl w:val="76F8ACA8"/>
    <w:lvl w:ilvl="0" w:tplc="7A963908">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2AB57B2"/>
    <w:multiLevelType w:val="hybridMultilevel"/>
    <w:tmpl w:val="01D4981E"/>
    <w:lvl w:ilvl="0" w:tplc="7A963908">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4F70E5E"/>
    <w:multiLevelType w:val="hybridMultilevel"/>
    <w:tmpl w:val="B15499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F245585"/>
    <w:multiLevelType w:val="hybridMultilevel"/>
    <w:tmpl w:val="30F6DDC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2EE49C3"/>
    <w:multiLevelType w:val="hybridMultilevel"/>
    <w:tmpl w:val="2A22A6B4"/>
    <w:lvl w:ilvl="0" w:tplc="7A963908">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24E233D4"/>
    <w:multiLevelType w:val="hybridMultilevel"/>
    <w:tmpl w:val="267CE95C"/>
    <w:lvl w:ilvl="0" w:tplc="7A963908">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25BC680A"/>
    <w:multiLevelType w:val="hybridMultilevel"/>
    <w:tmpl w:val="10A4B5E2"/>
    <w:lvl w:ilvl="0" w:tplc="7A963908">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273C5255"/>
    <w:multiLevelType w:val="multilevel"/>
    <w:tmpl w:val="929006E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BEB2455"/>
    <w:multiLevelType w:val="hybridMultilevel"/>
    <w:tmpl w:val="26CCD4B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35A4128B"/>
    <w:multiLevelType w:val="hybridMultilevel"/>
    <w:tmpl w:val="333E3F24"/>
    <w:lvl w:ilvl="0" w:tplc="7A963908">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942565D"/>
    <w:multiLevelType w:val="hybridMultilevel"/>
    <w:tmpl w:val="0B1C716A"/>
    <w:lvl w:ilvl="0" w:tplc="7A963908">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3F804E2B"/>
    <w:multiLevelType w:val="hybridMultilevel"/>
    <w:tmpl w:val="F508E6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BF122CC"/>
    <w:multiLevelType w:val="hybridMultilevel"/>
    <w:tmpl w:val="6436EE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5A13A17"/>
    <w:multiLevelType w:val="hybridMultilevel"/>
    <w:tmpl w:val="A17A773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5E756F9C"/>
    <w:multiLevelType w:val="hybridMultilevel"/>
    <w:tmpl w:val="F83A8932"/>
    <w:lvl w:ilvl="0" w:tplc="7A963908">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65A377EB"/>
    <w:multiLevelType w:val="hybridMultilevel"/>
    <w:tmpl w:val="7B0E64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73121BE"/>
    <w:multiLevelType w:val="hybridMultilevel"/>
    <w:tmpl w:val="7C5E8A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750446D"/>
    <w:multiLevelType w:val="hybridMultilevel"/>
    <w:tmpl w:val="8EC48D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F734EF5"/>
    <w:multiLevelType w:val="multilevel"/>
    <w:tmpl w:val="929006E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28D5B8C"/>
    <w:multiLevelType w:val="multilevel"/>
    <w:tmpl w:val="8B3611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4652782"/>
    <w:multiLevelType w:val="hybridMultilevel"/>
    <w:tmpl w:val="CA60457A"/>
    <w:lvl w:ilvl="0" w:tplc="7A963908">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753A7B43"/>
    <w:multiLevelType w:val="hybridMultilevel"/>
    <w:tmpl w:val="E12608C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7D2137FA"/>
    <w:multiLevelType w:val="hybridMultilevel"/>
    <w:tmpl w:val="4BCAEF22"/>
    <w:lvl w:ilvl="0" w:tplc="7A963908">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7D25375B"/>
    <w:multiLevelType w:val="hybridMultilevel"/>
    <w:tmpl w:val="C308BDAE"/>
    <w:lvl w:ilvl="0" w:tplc="7A963908">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6"/>
  </w:num>
  <w:num w:numId="2">
    <w:abstractNumId w:val="15"/>
  </w:num>
  <w:num w:numId="3">
    <w:abstractNumId w:val="19"/>
  </w:num>
  <w:num w:numId="4">
    <w:abstractNumId w:val="5"/>
  </w:num>
  <w:num w:numId="5">
    <w:abstractNumId w:val="25"/>
  </w:num>
  <w:num w:numId="6">
    <w:abstractNumId w:val="0"/>
  </w:num>
  <w:num w:numId="7">
    <w:abstractNumId w:val="7"/>
  </w:num>
  <w:num w:numId="8">
    <w:abstractNumId w:val="10"/>
  </w:num>
  <w:num w:numId="9">
    <w:abstractNumId w:val="26"/>
  </w:num>
  <w:num w:numId="10">
    <w:abstractNumId w:val="4"/>
  </w:num>
  <w:num w:numId="11">
    <w:abstractNumId w:val="1"/>
  </w:num>
  <w:num w:numId="12">
    <w:abstractNumId w:val="6"/>
  </w:num>
  <w:num w:numId="13">
    <w:abstractNumId w:val="8"/>
  </w:num>
  <w:num w:numId="14">
    <w:abstractNumId w:val="14"/>
  </w:num>
  <w:num w:numId="15">
    <w:abstractNumId w:val="24"/>
  </w:num>
  <w:num w:numId="16">
    <w:abstractNumId w:val="18"/>
  </w:num>
  <w:num w:numId="17">
    <w:abstractNumId w:val="27"/>
  </w:num>
  <w:num w:numId="18">
    <w:abstractNumId w:val="13"/>
  </w:num>
  <w:num w:numId="19">
    <w:abstractNumId w:val="9"/>
  </w:num>
  <w:num w:numId="20">
    <w:abstractNumId w:val="12"/>
  </w:num>
  <w:num w:numId="21">
    <w:abstractNumId w:val="17"/>
  </w:num>
  <w:num w:numId="22">
    <w:abstractNumId w:val="23"/>
  </w:num>
  <w:num w:numId="23">
    <w:abstractNumId w:val="3"/>
  </w:num>
  <w:num w:numId="24">
    <w:abstractNumId w:val="2"/>
  </w:num>
  <w:num w:numId="25">
    <w:abstractNumId w:val="21"/>
  </w:num>
  <w:num w:numId="26">
    <w:abstractNumId w:val="20"/>
  </w:num>
  <w:num w:numId="27">
    <w:abstractNumId w:val="22"/>
  </w:num>
  <w:num w:numId="2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2A02"/>
    <w:rsid w:val="00026046"/>
    <w:rsid w:val="00040BF5"/>
    <w:rsid w:val="00045C85"/>
    <w:rsid w:val="000A7811"/>
    <w:rsid w:val="000B455E"/>
    <w:rsid w:val="000C077C"/>
    <w:rsid w:val="000D01D1"/>
    <w:rsid w:val="000D653E"/>
    <w:rsid w:val="0010034D"/>
    <w:rsid w:val="0013663E"/>
    <w:rsid w:val="00151278"/>
    <w:rsid w:val="00157D88"/>
    <w:rsid w:val="00183767"/>
    <w:rsid w:val="0018510B"/>
    <w:rsid w:val="001C7B38"/>
    <w:rsid w:val="001D46E3"/>
    <w:rsid w:val="001E514D"/>
    <w:rsid w:val="001F537C"/>
    <w:rsid w:val="0021126D"/>
    <w:rsid w:val="00230CB9"/>
    <w:rsid w:val="00254507"/>
    <w:rsid w:val="002813EA"/>
    <w:rsid w:val="002A6B1E"/>
    <w:rsid w:val="002C174A"/>
    <w:rsid w:val="002D2423"/>
    <w:rsid w:val="002D7299"/>
    <w:rsid w:val="002E2E94"/>
    <w:rsid w:val="00350D4C"/>
    <w:rsid w:val="00395336"/>
    <w:rsid w:val="003B2378"/>
    <w:rsid w:val="003F2E34"/>
    <w:rsid w:val="00402D08"/>
    <w:rsid w:val="00461A40"/>
    <w:rsid w:val="00471457"/>
    <w:rsid w:val="00476446"/>
    <w:rsid w:val="004F2BE5"/>
    <w:rsid w:val="005212E7"/>
    <w:rsid w:val="0053100B"/>
    <w:rsid w:val="005776FB"/>
    <w:rsid w:val="005964AB"/>
    <w:rsid w:val="005B10A8"/>
    <w:rsid w:val="005B404B"/>
    <w:rsid w:val="005F1FFC"/>
    <w:rsid w:val="00651D65"/>
    <w:rsid w:val="0066423F"/>
    <w:rsid w:val="006A2A02"/>
    <w:rsid w:val="0070271C"/>
    <w:rsid w:val="00755339"/>
    <w:rsid w:val="00781DAE"/>
    <w:rsid w:val="00787D75"/>
    <w:rsid w:val="007971F1"/>
    <w:rsid w:val="007B541E"/>
    <w:rsid w:val="007C6EB6"/>
    <w:rsid w:val="007D7D60"/>
    <w:rsid w:val="007E114A"/>
    <w:rsid w:val="007E24E0"/>
    <w:rsid w:val="00802C72"/>
    <w:rsid w:val="00802CDB"/>
    <w:rsid w:val="0082673A"/>
    <w:rsid w:val="0083304A"/>
    <w:rsid w:val="008B239E"/>
    <w:rsid w:val="008B7D6E"/>
    <w:rsid w:val="008D26D7"/>
    <w:rsid w:val="008F0240"/>
    <w:rsid w:val="008F5014"/>
    <w:rsid w:val="00931EF8"/>
    <w:rsid w:val="00975F5A"/>
    <w:rsid w:val="00A25E03"/>
    <w:rsid w:val="00A72A80"/>
    <w:rsid w:val="00A7443C"/>
    <w:rsid w:val="00A826B0"/>
    <w:rsid w:val="00A86A35"/>
    <w:rsid w:val="00AC74DD"/>
    <w:rsid w:val="00AD4F2B"/>
    <w:rsid w:val="00B343A4"/>
    <w:rsid w:val="00B55BE8"/>
    <w:rsid w:val="00B56315"/>
    <w:rsid w:val="00B75B7F"/>
    <w:rsid w:val="00B97651"/>
    <w:rsid w:val="00C007B4"/>
    <w:rsid w:val="00C3426F"/>
    <w:rsid w:val="00C35C4C"/>
    <w:rsid w:val="00C44D68"/>
    <w:rsid w:val="00C52345"/>
    <w:rsid w:val="00C660E6"/>
    <w:rsid w:val="00C67353"/>
    <w:rsid w:val="00C8457E"/>
    <w:rsid w:val="00C8720B"/>
    <w:rsid w:val="00CD4932"/>
    <w:rsid w:val="00CE3EE0"/>
    <w:rsid w:val="00CE4833"/>
    <w:rsid w:val="00D038DB"/>
    <w:rsid w:val="00D040AD"/>
    <w:rsid w:val="00D067EB"/>
    <w:rsid w:val="00D23A0C"/>
    <w:rsid w:val="00D32BB2"/>
    <w:rsid w:val="00D57000"/>
    <w:rsid w:val="00D766FB"/>
    <w:rsid w:val="00DA3786"/>
    <w:rsid w:val="00DC09A0"/>
    <w:rsid w:val="00E04634"/>
    <w:rsid w:val="00E73CB5"/>
    <w:rsid w:val="00EB3931"/>
    <w:rsid w:val="00EC5116"/>
    <w:rsid w:val="00F815F3"/>
    <w:rsid w:val="00FB7F8A"/>
    <w:rsid w:val="00FE5613"/>
    <w:rsid w:val="00FF17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2FF94D"/>
  <w15:chartTrackingRefBased/>
  <w15:docId w15:val="{C5D5CDF4-0436-42A7-9168-199191014E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2A02"/>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15">
    <w:name w:val="norm 1.5"/>
    <w:basedOn w:val="Normal"/>
    <w:qFormat/>
    <w:rsid w:val="00C007B4"/>
    <w:pPr>
      <w:spacing w:line="360" w:lineRule="auto"/>
    </w:pPr>
  </w:style>
  <w:style w:type="paragraph" w:customStyle="1" w:styleId="15para">
    <w:name w:val="1.5 para"/>
    <w:basedOn w:val="Normal"/>
    <w:qFormat/>
    <w:rsid w:val="00D766FB"/>
    <w:pPr>
      <w:spacing w:line="360" w:lineRule="auto"/>
    </w:pPr>
    <w:rPr>
      <w:rFonts w:eastAsia="Times New Roman" w:cs="Calibri"/>
      <w:szCs w:val="20"/>
    </w:rPr>
  </w:style>
  <w:style w:type="paragraph" w:styleId="ListParagraph">
    <w:name w:val="List Paragraph"/>
    <w:basedOn w:val="Normal"/>
    <w:uiPriority w:val="34"/>
    <w:qFormat/>
    <w:rsid w:val="006A2A02"/>
    <w:pPr>
      <w:ind w:left="720"/>
      <w:contextualSpacing/>
    </w:pPr>
    <w:rPr>
      <w:rFonts w:asciiTheme="minorHAnsi" w:eastAsiaTheme="minorHAnsi" w:hAnsiTheme="minorHAnsi" w:cstheme="minorBidi"/>
    </w:rPr>
  </w:style>
  <w:style w:type="paragraph" w:styleId="Header">
    <w:name w:val="header"/>
    <w:basedOn w:val="Normal"/>
    <w:link w:val="HeaderChar"/>
    <w:uiPriority w:val="99"/>
    <w:unhideWhenUsed/>
    <w:rsid w:val="000D01D1"/>
    <w:pPr>
      <w:tabs>
        <w:tab w:val="center" w:pos="4680"/>
        <w:tab w:val="right" w:pos="9360"/>
      </w:tabs>
    </w:pPr>
  </w:style>
  <w:style w:type="character" w:customStyle="1" w:styleId="HeaderChar">
    <w:name w:val="Header Char"/>
    <w:basedOn w:val="DefaultParagraphFont"/>
    <w:link w:val="Header"/>
    <w:uiPriority w:val="99"/>
    <w:rsid w:val="000D01D1"/>
    <w:rPr>
      <w:rFonts w:ascii="Calibri" w:eastAsia="Calibri" w:hAnsi="Calibri" w:cs="Times New Roman"/>
    </w:rPr>
  </w:style>
  <w:style w:type="paragraph" w:styleId="Footer">
    <w:name w:val="footer"/>
    <w:basedOn w:val="Normal"/>
    <w:link w:val="FooterChar"/>
    <w:uiPriority w:val="99"/>
    <w:unhideWhenUsed/>
    <w:rsid w:val="000D01D1"/>
    <w:pPr>
      <w:tabs>
        <w:tab w:val="center" w:pos="4680"/>
        <w:tab w:val="right" w:pos="9360"/>
      </w:tabs>
    </w:pPr>
  </w:style>
  <w:style w:type="character" w:customStyle="1" w:styleId="FooterChar">
    <w:name w:val="Footer Char"/>
    <w:basedOn w:val="DefaultParagraphFont"/>
    <w:link w:val="Footer"/>
    <w:uiPriority w:val="99"/>
    <w:rsid w:val="000D01D1"/>
    <w:rPr>
      <w:rFonts w:ascii="Calibri" w:eastAsia="Calibri" w:hAnsi="Calibri" w:cs="Times New Roman"/>
    </w:rPr>
  </w:style>
  <w:style w:type="character" w:styleId="Hyperlink">
    <w:name w:val="Hyperlink"/>
    <w:basedOn w:val="DefaultParagraphFont"/>
    <w:uiPriority w:val="99"/>
    <w:unhideWhenUsed/>
    <w:rsid w:val="00802CDB"/>
    <w:rPr>
      <w:color w:val="0563C1" w:themeColor="hyperlink"/>
      <w:u w:val="single"/>
    </w:rPr>
  </w:style>
  <w:style w:type="character" w:styleId="FollowedHyperlink">
    <w:name w:val="FollowedHyperlink"/>
    <w:basedOn w:val="DefaultParagraphFont"/>
    <w:uiPriority w:val="99"/>
    <w:semiHidden/>
    <w:unhideWhenUsed/>
    <w:rsid w:val="005B10A8"/>
    <w:rPr>
      <w:color w:val="954F72" w:themeColor="followedHyperlink"/>
      <w:u w:val="single"/>
    </w:rPr>
  </w:style>
  <w:style w:type="character" w:styleId="UnresolvedMention">
    <w:name w:val="Unresolved Mention"/>
    <w:basedOn w:val="DefaultParagraphFont"/>
    <w:uiPriority w:val="99"/>
    <w:semiHidden/>
    <w:unhideWhenUsed/>
    <w:rsid w:val="0039533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7217907">
      <w:bodyDiv w:val="1"/>
      <w:marLeft w:val="0"/>
      <w:marRight w:val="0"/>
      <w:marTop w:val="0"/>
      <w:marBottom w:val="0"/>
      <w:divBdr>
        <w:top w:val="none" w:sz="0" w:space="0" w:color="auto"/>
        <w:left w:val="none" w:sz="0" w:space="0" w:color="auto"/>
        <w:bottom w:val="none" w:sz="0" w:space="0" w:color="auto"/>
        <w:right w:val="none" w:sz="0" w:space="0" w:color="auto"/>
      </w:divBdr>
    </w:div>
    <w:div w:id="493183087">
      <w:bodyDiv w:val="1"/>
      <w:marLeft w:val="0"/>
      <w:marRight w:val="0"/>
      <w:marTop w:val="0"/>
      <w:marBottom w:val="0"/>
      <w:divBdr>
        <w:top w:val="none" w:sz="0" w:space="0" w:color="auto"/>
        <w:left w:val="none" w:sz="0" w:space="0" w:color="auto"/>
        <w:bottom w:val="none" w:sz="0" w:space="0" w:color="auto"/>
        <w:right w:val="none" w:sz="0" w:space="0" w:color="auto"/>
      </w:divBdr>
    </w:div>
    <w:div w:id="537354208">
      <w:bodyDiv w:val="1"/>
      <w:marLeft w:val="0"/>
      <w:marRight w:val="0"/>
      <w:marTop w:val="0"/>
      <w:marBottom w:val="0"/>
      <w:divBdr>
        <w:top w:val="none" w:sz="0" w:space="0" w:color="auto"/>
        <w:left w:val="none" w:sz="0" w:space="0" w:color="auto"/>
        <w:bottom w:val="none" w:sz="0" w:space="0" w:color="auto"/>
        <w:right w:val="none" w:sz="0" w:space="0" w:color="auto"/>
      </w:divBdr>
    </w:div>
    <w:div w:id="1144543439">
      <w:bodyDiv w:val="1"/>
      <w:marLeft w:val="0"/>
      <w:marRight w:val="0"/>
      <w:marTop w:val="0"/>
      <w:marBottom w:val="0"/>
      <w:divBdr>
        <w:top w:val="none" w:sz="0" w:space="0" w:color="auto"/>
        <w:left w:val="none" w:sz="0" w:space="0" w:color="auto"/>
        <w:bottom w:val="none" w:sz="0" w:space="0" w:color="auto"/>
        <w:right w:val="none" w:sz="0" w:space="0" w:color="auto"/>
      </w:divBdr>
    </w:div>
    <w:div w:id="1301377431">
      <w:bodyDiv w:val="1"/>
      <w:marLeft w:val="0"/>
      <w:marRight w:val="0"/>
      <w:marTop w:val="0"/>
      <w:marBottom w:val="0"/>
      <w:divBdr>
        <w:top w:val="none" w:sz="0" w:space="0" w:color="auto"/>
        <w:left w:val="none" w:sz="0" w:space="0" w:color="auto"/>
        <w:bottom w:val="none" w:sz="0" w:space="0" w:color="auto"/>
        <w:right w:val="none" w:sz="0" w:space="0" w:color="auto"/>
      </w:divBdr>
    </w:div>
    <w:div w:id="1395619096">
      <w:bodyDiv w:val="1"/>
      <w:marLeft w:val="0"/>
      <w:marRight w:val="0"/>
      <w:marTop w:val="0"/>
      <w:marBottom w:val="0"/>
      <w:divBdr>
        <w:top w:val="none" w:sz="0" w:space="0" w:color="auto"/>
        <w:left w:val="none" w:sz="0" w:space="0" w:color="auto"/>
        <w:bottom w:val="none" w:sz="0" w:space="0" w:color="auto"/>
        <w:right w:val="none" w:sz="0" w:space="0" w:color="auto"/>
      </w:divBdr>
    </w:div>
    <w:div w:id="1778328250">
      <w:bodyDiv w:val="1"/>
      <w:marLeft w:val="0"/>
      <w:marRight w:val="0"/>
      <w:marTop w:val="0"/>
      <w:marBottom w:val="0"/>
      <w:divBdr>
        <w:top w:val="none" w:sz="0" w:space="0" w:color="auto"/>
        <w:left w:val="none" w:sz="0" w:space="0" w:color="auto"/>
        <w:bottom w:val="none" w:sz="0" w:space="0" w:color="auto"/>
        <w:right w:val="none" w:sz="0" w:space="0" w:color="auto"/>
      </w:divBdr>
    </w:div>
    <w:div w:id="1946188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gpo.gov/fdsys/pkg/FR-2017-02-10/pdf/2017-02778.pdf" TargetMode="External"/><Relationship Id="rId18" Type="http://schemas.openxmlformats.org/officeDocument/2006/relationships/hyperlink" Target="https://www.federalregister.gov/articles/2015/12/09/2015-31092/smallpox-medical-countermeasures-amendment" TargetMode="External"/><Relationship Id="rId26" Type="http://schemas.openxmlformats.org/officeDocument/2006/relationships/hyperlink" Target="https://www.fda.gov/emergency-preparedness-and-response/mcm-issues/smallpox-preparedness-and-response-updates-fda" TargetMode="External"/><Relationship Id="rId39" Type="http://schemas.openxmlformats.org/officeDocument/2006/relationships/hyperlink" Target="https://www.fda.gov/media/136702/download" TargetMode="External"/><Relationship Id="rId3" Type="http://schemas.openxmlformats.org/officeDocument/2006/relationships/settings" Target="settings.xml"/><Relationship Id="rId21" Type="http://schemas.openxmlformats.org/officeDocument/2006/relationships/hyperlink" Target="https://www.fda.gov/emergency-preparedness-and-response/medical-countermeasures-initiative-mcmi/mcm-issues" TargetMode="External"/><Relationship Id="rId34" Type="http://schemas.openxmlformats.org/officeDocument/2006/relationships/hyperlink" Target="https://www.fda.gov/emergency-preparedness-and-response/mcm-legal-regulatory-and-policy-framework/expiration-dating-extension" TargetMode="External"/><Relationship Id="rId42" Type="http://schemas.openxmlformats.org/officeDocument/2006/relationships/hyperlink" Target="https://www.fda.gov/emergency-preparedness-and-response/mcm-legal-regulatory-and-policy-framework/emergency-use-authorization" TargetMode="External"/><Relationship Id="rId47" Type="http://schemas.openxmlformats.org/officeDocument/2006/relationships/hyperlink" Target="https://www.fda.gov/emergency-preparedness-and-response/mcm-legal-regulatory-and-policy-framework/emergency-use-authorization" TargetMode="External"/><Relationship Id="rId50" Type="http://schemas.openxmlformats.org/officeDocument/2006/relationships/fontTable" Target="fontTable.xml"/><Relationship Id="rId7" Type="http://schemas.openxmlformats.org/officeDocument/2006/relationships/hyperlink" Target="https://www.federalregister.gov/documents/2020/03/17/2020-05484/declaration-under-the-public-readiness-and-emergency-preparedness-act-for-medical-countermeasures" TargetMode="External"/><Relationship Id="rId12" Type="http://schemas.openxmlformats.org/officeDocument/2006/relationships/hyperlink" Target="https://www.federalregister.gov/documents/2017/05/10/2017-09455/nerve-agents-and-certain-insecticides-organophosphorus-andor-carbamate-countermeasures" TargetMode="External"/><Relationship Id="rId17" Type="http://schemas.openxmlformats.org/officeDocument/2006/relationships/hyperlink" Target="https://www.federalregister.gov/articles/2015/12/09/2015-31091/botulinum-toxin-medical-countermeasures-amendment" TargetMode="External"/><Relationship Id="rId25" Type="http://schemas.openxmlformats.org/officeDocument/2006/relationships/hyperlink" Target="https://www.fda.gov/emergency-preparedness-and-response/mcm-issues/radiological-and-nuclear-emergency-preparedness-information-fda" TargetMode="External"/><Relationship Id="rId33" Type="http://schemas.openxmlformats.org/officeDocument/2006/relationships/hyperlink" Target="https://www.fda.gov/emergency-preparedness-and-response/mcm-legal-regulatory-and-policy-framework/emergency-use-approved-mcms" TargetMode="External"/><Relationship Id="rId38" Type="http://schemas.openxmlformats.org/officeDocument/2006/relationships/hyperlink" Target="https://www.fda.gov/emergency-preparedness-and-response/counterterrorism-and-emerging-threats/coronavirus-disease-2019-covid-19" TargetMode="External"/><Relationship Id="rId46" Type="http://schemas.openxmlformats.org/officeDocument/2006/relationships/hyperlink" Target="https://www.fda.gov/emergency-preparedness-and-response/mcm-legal-regulatory-and-policy-framework/emergency-use-authorization" TargetMode="External"/><Relationship Id="rId2" Type="http://schemas.openxmlformats.org/officeDocument/2006/relationships/styles" Target="styles.xml"/><Relationship Id="rId16" Type="http://schemas.openxmlformats.org/officeDocument/2006/relationships/hyperlink" Target="https://www.federalregister.gov/articles/2015/12/09/2015-31094/acute-radiation-syndrome-medical-countermeasures-amendment" TargetMode="External"/><Relationship Id="rId20" Type="http://schemas.openxmlformats.org/officeDocument/2006/relationships/hyperlink" Target="https://www.fda.gov/emergency-preparedness-and-response/counterterrorism-and-emerging-threats/medical-countermeasures-initiative-mcmi" TargetMode="External"/><Relationship Id="rId29" Type="http://schemas.openxmlformats.org/officeDocument/2006/relationships/hyperlink" Target="https://www.fda.gov/emergency-preparedness-and-response/mcm-legal-regulatory-and-policy-framework/mcm-emergency-use-authorities" TargetMode="External"/><Relationship Id="rId41" Type="http://schemas.openxmlformats.org/officeDocument/2006/relationships/hyperlink" Target="https://www.fda.gov/medical-devices/emergency-situations-medical-devices/eua-authorized-serology-test-performance"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federalregister.gov/documents/2019/01/31/2019-00261/ebola-virus-disease-therapeutics-amendment" TargetMode="External"/><Relationship Id="rId24" Type="http://schemas.openxmlformats.org/officeDocument/2006/relationships/hyperlink" Target="https://www.fda.gov/emergency-preparedness-and-response/mcm-issues/zika-virus-response-updates-fda" TargetMode="External"/><Relationship Id="rId32" Type="http://schemas.openxmlformats.org/officeDocument/2006/relationships/hyperlink" Target="https://www.fda.gov/emergency-preparedness-and-response/mcm-legal-regulatory-and-policy-framework/summary-process-eua-issuance" TargetMode="External"/><Relationship Id="rId37" Type="http://schemas.openxmlformats.org/officeDocument/2006/relationships/hyperlink" Target="https://www.fda.gov/emergency-preparedness-and-response/mcm-legal-regulatory-and-policy-framework/information-laboratories-implementing-ivd-tests-under-eua" TargetMode="External"/><Relationship Id="rId40" Type="http://schemas.openxmlformats.org/officeDocument/2006/relationships/hyperlink" Target="https://www.fda.gov/media/136832/download" TargetMode="External"/><Relationship Id="rId45" Type="http://schemas.openxmlformats.org/officeDocument/2006/relationships/hyperlink" Target="https://www.fda.gov/emergency-preparedness-and-response/mcm-legal-regulatory-and-policy-framework/emergency-use-authorization" TargetMode="External"/><Relationship Id="rId5" Type="http://schemas.openxmlformats.org/officeDocument/2006/relationships/footnotes" Target="footnotes.xml"/><Relationship Id="rId15" Type="http://schemas.openxmlformats.org/officeDocument/2006/relationships/hyperlink" Target="https://www.federalregister.gov/articles/2015/12/09/2015-31090/anthrax-medical-countermeasures-amendment" TargetMode="External"/><Relationship Id="rId23" Type="http://schemas.openxmlformats.org/officeDocument/2006/relationships/hyperlink" Target="https://www.fda.gov/emergency-preparedness-and-response/mcm-issues/ebola-preparedness-and-response-updates-fda" TargetMode="External"/><Relationship Id="rId28" Type="http://schemas.openxmlformats.org/officeDocument/2006/relationships/hyperlink" Target="https://www.fda.gov/emergency-preparedness-and-response/mcm-issues/pediatric-medical-countermeasures" TargetMode="External"/><Relationship Id="rId36" Type="http://schemas.openxmlformats.org/officeDocument/2006/relationships/hyperlink" Target="https://www.fda.gov/emergency-preparedness-and-response/mcm-legal-regulatory-and-policy-framework/how-submit-pre-eua-vitro-diagnostics-fda" TargetMode="External"/><Relationship Id="rId49" Type="http://schemas.openxmlformats.org/officeDocument/2006/relationships/footer" Target="footer1.xml"/><Relationship Id="rId10" Type="http://schemas.openxmlformats.org/officeDocument/2006/relationships/hyperlink" Target="https://www.federalregister.gov/documents/2019/01/31/2019-00260/ebola-virus-disease-vaccines-amendment" TargetMode="External"/><Relationship Id="rId19" Type="http://schemas.openxmlformats.org/officeDocument/2006/relationships/hyperlink" Target="https://www.phe.gov/Preparedness/legal/prepact/Pages/default.aspx" TargetMode="External"/><Relationship Id="rId31" Type="http://schemas.openxmlformats.org/officeDocument/2006/relationships/hyperlink" Target="https://www.fda.gov/emergency-preparedness-and-response/mcm-legal-regulatory-and-policy-framework/emergency-use-authorization-archived-information" TargetMode="External"/><Relationship Id="rId44" Type="http://schemas.openxmlformats.org/officeDocument/2006/relationships/hyperlink" Target="https://www.fda.gov/emergency-preparedness-and-response/mcm-legal-regulatory-and-policy-framework/emergency-use-authorization" TargetMode="External"/><Relationship Id="rId4" Type="http://schemas.openxmlformats.org/officeDocument/2006/relationships/webSettings" Target="webSettings.xml"/><Relationship Id="rId9" Type="http://schemas.openxmlformats.org/officeDocument/2006/relationships/hyperlink" Target="https://www.hhs.gov/sites/default/files/prep-act-advisory-opinion-april-14-2020.pdf" TargetMode="External"/><Relationship Id="rId14" Type="http://schemas.openxmlformats.org/officeDocument/2006/relationships/hyperlink" Target="https://www.federalregister.gov/articles/2015/12/09/2015-31087/pandemic-influenza-medical-countermeasures-amendment" TargetMode="External"/><Relationship Id="rId22" Type="http://schemas.openxmlformats.org/officeDocument/2006/relationships/hyperlink" Target="https://www.fda.gov/emergency-preparedness-and-response/counterterrorism-and-emerging-threats/coronavirus-disease-2019-covid-19" TargetMode="External"/><Relationship Id="rId27" Type="http://schemas.openxmlformats.org/officeDocument/2006/relationships/hyperlink" Target="https://www.fda.gov/emergency-preparedness-and-response/mcm-issues/medical-countermeasure-monitoring-and-assessment" TargetMode="External"/><Relationship Id="rId30" Type="http://schemas.openxmlformats.org/officeDocument/2006/relationships/hyperlink" Target="https://www.fda.gov/emergency-preparedness-and-response/mcm-legal-regulatory-and-policy-framework/emergency-use-authorization" TargetMode="External"/><Relationship Id="rId35" Type="http://schemas.openxmlformats.org/officeDocument/2006/relationships/hyperlink" Target="https://www.fda.gov/emergency-preparedness-and-response/mcm-legal-regulatory-and-policy-framework/emergency-dispensing-orders" TargetMode="External"/><Relationship Id="rId43" Type="http://schemas.openxmlformats.org/officeDocument/2006/relationships/hyperlink" Target="https://www.fda.gov/emergency-preparedness-and-response/mcm-legal-regulatory-and-policy-framework/emergency-use-authorization" TargetMode="External"/><Relationship Id="rId48" Type="http://schemas.openxmlformats.org/officeDocument/2006/relationships/header" Target="header1.xml"/><Relationship Id="rId8" Type="http://schemas.openxmlformats.org/officeDocument/2006/relationships/hyperlink" Target="https://www.federalregister.gov/documents/2020/04/15/2020-08040/amendment-to-declaration-under-the-public-readiness-and-emergency-preparedness-act-for-medical" TargetMode="External"/><Relationship Id="rId5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306</TotalTime>
  <Pages>7</Pages>
  <Words>2865</Words>
  <Characters>16334</Characters>
  <Application>Microsoft Office Word</Application>
  <DocSecurity>0</DocSecurity>
  <Lines>136</Lines>
  <Paragraphs>38</Paragraphs>
  <ScaleCrop>false</ScaleCrop>
  <Company/>
  <LinksUpToDate>false</LinksUpToDate>
  <CharactersWithSpaces>19161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Elliott</dc:creator>
  <cp:keywords/>
  <dc:description/>
  <cp:lastModifiedBy>Patricia Elliott</cp:lastModifiedBy>
  <cp:revision>72</cp:revision>
  <dcterms:created xsi:type="dcterms:W3CDTF">2020-04-28T22:03:00Z</dcterms:created>
  <dcterms:modified xsi:type="dcterms:W3CDTF">2020-08-26T13:54:00Z</dcterms:modified>
</cp:coreProperties>
</file>