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DC4B2" w14:textId="079B2ADB" w:rsidR="004501A4" w:rsidRPr="004501A4" w:rsidRDefault="004501A4" w:rsidP="00FB2B3B">
      <w:pPr>
        <w:spacing w:line="360" w:lineRule="auto"/>
        <w:jc w:val="center"/>
        <w:rPr>
          <w:rFonts w:eastAsia="Times New Roman" w:cstheme="minorHAnsi"/>
          <w:b/>
          <w:bCs/>
          <w:color w:val="333333"/>
          <w:spacing w:val="15"/>
          <w:kern w:val="36"/>
        </w:rPr>
      </w:pPr>
      <w:r w:rsidRPr="004501A4">
        <w:rPr>
          <w:rFonts w:eastAsia="Times New Roman" w:cstheme="minorHAnsi"/>
          <w:b/>
          <w:bCs/>
          <w:color w:val="333333"/>
          <w:spacing w:val="15"/>
          <w:kern w:val="36"/>
        </w:rPr>
        <w:t>CSTE Legal Barrier</w:t>
      </w:r>
      <w:r w:rsidR="00ED136A">
        <w:rPr>
          <w:rFonts w:eastAsia="Times New Roman" w:cstheme="minorHAnsi"/>
          <w:b/>
          <w:bCs/>
          <w:color w:val="333333"/>
          <w:spacing w:val="15"/>
          <w:kern w:val="36"/>
        </w:rPr>
        <w:t>s</w:t>
      </w:r>
      <w:r w:rsidRPr="004501A4">
        <w:rPr>
          <w:rFonts w:eastAsia="Times New Roman" w:cstheme="minorHAnsi"/>
          <w:b/>
          <w:bCs/>
          <w:color w:val="333333"/>
          <w:spacing w:val="15"/>
          <w:kern w:val="36"/>
        </w:rPr>
        <w:t xml:space="preserve"> Toolkit Series</w:t>
      </w:r>
    </w:p>
    <w:p w14:paraId="70001FA5" w14:textId="126AE487" w:rsidR="00866DD8" w:rsidRDefault="00FB2B3B" w:rsidP="00FB2B3B">
      <w:pPr>
        <w:spacing w:line="360" w:lineRule="auto"/>
        <w:jc w:val="center"/>
        <w:rPr>
          <w:rFonts w:eastAsia="Times New Roman" w:cstheme="minorHAnsi"/>
          <w:b/>
          <w:bCs/>
          <w:color w:val="333333"/>
          <w:spacing w:val="15"/>
          <w:kern w:val="36"/>
          <w:sz w:val="24"/>
          <w:szCs w:val="24"/>
        </w:rPr>
      </w:pPr>
      <w:r w:rsidRPr="00FB2B3B">
        <w:rPr>
          <w:rFonts w:eastAsia="Times New Roman" w:cstheme="minorHAnsi"/>
          <w:b/>
          <w:bCs/>
          <w:color w:val="333333"/>
          <w:spacing w:val="15"/>
          <w:kern w:val="36"/>
          <w:sz w:val="24"/>
          <w:szCs w:val="24"/>
        </w:rPr>
        <w:t xml:space="preserve">EMERGENCY VOLUNTEER </w:t>
      </w:r>
      <w:r w:rsidR="00866DD8">
        <w:rPr>
          <w:rFonts w:eastAsia="Times New Roman" w:cstheme="minorHAnsi"/>
          <w:b/>
          <w:bCs/>
          <w:color w:val="333333"/>
          <w:spacing w:val="15"/>
          <w:kern w:val="36"/>
          <w:sz w:val="24"/>
          <w:szCs w:val="24"/>
        </w:rPr>
        <w:t>TOOLKIT</w:t>
      </w:r>
    </w:p>
    <w:p w14:paraId="17093834" w14:textId="116BCF65" w:rsidR="00FB2B3B" w:rsidRPr="00FB2B3B" w:rsidRDefault="00FB2B3B" w:rsidP="00FB2B3B">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0735D483" w14:textId="77777777" w:rsidR="00CA0510" w:rsidRDefault="00CA0510" w:rsidP="00CA0510">
      <w:pPr>
        <w:spacing w:line="360" w:lineRule="auto"/>
        <w:ind w:left="576"/>
        <w:rPr>
          <w:b/>
          <w:bCs/>
          <w:i/>
          <w:iCs/>
        </w:rPr>
      </w:pPr>
    </w:p>
    <w:p w14:paraId="46577FF4" w14:textId="3CF4BC1B" w:rsidR="003F3E23" w:rsidRDefault="00233295" w:rsidP="00CA051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BC472A">
        <w:rPr>
          <w:i/>
          <w:iCs/>
        </w:rPr>
        <w:t>July 2020</w:t>
      </w:r>
      <w:r>
        <w:rPr>
          <w:i/>
          <w:iCs/>
        </w:rPr>
        <w:t>.</w:t>
      </w:r>
    </w:p>
    <w:p w14:paraId="75FD4695" w14:textId="77777777" w:rsidR="00A23700" w:rsidRDefault="00A23700" w:rsidP="003F3E23">
      <w:pPr>
        <w:jc w:val="center"/>
        <w:rPr>
          <w:b/>
          <w:bCs/>
          <w:sz w:val="24"/>
          <w:szCs w:val="24"/>
        </w:rPr>
      </w:pPr>
    </w:p>
    <w:p w14:paraId="25D4805E" w14:textId="7D01811A" w:rsidR="003F3E23" w:rsidRDefault="003F3E23" w:rsidP="003F3E23">
      <w:pPr>
        <w:spacing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w:t>
      </w:r>
      <w:r w:rsidR="006E5E5E">
        <w:rPr>
          <w:rFonts w:ascii="Calibri" w:eastAsia="Times New Roman" w:hAnsi="Calibri" w:cs="Calibri"/>
          <w:szCs w:val="20"/>
        </w:rPr>
        <w:t xml:space="preserve">and laws </w:t>
      </w:r>
      <w:r>
        <w:rPr>
          <w:rFonts w:ascii="Calibri" w:eastAsia="Times New Roman" w:hAnsi="Calibri" w:cs="Calibri"/>
          <w:szCs w:val="20"/>
        </w:rPr>
        <w:t>related to the use of volunteers during emergency preparedness and response activities. It covers:</w:t>
      </w:r>
    </w:p>
    <w:p w14:paraId="749E2F5A" w14:textId="391EF0FC" w:rsidR="00E7285F" w:rsidRDefault="00E7285F" w:rsidP="003F3E23">
      <w:pPr>
        <w:pStyle w:val="ListParagraph"/>
        <w:numPr>
          <w:ilvl w:val="0"/>
          <w:numId w:val="2"/>
        </w:numPr>
        <w:spacing w:line="360" w:lineRule="auto"/>
        <w:rPr>
          <w:rFonts w:ascii="Calibri" w:eastAsia="Times New Roman" w:hAnsi="Calibri" w:cs="Calibri"/>
          <w:szCs w:val="20"/>
        </w:rPr>
      </w:pPr>
      <w:r>
        <w:rPr>
          <w:rFonts w:ascii="Calibri" w:eastAsia="Times New Roman" w:hAnsi="Calibri" w:cs="Calibri"/>
          <w:szCs w:val="20"/>
        </w:rPr>
        <w:t>Different</w:t>
      </w:r>
      <w:r w:rsidR="00065C55">
        <w:rPr>
          <w:rFonts w:ascii="Calibri" w:eastAsia="Times New Roman" w:hAnsi="Calibri" w:cs="Calibri"/>
          <w:szCs w:val="20"/>
        </w:rPr>
        <w:t xml:space="preserve"> </w:t>
      </w:r>
      <w:r>
        <w:rPr>
          <w:rFonts w:ascii="Calibri" w:eastAsia="Times New Roman" w:hAnsi="Calibri" w:cs="Calibri"/>
          <w:szCs w:val="20"/>
        </w:rPr>
        <w:t>t</w:t>
      </w:r>
      <w:r w:rsidR="00907529" w:rsidRPr="003866A1">
        <w:rPr>
          <w:rFonts w:ascii="Calibri" w:eastAsia="Times New Roman" w:hAnsi="Calibri" w:cs="Calibri"/>
          <w:szCs w:val="20"/>
        </w:rPr>
        <w:t>ypes of volunteers</w:t>
      </w:r>
    </w:p>
    <w:p w14:paraId="644D6FFC" w14:textId="606022DF" w:rsidR="003F3E23" w:rsidRPr="003866A1" w:rsidRDefault="00065C55" w:rsidP="003F3E23">
      <w:pPr>
        <w:pStyle w:val="ListParagraph"/>
        <w:numPr>
          <w:ilvl w:val="0"/>
          <w:numId w:val="2"/>
        </w:numPr>
        <w:spacing w:line="360" w:lineRule="auto"/>
        <w:rPr>
          <w:rFonts w:ascii="Calibri" w:eastAsia="Times New Roman" w:hAnsi="Calibri" w:cs="Calibri"/>
          <w:szCs w:val="20"/>
        </w:rPr>
      </w:pPr>
      <w:r>
        <w:rPr>
          <w:rFonts w:ascii="Calibri" w:eastAsia="Times New Roman" w:hAnsi="Calibri" w:cs="Calibri"/>
          <w:szCs w:val="20"/>
        </w:rPr>
        <w:t>S</w:t>
      </w:r>
      <w:r w:rsidR="00DB38D8" w:rsidRPr="003866A1">
        <w:rPr>
          <w:rFonts w:ascii="Calibri" w:eastAsia="Times New Roman" w:hAnsi="Calibri" w:cs="Calibri"/>
          <w:szCs w:val="20"/>
        </w:rPr>
        <w:t xml:space="preserve">ystems to register and verify </w:t>
      </w:r>
      <w:r w:rsidR="006B52BB" w:rsidRPr="003866A1">
        <w:rPr>
          <w:rFonts w:ascii="Calibri" w:eastAsia="Times New Roman" w:hAnsi="Calibri" w:cs="Calibri"/>
          <w:szCs w:val="20"/>
        </w:rPr>
        <w:t>volunteers’ qualification</w:t>
      </w:r>
      <w:r w:rsidR="00254B7B">
        <w:rPr>
          <w:rFonts w:ascii="Calibri" w:eastAsia="Times New Roman" w:hAnsi="Calibri" w:cs="Calibri"/>
          <w:szCs w:val="20"/>
        </w:rPr>
        <w:t>s</w:t>
      </w:r>
    </w:p>
    <w:p w14:paraId="09CE0E96" w14:textId="624F0164" w:rsidR="003F3E23" w:rsidRPr="008A06AF" w:rsidRDefault="009F1710"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Potential l</w:t>
      </w:r>
      <w:r w:rsidR="003F3E23" w:rsidRPr="008A06AF">
        <w:rPr>
          <w:rFonts w:ascii="Calibri" w:eastAsia="Times New Roman" w:hAnsi="Calibri" w:cs="Calibri"/>
          <w:szCs w:val="20"/>
        </w:rPr>
        <w:t>iabilit</w:t>
      </w:r>
      <w:r w:rsidRPr="008A06AF">
        <w:rPr>
          <w:rFonts w:ascii="Calibri" w:eastAsia="Times New Roman" w:hAnsi="Calibri" w:cs="Calibri"/>
          <w:szCs w:val="20"/>
        </w:rPr>
        <w:t>ies</w:t>
      </w:r>
      <w:r w:rsidR="003F0959" w:rsidRPr="008A06AF">
        <w:rPr>
          <w:rFonts w:ascii="Calibri" w:eastAsia="Times New Roman" w:hAnsi="Calibri" w:cs="Calibri"/>
          <w:szCs w:val="20"/>
        </w:rPr>
        <w:t xml:space="preserve"> and </w:t>
      </w:r>
      <w:r w:rsidR="003F3E23" w:rsidRPr="008A06AF">
        <w:rPr>
          <w:rFonts w:ascii="Calibri" w:eastAsia="Times New Roman" w:hAnsi="Calibri" w:cs="Calibri"/>
          <w:szCs w:val="20"/>
        </w:rPr>
        <w:t>immunit</w:t>
      </w:r>
      <w:r w:rsidRPr="008A06AF">
        <w:rPr>
          <w:rFonts w:ascii="Calibri" w:eastAsia="Times New Roman" w:hAnsi="Calibri" w:cs="Calibri"/>
          <w:szCs w:val="20"/>
        </w:rPr>
        <w:t xml:space="preserve">ies for </w:t>
      </w:r>
      <w:r w:rsidR="003F0959" w:rsidRPr="008A06AF">
        <w:rPr>
          <w:rFonts w:ascii="Calibri" w:eastAsia="Times New Roman" w:hAnsi="Calibri" w:cs="Calibri"/>
          <w:szCs w:val="20"/>
        </w:rPr>
        <w:t>emergency volunteers</w:t>
      </w:r>
    </w:p>
    <w:p w14:paraId="41124385" w14:textId="7A4FACD2" w:rsidR="003F3E23" w:rsidRPr="008A06AF" w:rsidRDefault="003F0959" w:rsidP="003F3E23">
      <w:pPr>
        <w:pStyle w:val="ListParagraph"/>
        <w:numPr>
          <w:ilvl w:val="0"/>
          <w:numId w:val="2"/>
        </w:numPr>
        <w:spacing w:line="360" w:lineRule="auto"/>
        <w:rPr>
          <w:rFonts w:ascii="Calibri" w:eastAsia="Times New Roman" w:hAnsi="Calibri" w:cs="Calibri"/>
          <w:szCs w:val="20"/>
        </w:rPr>
      </w:pPr>
      <w:r w:rsidRPr="008A06AF">
        <w:rPr>
          <w:rFonts w:ascii="Calibri" w:eastAsia="Times New Roman" w:hAnsi="Calibri" w:cs="Calibri"/>
          <w:szCs w:val="20"/>
        </w:rPr>
        <w:t>Worker</w:t>
      </w:r>
      <w:r w:rsidR="009F1710" w:rsidRPr="008A06AF">
        <w:rPr>
          <w:rFonts w:ascii="Calibri" w:eastAsia="Times New Roman" w:hAnsi="Calibri" w:cs="Calibri"/>
          <w:szCs w:val="20"/>
        </w:rPr>
        <w:t xml:space="preserve">s’ compensation and </w:t>
      </w:r>
      <w:r w:rsidR="008A06AF" w:rsidRPr="008A06AF">
        <w:rPr>
          <w:rFonts w:ascii="Calibri" w:eastAsia="Times New Roman" w:hAnsi="Calibri" w:cs="Calibri"/>
          <w:szCs w:val="20"/>
        </w:rPr>
        <w:t>other benefits for emergency volunteers</w:t>
      </w:r>
    </w:p>
    <w:p w14:paraId="74B5138A" w14:textId="4D57D4FA" w:rsidR="003F3E23" w:rsidRDefault="00F233A7" w:rsidP="003F3E23">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3BEF8FF9" wp14:editId="3D925C87">
                <wp:simplePos x="0" y="0"/>
                <wp:positionH relativeFrom="margin">
                  <wp:align>center</wp:align>
                </wp:positionH>
                <wp:positionV relativeFrom="paragraph">
                  <wp:posOffset>615950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3FD899C5" w14:textId="77777777" w:rsidR="00F233A7" w:rsidRPr="00CA76E9" w:rsidRDefault="00F233A7" w:rsidP="00F233A7">
                            <w:pPr>
                              <w:spacing w:after="120"/>
                              <w:jc w:val="center"/>
                              <w:rPr>
                                <w:i/>
                                <w:iCs/>
                              </w:rPr>
                            </w:pPr>
                            <w:r w:rsidRPr="00CA76E9">
                              <w:rPr>
                                <w:i/>
                                <w:iCs/>
                              </w:rPr>
                              <w:t xml:space="preserve">[Call out </w:t>
                            </w:r>
                            <w:r>
                              <w:rPr>
                                <w:i/>
                                <w:iCs/>
                              </w:rPr>
                              <w:t xml:space="preserve">box </w:t>
                            </w:r>
                            <w:r w:rsidRPr="00CA76E9">
                              <w:rPr>
                                <w:i/>
                                <w:iCs/>
                              </w:rPr>
                              <w:t>for first page of document]</w:t>
                            </w:r>
                          </w:p>
                          <w:p w14:paraId="738FE21F" w14:textId="77777777" w:rsidR="00F233A7" w:rsidRDefault="00F233A7" w:rsidP="00F233A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F8FF9" id="_x0000_t202" coordsize="21600,21600" o:spt="202" path="m,l,21600r21600,l21600,xe">
                <v:stroke joinstyle="miter"/>
                <v:path gradientshapeok="t" o:connecttype="rect"/>
              </v:shapetype>
              <v:shape id="Text Box 2" o:spid="_x0000_s1026" type="#_x0000_t202" style="position:absolute;margin-left:0;margin-top:48.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">
                <v:textbox>
                  <w:txbxContent>
                    <w:p w14:paraId="3FD899C5" w14:textId="77777777" w:rsidR="00F233A7" w:rsidRPr="00CA76E9" w:rsidRDefault="00F233A7" w:rsidP="00F233A7">
                      <w:pPr>
                        <w:spacing w:after="120"/>
                        <w:jc w:val="center"/>
                        <w:rPr>
                          <w:i/>
                          <w:iCs/>
                        </w:rPr>
                      </w:pPr>
                      <w:r w:rsidRPr="00CA76E9">
                        <w:rPr>
                          <w:i/>
                          <w:iCs/>
                        </w:rPr>
                        <w:t xml:space="preserve">[Call out </w:t>
                      </w:r>
                      <w:r>
                        <w:rPr>
                          <w:i/>
                          <w:iCs/>
                        </w:rPr>
                        <w:t xml:space="preserve">box </w:t>
                      </w:r>
                      <w:r w:rsidRPr="00CA76E9">
                        <w:rPr>
                          <w:i/>
                          <w:iCs/>
                        </w:rPr>
                        <w:t>for first page of document]</w:t>
                      </w:r>
                    </w:p>
                    <w:p w14:paraId="738FE21F" w14:textId="77777777" w:rsidR="00F233A7" w:rsidRDefault="00F233A7" w:rsidP="00F233A7">
                      <w:r>
                        <w:t>Please see the Practice Guide accompanying this toolkit for access to practice notices, legal analysis tools, examples, and templates.</w:t>
                      </w:r>
                    </w:p>
                  </w:txbxContent>
                </v:textbox>
                <w10:wrap type="topAndBottom" anchorx="margin"/>
              </v:shape>
            </w:pict>
          </mc:Fallback>
        </mc:AlternateContent>
      </w:r>
      <w:r w:rsidR="003F3E23" w:rsidRPr="00BC079F">
        <w:rPr>
          <w:rFonts w:eastAsia="Times New Roman" w:cstheme="minorHAnsi"/>
          <w:szCs w:val="20"/>
        </w:rPr>
        <w:t xml:space="preserve">More information about these and other related concepts are contained in Emergency </w:t>
      </w:r>
      <w:r w:rsidR="003F3E23">
        <w:rPr>
          <w:rFonts w:eastAsia="Times New Roman" w:cstheme="minorHAnsi"/>
          <w:szCs w:val="20"/>
        </w:rPr>
        <w:t xml:space="preserve">Volunteer </w:t>
      </w:r>
      <w:r w:rsidR="003F3E23" w:rsidRPr="00BC079F">
        <w:rPr>
          <w:rFonts w:eastAsia="Times New Roman" w:cstheme="minorHAnsi"/>
          <w:szCs w:val="20"/>
        </w:rPr>
        <w:t>Toolkit.</w:t>
      </w:r>
    </w:p>
    <w:p w14:paraId="51235466" w14:textId="77777777" w:rsidR="00CA0510" w:rsidRDefault="00CA0510" w:rsidP="00C3586C">
      <w:pPr>
        <w:pStyle w:val="norm15"/>
      </w:pPr>
    </w:p>
    <w:p w14:paraId="7C32AC62" w14:textId="2C4D3F6B" w:rsidR="00C3586C" w:rsidRPr="003866A1" w:rsidRDefault="00FB2B3B" w:rsidP="00C3586C">
      <w:pPr>
        <w:pStyle w:val="norm15"/>
        <w:rPr>
          <w:sz w:val="24"/>
          <w:szCs w:val="24"/>
        </w:rPr>
      </w:pPr>
      <w:r w:rsidRPr="003866A1">
        <w:rPr>
          <w:rFonts w:eastAsia="Times New Roman" w:cstheme="minorHAnsi"/>
          <w:b/>
          <w:bCs/>
          <w:color w:val="000000" w:themeColor="text1"/>
          <w:sz w:val="24"/>
          <w:bdr w:val="none" w:sz="0" w:space="0" w:color="auto" w:frame="1"/>
        </w:rPr>
        <w:t>Differentiating Volunteers</w:t>
      </w:r>
    </w:p>
    <w:p w14:paraId="59BD5EB7" w14:textId="08672423" w:rsidR="00C3586C" w:rsidRDefault="00FB2B3B" w:rsidP="00C3586C">
      <w:pPr>
        <w:pStyle w:val="norm15"/>
      </w:pPr>
      <w:r w:rsidRPr="00B33A65">
        <w:t>Volunteers are an integral part of the emergency and disaster response system. Emergency response volunteers may be health professionals (e.g., physicians, nurses, etc.) or non-health professionals. Health professional volunteers are often referred to as volunteer health professionals (VHPs). The distinction between VHPs and non-health professional volunteers is important because federal and state law may apply to one but not the other. Generally, emergency response volunteers are recruited, trained, and mobilized through a registration and verification system; others may volunteer during an emergency without prior registration and verification.</w:t>
      </w:r>
    </w:p>
    <w:p w14:paraId="5BBA1A5C" w14:textId="77777777" w:rsidR="00C3586C" w:rsidRDefault="00C3586C" w:rsidP="00C3586C">
      <w:pPr>
        <w:pStyle w:val="norm15"/>
      </w:pPr>
    </w:p>
    <w:p w14:paraId="4DF88ACF" w14:textId="50E77D2D" w:rsidR="00FB2B3B" w:rsidRPr="003866A1" w:rsidRDefault="00FB2B3B" w:rsidP="00F233A7">
      <w:pPr>
        <w:pStyle w:val="norm15"/>
        <w:keepNext/>
        <w:keepLines/>
        <w:rPr>
          <w:rFonts w:eastAsia="Times New Roman" w:cstheme="minorHAnsi"/>
          <w:color w:val="000000" w:themeColor="text1"/>
          <w:sz w:val="24"/>
        </w:rPr>
      </w:pPr>
      <w:r w:rsidRPr="003866A1">
        <w:rPr>
          <w:rFonts w:eastAsia="Times New Roman" w:cstheme="minorHAnsi"/>
          <w:b/>
          <w:bCs/>
          <w:color w:val="000000" w:themeColor="text1"/>
          <w:sz w:val="24"/>
          <w:bdr w:val="none" w:sz="0" w:space="0" w:color="auto" w:frame="1"/>
        </w:rPr>
        <w:lastRenderedPageBreak/>
        <w:t>Volunteer Registration and Verification of Credentials, Licenses, and Privileges</w:t>
      </w:r>
    </w:p>
    <w:p w14:paraId="52F212A5" w14:textId="148412AE" w:rsidR="00FB2B3B" w:rsidRDefault="00FB2B3B" w:rsidP="00C3586C">
      <w:pPr>
        <w:pStyle w:val="norm15"/>
      </w:pPr>
      <w:r w:rsidRPr="00B33A65">
        <w:t xml:space="preserve">The systems for recruiting, training, and mobilizing volunteers vary among </w:t>
      </w:r>
      <w:r w:rsidR="00700D4D">
        <w:t xml:space="preserve">jurisdictions </w:t>
      </w:r>
      <w:r w:rsidRPr="00B33A65">
        <w:t xml:space="preserve">and organizations. Registration databases can be used to track volunteer information, verify volunteer credentials, and ensure the competency of volunteers. These systems may also notify volunteers of a disaster or emergency and help with volunteer mobilization. </w:t>
      </w:r>
      <w:r w:rsidR="005571CD">
        <w:t>For example, t</w:t>
      </w:r>
      <w:r w:rsidRPr="00B33A65">
        <w:t xml:space="preserve">he Emergency System for Advance Registration of Volunteer Health Professionals (ESAR-VHP) </w:t>
      </w:r>
      <w:r w:rsidR="00E25FB2">
        <w:t xml:space="preserve">is a </w:t>
      </w:r>
      <w:r w:rsidR="005571CD">
        <w:t xml:space="preserve">program </w:t>
      </w:r>
      <w:r w:rsidR="00CB784C" w:rsidRPr="00CB784C">
        <w:t>administered by the Health and Human Services Office of the Assistant Secretary of Preparedness and Response (ASPR).</w:t>
      </w:r>
      <w:r w:rsidR="00CB784C">
        <w:t xml:space="preserve">  </w:t>
      </w:r>
      <w:r w:rsidRPr="00B33A65">
        <w:t>provides a national network of state registration and verification systems.</w:t>
      </w:r>
      <w:r w:rsidR="006E50C6">
        <w:rPr>
          <w:rStyle w:val="FootnoteReference"/>
        </w:rPr>
        <w:footnoteReference w:id="1"/>
      </w:r>
    </w:p>
    <w:p w14:paraId="62D049C0" w14:textId="77777777" w:rsidR="008C73C4" w:rsidRDefault="008C73C4" w:rsidP="00C3586C">
      <w:pPr>
        <w:spacing w:line="360" w:lineRule="auto"/>
        <w:rPr>
          <w:rFonts w:eastAsia="Times New Roman" w:cstheme="minorHAnsi"/>
          <w:color w:val="000000" w:themeColor="text1"/>
          <w:szCs w:val="20"/>
        </w:rPr>
      </w:pPr>
    </w:p>
    <w:p w14:paraId="12CDB7E1" w14:textId="728F94D6" w:rsidR="00C3586C" w:rsidRDefault="00FB2B3B" w:rsidP="00C3586C">
      <w:pPr>
        <w:spacing w:line="360" w:lineRule="auto"/>
      </w:pPr>
      <w:r w:rsidRPr="00B33A65">
        <w:rPr>
          <w:rFonts w:eastAsia="Times New Roman" w:cstheme="minorHAnsi"/>
          <w:color w:val="000000" w:themeColor="text1"/>
          <w:szCs w:val="20"/>
        </w:rPr>
        <w:t xml:space="preserve">Volunteer verification systems ensure that VHPs are licensed health professionals, </w:t>
      </w:r>
      <w:r>
        <w:t>thereby helping to ensure</w:t>
      </w:r>
      <w:r w:rsidRPr="00B33A65">
        <w:rPr>
          <w:rFonts w:eastAsia="Times New Roman" w:cstheme="minorHAnsi"/>
          <w:color w:val="000000" w:themeColor="text1"/>
          <w:szCs w:val="20"/>
        </w:rPr>
        <w:t xml:space="preserve"> that the VHPs are qualified and competent to provide health services during an emergency. Licensing requirements for healthcare professionals vary from state to state and by healthcare facility. Licenses typically only apply within the state where they are granted. However, reciprocity agreements and laws allowing waiver of state licenses enable VHPs to practice in other states during emergencies.</w:t>
      </w:r>
    </w:p>
    <w:p w14:paraId="3418089A" w14:textId="7C0BFD68" w:rsidR="00DD67B8" w:rsidRDefault="00DD67B8" w:rsidP="00DD67B8">
      <w:pPr>
        <w:spacing w:line="360" w:lineRule="auto"/>
        <w:rPr>
          <w:b/>
          <w:bCs/>
        </w:rPr>
      </w:pPr>
    </w:p>
    <w:p w14:paraId="73057491" w14:textId="35AE15D0" w:rsidR="00151049" w:rsidRPr="00F233A7" w:rsidRDefault="00134423" w:rsidP="00DD67B8">
      <w:pPr>
        <w:spacing w:line="360" w:lineRule="auto"/>
        <w:rPr>
          <w:b/>
          <w:bCs/>
          <w:sz w:val="24"/>
          <w:szCs w:val="24"/>
        </w:rPr>
      </w:pPr>
      <w:r w:rsidRPr="00F233A7">
        <w:rPr>
          <w:b/>
          <w:bCs/>
          <w:sz w:val="24"/>
          <w:szCs w:val="24"/>
        </w:rPr>
        <w:t xml:space="preserve">Selected </w:t>
      </w:r>
      <w:r w:rsidR="00CE0306" w:rsidRPr="00F233A7">
        <w:rPr>
          <w:b/>
          <w:bCs/>
          <w:sz w:val="24"/>
          <w:szCs w:val="24"/>
        </w:rPr>
        <w:t>Related Legal Authorities</w:t>
      </w:r>
    </w:p>
    <w:p w14:paraId="37293EE7" w14:textId="4D18820D" w:rsidR="00F74EE9" w:rsidRDefault="00DD67B8" w:rsidP="00122971">
      <w:pPr>
        <w:pStyle w:val="ListParagraph"/>
        <w:numPr>
          <w:ilvl w:val="0"/>
          <w:numId w:val="3"/>
        </w:numPr>
        <w:spacing w:line="360" w:lineRule="auto"/>
      </w:pPr>
      <w:r w:rsidRPr="00F74EE9">
        <w:rPr>
          <w:b/>
          <w:bCs/>
        </w:rPr>
        <w:t>Uniform Emergency Volunteer Health Practitioners Act (UEVHPA)</w:t>
      </w:r>
      <w:r w:rsidR="00634493">
        <w:rPr>
          <w:b/>
          <w:bCs/>
        </w:rPr>
        <w:t>—</w:t>
      </w:r>
      <w:r w:rsidRPr="00FB2B3B">
        <w:t>A uniform law that states may adopt in whole or part.</w:t>
      </w:r>
      <w:r>
        <w:rPr>
          <w:rStyle w:val="FootnoteReference"/>
        </w:rPr>
        <w:footnoteReference w:id="2"/>
      </w:r>
      <w:r w:rsidRPr="00FB2B3B">
        <w:t xml:space="preserve"> UVEHPA allows volunteer health professionals (VHPs) to register through governmentally established registration systems (e.g., ESAR-VHP or Medical Reserve Corps), or with other registration systems. It protects VHPs from civil liability</w:t>
      </w:r>
      <w:r w:rsidR="007508DC">
        <w:t xml:space="preserve">, such as medical malpractice, </w:t>
      </w:r>
      <w:r w:rsidRPr="00FB2B3B">
        <w:t xml:space="preserve">and allows for liability protection for organizations and entities. UEVHPA does not immunize VHPs for acts that are willful, wanton, or grossly negligent in nature, or that occur while operating motor vehicles. </w:t>
      </w:r>
      <w:r w:rsidRPr="00882337">
        <w:t xml:space="preserve">Some states have adopted provisions that </w:t>
      </w:r>
      <w:r w:rsidRPr="00FB2B3B">
        <w:t>a VHP may elect to be deemed a host state's employee for the purpose of receiving workers' compensation benefits when the VHP is not otherwise eligible for workers' compensation benefits. UVEHPA liability protections become effective upon the state's emergency declaration.</w:t>
      </w:r>
    </w:p>
    <w:p w14:paraId="0717FCBE" w14:textId="77777777" w:rsidR="00F74EE9" w:rsidRPr="00F74EE9" w:rsidRDefault="00F74EE9" w:rsidP="00F74EE9">
      <w:pPr>
        <w:pStyle w:val="ListParagraph"/>
        <w:spacing w:line="360" w:lineRule="auto"/>
        <w:ind w:left="360"/>
      </w:pPr>
    </w:p>
    <w:p w14:paraId="12336515" w14:textId="240C05DF" w:rsidR="00134423" w:rsidRPr="00134423" w:rsidRDefault="00122971" w:rsidP="007D4494">
      <w:pPr>
        <w:pStyle w:val="ListParagraph"/>
        <w:numPr>
          <w:ilvl w:val="0"/>
          <w:numId w:val="3"/>
        </w:numPr>
        <w:spacing w:line="360" w:lineRule="auto"/>
        <w:rPr>
          <w:b/>
          <w:bCs/>
        </w:rPr>
      </w:pPr>
      <w:r w:rsidRPr="00F74EE9">
        <w:rPr>
          <w:b/>
          <w:bCs/>
        </w:rPr>
        <w:lastRenderedPageBreak/>
        <w:t>State Emergency Management Acts</w:t>
      </w:r>
      <w:r w:rsidR="00634493">
        <w:rPr>
          <w:b/>
          <w:bCs/>
        </w:rPr>
        <w:t>—</w:t>
      </w:r>
      <w:r w:rsidRPr="00FB2B3B">
        <w:t xml:space="preserve">Provide for planning, mitigation, response, and recovery from natural and human-made disasters. Laws vary among states and may include protection from liability, relaxed licensing standards, and expanded scope of practice for volunteers upon a state or local declaration of disaster. These statutes can </w:t>
      </w:r>
      <w:r w:rsidR="00AE23F6">
        <w:t>provide</w:t>
      </w:r>
      <w:r w:rsidRPr="00FB2B3B">
        <w:t xml:space="preserve"> volunteers</w:t>
      </w:r>
      <w:r w:rsidR="00CB0CE6">
        <w:t xml:space="preserve"> with </w:t>
      </w:r>
      <w:r w:rsidR="00B321BB">
        <w:t xml:space="preserve">protections like </w:t>
      </w:r>
      <w:r w:rsidR="00EC72DC">
        <w:t xml:space="preserve">those available </w:t>
      </w:r>
      <w:r w:rsidR="0063513F">
        <w:t>to</w:t>
      </w:r>
      <w:r w:rsidR="00EC72DC">
        <w:t xml:space="preserve"> </w:t>
      </w:r>
      <w:r w:rsidR="00B321BB">
        <w:t>government employees</w:t>
      </w:r>
      <w:r w:rsidRPr="00FB2B3B">
        <w:t xml:space="preserve"> </w:t>
      </w:r>
      <w:r w:rsidR="00287360">
        <w:t>if the</w:t>
      </w:r>
      <w:r w:rsidR="00B321BB">
        <w:t xml:space="preserve"> volunteers a</w:t>
      </w:r>
      <w:r w:rsidR="00287360">
        <w:t xml:space="preserve">re </w:t>
      </w:r>
      <w:r w:rsidRPr="00FB2B3B">
        <w:t xml:space="preserve">performing work that is eligible for coverage under governmental immunity and state tort claims acts. </w:t>
      </w:r>
      <w:r w:rsidR="00473174">
        <w:t xml:space="preserve">States may have </w:t>
      </w:r>
      <w:r w:rsidR="00BC2074">
        <w:t>the authority to declare more than one type of emergency (e.g., public health emergencies, natural disasters, state emergencies).</w:t>
      </w:r>
      <w:r w:rsidR="0010289A">
        <w:rPr>
          <w:rStyle w:val="FootnoteReference"/>
        </w:rPr>
        <w:footnoteReference w:id="3"/>
      </w:r>
      <w:r w:rsidR="005C158E">
        <w:t xml:space="preserve"> The </w:t>
      </w:r>
      <w:r w:rsidR="00AA6601">
        <w:t>extent</w:t>
      </w:r>
      <w:r w:rsidR="005C158E">
        <w:t xml:space="preserve"> of available </w:t>
      </w:r>
      <w:r w:rsidR="003F1242">
        <w:t>liability protections</w:t>
      </w:r>
      <w:r w:rsidR="008A0BD9">
        <w:t xml:space="preserve"> and emergency modifications </w:t>
      </w:r>
      <w:r w:rsidR="0013732F">
        <w:t>to</w:t>
      </w:r>
      <w:r w:rsidR="008A0BD9">
        <w:t xml:space="preserve"> lice</w:t>
      </w:r>
      <w:r w:rsidR="00AA6601">
        <w:t xml:space="preserve">nsing and scope of practice </w:t>
      </w:r>
      <w:r w:rsidR="00096831">
        <w:t xml:space="preserve">may be </w:t>
      </w:r>
      <w:r w:rsidR="00C7141C">
        <w:t>different depending on what type of emergency is declared.</w:t>
      </w:r>
      <w:r w:rsidR="006D5F0F">
        <w:rPr>
          <w:rStyle w:val="FootnoteReference"/>
        </w:rPr>
        <w:footnoteReference w:id="4"/>
      </w:r>
    </w:p>
    <w:p w14:paraId="58B9A168" w14:textId="77777777" w:rsidR="00134423" w:rsidRPr="00134423" w:rsidRDefault="00134423" w:rsidP="00134423">
      <w:pPr>
        <w:pStyle w:val="ListParagraph"/>
        <w:rPr>
          <w:b/>
          <w:bCs/>
        </w:rPr>
      </w:pPr>
    </w:p>
    <w:p w14:paraId="6375C054" w14:textId="088B04A0" w:rsidR="00FD5E94" w:rsidRPr="00FD5E94" w:rsidRDefault="00134423" w:rsidP="007D4494">
      <w:pPr>
        <w:pStyle w:val="ListParagraph"/>
        <w:numPr>
          <w:ilvl w:val="0"/>
          <w:numId w:val="3"/>
        </w:numPr>
        <w:spacing w:line="360" w:lineRule="auto"/>
        <w:rPr>
          <w:b/>
          <w:bCs/>
        </w:rPr>
      </w:pPr>
      <w:r>
        <w:rPr>
          <w:b/>
          <w:bCs/>
        </w:rPr>
        <w:t>E</w:t>
      </w:r>
      <w:r w:rsidR="007D4494" w:rsidRPr="00134423">
        <w:rPr>
          <w:b/>
          <w:bCs/>
        </w:rPr>
        <w:t>mergency Management Assistance Compact (EMAC)</w:t>
      </w:r>
      <w:r w:rsidR="004F0647">
        <w:rPr>
          <w:b/>
          <w:bCs/>
        </w:rPr>
        <w:t>—</w:t>
      </w:r>
      <w:r w:rsidR="007D4494" w:rsidRPr="00FB2B3B">
        <w:t>A congressionally authorized interstate mutual aid compact that provides a mechanism through which states can provide assistance to other states during emergencies</w:t>
      </w:r>
      <w:r w:rsidR="00757613" w:rsidRPr="00757613">
        <w:t>, including deployment state personnel</w:t>
      </w:r>
      <w:r w:rsidR="007D4494" w:rsidRPr="00FB2B3B">
        <w:t>.</w:t>
      </w:r>
      <w:r w:rsidR="007D4494">
        <w:rPr>
          <w:rStyle w:val="FootnoteReference"/>
        </w:rPr>
        <w:footnoteReference w:id="5"/>
      </w:r>
      <w:r w:rsidR="007D4494" w:rsidRPr="00FB2B3B">
        <w:t xml:space="preserve"> All states have joined EMAC by adopting model language into their state's statutes. EMAC addresses reimbursement, liability, compensation, and licensure issues.</w:t>
      </w:r>
      <w:r w:rsidR="00863F5D">
        <w:t xml:space="preserve"> Volunteers can be deployed pursuant to EMAC only if they have been deemed state personnel.</w:t>
      </w:r>
    </w:p>
    <w:p w14:paraId="37604A35" w14:textId="77777777" w:rsidR="00FD5E94" w:rsidRPr="00FD5E94" w:rsidRDefault="00FD5E94" w:rsidP="00FD5E94">
      <w:pPr>
        <w:pStyle w:val="ListParagraph"/>
        <w:rPr>
          <w:b/>
          <w:bCs/>
        </w:rPr>
      </w:pPr>
    </w:p>
    <w:p w14:paraId="1ECF096F" w14:textId="1125636D" w:rsidR="007D4494" w:rsidRPr="00FD5E94" w:rsidRDefault="00FD5E94" w:rsidP="007D4494">
      <w:pPr>
        <w:pStyle w:val="ListParagraph"/>
        <w:numPr>
          <w:ilvl w:val="0"/>
          <w:numId w:val="3"/>
        </w:numPr>
        <w:spacing w:line="360" w:lineRule="auto"/>
        <w:rPr>
          <w:b/>
          <w:bCs/>
        </w:rPr>
      </w:pPr>
      <w:r>
        <w:rPr>
          <w:b/>
          <w:bCs/>
        </w:rPr>
        <w:t>I</w:t>
      </w:r>
      <w:r w:rsidR="007D4494" w:rsidRPr="00FD5E94">
        <w:rPr>
          <w:b/>
          <w:bCs/>
        </w:rPr>
        <w:t>nterstate Civil Defense and Disaster Compact (ICDDC)</w:t>
      </w:r>
      <w:r w:rsidR="004F0647">
        <w:rPr>
          <w:b/>
          <w:bCs/>
        </w:rPr>
        <w:t>—</w:t>
      </w:r>
      <w:r w:rsidR="007D4494" w:rsidRPr="00FB2B3B">
        <w:t>A state mutual aid agreement providing licensure reciprocity for health professionals and others. Member states recognize licenses, certificates, or other permits issued by any other state during emergencies and disasters. Some states are parties to both EMAC and ICDDC.</w:t>
      </w:r>
      <w:r w:rsidR="007D4494">
        <w:rPr>
          <w:rStyle w:val="FootnoteReference"/>
        </w:rPr>
        <w:footnoteReference w:id="6"/>
      </w:r>
    </w:p>
    <w:p w14:paraId="07A9A9DD" w14:textId="77777777" w:rsidR="007D4494" w:rsidRPr="00FB2B3B" w:rsidRDefault="007D4494" w:rsidP="007D4494">
      <w:pPr>
        <w:spacing w:line="360" w:lineRule="auto"/>
        <w:rPr>
          <w:b/>
          <w:bCs/>
        </w:rPr>
      </w:pPr>
    </w:p>
    <w:p w14:paraId="644BD05D" w14:textId="2C5EE94F" w:rsidR="0002663E" w:rsidRDefault="0002663E" w:rsidP="0002663E">
      <w:pPr>
        <w:pStyle w:val="ListParagraph"/>
        <w:numPr>
          <w:ilvl w:val="0"/>
          <w:numId w:val="4"/>
        </w:numPr>
        <w:spacing w:line="360" w:lineRule="auto"/>
      </w:pPr>
      <w:r w:rsidRPr="00AD2809">
        <w:rPr>
          <w:b/>
          <w:bCs/>
        </w:rPr>
        <w:t>Enhanced Nursing Licensure Compact (</w:t>
      </w:r>
      <w:proofErr w:type="spellStart"/>
      <w:r w:rsidRPr="00AD2809">
        <w:rPr>
          <w:b/>
          <w:bCs/>
        </w:rPr>
        <w:t>eNLC</w:t>
      </w:r>
      <w:proofErr w:type="spellEnd"/>
      <w:r w:rsidRPr="00AD2809">
        <w:rPr>
          <w:b/>
          <w:bCs/>
        </w:rPr>
        <w:t xml:space="preserve">) – </w:t>
      </w:r>
      <w:r w:rsidRPr="0017087D">
        <w:t>Allows</w:t>
      </w:r>
      <w:r>
        <w:rPr>
          <w:b/>
          <w:bCs/>
        </w:rPr>
        <w:t xml:space="preserve"> </w:t>
      </w:r>
      <w:r>
        <w:t>a nurse licensed in one member state to practice in any other state that is part of the compact.</w:t>
      </w:r>
      <w:r>
        <w:rPr>
          <w:rStyle w:val="FootnoteReference"/>
        </w:rPr>
        <w:footnoteReference w:id="7"/>
      </w:r>
      <w:r>
        <w:t xml:space="preserve"> The </w:t>
      </w:r>
      <w:proofErr w:type="spellStart"/>
      <w:r>
        <w:t>eNLC</w:t>
      </w:r>
      <w:proofErr w:type="spellEnd"/>
      <w:r>
        <w:t xml:space="preserve"> was introduced in 2017 to address </w:t>
      </w:r>
      <w:r>
        <w:lastRenderedPageBreak/>
        <w:t>standards for licensure that were missing from the prior Nursing Licensure Compact (NLC) and which may have prevented some states from joining.</w:t>
      </w:r>
      <w:r>
        <w:rPr>
          <w:rStyle w:val="FootnoteReference"/>
        </w:rPr>
        <w:footnoteReference w:id="8"/>
      </w:r>
      <w:r>
        <w:t xml:space="preserve"> As of J</w:t>
      </w:r>
      <w:r w:rsidR="00FA46AE">
        <w:t xml:space="preserve">uly </w:t>
      </w:r>
      <w:r>
        <w:t>2020, 3</w:t>
      </w:r>
      <w:r w:rsidR="00FA46AE">
        <w:t>3</w:t>
      </w:r>
      <w:r>
        <w:t xml:space="preserve"> states have adopted the </w:t>
      </w:r>
      <w:proofErr w:type="spellStart"/>
      <w:r>
        <w:t>eNLC</w:t>
      </w:r>
      <w:proofErr w:type="spellEnd"/>
      <w:r>
        <w:t>.</w:t>
      </w:r>
      <w:r>
        <w:rPr>
          <w:rStyle w:val="FootnoteReference"/>
        </w:rPr>
        <w:footnoteReference w:id="9"/>
      </w:r>
      <w:r>
        <w:t xml:space="preserve"> </w:t>
      </w:r>
    </w:p>
    <w:p w14:paraId="0AAD4694" w14:textId="77777777" w:rsidR="00C3586C" w:rsidRDefault="00C3586C" w:rsidP="00C3586C">
      <w:pPr>
        <w:spacing w:line="360" w:lineRule="auto"/>
      </w:pPr>
    </w:p>
    <w:p w14:paraId="6237E193" w14:textId="7913E10A" w:rsidR="00FB2B3B" w:rsidRPr="003866A1" w:rsidRDefault="00FB2B3B" w:rsidP="00A719E4">
      <w:pPr>
        <w:keepNext/>
        <w:keepLines/>
        <w:spacing w:line="360" w:lineRule="auto"/>
        <w:rPr>
          <w:sz w:val="24"/>
          <w:szCs w:val="24"/>
        </w:rPr>
      </w:pPr>
      <w:r w:rsidRPr="003866A1">
        <w:rPr>
          <w:rFonts w:eastAsia="Times New Roman" w:cstheme="minorHAnsi"/>
          <w:b/>
          <w:bCs/>
          <w:color w:val="000000" w:themeColor="text1"/>
          <w:sz w:val="24"/>
          <w:bdr w:val="none" w:sz="0" w:space="0" w:color="auto" w:frame="1"/>
        </w:rPr>
        <w:t>Volunteer Liability</w:t>
      </w:r>
    </w:p>
    <w:p w14:paraId="14D5AE47" w14:textId="19189B10" w:rsidR="00FB2B3B" w:rsidRDefault="00FB2B3B" w:rsidP="00C3586C">
      <w:pPr>
        <w:pStyle w:val="norm15"/>
      </w:pPr>
      <w:r w:rsidRPr="00B33A65">
        <w:t>Volunteers and the entities that recruit, deploy, and manage them are subject to liability. A volunteer is legally responsible for his or her own acts or omissions and can face civil tort liability or criminal penalty. Agencies, organizations, and entities that recruit, deploy, and manage volunteers may also be liable and can be vicariously liable for a volunteer's acts or omissions. A tort occurs when a person intentionally or unintentionally causes harm to another person or property. Intentional torts occur when a person or property is purposefully harmed. Unintentional torts occur when a person or property is inadvertently harmed.</w:t>
      </w:r>
    </w:p>
    <w:p w14:paraId="648BA685" w14:textId="77777777" w:rsidR="00FB2B3B" w:rsidRPr="00B33A65" w:rsidRDefault="00FB2B3B" w:rsidP="00C3586C">
      <w:pPr>
        <w:pStyle w:val="norm15"/>
      </w:pPr>
    </w:p>
    <w:p w14:paraId="79F6DC31" w14:textId="77777777" w:rsidR="00C3586C" w:rsidRDefault="00FB2B3B" w:rsidP="00C3586C">
      <w:pPr>
        <w:pStyle w:val="norm15"/>
      </w:pPr>
      <w:r w:rsidRPr="00B33A65">
        <w:t>Negligence, an unintentional tort, occurs when a volunteer (1) has a duty to another, (2) breaches that duty through an act or omission to act, and (3) directly causes harm or damages (e.g., medical malpractice, failure to plan or prepare, or breach of privacy and confidentiality). Gross negligence involves willful or wanton conduct and arises if the act or omission is so reckless that it demonstrates disregard for whether injury or harm will occur.</w:t>
      </w:r>
    </w:p>
    <w:p w14:paraId="1F383B3F" w14:textId="77777777" w:rsidR="00C3586C" w:rsidRDefault="00C3586C" w:rsidP="00C3586C">
      <w:pPr>
        <w:pStyle w:val="norm15"/>
      </w:pPr>
    </w:p>
    <w:p w14:paraId="56997A47" w14:textId="0E6A4DD2" w:rsidR="00FB2B3B" w:rsidRPr="00D819DA" w:rsidRDefault="00FB2B3B" w:rsidP="00C3586C">
      <w:pPr>
        <w:pStyle w:val="norm15"/>
        <w:rPr>
          <w:sz w:val="24"/>
          <w:szCs w:val="24"/>
        </w:rPr>
      </w:pPr>
      <w:r w:rsidRPr="00D819DA">
        <w:rPr>
          <w:rFonts w:eastAsia="Times New Roman" w:cstheme="minorHAnsi"/>
          <w:b/>
          <w:bCs/>
          <w:color w:val="000000" w:themeColor="text1"/>
          <w:sz w:val="24"/>
          <w:bdr w:val="none" w:sz="0" w:space="0" w:color="auto" w:frame="1"/>
        </w:rPr>
        <w:t>Volunteer Liability Protection and Immunity</w:t>
      </w:r>
    </w:p>
    <w:p w14:paraId="58F4EA61" w14:textId="77777777" w:rsidR="00FB2B3B" w:rsidRDefault="00FB2B3B" w:rsidP="00C3586C">
      <w:pPr>
        <w:pStyle w:val="norm15"/>
      </w:pPr>
      <w:r w:rsidRPr="00B33A65">
        <w:t>Immunity is a legal protection against liability and may be asserted as a defense against tort claims. Granting immunity ensures that there are adequate numbers of volunteers to participate in emergency preparedness and response efforts. A volunteer's protection from liability often depends on the nature of the services provided and the emergency response program through which the volunteer is deployed.</w:t>
      </w:r>
    </w:p>
    <w:p w14:paraId="46D07D5B" w14:textId="77777777" w:rsidR="00FB2B3B" w:rsidRPr="00B33A65" w:rsidRDefault="00FB2B3B" w:rsidP="00C3586C">
      <w:pPr>
        <w:pStyle w:val="norm15"/>
      </w:pPr>
    </w:p>
    <w:p w14:paraId="4765D809" w14:textId="554B3E98" w:rsidR="00FB2B3B" w:rsidRDefault="00DD274F" w:rsidP="00C3586C">
      <w:pPr>
        <w:pStyle w:val="norm15"/>
      </w:pPr>
      <w:r>
        <w:t>T</w:t>
      </w:r>
      <w:r w:rsidR="000E5FAB">
        <w:t>he principle of g</w:t>
      </w:r>
      <w:r w:rsidR="00FB2B3B" w:rsidRPr="00B33A65">
        <w:t xml:space="preserve">overnmental or sovereign immunity holds that a government and its employees and agents cannot be sued for injuries that occur in the course of their official duties. Governmental immunity may be restricted by state and federal tort claims laws that allow governments to be sued </w:t>
      </w:r>
      <w:r w:rsidR="00AB787F" w:rsidRPr="00AB787F">
        <w:lastRenderedPageBreak/>
        <w:t xml:space="preserve">within certain limitations </w:t>
      </w:r>
      <w:r w:rsidR="00AE4165" w:rsidRPr="00AE4165">
        <w:t xml:space="preserve">by waiving sovereign immunity </w:t>
      </w:r>
      <w:r w:rsidR="00FB2B3B" w:rsidRPr="00B33A65">
        <w:t xml:space="preserve">in </w:t>
      </w:r>
      <w:r w:rsidR="00AB787F">
        <w:t>some</w:t>
      </w:r>
      <w:r w:rsidR="00FB2B3B" w:rsidRPr="00B33A65">
        <w:t xml:space="preserve"> cases (e.g., with the commission of gross negligence, criminal acts, or a violation of constitutional rights).</w:t>
      </w:r>
    </w:p>
    <w:p w14:paraId="291DB227" w14:textId="77777777" w:rsidR="00FB2B3B" w:rsidRPr="00B33A65" w:rsidRDefault="00FB2B3B" w:rsidP="00C3586C">
      <w:pPr>
        <w:pStyle w:val="norm15"/>
      </w:pPr>
    </w:p>
    <w:p w14:paraId="79425269" w14:textId="35FEBFF8" w:rsidR="00C3586C" w:rsidRDefault="00B85DF3" w:rsidP="00C3586C">
      <w:pPr>
        <w:pStyle w:val="norm15"/>
      </w:pPr>
      <w:r w:rsidRPr="00B33A65">
        <w:t>Several</w:t>
      </w:r>
      <w:r w:rsidR="00FB2B3B" w:rsidRPr="00B33A65">
        <w:t xml:space="preserve"> federal and state laws provide immunity and other liability protections for volunteers, especially VHPs, for their roles in preparing for or responding to an emergency. Some federal laws can confer federal immunity for activities conducted by state or local actors. State emergency authority laws may also provide liability protections for volunteers. Mutual aid agreements can also provide a source of immunity if volunteers are </w:t>
      </w:r>
      <w:r w:rsidR="00D23EE2">
        <w:t>deployed pursuant to the terms of the agreement</w:t>
      </w:r>
      <w:r w:rsidR="00D23EE2" w:rsidRPr="00B33A65">
        <w:t>.</w:t>
      </w:r>
    </w:p>
    <w:p w14:paraId="135C4714" w14:textId="03944519" w:rsidR="00C3586C" w:rsidRDefault="00C3586C" w:rsidP="00C3586C">
      <w:pPr>
        <w:pStyle w:val="norm15"/>
      </w:pPr>
    </w:p>
    <w:p w14:paraId="217CE0F8" w14:textId="77777777" w:rsidR="0002663E" w:rsidRPr="008220DC" w:rsidRDefault="0002663E" w:rsidP="008220DC">
      <w:pPr>
        <w:keepNext/>
        <w:keepLines/>
        <w:spacing w:line="360" w:lineRule="auto"/>
        <w:rPr>
          <w:b/>
          <w:bCs/>
        </w:rPr>
      </w:pPr>
      <w:r w:rsidRPr="008220DC">
        <w:rPr>
          <w:b/>
          <w:bCs/>
        </w:rPr>
        <w:t>Selected Related Legal Authorities</w:t>
      </w:r>
    </w:p>
    <w:p w14:paraId="290415C6" w14:textId="1462324D" w:rsidR="00AC6229" w:rsidRDefault="001C3C1C" w:rsidP="00A431DF">
      <w:pPr>
        <w:pStyle w:val="ListParagraph"/>
        <w:numPr>
          <w:ilvl w:val="0"/>
          <w:numId w:val="4"/>
        </w:numPr>
        <w:spacing w:line="360" w:lineRule="auto"/>
      </w:pPr>
      <w:r w:rsidRPr="0002663E">
        <w:rPr>
          <w:b/>
          <w:bCs/>
        </w:rPr>
        <w:t>Federal Tort Claims Act (FTCA)</w:t>
      </w:r>
      <w:r w:rsidRPr="00FB2B3B">
        <w:t xml:space="preserve">- Allows individuals to seek compensation when they are injured by federal employees and </w:t>
      </w:r>
      <w:r w:rsidR="002F1457">
        <w:t xml:space="preserve">federal </w:t>
      </w:r>
      <w:r w:rsidRPr="00FB2B3B">
        <w:t>volunteers acting within the scope of their employment or volunteer service.</w:t>
      </w:r>
      <w:r>
        <w:rPr>
          <w:rStyle w:val="FootnoteReference"/>
        </w:rPr>
        <w:footnoteReference w:id="10"/>
      </w:r>
      <w:r w:rsidRPr="00FB2B3B">
        <w:t xml:space="preserve"> The act immunizes federal government volunteers from tort liability (except in certain instances); the federal government assumes a volunteer's role as defendant in a lawsuit against the volunteer.</w:t>
      </w:r>
    </w:p>
    <w:p w14:paraId="2A91D671" w14:textId="77777777" w:rsidR="00AC6229" w:rsidRPr="00AC6229" w:rsidRDefault="00AC6229" w:rsidP="00A431DF">
      <w:pPr>
        <w:pStyle w:val="ListParagraph"/>
        <w:spacing w:line="360" w:lineRule="auto"/>
        <w:ind w:left="360"/>
      </w:pPr>
    </w:p>
    <w:p w14:paraId="3EA2490F" w14:textId="267F521C" w:rsidR="00554F2D" w:rsidRDefault="00DD67B8" w:rsidP="00992046">
      <w:pPr>
        <w:pStyle w:val="ListParagraph"/>
        <w:numPr>
          <w:ilvl w:val="0"/>
          <w:numId w:val="4"/>
        </w:numPr>
        <w:spacing w:line="360" w:lineRule="auto"/>
      </w:pPr>
      <w:r w:rsidRPr="00AC6229">
        <w:rPr>
          <w:b/>
          <w:bCs/>
        </w:rPr>
        <w:t xml:space="preserve">Federal Volunteer Protection Act (VPA) </w:t>
      </w:r>
      <w:r w:rsidRPr="00FB2B3B">
        <w:t xml:space="preserve">- VPA provides immunity </w:t>
      </w:r>
      <w:r w:rsidR="00516E36">
        <w:t>t</w:t>
      </w:r>
      <w:r w:rsidRPr="00FB2B3B">
        <w:t>o volunteers of nonprofit organizations or governmental entities.</w:t>
      </w:r>
      <w:r>
        <w:rPr>
          <w:rStyle w:val="FootnoteReference"/>
        </w:rPr>
        <w:footnoteReference w:id="11"/>
      </w:r>
      <w:r w:rsidRPr="00FB2B3B">
        <w:t xml:space="preserve"> It </w:t>
      </w:r>
      <w:r w:rsidR="00516E36">
        <w:t xml:space="preserve">covers </w:t>
      </w:r>
      <w:r w:rsidR="00516E36" w:rsidRPr="00FB2B3B">
        <w:t>ordinary negligence</w:t>
      </w:r>
      <w:r w:rsidR="00F069AD">
        <w:t xml:space="preserve">; it does not cover </w:t>
      </w:r>
      <w:r w:rsidR="002A16B6">
        <w:t>noneconomic damages</w:t>
      </w:r>
      <w:r w:rsidR="00F069AD">
        <w:t xml:space="preserve">, </w:t>
      </w:r>
      <w:r w:rsidRPr="00FB2B3B">
        <w:t>gross negligence, willful misconduct, recklessness, or acts committed by the volunteer while intoxicated or operating a motor vehicle. It does not cover organizational entities of any type or persons volunteering at private businesses</w:t>
      </w:r>
      <w:r w:rsidR="00CC5510">
        <w:t xml:space="preserve"> and would not prevent those entities from seeking redress from the volunteer if the organization is found liable</w:t>
      </w:r>
      <w:r w:rsidR="00CC5510" w:rsidRPr="00FB2B3B">
        <w:t>.</w:t>
      </w:r>
      <w:r w:rsidRPr="00FB2B3B">
        <w:t xml:space="preserve"> VPA does not require a declared emergency for its protections to apply.</w:t>
      </w:r>
    </w:p>
    <w:p w14:paraId="72D99166" w14:textId="77777777" w:rsidR="00554F2D" w:rsidRPr="00554F2D" w:rsidRDefault="00554F2D" w:rsidP="00554F2D">
      <w:pPr>
        <w:pStyle w:val="ListParagraph"/>
        <w:rPr>
          <w:b/>
          <w:bCs/>
        </w:rPr>
      </w:pPr>
    </w:p>
    <w:p w14:paraId="1DF87FC5" w14:textId="77777777" w:rsidR="00ED2EAC" w:rsidRDefault="00992046" w:rsidP="00A864C8">
      <w:pPr>
        <w:pStyle w:val="ListParagraph"/>
        <w:numPr>
          <w:ilvl w:val="0"/>
          <w:numId w:val="4"/>
        </w:numPr>
        <w:spacing w:line="360" w:lineRule="auto"/>
      </w:pPr>
      <w:r w:rsidRPr="00554F2D">
        <w:rPr>
          <w:b/>
          <w:bCs/>
        </w:rPr>
        <w:t xml:space="preserve">Public Readiness and Emergency Preparedness Act (PREP Act) </w:t>
      </w:r>
      <w:r w:rsidRPr="00FB2B3B">
        <w:t>- The act authorizes the HHS secretary to issue a declaration that provides immunity from tort liability for claims of loss caused by countermeasures against diseases or other threats of public health emergencies.</w:t>
      </w:r>
      <w:r>
        <w:rPr>
          <w:rStyle w:val="FootnoteReference"/>
        </w:rPr>
        <w:footnoteReference w:id="12"/>
      </w:r>
      <w:r w:rsidRPr="00FB2B3B">
        <w:t xml:space="preserve"> The act covers persons and entities involved in the manufacture, testing, distribution, administration, and use of covered countermeasures. A PREP Act declaration is different from and independent of other </w:t>
      </w:r>
      <w:r w:rsidRPr="00FB2B3B">
        <w:lastRenderedPageBreak/>
        <w:t>federal emergency declarations. A separate emergency declaration under Public Health Service Act Section 319 or another statute is not required for PREP Act immunities to take effect.</w:t>
      </w:r>
      <w:r w:rsidR="002F2738">
        <w:rPr>
          <w:rStyle w:val="FootnoteReference"/>
        </w:rPr>
        <w:footnoteReference w:id="13"/>
      </w:r>
    </w:p>
    <w:p w14:paraId="614A71EB" w14:textId="77777777" w:rsidR="00ED2EAC" w:rsidRPr="00ED2EAC" w:rsidRDefault="00ED2EAC" w:rsidP="00ED2EAC">
      <w:pPr>
        <w:pStyle w:val="ListParagraph"/>
        <w:rPr>
          <w:b/>
          <w:bCs/>
        </w:rPr>
      </w:pPr>
    </w:p>
    <w:p w14:paraId="626F860D" w14:textId="4DF613B5" w:rsidR="00734223" w:rsidRDefault="00A864C8" w:rsidP="002E6B35">
      <w:pPr>
        <w:pStyle w:val="ListParagraph"/>
        <w:numPr>
          <w:ilvl w:val="0"/>
          <w:numId w:val="4"/>
        </w:numPr>
        <w:spacing w:line="360" w:lineRule="auto"/>
      </w:pPr>
      <w:r w:rsidRPr="00ED2EAC">
        <w:rPr>
          <w:b/>
          <w:bCs/>
        </w:rPr>
        <w:t>State Tort Claims Acts</w:t>
      </w:r>
      <w:r w:rsidR="0035233F">
        <w:rPr>
          <w:b/>
          <w:bCs/>
        </w:rPr>
        <w:t xml:space="preserve"> </w:t>
      </w:r>
      <w:r w:rsidRPr="00FB2B3B">
        <w:t xml:space="preserve">- Laws that either abolish state sovereign immunity generally and provide immunity in only specific </w:t>
      </w:r>
      <w:r w:rsidR="00F6742D" w:rsidRPr="00FB2B3B">
        <w:t>circumstances or</w:t>
      </w:r>
      <w:r w:rsidRPr="00FB2B3B">
        <w:t xml:space="preserve"> preserve sovereign immunity generally but identify certain exceptions in which immunity is waived. They allow an individual to seek compensation when injured by a state employee or volunteer acting within the scope of employment or responsibility.</w:t>
      </w:r>
    </w:p>
    <w:p w14:paraId="6B767B75" w14:textId="77777777" w:rsidR="00734223" w:rsidRPr="00734223" w:rsidRDefault="00734223" w:rsidP="00734223">
      <w:pPr>
        <w:pStyle w:val="ListParagraph"/>
        <w:rPr>
          <w:b/>
          <w:bCs/>
        </w:rPr>
      </w:pPr>
    </w:p>
    <w:p w14:paraId="17CD010B" w14:textId="745EE8A5" w:rsidR="00734223" w:rsidRDefault="002E6B35" w:rsidP="001C3C1C">
      <w:pPr>
        <w:pStyle w:val="ListParagraph"/>
        <w:numPr>
          <w:ilvl w:val="0"/>
          <w:numId w:val="4"/>
        </w:numPr>
        <w:spacing w:line="360" w:lineRule="auto"/>
      </w:pPr>
      <w:r w:rsidRPr="00734223">
        <w:rPr>
          <w:b/>
          <w:bCs/>
        </w:rPr>
        <w:t>State Claims Acts</w:t>
      </w:r>
      <w:r w:rsidR="0035233F">
        <w:rPr>
          <w:b/>
          <w:bCs/>
        </w:rPr>
        <w:t xml:space="preserve"> </w:t>
      </w:r>
      <w:r w:rsidRPr="00FB2B3B">
        <w:t>- Laws that limit state sovereign immunity by establishing procedures for making claims against the state, which are overseen by a special claims court. The claims courts are empowered to decide claims, limit the amount of damages, and find exceptions to liability.</w:t>
      </w:r>
    </w:p>
    <w:p w14:paraId="2EADB5E0" w14:textId="77777777" w:rsidR="00734223" w:rsidRPr="00734223" w:rsidRDefault="00734223" w:rsidP="00734223">
      <w:pPr>
        <w:pStyle w:val="ListParagraph"/>
        <w:rPr>
          <w:b/>
          <w:bCs/>
        </w:rPr>
      </w:pPr>
    </w:p>
    <w:p w14:paraId="257AD61B" w14:textId="780FFB06" w:rsidR="001C3C1C" w:rsidRPr="00FB2B3B" w:rsidRDefault="001C3C1C" w:rsidP="001C3C1C">
      <w:pPr>
        <w:pStyle w:val="ListParagraph"/>
        <w:numPr>
          <w:ilvl w:val="0"/>
          <w:numId w:val="4"/>
        </w:numPr>
        <w:spacing w:line="360" w:lineRule="auto"/>
      </w:pPr>
      <w:r w:rsidRPr="00734223">
        <w:rPr>
          <w:b/>
          <w:bCs/>
        </w:rPr>
        <w:t>Good Samaritan Laws</w:t>
      </w:r>
      <w:r w:rsidR="0035233F">
        <w:rPr>
          <w:b/>
          <w:bCs/>
        </w:rPr>
        <w:t xml:space="preserve"> </w:t>
      </w:r>
      <w:r w:rsidRPr="00FB2B3B">
        <w:t>- State laws that protect volunteers who are near an emergency event and respond to help victims. Generally, Good Samaritan statutes cover the spontaneous rendering of aid, reduce the standard of care that would normally be required of the person supplying aid to account for exigent circumstances, and excuse violations of state licensure requirements. The laws provide limited immunity to protect volunteers from civil liability for ordinary negligence and do not cover egregious conduct. State laws vary with regard to individuals and activities that are covered. Some state laws apply to entities and organizations that assist in emergencies.</w:t>
      </w:r>
    </w:p>
    <w:p w14:paraId="1C2FB9BB" w14:textId="77777777" w:rsidR="001C3C1C" w:rsidRDefault="001C3C1C" w:rsidP="00C3586C">
      <w:pPr>
        <w:pStyle w:val="norm15"/>
      </w:pPr>
    </w:p>
    <w:p w14:paraId="5F88E648" w14:textId="00608F0B" w:rsidR="00FB2B3B" w:rsidRPr="00A77B41" w:rsidRDefault="00FB2B3B" w:rsidP="00C3586C">
      <w:pPr>
        <w:pStyle w:val="norm15"/>
        <w:rPr>
          <w:sz w:val="24"/>
          <w:szCs w:val="24"/>
        </w:rPr>
      </w:pPr>
      <w:r w:rsidRPr="00A77B41">
        <w:rPr>
          <w:rFonts w:eastAsia="Times New Roman" w:cstheme="minorHAnsi"/>
          <w:b/>
          <w:bCs/>
          <w:color w:val="000000" w:themeColor="text1"/>
          <w:sz w:val="24"/>
          <w:bdr w:val="none" w:sz="0" w:space="0" w:color="auto" w:frame="1"/>
        </w:rPr>
        <w:t>Workers Compensation and Disability Benefits</w:t>
      </w:r>
    </w:p>
    <w:p w14:paraId="13292424" w14:textId="77777777" w:rsidR="008870E5" w:rsidRDefault="00FB2B3B" w:rsidP="00C3586C">
      <w:pPr>
        <w:pStyle w:val="norm15"/>
      </w:pPr>
      <w:r w:rsidRPr="00B33A65">
        <w:t xml:space="preserve">Those who respond to emergencies may be injured or killed during their deployment. Workers' compensation, disability, and death benefits may be available to those who respond to emergencies. Workers' compensation programs exist at both the federal and state level. Each program is unique, and the coverage requirements and the types and amounts of benefits vary by jurisdiction. Workers' compensation is based on an employee-employer relationship. Therefore, an emergency volunteer would need to somehow be deemed an "employee" under the law for workers' compensation to apply. Other considerations that can affect the determination of whether a person is eligible for workers' compensation include: determining which state law applies in an interstate deployment; who is covered </w:t>
      </w:r>
      <w:r w:rsidRPr="00B33A65">
        <w:lastRenderedPageBreak/>
        <w:t>under a state's workers' compensation law; who is the "employer" during the deployment; and what scope of activities during the deployment are covered.</w:t>
      </w:r>
    </w:p>
    <w:p w14:paraId="06281B6B" w14:textId="018519C8" w:rsidR="00DF7A05" w:rsidRDefault="00DF7A05" w:rsidP="00C3586C">
      <w:pPr>
        <w:pStyle w:val="norm15"/>
      </w:pPr>
    </w:p>
    <w:p w14:paraId="21F7391E" w14:textId="4BB09BC1" w:rsidR="00FB2B3B" w:rsidRPr="00B33A65" w:rsidRDefault="00FB2B3B" w:rsidP="00C3586C">
      <w:pPr>
        <w:pStyle w:val="norm15"/>
      </w:pPr>
      <w:r w:rsidRPr="00B33A65">
        <w:t>A volunteer may also have access to disability benefits or paid sick leave when an employer offers them or if the disability insurance policy covers non-work (i.e., volunteer) related injuries. Personal life insurance tends to not cover emergency volunteer activities. Supplemental life and disability insurance that covers emergency response activities may be available for the volunteer to purchase.</w:t>
      </w:r>
    </w:p>
    <w:p w14:paraId="2456E906" w14:textId="71822E19" w:rsidR="00FB2B3B" w:rsidRDefault="00FB2B3B" w:rsidP="00FB2B3B">
      <w:pPr>
        <w:spacing w:line="360" w:lineRule="auto"/>
        <w:rPr>
          <w:rFonts w:cstheme="minorHAnsi"/>
          <w:color w:val="000000" w:themeColor="text1"/>
          <w:sz w:val="24"/>
        </w:rPr>
      </w:pPr>
    </w:p>
    <w:p w14:paraId="795D0725" w14:textId="77777777" w:rsidR="001002F4" w:rsidRDefault="001002F4" w:rsidP="008220DC">
      <w:pPr>
        <w:keepNext/>
        <w:keepLines/>
        <w:spacing w:line="360" w:lineRule="auto"/>
        <w:rPr>
          <w:b/>
          <w:bCs/>
        </w:rPr>
      </w:pPr>
      <w:r>
        <w:rPr>
          <w:b/>
          <w:bCs/>
        </w:rPr>
        <w:t>Selected Related Legal Authorities</w:t>
      </w:r>
    </w:p>
    <w:p w14:paraId="6E8D69DD" w14:textId="799DA0E5" w:rsidR="00932DE1" w:rsidRDefault="001C3C1C" w:rsidP="002E6B35">
      <w:pPr>
        <w:pStyle w:val="ListParagraph"/>
        <w:numPr>
          <w:ilvl w:val="0"/>
          <w:numId w:val="5"/>
        </w:numPr>
        <w:spacing w:line="360" w:lineRule="auto"/>
      </w:pPr>
      <w:r w:rsidRPr="00F2128C">
        <w:rPr>
          <w:b/>
          <w:bCs/>
        </w:rPr>
        <w:t>Federal Employees Compensation Act (FECA)</w:t>
      </w:r>
      <w:r w:rsidR="00DF27F8">
        <w:rPr>
          <w:b/>
          <w:bCs/>
        </w:rPr>
        <w:t>—</w:t>
      </w:r>
      <w:r w:rsidRPr="00FB2B3B">
        <w:t>Provides workers' compensation to civilian federal employees who are injured or killed during the course of their duties.</w:t>
      </w:r>
      <w:r>
        <w:rPr>
          <w:rStyle w:val="FootnoteReference"/>
        </w:rPr>
        <w:footnoteReference w:id="14"/>
      </w:r>
      <w:r w:rsidRPr="00FB2B3B">
        <w:t xml:space="preserve"> Volunteers who may deploy in states under federal programs like the National Disaster Medical System or are otherwise deemed to be federal employees are covered under FECA.</w:t>
      </w:r>
    </w:p>
    <w:p w14:paraId="5943793C" w14:textId="77777777" w:rsidR="00932DE1" w:rsidRPr="00932DE1" w:rsidRDefault="00932DE1" w:rsidP="00932DE1">
      <w:pPr>
        <w:pStyle w:val="ListParagraph"/>
        <w:spacing w:line="360" w:lineRule="auto"/>
        <w:ind w:left="360"/>
      </w:pPr>
    </w:p>
    <w:p w14:paraId="7AB4B791" w14:textId="511E67CB" w:rsidR="002E6B35" w:rsidRPr="00FB2B3B" w:rsidRDefault="002E6B35" w:rsidP="002E6B35">
      <w:pPr>
        <w:pStyle w:val="ListParagraph"/>
        <w:numPr>
          <w:ilvl w:val="0"/>
          <w:numId w:val="5"/>
        </w:numPr>
        <w:spacing w:line="360" w:lineRule="auto"/>
      </w:pPr>
      <w:r w:rsidRPr="00932DE1">
        <w:rPr>
          <w:b/>
          <w:bCs/>
        </w:rPr>
        <w:t>State Workers' Compensation Laws</w:t>
      </w:r>
      <w:r w:rsidR="00DF27F8">
        <w:rPr>
          <w:b/>
          <w:bCs/>
        </w:rPr>
        <w:t>—</w:t>
      </w:r>
      <w:r w:rsidRPr="00FB2B3B">
        <w:t>Enacted and administered by states and primarily funded by employers. The coverage requirements and the types and amounts of benefits vary from state to state. Some states exempt certain types of organizations or activities from coverage under workers' compensation programs, including employees of nonprofit, charitable, or religious institutions, employees of small businesses under a specified size, and state and local government employees. Coverage of volunteers can depend on whether they are considered "employees" and whether state laws expressly exclude coverage for volunteers.</w:t>
      </w:r>
    </w:p>
    <w:p w14:paraId="64E68622" w14:textId="55B1264B" w:rsidR="002E6B35" w:rsidRDefault="002E6B35" w:rsidP="00FB2B3B">
      <w:pPr>
        <w:spacing w:line="360" w:lineRule="auto"/>
        <w:rPr>
          <w:rFonts w:cstheme="minorHAnsi"/>
          <w:color w:val="000000" w:themeColor="text1"/>
          <w:sz w:val="24"/>
        </w:rPr>
      </w:pPr>
    </w:p>
    <w:p w14:paraId="0816E22B" w14:textId="3A1AAD46" w:rsidR="00AD5B5C" w:rsidRDefault="00AD5B5C" w:rsidP="00FB2B3B">
      <w:pPr>
        <w:spacing w:line="360" w:lineRule="auto"/>
        <w:rPr>
          <w:rFonts w:cstheme="minorHAnsi"/>
          <w:color w:val="000000" w:themeColor="text1"/>
          <w:sz w:val="24"/>
        </w:rPr>
      </w:pPr>
      <w:r>
        <w:rPr>
          <w:noProof/>
        </w:rPr>
        <mc:AlternateContent>
          <mc:Choice Requires="wps">
            <w:drawing>
              <wp:anchor distT="45720" distB="45720" distL="114300" distR="114300" simplePos="0" relativeHeight="251661312" behindDoc="0" locked="0" layoutInCell="1" allowOverlap="1" wp14:anchorId="2C762003" wp14:editId="25BB4B30">
                <wp:simplePos x="0" y="0"/>
                <wp:positionH relativeFrom="margin">
                  <wp:align>center</wp:align>
                </wp:positionH>
                <wp:positionV relativeFrom="paragraph">
                  <wp:posOffset>1529715</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70EF33B4" w14:textId="77777777" w:rsidR="00AD5B5C" w:rsidRPr="004C64AD" w:rsidRDefault="00AD5B5C" w:rsidP="00AD5B5C">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762003" id="_x0000_s1027" type="#_x0000_t202" style="position:absolute;margin-left:0;margin-top:120.45pt;width:403.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">
                <v:textbox style="mso-fit-shape-to-text:t">
                  <w:txbxContent>
                    <w:p w14:paraId="70EF33B4" w14:textId="77777777" w:rsidR="00AD5B5C" w:rsidRPr="004C64AD" w:rsidRDefault="00AD5B5C" w:rsidP="00AD5B5C">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Pr>
                          <w:sz w:val="20"/>
                          <w:szCs w:val="20"/>
                        </w:rPr>
                        <w:t>revised and updated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AD5B5C" w:rsidSect="00AB6A4E">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2AC99" w14:textId="77777777" w:rsidR="00247114" w:rsidRDefault="00247114" w:rsidP="00247114">
      <w:r>
        <w:separator/>
      </w:r>
    </w:p>
  </w:endnote>
  <w:endnote w:type="continuationSeparator" w:id="0">
    <w:p w14:paraId="3ACF9A18" w14:textId="77777777" w:rsidR="00247114" w:rsidRDefault="00247114" w:rsidP="0024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0657796"/>
      <w:docPartObj>
        <w:docPartGallery w:val="Page Numbers (Bottom of Page)"/>
        <w:docPartUnique/>
      </w:docPartObj>
    </w:sdtPr>
    <w:sdtEndPr>
      <w:rPr>
        <w:noProof/>
      </w:rPr>
    </w:sdtEndPr>
    <w:sdtContent>
      <w:p w14:paraId="60FF41E4" w14:textId="5784810D" w:rsidR="00247114" w:rsidRDefault="00247114" w:rsidP="002471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1FB67" w14:textId="77777777" w:rsidR="000C68C9" w:rsidRDefault="000C68C9" w:rsidP="000C68C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C75E8E9" w14:textId="6D56728F" w:rsidR="00905EEC" w:rsidRDefault="000C68C9" w:rsidP="000C68C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E0784" w14:textId="77777777" w:rsidR="00247114" w:rsidRDefault="00247114" w:rsidP="00247114">
      <w:r>
        <w:separator/>
      </w:r>
    </w:p>
  </w:footnote>
  <w:footnote w:type="continuationSeparator" w:id="0">
    <w:p w14:paraId="1FD6DF54" w14:textId="77777777" w:rsidR="00247114" w:rsidRDefault="00247114" w:rsidP="00247114">
      <w:r>
        <w:continuationSeparator/>
      </w:r>
    </w:p>
  </w:footnote>
  <w:footnote w:id="1">
    <w:p w14:paraId="0447D36B" w14:textId="0E1E9A42" w:rsidR="00252D82" w:rsidRPr="00014E4E" w:rsidRDefault="00014E4E" w:rsidP="00014E4E">
      <w:pPr>
        <w:pStyle w:val="FootnoteText"/>
        <w:tabs>
          <w:tab w:val="left" w:pos="686"/>
        </w:tabs>
        <w:rPr>
          <w:b/>
          <w:bCs/>
        </w:rPr>
      </w:pPr>
      <w:r>
        <w:rPr>
          <w:b/>
          <w:bCs/>
          <w:highlight w:val="yellow"/>
        </w:rPr>
        <w:t>Footnotes will be streamlined and edited to style guide once text is finalized</w:t>
      </w:r>
    </w:p>
    <w:p w14:paraId="3738F4D6" w14:textId="0471293E" w:rsidR="006E50C6" w:rsidRPr="00252D82" w:rsidRDefault="006E50C6">
      <w:pPr>
        <w:pStyle w:val="FootnoteText"/>
      </w:pPr>
      <w:r w:rsidRPr="00252D82">
        <w:rPr>
          <w:rStyle w:val="FootnoteReference"/>
        </w:rPr>
        <w:footnoteRef/>
      </w:r>
      <w:r w:rsidRPr="00252D82">
        <w:t xml:space="preserve"> </w:t>
      </w:r>
      <w:r w:rsidR="00243666" w:rsidRPr="00252D82">
        <w:t xml:space="preserve">HHS. Emergency System for Advance Registration of Volunteer Health Professionals. About ESAR-VHP. Retrieved from </w:t>
      </w:r>
      <w:hyperlink r:id="rId1" w:history="1">
        <w:r w:rsidR="00243666" w:rsidRPr="00252D82">
          <w:rPr>
            <w:color w:val="0000FF"/>
            <w:u w:val="single"/>
          </w:rPr>
          <w:t>https://www.phe.gov/esarvhp/Pages/about.aspx</w:t>
        </w:r>
      </w:hyperlink>
      <w:r w:rsidR="00243666" w:rsidRPr="00252D82">
        <w:t>.</w:t>
      </w:r>
    </w:p>
  </w:footnote>
  <w:footnote w:id="2">
    <w:p w14:paraId="2D758E83" w14:textId="644BA20B" w:rsidR="00DD67B8" w:rsidRPr="00252D82" w:rsidRDefault="00DD67B8" w:rsidP="00DD67B8">
      <w:pPr>
        <w:pStyle w:val="FootnoteText"/>
      </w:pPr>
      <w:r w:rsidRPr="00252D82">
        <w:rPr>
          <w:rStyle w:val="FootnoteReference"/>
        </w:rPr>
        <w:footnoteRef/>
      </w:r>
      <w:r w:rsidRPr="00252D82">
        <w:t xml:space="preserve"> </w:t>
      </w:r>
      <w:r w:rsidR="00AA703E" w:rsidRPr="00252D82">
        <w:t xml:space="preserve">Uniform Law Commission. “Emergency Volunteer Health Practitioners” website. Retrieved from </w:t>
      </w:r>
      <w:hyperlink r:id="rId2" w:history="1">
        <w:r w:rsidR="00AA703E" w:rsidRPr="00252D82">
          <w:rPr>
            <w:rStyle w:val="Hyperlink"/>
          </w:rPr>
          <w:t>https://www.uniformlaws.org/committees/community-home?CommunityKey=565933ce-965f-4d3c-9c90-b00246f30f2d</w:t>
        </w:r>
      </w:hyperlink>
      <w:r w:rsidR="00AA703E" w:rsidRPr="00252D82">
        <w:t>.</w:t>
      </w:r>
    </w:p>
  </w:footnote>
  <w:footnote w:id="3">
    <w:p w14:paraId="6EA538EE" w14:textId="07A91468" w:rsidR="0010289A" w:rsidRDefault="0010289A">
      <w:pPr>
        <w:pStyle w:val="FootnoteText"/>
      </w:pPr>
      <w:r>
        <w:rPr>
          <w:rStyle w:val="FootnoteReference"/>
        </w:rPr>
        <w:footnoteRef/>
      </w:r>
      <w:r w:rsidR="009F055C">
        <w:t xml:space="preserve"> Network for Public Health Law.</w:t>
      </w:r>
      <w:r w:rsidR="00D672A7">
        <w:t xml:space="preserve"> </w:t>
      </w:r>
      <w:r w:rsidR="00D672A7" w:rsidRPr="00D672A7">
        <w:t xml:space="preserve">Emergency Declaration Authorities Across All States </w:t>
      </w:r>
      <w:proofErr w:type="gramStart"/>
      <w:r w:rsidR="00D672A7" w:rsidRPr="00D672A7">
        <w:t>And</w:t>
      </w:r>
      <w:proofErr w:type="gramEnd"/>
      <w:r w:rsidR="00D672A7" w:rsidRPr="00D672A7">
        <w:t xml:space="preserve"> D.C</w:t>
      </w:r>
      <w:r w:rsidR="00D672A7">
        <w:t>. Ju</w:t>
      </w:r>
      <w:r w:rsidR="00240815">
        <w:t>ne 16,</w:t>
      </w:r>
      <w:r w:rsidR="00D672A7">
        <w:t xml:space="preserve"> 2015. R</w:t>
      </w:r>
      <w:r w:rsidR="009F055C">
        <w:t>etrieved from</w:t>
      </w:r>
      <w:r>
        <w:t xml:space="preserve"> </w:t>
      </w:r>
      <w:hyperlink r:id="rId3" w:history="1">
        <w:r w:rsidR="009F055C" w:rsidRPr="009F055C">
          <w:rPr>
            <w:rStyle w:val="Hyperlink"/>
          </w:rPr>
          <w:t>https://www.networkforphl.org/wp-content/uploads/2020/01/Emergency-Declaration-Authorities.pdf</w:t>
        </w:r>
      </w:hyperlink>
      <w:r w:rsidR="00D672A7">
        <w:t>.</w:t>
      </w:r>
    </w:p>
  </w:footnote>
  <w:footnote w:id="4">
    <w:p w14:paraId="357F4F5C" w14:textId="5FD19496" w:rsidR="006D5F0F" w:rsidRDefault="006D5F0F">
      <w:pPr>
        <w:pStyle w:val="FootnoteText"/>
      </w:pPr>
      <w:r>
        <w:rPr>
          <w:rStyle w:val="FootnoteReference"/>
        </w:rPr>
        <w:footnoteRef/>
      </w:r>
      <w:r>
        <w:t xml:space="preserve"> </w:t>
      </w:r>
      <w:r w:rsidR="00251C78">
        <w:t>G</w:t>
      </w:r>
      <w:r w:rsidR="00A060A4">
        <w:t>.</w:t>
      </w:r>
      <w:r w:rsidR="00251C78">
        <w:t xml:space="preserve"> </w:t>
      </w:r>
      <w:r w:rsidR="00F96726">
        <w:t>Sunshine</w:t>
      </w:r>
      <w:r w:rsidR="00251C78">
        <w:t xml:space="preserve">. </w:t>
      </w:r>
      <w:r w:rsidR="00381A75" w:rsidRPr="00381A75">
        <w:t>The Case for Streamlining Emergency Declaration Authorities and Adapting Legal Requirements to Ever-Changing Public Health Threats</w:t>
      </w:r>
      <w:r w:rsidR="00381A75">
        <w:t xml:space="preserve">. </w:t>
      </w:r>
      <w:r w:rsidR="00A060A4" w:rsidRPr="00A060A4">
        <w:rPr>
          <w:i/>
          <w:iCs/>
        </w:rPr>
        <w:t>Emory Law J</w:t>
      </w:r>
      <w:r w:rsidR="00A060A4" w:rsidRPr="00A060A4">
        <w:t>. 2017;67(3):397-414</w:t>
      </w:r>
      <w:r w:rsidR="00A060A4">
        <w:t xml:space="preserve">. </w:t>
      </w:r>
      <w:r w:rsidR="00C57C9C">
        <w:t xml:space="preserve">Retrieved from </w:t>
      </w:r>
      <w:hyperlink r:id="rId4" w:history="1">
        <w:r w:rsidR="00BA2EBB" w:rsidRPr="00BA2EBB">
          <w:rPr>
            <w:rStyle w:val="Hyperlink"/>
          </w:rPr>
          <w:t>https://www.ncbi.nlm.nih.gov/pmc/articles/PMC5956522/</w:t>
        </w:r>
      </w:hyperlink>
      <w:r w:rsidR="00BA2EBB">
        <w:t>.</w:t>
      </w:r>
    </w:p>
  </w:footnote>
  <w:footnote w:id="5">
    <w:p w14:paraId="474F625C" w14:textId="06ACCF8C" w:rsidR="007D4494" w:rsidRPr="00252D82" w:rsidRDefault="007D4494" w:rsidP="007D4494">
      <w:pPr>
        <w:pStyle w:val="FootnoteText"/>
      </w:pPr>
      <w:r w:rsidRPr="00252D82">
        <w:rPr>
          <w:rStyle w:val="FootnoteReference"/>
        </w:rPr>
        <w:footnoteRef/>
      </w:r>
      <w:r w:rsidRPr="00252D82">
        <w:t xml:space="preserve"> </w:t>
      </w:r>
      <w:r w:rsidR="00FD5E94" w:rsidRPr="00252D82">
        <w:t xml:space="preserve">National Emergency Management Association. EMAC Legislation. Retrieved from </w:t>
      </w:r>
      <w:hyperlink r:id="rId5" w:history="1">
        <w:r w:rsidR="00FD5E94" w:rsidRPr="00252D82">
          <w:rPr>
            <w:rStyle w:val="Hyperlink"/>
          </w:rPr>
          <w:t>https://www.emacweb.org/index.php/learn-about-emac/emac-legislation</w:t>
        </w:r>
      </w:hyperlink>
      <w:r w:rsidR="00FD5E94" w:rsidRPr="00252D82">
        <w:t>.</w:t>
      </w:r>
    </w:p>
  </w:footnote>
  <w:footnote w:id="6">
    <w:p w14:paraId="4B7D443B" w14:textId="03FB81DB" w:rsidR="007D4494" w:rsidRPr="00252D82" w:rsidRDefault="007D4494" w:rsidP="007D4494">
      <w:pPr>
        <w:pStyle w:val="FootnoteText"/>
      </w:pPr>
      <w:r w:rsidRPr="00252D82">
        <w:rPr>
          <w:rStyle w:val="FootnoteReference"/>
        </w:rPr>
        <w:footnoteRef/>
      </w:r>
      <w:r w:rsidRPr="00252D82">
        <w:t xml:space="preserve"> </w:t>
      </w:r>
      <w:r w:rsidR="00145CB7" w:rsidRPr="00252D82">
        <w:t xml:space="preserve">National Center for Interstate Compacts/Council of State Governments. Civil Defense and Disaster Compact. Retrieved from </w:t>
      </w:r>
      <w:hyperlink r:id="rId6" w:history="1">
        <w:r w:rsidR="00145CB7" w:rsidRPr="00252D82">
          <w:rPr>
            <w:rStyle w:val="Hyperlink"/>
          </w:rPr>
          <w:t>http://apps.csg.org/ncic/Compact.aspx?id=34</w:t>
        </w:r>
      </w:hyperlink>
      <w:r w:rsidR="00145CB7" w:rsidRPr="00252D82">
        <w:t>.</w:t>
      </w:r>
    </w:p>
  </w:footnote>
  <w:footnote w:id="7">
    <w:p w14:paraId="4B857AAB" w14:textId="1D8FA9C9" w:rsidR="0002663E" w:rsidRPr="00252D82" w:rsidRDefault="0002663E" w:rsidP="0002663E">
      <w:pPr>
        <w:pStyle w:val="FootnoteText"/>
      </w:pPr>
      <w:r w:rsidRPr="00252D82">
        <w:rPr>
          <w:rStyle w:val="FootnoteReference"/>
        </w:rPr>
        <w:footnoteRef/>
      </w:r>
      <w:r w:rsidRPr="00252D82">
        <w:t xml:space="preserve"> K</w:t>
      </w:r>
      <w:r w:rsidR="00C57C9C">
        <w:t>.</w:t>
      </w:r>
      <w:r w:rsidRPr="00252D82">
        <w:t xml:space="preserve"> Gaines. Updated Map: Enhanced Nursing Licensure Compact (</w:t>
      </w:r>
      <w:proofErr w:type="spellStart"/>
      <w:r w:rsidRPr="00252D82">
        <w:t>eNLC</w:t>
      </w:r>
      <w:proofErr w:type="spellEnd"/>
      <w:r w:rsidRPr="00252D82">
        <w:t xml:space="preserve">) </w:t>
      </w:r>
      <w:r w:rsidR="00B15B32">
        <w:t>July</w:t>
      </w:r>
      <w:r w:rsidRPr="00252D82">
        <w:t xml:space="preserve"> 2020. Retrieved from </w:t>
      </w:r>
      <w:hyperlink r:id="rId7" w:history="1">
        <w:r w:rsidRPr="00252D82">
          <w:rPr>
            <w:rStyle w:val="Hyperlink"/>
          </w:rPr>
          <w:t>https://nurse.org/articles/enhanced-compact-multi-state-license-eNLC/</w:t>
        </w:r>
      </w:hyperlink>
      <w:r w:rsidRPr="00252D82">
        <w:t>.</w:t>
      </w:r>
    </w:p>
  </w:footnote>
  <w:footnote w:id="8">
    <w:p w14:paraId="5ABFC7C3" w14:textId="3B9E45C4" w:rsidR="0002663E" w:rsidRPr="00252D82" w:rsidRDefault="0002663E" w:rsidP="0002663E">
      <w:pPr>
        <w:pStyle w:val="FootnoteText"/>
      </w:pPr>
      <w:r w:rsidRPr="00252D82">
        <w:rPr>
          <w:rStyle w:val="FootnoteReference"/>
        </w:rPr>
        <w:footnoteRef/>
      </w:r>
      <w:r w:rsidRPr="00252D82">
        <w:t xml:space="preserve"> K</w:t>
      </w:r>
      <w:r w:rsidR="008E3D17">
        <w:t>.</w:t>
      </w:r>
      <w:r w:rsidRPr="00252D82">
        <w:t xml:space="preserve"> Gaines. Updated Map: Enhanced Nursing Licensure Compact (</w:t>
      </w:r>
      <w:proofErr w:type="spellStart"/>
      <w:r w:rsidRPr="00252D82">
        <w:t>eNLC</w:t>
      </w:r>
      <w:proofErr w:type="spellEnd"/>
      <w:r w:rsidRPr="00252D82">
        <w:t xml:space="preserve">) </w:t>
      </w:r>
      <w:r w:rsidR="00B15B32">
        <w:t>July</w:t>
      </w:r>
      <w:r w:rsidRPr="00252D82">
        <w:t xml:space="preserve"> 2020. Retrieved from </w:t>
      </w:r>
      <w:hyperlink r:id="rId8" w:history="1">
        <w:r w:rsidRPr="00252D82">
          <w:rPr>
            <w:rStyle w:val="Hyperlink"/>
          </w:rPr>
          <w:t>https://nurse.org/articles/enhanced-compact-multi-state-license-eNLC/</w:t>
        </w:r>
      </w:hyperlink>
      <w:r w:rsidRPr="00252D82">
        <w:t xml:space="preserve">. </w:t>
      </w:r>
    </w:p>
  </w:footnote>
  <w:footnote w:id="9">
    <w:p w14:paraId="0A5F7549" w14:textId="71B929E6" w:rsidR="0002663E" w:rsidRPr="00252D82" w:rsidRDefault="0002663E" w:rsidP="0002663E">
      <w:pPr>
        <w:pStyle w:val="FootnoteText"/>
      </w:pPr>
      <w:r w:rsidRPr="00252D82">
        <w:rPr>
          <w:rStyle w:val="FootnoteReference"/>
        </w:rPr>
        <w:footnoteRef/>
      </w:r>
      <w:r w:rsidRPr="00252D82">
        <w:t xml:space="preserve"> K</w:t>
      </w:r>
      <w:r w:rsidR="008E3D17">
        <w:t xml:space="preserve">. </w:t>
      </w:r>
      <w:r w:rsidRPr="00252D82">
        <w:t>Gaines. Updated Map: Enhanced Nursing Licensure Compact (</w:t>
      </w:r>
      <w:proofErr w:type="spellStart"/>
      <w:r w:rsidRPr="00252D82">
        <w:t>eNLC</w:t>
      </w:r>
      <w:proofErr w:type="spellEnd"/>
      <w:r w:rsidRPr="00252D82">
        <w:t xml:space="preserve">) </w:t>
      </w:r>
      <w:r w:rsidR="00B15B32">
        <w:t>July</w:t>
      </w:r>
      <w:r w:rsidRPr="00252D82">
        <w:t xml:space="preserve"> 2020. Retrieved from </w:t>
      </w:r>
      <w:hyperlink r:id="rId9" w:history="1">
        <w:r w:rsidRPr="00252D82">
          <w:rPr>
            <w:rStyle w:val="Hyperlink"/>
          </w:rPr>
          <w:t>https://nurse.org/articles/enhanced-compact-multi-state-license-eNLC/</w:t>
        </w:r>
      </w:hyperlink>
      <w:r w:rsidRPr="00252D82">
        <w:t xml:space="preserve">. </w:t>
      </w:r>
      <w:r w:rsidRPr="00252D82">
        <w:rPr>
          <w:i/>
          <w:iCs/>
        </w:rPr>
        <w:t>See also</w:t>
      </w:r>
      <w:r w:rsidRPr="00252D82">
        <w:t xml:space="preserve"> National Council of State Boards of Nursing. Nurse Licensure Compact (NLC) Retrieved from </w:t>
      </w:r>
      <w:hyperlink r:id="rId10" w:history="1">
        <w:r w:rsidRPr="00252D82">
          <w:rPr>
            <w:rStyle w:val="Hyperlink"/>
          </w:rPr>
          <w:t>https://www.ncsbn.org/nurse-licensure-compact.htm</w:t>
        </w:r>
      </w:hyperlink>
      <w:r w:rsidRPr="00252D82">
        <w:t>.</w:t>
      </w:r>
    </w:p>
  </w:footnote>
  <w:footnote w:id="10">
    <w:p w14:paraId="36B5EE9A" w14:textId="2092207A" w:rsidR="001C3C1C" w:rsidRPr="00252D82" w:rsidRDefault="001C3C1C" w:rsidP="001C3C1C">
      <w:pPr>
        <w:pStyle w:val="FootnoteText"/>
      </w:pPr>
      <w:r w:rsidRPr="00252D82">
        <w:rPr>
          <w:rStyle w:val="FootnoteReference"/>
        </w:rPr>
        <w:footnoteRef/>
      </w:r>
      <w:r w:rsidRPr="00252D82">
        <w:t xml:space="preserve"> </w:t>
      </w:r>
      <w:r w:rsidR="00FF4DCD" w:rsidRPr="00252D82">
        <w:t>Federal Tort Claims Act, as amended. Codified at 28 U.S.C. §§1346(b), 2671-2680.</w:t>
      </w:r>
    </w:p>
  </w:footnote>
  <w:footnote w:id="11">
    <w:p w14:paraId="09A96FCC" w14:textId="0741EA3C" w:rsidR="00DD67B8" w:rsidRPr="00252D82" w:rsidRDefault="00DD67B8" w:rsidP="00DD67B8">
      <w:pPr>
        <w:pStyle w:val="FootnoteText"/>
      </w:pPr>
      <w:r w:rsidRPr="00252D82">
        <w:rPr>
          <w:rStyle w:val="FootnoteReference"/>
        </w:rPr>
        <w:footnoteRef/>
      </w:r>
      <w:r w:rsidRPr="00252D82">
        <w:t xml:space="preserve"> </w:t>
      </w:r>
      <w:r w:rsidR="00554F2D" w:rsidRPr="00252D82">
        <w:t>Volunteer Protection Act of 1977, Pub. L. No. Pub. L. 105-19. Codified at 42 USC §14501 et seq.</w:t>
      </w:r>
    </w:p>
  </w:footnote>
  <w:footnote w:id="12">
    <w:p w14:paraId="77D24D49" w14:textId="41640D6C" w:rsidR="00992046" w:rsidRPr="00252D82" w:rsidRDefault="00992046" w:rsidP="00992046">
      <w:pPr>
        <w:pStyle w:val="FootnoteText"/>
      </w:pPr>
      <w:r w:rsidRPr="00252D82">
        <w:rPr>
          <w:rStyle w:val="FootnoteReference"/>
        </w:rPr>
        <w:footnoteRef/>
      </w:r>
      <w:r w:rsidRPr="00252D82">
        <w:t xml:space="preserve"> </w:t>
      </w:r>
      <w:r w:rsidR="00D3402E" w:rsidRPr="00252D82">
        <w:t>Public Readiness and Emergency Preparedness Response Act of 2005, Pub. L. No. 109-148. Codified in the Public Health Service Act at 42 U.S.C. §247d-6d and §247d-6e</w:t>
      </w:r>
    </w:p>
  </w:footnote>
  <w:footnote w:id="13">
    <w:p w14:paraId="286A549A" w14:textId="29A7D439" w:rsidR="002F2738" w:rsidRPr="00252D82" w:rsidRDefault="002F2738">
      <w:pPr>
        <w:pStyle w:val="FootnoteText"/>
      </w:pPr>
      <w:r w:rsidRPr="00252D82">
        <w:rPr>
          <w:rStyle w:val="FootnoteReference"/>
        </w:rPr>
        <w:footnoteRef/>
      </w:r>
      <w:r w:rsidRPr="00252D82">
        <w:t xml:space="preserve"> HHS Office of the Assistant Secretary of Preparedness and Emergency Response. “Public Readiness and Emergency Preparedness Act Questions and Answers” webpage. Retrieved from </w:t>
      </w:r>
      <w:hyperlink r:id="rId11" w:history="1">
        <w:r w:rsidRPr="00252D82">
          <w:rPr>
            <w:rStyle w:val="Hyperlink"/>
          </w:rPr>
          <w:t>https://www.phe.gov/Preparedness/legal/Pages/phe-qa.aspx</w:t>
        </w:r>
      </w:hyperlink>
      <w:r w:rsidRPr="00252D82">
        <w:t xml:space="preserve">. </w:t>
      </w:r>
    </w:p>
  </w:footnote>
  <w:footnote w:id="14">
    <w:p w14:paraId="6A7523C5" w14:textId="1CDD7EE6" w:rsidR="001C3C1C" w:rsidRPr="00252D82" w:rsidRDefault="001C3C1C" w:rsidP="001C3C1C">
      <w:pPr>
        <w:pStyle w:val="FootnoteText"/>
      </w:pPr>
      <w:r w:rsidRPr="00252D82">
        <w:rPr>
          <w:rStyle w:val="FootnoteReference"/>
        </w:rPr>
        <w:footnoteRef/>
      </w:r>
      <w:r w:rsidRPr="00252D82">
        <w:t xml:space="preserve"> </w:t>
      </w:r>
      <w:r w:rsidR="00154CC3" w:rsidRPr="00252D82">
        <w:t>Federal Employees’ Compensation Act. Codified at 5 U.S.C. §§8101 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9E30" w14:textId="61288CE4" w:rsidR="00247114" w:rsidRPr="00BC472A" w:rsidRDefault="00CF4410" w:rsidP="00CF4410">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5C15E" w14:textId="115721BA" w:rsidR="00905EEC" w:rsidRPr="00E5529F" w:rsidRDefault="00CF4410" w:rsidP="00CF4410">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23583"/>
    <w:multiLevelType w:val="hybridMultilevel"/>
    <w:tmpl w:val="4E1C0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2236A"/>
    <w:multiLevelType w:val="hybridMultilevel"/>
    <w:tmpl w:val="BDCA6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1662C88"/>
    <w:multiLevelType w:val="hybridMultilevel"/>
    <w:tmpl w:val="4D10D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1D59A7"/>
    <w:multiLevelType w:val="multilevel"/>
    <w:tmpl w:val="1EBEDAD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3B"/>
    <w:rsid w:val="00014DA1"/>
    <w:rsid w:val="00014E4E"/>
    <w:rsid w:val="0002663E"/>
    <w:rsid w:val="00065C55"/>
    <w:rsid w:val="00071780"/>
    <w:rsid w:val="0007299E"/>
    <w:rsid w:val="00096831"/>
    <w:rsid w:val="000C68C9"/>
    <w:rsid w:val="000E5FAB"/>
    <w:rsid w:val="000F287F"/>
    <w:rsid w:val="001002F4"/>
    <w:rsid w:val="0010289A"/>
    <w:rsid w:val="00122971"/>
    <w:rsid w:val="00134423"/>
    <w:rsid w:val="0013732F"/>
    <w:rsid w:val="00145CB7"/>
    <w:rsid w:val="00151049"/>
    <w:rsid w:val="00151278"/>
    <w:rsid w:val="00154CC3"/>
    <w:rsid w:val="0018249D"/>
    <w:rsid w:val="001B6418"/>
    <w:rsid w:val="001C3C1C"/>
    <w:rsid w:val="00204E90"/>
    <w:rsid w:val="00233295"/>
    <w:rsid w:val="00240815"/>
    <w:rsid w:val="00243666"/>
    <w:rsid w:val="00245DD1"/>
    <w:rsid w:val="00247114"/>
    <w:rsid w:val="00251C78"/>
    <w:rsid w:val="00252D82"/>
    <w:rsid w:val="00254B7B"/>
    <w:rsid w:val="00287360"/>
    <w:rsid w:val="002A16B6"/>
    <w:rsid w:val="002D7E61"/>
    <w:rsid w:val="002E6B35"/>
    <w:rsid w:val="002F1457"/>
    <w:rsid w:val="002F2738"/>
    <w:rsid w:val="00340600"/>
    <w:rsid w:val="003455D4"/>
    <w:rsid w:val="00347A13"/>
    <w:rsid w:val="0035233F"/>
    <w:rsid w:val="00381A75"/>
    <w:rsid w:val="003866A1"/>
    <w:rsid w:val="003D6858"/>
    <w:rsid w:val="003F0959"/>
    <w:rsid w:val="003F1242"/>
    <w:rsid w:val="003F3E23"/>
    <w:rsid w:val="004501A4"/>
    <w:rsid w:val="00473174"/>
    <w:rsid w:val="00476446"/>
    <w:rsid w:val="004C566F"/>
    <w:rsid w:val="004F0647"/>
    <w:rsid w:val="00516E36"/>
    <w:rsid w:val="00552FF0"/>
    <w:rsid w:val="00554F2D"/>
    <w:rsid w:val="005571CD"/>
    <w:rsid w:val="00567F0C"/>
    <w:rsid w:val="00582D0B"/>
    <w:rsid w:val="005963BE"/>
    <w:rsid w:val="005C158E"/>
    <w:rsid w:val="005F7AE0"/>
    <w:rsid w:val="00615E13"/>
    <w:rsid w:val="00634493"/>
    <w:rsid w:val="0063513F"/>
    <w:rsid w:val="006B52BB"/>
    <w:rsid w:val="006D5F0F"/>
    <w:rsid w:val="006E50C6"/>
    <w:rsid w:val="006E5E5E"/>
    <w:rsid w:val="00700D4D"/>
    <w:rsid w:val="00734223"/>
    <w:rsid w:val="007508DC"/>
    <w:rsid w:val="00757613"/>
    <w:rsid w:val="00760409"/>
    <w:rsid w:val="007D4494"/>
    <w:rsid w:val="008220DC"/>
    <w:rsid w:val="00830DC7"/>
    <w:rsid w:val="00863F5D"/>
    <w:rsid w:val="00866DD8"/>
    <w:rsid w:val="00875908"/>
    <w:rsid w:val="00882337"/>
    <w:rsid w:val="008870E5"/>
    <w:rsid w:val="008A06AF"/>
    <w:rsid w:val="008A0BD9"/>
    <w:rsid w:val="008B708B"/>
    <w:rsid w:val="008C73C4"/>
    <w:rsid w:val="008D71D0"/>
    <w:rsid w:val="008E3D17"/>
    <w:rsid w:val="00905EEC"/>
    <w:rsid w:val="00907529"/>
    <w:rsid w:val="00932DE1"/>
    <w:rsid w:val="00992046"/>
    <w:rsid w:val="009D598D"/>
    <w:rsid w:val="009E7B8D"/>
    <w:rsid w:val="009F055C"/>
    <w:rsid w:val="009F1710"/>
    <w:rsid w:val="00A060A4"/>
    <w:rsid w:val="00A23700"/>
    <w:rsid w:val="00A431DF"/>
    <w:rsid w:val="00A719E4"/>
    <w:rsid w:val="00A77B41"/>
    <w:rsid w:val="00A864C8"/>
    <w:rsid w:val="00AA6601"/>
    <w:rsid w:val="00AA703E"/>
    <w:rsid w:val="00AB5E8A"/>
    <w:rsid w:val="00AB6A4E"/>
    <w:rsid w:val="00AB787F"/>
    <w:rsid w:val="00AC6229"/>
    <w:rsid w:val="00AD5B5C"/>
    <w:rsid w:val="00AE23F6"/>
    <w:rsid w:val="00AE4165"/>
    <w:rsid w:val="00B00DC9"/>
    <w:rsid w:val="00B15B32"/>
    <w:rsid w:val="00B321BB"/>
    <w:rsid w:val="00B52A3F"/>
    <w:rsid w:val="00B75B7F"/>
    <w:rsid w:val="00B85DF3"/>
    <w:rsid w:val="00BA2EBB"/>
    <w:rsid w:val="00BB1378"/>
    <w:rsid w:val="00BC2074"/>
    <w:rsid w:val="00BC4171"/>
    <w:rsid w:val="00BC472A"/>
    <w:rsid w:val="00C007B4"/>
    <w:rsid w:val="00C3586C"/>
    <w:rsid w:val="00C42A18"/>
    <w:rsid w:val="00C57C9C"/>
    <w:rsid w:val="00C7050F"/>
    <w:rsid w:val="00C7141C"/>
    <w:rsid w:val="00C87CA2"/>
    <w:rsid w:val="00CA0510"/>
    <w:rsid w:val="00CB0CE6"/>
    <w:rsid w:val="00CB784C"/>
    <w:rsid w:val="00CC5510"/>
    <w:rsid w:val="00CE0306"/>
    <w:rsid w:val="00CF4410"/>
    <w:rsid w:val="00D23EE2"/>
    <w:rsid w:val="00D3402E"/>
    <w:rsid w:val="00D672A7"/>
    <w:rsid w:val="00D819DA"/>
    <w:rsid w:val="00DB0AD1"/>
    <w:rsid w:val="00DB38D8"/>
    <w:rsid w:val="00DD274F"/>
    <w:rsid w:val="00DD67B8"/>
    <w:rsid w:val="00DD70CA"/>
    <w:rsid w:val="00DF27F8"/>
    <w:rsid w:val="00DF7A05"/>
    <w:rsid w:val="00E17D59"/>
    <w:rsid w:val="00E25FB2"/>
    <w:rsid w:val="00E509F1"/>
    <w:rsid w:val="00E5529F"/>
    <w:rsid w:val="00E7285F"/>
    <w:rsid w:val="00EC72DC"/>
    <w:rsid w:val="00ED136A"/>
    <w:rsid w:val="00ED2EAC"/>
    <w:rsid w:val="00F069AD"/>
    <w:rsid w:val="00F2128C"/>
    <w:rsid w:val="00F233A7"/>
    <w:rsid w:val="00F6742D"/>
    <w:rsid w:val="00F74EE9"/>
    <w:rsid w:val="00F96726"/>
    <w:rsid w:val="00FA46AE"/>
    <w:rsid w:val="00FB2B3B"/>
    <w:rsid w:val="00FD5E94"/>
    <w:rsid w:val="00FF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0EB10BE"/>
  <w15:chartTrackingRefBased/>
  <w15:docId w15:val="{7B17E47F-BFA2-42E6-8AD2-7988866E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unhideWhenUsed/>
    <w:rsid w:val="00FB2B3B"/>
    <w:rPr>
      <w:color w:val="0563C1" w:themeColor="hyperlink"/>
      <w:u w:val="single"/>
    </w:rPr>
  </w:style>
  <w:style w:type="character" w:styleId="UnresolvedMention">
    <w:name w:val="Unresolved Mention"/>
    <w:basedOn w:val="DefaultParagraphFont"/>
    <w:uiPriority w:val="99"/>
    <w:semiHidden/>
    <w:unhideWhenUsed/>
    <w:rsid w:val="00FB2B3B"/>
    <w:rPr>
      <w:color w:val="605E5C"/>
      <w:shd w:val="clear" w:color="auto" w:fill="E1DFDD"/>
    </w:rPr>
  </w:style>
  <w:style w:type="paragraph" w:styleId="BalloonText">
    <w:name w:val="Balloon Text"/>
    <w:basedOn w:val="Normal"/>
    <w:link w:val="BalloonTextChar"/>
    <w:uiPriority w:val="99"/>
    <w:semiHidden/>
    <w:unhideWhenUsed/>
    <w:rsid w:val="008823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337"/>
    <w:rPr>
      <w:rFonts w:ascii="Segoe UI" w:hAnsi="Segoe UI" w:cs="Segoe UI"/>
      <w:sz w:val="18"/>
      <w:szCs w:val="18"/>
    </w:rPr>
  </w:style>
  <w:style w:type="paragraph" w:styleId="Header">
    <w:name w:val="header"/>
    <w:basedOn w:val="Normal"/>
    <w:link w:val="HeaderChar"/>
    <w:uiPriority w:val="99"/>
    <w:unhideWhenUsed/>
    <w:rsid w:val="00247114"/>
    <w:pPr>
      <w:tabs>
        <w:tab w:val="center" w:pos="4680"/>
        <w:tab w:val="right" w:pos="9360"/>
      </w:tabs>
    </w:pPr>
  </w:style>
  <w:style w:type="character" w:customStyle="1" w:styleId="HeaderChar">
    <w:name w:val="Header Char"/>
    <w:basedOn w:val="DefaultParagraphFont"/>
    <w:link w:val="Header"/>
    <w:uiPriority w:val="99"/>
    <w:rsid w:val="00247114"/>
  </w:style>
  <w:style w:type="paragraph" w:styleId="Footer">
    <w:name w:val="footer"/>
    <w:basedOn w:val="Normal"/>
    <w:link w:val="FooterChar"/>
    <w:uiPriority w:val="99"/>
    <w:unhideWhenUsed/>
    <w:rsid w:val="00247114"/>
    <w:pPr>
      <w:tabs>
        <w:tab w:val="center" w:pos="4680"/>
        <w:tab w:val="right" w:pos="9360"/>
      </w:tabs>
    </w:pPr>
  </w:style>
  <w:style w:type="character" w:customStyle="1" w:styleId="FooterChar">
    <w:name w:val="Footer Char"/>
    <w:basedOn w:val="DefaultParagraphFont"/>
    <w:link w:val="Footer"/>
    <w:uiPriority w:val="99"/>
    <w:rsid w:val="00247114"/>
  </w:style>
  <w:style w:type="paragraph" w:styleId="FootnoteText">
    <w:name w:val="footnote text"/>
    <w:basedOn w:val="Normal"/>
    <w:link w:val="FootnoteTextChar"/>
    <w:uiPriority w:val="99"/>
    <w:semiHidden/>
    <w:unhideWhenUsed/>
    <w:rsid w:val="00B52A3F"/>
    <w:rPr>
      <w:sz w:val="20"/>
      <w:szCs w:val="20"/>
    </w:rPr>
  </w:style>
  <w:style w:type="character" w:customStyle="1" w:styleId="FootnoteTextChar">
    <w:name w:val="Footnote Text Char"/>
    <w:basedOn w:val="DefaultParagraphFont"/>
    <w:link w:val="FootnoteText"/>
    <w:uiPriority w:val="99"/>
    <w:semiHidden/>
    <w:rsid w:val="00B52A3F"/>
    <w:rPr>
      <w:sz w:val="20"/>
      <w:szCs w:val="20"/>
    </w:rPr>
  </w:style>
  <w:style w:type="character" w:styleId="FootnoteReference">
    <w:name w:val="footnote reference"/>
    <w:basedOn w:val="DefaultParagraphFont"/>
    <w:uiPriority w:val="99"/>
    <w:semiHidden/>
    <w:unhideWhenUsed/>
    <w:rsid w:val="00B52A3F"/>
    <w:rPr>
      <w:vertAlign w:val="superscript"/>
    </w:rPr>
  </w:style>
  <w:style w:type="paragraph" w:styleId="ListParagraph">
    <w:name w:val="List Paragraph"/>
    <w:basedOn w:val="Normal"/>
    <w:uiPriority w:val="34"/>
    <w:qFormat/>
    <w:rsid w:val="003F3E23"/>
    <w:pPr>
      <w:ind w:left="720"/>
      <w:contextualSpacing/>
    </w:pPr>
  </w:style>
  <w:style w:type="character" w:styleId="FollowedHyperlink">
    <w:name w:val="FollowedHyperlink"/>
    <w:basedOn w:val="DefaultParagraphFont"/>
    <w:uiPriority w:val="99"/>
    <w:semiHidden/>
    <w:unhideWhenUsed/>
    <w:rsid w:val="00145CB7"/>
    <w:rPr>
      <w:color w:val="954F72" w:themeColor="followedHyperlink"/>
      <w:u w:val="single"/>
    </w:rPr>
  </w:style>
  <w:style w:type="character" w:styleId="CommentReference">
    <w:name w:val="annotation reference"/>
    <w:basedOn w:val="DefaultParagraphFont"/>
    <w:uiPriority w:val="99"/>
    <w:semiHidden/>
    <w:unhideWhenUsed/>
    <w:rsid w:val="00D23EE2"/>
    <w:rPr>
      <w:sz w:val="16"/>
      <w:szCs w:val="16"/>
    </w:rPr>
  </w:style>
  <w:style w:type="paragraph" w:styleId="CommentText">
    <w:name w:val="annotation text"/>
    <w:basedOn w:val="Normal"/>
    <w:link w:val="CommentTextChar"/>
    <w:uiPriority w:val="99"/>
    <w:semiHidden/>
    <w:unhideWhenUsed/>
    <w:rsid w:val="00D23EE2"/>
    <w:rPr>
      <w:sz w:val="20"/>
      <w:szCs w:val="20"/>
    </w:rPr>
  </w:style>
  <w:style w:type="character" w:customStyle="1" w:styleId="CommentTextChar">
    <w:name w:val="Comment Text Char"/>
    <w:basedOn w:val="DefaultParagraphFont"/>
    <w:link w:val="CommentText"/>
    <w:uiPriority w:val="99"/>
    <w:semiHidden/>
    <w:rsid w:val="00D23EE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nurse.org/articles/enhanced-compact-multi-state-license-eNLC/" TargetMode="External"/><Relationship Id="rId3" Type="http://schemas.openxmlformats.org/officeDocument/2006/relationships/hyperlink" Target="https://www.networkforphl.org/wp-content/uploads/2020/01/Emergency-Declaration-Authorities.pdf" TargetMode="External"/><Relationship Id="rId7" Type="http://schemas.openxmlformats.org/officeDocument/2006/relationships/hyperlink" Target="https://nurse.org/articles/enhanced-compact-multi-state-license-eNLC/" TargetMode="External"/><Relationship Id="rId2" Type="http://schemas.openxmlformats.org/officeDocument/2006/relationships/hyperlink" Target="https://www.uniformlaws.org/committees/community-home?CommunityKey=565933ce-965f-4d3c-9c90-b00246f30f2d" TargetMode="External"/><Relationship Id="rId1" Type="http://schemas.openxmlformats.org/officeDocument/2006/relationships/hyperlink" Target="https://www.phe.gov/esarvhp/Pages/about.aspx" TargetMode="External"/><Relationship Id="rId6" Type="http://schemas.openxmlformats.org/officeDocument/2006/relationships/hyperlink" Target="http://apps.csg.org/ncic/Compact.aspx?id=34" TargetMode="External"/><Relationship Id="rId11" Type="http://schemas.openxmlformats.org/officeDocument/2006/relationships/hyperlink" Target="https://www.phe.gov/Preparedness/legal/Pages/phe-qa.aspx" TargetMode="External"/><Relationship Id="rId5" Type="http://schemas.openxmlformats.org/officeDocument/2006/relationships/hyperlink" Target="https://www.emacweb.org/index.php/learn-about-emac/emac-legislation" TargetMode="External"/><Relationship Id="rId10" Type="http://schemas.openxmlformats.org/officeDocument/2006/relationships/hyperlink" Target="https://www.ncsbn.org/nurse-licensure-compact.htm" TargetMode="External"/><Relationship Id="rId4" Type="http://schemas.openxmlformats.org/officeDocument/2006/relationships/hyperlink" Target="https://www.ncbi.nlm.nih.gov/pmc/articles/PMC5956522/" TargetMode="External"/><Relationship Id="rId9" Type="http://schemas.openxmlformats.org/officeDocument/2006/relationships/hyperlink" Target="https://nurse.org/articles/enhanced-compact-multi-state-license-eN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1D2EE-71C5-4C93-862B-419279793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2079</Words>
  <Characters>11854</Characters>
  <Application>Microsoft Office Word</Application>
  <DocSecurity>0</DocSecurity>
  <Lines>98</Lines>
  <Paragraphs>27</Paragraphs>
  <ScaleCrop>false</ScaleCrop>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74</cp:revision>
  <dcterms:created xsi:type="dcterms:W3CDTF">2020-08-08T00:56:00Z</dcterms:created>
  <dcterms:modified xsi:type="dcterms:W3CDTF">2020-08-27T23:23:00Z</dcterms:modified>
</cp:coreProperties>
</file>