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082F8D" w14:textId="29ED6E18" w:rsidR="00734F38" w:rsidRDefault="003D7EC2" w:rsidP="003D7EC2">
      <w:pPr>
        <w:spacing w:after="120"/>
        <w:jc w:val="center"/>
        <w:rPr>
          <w:b/>
          <w:bCs/>
          <w:sz w:val="24"/>
          <w:szCs w:val="24"/>
        </w:rPr>
      </w:pPr>
      <w:r w:rsidRPr="00C30220">
        <w:rPr>
          <w:b/>
          <w:bCs/>
        </w:rPr>
        <w:t>CSTE Legal Barriers Toolkit Series</w:t>
      </w:r>
    </w:p>
    <w:p w14:paraId="3A4FC0E9" w14:textId="0EAEF560" w:rsidR="00B75B7F" w:rsidRPr="00E45CC2" w:rsidRDefault="00E45CC2" w:rsidP="00E45CC2">
      <w:pPr>
        <w:jc w:val="center"/>
        <w:rPr>
          <w:b/>
          <w:bCs/>
        </w:rPr>
      </w:pPr>
      <w:r w:rsidRPr="00E45CC2">
        <w:rPr>
          <w:b/>
          <w:bCs/>
          <w:sz w:val="24"/>
          <w:szCs w:val="24"/>
        </w:rPr>
        <w:t>VOLUNTEER REGISTRATION AND VERIFICATION</w:t>
      </w:r>
    </w:p>
    <w:p w14:paraId="23BDD6CC" w14:textId="44E602E9" w:rsidR="00E45CC2" w:rsidRDefault="00E45CC2" w:rsidP="00E45CC2">
      <w:pPr>
        <w:jc w:val="center"/>
      </w:pPr>
    </w:p>
    <w:p w14:paraId="38BBAFD3" w14:textId="77777777" w:rsidR="0085758F" w:rsidRDefault="0085758F" w:rsidP="0085758F">
      <w:pPr>
        <w:spacing w:line="360" w:lineRule="auto"/>
        <w:ind w:left="720"/>
        <w:rPr>
          <w:b/>
          <w:bCs/>
          <w:i/>
          <w:iCs/>
        </w:rPr>
      </w:pPr>
    </w:p>
    <w:p w14:paraId="470A8454" w14:textId="5BBE3D3E" w:rsidR="00E45CC2" w:rsidRDefault="00A72A86" w:rsidP="0085758F">
      <w:pPr>
        <w:spacing w:line="360" w:lineRule="auto"/>
        <w:ind w:left="720"/>
        <w:rPr>
          <w:i/>
          <w:iCs/>
        </w:rPr>
      </w:pPr>
      <w:r w:rsidRPr="00CF24F3">
        <w:rPr>
          <w:b/>
          <w:bCs/>
          <w:i/>
          <w:iCs/>
        </w:rPr>
        <w:t>Notice to readers</w:t>
      </w:r>
      <w:r w:rsidRPr="007747E2">
        <w:rPr>
          <w:i/>
          <w:iCs/>
        </w:rPr>
        <w:t xml:space="preserve">: </w:t>
      </w:r>
      <w:r w:rsidRPr="00420287">
        <w:rPr>
          <w:i/>
          <w:iCs/>
        </w:rPr>
        <w:t xml:space="preserve">The COVID-19 pandemic has prompted the unprecedented widespread implementation of public health emergency legal authorities and programs. Because of the evolving nature of COVID-19 </w:t>
      </w:r>
      <w:r>
        <w:rPr>
          <w:i/>
          <w:iCs/>
        </w:rPr>
        <w:t>and other future public health emergencies</w:t>
      </w:r>
      <w:r w:rsidRPr="00420287">
        <w:rPr>
          <w:i/>
          <w:iCs/>
        </w:rPr>
        <w:t xml:space="preserve">, the description, interpretation, and ultimate efficacy of the legal authorities and programs </w:t>
      </w:r>
      <w:r>
        <w:rPr>
          <w:i/>
          <w:iCs/>
        </w:rPr>
        <w:t>discussed</w:t>
      </w:r>
      <w:r w:rsidRPr="00420287">
        <w:rPr>
          <w:i/>
          <w:iCs/>
        </w:rPr>
        <w:t xml:space="preserve"> </w:t>
      </w:r>
      <w:r>
        <w:rPr>
          <w:i/>
          <w:iCs/>
        </w:rPr>
        <w:t>here</w:t>
      </w:r>
      <w:r w:rsidRPr="00420287">
        <w:rPr>
          <w:i/>
          <w:iCs/>
        </w:rPr>
        <w:t xml:space="preserve"> may </w:t>
      </w:r>
      <w:r>
        <w:rPr>
          <w:i/>
          <w:iCs/>
        </w:rPr>
        <w:t xml:space="preserve">have changed since this document was created in </w:t>
      </w:r>
      <w:r w:rsidR="005D5420">
        <w:rPr>
          <w:i/>
          <w:iCs/>
        </w:rPr>
        <w:t>July 2020.</w:t>
      </w:r>
      <w:r w:rsidR="00F83822">
        <w:rPr>
          <w:i/>
          <w:iCs/>
        </w:rPr>
        <w:t xml:space="preserve"> </w:t>
      </w:r>
    </w:p>
    <w:p w14:paraId="6A4FFA7E" w14:textId="77777777" w:rsidR="0085758F" w:rsidRPr="0085758F" w:rsidRDefault="0085758F" w:rsidP="0085758F">
      <w:pPr>
        <w:spacing w:line="360" w:lineRule="auto"/>
      </w:pPr>
    </w:p>
    <w:p w14:paraId="40C435F1" w14:textId="77777777" w:rsidR="005B1EF8" w:rsidRDefault="00535263" w:rsidP="005B1EF8">
      <w:pPr>
        <w:spacing w:line="360" w:lineRule="auto"/>
        <w:rPr>
          <w:rFonts w:ascii="Calibri" w:eastAsia="Times New Roman" w:hAnsi="Calibri" w:cs="Calibri"/>
          <w:b/>
          <w:bCs/>
          <w:color w:val="3C3030"/>
          <w:sz w:val="24"/>
          <w:szCs w:val="24"/>
        </w:rPr>
      </w:pPr>
      <w:r w:rsidRPr="0059424D">
        <w:rPr>
          <w:rFonts w:ascii="Calibri" w:eastAsia="Times New Roman" w:hAnsi="Calibri" w:cs="Calibri"/>
          <w:b/>
          <w:bCs/>
          <w:color w:val="3C3030"/>
          <w:sz w:val="24"/>
          <w:szCs w:val="24"/>
        </w:rPr>
        <w:t>Overview</w:t>
      </w:r>
    </w:p>
    <w:p w14:paraId="06320078" w14:textId="77777777" w:rsidR="00CD5473" w:rsidRDefault="00535263" w:rsidP="005B1EF8">
      <w:pPr>
        <w:spacing w:line="360" w:lineRule="auto"/>
        <w:rPr>
          <w:rFonts w:ascii="Calibri" w:eastAsia="Times New Roman" w:hAnsi="Calibri" w:cs="Calibri"/>
          <w:color w:val="000000" w:themeColor="text1"/>
          <w:szCs w:val="20"/>
        </w:rPr>
      </w:pPr>
      <w:r w:rsidRPr="0059424D">
        <w:rPr>
          <w:rFonts w:ascii="Calibri" w:eastAsia="Times New Roman" w:hAnsi="Calibri" w:cs="Calibri"/>
          <w:color w:val="000000" w:themeColor="text1"/>
          <w:szCs w:val="20"/>
        </w:rPr>
        <w:t xml:space="preserve">Emergency volunteers are unpaid, uncompensated workers who willingly give their time and effort to emergency preparedness and response activities. </w:t>
      </w:r>
      <w:r w:rsidR="00BB5D20">
        <w:rPr>
          <w:rFonts w:ascii="Calibri" w:eastAsia="Times New Roman" w:hAnsi="Calibri" w:cs="Calibri"/>
          <w:color w:val="000000" w:themeColor="text1"/>
          <w:szCs w:val="20"/>
        </w:rPr>
        <w:t xml:space="preserve">Volunteers may </w:t>
      </w:r>
      <w:r w:rsidR="00C146B0">
        <w:rPr>
          <w:rFonts w:ascii="Calibri" w:eastAsia="Times New Roman" w:hAnsi="Calibri" w:cs="Calibri"/>
          <w:color w:val="000000" w:themeColor="text1"/>
          <w:szCs w:val="20"/>
        </w:rPr>
        <w:t xml:space="preserve">deploy through a range of </w:t>
      </w:r>
      <w:r w:rsidR="00F4256A">
        <w:rPr>
          <w:rFonts w:ascii="Calibri" w:eastAsia="Times New Roman" w:hAnsi="Calibri" w:cs="Calibri"/>
          <w:color w:val="000000" w:themeColor="text1"/>
          <w:szCs w:val="20"/>
        </w:rPr>
        <w:t>governmental and nongovernmental programs</w:t>
      </w:r>
      <w:r w:rsidR="00051881">
        <w:rPr>
          <w:rFonts w:ascii="Calibri" w:eastAsia="Times New Roman" w:hAnsi="Calibri" w:cs="Calibri"/>
          <w:color w:val="000000" w:themeColor="text1"/>
          <w:szCs w:val="20"/>
        </w:rPr>
        <w:t xml:space="preserve">. There </w:t>
      </w:r>
      <w:r w:rsidR="0072047B">
        <w:rPr>
          <w:rFonts w:ascii="Calibri" w:eastAsia="Times New Roman" w:hAnsi="Calibri" w:cs="Calibri"/>
          <w:color w:val="000000" w:themeColor="text1"/>
          <w:szCs w:val="20"/>
        </w:rPr>
        <w:t>are</w:t>
      </w:r>
      <w:r w:rsidR="00AD7D43">
        <w:rPr>
          <w:rFonts w:ascii="Calibri" w:eastAsia="Times New Roman" w:hAnsi="Calibri" w:cs="Calibri"/>
          <w:color w:val="000000" w:themeColor="text1"/>
          <w:szCs w:val="20"/>
        </w:rPr>
        <w:t xml:space="preserve"> multiple avenues through which </w:t>
      </w:r>
      <w:r w:rsidR="00C90F7E">
        <w:rPr>
          <w:rFonts w:ascii="Calibri" w:eastAsia="Times New Roman" w:hAnsi="Calibri" w:cs="Calibri"/>
          <w:color w:val="000000" w:themeColor="text1"/>
          <w:szCs w:val="20"/>
        </w:rPr>
        <w:t>volunteers</w:t>
      </w:r>
      <w:r w:rsidR="004E7DB2">
        <w:rPr>
          <w:rFonts w:ascii="Calibri" w:eastAsia="Times New Roman" w:hAnsi="Calibri" w:cs="Calibri"/>
          <w:color w:val="000000" w:themeColor="text1"/>
          <w:szCs w:val="20"/>
        </w:rPr>
        <w:t xml:space="preserve"> </w:t>
      </w:r>
      <w:r w:rsidR="003C1308">
        <w:rPr>
          <w:rFonts w:ascii="Calibri" w:eastAsia="Times New Roman" w:hAnsi="Calibri" w:cs="Calibri"/>
          <w:color w:val="000000" w:themeColor="text1"/>
          <w:szCs w:val="20"/>
        </w:rPr>
        <w:t>may register</w:t>
      </w:r>
      <w:r w:rsidR="007974EC">
        <w:rPr>
          <w:rFonts w:ascii="Calibri" w:eastAsia="Times New Roman" w:hAnsi="Calibri" w:cs="Calibri"/>
          <w:color w:val="000000" w:themeColor="text1"/>
          <w:szCs w:val="20"/>
        </w:rPr>
        <w:t xml:space="preserve"> and be deployed </w:t>
      </w:r>
      <w:r w:rsidR="002900FA">
        <w:rPr>
          <w:rFonts w:ascii="Calibri" w:eastAsia="Times New Roman" w:hAnsi="Calibri" w:cs="Calibri"/>
          <w:color w:val="000000" w:themeColor="text1"/>
          <w:szCs w:val="20"/>
        </w:rPr>
        <w:t xml:space="preserve">within their own </w:t>
      </w:r>
      <w:r w:rsidR="002C1BC2">
        <w:rPr>
          <w:rFonts w:ascii="Calibri" w:eastAsia="Times New Roman" w:hAnsi="Calibri" w:cs="Calibri"/>
          <w:color w:val="000000" w:themeColor="text1"/>
          <w:szCs w:val="20"/>
        </w:rPr>
        <w:t xml:space="preserve">and to other jurisdictions. </w:t>
      </w:r>
      <w:r w:rsidR="001111DE">
        <w:rPr>
          <w:rFonts w:ascii="Calibri" w:eastAsia="Times New Roman" w:hAnsi="Calibri" w:cs="Calibri"/>
          <w:color w:val="000000" w:themeColor="text1"/>
          <w:szCs w:val="20"/>
        </w:rPr>
        <w:t>Volunteer management program</w:t>
      </w:r>
      <w:r w:rsidR="00C5598D">
        <w:rPr>
          <w:rFonts w:ascii="Calibri" w:eastAsia="Times New Roman" w:hAnsi="Calibri" w:cs="Calibri"/>
          <w:color w:val="000000" w:themeColor="text1"/>
          <w:szCs w:val="20"/>
        </w:rPr>
        <w:t xml:space="preserve">s </w:t>
      </w:r>
      <w:r w:rsidR="00812AF6">
        <w:rPr>
          <w:rFonts w:ascii="Calibri" w:eastAsia="Times New Roman" w:hAnsi="Calibri" w:cs="Calibri"/>
          <w:color w:val="000000" w:themeColor="text1"/>
          <w:szCs w:val="20"/>
        </w:rPr>
        <w:t>foster</w:t>
      </w:r>
      <w:r w:rsidR="009B2D0C">
        <w:rPr>
          <w:rFonts w:ascii="Calibri" w:eastAsia="Times New Roman" w:hAnsi="Calibri" w:cs="Calibri"/>
          <w:color w:val="000000" w:themeColor="text1"/>
          <w:szCs w:val="20"/>
        </w:rPr>
        <w:t xml:space="preserve"> a comprehensive </w:t>
      </w:r>
      <w:r w:rsidR="008D7197">
        <w:rPr>
          <w:rFonts w:ascii="Calibri" w:eastAsia="Times New Roman" w:hAnsi="Calibri" w:cs="Calibri"/>
          <w:color w:val="000000" w:themeColor="text1"/>
          <w:szCs w:val="20"/>
        </w:rPr>
        <w:t>approach in re</w:t>
      </w:r>
      <w:r w:rsidR="00FE20D2">
        <w:rPr>
          <w:rFonts w:ascii="Calibri" w:eastAsia="Times New Roman" w:hAnsi="Calibri" w:cs="Calibri"/>
          <w:color w:val="000000" w:themeColor="text1"/>
          <w:szCs w:val="20"/>
        </w:rPr>
        <w:t>gis</w:t>
      </w:r>
      <w:r w:rsidR="00013DA1">
        <w:rPr>
          <w:rFonts w:ascii="Calibri" w:eastAsia="Times New Roman" w:hAnsi="Calibri" w:cs="Calibri"/>
          <w:color w:val="000000" w:themeColor="text1"/>
          <w:szCs w:val="20"/>
        </w:rPr>
        <w:t xml:space="preserve">tering, training, </w:t>
      </w:r>
      <w:r w:rsidR="00FF509B">
        <w:rPr>
          <w:rFonts w:ascii="Calibri" w:eastAsia="Times New Roman" w:hAnsi="Calibri" w:cs="Calibri"/>
          <w:color w:val="000000" w:themeColor="text1"/>
          <w:szCs w:val="20"/>
        </w:rPr>
        <w:t xml:space="preserve">and </w:t>
      </w:r>
      <w:r w:rsidR="0092630B">
        <w:rPr>
          <w:rFonts w:ascii="Calibri" w:eastAsia="Times New Roman" w:hAnsi="Calibri" w:cs="Calibri"/>
          <w:color w:val="000000" w:themeColor="text1"/>
          <w:szCs w:val="20"/>
        </w:rPr>
        <w:t>deploying</w:t>
      </w:r>
      <w:r w:rsidR="001111DE">
        <w:rPr>
          <w:rFonts w:ascii="Calibri" w:eastAsia="Times New Roman" w:hAnsi="Calibri" w:cs="Calibri"/>
          <w:color w:val="000000" w:themeColor="text1"/>
          <w:szCs w:val="20"/>
        </w:rPr>
        <w:t xml:space="preserve"> </w:t>
      </w:r>
      <w:r w:rsidR="00FF509B">
        <w:rPr>
          <w:rFonts w:ascii="Calibri" w:eastAsia="Times New Roman" w:hAnsi="Calibri" w:cs="Calibri"/>
          <w:color w:val="000000" w:themeColor="text1"/>
          <w:szCs w:val="20"/>
        </w:rPr>
        <w:t>volunteers.</w:t>
      </w:r>
      <w:r w:rsidR="001D30C8">
        <w:rPr>
          <w:rFonts w:ascii="Calibri" w:eastAsia="Times New Roman" w:hAnsi="Calibri" w:cs="Calibri"/>
          <w:color w:val="000000" w:themeColor="text1"/>
          <w:szCs w:val="20"/>
        </w:rPr>
        <w:t xml:space="preserve"> Whe</w:t>
      </w:r>
      <w:r w:rsidR="00655504">
        <w:rPr>
          <w:rFonts w:ascii="Calibri" w:eastAsia="Times New Roman" w:hAnsi="Calibri" w:cs="Calibri"/>
          <w:color w:val="000000" w:themeColor="text1"/>
          <w:szCs w:val="20"/>
        </w:rPr>
        <w:t xml:space="preserve">n a volunteer is a health professional or </w:t>
      </w:r>
      <w:r w:rsidR="006D7FA0">
        <w:rPr>
          <w:rFonts w:ascii="Calibri" w:eastAsia="Times New Roman" w:hAnsi="Calibri" w:cs="Calibri"/>
          <w:color w:val="000000" w:themeColor="text1"/>
          <w:szCs w:val="20"/>
        </w:rPr>
        <w:t>in an</w:t>
      </w:r>
      <w:r w:rsidR="00655504">
        <w:rPr>
          <w:rFonts w:ascii="Calibri" w:eastAsia="Times New Roman" w:hAnsi="Calibri" w:cs="Calibri"/>
          <w:color w:val="000000" w:themeColor="text1"/>
          <w:szCs w:val="20"/>
        </w:rPr>
        <w:t xml:space="preserve">other </w:t>
      </w:r>
      <w:r w:rsidR="006E11A7">
        <w:rPr>
          <w:rFonts w:ascii="Calibri" w:eastAsia="Times New Roman" w:hAnsi="Calibri" w:cs="Calibri"/>
          <w:color w:val="000000" w:themeColor="text1"/>
          <w:szCs w:val="20"/>
        </w:rPr>
        <w:t xml:space="preserve">regulated profession, the ability to </w:t>
      </w:r>
      <w:r w:rsidR="00381142">
        <w:rPr>
          <w:rFonts w:ascii="Calibri" w:eastAsia="Times New Roman" w:hAnsi="Calibri" w:cs="Calibri"/>
          <w:color w:val="000000" w:themeColor="text1"/>
          <w:szCs w:val="20"/>
        </w:rPr>
        <w:t xml:space="preserve">confirm their </w:t>
      </w:r>
      <w:r w:rsidR="006D6DCB">
        <w:rPr>
          <w:rFonts w:ascii="Calibri" w:eastAsia="Times New Roman" w:hAnsi="Calibri" w:cs="Calibri"/>
          <w:color w:val="000000" w:themeColor="text1"/>
          <w:szCs w:val="20"/>
        </w:rPr>
        <w:t>qualifications add another layer of complexity to the process</w:t>
      </w:r>
      <w:r w:rsidR="004A05BE">
        <w:rPr>
          <w:rFonts w:ascii="Calibri" w:eastAsia="Times New Roman" w:hAnsi="Calibri" w:cs="Calibri"/>
          <w:color w:val="000000" w:themeColor="text1"/>
          <w:szCs w:val="20"/>
        </w:rPr>
        <w:t>.</w:t>
      </w:r>
      <w:r w:rsidR="003A7FA7">
        <w:rPr>
          <w:rFonts w:ascii="Calibri" w:eastAsia="Times New Roman" w:hAnsi="Calibri" w:cs="Calibri"/>
          <w:color w:val="000000" w:themeColor="text1"/>
          <w:szCs w:val="20"/>
        </w:rPr>
        <w:t xml:space="preserve"> </w:t>
      </w:r>
    </w:p>
    <w:p w14:paraId="483DB08F" w14:textId="77777777" w:rsidR="00CD5473" w:rsidRDefault="00CD5473" w:rsidP="005B1EF8">
      <w:pPr>
        <w:spacing w:line="360" w:lineRule="auto"/>
        <w:rPr>
          <w:rFonts w:ascii="Calibri" w:eastAsia="Times New Roman" w:hAnsi="Calibri" w:cs="Calibri"/>
          <w:color w:val="000000" w:themeColor="text1"/>
          <w:szCs w:val="20"/>
        </w:rPr>
      </w:pPr>
    </w:p>
    <w:p w14:paraId="4887ECD9" w14:textId="6185818E" w:rsidR="003A7FA7" w:rsidRPr="003A7FA7" w:rsidRDefault="000C4D73" w:rsidP="005B1EF8">
      <w:pPr>
        <w:spacing w:line="360" w:lineRule="auto"/>
        <w:rPr>
          <w:rFonts w:ascii="Calibri" w:eastAsia="Times New Roman" w:hAnsi="Calibri" w:cs="Calibri"/>
          <w:color w:val="000000" w:themeColor="text1"/>
          <w:szCs w:val="20"/>
        </w:rPr>
      </w:pPr>
      <w:r>
        <w:rPr>
          <w:rFonts w:ascii="Calibri" w:eastAsia="Times New Roman" w:hAnsi="Calibri" w:cs="Calibri"/>
          <w:color w:val="000000" w:themeColor="text1"/>
          <w:szCs w:val="20"/>
        </w:rPr>
        <w:t>The COVID-19 pandemic</w:t>
      </w:r>
      <w:r w:rsidR="00CD5473">
        <w:rPr>
          <w:rFonts w:ascii="Calibri" w:eastAsia="Times New Roman" w:hAnsi="Calibri" w:cs="Calibri"/>
          <w:color w:val="000000" w:themeColor="text1"/>
          <w:szCs w:val="20"/>
        </w:rPr>
        <w:t xml:space="preserve"> created widespread need</w:t>
      </w:r>
      <w:r w:rsidR="00E47AA0">
        <w:rPr>
          <w:rFonts w:ascii="Calibri" w:eastAsia="Times New Roman" w:hAnsi="Calibri" w:cs="Calibri"/>
          <w:color w:val="000000" w:themeColor="text1"/>
          <w:szCs w:val="20"/>
        </w:rPr>
        <w:t xml:space="preserve"> for volunteers, especially those in the healthcare professions</w:t>
      </w:r>
      <w:r w:rsidR="00750784">
        <w:rPr>
          <w:rFonts w:ascii="Calibri" w:eastAsia="Times New Roman" w:hAnsi="Calibri" w:cs="Calibri"/>
          <w:color w:val="000000" w:themeColor="text1"/>
          <w:szCs w:val="20"/>
        </w:rPr>
        <w:t>, because of the geographic scope and duration of the pandemic</w:t>
      </w:r>
      <w:r w:rsidR="004663CA">
        <w:rPr>
          <w:rFonts w:ascii="Calibri" w:eastAsia="Times New Roman" w:hAnsi="Calibri" w:cs="Calibri"/>
          <w:color w:val="000000" w:themeColor="text1"/>
          <w:szCs w:val="20"/>
        </w:rPr>
        <w:t xml:space="preserve">. Emergency volunteers were also needed to respond to </w:t>
      </w:r>
      <w:r w:rsidR="0051724D">
        <w:rPr>
          <w:rFonts w:ascii="Calibri" w:eastAsia="Times New Roman" w:hAnsi="Calibri" w:cs="Calibri"/>
          <w:color w:val="000000" w:themeColor="text1"/>
          <w:szCs w:val="20"/>
        </w:rPr>
        <w:t xml:space="preserve">seasonal </w:t>
      </w:r>
      <w:r w:rsidR="004663CA">
        <w:rPr>
          <w:rFonts w:ascii="Calibri" w:eastAsia="Times New Roman" w:hAnsi="Calibri" w:cs="Calibri"/>
          <w:color w:val="000000" w:themeColor="text1"/>
          <w:szCs w:val="20"/>
        </w:rPr>
        <w:t xml:space="preserve">hurricanes, fires, and other disasters that </w:t>
      </w:r>
      <w:r w:rsidR="0051724D">
        <w:rPr>
          <w:rFonts w:ascii="Calibri" w:eastAsia="Times New Roman" w:hAnsi="Calibri" w:cs="Calibri"/>
          <w:color w:val="000000" w:themeColor="text1"/>
          <w:szCs w:val="20"/>
        </w:rPr>
        <w:t xml:space="preserve">continued to occur during the pandemic. </w:t>
      </w:r>
      <w:r w:rsidR="00B55BCC">
        <w:rPr>
          <w:rFonts w:ascii="Calibri" w:eastAsia="Times New Roman" w:hAnsi="Calibri" w:cs="Calibri"/>
          <w:color w:val="000000" w:themeColor="text1"/>
          <w:szCs w:val="20"/>
        </w:rPr>
        <w:t xml:space="preserve">The systems discussed in this </w:t>
      </w:r>
      <w:r w:rsidR="00DF43D1">
        <w:rPr>
          <w:rFonts w:ascii="Calibri" w:eastAsia="Times New Roman" w:hAnsi="Calibri" w:cs="Calibri"/>
          <w:color w:val="000000" w:themeColor="text1"/>
          <w:szCs w:val="20"/>
        </w:rPr>
        <w:t>document played a key role the response to both COVID-19 and other emergencies</w:t>
      </w:r>
      <w:r w:rsidR="00DF0B99">
        <w:rPr>
          <w:rFonts w:ascii="Calibri" w:eastAsia="Times New Roman" w:hAnsi="Calibri" w:cs="Calibri"/>
          <w:color w:val="000000" w:themeColor="text1"/>
          <w:szCs w:val="20"/>
        </w:rPr>
        <w:t xml:space="preserve">. </w:t>
      </w:r>
      <w:r w:rsidR="003A7FA7" w:rsidRPr="00665AA0">
        <w:rPr>
          <w:rFonts w:ascii="Calibri" w:eastAsia="Times New Roman" w:hAnsi="Calibri" w:cs="Calibri"/>
          <w:color w:val="000000" w:themeColor="text1"/>
          <w:szCs w:val="20"/>
        </w:rPr>
        <w:t xml:space="preserve">This document </w:t>
      </w:r>
      <w:r w:rsidR="00A93004" w:rsidRPr="00665AA0">
        <w:rPr>
          <w:rFonts w:ascii="Calibri" w:eastAsia="Times New Roman" w:hAnsi="Calibri" w:cs="Calibri"/>
          <w:color w:val="000000" w:themeColor="text1"/>
          <w:szCs w:val="20"/>
        </w:rPr>
        <w:t xml:space="preserve">provides </w:t>
      </w:r>
      <w:r w:rsidR="008C7F9F" w:rsidRPr="00665AA0">
        <w:rPr>
          <w:rFonts w:ascii="Calibri" w:eastAsia="Times New Roman" w:hAnsi="Calibri" w:cs="Calibri"/>
          <w:color w:val="000000" w:themeColor="text1"/>
          <w:szCs w:val="20"/>
        </w:rPr>
        <w:t xml:space="preserve">an overview </w:t>
      </w:r>
      <w:r w:rsidR="00D3199C">
        <w:rPr>
          <w:rFonts w:ascii="Calibri" w:eastAsia="Times New Roman" w:hAnsi="Calibri" w:cs="Calibri"/>
          <w:color w:val="000000" w:themeColor="text1"/>
          <w:szCs w:val="20"/>
        </w:rPr>
        <w:t xml:space="preserve">of the variety of </w:t>
      </w:r>
      <w:r w:rsidR="003A3A10">
        <w:rPr>
          <w:rFonts w:ascii="Calibri" w:eastAsia="Times New Roman" w:hAnsi="Calibri" w:cs="Calibri"/>
          <w:color w:val="000000" w:themeColor="text1"/>
          <w:szCs w:val="20"/>
        </w:rPr>
        <w:t>volunteer types</w:t>
      </w:r>
      <w:r w:rsidR="009C32BC">
        <w:rPr>
          <w:rFonts w:ascii="Calibri" w:eastAsia="Times New Roman" w:hAnsi="Calibri" w:cs="Calibri"/>
          <w:color w:val="000000" w:themeColor="text1"/>
          <w:szCs w:val="20"/>
        </w:rPr>
        <w:t xml:space="preserve">, </w:t>
      </w:r>
      <w:r w:rsidR="003A3A10">
        <w:rPr>
          <w:rFonts w:ascii="Calibri" w:eastAsia="Times New Roman" w:hAnsi="Calibri" w:cs="Calibri"/>
          <w:color w:val="000000" w:themeColor="text1"/>
          <w:szCs w:val="20"/>
        </w:rPr>
        <w:t>systems to regis</w:t>
      </w:r>
      <w:r w:rsidR="00FE3CC1">
        <w:rPr>
          <w:rFonts w:ascii="Calibri" w:eastAsia="Times New Roman" w:hAnsi="Calibri" w:cs="Calibri"/>
          <w:color w:val="000000" w:themeColor="text1"/>
          <w:szCs w:val="20"/>
        </w:rPr>
        <w:t>ter and verify volunteers</w:t>
      </w:r>
      <w:r w:rsidR="00B9583F">
        <w:rPr>
          <w:rFonts w:ascii="Calibri" w:eastAsia="Times New Roman" w:hAnsi="Calibri" w:cs="Calibri"/>
          <w:color w:val="000000" w:themeColor="text1"/>
          <w:szCs w:val="20"/>
        </w:rPr>
        <w:t>’</w:t>
      </w:r>
      <w:r w:rsidR="00FE3CC1">
        <w:rPr>
          <w:rFonts w:ascii="Calibri" w:eastAsia="Times New Roman" w:hAnsi="Calibri" w:cs="Calibri"/>
          <w:color w:val="000000" w:themeColor="text1"/>
          <w:szCs w:val="20"/>
        </w:rPr>
        <w:t xml:space="preserve"> qualifications</w:t>
      </w:r>
      <w:r w:rsidR="009C32BC">
        <w:rPr>
          <w:rFonts w:ascii="Calibri" w:eastAsia="Times New Roman" w:hAnsi="Calibri" w:cs="Calibri"/>
          <w:color w:val="000000" w:themeColor="text1"/>
          <w:szCs w:val="20"/>
        </w:rPr>
        <w:t xml:space="preserve">, and mechanisms </w:t>
      </w:r>
      <w:r w:rsidR="00B9583F">
        <w:rPr>
          <w:rFonts w:ascii="Calibri" w:eastAsia="Times New Roman" w:hAnsi="Calibri" w:cs="Calibri"/>
          <w:color w:val="000000" w:themeColor="text1"/>
          <w:szCs w:val="20"/>
        </w:rPr>
        <w:t>for reciprocity</w:t>
      </w:r>
      <w:r w:rsidR="002356EF">
        <w:rPr>
          <w:rFonts w:ascii="Calibri" w:eastAsia="Times New Roman" w:hAnsi="Calibri" w:cs="Calibri"/>
          <w:color w:val="000000" w:themeColor="text1"/>
          <w:szCs w:val="20"/>
        </w:rPr>
        <w:t>.</w:t>
      </w:r>
      <w:r w:rsidR="009C6D85">
        <w:rPr>
          <w:rFonts w:ascii="Calibri" w:eastAsia="Times New Roman" w:hAnsi="Calibri" w:cs="Calibri"/>
          <w:color w:val="000000" w:themeColor="text1"/>
          <w:szCs w:val="20"/>
        </w:rPr>
        <w:t xml:space="preserve"> </w:t>
      </w:r>
      <w:r w:rsidR="003A3A10">
        <w:rPr>
          <w:rFonts w:ascii="Calibri" w:eastAsia="Times New Roman" w:hAnsi="Calibri" w:cs="Calibri"/>
          <w:color w:val="000000" w:themeColor="text1"/>
          <w:szCs w:val="20"/>
        </w:rPr>
        <w:t xml:space="preserve"> </w:t>
      </w:r>
    </w:p>
    <w:p w14:paraId="0F03E68C" w14:textId="59C80B16" w:rsidR="00535263" w:rsidRDefault="001877B2" w:rsidP="00600CBD">
      <w:pPr>
        <w:spacing w:line="360" w:lineRule="auto"/>
        <w:rPr>
          <w:rFonts w:ascii="Calibri" w:eastAsia="Times New Roman" w:hAnsi="Calibri" w:cs="Calibri"/>
          <w:b/>
          <w:bCs/>
          <w:color w:val="000000" w:themeColor="text1"/>
          <w:sz w:val="28"/>
          <w:szCs w:val="24"/>
        </w:rPr>
      </w:pPr>
      <w:r>
        <w:rPr>
          <w:noProof/>
        </w:rPr>
        <mc:AlternateContent>
          <mc:Choice Requires="wps">
            <w:drawing>
              <wp:anchor distT="45720" distB="45720" distL="114300" distR="114300" simplePos="0" relativeHeight="251658240" behindDoc="0" locked="0" layoutInCell="1" allowOverlap="1" wp14:anchorId="023C1F8C" wp14:editId="6A5E3769">
                <wp:simplePos x="0" y="0"/>
                <wp:positionH relativeFrom="margin">
                  <wp:align>center</wp:align>
                </wp:positionH>
                <wp:positionV relativeFrom="paragraph">
                  <wp:posOffset>412115</wp:posOffset>
                </wp:positionV>
                <wp:extent cx="5833872" cy="786384"/>
                <wp:effectExtent l="0" t="0" r="14605" b="1397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872" cy="786384"/>
                        </a:xfrm>
                        <a:prstGeom prst="rect">
                          <a:avLst/>
                        </a:prstGeom>
                        <a:solidFill>
                          <a:srgbClr val="FFFFFF"/>
                        </a:solidFill>
                        <a:ln w="9525">
                          <a:solidFill>
                            <a:srgbClr val="000000"/>
                          </a:solidFill>
                          <a:miter lim="800000"/>
                          <a:headEnd/>
                          <a:tailEnd/>
                        </a:ln>
                      </wps:spPr>
                      <wps:txbx>
                        <w:txbxContent>
                          <w:p w14:paraId="065C6C2C" w14:textId="77777777" w:rsidR="009060E0" w:rsidRPr="00CA76E9" w:rsidRDefault="009060E0" w:rsidP="009060E0">
                            <w:pPr>
                              <w:spacing w:after="120"/>
                              <w:jc w:val="center"/>
                              <w:rPr>
                                <w:i/>
                                <w:iCs/>
                              </w:rPr>
                            </w:pPr>
                            <w:r w:rsidRPr="00CA76E9">
                              <w:rPr>
                                <w:i/>
                                <w:iCs/>
                              </w:rPr>
                              <w:t xml:space="preserve">[Call out </w:t>
                            </w:r>
                            <w:r>
                              <w:rPr>
                                <w:i/>
                                <w:iCs/>
                              </w:rPr>
                              <w:t xml:space="preserve">box </w:t>
                            </w:r>
                            <w:r w:rsidRPr="00CA76E9">
                              <w:rPr>
                                <w:i/>
                                <w:iCs/>
                              </w:rPr>
                              <w:t>for first page of document]</w:t>
                            </w:r>
                          </w:p>
                          <w:p w14:paraId="22AE98B2" w14:textId="77777777" w:rsidR="009060E0" w:rsidRDefault="009060E0" w:rsidP="009060E0">
                            <w:r>
                              <w:t>Please see the Practice Guide accompanying this toolkit for access to practice notices, legal analysis tools, examples, and templates.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3C1F8C" id="_x0000_t202" coordsize="21600,21600" o:spt="202" path="m,l,21600r21600,l21600,xe">
                <v:stroke joinstyle="miter"/>
                <v:path gradientshapeok="t" o:connecttype="rect"/>
              </v:shapetype>
              <v:shape id="Text Box 2" o:spid="_x0000_s1026" type="#_x0000_t202" style="position:absolute;margin-left:0;margin-top:32.45pt;width:459.35pt;height:61.9pt;z-index:25165824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">
                <v:textbox>
                  <w:txbxContent>
                    <w:p w14:paraId="065C6C2C" w14:textId="77777777" w:rsidR="009060E0" w:rsidRPr="00CA76E9" w:rsidRDefault="009060E0" w:rsidP="009060E0">
                      <w:pPr>
                        <w:spacing w:after="120"/>
                        <w:jc w:val="center"/>
                        <w:rPr>
                          <w:i/>
                          <w:iCs/>
                        </w:rPr>
                      </w:pPr>
                      <w:r w:rsidRPr="00CA76E9">
                        <w:rPr>
                          <w:i/>
                          <w:iCs/>
                        </w:rPr>
                        <w:t xml:space="preserve">[Call out </w:t>
                      </w:r>
                      <w:r>
                        <w:rPr>
                          <w:i/>
                          <w:iCs/>
                        </w:rPr>
                        <w:t xml:space="preserve">box </w:t>
                      </w:r>
                      <w:r w:rsidRPr="00CA76E9">
                        <w:rPr>
                          <w:i/>
                          <w:iCs/>
                        </w:rPr>
                        <w:t>for first page of document]</w:t>
                      </w:r>
                    </w:p>
                    <w:p w14:paraId="22AE98B2" w14:textId="77777777" w:rsidR="009060E0" w:rsidRDefault="009060E0" w:rsidP="009060E0">
                      <w:r>
                        <w:t>Please see the Practice Guide accompanying this toolkit for access to practice notices, legal analysis tools, examples, and templates.</w:t>
                      </w:r>
                    </w:p>
                  </w:txbxContent>
                </v:textbox>
                <w10:wrap type="topAndBottom" anchorx="margin"/>
              </v:shape>
            </w:pict>
          </mc:Fallback>
        </mc:AlternateContent>
      </w:r>
    </w:p>
    <w:p w14:paraId="23B04C5F" w14:textId="3222303B" w:rsidR="00535263" w:rsidRPr="0059424D" w:rsidRDefault="00944A26" w:rsidP="001877B2">
      <w:pPr>
        <w:keepNext/>
        <w:spacing w:line="360" w:lineRule="auto"/>
        <w:rPr>
          <w:rFonts w:ascii="Calibri" w:eastAsia="Times New Roman" w:hAnsi="Calibri" w:cs="Calibri"/>
          <w:b/>
          <w:bCs/>
          <w:color w:val="3C3030"/>
          <w:sz w:val="24"/>
          <w:szCs w:val="24"/>
        </w:rPr>
      </w:pPr>
      <w:r>
        <w:rPr>
          <w:rFonts w:ascii="Calibri" w:eastAsia="Times New Roman" w:hAnsi="Calibri" w:cs="Calibri"/>
          <w:b/>
          <w:bCs/>
          <w:color w:val="3C3030"/>
          <w:sz w:val="24"/>
          <w:szCs w:val="24"/>
        </w:rPr>
        <w:lastRenderedPageBreak/>
        <w:t xml:space="preserve">Understanding </w:t>
      </w:r>
      <w:r w:rsidR="00AC5015">
        <w:rPr>
          <w:rFonts w:ascii="Calibri" w:eastAsia="Times New Roman" w:hAnsi="Calibri" w:cs="Calibri"/>
          <w:b/>
          <w:bCs/>
          <w:color w:val="3C3030"/>
          <w:sz w:val="24"/>
          <w:szCs w:val="24"/>
        </w:rPr>
        <w:t xml:space="preserve">the Different Types of </w:t>
      </w:r>
      <w:r w:rsidR="00535263" w:rsidRPr="0059424D">
        <w:rPr>
          <w:rFonts w:ascii="Calibri" w:eastAsia="Times New Roman" w:hAnsi="Calibri" w:cs="Calibri"/>
          <w:b/>
          <w:bCs/>
          <w:color w:val="3C3030"/>
          <w:sz w:val="24"/>
          <w:szCs w:val="24"/>
        </w:rPr>
        <w:t>Volunteer</w:t>
      </w:r>
      <w:r w:rsidR="00AC5015">
        <w:rPr>
          <w:rFonts w:ascii="Calibri" w:eastAsia="Times New Roman" w:hAnsi="Calibri" w:cs="Calibri"/>
          <w:b/>
          <w:bCs/>
          <w:color w:val="3C3030"/>
          <w:sz w:val="24"/>
          <w:szCs w:val="24"/>
        </w:rPr>
        <w:t>s</w:t>
      </w:r>
    </w:p>
    <w:p w14:paraId="087F68EF" w14:textId="069C2ADD" w:rsidR="00AC5015" w:rsidRDefault="004A05BE" w:rsidP="00600CBD">
      <w:pPr>
        <w:spacing w:line="360" w:lineRule="auto"/>
        <w:rPr>
          <w:rFonts w:ascii="Calibri" w:eastAsia="Times New Roman" w:hAnsi="Calibri" w:cs="Calibri"/>
          <w:color w:val="000000" w:themeColor="text1"/>
          <w:szCs w:val="20"/>
        </w:rPr>
      </w:pPr>
      <w:r>
        <w:rPr>
          <w:rFonts w:ascii="Calibri" w:eastAsia="Times New Roman" w:hAnsi="Calibri" w:cs="Calibri"/>
          <w:color w:val="000000" w:themeColor="text1"/>
          <w:szCs w:val="20"/>
        </w:rPr>
        <w:t xml:space="preserve">Volunteers </w:t>
      </w:r>
      <w:r w:rsidR="00391457">
        <w:rPr>
          <w:rFonts w:ascii="Calibri" w:eastAsia="Times New Roman" w:hAnsi="Calibri" w:cs="Calibri"/>
          <w:color w:val="000000" w:themeColor="text1"/>
          <w:szCs w:val="20"/>
        </w:rPr>
        <w:t>responding t</w:t>
      </w:r>
      <w:r w:rsidR="004E283B">
        <w:rPr>
          <w:rFonts w:ascii="Calibri" w:eastAsia="Times New Roman" w:hAnsi="Calibri" w:cs="Calibri"/>
          <w:color w:val="000000" w:themeColor="text1"/>
          <w:szCs w:val="20"/>
        </w:rPr>
        <w:t>o emergency</w:t>
      </w:r>
      <w:r w:rsidR="009A4623">
        <w:rPr>
          <w:rFonts w:ascii="Calibri" w:eastAsia="Times New Roman" w:hAnsi="Calibri" w:cs="Calibri"/>
          <w:color w:val="000000" w:themeColor="text1"/>
          <w:szCs w:val="20"/>
        </w:rPr>
        <w:t xml:space="preserve"> </w:t>
      </w:r>
      <w:r w:rsidR="003E0D08">
        <w:rPr>
          <w:rFonts w:ascii="Calibri" w:eastAsia="Times New Roman" w:hAnsi="Calibri" w:cs="Calibri"/>
          <w:color w:val="000000" w:themeColor="text1"/>
          <w:szCs w:val="20"/>
        </w:rPr>
        <w:t>events</w:t>
      </w:r>
      <w:r w:rsidR="009A4623">
        <w:rPr>
          <w:rFonts w:ascii="Calibri" w:eastAsia="Times New Roman" w:hAnsi="Calibri" w:cs="Calibri"/>
          <w:color w:val="000000" w:themeColor="text1"/>
          <w:szCs w:val="20"/>
        </w:rPr>
        <w:t xml:space="preserve"> </w:t>
      </w:r>
      <w:r w:rsidR="00B01F43">
        <w:rPr>
          <w:rFonts w:ascii="Calibri" w:eastAsia="Times New Roman" w:hAnsi="Calibri" w:cs="Calibri"/>
          <w:color w:val="000000" w:themeColor="text1"/>
          <w:szCs w:val="20"/>
        </w:rPr>
        <w:t>ma</w:t>
      </w:r>
      <w:r w:rsidR="007B462C">
        <w:rPr>
          <w:rFonts w:ascii="Calibri" w:eastAsia="Times New Roman" w:hAnsi="Calibri" w:cs="Calibri"/>
          <w:color w:val="000000" w:themeColor="text1"/>
          <w:szCs w:val="20"/>
        </w:rPr>
        <w:t xml:space="preserve">y be broadly understood </w:t>
      </w:r>
      <w:r w:rsidR="00C8600C">
        <w:rPr>
          <w:rFonts w:ascii="Calibri" w:eastAsia="Times New Roman" w:hAnsi="Calibri" w:cs="Calibri"/>
          <w:color w:val="000000" w:themeColor="text1"/>
          <w:szCs w:val="20"/>
        </w:rPr>
        <w:t xml:space="preserve">to fall into one of several categories. </w:t>
      </w:r>
      <w:r w:rsidR="00C46D59">
        <w:rPr>
          <w:rFonts w:ascii="Calibri" w:eastAsia="Times New Roman" w:hAnsi="Calibri" w:cs="Calibri"/>
          <w:color w:val="000000" w:themeColor="text1"/>
          <w:szCs w:val="20"/>
        </w:rPr>
        <w:t>The</w:t>
      </w:r>
      <w:r w:rsidR="008D685B">
        <w:rPr>
          <w:rFonts w:ascii="Calibri" w:eastAsia="Times New Roman" w:hAnsi="Calibri" w:cs="Calibri"/>
          <w:color w:val="000000" w:themeColor="text1"/>
          <w:szCs w:val="20"/>
        </w:rPr>
        <w:t xml:space="preserve"> category into which </w:t>
      </w:r>
      <w:r w:rsidR="00B57EE8">
        <w:rPr>
          <w:rFonts w:ascii="Calibri" w:eastAsia="Times New Roman" w:hAnsi="Calibri" w:cs="Calibri"/>
          <w:color w:val="000000" w:themeColor="text1"/>
          <w:szCs w:val="20"/>
        </w:rPr>
        <w:t>a</w:t>
      </w:r>
      <w:r w:rsidR="008D685B">
        <w:rPr>
          <w:rFonts w:ascii="Calibri" w:eastAsia="Times New Roman" w:hAnsi="Calibri" w:cs="Calibri"/>
          <w:color w:val="000000" w:themeColor="text1"/>
          <w:szCs w:val="20"/>
        </w:rPr>
        <w:t xml:space="preserve"> volunteer</w:t>
      </w:r>
      <w:r w:rsidR="00715FFD">
        <w:rPr>
          <w:rFonts w:ascii="Calibri" w:eastAsia="Times New Roman" w:hAnsi="Calibri" w:cs="Calibri"/>
          <w:color w:val="000000" w:themeColor="text1"/>
          <w:szCs w:val="20"/>
        </w:rPr>
        <w:t xml:space="preserve"> fits can determine </w:t>
      </w:r>
      <w:r w:rsidR="00C82E4F">
        <w:rPr>
          <w:rFonts w:ascii="Calibri" w:eastAsia="Times New Roman" w:hAnsi="Calibri" w:cs="Calibri"/>
          <w:color w:val="000000" w:themeColor="text1"/>
          <w:szCs w:val="20"/>
        </w:rPr>
        <w:t>the</w:t>
      </w:r>
      <w:r w:rsidR="00B57EE8">
        <w:rPr>
          <w:rFonts w:ascii="Calibri" w:eastAsia="Times New Roman" w:hAnsi="Calibri" w:cs="Calibri"/>
          <w:color w:val="000000" w:themeColor="text1"/>
          <w:szCs w:val="20"/>
        </w:rPr>
        <w:t>ir</w:t>
      </w:r>
      <w:r w:rsidR="00C82E4F">
        <w:rPr>
          <w:rFonts w:ascii="Calibri" w:eastAsia="Times New Roman" w:hAnsi="Calibri" w:cs="Calibri"/>
          <w:color w:val="000000" w:themeColor="text1"/>
          <w:szCs w:val="20"/>
        </w:rPr>
        <w:t xml:space="preserve"> </w:t>
      </w:r>
      <w:r w:rsidR="00B768A2">
        <w:rPr>
          <w:rFonts w:ascii="Calibri" w:eastAsia="Times New Roman" w:hAnsi="Calibri" w:cs="Calibri"/>
          <w:color w:val="000000" w:themeColor="text1"/>
          <w:szCs w:val="20"/>
        </w:rPr>
        <w:t>potential legal liabilit</w:t>
      </w:r>
      <w:r w:rsidR="00B57EE8">
        <w:rPr>
          <w:rFonts w:ascii="Calibri" w:eastAsia="Times New Roman" w:hAnsi="Calibri" w:cs="Calibri"/>
          <w:color w:val="000000" w:themeColor="text1"/>
          <w:szCs w:val="20"/>
        </w:rPr>
        <w:t>ies</w:t>
      </w:r>
      <w:r w:rsidR="00B768A2">
        <w:rPr>
          <w:rFonts w:ascii="Calibri" w:eastAsia="Times New Roman" w:hAnsi="Calibri" w:cs="Calibri"/>
          <w:color w:val="000000" w:themeColor="text1"/>
          <w:szCs w:val="20"/>
        </w:rPr>
        <w:t xml:space="preserve"> and immunity protections</w:t>
      </w:r>
      <w:r w:rsidR="00B57EE8">
        <w:rPr>
          <w:rFonts w:ascii="Calibri" w:eastAsia="Times New Roman" w:hAnsi="Calibri" w:cs="Calibri"/>
          <w:color w:val="000000" w:themeColor="text1"/>
          <w:szCs w:val="20"/>
        </w:rPr>
        <w:t>.</w:t>
      </w:r>
      <w:r w:rsidR="00B768A2">
        <w:rPr>
          <w:rFonts w:ascii="Calibri" w:eastAsia="Times New Roman" w:hAnsi="Calibri" w:cs="Calibri"/>
          <w:color w:val="000000" w:themeColor="text1"/>
          <w:szCs w:val="20"/>
        </w:rPr>
        <w:t xml:space="preserve"> </w:t>
      </w:r>
    </w:p>
    <w:p w14:paraId="30250201" w14:textId="77777777" w:rsidR="00B26885" w:rsidRDefault="00B26885" w:rsidP="00600CBD">
      <w:pPr>
        <w:spacing w:line="360" w:lineRule="auto"/>
        <w:rPr>
          <w:rFonts w:ascii="Calibri" w:eastAsia="Times New Roman" w:hAnsi="Calibri" w:cs="Calibri"/>
          <w:color w:val="000000" w:themeColor="text1"/>
          <w:szCs w:val="20"/>
        </w:rPr>
      </w:pPr>
    </w:p>
    <w:p w14:paraId="7F95566A" w14:textId="1B659617" w:rsidR="00CE56FA" w:rsidRPr="002356EF" w:rsidRDefault="00535263" w:rsidP="002356EF">
      <w:pPr>
        <w:pStyle w:val="ListParagraph"/>
        <w:numPr>
          <w:ilvl w:val="0"/>
          <w:numId w:val="5"/>
        </w:numPr>
        <w:spacing w:line="360" w:lineRule="auto"/>
        <w:rPr>
          <w:rFonts w:ascii="Calibri" w:eastAsia="Times New Roman" w:hAnsi="Calibri" w:cs="Calibri"/>
          <w:b/>
          <w:bCs/>
          <w:color w:val="000000" w:themeColor="text1"/>
          <w:szCs w:val="20"/>
        </w:rPr>
      </w:pPr>
      <w:r w:rsidRPr="00B57EE8">
        <w:rPr>
          <w:rFonts w:ascii="Calibri" w:eastAsia="Times New Roman" w:hAnsi="Calibri" w:cs="Calibri"/>
          <w:b/>
          <w:bCs/>
          <w:color w:val="000000" w:themeColor="text1"/>
          <w:szCs w:val="20"/>
        </w:rPr>
        <w:t>Government-Based Emergency Volunteers</w:t>
      </w:r>
      <w:r w:rsidR="00B57EE8" w:rsidRPr="00B57EE8">
        <w:rPr>
          <w:rFonts w:ascii="Calibri" w:eastAsia="Times New Roman" w:hAnsi="Calibri" w:cs="Calibri"/>
          <w:b/>
          <w:bCs/>
          <w:color w:val="000000" w:themeColor="text1"/>
          <w:szCs w:val="20"/>
        </w:rPr>
        <w:t xml:space="preserve"> – </w:t>
      </w:r>
      <w:r w:rsidRPr="00B57EE8">
        <w:rPr>
          <w:rFonts w:ascii="Calibri" w:eastAsia="Times New Roman" w:hAnsi="Calibri" w:cs="Calibri"/>
          <w:color w:val="000000" w:themeColor="text1"/>
          <w:szCs w:val="20"/>
        </w:rPr>
        <w:t xml:space="preserve">Governmental emergency response systems use organized and trained groups of volunteers to supplement professional, paid emergency responders. </w:t>
      </w:r>
      <w:r w:rsidR="009362D9">
        <w:rPr>
          <w:rFonts w:ascii="Calibri" w:eastAsia="Times New Roman" w:hAnsi="Calibri" w:cs="Calibri"/>
          <w:color w:val="000000" w:themeColor="text1"/>
          <w:szCs w:val="20"/>
        </w:rPr>
        <w:t>Volunteers to p</w:t>
      </w:r>
      <w:r w:rsidR="007E3274">
        <w:rPr>
          <w:rFonts w:ascii="Calibri" w:eastAsia="Times New Roman" w:hAnsi="Calibri" w:cs="Calibri"/>
          <w:color w:val="000000" w:themeColor="text1"/>
          <w:szCs w:val="20"/>
        </w:rPr>
        <w:t>rograms such as the federal Medical Reserve Corps</w:t>
      </w:r>
      <w:r w:rsidR="009362D9">
        <w:rPr>
          <w:rFonts w:ascii="Calibri" w:eastAsia="Times New Roman" w:hAnsi="Calibri" w:cs="Calibri"/>
          <w:color w:val="000000" w:themeColor="text1"/>
          <w:szCs w:val="20"/>
        </w:rPr>
        <w:t xml:space="preserve"> </w:t>
      </w:r>
      <w:r w:rsidR="00B2145D">
        <w:rPr>
          <w:rFonts w:ascii="Calibri" w:eastAsia="Times New Roman" w:hAnsi="Calibri" w:cs="Calibri"/>
          <w:color w:val="000000" w:themeColor="text1"/>
          <w:szCs w:val="20"/>
        </w:rPr>
        <w:t xml:space="preserve">are examples of this type of volunteer. </w:t>
      </w:r>
      <w:r w:rsidRPr="00B57EE8">
        <w:rPr>
          <w:rFonts w:ascii="Calibri" w:eastAsia="Times New Roman" w:hAnsi="Calibri" w:cs="Calibri"/>
          <w:color w:val="000000" w:themeColor="text1"/>
          <w:szCs w:val="20"/>
        </w:rPr>
        <w:t xml:space="preserve">Emergency volunteers who are registered, organized, and trained through government-sponsored emergency volunteer systems are often protected from civil liability </w:t>
      </w:r>
      <w:r w:rsidR="00AA708A" w:rsidRPr="00B57EE8">
        <w:rPr>
          <w:rFonts w:ascii="Calibri" w:eastAsia="Times New Roman" w:hAnsi="Calibri" w:cs="Calibri"/>
          <w:color w:val="000000" w:themeColor="text1"/>
          <w:szCs w:val="20"/>
        </w:rPr>
        <w:t xml:space="preserve">by law </w:t>
      </w:r>
      <w:r w:rsidRPr="00B57EE8">
        <w:rPr>
          <w:rFonts w:ascii="Calibri" w:eastAsia="Times New Roman" w:hAnsi="Calibri" w:cs="Calibri"/>
          <w:color w:val="000000" w:themeColor="text1"/>
          <w:szCs w:val="20"/>
        </w:rPr>
        <w:t>and</w:t>
      </w:r>
      <w:r w:rsidR="006B55E6" w:rsidRPr="00B57EE8">
        <w:rPr>
          <w:rFonts w:ascii="Calibri" w:eastAsia="Times New Roman" w:hAnsi="Calibri" w:cs="Calibri"/>
          <w:color w:val="000000" w:themeColor="text1"/>
          <w:szCs w:val="20"/>
        </w:rPr>
        <w:t xml:space="preserve"> some may also be provided injury benefits</w:t>
      </w:r>
      <w:r w:rsidRPr="00B57EE8">
        <w:rPr>
          <w:rFonts w:ascii="Calibri" w:eastAsia="Times New Roman" w:hAnsi="Calibri" w:cs="Calibri"/>
          <w:color w:val="000000" w:themeColor="text1"/>
          <w:szCs w:val="20"/>
        </w:rPr>
        <w:t>. Some states have specific laws for volunteer health professionals (VHPs) (e.g., physicians, nurses, etc.) while other states set out protections for emergency volunteers in general.</w:t>
      </w:r>
      <w:r w:rsidR="00503A09">
        <w:rPr>
          <w:rStyle w:val="FootnoteReference"/>
          <w:rFonts w:ascii="Calibri" w:eastAsia="Times New Roman" w:hAnsi="Calibri" w:cs="Calibri"/>
          <w:color w:val="000000" w:themeColor="text1"/>
          <w:szCs w:val="20"/>
        </w:rPr>
        <w:footnoteReference w:id="1"/>
      </w:r>
    </w:p>
    <w:p w14:paraId="5611BEB1" w14:textId="77777777" w:rsidR="002356EF" w:rsidRPr="002356EF" w:rsidRDefault="002356EF" w:rsidP="002356EF">
      <w:pPr>
        <w:pStyle w:val="ListParagraph"/>
        <w:spacing w:line="360" w:lineRule="auto"/>
        <w:ind w:left="360"/>
        <w:rPr>
          <w:rFonts w:ascii="Calibri" w:eastAsia="Times New Roman" w:hAnsi="Calibri" w:cs="Calibri"/>
          <w:b/>
          <w:bCs/>
          <w:color w:val="000000" w:themeColor="text1"/>
          <w:szCs w:val="20"/>
        </w:rPr>
      </w:pPr>
    </w:p>
    <w:p w14:paraId="69B3B61F" w14:textId="37E3319B" w:rsidR="00CE56FA" w:rsidRPr="00CE56FA" w:rsidRDefault="00535263" w:rsidP="005B1EF8">
      <w:pPr>
        <w:pStyle w:val="ListParagraph"/>
        <w:numPr>
          <w:ilvl w:val="0"/>
          <w:numId w:val="5"/>
        </w:numPr>
        <w:spacing w:line="360" w:lineRule="auto"/>
        <w:rPr>
          <w:rFonts w:ascii="Calibri" w:eastAsia="Times New Roman" w:hAnsi="Calibri" w:cs="Calibri"/>
          <w:b/>
          <w:bCs/>
          <w:color w:val="000000" w:themeColor="text1"/>
          <w:szCs w:val="20"/>
        </w:rPr>
      </w:pPr>
      <w:r w:rsidRPr="00DD705E">
        <w:rPr>
          <w:rFonts w:ascii="Calibri" w:eastAsia="Times New Roman" w:hAnsi="Calibri" w:cs="Calibri"/>
          <w:b/>
          <w:bCs/>
          <w:color w:val="000000" w:themeColor="text1"/>
          <w:szCs w:val="20"/>
        </w:rPr>
        <w:t>Nongovernment-Based Emergency Volunteers</w:t>
      </w:r>
      <w:r w:rsidR="00DD705E" w:rsidRPr="00DD705E">
        <w:rPr>
          <w:rFonts w:ascii="Calibri" w:eastAsia="Times New Roman" w:hAnsi="Calibri" w:cs="Calibri"/>
          <w:b/>
          <w:bCs/>
          <w:color w:val="000000" w:themeColor="text1"/>
          <w:szCs w:val="20"/>
        </w:rPr>
        <w:t xml:space="preserve"> – </w:t>
      </w:r>
      <w:r w:rsidRPr="00DD705E">
        <w:rPr>
          <w:rFonts w:ascii="Calibri" w:eastAsia="Times New Roman" w:hAnsi="Calibri" w:cs="Calibri"/>
          <w:color w:val="000000" w:themeColor="text1"/>
          <w:szCs w:val="20"/>
        </w:rPr>
        <w:t>Nongovernmental organizations (e.g., businesses</w:t>
      </w:r>
      <w:r w:rsidR="0051514C">
        <w:rPr>
          <w:rFonts w:ascii="Calibri" w:eastAsia="Times New Roman" w:hAnsi="Calibri" w:cs="Calibri"/>
          <w:color w:val="000000" w:themeColor="text1"/>
          <w:szCs w:val="20"/>
        </w:rPr>
        <w:t xml:space="preserve">, </w:t>
      </w:r>
      <w:r w:rsidRPr="00DD705E">
        <w:rPr>
          <w:rFonts w:ascii="Calibri" w:eastAsia="Times New Roman" w:hAnsi="Calibri" w:cs="Calibri"/>
          <w:color w:val="000000" w:themeColor="text1"/>
          <w:szCs w:val="20"/>
        </w:rPr>
        <w:t>nonprofits) also recruit, organize, and train volunteers for emergency response activities. For example, hospitals may allow VHPs to provide medical assistance during emergencies at their facilities. Businesses may donate supplies, equipment, and physical space. Liability protections during emergency preparedness and response activities for these organizations and volunteers vary from state to state</w:t>
      </w:r>
      <w:r w:rsidR="00A86950">
        <w:rPr>
          <w:rFonts w:ascii="Calibri" w:eastAsia="Times New Roman" w:hAnsi="Calibri" w:cs="Calibri"/>
          <w:color w:val="000000" w:themeColor="text1"/>
          <w:szCs w:val="20"/>
        </w:rPr>
        <w:t xml:space="preserve"> but the protections are </w:t>
      </w:r>
      <w:r w:rsidR="00FA05C8">
        <w:rPr>
          <w:rFonts w:ascii="Calibri" w:eastAsia="Times New Roman" w:hAnsi="Calibri" w:cs="Calibri"/>
          <w:color w:val="000000" w:themeColor="text1"/>
          <w:szCs w:val="20"/>
        </w:rPr>
        <w:t xml:space="preserve">generally </w:t>
      </w:r>
      <w:r w:rsidR="00A86950">
        <w:rPr>
          <w:rFonts w:ascii="Calibri" w:eastAsia="Times New Roman" w:hAnsi="Calibri" w:cs="Calibri"/>
          <w:color w:val="000000" w:themeColor="text1"/>
          <w:szCs w:val="20"/>
        </w:rPr>
        <w:t>not as</w:t>
      </w:r>
      <w:r w:rsidR="00FA05C8">
        <w:rPr>
          <w:rFonts w:ascii="Calibri" w:eastAsia="Times New Roman" w:hAnsi="Calibri" w:cs="Calibri"/>
          <w:color w:val="000000" w:themeColor="text1"/>
          <w:szCs w:val="20"/>
        </w:rPr>
        <w:t xml:space="preserve"> robust as for </w:t>
      </w:r>
      <w:r w:rsidR="00FB5A56">
        <w:rPr>
          <w:rFonts w:ascii="Calibri" w:eastAsia="Times New Roman" w:hAnsi="Calibri" w:cs="Calibri"/>
          <w:color w:val="000000" w:themeColor="text1"/>
          <w:szCs w:val="20"/>
        </w:rPr>
        <w:t>government-based volunteers</w:t>
      </w:r>
      <w:r w:rsidRPr="00DD705E">
        <w:rPr>
          <w:rFonts w:ascii="Calibri" w:eastAsia="Times New Roman" w:hAnsi="Calibri" w:cs="Calibri"/>
          <w:color w:val="000000" w:themeColor="text1"/>
          <w:szCs w:val="20"/>
        </w:rPr>
        <w:t>.</w:t>
      </w:r>
      <w:r w:rsidR="00F45859">
        <w:rPr>
          <w:rStyle w:val="FootnoteReference"/>
          <w:rFonts w:ascii="Calibri" w:eastAsia="Times New Roman" w:hAnsi="Calibri" w:cs="Calibri"/>
          <w:color w:val="000000" w:themeColor="text1"/>
          <w:szCs w:val="20"/>
        </w:rPr>
        <w:footnoteReference w:id="2"/>
      </w:r>
      <w:r w:rsidRPr="00DD705E">
        <w:rPr>
          <w:rFonts w:ascii="Calibri" w:eastAsia="Times New Roman" w:hAnsi="Calibri" w:cs="Calibri"/>
          <w:color w:val="000000" w:themeColor="text1"/>
          <w:szCs w:val="20"/>
        </w:rPr>
        <w:t xml:space="preserve"> </w:t>
      </w:r>
    </w:p>
    <w:p w14:paraId="097D5078" w14:textId="77777777" w:rsidR="007718F8" w:rsidRPr="007718F8" w:rsidRDefault="007718F8" w:rsidP="00DF3026">
      <w:pPr>
        <w:pStyle w:val="ListParagraph"/>
        <w:spacing w:line="360" w:lineRule="auto"/>
        <w:ind w:left="360"/>
        <w:rPr>
          <w:rFonts w:ascii="Calibri" w:eastAsia="Times New Roman" w:hAnsi="Calibri" w:cs="Calibri"/>
          <w:b/>
          <w:bCs/>
          <w:color w:val="000000" w:themeColor="text1"/>
          <w:szCs w:val="20"/>
        </w:rPr>
      </w:pPr>
    </w:p>
    <w:p w14:paraId="2A0D6DF0" w14:textId="6A62DB9A" w:rsidR="007718F8" w:rsidRPr="00DF3026" w:rsidRDefault="007718F8" w:rsidP="00DF3026">
      <w:pPr>
        <w:pStyle w:val="ListParagraph"/>
        <w:numPr>
          <w:ilvl w:val="0"/>
          <w:numId w:val="5"/>
        </w:numPr>
        <w:spacing w:line="360" w:lineRule="auto"/>
        <w:rPr>
          <w:rFonts w:ascii="Calibri" w:eastAsia="Times New Roman" w:hAnsi="Calibri" w:cs="Calibri"/>
          <w:b/>
          <w:bCs/>
          <w:color w:val="000000" w:themeColor="text1"/>
          <w:szCs w:val="20"/>
        </w:rPr>
      </w:pPr>
      <w:r w:rsidRPr="007718F8">
        <w:rPr>
          <w:rFonts w:ascii="Calibri" w:eastAsia="Times New Roman" w:hAnsi="Calibri" w:cs="Calibri"/>
          <w:b/>
          <w:bCs/>
          <w:color w:val="000000" w:themeColor="text1"/>
          <w:szCs w:val="20"/>
        </w:rPr>
        <w:t>Civic Volunteers</w:t>
      </w:r>
      <w:r w:rsidR="00DF3026">
        <w:rPr>
          <w:rFonts w:ascii="Calibri" w:eastAsia="Times New Roman" w:hAnsi="Calibri" w:cs="Calibri"/>
          <w:b/>
          <w:bCs/>
          <w:color w:val="000000" w:themeColor="text1"/>
          <w:szCs w:val="20"/>
        </w:rPr>
        <w:t xml:space="preserve"> – </w:t>
      </w:r>
      <w:r w:rsidRPr="00DF3026">
        <w:rPr>
          <w:rFonts w:ascii="Calibri" w:eastAsia="Times New Roman" w:hAnsi="Calibri" w:cs="Calibri"/>
          <w:color w:val="000000" w:themeColor="text1"/>
          <w:szCs w:val="20"/>
        </w:rPr>
        <w:t xml:space="preserve">Civic volunteers perform unpaid work for government or nonprofit organizations (e.g., schools, faith-based institutions, social service agencies, humanitarian organizations, artistic organizations, or emergency services). State and federal volunteer protection statutes protect them </w:t>
      </w:r>
      <w:r w:rsidRPr="00DF3026">
        <w:rPr>
          <w:rFonts w:ascii="Calibri" w:eastAsia="Times New Roman" w:hAnsi="Calibri" w:cs="Calibri"/>
          <w:color w:val="000000" w:themeColor="text1"/>
          <w:szCs w:val="20"/>
        </w:rPr>
        <w:lastRenderedPageBreak/>
        <w:t>from liability for ordinary negligence. Volunteer protection statutes usually limit protection to volunteers who are affiliated with government or nonprofit organizations. Also, the protections typically apply to the volunteer and not the organization. Unlike other liability protection statutes, an emergency declaration does not need to be in place for volunteer protection laws to apply.</w:t>
      </w:r>
      <w:r w:rsidR="00D5585B">
        <w:rPr>
          <w:rStyle w:val="FootnoteReference"/>
          <w:rFonts w:ascii="Calibri" w:eastAsia="Times New Roman" w:hAnsi="Calibri" w:cs="Calibri"/>
          <w:color w:val="000000" w:themeColor="text1"/>
          <w:szCs w:val="20"/>
        </w:rPr>
        <w:footnoteReference w:id="3"/>
      </w:r>
      <w:r w:rsidRPr="00DF3026">
        <w:rPr>
          <w:rFonts w:ascii="Calibri" w:eastAsia="Times New Roman" w:hAnsi="Calibri" w:cs="Calibri"/>
          <w:color w:val="000000" w:themeColor="text1"/>
          <w:szCs w:val="20"/>
        </w:rPr>
        <w:t xml:space="preserve"> </w:t>
      </w:r>
    </w:p>
    <w:p w14:paraId="0A8854F7" w14:textId="77777777" w:rsidR="00CE56FA" w:rsidRPr="00CE56FA" w:rsidRDefault="00CE56FA" w:rsidP="00CE56FA">
      <w:pPr>
        <w:spacing w:line="360" w:lineRule="auto"/>
        <w:rPr>
          <w:rFonts w:ascii="Calibri" w:eastAsia="Times New Roman" w:hAnsi="Calibri" w:cs="Calibri"/>
          <w:b/>
          <w:bCs/>
          <w:color w:val="000000" w:themeColor="text1"/>
          <w:szCs w:val="20"/>
        </w:rPr>
      </w:pPr>
    </w:p>
    <w:p w14:paraId="7D373106" w14:textId="77777777" w:rsidR="00524549" w:rsidRPr="00524549" w:rsidRDefault="00535263" w:rsidP="005B1EF8">
      <w:pPr>
        <w:pStyle w:val="ListParagraph"/>
        <w:numPr>
          <w:ilvl w:val="0"/>
          <w:numId w:val="5"/>
        </w:numPr>
        <w:spacing w:line="360" w:lineRule="auto"/>
        <w:rPr>
          <w:rFonts w:ascii="Calibri" w:eastAsia="Times New Roman" w:hAnsi="Calibri" w:cs="Calibri"/>
          <w:b/>
          <w:bCs/>
          <w:color w:val="000000" w:themeColor="text1"/>
          <w:szCs w:val="20"/>
        </w:rPr>
      </w:pPr>
      <w:r w:rsidRPr="00CE56FA">
        <w:rPr>
          <w:rFonts w:ascii="Calibri" w:eastAsia="Times New Roman" w:hAnsi="Calibri" w:cs="Calibri"/>
          <w:b/>
          <w:bCs/>
          <w:color w:val="000000" w:themeColor="text1"/>
          <w:szCs w:val="20"/>
        </w:rPr>
        <w:t>Good Samaritans</w:t>
      </w:r>
      <w:r w:rsidR="00CE56FA" w:rsidRPr="00CE56FA">
        <w:rPr>
          <w:rFonts w:ascii="Calibri" w:eastAsia="Times New Roman" w:hAnsi="Calibri" w:cs="Calibri"/>
          <w:b/>
          <w:bCs/>
          <w:color w:val="000000" w:themeColor="text1"/>
          <w:szCs w:val="20"/>
        </w:rPr>
        <w:t xml:space="preserve"> – </w:t>
      </w:r>
      <w:r w:rsidRPr="00CE56FA">
        <w:rPr>
          <w:rFonts w:ascii="Calibri" w:eastAsia="Times New Roman" w:hAnsi="Calibri" w:cs="Calibri"/>
          <w:color w:val="000000" w:themeColor="text1"/>
          <w:szCs w:val="20"/>
        </w:rPr>
        <w:t>A Good Samaritan voluntarily provides medical assistance or treatment to a victim at the injury scene or during a sudden emergency. Good Samaritans may or may not be affiliated with an official organization and often act independently. Good Samaritan laws often provide the Good Samaritan with immunity from liability for ordinary negligence.</w:t>
      </w:r>
      <w:r w:rsidR="00524549">
        <w:rPr>
          <w:rStyle w:val="FootnoteReference"/>
          <w:rFonts w:ascii="Calibri" w:eastAsia="Times New Roman" w:hAnsi="Calibri" w:cs="Calibri"/>
          <w:color w:val="000000" w:themeColor="text1"/>
          <w:szCs w:val="20"/>
        </w:rPr>
        <w:footnoteReference w:id="4"/>
      </w:r>
      <w:r w:rsidRPr="00CE56FA">
        <w:rPr>
          <w:rFonts w:ascii="Calibri" w:eastAsia="Times New Roman" w:hAnsi="Calibri" w:cs="Calibri"/>
          <w:color w:val="000000" w:themeColor="text1"/>
          <w:szCs w:val="20"/>
        </w:rPr>
        <w:t xml:space="preserve"> </w:t>
      </w:r>
    </w:p>
    <w:p w14:paraId="4960B7BA" w14:textId="77777777" w:rsidR="00524549" w:rsidRPr="00524549" w:rsidRDefault="00524549" w:rsidP="00524549">
      <w:pPr>
        <w:pStyle w:val="ListParagraph"/>
        <w:rPr>
          <w:rFonts w:ascii="Calibri" w:eastAsia="Times New Roman" w:hAnsi="Calibri" w:cs="Calibri"/>
          <w:b/>
          <w:bCs/>
          <w:color w:val="000000" w:themeColor="text1"/>
          <w:szCs w:val="20"/>
        </w:rPr>
      </w:pPr>
    </w:p>
    <w:p w14:paraId="1851BC07" w14:textId="4D766014" w:rsidR="00D35500" w:rsidRPr="00520B19" w:rsidRDefault="00535263" w:rsidP="00C531D9">
      <w:pPr>
        <w:pStyle w:val="ListParagraph"/>
        <w:numPr>
          <w:ilvl w:val="0"/>
          <w:numId w:val="5"/>
        </w:numPr>
        <w:spacing w:line="360" w:lineRule="auto"/>
        <w:rPr>
          <w:rFonts w:ascii="Calibri" w:eastAsia="Times New Roman" w:hAnsi="Calibri" w:cs="Calibri"/>
          <w:color w:val="000000" w:themeColor="text1"/>
          <w:szCs w:val="20"/>
        </w:rPr>
      </w:pPr>
      <w:r w:rsidRPr="00520B19">
        <w:rPr>
          <w:rFonts w:ascii="Calibri" w:eastAsia="Times New Roman" w:hAnsi="Calibri" w:cs="Calibri"/>
          <w:b/>
          <w:bCs/>
          <w:color w:val="000000" w:themeColor="text1"/>
          <w:szCs w:val="20"/>
        </w:rPr>
        <w:t>Self-Deployed or Spontaneous Volunteers</w:t>
      </w:r>
      <w:r w:rsidR="00520B19" w:rsidRPr="00520B19">
        <w:rPr>
          <w:rFonts w:ascii="Calibri" w:eastAsia="Times New Roman" w:hAnsi="Calibri" w:cs="Calibri"/>
          <w:b/>
          <w:bCs/>
          <w:color w:val="000000" w:themeColor="text1"/>
          <w:szCs w:val="20"/>
        </w:rPr>
        <w:t xml:space="preserve"> – </w:t>
      </w:r>
      <w:r w:rsidR="00D35500" w:rsidRPr="00520B19">
        <w:rPr>
          <w:rFonts w:ascii="Calibri" w:eastAsia="Times New Roman" w:hAnsi="Calibri" w:cs="Calibri"/>
          <w:color w:val="000000" w:themeColor="text1"/>
          <w:szCs w:val="20"/>
        </w:rPr>
        <w:t>Volunteers may show up during an emergency without prior registration and verification. It is important to distinguish between the volunteers who register and those who self-deploy. Liability protections for emergency volunteers often only apply to registered volunteers. Also, workers' compensation laws and disability benefits may only apply to volunteers who are registered or deemed employees of the state.</w:t>
      </w:r>
    </w:p>
    <w:p w14:paraId="3B2014D7" w14:textId="1AEAEFCA" w:rsidR="00D35500" w:rsidRDefault="00D35500" w:rsidP="005B1EF8">
      <w:pPr>
        <w:spacing w:line="360" w:lineRule="auto"/>
        <w:rPr>
          <w:rFonts w:ascii="Calibri" w:eastAsia="Times New Roman" w:hAnsi="Calibri" w:cs="Calibri"/>
          <w:b/>
          <w:bCs/>
          <w:color w:val="000000" w:themeColor="text1"/>
          <w:szCs w:val="20"/>
        </w:rPr>
      </w:pPr>
    </w:p>
    <w:p w14:paraId="13957E20" w14:textId="77777777" w:rsidR="00535263" w:rsidRPr="0059424D" w:rsidRDefault="00535263" w:rsidP="00600CBD">
      <w:pPr>
        <w:spacing w:line="360" w:lineRule="auto"/>
        <w:rPr>
          <w:rFonts w:ascii="Calibri" w:eastAsia="Times New Roman" w:hAnsi="Calibri" w:cs="Calibri"/>
          <w:b/>
          <w:bCs/>
          <w:color w:val="3C3030"/>
          <w:sz w:val="24"/>
          <w:szCs w:val="24"/>
        </w:rPr>
      </w:pPr>
      <w:r w:rsidRPr="0059424D">
        <w:rPr>
          <w:rFonts w:ascii="Calibri" w:eastAsia="Times New Roman" w:hAnsi="Calibri" w:cs="Calibri"/>
          <w:b/>
          <w:bCs/>
          <w:color w:val="3C3030"/>
          <w:sz w:val="24"/>
          <w:szCs w:val="24"/>
        </w:rPr>
        <w:t>Volunteer Organizations and Registrations Systems</w:t>
      </w:r>
    </w:p>
    <w:p w14:paraId="536557CF" w14:textId="73381BAF" w:rsidR="00DE14A7" w:rsidRPr="00D6371D" w:rsidRDefault="00C002FA" w:rsidP="00DE14A7">
      <w:pPr>
        <w:spacing w:line="360" w:lineRule="auto"/>
        <w:rPr>
          <w:rFonts w:ascii="Calibri" w:eastAsia="Times New Roman" w:hAnsi="Calibri" w:cs="Calibri"/>
          <w:color w:val="000000" w:themeColor="text1"/>
        </w:rPr>
      </w:pPr>
      <w:r>
        <w:rPr>
          <w:rFonts w:ascii="Calibri" w:eastAsia="Times New Roman" w:hAnsi="Calibri" w:cs="Calibri"/>
          <w:color w:val="000000" w:themeColor="text1"/>
        </w:rPr>
        <w:t xml:space="preserve">There are multiple organizations and registrations systems through which a person may volunteer to participate in emergency preparedness and response activities. </w:t>
      </w:r>
      <w:r w:rsidR="007B1A89" w:rsidRPr="007B1A89">
        <w:rPr>
          <w:rFonts w:ascii="Calibri" w:eastAsia="Times New Roman" w:hAnsi="Calibri" w:cs="Calibri"/>
          <w:color w:val="000000" w:themeColor="text1"/>
        </w:rPr>
        <w:t xml:space="preserve">Registration systems for recruiting, cataloging, notifying, and mobilizing emergency volunteers vary among organizations as well as state and local governments. Registration systems track volunteer information, verify a volunteer's credentials, and ensure a qualified and competent group of volunteers. These systems also provide an efficient </w:t>
      </w:r>
      <w:r w:rsidR="00131F89">
        <w:rPr>
          <w:rFonts w:ascii="Calibri" w:eastAsia="Times New Roman" w:hAnsi="Calibri" w:cs="Calibri"/>
          <w:color w:val="000000" w:themeColor="text1"/>
        </w:rPr>
        <w:t xml:space="preserve">way to </w:t>
      </w:r>
      <w:r w:rsidR="00057312">
        <w:rPr>
          <w:rFonts w:ascii="Calibri" w:eastAsia="Times New Roman" w:hAnsi="Calibri" w:cs="Calibri"/>
          <w:color w:val="000000" w:themeColor="text1"/>
        </w:rPr>
        <w:t>manage</w:t>
      </w:r>
      <w:r w:rsidR="007B1A89" w:rsidRPr="007B1A89">
        <w:rPr>
          <w:rFonts w:ascii="Calibri" w:eastAsia="Times New Roman" w:hAnsi="Calibri" w:cs="Calibri"/>
          <w:color w:val="000000" w:themeColor="text1"/>
        </w:rPr>
        <w:t xml:space="preserve"> volunteer notification, mobilization, and deployment. Many of the laws granting liability protection, workers' compensation, and injury benefits to emergency volunteers often only apply to registered volunteers.</w:t>
      </w:r>
      <w:r w:rsidR="00DE14A7">
        <w:rPr>
          <w:rFonts w:ascii="Calibri" w:eastAsia="Times New Roman" w:hAnsi="Calibri" w:cs="Calibri"/>
          <w:color w:val="000000" w:themeColor="text1"/>
        </w:rPr>
        <w:t xml:space="preserve"> The following </w:t>
      </w:r>
      <w:r w:rsidR="00071564">
        <w:rPr>
          <w:rFonts w:ascii="Calibri" w:eastAsia="Times New Roman" w:hAnsi="Calibri" w:cs="Calibri"/>
          <w:color w:val="000000" w:themeColor="text1"/>
        </w:rPr>
        <w:t xml:space="preserve">summary of </w:t>
      </w:r>
      <w:r w:rsidR="00DE14A7">
        <w:rPr>
          <w:rFonts w:ascii="Calibri" w:eastAsia="Times New Roman" w:hAnsi="Calibri" w:cs="Calibri"/>
          <w:color w:val="000000" w:themeColor="text1"/>
        </w:rPr>
        <w:t>registration systems and organization</w:t>
      </w:r>
      <w:r w:rsidR="002A0D91">
        <w:rPr>
          <w:rFonts w:ascii="Calibri" w:eastAsia="Times New Roman" w:hAnsi="Calibri" w:cs="Calibri"/>
          <w:color w:val="000000" w:themeColor="text1"/>
        </w:rPr>
        <w:t>s</w:t>
      </w:r>
      <w:r w:rsidR="00DE14A7">
        <w:rPr>
          <w:rFonts w:ascii="Calibri" w:eastAsia="Times New Roman" w:hAnsi="Calibri" w:cs="Calibri"/>
          <w:color w:val="000000" w:themeColor="text1"/>
        </w:rPr>
        <w:t xml:space="preserve"> </w:t>
      </w:r>
      <w:r w:rsidR="00DE14A7">
        <w:rPr>
          <w:rFonts w:ascii="Calibri" w:eastAsia="Times New Roman" w:hAnsi="Calibri" w:cs="Calibri"/>
          <w:color w:val="000000" w:themeColor="text1"/>
        </w:rPr>
        <w:lastRenderedPageBreak/>
        <w:t xml:space="preserve">represent </w:t>
      </w:r>
      <w:r w:rsidR="009955DC">
        <w:rPr>
          <w:rFonts w:ascii="Calibri" w:eastAsia="Times New Roman" w:hAnsi="Calibri" w:cs="Calibri"/>
          <w:color w:val="000000" w:themeColor="text1"/>
        </w:rPr>
        <w:t xml:space="preserve">some of </w:t>
      </w:r>
      <w:r w:rsidR="00DE14A7">
        <w:rPr>
          <w:rFonts w:ascii="Calibri" w:eastAsia="Times New Roman" w:hAnsi="Calibri" w:cs="Calibri"/>
          <w:color w:val="000000" w:themeColor="text1"/>
        </w:rPr>
        <w:t xml:space="preserve">the major sources of emergency volunteers, however, there </w:t>
      </w:r>
      <w:r w:rsidR="009955DC">
        <w:rPr>
          <w:rFonts w:ascii="Calibri" w:eastAsia="Times New Roman" w:hAnsi="Calibri" w:cs="Calibri"/>
          <w:color w:val="000000" w:themeColor="text1"/>
        </w:rPr>
        <w:t>are many</w:t>
      </w:r>
      <w:r w:rsidR="00DE14A7">
        <w:rPr>
          <w:rFonts w:ascii="Calibri" w:eastAsia="Times New Roman" w:hAnsi="Calibri" w:cs="Calibri"/>
          <w:color w:val="000000" w:themeColor="text1"/>
        </w:rPr>
        <w:t xml:space="preserve"> additional sources at</w:t>
      </w:r>
      <w:r w:rsidR="00071564">
        <w:rPr>
          <w:rFonts w:ascii="Calibri" w:eastAsia="Times New Roman" w:hAnsi="Calibri" w:cs="Calibri"/>
          <w:color w:val="000000" w:themeColor="text1"/>
        </w:rPr>
        <w:t xml:space="preserve"> the national and</w:t>
      </w:r>
      <w:r w:rsidR="00DE14A7">
        <w:rPr>
          <w:rFonts w:ascii="Calibri" w:eastAsia="Times New Roman" w:hAnsi="Calibri" w:cs="Calibri"/>
          <w:color w:val="000000" w:themeColor="text1"/>
        </w:rPr>
        <w:t xml:space="preserve"> STLT level</w:t>
      </w:r>
      <w:r w:rsidR="00071564">
        <w:rPr>
          <w:rFonts w:ascii="Calibri" w:eastAsia="Times New Roman" w:hAnsi="Calibri" w:cs="Calibri"/>
          <w:color w:val="000000" w:themeColor="text1"/>
        </w:rPr>
        <w:t>s</w:t>
      </w:r>
      <w:r w:rsidR="00DE14A7">
        <w:rPr>
          <w:rFonts w:ascii="Calibri" w:eastAsia="Times New Roman" w:hAnsi="Calibri" w:cs="Calibri"/>
          <w:color w:val="000000" w:themeColor="text1"/>
        </w:rPr>
        <w:t xml:space="preserve"> through which to volunteer.</w:t>
      </w:r>
      <w:r w:rsidR="00EC47FB">
        <w:rPr>
          <w:rStyle w:val="FootnoteReference"/>
          <w:rFonts w:ascii="Calibri" w:eastAsia="Times New Roman" w:hAnsi="Calibri" w:cs="Calibri"/>
          <w:color w:val="000000" w:themeColor="text1"/>
        </w:rPr>
        <w:footnoteReference w:id="5"/>
      </w:r>
    </w:p>
    <w:p w14:paraId="0490E733" w14:textId="71E68AAB" w:rsidR="007B1A89" w:rsidRDefault="007B1A89" w:rsidP="00600CBD">
      <w:pPr>
        <w:spacing w:line="360" w:lineRule="auto"/>
        <w:rPr>
          <w:rFonts w:ascii="Calibri" w:eastAsia="Times New Roman" w:hAnsi="Calibri" w:cs="Calibri"/>
          <w:color w:val="000000" w:themeColor="text1"/>
        </w:rPr>
      </w:pPr>
    </w:p>
    <w:p w14:paraId="12418867" w14:textId="4FA18266" w:rsidR="00495BD2" w:rsidRPr="00495BD2" w:rsidRDefault="00446F41" w:rsidP="00446F41">
      <w:pPr>
        <w:pStyle w:val="ListParagraph"/>
        <w:numPr>
          <w:ilvl w:val="0"/>
          <w:numId w:val="6"/>
        </w:numPr>
        <w:spacing w:line="360" w:lineRule="auto"/>
        <w:rPr>
          <w:rFonts w:ascii="Calibri" w:eastAsia="Times New Roman" w:hAnsi="Calibri" w:cs="Calibri"/>
          <w:color w:val="000000" w:themeColor="text1"/>
        </w:rPr>
      </w:pPr>
      <w:r w:rsidRPr="00C3358D">
        <w:rPr>
          <w:rFonts w:eastAsia="Times New Roman" w:cstheme="minorHAnsi"/>
          <w:b/>
          <w:bCs/>
          <w:color w:val="000000" w:themeColor="text1"/>
        </w:rPr>
        <w:t>Emergency System for Advance Registration of Volunteer Health Professionals (ESAR-VHP)</w:t>
      </w:r>
      <w:r w:rsidR="00C3358D" w:rsidRPr="00C3358D">
        <w:rPr>
          <w:rFonts w:eastAsia="Times New Roman" w:cstheme="minorHAnsi"/>
          <w:b/>
          <w:bCs/>
          <w:color w:val="000000" w:themeColor="text1"/>
        </w:rPr>
        <w:t xml:space="preserve"> – </w:t>
      </w:r>
      <w:r w:rsidRPr="00C3358D">
        <w:rPr>
          <w:rFonts w:eastAsia="Times New Roman" w:cstheme="minorHAnsi"/>
          <w:color w:val="000000" w:themeColor="text1"/>
        </w:rPr>
        <w:t xml:space="preserve">Each state has established an ESAR-VHP program to register VHPs, verify VHP credentials and </w:t>
      </w:r>
      <w:r w:rsidR="002A3608">
        <w:rPr>
          <w:rFonts w:eastAsia="Times New Roman" w:cstheme="minorHAnsi"/>
          <w:color w:val="000000" w:themeColor="text1"/>
        </w:rPr>
        <w:t xml:space="preserve">hospital </w:t>
      </w:r>
      <w:r w:rsidRPr="00C3358D">
        <w:rPr>
          <w:rFonts w:eastAsia="Times New Roman" w:cstheme="minorHAnsi"/>
          <w:color w:val="000000" w:themeColor="text1"/>
        </w:rPr>
        <w:t>privileges, and coordinate emergency response agencies.</w:t>
      </w:r>
      <w:r w:rsidR="000A4C90">
        <w:rPr>
          <w:rStyle w:val="FootnoteReference"/>
          <w:rFonts w:eastAsia="Times New Roman" w:cstheme="minorHAnsi"/>
          <w:color w:val="000000" w:themeColor="text1"/>
        </w:rPr>
        <w:footnoteReference w:id="6"/>
      </w:r>
      <w:r w:rsidRPr="00C3358D">
        <w:rPr>
          <w:rFonts w:eastAsia="Times New Roman" w:cstheme="minorHAnsi"/>
          <w:color w:val="000000" w:themeColor="text1"/>
        </w:rPr>
        <w:t xml:space="preserve"> </w:t>
      </w:r>
      <w:r w:rsidR="00A73B41" w:rsidRPr="00C3358D">
        <w:rPr>
          <w:rFonts w:eastAsia="Times New Roman" w:cstheme="minorHAnsi"/>
          <w:color w:val="000000" w:themeColor="text1"/>
        </w:rPr>
        <w:t>S</w:t>
      </w:r>
      <w:r w:rsidRPr="00C3358D">
        <w:rPr>
          <w:rFonts w:eastAsia="Times New Roman" w:cstheme="minorHAnsi"/>
          <w:color w:val="000000" w:themeColor="text1"/>
        </w:rPr>
        <w:t xml:space="preserve">tate ESAR-VHP systems are </w:t>
      </w:r>
      <w:r w:rsidR="00604BCD">
        <w:rPr>
          <w:rFonts w:eastAsia="Times New Roman" w:cstheme="minorHAnsi"/>
          <w:color w:val="000000" w:themeColor="text1"/>
        </w:rPr>
        <w:t xml:space="preserve">supported </w:t>
      </w:r>
      <w:r w:rsidR="004530E1">
        <w:rPr>
          <w:rFonts w:eastAsia="Times New Roman" w:cstheme="minorHAnsi"/>
          <w:color w:val="000000" w:themeColor="text1"/>
        </w:rPr>
        <w:t xml:space="preserve">through a </w:t>
      </w:r>
      <w:r w:rsidR="00604BCD">
        <w:rPr>
          <w:rFonts w:eastAsia="Times New Roman" w:cstheme="minorHAnsi"/>
          <w:color w:val="000000" w:themeColor="text1"/>
        </w:rPr>
        <w:t xml:space="preserve">program </w:t>
      </w:r>
      <w:r w:rsidRPr="00C3358D">
        <w:rPr>
          <w:rFonts w:eastAsia="Times New Roman" w:cstheme="minorHAnsi"/>
          <w:color w:val="000000" w:themeColor="text1"/>
        </w:rPr>
        <w:t>administered by the Health and Human Services Office of the Assistant Secretary of Preparedness and Response (ASPR).</w:t>
      </w:r>
      <w:r w:rsidR="000A4C90">
        <w:rPr>
          <w:rStyle w:val="FootnoteReference"/>
          <w:rFonts w:eastAsia="Times New Roman" w:cstheme="minorHAnsi"/>
          <w:color w:val="000000" w:themeColor="text1"/>
        </w:rPr>
        <w:footnoteReference w:id="7"/>
      </w:r>
      <w:r w:rsidRPr="00C3358D">
        <w:rPr>
          <w:rFonts w:eastAsia="Times New Roman" w:cstheme="minorHAnsi"/>
          <w:color w:val="000000" w:themeColor="text1"/>
        </w:rPr>
        <w:t xml:space="preserve"> ASPR develops registration system policies and guidelines and helps states standardize their registration systems</w:t>
      </w:r>
      <w:r w:rsidR="00C609D4">
        <w:rPr>
          <w:rFonts w:eastAsia="Times New Roman" w:cstheme="minorHAnsi"/>
          <w:color w:val="000000" w:themeColor="text1"/>
        </w:rPr>
        <w:t>, although spe</w:t>
      </w:r>
      <w:r w:rsidR="0071200B">
        <w:rPr>
          <w:rFonts w:eastAsia="Times New Roman" w:cstheme="minorHAnsi"/>
          <w:color w:val="000000" w:themeColor="text1"/>
        </w:rPr>
        <w:t>cific program names and registrations processes may vary by jurisdiction</w:t>
      </w:r>
      <w:r w:rsidRPr="00C3358D">
        <w:rPr>
          <w:rFonts w:eastAsia="Times New Roman" w:cstheme="minorHAnsi"/>
          <w:color w:val="000000" w:themeColor="text1"/>
        </w:rPr>
        <w:t>.</w:t>
      </w:r>
      <w:r w:rsidR="005D13A3">
        <w:rPr>
          <w:rStyle w:val="FootnoteReference"/>
          <w:rFonts w:eastAsia="Times New Roman" w:cstheme="minorHAnsi"/>
          <w:color w:val="000000" w:themeColor="text1"/>
        </w:rPr>
        <w:footnoteReference w:id="8"/>
      </w:r>
      <w:r w:rsidRPr="00C3358D">
        <w:rPr>
          <w:rFonts w:eastAsia="Times New Roman" w:cstheme="minorHAnsi"/>
          <w:color w:val="000000" w:themeColor="text1"/>
        </w:rPr>
        <w:t xml:space="preserve"> </w:t>
      </w:r>
      <w:r w:rsidR="00620996" w:rsidRPr="00C3358D">
        <w:rPr>
          <w:rFonts w:eastAsia="Times New Roman" w:cstheme="minorHAnsi"/>
          <w:color w:val="000000" w:themeColor="text1"/>
        </w:rPr>
        <w:t>Some states use an online, electronic registration system while others require registration via paper applications. Other states may use both.</w:t>
      </w:r>
      <w:r w:rsidR="00495BD2">
        <w:rPr>
          <w:rFonts w:eastAsia="Times New Roman" w:cstheme="minorHAnsi"/>
          <w:color w:val="000000" w:themeColor="text1"/>
        </w:rPr>
        <w:t xml:space="preserve"> </w:t>
      </w:r>
    </w:p>
    <w:p w14:paraId="230CA159" w14:textId="77777777" w:rsidR="00CF15C8" w:rsidRDefault="00CF15C8" w:rsidP="004D14FF">
      <w:pPr>
        <w:pStyle w:val="ListParagraph"/>
        <w:spacing w:line="360" w:lineRule="auto"/>
        <w:ind w:left="360"/>
        <w:rPr>
          <w:rFonts w:eastAsia="Times New Roman" w:cstheme="minorHAnsi"/>
          <w:color w:val="000000" w:themeColor="text1"/>
        </w:rPr>
      </w:pPr>
    </w:p>
    <w:p w14:paraId="483037EC" w14:textId="3F32BC8E" w:rsidR="004D14FF" w:rsidRDefault="00446F41" w:rsidP="004D14FF">
      <w:pPr>
        <w:pStyle w:val="ListParagraph"/>
        <w:spacing w:line="360" w:lineRule="auto"/>
        <w:ind w:left="360"/>
        <w:rPr>
          <w:rFonts w:eastAsia="Times New Roman" w:cstheme="minorHAnsi"/>
          <w:color w:val="000000" w:themeColor="text1"/>
        </w:rPr>
      </w:pPr>
      <w:r w:rsidRPr="00495BD2">
        <w:rPr>
          <w:rFonts w:eastAsia="Times New Roman" w:cstheme="minorHAnsi"/>
          <w:color w:val="000000" w:themeColor="text1"/>
        </w:rPr>
        <w:t>A wide range of licensed and credentialed health professionals can register with ESAR-VHP. Professions include, but are not limited to advanced practice nurses, behavioral health professionals, emergency medical technicians and paramedics, licensed practical nurses, medical and clinical laboratory technicians, pharmacists, physicians, physician assistants, and veterinarians.</w:t>
      </w:r>
      <w:r w:rsidR="00657A25">
        <w:rPr>
          <w:rStyle w:val="FootnoteReference"/>
          <w:rFonts w:eastAsia="Times New Roman" w:cstheme="minorHAnsi"/>
          <w:color w:val="000000" w:themeColor="text1"/>
        </w:rPr>
        <w:footnoteReference w:id="9"/>
      </w:r>
      <w:r w:rsidRPr="00495BD2">
        <w:rPr>
          <w:rFonts w:eastAsia="Times New Roman" w:cstheme="minorHAnsi"/>
          <w:color w:val="000000" w:themeColor="text1"/>
        </w:rPr>
        <w:t xml:space="preserve"> </w:t>
      </w:r>
      <w:r w:rsidR="003F2803">
        <w:rPr>
          <w:rFonts w:eastAsia="Times New Roman" w:cstheme="minorHAnsi"/>
          <w:color w:val="000000" w:themeColor="text1"/>
        </w:rPr>
        <w:t xml:space="preserve">States </w:t>
      </w:r>
      <w:r w:rsidR="006F650C">
        <w:rPr>
          <w:rFonts w:eastAsia="Times New Roman" w:cstheme="minorHAnsi"/>
          <w:color w:val="000000" w:themeColor="text1"/>
        </w:rPr>
        <w:t xml:space="preserve">may vary on the health professions </w:t>
      </w:r>
      <w:r w:rsidR="00F60EA6">
        <w:rPr>
          <w:rFonts w:eastAsia="Times New Roman" w:cstheme="minorHAnsi"/>
          <w:color w:val="000000" w:themeColor="text1"/>
        </w:rPr>
        <w:t>that can register through ESAR-VHP in that state.</w:t>
      </w:r>
      <w:r w:rsidR="00AB40F1">
        <w:rPr>
          <w:rFonts w:eastAsia="Times New Roman" w:cstheme="minorHAnsi"/>
          <w:color w:val="000000" w:themeColor="text1"/>
        </w:rPr>
        <w:t xml:space="preserve"> </w:t>
      </w:r>
      <w:r w:rsidR="00AB40F1">
        <w:rPr>
          <w:rFonts w:ascii="Calibri" w:eastAsia="Times New Roman" w:hAnsi="Calibri" w:cs="Calibri"/>
          <w:color w:val="000000" w:themeColor="text1"/>
        </w:rPr>
        <w:t xml:space="preserve">As discussed below, the </w:t>
      </w:r>
      <w:r w:rsidR="00AB40F1" w:rsidRPr="005D5D9C">
        <w:rPr>
          <w:rFonts w:ascii="Calibri" w:eastAsia="Times New Roman" w:hAnsi="Calibri" w:cs="Calibri"/>
          <w:color w:val="000000" w:themeColor="text1"/>
        </w:rPr>
        <w:t xml:space="preserve">Pandemic </w:t>
      </w:r>
      <w:r w:rsidR="00AB40F1">
        <w:rPr>
          <w:rFonts w:ascii="Calibri" w:eastAsia="Times New Roman" w:hAnsi="Calibri" w:cs="Calibri"/>
          <w:color w:val="000000" w:themeColor="text1"/>
        </w:rPr>
        <w:t>a</w:t>
      </w:r>
      <w:r w:rsidR="00AB40F1" w:rsidRPr="005D5D9C">
        <w:rPr>
          <w:rFonts w:ascii="Calibri" w:eastAsia="Times New Roman" w:hAnsi="Calibri" w:cs="Calibri"/>
          <w:color w:val="000000" w:themeColor="text1"/>
        </w:rPr>
        <w:t xml:space="preserve">nd All-Hazards Preparedness </w:t>
      </w:r>
      <w:r w:rsidR="00AB40F1">
        <w:rPr>
          <w:rFonts w:ascii="Calibri" w:eastAsia="Times New Roman" w:hAnsi="Calibri" w:cs="Calibri"/>
          <w:color w:val="000000" w:themeColor="text1"/>
        </w:rPr>
        <w:t>a</w:t>
      </w:r>
      <w:r w:rsidR="00AB40F1" w:rsidRPr="005D5D9C">
        <w:rPr>
          <w:rFonts w:ascii="Calibri" w:eastAsia="Times New Roman" w:hAnsi="Calibri" w:cs="Calibri"/>
          <w:color w:val="000000" w:themeColor="text1"/>
        </w:rPr>
        <w:t>nd Advancing Innovation Act</w:t>
      </w:r>
      <w:r w:rsidR="00AB40F1">
        <w:rPr>
          <w:rFonts w:ascii="Calibri" w:eastAsia="Times New Roman" w:hAnsi="Calibri" w:cs="Calibri"/>
          <w:color w:val="000000" w:themeColor="text1"/>
        </w:rPr>
        <w:t xml:space="preserve"> of 2019 </w:t>
      </w:r>
      <w:r w:rsidR="00AB40F1" w:rsidRPr="005D5D9C">
        <w:rPr>
          <w:rFonts w:ascii="Calibri" w:eastAsia="Times New Roman" w:hAnsi="Calibri" w:cs="Calibri"/>
          <w:color w:val="000000" w:themeColor="text1"/>
        </w:rPr>
        <w:t>(PAHPAIA)</w:t>
      </w:r>
      <w:r w:rsidR="00823E35">
        <w:rPr>
          <w:rFonts w:ascii="Calibri" w:eastAsia="Times New Roman" w:hAnsi="Calibri" w:cs="Calibri"/>
          <w:color w:val="000000" w:themeColor="text1"/>
        </w:rPr>
        <w:t xml:space="preserve"> made several revisions to ESAR-VHP.</w:t>
      </w:r>
      <w:r w:rsidR="00823E35">
        <w:rPr>
          <w:rStyle w:val="FootnoteReference"/>
          <w:rFonts w:ascii="Calibri" w:eastAsia="Times New Roman" w:hAnsi="Calibri" w:cs="Calibri"/>
          <w:color w:val="000000" w:themeColor="text1"/>
        </w:rPr>
        <w:footnoteReference w:id="10"/>
      </w:r>
      <w:r w:rsidR="00AB40F1">
        <w:rPr>
          <w:rFonts w:ascii="Calibri" w:eastAsia="Times New Roman" w:hAnsi="Calibri" w:cs="Calibri"/>
          <w:color w:val="000000" w:themeColor="text1"/>
        </w:rPr>
        <w:t xml:space="preserve"> </w:t>
      </w:r>
    </w:p>
    <w:p w14:paraId="5E5775A7" w14:textId="77777777" w:rsidR="003B3E47" w:rsidRDefault="003B3E47" w:rsidP="004D14FF">
      <w:pPr>
        <w:pStyle w:val="ListParagraph"/>
        <w:spacing w:line="360" w:lineRule="auto"/>
        <w:ind w:left="360"/>
        <w:rPr>
          <w:rFonts w:eastAsia="Times New Roman" w:cstheme="minorHAnsi"/>
          <w:color w:val="000000" w:themeColor="text1"/>
        </w:rPr>
      </w:pPr>
    </w:p>
    <w:p w14:paraId="28E63156" w14:textId="77777777" w:rsidR="004B029D" w:rsidRPr="004B029D" w:rsidRDefault="00535263" w:rsidP="00E16EB2">
      <w:pPr>
        <w:pStyle w:val="ListParagraph"/>
        <w:numPr>
          <w:ilvl w:val="0"/>
          <w:numId w:val="6"/>
        </w:numPr>
        <w:spacing w:line="360" w:lineRule="auto"/>
        <w:rPr>
          <w:rFonts w:ascii="Calibri" w:eastAsia="Times New Roman" w:hAnsi="Calibri" w:cs="Calibri"/>
          <w:b/>
          <w:bCs/>
          <w:color w:val="000000" w:themeColor="text1"/>
        </w:rPr>
      </w:pPr>
      <w:r w:rsidRPr="003B3E47">
        <w:rPr>
          <w:rFonts w:ascii="Calibri" w:eastAsia="Times New Roman" w:hAnsi="Calibri" w:cs="Calibri"/>
          <w:b/>
          <w:bCs/>
          <w:color w:val="000000" w:themeColor="text1"/>
        </w:rPr>
        <w:t>Citizen Corps</w:t>
      </w:r>
      <w:r w:rsidR="003B3E47" w:rsidRPr="003B3E47">
        <w:rPr>
          <w:rFonts w:ascii="Calibri" w:eastAsia="Times New Roman" w:hAnsi="Calibri" w:cs="Calibri"/>
          <w:b/>
          <w:bCs/>
          <w:color w:val="000000" w:themeColor="text1"/>
        </w:rPr>
        <w:t xml:space="preserve"> – </w:t>
      </w:r>
      <w:r w:rsidRPr="003B3E47">
        <w:rPr>
          <w:rFonts w:ascii="Calibri" w:eastAsia="Times New Roman" w:hAnsi="Calibri" w:cs="Calibri"/>
          <w:bdr w:val="none" w:sz="0" w:space="0" w:color="auto" w:frame="1"/>
        </w:rPr>
        <w:t>Citizen Corps</w:t>
      </w:r>
      <w:r w:rsidR="00CD385C" w:rsidRPr="003B3E47">
        <w:rPr>
          <w:rFonts w:ascii="Calibri" w:eastAsia="Times New Roman" w:hAnsi="Calibri" w:cs="Calibri"/>
          <w:bdr w:val="none" w:sz="0" w:space="0" w:color="auto" w:frame="1"/>
          <w:vertAlign w:val="superscript"/>
        </w:rPr>
        <w:t xml:space="preserve"> </w:t>
      </w:r>
      <w:r w:rsidRPr="003B3E47">
        <w:rPr>
          <w:rFonts w:ascii="Calibri" w:eastAsia="Times New Roman" w:hAnsi="Calibri" w:cs="Calibri"/>
          <w:color w:val="000000" w:themeColor="text1"/>
        </w:rPr>
        <w:t>is a Department of Homeland Security project that helps coordinate emergency volunteer activities.</w:t>
      </w:r>
      <w:r w:rsidR="00CD385C">
        <w:rPr>
          <w:rStyle w:val="FootnoteReference"/>
          <w:rFonts w:ascii="Calibri" w:eastAsia="Times New Roman" w:hAnsi="Calibri" w:cs="Calibri"/>
          <w:color w:val="000000" w:themeColor="text1"/>
        </w:rPr>
        <w:footnoteReference w:id="11"/>
      </w:r>
      <w:r w:rsidRPr="003B3E47">
        <w:rPr>
          <w:rFonts w:ascii="Calibri" w:eastAsia="Times New Roman" w:hAnsi="Calibri" w:cs="Calibri"/>
          <w:color w:val="000000" w:themeColor="text1"/>
        </w:rPr>
        <w:t xml:space="preserve"> It is comprised of a national network of state, local, and </w:t>
      </w:r>
      <w:r w:rsidRPr="003B3E47">
        <w:rPr>
          <w:rFonts w:ascii="Calibri" w:eastAsia="Times New Roman" w:hAnsi="Calibri" w:cs="Calibri"/>
        </w:rPr>
        <w:t>tribal</w:t>
      </w:r>
      <w:r w:rsidR="00CD385C" w:rsidRPr="003B3E47">
        <w:rPr>
          <w:rFonts w:ascii="Calibri" w:eastAsia="Times New Roman" w:hAnsi="Calibri" w:cs="Calibri"/>
        </w:rPr>
        <w:t xml:space="preserve"> </w:t>
      </w:r>
      <w:r w:rsidRPr="003B3E47">
        <w:rPr>
          <w:rFonts w:ascii="Calibri" w:eastAsia="Times New Roman" w:hAnsi="Calibri" w:cs="Calibri"/>
          <w:bdr w:val="none" w:sz="0" w:space="0" w:color="auto" w:frame="1"/>
        </w:rPr>
        <w:lastRenderedPageBreak/>
        <w:t>Citizen Corps Councils</w:t>
      </w:r>
      <w:r w:rsidR="00A33CC2" w:rsidRPr="003B3E47">
        <w:rPr>
          <w:rFonts w:ascii="Calibri" w:eastAsia="Times New Roman" w:hAnsi="Calibri" w:cs="Calibri"/>
          <w:bdr w:val="none" w:sz="0" w:space="0" w:color="auto" w:frame="1"/>
        </w:rPr>
        <w:t xml:space="preserve"> </w:t>
      </w:r>
      <w:r w:rsidRPr="003B3E47">
        <w:rPr>
          <w:rFonts w:ascii="Calibri" w:eastAsia="Times New Roman" w:hAnsi="Calibri" w:cs="Calibri"/>
        </w:rPr>
        <w:t xml:space="preserve">that </w:t>
      </w:r>
      <w:r w:rsidRPr="003B3E47">
        <w:rPr>
          <w:rFonts w:ascii="Calibri" w:eastAsia="Times New Roman" w:hAnsi="Calibri" w:cs="Calibri"/>
          <w:color w:val="000000" w:themeColor="text1"/>
        </w:rPr>
        <w:t>implement the emergency preparedness and response programs.</w:t>
      </w:r>
      <w:r w:rsidR="00CD385C">
        <w:rPr>
          <w:rStyle w:val="FootnoteReference"/>
          <w:rFonts w:ascii="Calibri" w:eastAsia="Times New Roman" w:hAnsi="Calibri" w:cs="Calibri"/>
          <w:color w:val="000000" w:themeColor="text1"/>
        </w:rPr>
        <w:footnoteReference w:id="12"/>
      </w:r>
      <w:r w:rsidRPr="003B3E47">
        <w:rPr>
          <w:rFonts w:ascii="Calibri" w:eastAsia="Times New Roman" w:hAnsi="Calibri" w:cs="Calibri"/>
          <w:color w:val="000000" w:themeColor="text1"/>
        </w:rPr>
        <w:t xml:space="preserve"> The</w:t>
      </w:r>
      <w:r w:rsidR="008828A2" w:rsidRPr="003B3E47">
        <w:rPr>
          <w:rFonts w:ascii="Calibri" w:eastAsia="Times New Roman" w:hAnsi="Calibri" w:cs="Calibri"/>
          <w:color w:val="000000" w:themeColor="text1"/>
        </w:rPr>
        <w:t xml:space="preserve"> </w:t>
      </w:r>
      <w:r w:rsidRPr="003B3E47">
        <w:rPr>
          <w:rFonts w:ascii="Calibri" w:eastAsia="Times New Roman" w:hAnsi="Calibri" w:cs="Calibri"/>
          <w:bdr w:val="none" w:sz="0" w:space="0" w:color="auto" w:frame="1"/>
        </w:rPr>
        <w:t>Citizen Corps Partner Programs</w:t>
      </w:r>
      <w:r w:rsidR="008828A2" w:rsidRPr="003B3E47">
        <w:rPr>
          <w:rFonts w:ascii="Calibri" w:eastAsia="Times New Roman" w:hAnsi="Calibri" w:cs="Calibri"/>
          <w:bdr w:val="none" w:sz="0" w:space="0" w:color="auto" w:frame="1"/>
          <w:vertAlign w:val="superscript"/>
        </w:rPr>
        <w:t xml:space="preserve"> </w:t>
      </w:r>
      <w:r w:rsidRPr="003B3E47">
        <w:rPr>
          <w:rFonts w:ascii="Calibri" w:eastAsia="Times New Roman" w:hAnsi="Calibri" w:cs="Calibri"/>
          <w:color w:val="000000" w:themeColor="text1"/>
        </w:rPr>
        <w:t>include the Medical Reserve Corps (MRC), the Community Emergency Response Team (CERT), the Fire Corps, USA</w:t>
      </w:r>
      <w:r w:rsidR="00650C77">
        <w:rPr>
          <w:rFonts w:ascii="Calibri" w:eastAsia="Times New Roman" w:hAnsi="Calibri" w:cs="Calibri"/>
          <w:color w:val="000000" w:themeColor="text1"/>
        </w:rPr>
        <w:t xml:space="preserve"> </w:t>
      </w:r>
      <w:r w:rsidRPr="003B3E47">
        <w:rPr>
          <w:rFonts w:ascii="Calibri" w:eastAsia="Times New Roman" w:hAnsi="Calibri" w:cs="Calibri"/>
          <w:color w:val="000000" w:themeColor="text1"/>
        </w:rPr>
        <w:t>on</w:t>
      </w:r>
      <w:r w:rsidR="00650C77">
        <w:rPr>
          <w:rFonts w:ascii="Calibri" w:eastAsia="Times New Roman" w:hAnsi="Calibri" w:cs="Calibri"/>
          <w:color w:val="000000" w:themeColor="text1"/>
        </w:rPr>
        <w:t xml:space="preserve"> </w:t>
      </w:r>
      <w:r w:rsidRPr="003B3E47">
        <w:rPr>
          <w:rFonts w:ascii="Calibri" w:eastAsia="Times New Roman" w:hAnsi="Calibri" w:cs="Calibri"/>
          <w:color w:val="000000" w:themeColor="text1"/>
        </w:rPr>
        <w:t>Watch, and Volunteers in Police Service.</w:t>
      </w:r>
      <w:r w:rsidR="008828A2">
        <w:rPr>
          <w:rStyle w:val="FootnoteReference"/>
          <w:rFonts w:ascii="Calibri" w:eastAsia="Times New Roman" w:hAnsi="Calibri" w:cs="Calibri"/>
          <w:color w:val="000000" w:themeColor="text1"/>
        </w:rPr>
        <w:footnoteReference w:id="13"/>
      </w:r>
    </w:p>
    <w:p w14:paraId="5F64A736" w14:textId="77777777" w:rsidR="004B029D" w:rsidRDefault="004B029D" w:rsidP="004B029D">
      <w:pPr>
        <w:pStyle w:val="ListParagraph"/>
        <w:spacing w:line="360" w:lineRule="auto"/>
        <w:ind w:left="360"/>
        <w:rPr>
          <w:rFonts w:ascii="Calibri" w:eastAsia="Times New Roman" w:hAnsi="Calibri" w:cs="Calibri"/>
          <w:b/>
          <w:bCs/>
          <w:color w:val="000000" w:themeColor="text1"/>
        </w:rPr>
      </w:pPr>
    </w:p>
    <w:p w14:paraId="14DD3CBC" w14:textId="69789B39" w:rsidR="00CC32E5" w:rsidRDefault="00E16EB2" w:rsidP="00C80F85">
      <w:pPr>
        <w:pStyle w:val="ListParagraph"/>
        <w:numPr>
          <w:ilvl w:val="0"/>
          <w:numId w:val="6"/>
        </w:numPr>
        <w:spacing w:line="360" w:lineRule="auto"/>
        <w:rPr>
          <w:rFonts w:ascii="Calibri" w:eastAsia="Times New Roman" w:hAnsi="Calibri" w:cs="Calibri"/>
          <w:color w:val="000000" w:themeColor="text1"/>
        </w:rPr>
      </w:pPr>
      <w:r w:rsidRPr="004B029D">
        <w:rPr>
          <w:rFonts w:ascii="Calibri" w:eastAsia="Times New Roman" w:hAnsi="Calibri" w:cs="Calibri"/>
          <w:b/>
          <w:bCs/>
          <w:color w:val="000000" w:themeColor="text1"/>
        </w:rPr>
        <w:t>Medical Reserve Corps</w:t>
      </w:r>
      <w:r w:rsidR="004B029D" w:rsidRPr="004B029D">
        <w:rPr>
          <w:rFonts w:ascii="Calibri" w:eastAsia="Times New Roman" w:hAnsi="Calibri" w:cs="Calibri"/>
          <w:b/>
          <w:bCs/>
          <w:color w:val="000000" w:themeColor="text1"/>
        </w:rPr>
        <w:t xml:space="preserve"> </w:t>
      </w:r>
      <w:r w:rsidR="00F964ED">
        <w:rPr>
          <w:rFonts w:ascii="Calibri" w:eastAsia="Times New Roman" w:hAnsi="Calibri" w:cs="Calibri"/>
          <w:b/>
          <w:bCs/>
          <w:color w:val="000000" w:themeColor="text1"/>
        </w:rPr>
        <w:t>–</w:t>
      </w:r>
      <w:r w:rsidR="004B029D" w:rsidRPr="004B029D">
        <w:rPr>
          <w:rFonts w:ascii="Calibri" w:eastAsia="Times New Roman" w:hAnsi="Calibri" w:cs="Calibri"/>
          <w:b/>
          <w:bCs/>
          <w:color w:val="000000" w:themeColor="text1"/>
        </w:rPr>
        <w:t xml:space="preserve"> </w:t>
      </w:r>
      <w:r w:rsidRPr="004B029D">
        <w:rPr>
          <w:rFonts w:ascii="Calibri" w:eastAsia="Times New Roman" w:hAnsi="Calibri" w:cs="Calibri"/>
          <w:color w:val="000000" w:themeColor="text1"/>
        </w:rPr>
        <w:t>The Medical Reserve Corps (MRC) is a network of community-based units that are established by local organizations to respond to emergencies and natural disasters.</w:t>
      </w:r>
      <w:r w:rsidR="009B4362">
        <w:rPr>
          <w:rStyle w:val="FootnoteReference"/>
          <w:rFonts w:ascii="Calibri" w:eastAsia="Times New Roman" w:hAnsi="Calibri" w:cs="Calibri"/>
          <w:color w:val="000000" w:themeColor="text1"/>
        </w:rPr>
        <w:footnoteReference w:id="14"/>
      </w:r>
      <w:r w:rsidRPr="004B029D">
        <w:rPr>
          <w:rFonts w:ascii="Calibri" w:eastAsia="Times New Roman" w:hAnsi="Calibri" w:cs="Calibri"/>
          <w:color w:val="000000" w:themeColor="text1"/>
        </w:rPr>
        <w:t xml:space="preserve"> </w:t>
      </w:r>
      <w:r w:rsidR="00FA38F5" w:rsidRPr="00F63B86">
        <w:rPr>
          <w:rFonts w:ascii="Calibri" w:eastAsia="Times New Roman" w:hAnsi="Calibri" w:cs="Calibri"/>
          <w:color w:val="000000" w:themeColor="text1"/>
        </w:rPr>
        <w:t>MRC is administered by HHS and is a partner organization of the Citizens Corps</w:t>
      </w:r>
      <w:r w:rsidR="003B4A16" w:rsidRPr="00F63B86">
        <w:rPr>
          <w:rFonts w:ascii="Calibri" w:eastAsia="Times New Roman" w:hAnsi="Calibri" w:cs="Calibri"/>
          <w:color w:val="000000" w:themeColor="text1"/>
        </w:rPr>
        <w:t>.</w:t>
      </w:r>
      <w:r w:rsidR="00FA38F5" w:rsidRPr="004B029D">
        <w:rPr>
          <w:rFonts w:ascii="Calibri" w:eastAsia="Times New Roman" w:hAnsi="Calibri" w:cs="Calibri"/>
          <w:color w:val="000000" w:themeColor="text1"/>
        </w:rPr>
        <w:t xml:space="preserve"> </w:t>
      </w:r>
      <w:r w:rsidR="003F139F" w:rsidRPr="004B029D">
        <w:rPr>
          <w:rFonts w:ascii="Calibri" w:eastAsia="Times New Roman" w:hAnsi="Calibri" w:cs="Calibri"/>
          <w:color w:val="000000" w:themeColor="text1"/>
        </w:rPr>
        <w:t>The Pandemic and All-Hazards Preparedness Act (PAHPA) require</w:t>
      </w:r>
      <w:r w:rsidR="00CE0A7E">
        <w:rPr>
          <w:rFonts w:ascii="Calibri" w:eastAsia="Times New Roman" w:hAnsi="Calibri" w:cs="Calibri"/>
          <w:color w:val="000000" w:themeColor="text1"/>
        </w:rPr>
        <w:t>d</w:t>
      </w:r>
      <w:r w:rsidR="003F139F" w:rsidRPr="004B029D">
        <w:rPr>
          <w:rFonts w:ascii="Calibri" w:eastAsia="Times New Roman" w:hAnsi="Calibri" w:cs="Calibri"/>
          <w:color w:val="000000" w:themeColor="text1"/>
        </w:rPr>
        <w:t xml:space="preserve"> integrating the MRC registration system and other state verification systems into the national ESAR-VHP system.</w:t>
      </w:r>
      <w:r w:rsidR="003F139F">
        <w:rPr>
          <w:rStyle w:val="FootnoteReference"/>
          <w:rFonts w:ascii="Calibri" w:eastAsia="Times New Roman" w:hAnsi="Calibri" w:cs="Calibri"/>
          <w:color w:val="000000" w:themeColor="text1"/>
        </w:rPr>
        <w:footnoteReference w:id="15"/>
      </w:r>
      <w:r w:rsidR="003F139F" w:rsidRPr="004B029D">
        <w:rPr>
          <w:rFonts w:ascii="Calibri" w:eastAsia="Times New Roman" w:hAnsi="Calibri" w:cs="Calibri"/>
          <w:color w:val="000000" w:themeColor="text1"/>
        </w:rPr>
        <w:t xml:space="preserve"> </w:t>
      </w:r>
      <w:r w:rsidR="00D05900">
        <w:rPr>
          <w:rFonts w:ascii="Calibri" w:eastAsia="Times New Roman" w:hAnsi="Calibri" w:cs="Calibri"/>
          <w:color w:val="000000" w:themeColor="text1"/>
        </w:rPr>
        <w:t xml:space="preserve">In 2019, </w:t>
      </w:r>
      <w:r w:rsidR="00C3468C" w:rsidRPr="005D5D9C">
        <w:rPr>
          <w:rFonts w:ascii="Calibri" w:eastAsia="Times New Roman" w:hAnsi="Calibri" w:cs="Calibri"/>
          <w:color w:val="000000" w:themeColor="text1"/>
        </w:rPr>
        <w:t>PAHPAIA</w:t>
      </w:r>
      <w:r w:rsidR="00C3468C">
        <w:rPr>
          <w:rFonts w:ascii="Calibri" w:eastAsia="Times New Roman" w:hAnsi="Calibri" w:cs="Calibri"/>
          <w:color w:val="000000" w:themeColor="text1"/>
        </w:rPr>
        <w:t xml:space="preserve"> </w:t>
      </w:r>
      <w:r w:rsidR="00245F71">
        <w:rPr>
          <w:rFonts w:ascii="Calibri" w:eastAsia="Times New Roman" w:hAnsi="Calibri" w:cs="Calibri"/>
          <w:color w:val="000000" w:themeColor="text1"/>
        </w:rPr>
        <w:t>clarified tha</w:t>
      </w:r>
      <w:r w:rsidR="00294B0D">
        <w:rPr>
          <w:rFonts w:ascii="Calibri" w:eastAsia="Times New Roman" w:hAnsi="Calibri" w:cs="Calibri"/>
          <w:color w:val="000000" w:themeColor="text1"/>
        </w:rPr>
        <w:t>t MRC personnel are eli</w:t>
      </w:r>
      <w:r w:rsidR="001E0FFF">
        <w:rPr>
          <w:rFonts w:ascii="Calibri" w:eastAsia="Times New Roman" w:hAnsi="Calibri" w:cs="Calibri"/>
          <w:color w:val="000000" w:themeColor="text1"/>
        </w:rPr>
        <w:t xml:space="preserve">gible to enroll </w:t>
      </w:r>
      <w:r w:rsidR="00124B83">
        <w:rPr>
          <w:rFonts w:ascii="Calibri" w:eastAsia="Times New Roman" w:hAnsi="Calibri" w:cs="Calibri"/>
          <w:color w:val="000000" w:themeColor="text1"/>
        </w:rPr>
        <w:t>in state ESAR-VHP systems</w:t>
      </w:r>
      <w:r w:rsidR="00491F4E">
        <w:rPr>
          <w:rFonts w:ascii="Calibri" w:eastAsia="Times New Roman" w:hAnsi="Calibri" w:cs="Calibri"/>
          <w:color w:val="000000" w:themeColor="text1"/>
        </w:rPr>
        <w:t>.</w:t>
      </w:r>
      <w:r w:rsidR="007937EC">
        <w:rPr>
          <w:rStyle w:val="FootnoteReference"/>
          <w:rFonts w:ascii="Calibri" w:eastAsia="Times New Roman" w:hAnsi="Calibri" w:cs="Calibri"/>
          <w:color w:val="000000" w:themeColor="text1"/>
        </w:rPr>
        <w:footnoteReference w:id="16"/>
      </w:r>
      <w:r w:rsidR="004A088F" w:rsidRPr="005D5D9C">
        <w:rPr>
          <w:rFonts w:ascii="Calibri" w:eastAsia="Times New Roman" w:hAnsi="Calibri" w:cs="Calibri"/>
          <w:color w:val="000000" w:themeColor="text1"/>
        </w:rPr>
        <w:t xml:space="preserve"> </w:t>
      </w:r>
      <w:r w:rsidR="003F139F" w:rsidRPr="004B029D">
        <w:rPr>
          <w:rFonts w:ascii="Calibri" w:eastAsia="Times New Roman" w:hAnsi="Calibri" w:cs="Calibri"/>
          <w:color w:val="000000" w:themeColor="text1"/>
        </w:rPr>
        <w:t xml:space="preserve">MRC units are encouraged to use the state ESAR-VHP programs for registering and verifying MRC volunteers' credentials. </w:t>
      </w:r>
      <w:r w:rsidR="00C31922" w:rsidRPr="004B029D">
        <w:rPr>
          <w:rFonts w:ascii="Calibri" w:eastAsia="Times New Roman" w:hAnsi="Calibri" w:cs="Calibri"/>
          <w:color w:val="000000" w:themeColor="text1"/>
        </w:rPr>
        <w:t>State coordinators and ten regional coordinators facilitate intrastate activities.</w:t>
      </w:r>
      <w:r w:rsidR="00A82CFD">
        <w:rPr>
          <w:rStyle w:val="FootnoteReference"/>
          <w:rFonts w:ascii="Calibri" w:eastAsia="Times New Roman" w:hAnsi="Calibri" w:cs="Calibri"/>
          <w:color w:val="000000" w:themeColor="text1"/>
        </w:rPr>
        <w:footnoteReference w:id="17"/>
      </w:r>
      <w:r w:rsidR="00C31922" w:rsidRPr="004B029D">
        <w:rPr>
          <w:rFonts w:ascii="Calibri" w:eastAsia="Times New Roman" w:hAnsi="Calibri" w:cs="Calibri"/>
          <w:color w:val="000000" w:themeColor="text1"/>
        </w:rPr>
        <w:t xml:space="preserve"> </w:t>
      </w:r>
    </w:p>
    <w:p w14:paraId="066FB6DE" w14:textId="77777777" w:rsidR="00CC32E5" w:rsidRPr="00CC32E5" w:rsidRDefault="00CC32E5" w:rsidP="00CC32E5">
      <w:pPr>
        <w:pStyle w:val="ListParagraph"/>
        <w:rPr>
          <w:rFonts w:ascii="Calibri" w:eastAsia="Times New Roman" w:hAnsi="Calibri" w:cs="Calibri"/>
          <w:color w:val="000000" w:themeColor="text1"/>
        </w:rPr>
      </w:pPr>
    </w:p>
    <w:p w14:paraId="441985B6" w14:textId="152B94F4" w:rsidR="009C0523" w:rsidRDefault="00E16EB2" w:rsidP="009C0523">
      <w:pPr>
        <w:pStyle w:val="ListParagraph"/>
        <w:spacing w:line="360" w:lineRule="auto"/>
        <w:ind w:left="360"/>
        <w:rPr>
          <w:rFonts w:ascii="Calibri" w:eastAsia="Times New Roman" w:hAnsi="Calibri" w:cs="Calibri"/>
          <w:color w:val="000000" w:themeColor="text1"/>
        </w:rPr>
      </w:pPr>
      <w:r w:rsidRPr="00CC32E5">
        <w:rPr>
          <w:rFonts w:ascii="Calibri" w:eastAsia="Times New Roman" w:hAnsi="Calibri" w:cs="Calibri"/>
          <w:color w:val="000000" w:themeColor="text1"/>
        </w:rPr>
        <w:t>MRC units consist of both medical and non-medical volunteers.</w:t>
      </w:r>
      <w:r w:rsidR="00130761">
        <w:rPr>
          <w:rStyle w:val="FootnoteReference"/>
          <w:rFonts w:ascii="Calibri" w:eastAsia="Times New Roman" w:hAnsi="Calibri" w:cs="Calibri"/>
          <w:color w:val="000000" w:themeColor="text1"/>
        </w:rPr>
        <w:footnoteReference w:id="18"/>
      </w:r>
      <w:r w:rsidRPr="00CC32E5">
        <w:rPr>
          <w:rFonts w:ascii="Calibri" w:eastAsia="Times New Roman" w:hAnsi="Calibri" w:cs="Calibri"/>
          <w:color w:val="000000" w:themeColor="text1"/>
        </w:rPr>
        <w:t xml:space="preserve"> </w:t>
      </w:r>
      <w:r w:rsidR="003B4A16" w:rsidRPr="00CC32E5">
        <w:rPr>
          <w:rFonts w:ascii="Calibri" w:eastAsia="Times New Roman" w:hAnsi="Calibri" w:cs="Calibri"/>
          <w:color w:val="000000" w:themeColor="text1"/>
        </w:rPr>
        <w:t>MRC volunteers include medical and public health professionals such as physicians, nurses, pharmacists, dentists, veterinarians, and epidemiologists. Non-health professional volunteers include interpreters, chaplains, office workers, legal advisors, and others.</w:t>
      </w:r>
      <w:r w:rsidR="00C80F85" w:rsidRPr="00CC32E5">
        <w:rPr>
          <w:rFonts w:ascii="Calibri" w:eastAsia="Times New Roman" w:hAnsi="Calibri" w:cs="Calibri"/>
          <w:color w:val="000000" w:themeColor="text1"/>
        </w:rPr>
        <w:t xml:space="preserve"> In some states, the role of MRC units during a declared emergency and liability protections for MRC volunteers are explicitly addressed in the state's emergency authority statutes. </w:t>
      </w:r>
    </w:p>
    <w:p w14:paraId="43FE2497" w14:textId="77777777" w:rsidR="009C0523" w:rsidRDefault="009C0523" w:rsidP="009C0523">
      <w:pPr>
        <w:pStyle w:val="ListParagraph"/>
        <w:spacing w:line="360" w:lineRule="auto"/>
        <w:ind w:left="360"/>
        <w:rPr>
          <w:rFonts w:ascii="Calibri" w:eastAsia="Times New Roman" w:hAnsi="Calibri" w:cs="Calibri"/>
          <w:color w:val="000000" w:themeColor="text1"/>
        </w:rPr>
      </w:pPr>
    </w:p>
    <w:p w14:paraId="4C43DAE6" w14:textId="1037B5DA" w:rsidR="0039167E" w:rsidRPr="0039167E" w:rsidRDefault="00535263" w:rsidP="005B1EF8">
      <w:pPr>
        <w:pStyle w:val="ListParagraph"/>
        <w:numPr>
          <w:ilvl w:val="0"/>
          <w:numId w:val="6"/>
        </w:numPr>
        <w:spacing w:line="360" w:lineRule="auto"/>
        <w:rPr>
          <w:rFonts w:ascii="Calibri" w:eastAsia="Times New Roman" w:hAnsi="Calibri" w:cs="Calibri"/>
          <w:b/>
          <w:bCs/>
          <w:color w:val="000000" w:themeColor="text1"/>
        </w:rPr>
      </w:pPr>
      <w:r w:rsidRPr="009C0523">
        <w:rPr>
          <w:rFonts w:ascii="Calibri" w:eastAsia="Times New Roman" w:hAnsi="Calibri" w:cs="Calibri"/>
          <w:b/>
          <w:bCs/>
          <w:color w:val="000000" w:themeColor="text1"/>
        </w:rPr>
        <w:t>Community Emergency Response Team</w:t>
      </w:r>
      <w:r w:rsidR="009C0523" w:rsidRPr="009C0523">
        <w:rPr>
          <w:rFonts w:ascii="Calibri" w:eastAsia="Times New Roman" w:hAnsi="Calibri" w:cs="Calibri"/>
          <w:b/>
          <w:bCs/>
          <w:color w:val="000000" w:themeColor="text1"/>
        </w:rPr>
        <w:t xml:space="preserve"> – </w:t>
      </w:r>
      <w:r w:rsidRPr="009C0523">
        <w:rPr>
          <w:rFonts w:ascii="Calibri" w:eastAsia="Times New Roman" w:hAnsi="Calibri" w:cs="Calibri"/>
          <w:color w:val="000000" w:themeColor="text1"/>
        </w:rPr>
        <w:t>The</w:t>
      </w:r>
      <w:r w:rsidR="00487A0B" w:rsidRPr="009C0523">
        <w:rPr>
          <w:rFonts w:ascii="Calibri" w:eastAsia="Times New Roman" w:hAnsi="Calibri" w:cs="Calibri"/>
        </w:rPr>
        <w:t xml:space="preserve"> </w:t>
      </w:r>
      <w:r w:rsidRPr="009C0523">
        <w:rPr>
          <w:rFonts w:ascii="Calibri" w:eastAsia="Times New Roman" w:hAnsi="Calibri" w:cs="Calibri"/>
          <w:bdr w:val="none" w:sz="0" w:space="0" w:color="auto" w:frame="1"/>
        </w:rPr>
        <w:t>CERT</w:t>
      </w:r>
      <w:r w:rsidR="004219EC">
        <w:rPr>
          <w:rFonts w:ascii="Calibri" w:eastAsia="Times New Roman" w:hAnsi="Calibri" w:cs="Calibri"/>
          <w:bdr w:val="none" w:sz="0" w:space="0" w:color="auto" w:frame="1"/>
        </w:rPr>
        <w:t xml:space="preserve"> </w:t>
      </w:r>
      <w:r w:rsidRPr="009C0523">
        <w:rPr>
          <w:rFonts w:ascii="Calibri" w:eastAsia="Times New Roman" w:hAnsi="Calibri" w:cs="Calibri"/>
          <w:color w:val="000000" w:themeColor="text1"/>
        </w:rPr>
        <w:t>program educates and trains professional and lay volunteers on disaster preparedness.</w:t>
      </w:r>
      <w:r w:rsidR="00487A0B">
        <w:rPr>
          <w:rStyle w:val="FootnoteReference"/>
          <w:rFonts w:ascii="Calibri" w:eastAsia="Times New Roman" w:hAnsi="Calibri" w:cs="Calibri"/>
          <w:color w:val="000000" w:themeColor="text1"/>
        </w:rPr>
        <w:footnoteReference w:id="19"/>
      </w:r>
      <w:r w:rsidRPr="009C0523">
        <w:rPr>
          <w:rFonts w:ascii="Calibri" w:eastAsia="Times New Roman" w:hAnsi="Calibri" w:cs="Calibri"/>
          <w:color w:val="000000" w:themeColor="text1"/>
        </w:rPr>
        <w:t xml:space="preserve"> Liability protections for CERT volunteers may be found in </w:t>
      </w:r>
      <w:r w:rsidRPr="009C0523">
        <w:rPr>
          <w:rFonts w:ascii="Calibri" w:eastAsia="Times New Roman" w:hAnsi="Calibri" w:cs="Calibri"/>
          <w:color w:val="000000" w:themeColor="text1"/>
        </w:rPr>
        <w:lastRenderedPageBreak/>
        <w:t>state and federal volunteer protection acts. Like MRC volunteers, some states have explicitly extended liability protection to CERT volunteers.</w:t>
      </w:r>
    </w:p>
    <w:p w14:paraId="72EB3531" w14:textId="50D98701" w:rsidR="00DC11BA" w:rsidRDefault="00DC11BA" w:rsidP="0039167E">
      <w:pPr>
        <w:pStyle w:val="ListParagraph"/>
        <w:spacing w:line="360" w:lineRule="auto"/>
        <w:ind w:left="360"/>
        <w:rPr>
          <w:rFonts w:ascii="Calibri" w:eastAsia="Times New Roman" w:hAnsi="Calibri" w:cs="Calibri"/>
          <w:b/>
          <w:bCs/>
          <w:color w:val="000000" w:themeColor="text1"/>
        </w:rPr>
      </w:pPr>
    </w:p>
    <w:p w14:paraId="5E0D156B" w14:textId="7CF2135D" w:rsidR="005576CB" w:rsidRPr="00635E60" w:rsidRDefault="00535263" w:rsidP="00E11E17">
      <w:pPr>
        <w:pStyle w:val="ListParagraph"/>
        <w:numPr>
          <w:ilvl w:val="0"/>
          <w:numId w:val="6"/>
        </w:numPr>
        <w:spacing w:line="360" w:lineRule="auto"/>
        <w:rPr>
          <w:rFonts w:ascii="Calibri" w:eastAsia="Times New Roman" w:hAnsi="Calibri" w:cs="Calibri"/>
          <w:b/>
          <w:bCs/>
          <w:color w:val="000000" w:themeColor="text1"/>
        </w:rPr>
      </w:pPr>
      <w:r w:rsidRPr="00635E60">
        <w:rPr>
          <w:rFonts w:ascii="Calibri" w:eastAsia="Times New Roman" w:hAnsi="Calibri" w:cs="Calibri"/>
          <w:b/>
          <w:bCs/>
          <w:color w:val="000000" w:themeColor="text1"/>
        </w:rPr>
        <w:t>American Red Cross</w:t>
      </w:r>
      <w:r w:rsidR="0039167E" w:rsidRPr="00635E60">
        <w:rPr>
          <w:rFonts w:ascii="Calibri" w:eastAsia="Times New Roman" w:hAnsi="Calibri" w:cs="Calibri"/>
          <w:b/>
          <w:bCs/>
          <w:color w:val="000000" w:themeColor="text1"/>
        </w:rPr>
        <w:t xml:space="preserve"> – </w:t>
      </w:r>
      <w:r w:rsidRPr="00635E60">
        <w:rPr>
          <w:rFonts w:ascii="Calibri" w:eastAsia="Times New Roman" w:hAnsi="Calibri" w:cs="Calibri"/>
          <w:color w:val="000000" w:themeColor="text1"/>
        </w:rPr>
        <w:t>The</w:t>
      </w:r>
      <w:r w:rsidR="003E6BF2" w:rsidRPr="00635E60">
        <w:rPr>
          <w:rFonts w:ascii="Calibri" w:eastAsia="Times New Roman" w:hAnsi="Calibri" w:cs="Calibri"/>
          <w:color w:val="000000" w:themeColor="text1"/>
        </w:rPr>
        <w:t xml:space="preserve"> </w:t>
      </w:r>
      <w:r w:rsidRPr="00635E60">
        <w:rPr>
          <w:rFonts w:ascii="Calibri" w:eastAsia="Times New Roman" w:hAnsi="Calibri" w:cs="Calibri"/>
          <w:bdr w:val="none" w:sz="0" w:space="0" w:color="auto" w:frame="1"/>
        </w:rPr>
        <w:t>American Red Cross</w:t>
      </w:r>
      <w:r w:rsidR="003E6BF2" w:rsidRPr="00635E60">
        <w:rPr>
          <w:rFonts w:ascii="Calibri" w:eastAsia="Times New Roman" w:hAnsi="Calibri" w:cs="Calibri"/>
          <w:bdr w:val="none" w:sz="0" w:space="0" w:color="auto" w:frame="1"/>
        </w:rPr>
        <w:t xml:space="preserve"> </w:t>
      </w:r>
      <w:r w:rsidRPr="00635E60">
        <w:rPr>
          <w:rFonts w:ascii="Calibri" w:eastAsia="Times New Roman" w:hAnsi="Calibri" w:cs="Calibri"/>
          <w:color w:val="000000" w:themeColor="text1"/>
        </w:rPr>
        <w:t>is one of several non-governmental community organizations that prepares and responds to disasters and emergencies.</w:t>
      </w:r>
      <w:r w:rsidR="003E6BF2">
        <w:rPr>
          <w:rStyle w:val="FootnoteReference"/>
          <w:rFonts w:ascii="Calibri" w:eastAsia="Times New Roman" w:hAnsi="Calibri" w:cs="Calibri"/>
          <w:color w:val="000000" w:themeColor="text1"/>
        </w:rPr>
        <w:footnoteReference w:id="20"/>
      </w:r>
      <w:r w:rsidRPr="00635E60">
        <w:rPr>
          <w:rFonts w:ascii="Calibri" w:eastAsia="Times New Roman" w:hAnsi="Calibri" w:cs="Calibri"/>
          <w:color w:val="000000" w:themeColor="text1"/>
        </w:rPr>
        <w:t xml:space="preserve"> Red Cross volunteers provide relief to victims and help people prevent, prepare for, and respond to emergencies. The Red Cross's main role is to provide shelter and refuge during disasters, not deploy medical and other health-related professionals.</w:t>
      </w:r>
      <w:r w:rsidR="002C3C63">
        <w:rPr>
          <w:rStyle w:val="FootnoteReference"/>
          <w:rFonts w:ascii="Calibri" w:eastAsia="Times New Roman" w:hAnsi="Calibri" w:cs="Calibri"/>
          <w:color w:val="000000" w:themeColor="text1"/>
        </w:rPr>
        <w:footnoteReference w:id="21"/>
      </w:r>
      <w:r w:rsidRPr="00635E60">
        <w:rPr>
          <w:rFonts w:ascii="Calibri" w:eastAsia="Times New Roman" w:hAnsi="Calibri" w:cs="Calibri"/>
          <w:color w:val="000000" w:themeColor="text1"/>
        </w:rPr>
        <w:t xml:space="preserve"> Liability protections for Red Cross volunteers will generally be found in state and federal volunteer protection acts.</w:t>
      </w:r>
    </w:p>
    <w:p w14:paraId="0F2A9962" w14:textId="2C88D422" w:rsidR="00535263" w:rsidRDefault="00535263" w:rsidP="00600CBD">
      <w:pPr>
        <w:spacing w:line="360" w:lineRule="auto"/>
        <w:rPr>
          <w:rFonts w:ascii="Calibri" w:hAnsi="Calibri" w:cs="Calibri"/>
          <w:color w:val="000000" w:themeColor="text1"/>
        </w:rPr>
      </w:pPr>
    </w:p>
    <w:p w14:paraId="42DD9420" w14:textId="40368017" w:rsidR="000C4B91" w:rsidRPr="00326577" w:rsidRDefault="000C4B91" w:rsidP="000C4B91">
      <w:pPr>
        <w:spacing w:line="360" w:lineRule="auto"/>
        <w:rPr>
          <w:rFonts w:ascii="Calibri" w:eastAsia="Times New Roman" w:hAnsi="Calibri" w:cs="Calibri"/>
          <w:b/>
          <w:bCs/>
          <w:color w:val="000000" w:themeColor="text1"/>
          <w:sz w:val="24"/>
        </w:rPr>
      </w:pPr>
      <w:r w:rsidRPr="00326577">
        <w:rPr>
          <w:rFonts w:ascii="Calibri" w:eastAsia="Times New Roman" w:hAnsi="Calibri" w:cs="Calibri"/>
          <w:b/>
          <w:bCs/>
          <w:color w:val="000000" w:themeColor="text1"/>
          <w:sz w:val="24"/>
        </w:rPr>
        <w:t>PAHPAI</w:t>
      </w:r>
      <w:r w:rsidR="00D60CE5" w:rsidRPr="00326577">
        <w:rPr>
          <w:rFonts w:ascii="Calibri" w:eastAsia="Times New Roman" w:hAnsi="Calibri" w:cs="Calibri"/>
          <w:b/>
          <w:bCs/>
          <w:color w:val="000000" w:themeColor="text1"/>
          <w:sz w:val="24"/>
        </w:rPr>
        <w:t>A</w:t>
      </w:r>
      <w:r w:rsidRPr="00326577">
        <w:rPr>
          <w:rFonts w:ascii="Calibri" w:eastAsia="Times New Roman" w:hAnsi="Calibri" w:cs="Calibri"/>
          <w:b/>
          <w:bCs/>
          <w:color w:val="000000" w:themeColor="text1"/>
          <w:sz w:val="24"/>
        </w:rPr>
        <w:t xml:space="preserve"> Action on Emergency Volunteers</w:t>
      </w:r>
    </w:p>
    <w:p w14:paraId="49885C34" w14:textId="1202B541" w:rsidR="000C4B91" w:rsidRDefault="009F3C40" w:rsidP="000C4B91">
      <w:pPr>
        <w:spacing w:line="360" w:lineRule="auto"/>
      </w:pPr>
      <w:r>
        <w:t xml:space="preserve">In 2019, </w:t>
      </w:r>
      <w:r w:rsidR="000C4B91">
        <w:t>PAHPAIA revise</w:t>
      </w:r>
      <w:r w:rsidR="003906B9">
        <w:t>d</w:t>
      </w:r>
      <w:r w:rsidR="000C4B91">
        <w:t xml:space="preserve"> </w:t>
      </w:r>
      <w:r w:rsidR="000C4B91" w:rsidRPr="00BD42AA">
        <w:t>ESAR-VHP</w:t>
      </w:r>
      <w:r w:rsidR="000C4B91">
        <w:t xml:space="preserve"> in several respects. Among other things, it: (1) e</w:t>
      </w:r>
      <w:r w:rsidR="000C4B91" w:rsidRPr="00BD42AA">
        <w:t>ncourage</w:t>
      </w:r>
      <w:r w:rsidR="00DE2642">
        <w:t>d</w:t>
      </w:r>
      <w:r w:rsidR="000C4B91" w:rsidRPr="00BD42AA">
        <w:t xml:space="preserve"> states to develop and implement programs and policies to allow for the licensure of medical professionals to enable them to cross state lines during a public health emergency</w:t>
      </w:r>
      <w:r w:rsidR="000C4B91">
        <w:t>; (2) e</w:t>
      </w:r>
      <w:r w:rsidR="000C4B91" w:rsidRPr="00BD42AA">
        <w:t>ncourage</w:t>
      </w:r>
      <w:r w:rsidR="00DE2642">
        <w:t>d</w:t>
      </w:r>
      <w:r w:rsidR="000C4B91" w:rsidRPr="00BD42AA">
        <w:t xml:space="preserve"> states to develop mechanisms to im</w:t>
      </w:r>
      <w:r w:rsidR="0023467E">
        <w:t xml:space="preserve">prove </w:t>
      </w:r>
      <w:r w:rsidR="000C4B91" w:rsidRPr="00BD42AA">
        <w:t xml:space="preserve">the availability of information </w:t>
      </w:r>
      <w:r w:rsidR="005F4051">
        <w:t xml:space="preserve">about </w:t>
      </w:r>
      <w:r w:rsidR="000C4B91" w:rsidRPr="00BD42AA">
        <w:t xml:space="preserve">opportunities for </w:t>
      </w:r>
      <w:r w:rsidR="008F5B58">
        <w:t>VHPs</w:t>
      </w:r>
      <w:r w:rsidR="000C4B91" w:rsidRPr="00BD42AA">
        <w:t xml:space="preserve"> seeking to provide medical services during public health emergencies</w:t>
      </w:r>
      <w:r w:rsidR="0023467E">
        <w:t xml:space="preserve"> and to increase enrollment</w:t>
      </w:r>
      <w:r w:rsidR="002D56B9">
        <w:t xml:space="preserve"> in these programs</w:t>
      </w:r>
      <w:r w:rsidR="000C4B91">
        <w:t>; (3) c</w:t>
      </w:r>
      <w:r w:rsidR="000C4B91" w:rsidRPr="00BD42AA">
        <w:t>larifie</w:t>
      </w:r>
      <w:r w:rsidR="002D56B9">
        <w:t>d</w:t>
      </w:r>
      <w:r w:rsidR="000C4B91" w:rsidRPr="00BD42AA">
        <w:t xml:space="preserve"> that National Disaster Medical System, Medical Reserve Corps members, and individual practitioners are eligible to enroll in ESAR-VHP</w:t>
      </w:r>
      <w:r w:rsidR="000C4B91">
        <w:t>; and (4) require</w:t>
      </w:r>
      <w:r w:rsidR="00EB3F8F">
        <w:t>d</w:t>
      </w:r>
      <w:r w:rsidR="000C4B91">
        <w:t xml:space="preserve"> </w:t>
      </w:r>
      <w:r w:rsidR="00A1303E">
        <w:t xml:space="preserve">recipients of </w:t>
      </w:r>
      <w:r w:rsidR="000C4B91" w:rsidRPr="00BD42AA">
        <w:t>P</w:t>
      </w:r>
      <w:r w:rsidR="00A1303E">
        <w:t xml:space="preserve">ublic </w:t>
      </w:r>
      <w:r w:rsidR="000C4B91" w:rsidRPr="00BD42AA">
        <w:t>H</w:t>
      </w:r>
      <w:r w:rsidR="00A1303E">
        <w:t xml:space="preserve">ealth </w:t>
      </w:r>
      <w:r w:rsidR="000C4B91" w:rsidRPr="00BD42AA">
        <w:t>E</w:t>
      </w:r>
      <w:r w:rsidR="00A1303E">
        <w:t xml:space="preserve">mergency </w:t>
      </w:r>
      <w:r w:rsidR="000C4B91" w:rsidRPr="00BD42AA">
        <w:t>P</w:t>
      </w:r>
      <w:r w:rsidR="00A1303E">
        <w:t xml:space="preserve">reparedness </w:t>
      </w:r>
      <w:r w:rsidR="00CC3A00">
        <w:t xml:space="preserve">cooperative agreements </w:t>
      </w:r>
      <w:r w:rsidR="000C4B91">
        <w:t xml:space="preserve">to include in their </w:t>
      </w:r>
      <w:r w:rsidR="000C4B91" w:rsidRPr="00BD42AA">
        <w:t>All-Hazards Public Health Emergency Preparedness and Response Plan a description of how they improve enrollment and coordination of healthcare professionals seeking to provide medical services during public health emergencies.</w:t>
      </w:r>
      <w:r w:rsidR="000C4B91">
        <w:rPr>
          <w:rStyle w:val="FootnoteReference"/>
        </w:rPr>
        <w:footnoteReference w:id="22"/>
      </w:r>
      <w:r w:rsidR="000C4B91">
        <w:t xml:space="preserve"> The act also r</w:t>
      </w:r>
      <w:r w:rsidR="000C4B91" w:rsidRPr="00F17D89">
        <w:t>equire</w:t>
      </w:r>
      <w:r w:rsidR="00EB3F8F">
        <w:t>d</w:t>
      </w:r>
      <w:r w:rsidR="000C4B91" w:rsidRPr="00F17D89">
        <w:t xml:space="preserve"> </w:t>
      </w:r>
      <w:r w:rsidR="000C4B91">
        <w:t>the</w:t>
      </w:r>
      <w:r w:rsidR="000C4B91" w:rsidRPr="00F17D89">
        <w:t xml:space="preserve"> GAO </w:t>
      </w:r>
      <w:r w:rsidR="000C4B91">
        <w:t xml:space="preserve">to </w:t>
      </w:r>
      <w:r w:rsidR="000C4B91" w:rsidRPr="00F17D89">
        <w:t xml:space="preserve">report on several aspects of healthcare providers credentialed by </w:t>
      </w:r>
      <w:r w:rsidR="000C4B91">
        <w:t xml:space="preserve">ESAR-VHP </w:t>
      </w:r>
      <w:r w:rsidR="000C4B91" w:rsidRPr="00F17D89">
        <w:t>or state authorities.</w:t>
      </w:r>
      <w:r w:rsidR="000C4B91">
        <w:rPr>
          <w:rStyle w:val="FootnoteReference"/>
        </w:rPr>
        <w:footnoteReference w:id="23"/>
      </w:r>
    </w:p>
    <w:p w14:paraId="0F4602CC" w14:textId="77777777" w:rsidR="000C4B91" w:rsidRDefault="000C4B91" w:rsidP="000C4B91">
      <w:pPr>
        <w:spacing w:line="360" w:lineRule="auto"/>
      </w:pPr>
    </w:p>
    <w:p w14:paraId="59984D62" w14:textId="2A9952AD" w:rsidR="000C4B91" w:rsidRPr="009D15E0" w:rsidRDefault="000C4B91" w:rsidP="00600CBD">
      <w:pPr>
        <w:spacing w:line="360" w:lineRule="auto"/>
      </w:pPr>
      <w:r>
        <w:t xml:space="preserve">PAHPAIA </w:t>
      </w:r>
      <w:r w:rsidR="00D45348">
        <w:t xml:space="preserve">also </w:t>
      </w:r>
      <w:r>
        <w:t>add</w:t>
      </w:r>
      <w:r w:rsidR="00EB3F8F">
        <w:t>ed</w:t>
      </w:r>
      <w:r>
        <w:t xml:space="preserve"> </w:t>
      </w:r>
      <w:r w:rsidR="00C236C9">
        <w:t xml:space="preserve">a </w:t>
      </w:r>
      <w:r>
        <w:t xml:space="preserve">new provision to clarify the </w:t>
      </w:r>
      <w:r w:rsidRPr="00F17D89">
        <w:t>application of state liability law</w:t>
      </w:r>
      <w:r>
        <w:t>s</w:t>
      </w:r>
      <w:r w:rsidRPr="00F17D89">
        <w:t xml:space="preserve"> for healthcare professionals who are </w:t>
      </w:r>
      <w:r>
        <w:t xml:space="preserve">MRC </w:t>
      </w:r>
      <w:r w:rsidRPr="00F17D89">
        <w:t xml:space="preserve">members </w:t>
      </w:r>
      <w:r>
        <w:t>or ESAR</w:t>
      </w:r>
      <w:r w:rsidR="00EB3F8F">
        <w:t>-</w:t>
      </w:r>
      <w:r>
        <w:t>VHP volunteers.</w:t>
      </w:r>
      <w:r w:rsidRPr="00F17D89">
        <w:t xml:space="preserve"> </w:t>
      </w:r>
      <w:r>
        <w:t xml:space="preserve">If a volunteer </w:t>
      </w:r>
      <w:r w:rsidRPr="00F17D89">
        <w:t>provid</w:t>
      </w:r>
      <w:r>
        <w:t xml:space="preserve">es </w:t>
      </w:r>
      <w:r w:rsidRPr="00F17D89">
        <w:t xml:space="preserve">healthcare </w:t>
      </w:r>
      <w:r w:rsidRPr="00F17D89">
        <w:lastRenderedPageBreak/>
        <w:t>services in a state with a public health emergency, major declared disaster</w:t>
      </w:r>
      <w:r>
        <w:t>,</w:t>
      </w:r>
      <w:r w:rsidRPr="00F17D89">
        <w:t xml:space="preserve"> or a national emergency, under certain conditions, the liability laws of the state </w:t>
      </w:r>
      <w:r>
        <w:t xml:space="preserve">in </w:t>
      </w:r>
      <w:r w:rsidRPr="00F17D89">
        <w:t xml:space="preserve">which the emergency </w:t>
      </w:r>
      <w:r>
        <w:t xml:space="preserve">is occurring </w:t>
      </w:r>
      <w:r w:rsidRPr="00F17D89">
        <w:t>and in which the service is being provided</w:t>
      </w:r>
      <w:r>
        <w:t xml:space="preserve"> are applicable</w:t>
      </w:r>
      <w:r w:rsidRPr="00F17D89">
        <w:t>.</w:t>
      </w:r>
      <w:r>
        <w:rPr>
          <w:rStyle w:val="FootnoteReference"/>
        </w:rPr>
        <w:footnoteReference w:id="24"/>
      </w:r>
      <w:r>
        <w:t xml:space="preserve"> PAHPAIA specifically notes that volunteer healthcare professionals “…shall be subject only to the State liability laws of the State in which such act or omission occurred, in the same manner and to the same extent as a similar health care professional who is a resident of such State would be subject to such State laws, except with respect to the licensure, registration, and certification of such individual.”</w:t>
      </w:r>
      <w:r>
        <w:rPr>
          <w:rStyle w:val="FootnoteReference"/>
        </w:rPr>
        <w:footnoteReference w:id="25"/>
      </w:r>
      <w:r>
        <w:t xml:space="preserve"> </w:t>
      </w:r>
      <w:r w:rsidR="00272525">
        <w:t xml:space="preserve">Thus, </w:t>
      </w:r>
      <w:r w:rsidR="00025AE6">
        <w:t>a</w:t>
      </w:r>
      <w:r w:rsidR="00025AE6" w:rsidRPr="00025AE6">
        <w:t xml:space="preserve"> volunteer health</w:t>
      </w:r>
      <w:r w:rsidR="00025AE6">
        <w:t>care</w:t>
      </w:r>
      <w:r w:rsidR="00025AE6" w:rsidRPr="00025AE6">
        <w:t xml:space="preserve"> professional is covered by th</w:t>
      </w:r>
      <w:r w:rsidR="005947F1">
        <w:t xml:space="preserve">e laws of the </w:t>
      </w:r>
      <w:r w:rsidR="00025AE6" w:rsidRPr="00025AE6">
        <w:t xml:space="preserve">state where the emergency occurs if the volunteer is: (1) </w:t>
      </w:r>
      <w:r w:rsidR="005947F1">
        <w:t>a</w:t>
      </w:r>
      <w:r w:rsidR="00025AE6" w:rsidRPr="00025AE6">
        <w:t>cting within the scope of the</w:t>
      </w:r>
      <w:r w:rsidR="005947F1">
        <w:t>ir</w:t>
      </w:r>
      <w:r w:rsidR="00025AE6" w:rsidRPr="00025AE6">
        <w:t xml:space="preserve"> license, registration, or certification </w:t>
      </w:r>
      <w:r w:rsidR="00C91F4F">
        <w:t xml:space="preserve">as it is defined in their home state; </w:t>
      </w:r>
      <w:r w:rsidR="00025AE6" w:rsidRPr="00025AE6">
        <w:t xml:space="preserve">(2) </w:t>
      </w:r>
      <w:r w:rsidR="00DF2B58">
        <w:t>does n</w:t>
      </w:r>
      <w:r w:rsidR="00025AE6" w:rsidRPr="00025AE6">
        <w:t xml:space="preserve">ot </w:t>
      </w:r>
      <w:r w:rsidR="00DF2B58" w:rsidRPr="00025AE6">
        <w:t>exceed</w:t>
      </w:r>
      <w:r w:rsidR="00DF2B58">
        <w:t xml:space="preserve"> the </w:t>
      </w:r>
      <w:r w:rsidR="00025AE6" w:rsidRPr="00025AE6">
        <w:t xml:space="preserve">scope of license, registration, or certification of a substantially similar health professional in the state in which </w:t>
      </w:r>
      <w:r w:rsidR="007507D8">
        <w:t xml:space="preserve">an </w:t>
      </w:r>
      <w:r w:rsidR="00025AE6" w:rsidRPr="00025AE6">
        <w:t xml:space="preserve">act or omission occurs; and (3) </w:t>
      </w:r>
      <w:r w:rsidR="007507D8">
        <w:t>th</w:t>
      </w:r>
      <w:r w:rsidR="00A340A5">
        <w:t>y were a</w:t>
      </w:r>
      <w:r w:rsidR="00025AE6" w:rsidRPr="00025AE6">
        <w:t>cting as a membe</w:t>
      </w:r>
      <w:r w:rsidR="00A340A5">
        <w:t xml:space="preserve">r of the MRC or </w:t>
      </w:r>
      <w:r w:rsidR="005661EB">
        <w:t>as an ESAR-VHP volunteer.</w:t>
      </w:r>
      <w:r w:rsidR="005661EB">
        <w:rPr>
          <w:rStyle w:val="FootnoteReference"/>
        </w:rPr>
        <w:footnoteReference w:id="26"/>
      </w:r>
      <w:r w:rsidR="009D15E0">
        <w:t xml:space="preserve"> </w:t>
      </w:r>
      <w:r>
        <w:t>PAHPAIA does not affect an individual’s right to protections under the federal Volunteer Protection Act of 1997.</w:t>
      </w:r>
      <w:r>
        <w:rPr>
          <w:rStyle w:val="FootnoteReference"/>
        </w:rPr>
        <w:footnoteReference w:id="27"/>
      </w:r>
      <w:r>
        <w:t xml:space="preserve"> It is important to note the PAHPAIA preempts state laws that subject healthcare professionals covered by PAHPAIA</w:t>
      </w:r>
      <w:r w:rsidRPr="00DA5943">
        <w:t xml:space="preserve"> </w:t>
      </w:r>
      <w:r>
        <w:t>from liability laws of any state other than the state in which the volunteer is serving.</w:t>
      </w:r>
      <w:r>
        <w:rPr>
          <w:rStyle w:val="FootnoteReference"/>
        </w:rPr>
        <w:footnoteReference w:id="28"/>
      </w:r>
    </w:p>
    <w:p w14:paraId="23A0999C" w14:textId="77777777" w:rsidR="004E51AA" w:rsidRPr="00AB55CE" w:rsidRDefault="004E51AA" w:rsidP="00600CBD">
      <w:pPr>
        <w:spacing w:line="360" w:lineRule="auto"/>
        <w:rPr>
          <w:rFonts w:ascii="Calibri" w:hAnsi="Calibri" w:cs="Calibri"/>
          <w:color w:val="000000" w:themeColor="text1"/>
        </w:rPr>
      </w:pPr>
    </w:p>
    <w:p w14:paraId="68D71155" w14:textId="77777777" w:rsidR="00087B73" w:rsidRPr="00087B73" w:rsidRDefault="00087B73" w:rsidP="00801769">
      <w:pPr>
        <w:keepNext/>
        <w:spacing w:line="360" w:lineRule="auto"/>
        <w:rPr>
          <w:b/>
          <w:bCs/>
          <w:sz w:val="24"/>
          <w:szCs w:val="24"/>
        </w:rPr>
      </w:pPr>
      <w:r w:rsidRPr="00087B73">
        <w:rPr>
          <w:b/>
          <w:bCs/>
          <w:sz w:val="24"/>
          <w:szCs w:val="24"/>
        </w:rPr>
        <w:t>Volunteer Licensing, Credentialing, and Privileging and Waiver and Reciprocity</w:t>
      </w:r>
    </w:p>
    <w:p w14:paraId="5D98EE3B" w14:textId="4E23503A" w:rsidR="00F409F0" w:rsidRDefault="00087B73" w:rsidP="00087B73">
      <w:pPr>
        <w:spacing w:line="360" w:lineRule="auto"/>
      </w:pPr>
      <w:r>
        <w:t xml:space="preserve">Licensing, credentialing, and privileging are used to ensure that an individual practitioner (e.g., physician, nurse, social worker) has the required training, knowledge, and experience to perform as a qualified professional. These requirements vary from state to state and are established by state law and regulation, as well individual healthcare facilities' policies. The diversity of state approaches makes it essential to find and review individual state laws and regulations. Licensing, credentialing, and privileging requirements may also limit the ability of a </w:t>
      </w:r>
      <w:r w:rsidR="008F5B58">
        <w:t>VHP</w:t>
      </w:r>
      <w:r>
        <w:t xml:space="preserve"> to respond and deploy to emergencies in states where he or she is not licensed or credentialed. However, these limitations may be overcome through waiver and reciprocity laws and agreements. </w:t>
      </w:r>
    </w:p>
    <w:p w14:paraId="48856E57" w14:textId="77777777" w:rsidR="00F409F0" w:rsidRDefault="00F409F0" w:rsidP="00087B73">
      <w:pPr>
        <w:spacing w:line="360" w:lineRule="auto"/>
      </w:pPr>
    </w:p>
    <w:p w14:paraId="5269DB0D" w14:textId="6D58CB38" w:rsidR="00F409F0" w:rsidRDefault="00087B73" w:rsidP="00087B73">
      <w:pPr>
        <w:pStyle w:val="ListParagraph"/>
        <w:numPr>
          <w:ilvl w:val="0"/>
          <w:numId w:val="7"/>
        </w:numPr>
        <w:spacing w:line="360" w:lineRule="auto"/>
      </w:pPr>
      <w:r w:rsidRPr="00F409F0">
        <w:rPr>
          <w:b/>
          <w:bCs/>
        </w:rPr>
        <w:lastRenderedPageBreak/>
        <w:t>Licensing</w:t>
      </w:r>
      <w:r w:rsidR="00F409F0" w:rsidRPr="00F409F0">
        <w:rPr>
          <w:b/>
          <w:bCs/>
        </w:rPr>
        <w:t xml:space="preserve"> – </w:t>
      </w:r>
      <w:r>
        <w:t>Licensing is a state regulatory agency or body's formal recognition that a professional possesses the qualifications to practice in that state. Each state determines its own set of competencies for the various health professions, the mechanisms for granting health professional licenses, and the health professions' scope of practice. Licensure requirements typically include a combination of education, training, and examination to demonstrate competency. Licensure requirements may also involve continuing education or periodic reexamination. Generally, licenses only apply within the state where they are granted. Practicing in a jurisdiction without a license can subject a professional</w:t>
      </w:r>
      <w:r w:rsidR="00F90289">
        <w:t>—</w:t>
      </w:r>
      <w:r>
        <w:t>as well as the organization or entity facilitating the professional's unlicensed practice</w:t>
      </w:r>
      <w:r w:rsidR="00F90289">
        <w:t>—</w:t>
      </w:r>
      <w:r>
        <w:t>to civil or criminal liability.</w:t>
      </w:r>
    </w:p>
    <w:p w14:paraId="6411E3E9" w14:textId="77777777" w:rsidR="00F409F0" w:rsidRPr="00F409F0" w:rsidRDefault="00F409F0" w:rsidP="00F409F0">
      <w:pPr>
        <w:pStyle w:val="ListParagraph"/>
        <w:spacing w:line="360" w:lineRule="auto"/>
        <w:ind w:left="360"/>
      </w:pPr>
    </w:p>
    <w:p w14:paraId="4BC9E624" w14:textId="77777777" w:rsidR="00F409F0" w:rsidRDefault="00087B73" w:rsidP="00087B73">
      <w:pPr>
        <w:pStyle w:val="ListParagraph"/>
        <w:numPr>
          <w:ilvl w:val="0"/>
          <w:numId w:val="7"/>
        </w:numPr>
        <w:spacing w:line="360" w:lineRule="auto"/>
      </w:pPr>
      <w:r w:rsidRPr="00F409F0">
        <w:rPr>
          <w:b/>
          <w:bCs/>
        </w:rPr>
        <w:t>Credentialing</w:t>
      </w:r>
      <w:r w:rsidR="00F409F0" w:rsidRPr="00F409F0">
        <w:rPr>
          <w:b/>
          <w:bCs/>
        </w:rPr>
        <w:t xml:space="preserve"> – </w:t>
      </w:r>
      <w:r>
        <w:t>Credentialing is the process by which an employer, most frequently a hospital or other healthcare organization, verifies that a practitioner has the required education, training, and experience to practice in the state. State or local laws and rules may specify the types of credentials an employer must verify. Credentialing is typically done when a practitioner is first employed and may be updated periodically. Healthcare facility bylaws generally set out credentialing procedures.</w:t>
      </w:r>
    </w:p>
    <w:p w14:paraId="1B8ECBDF" w14:textId="77777777" w:rsidR="00F409F0" w:rsidRPr="00F409F0" w:rsidRDefault="00F409F0" w:rsidP="00F409F0">
      <w:pPr>
        <w:pStyle w:val="ListParagraph"/>
        <w:rPr>
          <w:b/>
          <w:bCs/>
        </w:rPr>
      </w:pPr>
    </w:p>
    <w:p w14:paraId="5F192A70" w14:textId="7790370C" w:rsidR="00087B73" w:rsidRDefault="00087B73" w:rsidP="003E68E8">
      <w:pPr>
        <w:pStyle w:val="ListParagraph"/>
        <w:numPr>
          <w:ilvl w:val="0"/>
          <w:numId w:val="7"/>
        </w:numPr>
        <w:spacing w:line="360" w:lineRule="auto"/>
      </w:pPr>
      <w:r w:rsidRPr="00F409F0">
        <w:rPr>
          <w:b/>
          <w:bCs/>
        </w:rPr>
        <w:t>Privileging</w:t>
      </w:r>
      <w:r w:rsidR="00F409F0" w:rsidRPr="00F409F0">
        <w:rPr>
          <w:b/>
          <w:bCs/>
        </w:rPr>
        <w:t xml:space="preserve"> –</w:t>
      </w:r>
      <w:r w:rsidR="00F409F0">
        <w:t xml:space="preserve"> </w:t>
      </w:r>
      <w:r>
        <w:t>Like credentialing, privileging typically arises in the context of a healthcare facility. Privileging is the process by which a health professional is allowed to practice in or associate with a healthcare facility. Privileging defines the scope of permitted activities that the health professional may engage in while at the facility. Healthcare facility bylaws generally set out the privileging procedures.</w:t>
      </w:r>
    </w:p>
    <w:p w14:paraId="637DEA98" w14:textId="77777777" w:rsidR="00087B73" w:rsidRDefault="00087B73" w:rsidP="00087B73">
      <w:pPr>
        <w:spacing w:line="360" w:lineRule="auto"/>
      </w:pPr>
    </w:p>
    <w:p w14:paraId="709DB63D" w14:textId="77777777" w:rsidR="00087B73" w:rsidRPr="00087B73" w:rsidRDefault="00087B73" w:rsidP="00087B73">
      <w:pPr>
        <w:spacing w:line="360" w:lineRule="auto"/>
        <w:rPr>
          <w:b/>
          <w:bCs/>
        </w:rPr>
      </w:pPr>
      <w:r w:rsidRPr="00087B73">
        <w:rPr>
          <w:b/>
          <w:bCs/>
        </w:rPr>
        <w:t>Verifying Volunteer Licenses, Credentials, and Privileges</w:t>
      </w:r>
    </w:p>
    <w:p w14:paraId="6D652703" w14:textId="62D9D156" w:rsidR="00087B73" w:rsidRDefault="00087B73" w:rsidP="00087B73">
      <w:pPr>
        <w:spacing w:line="360" w:lineRule="auto"/>
      </w:pPr>
      <w:r>
        <w:t xml:space="preserve">Volunteer registration systems are often used to verify a volunteer's licenses, credentials, and privileges. For example, when a health professional registers with a state's ESAR-VHP program, </w:t>
      </w:r>
      <w:r w:rsidR="00B640F7">
        <w:t>their</w:t>
      </w:r>
      <w:r>
        <w:t xml:space="preserve"> identity, licenses, credentials, and privileges are verified. Local Medical Reserve Corps programs will also verify volunteer licenses, credentials, and privileges, either on their own or in collaboration with the state ESAR-VHP program.</w:t>
      </w:r>
    </w:p>
    <w:p w14:paraId="5C968ACF" w14:textId="77777777" w:rsidR="00087B73" w:rsidRDefault="00087B73" w:rsidP="00087B73">
      <w:pPr>
        <w:spacing w:line="360" w:lineRule="auto"/>
      </w:pPr>
    </w:p>
    <w:p w14:paraId="1658169F" w14:textId="77777777" w:rsidR="00087B73" w:rsidRPr="00087B73" w:rsidRDefault="00087B73" w:rsidP="00087B73">
      <w:pPr>
        <w:spacing w:line="360" w:lineRule="auto"/>
        <w:rPr>
          <w:b/>
          <w:bCs/>
        </w:rPr>
      </w:pPr>
      <w:r w:rsidRPr="00087B73">
        <w:rPr>
          <w:b/>
          <w:bCs/>
        </w:rPr>
        <w:t>Waiver and Reciprocity of Licenses, Credentials, and Privileges</w:t>
      </w:r>
    </w:p>
    <w:p w14:paraId="4C68890F" w14:textId="3858C87C" w:rsidR="00087B73" w:rsidRDefault="00087B73" w:rsidP="0066151E">
      <w:pPr>
        <w:spacing w:after="120" w:line="360" w:lineRule="auto"/>
      </w:pPr>
      <w:r>
        <w:t xml:space="preserve">A variety of laws, compacts, agreements, and policies allow for the waiver and reciprocity of VHPs' licenses during declared emergencies. In most cases, waiver or reciprocity of licensure requirements </w:t>
      </w:r>
      <w:r>
        <w:lastRenderedPageBreak/>
        <w:t>only operate during a declared emergency. State statute, regulation, or executive order may authorize the waiver or reciprocity, as well as modifying VHPs' scope of practice. Some states also allow the governor or other official to waive state law provisions that would hinder emergency response efforts</w:t>
      </w:r>
      <w:r w:rsidR="002A3608">
        <w:t xml:space="preserve">, which </w:t>
      </w:r>
      <w:r>
        <w:t>could be applied to licensure requirements.</w:t>
      </w:r>
      <w:r w:rsidR="0066151E">
        <w:t xml:space="preserve"> </w:t>
      </w:r>
      <w:r w:rsidR="00AF5692">
        <w:t xml:space="preserve">It should be noted, however, that state laws may still require that VHPs be credentialed and </w:t>
      </w:r>
      <w:r w:rsidR="002A3608">
        <w:t>privileged</w:t>
      </w:r>
      <w:r w:rsidR="00AF5692">
        <w:t xml:space="preserve"> by the </w:t>
      </w:r>
      <w:r w:rsidR="005D4399">
        <w:t>hospitals in which they are practicing as a volunteer.</w:t>
      </w:r>
      <w:r w:rsidR="00F36692">
        <w:t xml:space="preserve"> Finally, m</w:t>
      </w:r>
      <w:r>
        <w:t>utual aid agreements and memoranda of understanding can also address the waiver and reciprocity of licensure requirements.</w:t>
      </w:r>
      <w:r w:rsidR="00F55341">
        <w:t xml:space="preserve"> </w:t>
      </w:r>
    </w:p>
    <w:p w14:paraId="0DD2A91C" w14:textId="2FEDE3BF" w:rsidR="00453067" w:rsidRDefault="00087B73" w:rsidP="00087B73">
      <w:pPr>
        <w:pStyle w:val="ListParagraph"/>
        <w:numPr>
          <w:ilvl w:val="0"/>
          <w:numId w:val="8"/>
        </w:numPr>
        <w:spacing w:line="360" w:lineRule="auto"/>
      </w:pPr>
      <w:r w:rsidRPr="001B784B">
        <w:rPr>
          <w:b/>
          <w:bCs/>
        </w:rPr>
        <w:t>Emergency Management Assistance Compact (EMAC)</w:t>
      </w:r>
      <w:r w:rsidR="001B784B" w:rsidRPr="001B784B">
        <w:rPr>
          <w:b/>
          <w:bCs/>
        </w:rPr>
        <w:t xml:space="preserve"> –</w:t>
      </w:r>
      <w:r w:rsidR="001B784B">
        <w:t xml:space="preserve"> A</w:t>
      </w:r>
      <w:r>
        <w:t>llows a person licensed in one state to provide assistance and be considered licensed in the state requesting emergency assistance.</w:t>
      </w:r>
      <w:r w:rsidR="00713953">
        <w:rPr>
          <w:rStyle w:val="FootnoteReference"/>
        </w:rPr>
        <w:footnoteReference w:id="29"/>
      </w:r>
      <w:r>
        <w:t xml:space="preserve"> The requesting state may place limits on the licensing considerations and the scope of practice of the out of state VHPs.</w:t>
      </w:r>
    </w:p>
    <w:p w14:paraId="5446D8FF" w14:textId="77777777" w:rsidR="006429CF" w:rsidRDefault="006429CF" w:rsidP="006429CF">
      <w:pPr>
        <w:pStyle w:val="ListParagraph"/>
        <w:spacing w:line="360" w:lineRule="auto"/>
        <w:ind w:left="360"/>
      </w:pPr>
    </w:p>
    <w:p w14:paraId="5E722BA3" w14:textId="69A38935" w:rsidR="00181399" w:rsidRDefault="00365043" w:rsidP="00365043">
      <w:pPr>
        <w:pStyle w:val="ListParagraph"/>
        <w:numPr>
          <w:ilvl w:val="0"/>
          <w:numId w:val="8"/>
        </w:numPr>
        <w:spacing w:line="360" w:lineRule="auto"/>
      </w:pPr>
      <w:r w:rsidRPr="00AD2809">
        <w:rPr>
          <w:b/>
          <w:bCs/>
        </w:rPr>
        <w:t xml:space="preserve">Enhanced Nursing Licensure Compact (eNLC) – </w:t>
      </w:r>
      <w:r w:rsidR="0017087D" w:rsidRPr="0017087D">
        <w:t>Allows</w:t>
      </w:r>
      <w:r w:rsidR="0017087D">
        <w:rPr>
          <w:b/>
          <w:bCs/>
        </w:rPr>
        <w:t xml:space="preserve"> </w:t>
      </w:r>
      <w:r w:rsidR="0017087D">
        <w:t>a</w:t>
      </w:r>
      <w:r w:rsidR="0062628D">
        <w:t xml:space="preserve"> nurse licensed in one member state to</w:t>
      </w:r>
      <w:r w:rsidR="000B4719">
        <w:t xml:space="preserve"> practice in any other </w:t>
      </w:r>
      <w:r w:rsidR="0019746E">
        <w:t xml:space="preserve">state that </w:t>
      </w:r>
      <w:r w:rsidR="00C672BC">
        <w:t>is part of the compact</w:t>
      </w:r>
      <w:r w:rsidR="000B4719">
        <w:t>.</w:t>
      </w:r>
      <w:r w:rsidR="000878ED">
        <w:rPr>
          <w:rStyle w:val="FootnoteReference"/>
        </w:rPr>
        <w:footnoteReference w:id="30"/>
      </w:r>
      <w:r w:rsidR="000B4719">
        <w:t xml:space="preserve"> </w:t>
      </w:r>
      <w:r w:rsidR="00207805">
        <w:t xml:space="preserve">The </w:t>
      </w:r>
      <w:r w:rsidR="00AA6683">
        <w:t>eNLC was introduced i</w:t>
      </w:r>
      <w:r w:rsidR="00CC373F">
        <w:t>n 201</w:t>
      </w:r>
      <w:r w:rsidR="00914D74">
        <w:t>7</w:t>
      </w:r>
      <w:r w:rsidR="002F41F4">
        <w:t xml:space="preserve"> </w:t>
      </w:r>
      <w:r w:rsidR="00AD2FB5">
        <w:t xml:space="preserve">to </w:t>
      </w:r>
      <w:r w:rsidR="004F0819">
        <w:t>address</w:t>
      </w:r>
      <w:r w:rsidR="002F41F4">
        <w:t xml:space="preserve"> standards for licensure </w:t>
      </w:r>
      <w:r w:rsidR="004F0819">
        <w:t xml:space="preserve">that were </w:t>
      </w:r>
      <w:r w:rsidR="00900062">
        <w:t>missing from the prior Nursing Licensure Compact (NLC)</w:t>
      </w:r>
      <w:r w:rsidR="00C2508E">
        <w:t xml:space="preserve"> and which may have prevented some states from joining</w:t>
      </w:r>
      <w:r w:rsidR="00900062">
        <w:t>.</w:t>
      </w:r>
      <w:r w:rsidR="00900062">
        <w:rPr>
          <w:rStyle w:val="FootnoteReference"/>
        </w:rPr>
        <w:footnoteReference w:id="31"/>
      </w:r>
      <w:r w:rsidR="00900062">
        <w:t xml:space="preserve"> </w:t>
      </w:r>
      <w:r w:rsidR="00C2508E">
        <w:t xml:space="preserve">As of </w:t>
      </w:r>
      <w:r w:rsidR="00692B44">
        <w:t>July</w:t>
      </w:r>
      <w:r w:rsidR="00C2508E">
        <w:t xml:space="preserve"> </w:t>
      </w:r>
      <w:r w:rsidR="0022377E">
        <w:t>2020, 3</w:t>
      </w:r>
      <w:r w:rsidR="00692B44">
        <w:t>3</w:t>
      </w:r>
      <w:r w:rsidR="0022377E">
        <w:t xml:space="preserve"> states have adopted </w:t>
      </w:r>
      <w:r w:rsidR="00D865D6">
        <w:t>the eNLC.</w:t>
      </w:r>
      <w:r w:rsidR="00D865D6">
        <w:rPr>
          <w:rStyle w:val="FootnoteReference"/>
        </w:rPr>
        <w:footnoteReference w:id="32"/>
      </w:r>
      <w:r w:rsidR="00D303F3">
        <w:t xml:space="preserve"> </w:t>
      </w:r>
    </w:p>
    <w:p w14:paraId="5363ABF2" w14:textId="77777777" w:rsidR="00F519AF" w:rsidRDefault="00F519AF" w:rsidP="00087B73">
      <w:pPr>
        <w:spacing w:line="360" w:lineRule="auto"/>
      </w:pPr>
    </w:p>
    <w:p w14:paraId="3740617D" w14:textId="04428825" w:rsidR="00087B73" w:rsidRDefault="00087B73" w:rsidP="00087B73">
      <w:pPr>
        <w:pStyle w:val="ListParagraph"/>
        <w:numPr>
          <w:ilvl w:val="0"/>
          <w:numId w:val="8"/>
        </w:numPr>
        <w:spacing w:line="360" w:lineRule="auto"/>
      </w:pPr>
      <w:r w:rsidRPr="00360B87">
        <w:rPr>
          <w:b/>
          <w:bCs/>
        </w:rPr>
        <w:t>Interstate Civil Defense and Disaster Compact (ICDDC</w:t>
      </w:r>
      <w:r w:rsidR="00014867">
        <w:rPr>
          <w:b/>
          <w:bCs/>
        </w:rPr>
        <w:t xml:space="preserve">) </w:t>
      </w:r>
      <w:r w:rsidR="00D72D26">
        <w:rPr>
          <w:b/>
          <w:bCs/>
        </w:rPr>
        <w:t xml:space="preserve">– </w:t>
      </w:r>
      <w:r w:rsidR="00D72D26">
        <w:t>A</w:t>
      </w:r>
      <w:r>
        <w:t xml:space="preserve"> state mutual aid agreement </w:t>
      </w:r>
      <w:r w:rsidR="002036EF">
        <w:t xml:space="preserve">that </w:t>
      </w:r>
      <w:r>
        <w:t>provid</w:t>
      </w:r>
      <w:r w:rsidR="002036EF">
        <w:t>es</w:t>
      </w:r>
      <w:r>
        <w:t xml:space="preserve"> licensure reciprocity for health professionals and others.</w:t>
      </w:r>
      <w:r w:rsidR="00CF5AA1">
        <w:rPr>
          <w:rStyle w:val="FootnoteReference"/>
        </w:rPr>
        <w:footnoteReference w:id="33"/>
      </w:r>
      <w:r>
        <w:t xml:space="preserve"> Member states recognize licenses, certificates, or other permits issued by any other state during emergencies and disasters. Some states are parties to both EMAC and ICDDC.</w:t>
      </w:r>
    </w:p>
    <w:p w14:paraId="174FB886" w14:textId="77777777" w:rsidR="00C17ADE" w:rsidRDefault="00C17ADE" w:rsidP="00C17ADE">
      <w:pPr>
        <w:pStyle w:val="ListParagraph"/>
      </w:pPr>
    </w:p>
    <w:p w14:paraId="3BE8CF7A" w14:textId="5D90FE9F" w:rsidR="00087B73" w:rsidRDefault="00C17ADE" w:rsidP="00287337">
      <w:pPr>
        <w:pStyle w:val="ListParagraph"/>
        <w:numPr>
          <w:ilvl w:val="0"/>
          <w:numId w:val="8"/>
        </w:numPr>
        <w:spacing w:line="360" w:lineRule="auto"/>
      </w:pPr>
      <w:r w:rsidRPr="00C17ADE">
        <w:rPr>
          <w:b/>
          <w:bCs/>
        </w:rPr>
        <w:lastRenderedPageBreak/>
        <w:t xml:space="preserve">Pacific Northwest Emergency Management Arrangement (PNEMA) – </w:t>
      </w:r>
      <w:r>
        <w:t>An</w:t>
      </w:r>
      <w:r w:rsidR="00087B73">
        <w:t xml:space="preserve"> agreement between the United States and </w:t>
      </w:r>
      <w:r w:rsidR="006E36EA">
        <w:t xml:space="preserve">Canada </w:t>
      </w:r>
      <w:r w:rsidR="00087B73">
        <w:t>that permits the exchange of emergency response personnel across international borders during an emergency. PNEMA is an agreement between four states (Washington, Oregon, Idaho, and Alaska) and two Canadian provinces (British Columbia and Yukon).</w:t>
      </w:r>
      <w:r w:rsidR="004B6D95">
        <w:rPr>
          <w:rStyle w:val="FootnoteReference"/>
        </w:rPr>
        <w:footnoteReference w:id="34"/>
      </w:r>
      <w:r w:rsidR="00087B73">
        <w:t xml:space="preserve"> </w:t>
      </w:r>
      <w:r w:rsidR="00036ADF">
        <w:rPr>
          <w:rStyle w:val="FootnoteReference"/>
        </w:rPr>
        <w:footnoteReference w:id="35"/>
      </w:r>
      <w:r w:rsidR="00036ADF">
        <w:t xml:space="preserve"> </w:t>
      </w:r>
      <w:r w:rsidR="00087B73">
        <w:t xml:space="preserve">Such agreements require </w:t>
      </w:r>
      <w:r w:rsidR="0035583B">
        <w:t>C</w:t>
      </w:r>
      <w:r w:rsidR="00087B73">
        <w:t>ongressional approval.</w:t>
      </w:r>
    </w:p>
    <w:p w14:paraId="15B295CA" w14:textId="0877DCA2" w:rsidR="007C7498" w:rsidRDefault="007C7498" w:rsidP="007C7498">
      <w:pPr>
        <w:pStyle w:val="ListParagraph"/>
      </w:pPr>
    </w:p>
    <w:p w14:paraId="2F8CC34C" w14:textId="045BD28E" w:rsidR="007C7498" w:rsidRDefault="007C7498" w:rsidP="007C7498">
      <w:pPr>
        <w:spacing w:line="360" w:lineRule="auto"/>
      </w:pPr>
    </w:p>
    <w:p w14:paraId="4B2959CA" w14:textId="087FE63D" w:rsidR="007C7498" w:rsidRDefault="007C7498" w:rsidP="007C7498">
      <w:pPr>
        <w:spacing w:line="360" w:lineRule="auto"/>
      </w:pPr>
    </w:p>
    <w:p w14:paraId="51EA1BDA" w14:textId="2DB0614B" w:rsidR="007C7498" w:rsidRDefault="003F6552" w:rsidP="007C7498">
      <w:pPr>
        <w:spacing w:line="360" w:lineRule="auto"/>
      </w:pPr>
      <w:r>
        <w:rPr>
          <w:noProof/>
        </w:rPr>
        <mc:AlternateContent>
          <mc:Choice Requires="wps">
            <w:drawing>
              <wp:anchor distT="45720" distB="45720" distL="114300" distR="114300" simplePos="0" relativeHeight="251660288" behindDoc="0" locked="0" layoutInCell="1" allowOverlap="1" wp14:anchorId="73488F7F" wp14:editId="62913763">
                <wp:simplePos x="0" y="0"/>
                <wp:positionH relativeFrom="margin">
                  <wp:align>center</wp:align>
                </wp:positionH>
                <wp:positionV relativeFrom="paragraph">
                  <wp:posOffset>5182799</wp:posOffset>
                </wp:positionV>
                <wp:extent cx="5120640" cy="1404620"/>
                <wp:effectExtent l="0" t="0" r="2286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0640" cy="1404620"/>
                        </a:xfrm>
                        <a:prstGeom prst="rect">
                          <a:avLst/>
                        </a:prstGeom>
                        <a:solidFill>
                          <a:srgbClr val="FFFFFF"/>
                        </a:solidFill>
                        <a:ln w="9525">
                          <a:solidFill>
                            <a:srgbClr val="000000"/>
                          </a:solidFill>
                          <a:miter lim="800000"/>
                          <a:headEnd/>
                          <a:tailEnd/>
                        </a:ln>
                      </wps:spPr>
                      <wps:txbx>
                        <w:txbxContent>
                          <w:p w14:paraId="1D3B5CCE" w14:textId="2B587696" w:rsidR="007C7498" w:rsidRPr="004C64AD" w:rsidRDefault="007C7498" w:rsidP="007C7498">
                            <w:pPr>
                              <w:rPr>
                                <w:sz w:val="20"/>
                                <w:szCs w:val="20"/>
                              </w:rPr>
                            </w:pPr>
                            <w:r w:rsidRPr="004C64AD">
                              <w:rPr>
                                <w:sz w:val="20"/>
                                <w:szCs w:val="20"/>
                              </w:rPr>
                              <w:t xml:space="preserve">This CSTE project was funded under a cooperative agreement with the Centers for Disease Control and Prevention (NU38OT000297-01-00). The </w:t>
                            </w:r>
                            <w:r>
                              <w:rPr>
                                <w:sz w:val="20"/>
                                <w:szCs w:val="20"/>
                              </w:rPr>
                              <w:t>document</w:t>
                            </w:r>
                            <w:r w:rsidRPr="004C64AD">
                              <w:rPr>
                                <w:sz w:val="20"/>
                                <w:szCs w:val="20"/>
                              </w:rPr>
                              <w:t xml:space="preserve"> was </w:t>
                            </w:r>
                            <w:r>
                              <w:rPr>
                                <w:sz w:val="20"/>
                                <w:szCs w:val="20"/>
                              </w:rPr>
                              <w:t>revised and updated</w:t>
                            </w:r>
                            <w:r w:rsidRPr="004C64AD">
                              <w:rPr>
                                <w:sz w:val="20"/>
                                <w:szCs w:val="20"/>
                              </w:rPr>
                              <w:t xml:space="preserve"> for CSTE by Patricia </w:t>
                            </w:r>
                            <w:r>
                              <w:rPr>
                                <w:sz w:val="20"/>
                                <w:szCs w:val="20"/>
                              </w:rPr>
                              <w:t xml:space="preserve">I. </w:t>
                            </w:r>
                            <w:r w:rsidRPr="004C64AD">
                              <w:rPr>
                                <w:sz w:val="20"/>
                                <w:szCs w:val="20"/>
                              </w:rPr>
                              <w:t>Elliott JD, MPH</w:t>
                            </w:r>
                            <w:r>
                              <w:rPr>
                                <w:sz w:val="20"/>
                                <w:szCs w:val="20"/>
                              </w:rPr>
                              <w:t xml:space="preserve"> of Health|Environment Concepts.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3488F7F" id="_x0000_s1027" type="#_x0000_t202" style="position:absolute;margin-left:0;margin-top:408.1pt;width:403.2pt;height:110.6pt;z-index:251660288;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">
                <v:textbox style="mso-fit-shape-to-text:t">
                  <w:txbxContent>
                    <w:p w14:paraId="1D3B5CCE" w14:textId="2B587696" w:rsidR="007C7498" w:rsidRPr="004C64AD" w:rsidRDefault="007C7498" w:rsidP="007C7498">
                      <w:pPr>
                        <w:rPr>
                          <w:sz w:val="20"/>
                          <w:szCs w:val="20"/>
                        </w:rPr>
                      </w:pPr>
                      <w:r w:rsidRPr="004C64AD">
                        <w:rPr>
                          <w:sz w:val="20"/>
                          <w:szCs w:val="20"/>
                        </w:rPr>
                        <w:t xml:space="preserve">This CSTE project was funded under a cooperative agreement with the Centers for Disease Control and Prevention (NU38OT000297-01-00). The </w:t>
                      </w:r>
                      <w:r>
                        <w:rPr>
                          <w:sz w:val="20"/>
                          <w:szCs w:val="20"/>
                        </w:rPr>
                        <w:t>document</w:t>
                      </w:r>
                      <w:r w:rsidRPr="004C64AD">
                        <w:rPr>
                          <w:sz w:val="20"/>
                          <w:szCs w:val="20"/>
                        </w:rPr>
                        <w:t xml:space="preserve"> was </w:t>
                      </w:r>
                      <w:r>
                        <w:rPr>
                          <w:sz w:val="20"/>
                          <w:szCs w:val="20"/>
                        </w:rPr>
                        <w:t>revised and updated</w:t>
                      </w:r>
                      <w:r w:rsidRPr="004C64AD">
                        <w:rPr>
                          <w:sz w:val="20"/>
                          <w:szCs w:val="20"/>
                        </w:rPr>
                        <w:t xml:space="preserve"> for CSTE by Patricia </w:t>
                      </w:r>
                      <w:r>
                        <w:rPr>
                          <w:sz w:val="20"/>
                          <w:szCs w:val="20"/>
                        </w:rPr>
                        <w:t xml:space="preserve">I. </w:t>
                      </w:r>
                      <w:r w:rsidRPr="004C64AD">
                        <w:rPr>
                          <w:sz w:val="20"/>
                          <w:szCs w:val="20"/>
                        </w:rPr>
                        <w:t>Elliott JD, MPH</w:t>
                      </w:r>
                      <w:r>
                        <w:rPr>
                          <w:sz w:val="20"/>
                          <w:szCs w:val="20"/>
                        </w:rPr>
                        <w:t xml:space="preserve"> of Health|Environment Concepts.</w:t>
                      </w:r>
                    </w:p>
                  </w:txbxContent>
                </v:textbox>
                <w10:wrap type="square" anchorx="margin"/>
              </v:shape>
            </w:pict>
          </mc:Fallback>
        </mc:AlternateContent>
      </w:r>
    </w:p>
    <w:sectPr w:rsidR="007C7498" w:rsidSect="002A00B3">
      <w:headerReference w:type="default"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D67B07" w14:textId="77777777" w:rsidR="00A12AAB" w:rsidRDefault="00A12AAB" w:rsidP="00E45CC2">
      <w:r>
        <w:separator/>
      </w:r>
    </w:p>
  </w:endnote>
  <w:endnote w:type="continuationSeparator" w:id="0">
    <w:p w14:paraId="3DB1D209" w14:textId="77777777" w:rsidR="00A12AAB" w:rsidRDefault="00A12AAB" w:rsidP="00E45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188036"/>
      <w:docPartObj>
        <w:docPartGallery w:val="Page Numbers (Bottom of Page)"/>
        <w:docPartUnique/>
      </w:docPartObj>
    </w:sdtPr>
    <w:sdtEndPr>
      <w:rPr>
        <w:noProof/>
      </w:rPr>
    </w:sdtEndPr>
    <w:sdtContent>
      <w:p w14:paraId="4DFA6880" w14:textId="4D705447" w:rsidR="00E45CC2" w:rsidRDefault="00E45CC2" w:rsidP="00E45CC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9012B8" w14:textId="77777777" w:rsidR="00982E80" w:rsidRDefault="00982E80" w:rsidP="00982E80">
    <w:pPr>
      <w:ind w:left="720"/>
      <w:jc w:val="center"/>
      <w:rPr>
        <w:i/>
        <w:iCs/>
        <w:sz w:val="20"/>
        <w:szCs w:val="20"/>
      </w:rPr>
    </w:pPr>
    <w:r w:rsidRPr="00026FC3">
      <w:rPr>
        <w:i/>
        <w:iCs/>
        <w:sz w:val="20"/>
        <w:szCs w:val="20"/>
      </w:rPr>
      <w:t>NOTICE: This resource is for informational purposes only</w:t>
    </w:r>
    <w:r>
      <w:rPr>
        <w:i/>
        <w:iCs/>
        <w:sz w:val="20"/>
        <w:szCs w:val="20"/>
      </w:rPr>
      <w:t xml:space="preserve">. It </w:t>
    </w:r>
    <w:r w:rsidRPr="00026FC3">
      <w:rPr>
        <w:i/>
        <w:iCs/>
        <w:sz w:val="20"/>
        <w:szCs w:val="20"/>
      </w:rPr>
      <w:t xml:space="preserve">is not intended as a </w:t>
    </w:r>
  </w:p>
  <w:p w14:paraId="32E5FCD4" w14:textId="5A8812AD" w:rsidR="00F93EA9" w:rsidRDefault="00982E80" w:rsidP="00982E80">
    <w:pPr>
      <w:pStyle w:val="Footer"/>
      <w:jc w:val="center"/>
    </w:pPr>
    <w:r w:rsidRPr="00026FC3">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198CAE" w14:textId="77777777" w:rsidR="00A12AAB" w:rsidRDefault="00A12AAB" w:rsidP="00E45CC2">
      <w:r>
        <w:separator/>
      </w:r>
    </w:p>
  </w:footnote>
  <w:footnote w:type="continuationSeparator" w:id="0">
    <w:p w14:paraId="7A95575C" w14:textId="77777777" w:rsidR="00A12AAB" w:rsidRDefault="00A12AAB" w:rsidP="00E45CC2">
      <w:r>
        <w:continuationSeparator/>
      </w:r>
    </w:p>
  </w:footnote>
  <w:footnote w:id="1">
    <w:p w14:paraId="50EBABCE" w14:textId="261DBF64" w:rsidR="00DD705E" w:rsidRPr="00DD705E" w:rsidRDefault="00DD705E" w:rsidP="00DD705E">
      <w:pPr>
        <w:pStyle w:val="FootnoteText"/>
        <w:tabs>
          <w:tab w:val="left" w:pos="686"/>
        </w:tabs>
        <w:rPr>
          <w:b/>
          <w:bCs/>
        </w:rPr>
      </w:pPr>
      <w:r>
        <w:rPr>
          <w:b/>
          <w:bCs/>
          <w:highlight w:val="yellow"/>
        </w:rPr>
        <w:t>Footnotes will be streamlined and edited to style guide once text is finalized</w:t>
      </w:r>
    </w:p>
    <w:p w14:paraId="2D4FDBFF" w14:textId="4A4F607F" w:rsidR="00503A09" w:rsidRDefault="00503A09" w:rsidP="008820FF">
      <w:pPr>
        <w:pStyle w:val="FootnoteText"/>
      </w:pPr>
      <w:r>
        <w:rPr>
          <w:rStyle w:val="FootnoteReference"/>
        </w:rPr>
        <w:footnoteRef/>
      </w:r>
      <w:r>
        <w:t xml:space="preserve"> </w:t>
      </w:r>
      <w:r w:rsidR="009A0268">
        <w:t xml:space="preserve">Network for Public Health Law. </w:t>
      </w:r>
      <w:r w:rsidR="008820FF">
        <w:t>Table</w:t>
      </w:r>
      <w:r w:rsidR="0054483D">
        <w:t>:</w:t>
      </w:r>
      <w:r w:rsidR="008820FF">
        <w:t xml:space="preserve"> Legal Liability Protections for Emergency Medical/Public Health Responses. February 20, 201</w:t>
      </w:r>
      <w:r w:rsidR="0078677C">
        <w:t xml:space="preserve">7. Retrieved from </w:t>
      </w:r>
      <w:hyperlink r:id="rId1" w:history="1">
        <w:r w:rsidR="00622E20" w:rsidRPr="000953E3">
          <w:rPr>
            <w:rStyle w:val="Hyperlink"/>
          </w:rPr>
          <w:t>https://www.networkforphl.org/wp-content/uploads/2020/01/Legal-Liability-Protections-for-Emergency-Medical-and-Public-Health-Responses.pdf</w:t>
        </w:r>
      </w:hyperlink>
      <w:r w:rsidR="00622E20">
        <w:t xml:space="preserve">. </w:t>
      </w:r>
      <w:r w:rsidR="0054483D">
        <w:t>Accessed August 4, 2020.</w:t>
      </w:r>
    </w:p>
  </w:footnote>
  <w:footnote w:id="2">
    <w:p w14:paraId="7C701E23" w14:textId="16F60D9E" w:rsidR="00F45859" w:rsidRDefault="00381AA3">
      <w:pPr>
        <w:pStyle w:val="FootnoteText"/>
      </w:pPr>
      <w:r>
        <w:rPr>
          <w:rStyle w:val="FootnoteReference"/>
        </w:rPr>
        <w:footnoteRef/>
      </w:r>
      <w:r>
        <w:t xml:space="preserve"> Network for Public Health Law. Table</w:t>
      </w:r>
      <w:r w:rsidR="0054483D">
        <w:t>:</w:t>
      </w:r>
      <w:r>
        <w:t xml:space="preserve"> Legal Liability Protections for Emergency Medical/Public Health Responses. February 20, 2017. Retrieved from </w:t>
      </w:r>
      <w:hyperlink r:id="rId2" w:history="1">
        <w:r w:rsidR="0054483D" w:rsidRPr="0042411F">
          <w:rPr>
            <w:rStyle w:val="Hyperlink"/>
          </w:rPr>
          <w:t>https://www.netwo:rkforphl.org/wp-content/uploads/2020/01/Legal-Liability-Protections-for-Emergency-Medical-and-Public-Health-Responses.pdf</w:t>
        </w:r>
      </w:hyperlink>
      <w:r>
        <w:t>.</w:t>
      </w:r>
      <w:r w:rsidR="00D5585B">
        <w:t xml:space="preserve"> </w:t>
      </w:r>
      <w:r w:rsidR="0054483D">
        <w:t xml:space="preserve">Accessed August 4, 2020. </w:t>
      </w:r>
      <w:r w:rsidR="00D5585B" w:rsidRPr="00D5585B">
        <w:rPr>
          <w:i/>
          <w:iCs/>
        </w:rPr>
        <w:t>See also</w:t>
      </w:r>
      <w:r w:rsidR="00D5585B">
        <w:t xml:space="preserve"> FEMA. </w:t>
      </w:r>
      <w:r w:rsidR="00CB19BF" w:rsidRPr="00CB19BF">
        <w:t>Citizen Corps Volunteer Liability Guide</w:t>
      </w:r>
      <w:r w:rsidR="0036153B">
        <w:t xml:space="preserve">. </w:t>
      </w:r>
      <w:r w:rsidR="00344F71">
        <w:t xml:space="preserve">2009. Retrieved from </w:t>
      </w:r>
      <w:hyperlink r:id="rId3" w:history="1">
        <w:r w:rsidR="00344F71">
          <w:rPr>
            <w:rStyle w:val="Hyperlink"/>
          </w:rPr>
          <w:t>https://www.fema.gov/media-library-data/20130726-1854-25045-1228/citizen_corps_volunteer_liability_guide.pdf</w:t>
        </w:r>
      </w:hyperlink>
      <w:r w:rsidR="00344F71">
        <w:t>.</w:t>
      </w:r>
      <w:r w:rsidR="00577234">
        <w:t xml:space="preserve"> Accessed August 4, 2020.</w:t>
      </w:r>
    </w:p>
  </w:footnote>
  <w:footnote w:id="3">
    <w:p w14:paraId="6D8F9CED" w14:textId="5AACEC66" w:rsidR="00D5585B" w:rsidRDefault="00D5585B">
      <w:pPr>
        <w:pStyle w:val="FootnoteText"/>
      </w:pPr>
      <w:r>
        <w:rPr>
          <w:rStyle w:val="FootnoteReference"/>
        </w:rPr>
        <w:footnoteRef/>
      </w:r>
      <w:r>
        <w:t xml:space="preserve"> Network for Public Health Law. Table</w:t>
      </w:r>
      <w:r w:rsidR="00577234">
        <w:t>:</w:t>
      </w:r>
      <w:r>
        <w:t xml:space="preserve"> Legal Liability Protections for Emergency Medical/Public Health Responses. February 20, 2017. Retrieved from </w:t>
      </w:r>
      <w:hyperlink r:id="rId4" w:history="1">
        <w:r w:rsidRPr="000953E3">
          <w:rPr>
            <w:rStyle w:val="Hyperlink"/>
          </w:rPr>
          <w:t>https://www.networkforphl.org/wp-content/uploads/2020/01/Legal-Liability-Protections-for-Emergency-Medical-and-Public-Health-Responses.pdf</w:t>
        </w:r>
      </w:hyperlink>
      <w:r>
        <w:t>.</w:t>
      </w:r>
      <w:r w:rsidR="00344F71">
        <w:t xml:space="preserve"> </w:t>
      </w:r>
      <w:r w:rsidR="00577234">
        <w:t xml:space="preserve">Accessed August 4, 2020. </w:t>
      </w:r>
      <w:r w:rsidR="00344F71" w:rsidRPr="00D5585B">
        <w:rPr>
          <w:i/>
          <w:iCs/>
        </w:rPr>
        <w:t>See also</w:t>
      </w:r>
      <w:r w:rsidR="00344F71">
        <w:t xml:space="preserve"> FEMA. </w:t>
      </w:r>
      <w:r w:rsidR="00344F71" w:rsidRPr="00CB19BF">
        <w:t>Citizen Corps Volunteer Liability Guide</w:t>
      </w:r>
      <w:r w:rsidR="00344F71">
        <w:t xml:space="preserve">. 2009. Retrieved from </w:t>
      </w:r>
      <w:hyperlink r:id="rId5" w:history="1">
        <w:r w:rsidR="00344F71">
          <w:rPr>
            <w:rStyle w:val="Hyperlink"/>
          </w:rPr>
          <w:t>https://www.fema.gov/media-library-data/20130726-1854-25045-1228/citizen_corps_volunteer_liability_guide.pdf</w:t>
        </w:r>
      </w:hyperlink>
      <w:r w:rsidR="00344F71">
        <w:t>.</w:t>
      </w:r>
      <w:r w:rsidR="00577234">
        <w:t xml:space="preserve"> Accessed August 4, 2020.</w:t>
      </w:r>
    </w:p>
  </w:footnote>
  <w:footnote w:id="4">
    <w:p w14:paraId="648A14A7" w14:textId="031E8DBC" w:rsidR="00524549" w:rsidRDefault="00524549">
      <w:pPr>
        <w:pStyle w:val="FootnoteText"/>
      </w:pPr>
      <w:r>
        <w:rPr>
          <w:rStyle w:val="FootnoteReference"/>
        </w:rPr>
        <w:footnoteRef/>
      </w:r>
      <w:r>
        <w:t xml:space="preserve"> Network for Public Health Law. Table</w:t>
      </w:r>
      <w:r w:rsidR="003C3932">
        <w:t xml:space="preserve">: </w:t>
      </w:r>
      <w:r>
        <w:t xml:space="preserve">Legal Liability Protections for Emergency Medical/Public Health Responses. February 20, 2017. Retrieved from </w:t>
      </w:r>
      <w:hyperlink r:id="rId6" w:history="1">
        <w:r w:rsidRPr="000953E3">
          <w:rPr>
            <w:rStyle w:val="Hyperlink"/>
          </w:rPr>
          <w:t>https://www.networkforphl.org/wp-content/uploads/2020/01/Legal-Liability-Protections-for-Emergency-Medical-and-Public-Health-Responses.pdf</w:t>
        </w:r>
      </w:hyperlink>
      <w:r>
        <w:t xml:space="preserve">. </w:t>
      </w:r>
      <w:r w:rsidR="003C3932">
        <w:t xml:space="preserve">Accessed August 4, 2020. </w:t>
      </w:r>
      <w:r w:rsidRPr="00D5585B">
        <w:rPr>
          <w:i/>
          <w:iCs/>
        </w:rPr>
        <w:t>See also</w:t>
      </w:r>
      <w:r>
        <w:t xml:space="preserve"> FEMA. </w:t>
      </w:r>
      <w:r w:rsidRPr="00CB19BF">
        <w:t>Citizen Corps Volunteer Liability Guide</w:t>
      </w:r>
      <w:r>
        <w:t xml:space="preserve">. 2009. Retrieved from </w:t>
      </w:r>
      <w:hyperlink r:id="rId7" w:history="1">
        <w:r>
          <w:rPr>
            <w:rStyle w:val="Hyperlink"/>
          </w:rPr>
          <w:t>https://www.fema.gov/media-library-data/20130726-1854-25045-1228/citizen_corps_volunteer_liability_guide.pdf</w:t>
        </w:r>
      </w:hyperlink>
      <w:r>
        <w:t>.</w:t>
      </w:r>
      <w:r w:rsidR="003C3932">
        <w:t xml:space="preserve"> Accessed August 4, 2020.</w:t>
      </w:r>
    </w:p>
  </w:footnote>
  <w:footnote w:id="5">
    <w:p w14:paraId="060CBCDB" w14:textId="7A204E77" w:rsidR="00444748" w:rsidRDefault="00EC47FB">
      <w:pPr>
        <w:pStyle w:val="FootnoteText"/>
      </w:pPr>
      <w:r>
        <w:rPr>
          <w:rStyle w:val="FootnoteReference"/>
        </w:rPr>
        <w:footnoteRef/>
      </w:r>
      <w:r w:rsidR="000C6FD2">
        <w:t xml:space="preserve"> </w:t>
      </w:r>
      <w:r w:rsidR="000C6FD2" w:rsidRPr="003C3932">
        <w:rPr>
          <w:i/>
          <w:iCs/>
        </w:rPr>
        <w:t>See</w:t>
      </w:r>
      <w:r w:rsidR="000C6FD2">
        <w:t xml:space="preserve"> V</w:t>
      </w:r>
      <w:r w:rsidR="00B37AB8">
        <w:t>olunt</w:t>
      </w:r>
      <w:r w:rsidR="0044168F">
        <w:t>ary Organizations Active in Disaster</w:t>
      </w:r>
      <w:r w:rsidR="00DD6AD5">
        <w:t xml:space="preserve"> </w:t>
      </w:r>
      <w:r w:rsidR="0083396A">
        <w:t>(V</w:t>
      </w:r>
      <w:r w:rsidR="000C6FD2">
        <w:t>OAD</w:t>
      </w:r>
      <w:r w:rsidR="0083396A">
        <w:t>)</w:t>
      </w:r>
      <w:r w:rsidR="000C6FD2">
        <w:t xml:space="preserve"> </w:t>
      </w:r>
      <w:r w:rsidR="00C85829">
        <w:t>for a listing of national</w:t>
      </w:r>
      <w:r w:rsidR="004C02F1">
        <w:t xml:space="preserve">, </w:t>
      </w:r>
      <w:r w:rsidR="00B37AB8">
        <w:t>tribal</w:t>
      </w:r>
      <w:r w:rsidR="004C02F1">
        <w:t xml:space="preserve">, state, and territorial </w:t>
      </w:r>
      <w:r w:rsidR="00C85829">
        <w:t>member</w:t>
      </w:r>
      <w:r w:rsidR="004C02F1">
        <w:t xml:space="preserve">s at </w:t>
      </w:r>
      <w:hyperlink r:id="rId8" w:history="1">
        <w:r w:rsidR="009D458C" w:rsidRPr="009D458C">
          <w:rPr>
            <w:rStyle w:val="Hyperlink"/>
          </w:rPr>
          <w:t>https://www.nvoad.org/our-members/</w:t>
        </w:r>
      </w:hyperlink>
      <w:r w:rsidR="009D458C">
        <w:t>. Accessed August 4, 2020.</w:t>
      </w:r>
      <w:r w:rsidR="00C85829">
        <w:t xml:space="preserve"> </w:t>
      </w:r>
    </w:p>
  </w:footnote>
  <w:footnote w:id="6">
    <w:p w14:paraId="178AD12A" w14:textId="279A1617" w:rsidR="000A4C90" w:rsidRDefault="000A4C90">
      <w:pPr>
        <w:pStyle w:val="FootnoteText"/>
      </w:pPr>
      <w:r>
        <w:rPr>
          <w:rStyle w:val="FootnoteReference"/>
        </w:rPr>
        <w:footnoteRef/>
      </w:r>
      <w:r>
        <w:t xml:space="preserve"> </w:t>
      </w:r>
      <w:r w:rsidR="009D3317">
        <w:t xml:space="preserve">HHS. </w:t>
      </w:r>
      <w:r w:rsidR="009D3317" w:rsidRPr="009D3317">
        <w:t>Emergency System for Advance Registration of Volunteer Health Professionals</w:t>
      </w:r>
      <w:r w:rsidR="009D3317">
        <w:t xml:space="preserve">. About </w:t>
      </w:r>
      <w:r w:rsidR="006B2B36">
        <w:t>ESAR-VHP</w:t>
      </w:r>
      <w:r w:rsidR="00C129D4">
        <w:t xml:space="preserve">. </w:t>
      </w:r>
      <w:r w:rsidR="00517EAF">
        <w:t xml:space="preserve">Webpage. </w:t>
      </w:r>
      <w:r w:rsidR="007D5015">
        <w:t xml:space="preserve">Retrieved from </w:t>
      </w:r>
      <w:hyperlink r:id="rId9" w:history="1">
        <w:r w:rsidR="007D5015">
          <w:rPr>
            <w:rStyle w:val="Hyperlink"/>
          </w:rPr>
          <w:t>https://www.phe.gov/esarvhp/Pages/about.aspx</w:t>
        </w:r>
      </w:hyperlink>
      <w:r w:rsidR="007D5015">
        <w:t>.</w:t>
      </w:r>
      <w:r w:rsidR="00517EAF">
        <w:t xml:space="preserve"> Accessed August 4, 2020.</w:t>
      </w:r>
    </w:p>
  </w:footnote>
  <w:footnote w:id="7">
    <w:p w14:paraId="2F783E68" w14:textId="6FAC5BB4" w:rsidR="000A4C90" w:rsidRDefault="000A4C90">
      <w:pPr>
        <w:pStyle w:val="FootnoteText"/>
      </w:pPr>
      <w:r>
        <w:rPr>
          <w:rStyle w:val="FootnoteReference"/>
        </w:rPr>
        <w:footnoteRef/>
      </w:r>
      <w:r>
        <w:t xml:space="preserve"> </w:t>
      </w:r>
      <w:r w:rsidR="00891BF6">
        <w:t xml:space="preserve">HHS </w:t>
      </w:r>
      <w:r w:rsidRPr="000A4C90">
        <w:t xml:space="preserve">ASPR. </w:t>
      </w:r>
      <w:r w:rsidR="007C39FA">
        <w:t xml:space="preserve">Public Health Emergency. Webpage. </w:t>
      </w:r>
      <w:r w:rsidR="00DD3C03">
        <w:t>Retrieved from</w:t>
      </w:r>
      <w:r w:rsidRPr="000A4C90">
        <w:t xml:space="preserve"> </w:t>
      </w:r>
      <w:hyperlink r:id="rId10" w:history="1">
        <w:r w:rsidR="00DD3C03" w:rsidRPr="000953E3">
          <w:rPr>
            <w:rStyle w:val="Hyperlink"/>
          </w:rPr>
          <w:t>http://www.phe.gov/preparedness/pages/default.aspx</w:t>
        </w:r>
      </w:hyperlink>
      <w:r w:rsidRPr="000A4C90">
        <w:t>.</w:t>
      </w:r>
      <w:r w:rsidR="00DD3C03">
        <w:t xml:space="preserve"> </w:t>
      </w:r>
      <w:r w:rsidR="007C39FA">
        <w:t>Accessed August 4, 2020.</w:t>
      </w:r>
    </w:p>
  </w:footnote>
  <w:footnote w:id="8">
    <w:p w14:paraId="5E0C245A" w14:textId="1C71D882" w:rsidR="005D13A3" w:rsidRDefault="005D13A3">
      <w:pPr>
        <w:pStyle w:val="FootnoteText"/>
      </w:pPr>
      <w:r>
        <w:rPr>
          <w:rStyle w:val="FootnoteReference"/>
        </w:rPr>
        <w:footnoteRef/>
      </w:r>
      <w:r>
        <w:t xml:space="preserve"> </w:t>
      </w:r>
      <w:r w:rsidRPr="005D13A3">
        <w:t>State ESAR-VHP system</w:t>
      </w:r>
      <w:r w:rsidR="00D301D9">
        <w:t xml:space="preserve"> names </w:t>
      </w:r>
      <w:r w:rsidRPr="005D13A3">
        <w:t xml:space="preserve">vary by </w:t>
      </w:r>
      <w:r w:rsidR="00D301D9">
        <w:t>state</w:t>
      </w:r>
      <w:r w:rsidRPr="005D13A3">
        <w:t xml:space="preserve"> (e.g., Washington State Emergency Registry of Volunteers; Kentucky Health Emergency Listing of Professionals for Surge; State Emergency Registry of Volunteers in Georgia (SERVGA))</w:t>
      </w:r>
      <w:r>
        <w:t>.</w:t>
      </w:r>
    </w:p>
  </w:footnote>
  <w:footnote w:id="9">
    <w:p w14:paraId="035D114A" w14:textId="2002D0AB" w:rsidR="00657A25" w:rsidRDefault="00657A25">
      <w:pPr>
        <w:pStyle w:val="FootnoteText"/>
      </w:pPr>
      <w:r>
        <w:rPr>
          <w:rStyle w:val="FootnoteReference"/>
        </w:rPr>
        <w:footnoteRef/>
      </w:r>
      <w:r>
        <w:t xml:space="preserve"> </w:t>
      </w:r>
      <w:r w:rsidR="002D199D">
        <w:t xml:space="preserve">HHS. </w:t>
      </w:r>
      <w:r w:rsidR="002D199D" w:rsidRPr="009D3317">
        <w:t>Emergency System for Advance Registration of Volunteer Health Professionals</w:t>
      </w:r>
      <w:r w:rsidR="002D199D">
        <w:t xml:space="preserve">. </w:t>
      </w:r>
      <w:r w:rsidR="008B3817">
        <w:t xml:space="preserve">Health Professionals. </w:t>
      </w:r>
      <w:r w:rsidR="002D199D">
        <w:t xml:space="preserve">Retrieved from </w:t>
      </w:r>
      <w:hyperlink r:id="rId11" w:history="1">
        <w:r w:rsidR="002D199D">
          <w:rPr>
            <w:rStyle w:val="Hyperlink"/>
          </w:rPr>
          <w:t>https://www.phe.gov/esarvhp/pages/health-professionals.aspx</w:t>
        </w:r>
      </w:hyperlink>
      <w:r w:rsidR="002D199D">
        <w:t>.</w:t>
      </w:r>
      <w:r w:rsidR="00D612E6">
        <w:t xml:space="preserve"> Accessed August 4, 2020.</w:t>
      </w:r>
    </w:p>
  </w:footnote>
  <w:footnote w:id="10">
    <w:p w14:paraId="66A5F1B2" w14:textId="34F1BA1B" w:rsidR="00823E35" w:rsidRDefault="00823E35">
      <w:pPr>
        <w:pStyle w:val="FootnoteText"/>
      </w:pPr>
      <w:r>
        <w:rPr>
          <w:rStyle w:val="FootnoteReference"/>
        </w:rPr>
        <w:footnoteRef/>
      </w:r>
      <w:r>
        <w:t xml:space="preserve"> </w:t>
      </w:r>
      <w:r w:rsidR="007A7B76" w:rsidRPr="005508A3">
        <w:t>Pandemic and All-Hazards Preparedness and Advancing Innovation Act</w:t>
      </w:r>
      <w:r w:rsidR="007A7B76">
        <w:t xml:space="preserve"> of 2019</w:t>
      </w:r>
      <w:r w:rsidR="007A7B76" w:rsidRPr="005508A3">
        <w:t>, Pub</w:t>
      </w:r>
      <w:r w:rsidR="007A7B76">
        <w:t>.</w:t>
      </w:r>
      <w:r w:rsidR="007A7B76" w:rsidRPr="005508A3">
        <w:t xml:space="preserve"> L</w:t>
      </w:r>
      <w:r w:rsidR="007A7B76">
        <w:t>.</w:t>
      </w:r>
      <w:r w:rsidR="007A7B76" w:rsidRPr="005508A3">
        <w:t xml:space="preserve"> No. 116-22.</w:t>
      </w:r>
    </w:p>
  </w:footnote>
  <w:footnote w:id="11">
    <w:p w14:paraId="680AE939" w14:textId="74A46E05" w:rsidR="00CD385C" w:rsidRDefault="00CD385C">
      <w:pPr>
        <w:pStyle w:val="FootnoteText"/>
      </w:pPr>
      <w:r>
        <w:rPr>
          <w:rStyle w:val="FootnoteReference"/>
        </w:rPr>
        <w:footnoteRef/>
      </w:r>
      <w:r>
        <w:t xml:space="preserve"> </w:t>
      </w:r>
      <w:r w:rsidR="00D57C15">
        <w:t>DHS</w:t>
      </w:r>
      <w:r w:rsidR="00A40BE2">
        <w:t>/FEMA</w:t>
      </w:r>
      <w:r w:rsidR="00D57C15">
        <w:t xml:space="preserve">. </w:t>
      </w:r>
      <w:r w:rsidRPr="00CD385C">
        <w:t xml:space="preserve">Citizens Corps. </w:t>
      </w:r>
      <w:r w:rsidR="00086230">
        <w:t xml:space="preserve">Webpage last updated March 31, 2020. </w:t>
      </w:r>
      <w:r w:rsidR="00D57C15">
        <w:t xml:space="preserve">Retrieved from </w:t>
      </w:r>
      <w:hyperlink r:id="rId12" w:history="1">
        <w:r w:rsidR="00D57C15">
          <w:rPr>
            <w:rStyle w:val="Hyperlink"/>
          </w:rPr>
          <w:t>https://www.ready.gov/citizen-corps</w:t>
        </w:r>
      </w:hyperlink>
      <w:r w:rsidR="00D57C15">
        <w:t xml:space="preserve">. </w:t>
      </w:r>
      <w:r w:rsidR="00086230">
        <w:t>Accessed August 4, 2020.</w:t>
      </w:r>
    </w:p>
  </w:footnote>
  <w:footnote w:id="12">
    <w:p w14:paraId="2840A217" w14:textId="586F9141" w:rsidR="00CD385C" w:rsidRDefault="00CD385C">
      <w:pPr>
        <w:pStyle w:val="FootnoteText"/>
      </w:pPr>
      <w:r>
        <w:rPr>
          <w:rStyle w:val="FootnoteReference"/>
        </w:rPr>
        <w:footnoteRef/>
      </w:r>
      <w:r>
        <w:t xml:space="preserve"> </w:t>
      </w:r>
      <w:r w:rsidR="004B029D">
        <w:t xml:space="preserve">DHS/FEMA. </w:t>
      </w:r>
      <w:r w:rsidR="003A4DD6" w:rsidRPr="00CD385C">
        <w:t xml:space="preserve">Citizens Corps. </w:t>
      </w:r>
      <w:r w:rsidR="003A4DD6">
        <w:t xml:space="preserve">Webpage last updated March 31, 2020. Retrieved from </w:t>
      </w:r>
      <w:hyperlink r:id="rId13" w:history="1">
        <w:r w:rsidR="003A4DD6">
          <w:rPr>
            <w:rStyle w:val="Hyperlink"/>
          </w:rPr>
          <w:t>https://www.ready.gov/citizen-corps</w:t>
        </w:r>
      </w:hyperlink>
      <w:r w:rsidR="003A4DD6">
        <w:t>. Accessed August 4, 2020.</w:t>
      </w:r>
    </w:p>
  </w:footnote>
  <w:footnote w:id="13">
    <w:p w14:paraId="4B5034FF" w14:textId="0907F6A1" w:rsidR="008828A2" w:rsidRDefault="008828A2">
      <w:pPr>
        <w:pStyle w:val="FootnoteText"/>
      </w:pPr>
      <w:r>
        <w:rPr>
          <w:rStyle w:val="FootnoteReference"/>
        </w:rPr>
        <w:footnoteRef/>
      </w:r>
      <w:r>
        <w:t xml:space="preserve"> </w:t>
      </w:r>
      <w:r w:rsidR="004B029D">
        <w:t xml:space="preserve">DHS/FEMA. </w:t>
      </w:r>
      <w:r w:rsidR="003A4DD6" w:rsidRPr="00CD385C">
        <w:t xml:space="preserve">Citizens Corps. </w:t>
      </w:r>
      <w:r w:rsidR="003A4DD6">
        <w:t xml:space="preserve">Webpage last updated March 31, 2020. Retrieved from </w:t>
      </w:r>
      <w:hyperlink r:id="rId14" w:history="1">
        <w:r w:rsidR="003A4DD6">
          <w:rPr>
            <w:rStyle w:val="Hyperlink"/>
          </w:rPr>
          <w:t>https://www.ready.gov/citizen-corps</w:t>
        </w:r>
      </w:hyperlink>
      <w:r w:rsidR="003A4DD6">
        <w:t>. Accessed August 4, 2020.</w:t>
      </w:r>
    </w:p>
  </w:footnote>
  <w:footnote w:id="14">
    <w:p w14:paraId="66E306C2" w14:textId="05C3ECD8" w:rsidR="009B4362" w:rsidRDefault="009B4362">
      <w:pPr>
        <w:pStyle w:val="FootnoteText"/>
      </w:pPr>
      <w:r>
        <w:rPr>
          <w:rStyle w:val="FootnoteReference"/>
        </w:rPr>
        <w:footnoteRef/>
      </w:r>
      <w:r>
        <w:t xml:space="preserve"> </w:t>
      </w:r>
      <w:r w:rsidR="003E51F8">
        <w:t xml:space="preserve">HHS. </w:t>
      </w:r>
      <w:r w:rsidRPr="009B4362">
        <w:t xml:space="preserve">Medical Reserve Corps. </w:t>
      </w:r>
      <w:r w:rsidR="001A382F">
        <w:t xml:space="preserve">About </w:t>
      </w:r>
      <w:r w:rsidR="00AB7180">
        <w:t xml:space="preserve">the </w:t>
      </w:r>
      <w:r w:rsidR="001A382F">
        <w:t>M</w:t>
      </w:r>
      <w:r w:rsidR="00AB7180">
        <w:t xml:space="preserve">edical </w:t>
      </w:r>
      <w:r w:rsidR="001A382F">
        <w:t>R</w:t>
      </w:r>
      <w:r w:rsidR="00AB7180">
        <w:t xml:space="preserve">eserve </w:t>
      </w:r>
      <w:r w:rsidR="001A382F">
        <w:t>C</w:t>
      </w:r>
      <w:r w:rsidR="00AB7180">
        <w:t>orps</w:t>
      </w:r>
      <w:r w:rsidR="001A382F">
        <w:t xml:space="preserve">. </w:t>
      </w:r>
      <w:r w:rsidR="008449BF">
        <w:t xml:space="preserve">Webpage last </w:t>
      </w:r>
      <w:r w:rsidR="00B501C0">
        <w:t>reviewed</w:t>
      </w:r>
      <w:r w:rsidR="00B26F6A">
        <w:t xml:space="preserve"> by HHS</w:t>
      </w:r>
      <w:r w:rsidR="008449BF">
        <w:t xml:space="preserve"> July 29, 2020. </w:t>
      </w:r>
      <w:r w:rsidR="003E51F8">
        <w:t xml:space="preserve">Retrieved from </w:t>
      </w:r>
      <w:hyperlink r:id="rId15" w:history="1">
        <w:r w:rsidR="001A382F">
          <w:rPr>
            <w:rStyle w:val="Hyperlink"/>
          </w:rPr>
          <w:t>https://mrc.hhs.gov/pageViewFldr/About</w:t>
        </w:r>
      </w:hyperlink>
      <w:r w:rsidR="001A382F">
        <w:t>.</w:t>
      </w:r>
      <w:r w:rsidR="008449BF">
        <w:t xml:space="preserve"> </w:t>
      </w:r>
      <w:r w:rsidR="00F724E3">
        <w:t>Accessed August 4, 2020.</w:t>
      </w:r>
    </w:p>
  </w:footnote>
  <w:footnote w:id="15">
    <w:p w14:paraId="192EAB0E" w14:textId="1CC0A2B0" w:rsidR="003F139F" w:rsidRDefault="003F139F" w:rsidP="003F139F">
      <w:pPr>
        <w:pStyle w:val="FootnoteText"/>
      </w:pPr>
      <w:r>
        <w:rPr>
          <w:rStyle w:val="FootnoteReference"/>
        </w:rPr>
        <w:footnoteRef/>
      </w:r>
      <w:r>
        <w:t xml:space="preserve"> </w:t>
      </w:r>
      <w:r w:rsidR="0030300B" w:rsidRPr="0030300B">
        <w:t xml:space="preserve">Pandemic and All-Hazards Preparedness Act of 2006, Pub. L. No. 109-417. </w:t>
      </w:r>
      <w:r w:rsidR="00B31FA0" w:rsidRPr="00B31FA0">
        <w:rPr>
          <w:i/>
          <w:iCs/>
        </w:rPr>
        <w:t>See also</w:t>
      </w:r>
      <w:r w:rsidR="00B31FA0">
        <w:t xml:space="preserve"> </w:t>
      </w:r>
      <w:r w:rsidR="00BB5D30">
        <w:t xml:space="preserve">HHS. </w:t>
      </w:r>
      <w:r w:rsidRPr="009B4362">
        <w:t xml:space="preserve">Pandemic and All Hazards Preparedness Act. </w:t>
      </w:r>
      <w:r w:rsidR="00B26F6A">
        <w:t xml:space="preserve">Webpage last reviewed by HHS September 17, 2019. </w:t>
      </w:r>
      <w:r w:rsidR="00B31FA0">
        <w:t xml:space="preserve">Retrieved from </w:t>
      </w:r>
      <w:hyperlink r:id="rId16" w:history="1">
        <w:r w:rsidR="005576FC" w:rsidRPr="000953E3">
          <w:rPr>
            <w:rStyle w:val="Hyperlink"/>
          </w:rPr>
          <w:t>www.phe.gov/Preparedness/legal/pahpa/Pages/default.aspx</w:t>
        </w:r>
      </w:hyperlink>
      <w:r w:rsidRPr="009B4362">
        <w:t>.</w:t>
      </w:r>
      <w:r w:rsidR="00B26F6A">
        <w:t xml:space="preserve"> Accessed August 4, 2020.</w:t>
      </w:r>
    </w:p>
  </w:footnote>
  <w:footnote w:id="16">
    <w:p w14:paraId="67604A38" w14:textId="64E119DD" w:rsidR="007937EC" w:rsidRDefault="007937EC">
      <w:pPr>
        <w:pStyle w:val="FootnoteText"/>
      </w:pPr>
      <w:r>
        <w:rPr>
          <w:rStyle w:val="FootnoteReference"/>
        </w:rPr>
        <w:footnoteRef/>
      </w:r>
      <w:r>
        <w:t xml:space="preserve"> </w:t>
      </w:r>
      <w:r w:rsidRPr="005508A3">
        <w:t>Pandemic and All-Hazards Preparedness and Advancing Innovation Act</w:t>
      </w:r>
      <w:r>
        <w:t xml:space="preserve"> of 2019</w:t>
      </w:r>
      <w:r w:rsidRPr="005508A3">
        <w:t>, Pub</w:t>
      </w:r>
      <w:r>
        <w:t>.</w:t>
      </w:r>
      <w:r w:rsidRPr="005508A3">
        <w:t xml:space="preserve"> L</w:t>
      </w:r>
      <w:r>
        <w:t>.</w:t>
      </w:r>
      <w:r w:rsidRPr="005508A3">
        <w:t xml:space="preserve"> No. 116-22.</w:t>
      </w:r>
    </w:p>
  </w:footnote>
  <w:footnote w:id="17">
    <w:p w14:paraId="24678831" w14:textId="78631925" w:rsidR="00A82CFD" w:rsidRDefault="00A82CFD">
      <w:pPr>
        <w:pStyle w:val="FootnoteText"/>
      </w:pPr>
      <w:r>
        <w:rPr>
          <w:rStyle w:val="FootnoteReference"/>
        </w:rPr>
        <w:footnoteRef/>
      </w:r>
      <w:r>
        <w:t xml:space="preserve"> </w:t>
      </w:r>
      <w:r w:rsidR="001A7CEE">
        <w:t xml:space="preserve">HHS. </w:t>
      </w:r>
      <w:r w:rsidR="001A7CEE" w:rsidRPr="009B4362">
        <w:t>Medical Reserve Corps.</w:t>
      </w:r>
      <w:r w:rsidR="00A51818">
        <w:t xml:space="preserve"> Overview of the MRC. </w:t>
      </w:r>
      <w:r w:rsidR="00D51FAA">
        <w:t xml:space="preserve">Webpage last reviewed by HHS November 8, 2019. </w:t>
      </w:r>
      <w:r w:rsidR="00A51818">
        <w:t xml:space="preserve">Retrieved from </w:t>
      </w:r>
      <w:hyperlink r:id="rId17" w:history="1">
        <w:r w:rsidR="00A51818">
          <w:rPr>
            <w:rStyle w:val="Hyperlink"/>
          </w:rPr>
          <w:t>https://mrc.hhs.gov/volunteerFldr/QuestionsAnswers/Overview</w:t>
        </w:r>
      </w:hyperlink>
      <w:r w:rsidR="00A51818">
        <w:t>.</w:t>
      </w:r>
      <w:r w:rsidR="00170033">
        <w:t xml:space="preserve"> Accessed August 4, 2020.</w:t>
      </w:r>
    </w:p>
  </w:footnote>
  <w:footnote w:id="18">
    <w:p w14:paraId="7605F3BF" w14:textId="4993739E" w:rsidR="00130761" w:rsidRDefault="00130761">
      <w:pPr>
        <w:pStyle w:val="FootnoteText"/>
      </w:pPr>
      <w:r>
        <w:rPr>
          <w:rStyle w:val="FootnoteReference"/>
        </w:rPr>
        <w:footnoteRef/>
      </w:r>
      <w:r>
        <w:t xml:space="preserve"> HHS. </w:t>
      </w:r>
      <w:r w:rsidRPr="009B4362">
        <w:t>Medical Reserve Corps.</w:t>
      </w:r>
      <w:r>
        <w:t xml:space="preserve"> Volunteering with the MRC. </w:t>
      </w:r>
      <w:r w:rsidR="007A3FDA">
        <w:t xml:space="preserve">Webpage last reviewed by HHS </w:t>
      </w:r>
      <w:r w:rsidR="00693B0D">
        <w:t xml:space="preserve">July 11, 2019. </w:t>
      </w:r>
      <w:r>
        <w:t xml:space="preserve">Retrieved from </w:t>
      </w:r>
      <w:hyperlink r:id="rId18" w:history="1">
        <w:r>
          <w:rPr>
            <w:rStyle w:val="Hyperlink"/>
          </w:rPr>
          <w:t>https://mrc.hhs.gov/volunteerFldr/QuestionsAnswers/Volunteering</w:t>
        </w:r>
      </w:hyperlink>
      <w:r>
        <w:t>.</w:t>
      </w:r>
      <w:r w:rsidR="00693B0D">
        <w:t xml:space="preserve"> Accessed August 4, 2020.</w:t>
      </w:r>
    </w:p>
  </w:footnote>
  <w:footnote w:id="19">
    <w:p w14:paraId="663A0BCE" w14:textId="4DE8FC76" w:rsidR="00487A0B" w:rsidRDefault="00487A0B">
      <w:pPr>
        <w:pStyle w:val="FootnoteText"/>
      </w:pPr>
      <w:r>
        <w:rPr>
          <w:rStyle w:val="FootnoteReference"/>
        </w:rPr>
        <w:footnoteRef/>
      </w:r>
      <w:r>
        <w:t xml:space="preserve"> </w:t>
      </w:r>
      <w:r w:rsidR="00342F8A">
        <w:t xml:space="preserve">DHS/FEMA. </w:t>
      </w:r>
      <w:r w:rsidR="00342F8A" w:rsidRPr="00342F8A">
        <w:t>Community Emergency Response Team</w:t>
      </w:r>
      <w:r w:rsidR="00342F8A">
        <w:t xml:space="preserve">. </w:t>
      </w:r>
      <w:r w:rsidR="00F43E3B">
        <w:t xml:space="preserve">Webpage last updated July 28, 2020. </w:t>
      </w:r>
      <w:r w:rsidR="00342F8A">
        <w:t xml:space="preserve">Retrieved from </w:t>
      </w:r>
      <w:hyperlink r:id="rId19" w:history="1">
        <w:r w:rsidR="006B5EB5">
          <w:rPr>
            <w:rStyle w:val="Hyperlink"/>
          </w:rPr>
          <w:t>https://www.ready.gov/cert</w:t>
        </w:r>
      </w:hyperlink>
      <w:r w:rsidR="006B5EB5">
        <w:t>.</w:t>
      </w:r>
      <w:r w:rsidR="00F43E3B">
        <w:t xml:space="preserve"> Accessed August 4, 2020.</w:t>
      </w:r>
    </w:p>
  </w:footnote>
  <w:footnote w:id="20">
    <w:p w14:paraId="42BA77C0" w14:textId="3A2DF0AF" w:rsidR="003E6BF2" w:rsidRDefault="003E6BF2">
      <w:pPr>
        <w:pStyle w:val="FootnoteText"/>
      </w:pPr>
      <w:r>
        <w:rPr>
          <w:rStyle w:val="FootnoteReference"/>
        </w:rPr>
        <w:footnoteRef/>
      </w:r>
      <w:r>
        <w:t xml:space="preserve"> </w:t>
      </w:r>
      <w:r w:rsidRPr="003E6BF2">
        <w:t xml:space="preserve">American Red Cross. </w:t>
      </w:r>
      <w:r w:rsidR="0068784F">
        <w:t xml:space="preserve">Retrieved from </w:t>
      </w:r>
      <w:hyperlink r:id="rId20" w:history="1">
        <w:r w:rsidR="00635E60" w:rsidRPr="000953E3">
          <w:rPr>
            <w:rStyle w:val="Hyperlink"/>
          </w:rPr>
          <w:t>http://www.redcross.org/</w:t>
        </w:r>
      </w:hyperlink>
      <w:r w:rsidR="0068784F">
        <w:t>.</w:t>
      </w:r>
      <w:r w:rsidR="00635E60">
        <w:t xml:space="preserve"> </w:t>
      </w:r>
      <w:r w:rsidR="00A92341">
        <w:t xml:space="preserve">Accessed August 4, 2020. </w:t>
      </w:r>
      <w:r w:rsidR="00635E60" w:rsidRPr="00635E60">
        <w:rPr>
          <w:i/>
          <w:iCs/>
        </w:rPr>
        <w:t>See also</w:t>
      </w:r>
      <w:r w:rsidR="00635E60">
        <w:t xml:space="preserve"> </w:t>
      </w:r>
      <w:r w:rsidR="009F4A35">
        <w:t xml:space="preserve">Voluntary Organizations Active in Disaster (VOAD) for a listing of national, tribal, state, and territorial members at </w:t>
      </w:r>
      <w:hyperlink r:id="rId21" w:history="1">
        <w:r w:rsidR="009F4A35" w:rsidRPr="009D458C">
          <w:rPr>
            <w:rStyle w:val="Hyperlink"/>
          </w:rPr>
          <w:t>https://www.nvoad.org/our-members/</w:t>
        </w:r>
      </w:hyperlink>
      <w:r w:rsidR="009F4A35">
        <w:t>. Accessed August 4, 2020.</w:t>
      </w:r>
    </w:p>
  </w:footnote>
  <w:footnote w:id="21">
    <w:p w14:paraId="6DDDC381" w14:textId="7E70F491" w:rsidR="002C3C63" w:rsidRDefault="002C3C63">
      <w:pPr>
        <w:pStyle w:val="FootnoteText"/>
      </w:pPr>
      <w:r>
        <w:rPr>
          <w:rStyle w:val="FootnoteReference"/>
        </w:rPr>
        <w:footnoteRef/>
      </w:r>
      <w:r>
        <w:t xml:space="preserve"> </w:t>
      </w:r>
      <w:r w:rsidR="007A4323">
        <w:t xml:space="preserve">HHS. </w:t>
      </w:r>
      <w:r w:rsidR="007A4323" w:rsidRPr="009D3317">
        <w:t>Emergency System for Advance Registration of Volunteer Health Professionals</w:t>
      </w:r>
      <w:r w:rsidR="007A4323">
        <w:t xml:space="preserve">. </w:t>
      </w:r>
      <w:r w:rsidR="00431559">
        <w:t>More Volunteer Opportunities.</w:t>
      </w:r>
      <w:r w:rsidR="007A4323">
        <w:t xml:space="preserve"> </w:t>
      </w:r>
      <w:r w:rsidR="00DD5D44">
        <w:t xml:space="preserve">Webpage. </w:t>
      </w:r>
      <w:r w:rsidR="007A4323">
        <w:t xml:space="preserve">Retrieved from </w:t>
      </w:r>
      <w:hyperlink r:id="rId22" w:history="1">
        <w:r w:rsidR="007A4323">
          <w:rPr>
            <w:rStyle w:val="Hyperlink"/>
          </w:rPr>
          <w:t>https://www.phe.gov/esarvhp/Pages/more-volunteer-opportunities.aspx</w:t>
        </w:r>
      </w:hyperlink>
      <w:r w:rsidR="007A4323">
        <w:t>.</w:t>
      </w:r>
      <w:r w:rsidR="00DD5D44">
        <w:t xml:space="preserve"> Accessed August 4, 2020.</w:t>
      </w:r>
    </w:p>
  </w:footnote>
  <w:footnote w:id="22">
    <w:p w14:paraId="7546B9BB" w14:textId="77777777" w:rsidR="000C4B91" w:rsidRDefault="000C4B91" w:rsidP="000C4B91">
      <w:pPr>
        <w:pStyle w:val="FootnoteText"/>
      </w:pPr>
      <w:r>
        <w:rPr>
          <w:rStyle w:val="FootnoteReference"/>
        </w:rPr>
        <w:footnoteRef/>
      </w:r>
      <w:r>
        <w:t xml:space="preserve"> PAHPAIA</w:t>
      </w:r>
      <w:r w:rsidRPr="00043F2D">
        <w:t xml:space="preserve"> </w:t>
      </w:r>
      <w:r>
        <w:t>§</w:t>
      </w:r>
      <w:r w:rsidRPr="00043F2D">
        <w:t>20</w:t>
      </w:r>
      <w:r>
        <w:t>7</w:t>
      </w:r>
      <w:r w:rsidRPr="00043F2D">
        <w:t>.</w:t>
      </w:r>
    </w:p>
  </w:footnote>
  <w:footnote w:id="23">
    <w:p w14:paraId="35502987" w14:textId="77777777" w:rsidR="000C4B91" w:rsidRDefault="000C4B91" w:rsidP="000C4B91">
      <w:pPr>
        <w:pStyle w:val="FootnoteText"/>
      </w:pPr>
      <w:r>
        <w:rPr>
          <w:rStyle w:val="FootnoteReference"/>
        </w:rPr>
        <w:footnoteRef/>
      </w:r>
      <w:r>
        <w:t xml:space="preserve"> PAHPAIA §208.</w:t>
      </w:r>
    </w:p>
  </w:footnote>
  <w:footnote w:id="24">
    <w:p w14:paraId="5F55FDC7" w14:textId="0D9ED130" w:rsidR="000C4B91" w:rsidRDefault="000C4B91" w:rsidP="000C4B91">
      <w:pPr>
        <w:pStyle w:val="FootnoteText"/>
      </w:pPr>
      <w:r>
        <w:rPr>
          <w:rStyle w:val="FootnoteReference"/>
        </w:rPr>
        <w:footnoteRef/>
      </w:r>
      <w:r>
        <w:t xml:space="preserve"> Sen. Burr, Section-by-Section Summary of S. 1379, the Pandemic and All-Hazards Preparedness and Advancing Innovation Act of 2019. </w:t>
      </w:r>
      <w:r w:rsidR="006340BA">
        <w:t xml:space="preserve">Undated. </w:t>
      </w:r>
      <w:r>
        <w:t xml:space="preserve">Retrieved from </w:t>
      </w:r>
      <w:hyperlink r:id="rId23" w:history="1">
        <w:r w:rsidR="006340BA" w:rsidRPr="0042411F">
          <w:rPr>
            <w:rStyle w:val="Hyperlink"/>
          </w:rPr>
          <w:t>https://www.burr.senate.gov/imo/media/doc/PAHPAI%20Section%20by%20Section.pdf</w:t>
        </w:r>
      </w:hyperlink>
      <w:r w:rsidR="006340BA">
        <w:t>. Accessed August 4, 2020.</w:t>
      </w:r>
    </w:p>
  </w:footnote>
  <w:footnote w:id="25">
    <w:p w14:paraId="00F59E0D" w14:textId="77777777" w:rsidR="000C4B91" w:rsidRDefault="000C4B91" w:rsidP="000C4B91">
      <w:pPr>
        <w:pStyle w:val="FootnoteText"/>
      </w:pPr>
      <w:r>
        <w:rPr>
          <w:rStyle w:val="FootnoteReference"/>
        </w:rPr>
        <w:footnoteRef/>
      </w:r>
      <w:r>
        <w:t xml:space="preserve"> PAHPAIA</w:t>
      </w:r>
      <w:r w:rsidRPr="00450ACC">
        <w:t xml:space="preserve"> §208.</w:t>
      </w:r>
    </w:p>
  </w:footnote>
  <w:footnote w:id="26">
    <w:p w14:paraId="4816A8EA" w14:textId="1D940144" w:rsidR="005661EB" w:rsidRDefault="005661EB">
      <w:pPr>
        <w:pStyle w:val="FootnoteText"/>
      </w:pPr>
      <w:r>
        <w:rPr>
          <w:rStyle w:val="FootnoteReference"/>
        </w:rPr>
        <w:footnoteRef/>
      </w:r>
      <w:r>
        <w:t xml:space="preserve"> PAHPAIA</w:t>
      </w:r>
      <w:r w:rsidRPr="00450ACC">
        <w:t xml:space="preserve"> §208.</w:t>
      </w:r>
    </w:p>
  </w:footnote>
  <w:footnote w:id="27">
    <w:p w14:paraId="69BD1BA2" w14:textId="77777777" w:rsidR="000C4B91" w:rsidRDefault="000C4B91" w:rsidP="000C4B91">
      <w:pPr>
        <w:pStyle w:val="FootnoteText"/>
      </w:pPr>
      <w:r>
        <w:rPr>
          <w:rStyle w:val="FootnoteReference"/>
        </w:rPr>
        <w:footnoteRef/>
      </w:r>
      <w:r>
        <w:t xml:space="preserve"> PAHPAIA</w:t>
      </w:r>
      <w:r w:rsidRPr="006C5D8C">
        <w:t xml:space="preserve"> §208.</w:t>
      </w:r>
    </w:p>
  </w:footnote>
  <w:footnote w:id="28">
    <w:p w14:paraId="16D9F790" w14:textId="77777777" w:rsidR="000C4B91" w:rsidRDefault="000C4B91" w:rsidP="000C4B91">
      <w:pPr>
        <w:pStyle w:val="FootnoteText"/>
      </w:pPr>
      <w:r>
        <w:rPr>
          <w:rStyle w:val="FootnoteReference"/>
        </w:rPr>
        <w:footnoteRef/>
      </w:r>
      <w:r>
        <w:t xml:space="preserve"> PAHPAIA</w:t>
      </w:r>
      <w:r w:rsidRPr="00485254">
        <w:t xml:space="preserve"> §208.</w:t>
      </w:r>
    </w:p>
  </w:footnote>
  <w:footnote w:id="29">
    <w:p w14:paraId="25662259" w14:textId="11BCE3A5" w:rsidR="00713953" w:rsidRDefault="00713953">
      <w:pPr>
        <w:pStyle w:val="FootnoteText"/>
      </w:pPr>
      <w:r>
        <w:rPr>
          <w:rStyle w:val="FootnoteReference"/>
        </w:rPr>
        <w:footnoteRef/>
      </w:r>
      <w:r>
        <w:t xml:space="preserve"> </w:t>
      </w:r>
      <w:r w:rsidR="00CF53D4" w:rsidRPr="00CF53D4">
        <w:t>National Emergency Management Association. EMAC</w:t>
      </w:r>
      <w:r w:rsidR="00453067">
        <w:t xml:space="preserve"> Legislation</w:t>
      </w:r>
      <w:r w:rsidR="00CF53D4" w:rsidRPr="00CF53D4">
        <w:t>.</w:t>
      </w:r>
      <w:r w:rsidR="00453067">
        <w:t xml:space="preserve"> </w:t>
      </w:r>
      <w:r w:rsidR="00F52502">
        <w:t xml:space="preserve">Webpage. </w:t>
      </w:r>
      <w:r w:rsidR="00453067">
        <w:t xml:space="preserve">Retrieved from </w:t>
      </w:r>
      <w:hyperlink r:id="rId24" w:history="1">
        <w:r w:rsidR="004E5F00" w:rsidRPr="0042411F">
          <w:rPr>
            <w:rStyle w:val="Hyperlink"/>
          </w:rPr>
          <w:t>https://www.emacweb.org/index.php/learn-about-emac/emac-legislation</w:t>
        </w:r>
      </w:hyperlink>
      <w:r w:rsidR="00453067">
        <w:t>.</w:t>
      </w:r>
      <w:r w:rsidR="004E5F00">
        <w:t xml:space="preserve"> Accessed August 4, 2020.</w:t>
      </w:r>
      <w:r w:rsidR="00453067">
        <w:t xml:space="preserve"> </w:t>
      </w:r>
    </w:p>
  </w:footnote>
  <w:footnote w:id="30">
    <w:p w14:paraId="0F48530D" w14:textId="57467FF3" w:rsidR="000878ED" w:rsidRDefault="000878ED">
      <w:pPr>
        <w:pStyle w:val="FootnoteText"/>
      </w:pPr>
      <w:r>
        <w:rPr>
          <w:rStyle w:val="FootnoteReference"/>
        </w:rPr>
        <w:footnoteRef/>
      </w:r>
      <w:r>
        <w:t xml:space="preserve"> </w:t>
      </w:r>
      <w:r w:rsidR="00B04EC2" w:rsidRPr="00B04EC2">
        <w:t>K</w:t>
      </w:r>
      <w:r w:rsidR="00773F99">
        <w:t xml:space="preserve">. </w:t>
      </w:r>
      <w:r w:rsidR="00B04EC2" w:rsidRPr="00B04EC2">
        <w:t>Gaines</w:t>
      </w:r>
      <w:r w:rsidR="00B04EC2">
        <w:t xml:space="preserve">. </w:t>
      </w:r>
      <w:r w:rsidR="002B2BF6" w:rsidRPr="002B2BF6">
        <w:t xml:space="preserve">Updated Map: Enhanced Nursing Licensure Compact (eNLC) </w:t>
      </w:r>
      <w:r w:rsidR="00BB6E67">
        <w:t>May</w:t>
      </w:r>
      <w:r w:rsidR="002B2BF6" w:rsidRPr="002B2BF6">
        <w:t xml:space="preserve"> 2020</w:t>
      </w:r>
      <w:r w:rsidR="0070181E">
        <w:t xml:space="preserve">. </w:t>
      </w:r>
      <w:r w:rsidR="00BB6E67">
        <w:t xml:space="preserve">Webpage updated May 15, 2020. </w:t>
      </w:r>
      <w:r w:rsidR="00A40C53">
        <w:t xml:space="preserve">Retrieved from </w:t>
      </w:r>
      <w:hyperlink r:id="rId25" w:history="1">
        <w:r w:rsidR="00A40C53">
          <w:rPr>
            <w:rStyle w:val="Hyperlink"/>
          </w:rPr>
          <w:t>https://nurse.org/articles/enhanced-compact-multi-state-license-eNLC/</w:t>
        </w:r>
      </w:hyperlink>
      <w:r w:rsidR="00A40C53">
        <w:t>.</w:t>
      </w:r>
      <w:r w:rsidR="00BB6E67">
        <w:t xml:space="preserve"> Accessed August 4, 2020.</w:t>
      </w:r>
    </w:p>
  </w:footnote>
  <w:footnote w:id="31">
    <w:p w14:paraId="382563CB" w14:textId="51A7D9AD" w:rsidR="00900062" w:rsidRDefault="00900062">
      <w:pPr>
        <w:pStyle w:val="FootnoteText"/>
      </w:pPr>
      <w:r>
        <w:rPr>
          <w:rStyle w:val="FootnoteReference"/>
        </w:rPr>
        <w:footnoteRef/>
      </w:r>
      <w:r>
        <w:t xml:space="preserve"> </w:t>
      </w:r>
      <w:r w:rsidR="00773F99" w:rsidRPr="00B04EC2">
        <w:t>K</w:t>
      </w:r>
      <w:r w:rsidR="00773F99">
        <w:t xml:space="preserve">. </w:t>
      </w:r>
      <w:r w:rsidR="00773F99" w:rsidRPr="00B04EC2">
        <w:t>Gaines</w:t>
      </w:r>
      <w:r w:rsidR="00773F99">
        <w:t xml:space="preserve">. </w:t>
      </w:r>
      <w:r w:rsidR="00692B44" w:rsidRPr="002B2BF6">
        <w:t xml:space="preserve">Updated Map: Enhanced Nursing Licensure Compact (eNLC) </w:t>
      </w:r>
      <w:r w:rsidR="00692B44">
        <w:t>May</w:t>
      </w:r>
      <w:r w:rsidR="00692B44" w:rsidRPr="002B2BF6">
        <w:t xml:space="preserve"> 2020</w:t>
      </w:r>
      <w:r w:rsidR="00692B44">
        <w:t xml:space="preserve">. Webpage updated May 15, 2020. Retrieved from </w:t>
      </w:r>
      <w:hyperlink r:id="rId26" w:history="1">
        <w:r w:rsidR="00692B44">
          <w:rPr>
            <w:rStyle w:val="Hyperlink"/>
          </w:rPr>
          <w:t>https://nurse.org/articles/enhanced-compact-multi-state-license-eNLC/</w:t>
        </w:r>
      </w:hyperlink>
      <w:r w:rsidR="00692B44">
        <w:t xml:space="preserve">. Accessed August 4, 2020. </w:t>
      </w:r>
      <w:r w:rsidR="0070181E">
        <w:t>Gaines notes</w:t>
      </w:r>
      <w:r w:rsidR="000B49EB">
        <w:t>: “</w:t>
      </w:r>
      <w:r w:rsidR="00FB3A1D" w:rsidRPr="00FB3A1D">
        <w:t>For example, the NLC did not require applicants to undergo state and federal fingerprint-based criminal background checks, whereas the new eNLC does</w:t>
      </w:r>
      <w:r w:rsidR="000B49EB">
        <w:t>.”</w:t>
      </w:r>
    </w:p>
  </w:footnote>
  <w:footnote w:id="32">
    <w:p w14:paraId="1A96B790" w14:textId="33A407C7" w:rsidR="00D865D6" w:rsidRDefault="00D865D6">
      <w:pPr>
        <w:pStyle w:val="FootnoteText"/>
      </w:pPr>
      <w:r>
        <w:rPr>
          <w:rStyle w:val="FootnoteReference"/>
        </w:rPr>
        <w:footnoteRef/>
      </w:r>
      <w:r>
        <w:t xml:space="preserve"> </w:t>
      </w:r>
      <w:r w:rsidR="000B49EB" w:rsidRPr="00B04EC2">
        <w:t>K</w:t>
      </w:r>
      <w:r w:rsidR="00773F99">
        <w:t>.</w:t>
      </w:r>
      <w:r w:rsidR="000B49EB" w:rsidRPr="00B04EC2">
        <w:t xml:space="preserve"> Gaines</w:t>
      </w:r>
      <w:r w:rsidR="000B49EB">
        <w:t xml:space="preserve">. </w:t>
      </w:r>
      <w:r w:rsidR="00692B44" w:rsidRPr="002B2BF6">
        <w:t xml:space="preserve">Updated Map: Enhanced Nursing Licensure Compact (eNLC) </w:t>
      </w:r>
      <w:r w:rsidR="00692B44">
        <w:t>May</w:t>
      </w:r>
      <w:r w:rsidR="00692B44" w:rsidRPr="002B2BF6">
        <w:t xml:space="preserve"> 2020</w:t>
      </w:r>
      <w:r w:rsidR="00692B44">
        <w:t xml:space="preserve">. Webpage updated May 15, 2020. Retrieved from </w:t>
      </w:r>
      <w:hyperlink r:id="rId27" w:history="1">
        <w:r w:rsidR="00692B44">
          <w:rPr>
            <w:rStyle w:val="Hyperlink"/>
          </w:rPr>
          <w:t>https://nurse.org/articles/enhanced-compact-multi-state-license-eNLC/</w:t>
        </w:r>
      </w:hyperlink>
      <w:r w:rsidR="00692B44">
        <w:t xml:space="preserve">. Accessed August 4, 2020. </w:t>
      </w:r>
      <w:r w:rsidR="00A36D23" w:rsidRPr="00360B87">
        <w:rPr>
          <w:i/>
          <w:iCs/>
        </w:rPr>
        <w:t>See also</w:t>
      </w:r>
      <w:r w:rsidR="00365193">
        <w:t xml:space="preserve"> National Council of State Boards of Nursing. </w:t>
      </w:r>
      <w:r w:rsidR="00360B87" w:rsidRPr="00360B87">
        <w:t>Nurse Licensure Compact (NLC)</w:t>
      </w:r>
      <w:r w:rsidR="002724FD">
        <w:t>. Webpage.</w:t>
      </w:r>
      <w:r w:rsidR="00A36D23">
        <w:t xml:space="preserve"> Retrieved from </w:t>
      </w:r>
      <w:hyperlink r:id="rId28" w:history="1">
        <w:r w:rsidR="00A36D23">
          <w:rPr>
            <w:rStyle w:val="Hyperlink"/>
          </w:rPr>
          <w:t>https://www.ncsbn.org/nurse-licensure-compact.htm</w:t>
        </w:r>
      </w:hyperlink>
      <w:r w:rsidR="00A36D23">
        <w:t>.</w:t>
      </w:r>
      <w:r w:rsidR="002724FD">
        <w:t xml:space="preserve"> Accessed August 4, 2020.</w:t>
      </w:r>
    </w:p>
  </w:footnote>
  <w:footnote w:id="33">
    <w:p w14:paraId="1B31329D" w14:textId="00F9200F" w:rsidR="00CF5AA1" w:rsidRDefault="00CF5AA1">
      <w:pPr>
        <w:pStyle w:val="FootnoteText"/>
      </w:pPr>
      <w:r>
        <w:rPr>
          <w:rStyle w:val="FootnoteReference"/>
        </w:rPr>
        <w:footnoteRef/>
      </w:r>
      <w:r>
        <w:t xml:space="preserve"> </w:t>
      </w:r>
      <w:r w:rsidRPr="00CF5AA1">
        <w:t>National Center for Interstate Compacts</w:t>
      </w:r>
      <w:r w:rsidR="0023367C">
        <w:t>/Council of State Governments</w:t>
      </w:r>
      <w:r w:rsidRPr="00CF5AA1">
        <w:t xml:space="preserve">. </w:t>
      </w:r>
      <w:r w:rsidR="00A66793" w:rsidRPr="00A66793">
        <w:t>Civil Defense and Disaster Compact</w:t>
      </w:r>
      <w:r w:rsidR="006C2843">
        <w:t>.</w:t>
      </w:r>
      <w:r w:rsidRPr="00CF5AA1">
        <w:t xml:space="preserve"> </w:t>
      </w:r>
      <w:r w:rsidR="001A489D">
        <w:t xml:space="preserve">Webpage. </w:t>
      </w:r>
      <w:r w:rsidR="007E7CEC">
        <w:t xml:space="preserve">Retrieved from </w:t>
      </w:r>
      <w:hyperlink r:id="rId29" w:history="1">
        <w:r w:rsidR="00C24990" w:rsidRPr="000953E3">
          <w:rPr>
            <w:rStyle w:val="Hyperlink"/>
          </w:rPr>
          <w:t>http://apps.csg.org/ncic/Compact.aspx?id=34</w:t>
        </w:r>
      </w:hyperlink>
      <w:r w:rsidRPr="00CF5AA1">
        <w:t>.</w:t>
      </w:r>
      <w:r w:rsidR="001A489D">
        <w:t xml:space="preserve"> Accessed August 4, 2020.</w:t>
      </w:r>
    </w:p>
  </w:footnote>
  <w:footnote w:id="34">
    <w:p w14:paraId="2F9FA19C" w14:textId="52416E8E" w:rsidR="004B6D95" w:rsidRDefault="004B6D95">
      <w:pPr>
        <w:pStyle w:val="FootnoteText"/>
      </w:pPr>
      <w:r>
        <w:rPr>
          <w:rStyle w:val="FootnoteReference"/>
        </w:rPr>
        <w:footnoteRef/>
      </w:r>
      <w:r>
        <w:t xml:space="preserve"> </w:t>
      </w:r>
      <w:r w:rsidR="00526E45" w:rsidRPr="00526E45">
        <w:t>Pacific Northwest Emergency Management Arrangement (PNEMA)</w:t>
      </w:r>
      <w:r w:rsidR="00742A42">
        <w:t xml:space="preserve">. </w:t>
      </w:r>
      <w:r w:rsidR="00036ADF" w:rsidRPr="00036ADF">
        <w:t xml:space="preserve"> </w:t>
      </w:r>
      <w:r w:rsidR="00A03F2F">
        <w:t xml:space="preserve">November 12, 1998. </w:t>
      </w:r>
      <w:r w:rsidR="00526E45">
        <w:t xml:space="preserve">Retrieved from </w:t>
      </w:r>
      <w:hyperlink r:id="rId30" w:history="1">
        <w:r w:rsidR="0014557E" w:rsidRPr="000953E3">
          <w:rPr>
            <w:rStyle w:val="Hyperlink"/>
          </w:rPr>
          <w:t>http://www.gpo.gov/fdsys/pkg/PLAW-105publ381/pdf/PLAW-105publ381.pdf</w:t>
        </w:r>
      </w:hyperlink>
      <w:r w:rsidR="00036ADF" w:rsidRPr="00036ADF">
        <w:t>.</w:t>
      </w:r>
      <w:r w:rsidR="00A03F2F">
        <w:t xml:space="preserve"> Accessed August 4, 2020.</w:t>
      </w:r>
    </w:p>
  </w:footnote>
  <w:footnote w:id="35">
    <w:p w14:paraId="617C6882" w14:textId="1D2CA5FA" w:rsidR="00036ADF" w:rsidRDefault="00036ADF">
      <w:pPr>
        <w:pStyle w:val="FootnoteText"/>
      </w:pPr>
      <w:r>
        <w:rPr>
          <w:rStyle w:val="FootnoteReference"/>
        </w:rPr>
        <w:footnoteRef/>
      </w:r>
      <w:r>
        <w:t xml:space="preserve"> </w:t>
      </w:r>
      <w:r w:rsidR="00526E45" w:rsidRPr="00526E45">
        <w:t xml:space="preserve">Pacific Northwest Emergency Management Arrangement </w:t>
      </w:r>
      <w:r w:rsidR="009236BC">
        <w:t xml:space="preserve">with Annexes </w:t>
      </w:r>
      <w:r w:rsidRPr="00036ADF">
        <w:t>A and B</w:t>
      </w:r>
      <w:r w:rsidR="00B574B9">
        <w:t xml:space="preserve">. </w:t>
      </w:r>
      <w:r w:rsidR="007C0BB4">
        <w:t xml:space="preserve">October 31, 1995. </w:t>
      </w:r>
      <w:r w:rsidR="00B574B9">
        <w:t xml:space="preserve">Retrieved from </w:t>
      </w:r>
      <w:hyperlink r:id="rId31" w:history="1">
        <w:r w:rsidR="000F0172">
          <w:rPr>
            <w:rStyle w:val="Hyperlink"/>
          </w:rPr>
          <w:t>http://www.nemacweb.org/wp-content/uploads/2015/08/PNEMA_Agreement.pdf</w:t>
        </w:r>
      </w:hyperlink>
      <w:r w:rsidR="009236BC">
        <w:t>.</w:t>
      </w:r>
      <w:r w:rsidR="007C0BB4">
        <w:t xml:space="preserve"> Accessed August 4,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100C83" w14:textId="79B9271C" w:rsidR="00E45CC2" w:rsidRPr="00312154" w:rsidRDefault="008D5419" w:rsidP="00312154">
    <w:pPr>
      <w:pStyle w:val="Header"/>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7328DA" w14:textId="54F6EB78" w:rsidR="00F93EA9" w:rsidRPr="00D53943" w:rsidRDefault="008D5419" w:rsidP="00D53943">
    <w:pPr>
      <w:pStyle w:val="Header"/>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087DBF"/>
    <w:multiLevelType w:val="hybridMultilevel"/>
    <w:tmpl w:val="C0C832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9C2236A"/>
    <w:multiLevelType w:val="hybridMultilevel"/>
    <w:tmpl w:val="A8847F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98F6FD7"/>
    <w:multiLevelType w:val="hybridMultilevel"/>
    <w:tmpl w:val="C7AEE0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DCE4F52"/>
    <w:multiLevelType w:val="hybridMultilevel"/>
    <w:tmpl w:val="A8986A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A8A4EF6"/>
    <w:multiLevelType w:val="hybridMultilevel"/>
    <w:tmpl w:val="4456EC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EF724CF"/>
    <w:multiLevelType w:val="hybridMultilevel"/>
    <w:tmpl w:val="C3287B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AA462AE"/>
    <w:multiLevelType w:val="multilevel"/>
    <w:tmpl w:val="6C14965E"/>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653113B"/>
    <w:multiLevelType w:val="multilevel"/>
    <w:tmpl w:val="C2D4D0E6"/>
    <w:lvl w:ilvl="0">
      <w:start w:val="1"/>
      <w:numFmt w:val="decimal"/>
      <w:lvlText w:val="%1."/>
      <w:lvlJc w:val="left"/>
      <w:pPr>
        <w:tabs>
          <w:tab w:val="num" w:pos="720"/>
        </w:tabs>
        <w:ind w:left="720" w:hanging="360"/>
      </w:pPr>
      <w:rPr>
        <w:color w:val="000000" w:themeColor="text1"/>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6"/>
  </w:num>
  <w:num w:numId="2">
    <w:abstractNumId w:val="2"/>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4"/>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isplayBackgroundShape/>
  <w:proofState w:spelling="clean" w:grammar="clean"/>
  <w:defaultTabStop w:val="720"/>
  <w:characterSpacingControl w:val="doNotCompress"/>
  <w:hdrShapeDefaults>
    <o:shapedefaults v:ext="edit" spidmax="4097">
      <o:colormenu v:ext="edit" fill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CC2"/>
    <w:rsid w:val="00013DA1"/>
    <w:rsid w:val="00014867"/>
    <w:rsid w:val="00025AE6"/>
    <w:rsid w:val="000309D0"/>
    <w:rsid w:val="00030E6C"/>
    <w:rsid w:val="00036ADF"/>
    <w:rsid w:val="00040350"/>
    <w:rsid w:val="00051881"/>
    <w:rsid w:val="00057312"/>
    <w:rsid w:val="00062FA6"/>
    <w:rsid w:val="00071564"/>
    <w:rsid w:val="0007410D"/>
    <w:rsid w:val="00086196"/>
    <w:rsid w:val="00086230"/>
    <w:rsid w:val="000878ED"/>
    <w:rsid w:val="00087B73"/>
    <w:rsid w:val="000910AE"/>
    <w:rsid w:val="000A4C90"/>
    <w:rsid w:val="000B4719"/>
    <w:rsid w:val="000B49EB"/>
    <w:rsid w:val="000B4BC2"/>
    <w:rsid w:val="000C4B91"/>
    <w:rsid w:val="000C4D73"/>
    <w:rsid w:val="000C6FD2"/>
    <w:rsid w:val="000D4D27"/>
    <w:rsid w:val="000F0172"/>
    <w:rsid w:val="001111DE"/>
    <w:rsid w:val="00111402"/>
    <w:rsid w:val="001135EB"/>
    <w:rsid w:val="00115819"/>
    <w:rsid w:val="00124B83"/>
    <w:rsid w:val="00130761"/>
    <w:rsid w:val="00131F89"/>
    <w:rsid w:val="0014557E"/>
    <w:rsid w:val="00151278"/>
    <w:rsid w:val="00153804"/>
    <w:rsid w:val="00170033"/>
    <w:rsid w:val="0017087D"/>
    <w:rsid w:val="00177C3B"/>
    <w:rsid w:val="00181399"/>
    <w:rsid w:val="00181733"/>
    <w:rsid w:val="001877B2"/>
    <w:rsid w:val="0019746E"/>
    <w:rsid w:val="001A382F"/>
    <w:rsid w:val="001A489D"/>
    <w:rsid w:val="001A7CEE"/>
    <w:rsid w:val="001B784B"/>
    <w:rsid w:val="001D30C8"/>
    <w:rsid w:val="001D478B"/>
    <w:rsid w:val="001E0FFF"/>
    <w:rsid w:val="002036EF"/>
    <w:rsid w:val="00207805"/>
    <w:rsid w:val="00221F15"/>
    <w:rsid w:val="00222EBD"/>
    <w:rsid w:val="0022377E"/>
    <w:rsid w:val="00223E39"/>
    <w:rsid w:val="0023367C"/>
    <w:rsid w:val="0023467E"/>
    <w:rsid w:val="002356EF"/>
    <w:rsid w:val="002362AF"/>
    <w:rsid w:val="00242256"/>
    <w:rsid w:val="00243795"/>
    <w:rsid w:val="00245F71"/>
    <w:rsid w:val="002724FD"/>
    <w:rsid w:val="00272525"/>
    <w:rsid w:val="002900FA"/>
    <w:rsid w:val="00294B0D"/>
    <w:rsid w:val="00294C31"/>
    <w:rsid w:val="00295FB2"/>
    <w:rsid w:val="002A00B3"/>
    <w:rsid w:val="002A0D91"/>
    <w:rsid w:val="002A1AF2"/>
    <w:rsid w:val="002A3608"/>
    <w:rsid w:val="002B1419"/>
    <w:rsid w:val="002B2BF6"/>
    <w:rsid w:val="002C1BC2"/>
    <w:rsid w:val="002C3C63"/>
    <w:rsid w:val="002C688E"/>
    <w:rsid w:val="002D199D"/>
    <w:rsid w:val="002D56B9"/>
    <w:rsid w:val="002F1942"/>
    <w:rsid w:val="002F41F4"/>
    <w:rsid w:val="003012E5"/>
    <w:rsid w:val="0030300B"/>
    <w:rsid w:val="00312154"/>
    <w:rsid w:val="003178F4"/>
    <w:rsid w:val="00326577"/>
    <w:rsid w:val="00342F8A"/>
    <w:rsid w:val="00344F71"/>
    <w:rsid w:val="0035583B"/>
    <w:rsid w:val="00360B87"/>
    <w:rsid w:val="0036153B"/>
    <w:rsid w:val="00365043"/>
    <w:rsid w:val="00365193"/>
    <w:rsid w:val="00367769"/>
    <w:rsid w:val="00381142"/>
    <w:rsid w:val="00381AA3"/>
    <w:rsid w:val="003906B9"/>
    <w:rsid w:val="00390D75"/>
    <w:rsid w:val="00391457"/>
    <w:rsid w:val="0039167E"/>
    <w:rsid w:val="003A3A10"/>
    <w:rsid w:val="003A4DD6"/>
    <w:rsid w:val="003A7FA7"/>
    <w:rsid w:val="003B3E47"/>
    <w:rsid w:val="003B4A16"/>
    <w:rsid w:val="003C1308"/>
    <w:rsid w:val="003C3932"/>
    <w:rsid w:val="003D7EC2"/>
    <w:rsid w:val="003E0D08"/>
    <w:rsid w:val="003E51F8"/>
    <w:rsid w:val="003E6A39"/>
    <w:rsid w:val="003E6BF2"/>
    <w:rsid w:val="003E760B"/>
    <w:rsid w:val="003F139F"/>
    <w:rsid w:val="003F2803"/>
    <w:rsid w:val="003F3533"/>
    <w:rsid w:val="003F6552"/>
    <w:rsid w:val="003F6E89"/>
    <w:rsid w:val="004219EC"/>
    <w:rsid w:val="00431559"/>
    <w:rsid w:val="00437C13"/>
    <w:rsid w:val="0044168F"/>
    <w:rsid w:val="00444748"/>
    <w:rsid w:val="00446F41"/>
    <w:rsid w:val="00447D5C"/>
    <w:rsid w:val="00453067"/>
    <w:rsid w:val="004530E1"/>
    <w:rsid w:val="00461294"/>
    <w:rsid w:val="004663CA"/>
    <w:rsid w:val="00476446"/>
    <w:rsid w:val="004826C7"/>
    <w:rsid w:val="00487A0B"/>
    <w:rsid w:val="004919C6"/>
    <w:rsid w:val="00491F4E"/>
    <w:rsid w:val="00495BD2"/>
    <w:rsid w:val="00495E29"/>
    <w:rsid w:val="004A0188"/>
    <w:rsid w:val="004A05BE"/>
    <w:rsid w:val="004A088F"/>
    <w:rsid w:val="004A766C"/>
    <w:rsid w:val="004B029D"/>
    <w:rsid w:val="004B6D95"/>
    <w:rsid w:val="004C02F1"/>
    <w:rsid w:val="004C302E"/>
    <w:rsid w:val="004C4CE9"/>
    <w:rsid w:val="004D14FF"/>
    <w:rsid w:val="004E283B"/>
    <w:rsid w:val="004E45CC"/>
    <w:rsid w:val="004E51AA"/>
    <w:rsid w:val="004E5DBC"/>
    <w:rsid w:val="004E5F00"/>
    <w:rsid w:val="004E7DB2"/>
    <w:rsid w:val="004F0819"/>
    <w:rsid w:val="00503A09"/>
    <w:rsid w:val="00504DC4"/>
    <w:rsid w:val="00506BE1"/>
    <w:rsid w:val="005106EE"/>
    <w:rsid w:val="0051514C"/>
    <w:rsid w:val="0051724D"/>
    <w:rsid w:val="00517EAD"/>
    <w:rsid w:val="00517EAF"/>
    <w:rsid w:val="00520B19"/>
    <w:rsid w:val="0052112C"/>
    <w:rsid w:val="00524549"/>
    <w:rsid w:val="00526E45"/>
    <w:rsid w:val="00535263"/>
    <w:rsid w:val="0053535B"/>
    <w:rsid w:val="0054483D"/>
    <w:rsid w:val="005576CB"/>
    <w:rsid w:val="005576FC"/>
    <w:rsid w:val="00561BED"/>
    <w:rsid w:val="00561E1C"/>
    <w:rsid w:val="005661EB"/>
    <w:rsid w:val="005708ED"/>
    <w:rsid w:val="005740BA"/>
    <w:rsid w:val="00577234"/>
    <w:rsid w:val="005947F1"/>
    <w:rsid w:val="005B1EF8"/>
    <w:rsid w:val="005D13A3"/>
    <w:rsid w:val="005D4399"/>
    <w:rsid w:val="005D5420"/>
    <w:rsid w:val="005D5D9C"/>
    <w:rsid w:val="005E281A"/>
    <w:rsid w:val="005E2D6D"/>
    <w:rsid w:val="005F4051"/>
    <w:rsid w:val="005F54B5"/>
    <w:rsid w:val="005F55A5"/>
    <w:rsid w:val="005F7BD0"/>
    <w:rsid w:val="00600CBD"/>
    <w:rsid w:val="00604BCD"/>
    <w:rsid w:val="00615E86"/>
    <w:rsid w:val="00620996"/>
    <w:rsid w:val="00622E20"/>
    <w:rsid w:val="0062628D"/>
    <w:rsid w:val="006340BA"/>
    <w:rsid w:val="00635E60"/>
    <w:rsid w:val="006429CF"/>
    <w:rsid w:val="0064399B"/>
    <w:rsid w:val="00646F27"/>
    <w:rsid w:val="00650C77"/>
    <w:rsid w:val="00655504"/>
    <w:rsid w:val="00657A25"/>
    <w:rsid w:val="00660B66"/>
    <w:rsid w:val="0066151E"/>
    <w:rsid w:val="00663107"/>
    <w:rsid w:val="00665AA0"/>
    <w:rsid w:val="00674CB5"/>
    <w:rsid w:val="00675E06"/>
    <w:rsid w:val="0068784F"/>
    <w:rsid w:val="0069143E"/>
    <w:rsid w:val="00692B44"/>
    <w:rsid w:val="00693B0D"/>
    <w:rsid w:val="006A3185"/>
    <w:rsid w:val="006A5414"/>
    <w:rsid w:val="006B2B36"/>
    <w:rsid w:val="006B55E6"/>
    <w:rsid w:val="006B5EB5"/>
    <w:rsid w:val="006C2843"/>
    <w:rsid w:val="006C2C3A"/>
    <w:rsid w:val="006D6DCB"/>
    <w:rsid w:val="006D7FA0"/>
    <w:rsid w:val="006E11A7"/>
    <w:rsid w:val="006E36EA"/>
    <w:rsid w:val="006F650C"/>
    <w:rsid w:val="00700741"/>
    <w:rsid w:val="0070181E"/>
    <w:rsid w:val="0071200B"/>
    <w:rsid w:val="00713953"/>
    <w:rsid w:val="00715FFD"/>
    <w:rsid w:val="0072047B"/>
    <w:rsid w:val="00734F38"/>
    <w:rsid w:val="00742392"/>
    <w:rsid w:val="00742A42"/>
    <w:rsid w:val="007449E7"/>
    <w:rsid w:val="00750784"/>
    <w:rsid w:val="007507D8"/>
    <w:rsid w:val="00751B46"/>
    <w:rsid w:val="00752279"/>
    <w:rsid w:val="00754C34"/>
    <w:rsid w:val="007638F4"/>
    <w:rsid w:val="007718F8"/>
    <w:rsid w:val="00773F99"/>
    <w:rsid w:val="0078677C"/>
    <w:rsid w:val="0079170D"/>
    <w:rsid w:val="007937EC"/>
    <w:rsid w:val="007974EC"/>
    <w:rsid w:val="007A1091"/>
    <w:rsid w:val="007A1398"/>
    <w:rsid w:val="007A1D7F"/>
    <w:rsid w:val="007A3194"/>
    <w:rsid w:val="007A3FDA"/>
    <w:rsid w:val="007A4323"/>
    <w:rsid w:val="007A7B76"/>
    <w:rsid w:val="007B1A89"/>
    <w:rsid w:val="007B462C"/>
    <w:rsid w:val="007C0BB4"/>
    <w:rsid w:val="007C39FA"/>
    <w:rsid w:val="007C479D"/>
    <w:rsid w:val="007C52E8"/>
    <w:rsid w:val="007C7498"/>
    <w:rsid w:val="007D5015"/>
    <w:rsid w:val="007E2B6B"/>
    <w:rsid w:val="007E3274"/>
    <w:rsid w:val="007E7CEC"/>
    <w:rsid w:val="007F698C"/>
    <w:rsid w:val="00801769"/>
    <w:rsid w:val="00812AF6"/>
    <w:rsid w:val="00823E35"/>
    <w:rsid w:val="0083396A"/>
    <w:rsid w:val="00837AE5"/>
    <w:rsid w:val="00843948"/>
    <w:rsid w:val="008449BF"/>
    <w:rsid w:val="0085758F"/>
    <w:rsid w:val="008703ED"/>
    <w:rsid w:val="008820FF"/>
    <w:rsid w:val="008828A2"/>
    <w:rsid w:val="008846E9"/>
    <w:rsid w:val="00891BF6"/>
    <w:rsid w:val="008B3817"/>
    <w:rsid w:val="008C5587"/>
    <w:rsid w:val="008C7F9F"/>
    <w:rsid w:val="008D3B58"/>
    <w:rsid w:val="008D5419"/>
    <w:rsid w:val="008D685B"/>
    <w:rsid w:val="008D7197"/>
    <w:rsid w:val="008F5B58"/>
    <w:rsid w:val="00900062"/>
    <w:rsid w:val="009060E0"/>
    <w:rsid w:val="009137A2"/>
    <w:rsid w:val="00914D74"/>
    <w:rsid w:val="00922A30"/>
    <w:rsid w:val="009236BC"/>
    <w:rsid w:val="0092630B"/>
    <w:rsid w:val="009362D9"/>
    <w:rsid w:val="00944A26"/>
    <w:rsid w:val="009468FA"/>
    <w:rsid w:val="0097433E"/>
    <w:rsid w:val="00982E80"/>
    <w:rsid w:val="0099020E"/>
    <w:rsid w:val="00991554"/>
    <w:rsid w:val="009955DC"/>
    <w:rsid w:val="00997CB2"/>
    <w:rsid w:val="009A0268"/>
    <w:rsid w:val="009A4623"/>
    <w:rsid w:val="009B2D0C"/>
    <w:rsid w:val="009B4362"/>
    <w:rsid w:val="009C0523"/>
    <w:rsid w:val="009C32BC"/>
    <w:rsid w:val="009C6D85"/>
    <w:rsid w:val="009D15E0"/>
    <w:rsid w:val="009D3317"/>
    <w:rsid w:val="009D458C"/>
    <w:rsid w:val="009F3C40"/>
    <w:rsid w:val="009F4A35"/>
    <w:rsid w:val="00A03F2F"/>
    <w:rsid w:val="00A12AAB"/>
    <w:rsid w:val="00A1303E"/>
    <w:rsid w:val="00A33CC2"/>
    <w:rsid w:val="00A340A5"/>
    <w:rsid w:val="00A34473"/>
    <w:rsid w:val="00A36D23"/>
    <w:rsid w:val="00A40BE2"/>
    <w:rsid w:val="00A40C53"/>
    <w:rsid w:val="00A51818"/>
    <w:rsid w:val="00A66793"/>
    <w:rsid w:val="00A66E8D"/>
    <w:rsid w:val="00A66FDB"/>
    <w:rsid w:val="00A713C4"/>
    <w:rsid w:val="00A72A86"/>
    <w:rsid w:val="00A73B41"/>
    <w:rsid w:val="00A80DDE"/>
    <w:rsid w:val="00A82CFD"/>
    <w:rsid w:val="00A86950"/>
    <w:rsid w:val="00A875A5"/>
    <w:rsid w:val="00A92341"/>
    <w:rsid w:val="00A93004"/>
    <w:rsid w:val="00AA47DE"/>
    <w:rsid w:val="00AA6683"/>
    <w:rsid w:val="00AA708A"/>
    <w:rsid w:val="00AB40F1"/>
    <w:rsid w:val="00AB5FAF"/>
    <w:rsid w:val="00AB7180"/>
    <w:rsid w:val="00AB7C7F"/>
    <w:rsid w:val="00AC296F"/>
    <w:rsid w:val="00AC5015"/>
    <w:rsid w:val="00AD2809"/>
    <w:rsid w:val="00AD2FB5"/>
    <w:rsid w:val="00AD7D43"/>
    <w:rsid w:val="00AF136D"/>
    <w:rsid w:val="00AF5692"/>
    <w:rsid w:val="00B01F43"/>
    <w:rsid w:val="00B04EC2"/>
    <w:rsid w:val="00B2145D"/>
    <w:rsid w:val="00B26885"/>
    <w:rsid w:val="00B26F6A"/>
    <w:rsid w:val="00B31FA0"/>
    <w:rsid w:val="00B354C2"/>
    <w:rsid w:val="00B37AB8"/>
    <w:rsid w:val="00B4183B"/>
    <w:rsid w:val="00B43CA9"/>
    <w:rsid w:val="00B501C0"/>
    <w:rsid w:val="00B55BCC"/>
    <w:rsid w:val="00B574B9"/>
    <w:rsid w:val="00B57EE8"/>
    <w:rsid w:val="00B640F7"/>
    <w:rsid w:val="00B64F0C"/>
    <w:rsid w:val="00B75B7F"/>
    <w:rsid w:val="00B768A2"/>
    <w:rsid w:val="00B81199"/>
    <w:rsid w:val="00B9583F"/>
    <w:rsid w:val="00BA5FEF"/>
    <w:rsid w:val="00BB138A"/>
    <w:rsid w:val="00BB5D20"/>
    <w:rsid w:val="00BB5D30"/>
    <w:rsid w:val="00BB6E67"/>
    <w:rsid w:val="00BC78E6"/>
    <w:rsid w:val="00BD48B3"/>
    <w:rsid w:val="00BE3BCB"/>
    <w:rsid w:val="00BE66F6"/>
    <w:rsid w:val="00BF5548"/>
    <w:rsid w:val="00C002FA"/>
    <w:rsid w:val="00C007B4"/>
    <w:rsid w:val="00C129D4"/>
    <w:rsid w:val="00C146B0"/>
    <w:rsid w:val="00C17ADE"/>
    <w:rsid w:val="00C236C9"/>
    <w:rsid w:val="00C24990"/>
    <w:rsid w:val="00C2508E"/>
    <w:rsid w:val="00C31922"/>
    <w:rsid w:val="00C3358D"/>
    <w:rsid w:val="00C3468C"/>
    <w:rsid w:val="00C46D59"/>
    <w:rsid w:val="00C5459F"/>
    <w:rsid w:val="00C5598D"/>
    <w:rsid w:val="00C55BB8"/>
    <w:rsid w:val="00C60267"/>
    <w:rsid w:val="00C609D4"/>
    <w:rsid w:val="00C672BC"/>
    <w:rsid w:val="00C77169"/>
    <w:rsid w:val="00C80F85"/>
    <w:rsid w:val="00C82E4F"/>
    <w:rsid w:val="00C8560D"/>
    <w:rsid w:val="00C85829"/>
    <w:rsid w:val="00C8600C"/>
    <w:rsid w:val="00C90F7E"/>
    <w:rsid w:val="00C91F4F"/>
    <w:rsid w:val="00CA304B"/>
    <w:rsid w:val="00CB19BF"/>
    <w:rsid w:val="00CC32E5"/>
    <w:rsid w:val="00CC373F"/>
    <w:rsid w:val="00CC3A00"/>
    <w:rsid w:val="00CD385C"/>
    <w:rsid w:val="00CD5473"/>
    <w:rsid w:val="00CE0046"/>
    <w:rsid w:val="00CE0A7E"/>
    <w:rsid w:val="00CE56FA"/>
    <w:rsid w:val="00CF11E2"/>
    <w:rsid w:val="00CF15C8"/>
    <w:rsid w:val="00CF53D4"/>
    <w:rsid w:val="00CF5AA1"/>
    <w:rsid w:val="00D05900"/>
    <w:rsid w:val="00D10E6D"/>
    <w:rsid w:val="00D301D9"/>
    <w:rsid w:val="00D303F3"/>
    <w:rsid w:val="00D31300"/>
    <w:rsid w:val="00D3199C"/>
    <w:rsid w:val="00D35500"/>
    <w:rsid w:val="00D45348"/>
    <w:rsid w:val="00D51FAA"/>
    <w:rsid w:val="00D53943"/>
    <w:rsid w:val="00D5585B"/>
    <w:rsid w:val="00D575C8"/>
    <w:rsid w:val="00D57C15"/>
    <w:rsid w:val="00D60CE5"/>
    <w:rsid w:val="00D612E6"/>
    <w:rsid w:val="00D6371D"/>
    <w:rsid w:val="00D72D26"/>
    <w:rsid w:val="00D85342"/>
    <w:rsid w:val="00D865D6"/>
    <w:rsid w:val="00DB408A"/>
    <w:rsid w:val="00DC11BA"/>
    <w:rsid w:val="00DD3C03"/>
    <w:rsid w:val="00DD5D44"/>
    <w:rsid w:val="00DD6AD5"/>
    <w:rsid w:val="00DD705E"/>
    <w:rsid w:val="00DE14A7"/>
    <w:rsid w:val="00DE2642"/>
    <w:rsid w:val="00DF0B99"/>
    <w:rsid w:val="00DF2B58"/>
    <w:rsid w:val="00DF3026"/>
    <w:rsid w:val="00DF43D1"/>
    <w:rsid w:val="00E11099"/>
    <w:rsid w:val="00E16EB2"/>
    <w:rsid w:val="00E20271"/>
    <w:rsid w:val="00E2203D"/>
    <w:rsid w:val="00E31C5C"/>
    <w:rsid w:val="00E45CC2"/>
    <w:rsid w:val="00E47AA0"/>
    <w:rsid w:val="00E6649B"/>
    <w:rsid w:val="00E67892"/>
    <w:rsid w:val="00E913D3"/>
    <w:rsid w:val="00E9746D"/>
    <w:rsid w:val="00EA3613"/>
    <w:rsid w:val="00EB3F8F"/>
    <w:rsid w:val="00EC47FB"/>
    <w:rsid w:val="00EE2219"/>
    <w:rsid w:val="00EF4246"/>
    <w:rsid w:val="00F010CE"/>
    <w:rsid w:val="00F05E1F"/>
    <w:rsid w:val="00F118EC"/>
    <w:rsid w:val="00F12962"/>
    <w:rsid w:val="00F36692"/>
    <w:rsid w:val="00F376AA"/>
    <w:rsid w:val="00F409F0"/>
    <w:rsid w:val="00F4256A"/>
    <w:rsid w:val="00F43E3B"/>
    <w:rsid w:val="00F45859"/>
    <w:rsid w:val="00F519AF"/>
    <w:rsid w:val="00F52502"/>
    <w:rsid w:val="00F55341"/>
    <w:rsid w:val="00F56F58"/>
    <w:rsid w:val="00F60EA6"/>
    <w:rsid w:val="00F63B86"/>
    <w:rsid w:val="00F724E3"/>
    <w:rsid w:val="00F75C3D"/>
    <w:rsid w:val="00F76132"/>
    <w:rsid w:val="00F83822"/>
    <w:rsid w:val="00F85C16"/>
    <w:rsid w:val="00F90289"/>
    <w:rsid w:val="00F93EA9"/>
    <w:rsid w:val="00F964ED"/>
    <w:rsid w:val="00FA05C8"/>
    <w:rsid w:val="00FA096C"/>
    <w:rsid w:val="00FA38F5"/>
    <w:rsid w:val="00FB0A76"/>
    <w:rsid w:val="00FB3A1D"/>
    <w:rsid w:val="00FB5A56"/>
    <w:rsid w:val="00FE0A41"/>
    <w:rsid w:val="00FE20D2"/>
    <w:rsid w:val="00FE3CC1"/>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colormenu v:ext="edit" fillcolor="none"/>
    </o:shapedefaults>
    <o:shapelayout v:ext="edit">
      <o:idmap v:ext="edit" data="1"/>
    </o:shapelayout>
  </w:shapeDefaults>
  <w:decimalSymbol w:val="."/>
  <w:listSeparator w:val=","/>
  <w14:docId w14:val="7BA1BE35"/>
  <w15:chartTrackingRefBased/>
  <w15:docId w15:val="{2B7340E4-9C55-43E5-9248-CD88A3E72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styleId="Header">
    <w:name w:val="header"/>
    <w:basedOn w:val="Normal"/>
    <w:link w:val="HeaderChar"/>
    <w:uiPriority w:val="99"/>
    <w:unhideWhenUsed/>
    <w:rsid w:val="00E45CC2"/>
    <w:pPr>
      <w:tabs>
        <w:tab w:val="center" w:pos="4680"/>
        <w:tab w:val="right" w:pos="9360"/>
      </w:tabs>
    </w:pPr>
  </w:style>
  <w:style w:type="character" w:customStyle="1" w:styleId="HeaderChar">
    <w:name w:val="Header Char"/>
    <w:basedOn w:val="DefaultParagraphFont"/>
    <w:link w:val="Header"/>
    <w:uiPriority w:val="99"/>
    <w:rsid w:val="00E45CC2"/>
  </w:style>
  <w:style w:type="paragraph" w:styleId="Footer">
    <w:name w:val="footer"/>
    <w:basedOn w:val="Normal"/>
    <w:link w:val="FooterChar"/>
    <w:uiPriority w:val="99"/>
    <w:unhideWhenUsed/>
    <w:rsid w:val="00E45CC2"/>
    <w:pPr>
      <w:tabs>
        <w:tab w:val="center" w:pos="4680"/>
        <w:tab w:val="right" w:pos="9360"/>
      </w:tabs>
    </w:pPr>
  </w:style>
  <w:style w:type="character" w:customStyle="1" w:styleId="FooterChar">
    <w:name w:val="Footer Char"/>
    <w:basedOn w:val="DefaultParagraphFont"/>
    <w:link w:val="Footer"/>
    <w:uiPriority w:val="99"/>
    <w:rsid w:val="00E45CC2"/>
  </w:style>
  <w:style w:type="paragraph" w:styleId="ListParagraph">
    <w:name w:val="List Paragraph"/>
    <w:basedOn w:val="Normal"/>
    <w:uiPriority w:val="34"/>
    <w:qFormat/>
    <w:rsid w:val="00535263"/>
    <w:pPr>
      <w:ind w:left="720"/>
      <w:contextualSpacing/>
    </w:pPr>
  </w:style>
  <w:style w:type="paragraph" w:styleId="FootnoteText">
    <w:name w:val="footnote text"/>
    <w:basedOn w:val="Normal"/>
    <w:link w:val="FootnoteTextChar"/>
    <w:uiPriority w:val="99"/>
    <w:semiHidden/>
    <w:unhideWhenUsed/>
    <w:rsid w:val="00742392"/>
    <w:rPr>
      <w:sz w:val="20"/>
      <w:szCs w:val="20"/>
    </w:rPr>
  </w:style>
  <w:style w:type="character" w:customStyle="1" w:styleId="FootnoteTextChar">
    <w:name w:val="Footnote Text Char"/>
    <w:basedOn w:val="DefaultParagraphFont"/>
    <w:link w:val="FootnoteText"/>
    <w:uiPriority w:val="99"/>
    <w:semiHidden/>
    <w:rsid w:val="00742392"/>
    <w:rPr>
      <w:sz w:val="20"/>
      <w:szCs w:val="20"/>
    </w:rPr>
  </w:style>
  <w:style w:type="character" w:styleId="FootnoteReference">
    <w:name w:val="footnote reference"/>
    <w:basedOn w:val="DefaultParagraphFont"/>
    <w:uiPriority w:val="99"/>
    <w:semiHidden/>
    <w:unhideWhenUsed/>
    <w:rsid w:val="00742392"/>
    <w:rPr>
      <w:vertAlign w:val="superscript"/>
    </w:rPr>
  </w:style>
  <w:style w:type="character" w:styleId="Hyperlink">
    <w:name w:val="Hyperlink"/>
    <w:basedOn w:val="DefaultParagraphFont"/>
    <w:uiPriority w:val="99"/>
    <w:unhideWhenUsed/>
    <w:rsid w:val="007C479D"/>
    <w:rPr>
      <w:color w:val="0000FF"/>
      <w:u w:val="single"/>
    </w:rPr>
  </w:style>
  <w:style w:type="paragraph" w:styleId="BalloonText">
    <w:name w:val="Balloon Text"/>
    <w:basedOn w:val="Normal"/>
    <w:link w:val="BalloonTextChar"/>
    <w:uiPriority w:val="99"/>
    <w:semiHidden/>
    <w:unhideWhenUsed/>
    <w:rsid w:val="006B55E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55E6"/>
    <w:rPr>
      <w:rFonts w:ascii="Segoe UI" w:hAnsi="Segoe UI" w:cs="Segoe UI"/>
      <w:sz w:val="18"/>
      <w:szCs w:val="18"/>
    </w:rPr>
  </w:style>
  <w:style w:type="character" w:styleId="UnresolvedMention">
    <w:name w:val="Unresolved Mention"/>
    <w:basedOn w:val="DefaultParagraphFont"/>
    <w:uiPriority w:val="99"/>
    <w:semiHidden/>
    <w:unhideWhenUsed/>
    <w:rsid w:val="00622E20"/>
    <w:rPr>
      <w:color w:val="605E5C"/>
      <w:shd w:val="clear" w:color="auto" w:fill="E1DFDD"/>
    </w:rPr>
  </w:style>
  <w:style w:type="character" w:styleId="FollowedHyperlink">
    <w:name w:val="FollowedHyperlink"/>
    <w:basedOn w:val="DefaultParagraphFont"/>
    <w:uiPriority w:val="99"/>
    <w:semiHidden/>
    <w:unhideWhenUsed/>
    <w:rsid w:val="00DD3C0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27097">
      <w:bodyDiv w:val="1"/>
      <w:marLeft w:val="0"/>
      <w:marRight w:val="0"/>
      <w:marTop w:val="0"/>
      <w:marBottom w:val="0"/>
      <w:divBdr>
        <w:top w:val="none" w:sz="0" w:space="0" w:color="auto"/>
        <w:left w:val="none" w:sz="0" w:space="0" w:color="auto"/>
        <w:bottom w:val="none" w:sz="0" w:space="0" w:color="auto"/>
        <w:right w:val="none" w:sz="0" w:space="0" w:color="auto"/>
      </w:divBdr>
    </w:div>
    <w:div w:id="330498310">
      <w:bodyDiv w:val="1"/>
      <w:marLeft w:val="0"/>
      <w:marRight w:val="0"/>
      <w:marTop w:val="0"/>
      <w:marBottom w:val="0"/>
      <w:divBdr>
        <w:top w:val="none" w:sz="0" w:space="0" w:color="auto"/>
        <w:left w:val="none" w:sz="0" w:space="0" w:color="auto"/>
        <w:bottom w:val="none" w:sz="0" w:space="0" w:color="auto"/>
        <w:right w:val="none" w:sz="0" w:space="0" w:color="auto"/>
      </w:divBdr>
    </w:div>
    <w:div w:id="857082968">
      <w:bodyDiv w:val="1"/>
      <w:marLeft w:val="0"/>
      <w:marRight w:val="0"/>
      <w:marTop w:val="0"/>
      <w:marBottom w:val="0"/>
      <w:divBdr>
        <w:top w:val="none" w:sz="0" w:space="0" w:color="auto"/>
        <w:left w:val="none" w:sz="0" w:space="0" w:color="auto"/>
        <w:bottom w:val="none" w:sz="0" w:space="0" w:color="auto"/>
        <w:right w:val="none" w:sz="0" w:space="0" w:color="auto"/>
      </w:divBdr>
    </w:div>
    <w:div w:id="1076321466">
      <w:bodyDiv w:val="1"/>
      <w:marLeft w:val="0"/>
      <w:marRight w:val="0"/>
      <w:marTop w:val="0"/>
      <w:marBottom w:val="0"/>
      <w:divBdr>
        <w:top w:val="none" w:sz="0" w:space="0" w:color="auto"/>
        <w:left w:val="none" w:sz="0" w:space="0" w:color="auto"/>
        <w:bottom w:val="none" w:sz="0" w:space="0" w:color="auto"/>
        <w:right w:val="none" w:sz="0" w:space="0" w:color="auto"/>
      </w:divBdr>
    </w:div>
    <w:div w:id="1125928007">
      <w:bodyDiv w:val="1"/>
      <w:marLeft w:val="0"/>
      <w:marRight w:val="0"/>
      <w:marTop w:val="0"/>
      <w:marBottom w:val="0"/>
      <w:divBdr>
        <w:top w:val="none" w:sz="0" w:space="0" w:color="auto"/>
        <w:left w:val="none" w:sz="0" w:space="0" w:color="auto"/>
        <w:bottom w:val="none" w:sz="0" w:space="0" w:color="auto"/>
        <w:right w:val="none" w:sz="0" w:space="0" w:color="auto"/>
      </w:divBdr>
    </w:div>
    <w:div w:id="1411344144">
      <w:bodyDiv w:val="1"/>
      <w:marLeft w:val="0"/>
      <w:marRight w:val="0"/>
      <w:marTop w:val="0"/>
      <w:marBottom w:val="0"/>
      <w:divBdr>
        <w:top w:val="none" w:sz="0" w:space="0" w:color="auto"/>
        <w:left w:val="none" w:sz="0" w:space="0" w:color="auto"/>
        <w:bottom w:val="none" w:sz="0" w:space="0" w:color="auto"/>
        <w:right w:val="none" w:sz="0" w:space="0" w:color="auto"/>
      </w:divBdr>
    </w:div>
    <w:div w:id="1617982869">
      <w:bodyDiv w:val="1"/>
      <w:marLeft w:val="0"/>
      <w:marRight w:val="0"/>
      <w:marTop w:val="0"/>
      <w:marBottom w:val="0"/>
      <w:divBdr>
        <w:top w:val="none" w:sz="0" w:space="0" w:color="auto"/>
        <w:left w:val="none" w:sz="0" w:space="0" w:color="auto"/>
        <w:bottom w:val="none" w:sz="0" w:space="0" w:color="auto"/>
        <w:right w:val="none" w:sz="0" w:space="0" w:color="auto"/>
      </w:divBdr>
    </w:div>
    <w:div w:id="1741782726">
      <w:bodyDiv w:val="1"/>
      <w:marLeft w:val="0"/>
      <w:marRight w:val="0"/>
      <w:marTop w:val="0"/>
      <w:marBottom w:val="0"/>
      <w:divBdr>
        <w:top w:val="none" w:sz="0" w:space="0" w:color="auto"/>
        <w:left w:val="none" w:sz="0" w:space="0" w:color="auto"/>
        <w:bottom w:val="none" w:sz="0" w:space="0" w:color="auto"/>
        <w:right w:val="none" w:sz="0" w:space="0" w:color="auto"/>
      </w:divBdr>
    </w:div>
    <w:div w:id="1880630154">
      <w:bodyDiv w:val="1"/>
      <w:marLeft w:val="0"/>
      <w:marRight w:val="0"/>
      <w:marTop w:val="0"/>
      <w:marBottom w:val="0"/>
      <w:divBdr>
        <w:top w:val="none" w:sz="0" w:space="0" w:color="auto"/>
        <w:left w:val="none" w:sz="0" w:space="0" w:color="auto"/>
        <w:bottom w:val="none" w:sz="0" w:space="0" w:color="auto"/>
        <w:right w:val="none" w:sz="0" w:space="0" w:color="auto"/>
      </w:divBdr>
    </w:div>
    <w:div w:id="1904021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nvoad.org/our-members/" TargetMode="External"/><Relationship Id="rId13" Type="http://schemas.openxmlformats.org/officeDocument/2006/relationships/hyperlink" Target="https://www.ready.gov/citizen-corps" TargetMode="External"/><Relationship Id="rId18" Type="http://schemas.openxmlformats.org/officeDocument/2006/relationships/hyperlink" Target="https://mrc.hhs.gov/volunteerFldr/QuestionsAnswers/Volunteering" TargetMode="External"/><Relationship Id="rId26" Type="http://schemas.openxmlformats.org/officeDocument/2006/relationships/hyperlink" Target="https://nurse.org/articles/enhanced-compact-multi-state-license-eNLC/" TargetMode="External"/><Relationship Id="rId3" Type="http://schemas.openxmlformats.org/officeDocument/2006/relationships/hyperlink" Target="https://www.fema.gov/media-library-data/20130726-1854-25045-1228/citizen_corps_volunteer_liability_guide.pdf" TargetMode="External"/><Relationship Id="rId21" Type="http://schemas.openxmlformats.org/officeDocument/2006/relationships/hyperlink" Target="https://www.nvoad.org/our-members/" TargetMode="External"/><Relationship Id="rId7" Type="http://schemas.openxmlformats.org/officeDocument/2006/relationships/hyperlink" Target="https://www.fema.gov/media-library-data/20130726-1854-25045-1228/citizen_corps_volunteer_liability_guide.pdf" TargetMode="External"/><Relationship Id="rId12" Type="http://schemas.openxmlformats.org/officeDocument/2006/relationships/hyperlink" Target="https://www.ready.gov/citizen-corps" TargetMode="External"/><Relationship Id="rId17" Type="http://schemas.openxmlformats.org/officeDocument/2006/relationships/hyperlink" Target="https://mrc.hhs.gov/volunteerFldr/QuestionsAnswers/Overview" TargetMode="External"/><Relationship Id="rId25" Type="http://schemas.openxmlformats.org/officeDocument/2006/relationships/hyperlink" Target="https://nurse.org/articles/enhanced-compact-multi-state-license-eNLC/" TargetMode="External"/><Relationship Id="rId2" Type="http://schemas.openxmlformats.org/officeDocument/2006/relationships/hyperlink" Target="https://www.netwo:rkforphl.org/wp-content/uploads/2020/01/Legal-Liability-Protections-for-Emergency-Medical-and-Public-Health-Responses.pdf" TargetMode="External"/><Relationship Id="rId16" Type="http://schemas.openxmlformats.org/officeDocument/2006/relationships/hyperlink" Target="http://www.phe.gov/Preparedness/legal/pahpa/Pages/default.aspx" TargetMode="External"/><Relationship Id="rId20" Type="http://schemas.openxmlformats.org/officeDocument/2006/relationships/hyperlink" Target="http://www.redcross.org/" TargetMode="External"/><Relationship Id="rId29" Type="http://schemas.openxmlformats.org/officeDocument/2006/relationships/hyperlink" Target="http://apps.csg.org/ncic/Compact.aspx?id=34" TargetMode="External"/><Relationship Id="rId1" Type="http://schemas.openxmlformats.org/officeDocument/2006/relationships/hyperlink" Target="https://www.networkforphl.org/wp-content/uploads/2020/01/Legal-Liability-Protections-for-Emergency-Medical-and-Public-Health-Responses.pdf" TargetMode="External"/><Relationship Id="rId6" Type="http://schemas.openxmlformats.org/officeDocument/2006/relationships/hyperlink" Target="https://www.networkforphl.org/wp-content/uploads/2020/01/Legal-Liability-Protections-for-Emergency-Medical-and-Public-Health-Responses.pdf" TargetMode="External"/><Relationship Id="rId11" Type="http://schemas.openxmlformats.org/officeDocument/2006/relationships/hyperlink" Target="https://www.phe.gov/esarvhp/pages/health-professionals.aspx" TargetMode="External"/><Relationship Id="rId24" Type="http://schemas.openxmlformats.org/officeDocument/2006/relationships/hyperlink" Target="https://www.emacweb.org/index.php/learn-about-emac/emac-legislation" TargetMode="External"/><Relationship Id="rId5" Type="http://schemas.openxmlformats.org/officeDocument/2006/relationships/hyperlink" Target="https://www.fema.gov/media-library-data/20130726-1854-25045-1228/citizen_corps_volunteer_liability_guide.pdf" TargetMode="External"/><Relationship Id="rId15" Type="http://schemas.openxmlformats.org/officeDocument/2006/relationships/hyperlink" Target="https://mrc.hhs.gov/pageViewFldr/About" TargetMode="External"/><Relationship Id="rId23" Type="http://schemas.openxmlformats.org/officeDocument/2006/relationships/hyperlink" Target="https://www.burr.senate.gov/imo/media/doc/PAHPAI%20Section%20by%20Section.pdf" TargetMode="External"/><Relationship Id="rId28" Type="http://schemas.openxmlformats.org/officeDocument/2006/relationships/hyperlink" Target="https://www.ncsbn.org/nurse-licensure-compact.htm" TargetMode="External"/><Relationship Id="rId10" Type="http://schemas.openxmlformats.org/officeDocument/2006/relationships/hyperlink" Target="http://www.phe.gov/preparedness/pages/default.aspx" TargetMode="External"/><Relationship Id="rId19" Type="http://schemas.openxmlformats.org/officeDocument/2006/relationships/hyperlink" Target="https://www.ready.gov/cert" TargetMode="External"/><Relationship Id="rId31" Type="http://schemas.openxmlformats.org/officeDocument/2006/relationships/hyperlink" Target="http://www.nemacweb.org/wp-content/uploads/2015/08/PNEMA_Agreement.pdf" TargetMode="External"/><Relationship Id="rId4" Type="http://schemas.openxmlformats.org/officeDocument/2006/relationships/hyperlink" Target="https://www.networkforphl.org/wp-content/uploads/2020/01/Legal-Liability-Protections-for-Emergency-Medical-and-Public-Health-Responses.pdf" TargetMode="External"/><Relationship Id="rId9" Type="http://schemas.openxmlformats.org/officeDocument/2006/relationships/hyperlink" Target="https://www.phe.gov/esarvhp/Pages/about.aspx" TargetMode="External"/><Relationship Id="rId14" Type="http://schemas.openxmlformats.org/officeDocument/2006/relationships/hyperlink" Target="https://www.ready.gov/citizen-corps" TargetMode="External"/><Relationship Id="rId22" Type="http://schemas.openxmlformats.org/officeDocument/2006/relationships/hyperlink" Target="https://www.phe.gov/esarvhp/Pages/more-volunteer-opportunities.aspx" TargetMode="External"/><Relationship Id="rId27" Type="http://schemas.openxmlformats.org/officeDocument/2006/relationships/hyperlink" Target="https://nurse.org/articles/enhanced-compact-multi-state-license-eNLC/" TargetMode="External"/><Relationship Id="rId30" Type="http://schemas.openxmlformats.org/officeDocument/2006/relationships/hyperlink" Target="http://www.gpo.gov/fdsys/pkg/PLAW-105publ381/pdf/PLAW-105publ38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440DCC-20B1-40F2-A312-87FA1D9E00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10</Pages>
  <Words>2696</Words>
  <Characters>15371</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103</cp:revision>
  <dcterms:created xsi:type="dcterms:W3CDTF">2020-08-07T02:05:00Z</dcterms:created>
  <dcterms:modified xsi:type="dcterms:W3CDTF">2020-08-27T23:34:00Z</dcterms:modified>
</cp:coreProperties>
</file>