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3AAD69" w14:textId="2A693753" w:rsidR="00782508" w:rsidRDefault="00345E27" w:rsidP="00C15E43">
      <w:pPr>
        <w:spacing w:after="120"/>
        <w:jc w:val="center"/>
        <w:rPr>
          <w:rFonts w:eastAsia="Times New Roman" w:cs="Helvetica"/>
          <w:b/>
          <w:bCs/>
          <w:color w:val="333333"/>
          <w:spacing w:val="15"/>
          <w:kern w:val="36"/>
          <w:sz w:val="24"/>
          <w:szCs w:val="26"/>
        </w:rPr>
      </w:pPr>
      <w:r w:rsidRPr="00C30220">
        <w:rPr>
          <w:b/>
          <w:bCs/>
        </w:rPr>
        <w:t>CSTE Legal Barriers Toolkit Series</w:t>
      </w:r>
    </w:p>
    <w:p w14:paraId="433614AC" w14:textId="68FCB564" w:rsidR="00085A18" w:rsidRDefault="00C26257" w:rsidP="00C15E43">
      <w:pPr>
        <w:spacing w:after="120"/>
        <w:jc w:val="center"/>
        <w:rPr>
          <w:rFonts w:eastAsia="Times New Roman" w:cs="Helvetica"/>
          <w:b/>
          <w:bCs/>
          <w:color w:val="333333"/>
          <w:spacing w:val="15"/>
          <w:kern w:val="36"/>
          <w:sz w:val="24"/>
          <w:szCs w:val="24"/>
        </w:rPr>
      </w:pPr>
      <w:r w:rsidRPr="00755F55">
        <w:rPr>
          <w:rFonts w:eastAsia="Times New Roman" w:cs="Helvetica"/>
          <w:b/>
          <w:bCs/>
          <w:color w:val="000000" w:themeColor="text1"/>
          <w:spacing w:val="15"/>
          <w:kern w:val="36"/>
          <w:sz w:val="24"/>
          <w:szCs w:val="26"/>
        </w:rPr>
        <w:t xml:space="preserve">IMMUNITY ISSUES IN </w:t>
      </w:r>
      <w:r w:rsidR="00E40B12" w:rsidRPr="00755F55">
        <w:rPr>
          <w:rFonts w:eastAsia="Times New Roman" w:cs="Helvetica"/>
          <w:b/>
          <w:bCs/>
          <w:color w:val="000000" w:themeColor="text1"/>
          <w:spacing w:val="15"/>
          <w:kern w:val="36"/>
          <w:sz w:val="24"/>
          <w:szCs w:val="24"/>
        </w:rPr>
        <w:t>EMERGENCY PREPAREDNESS AND RESPONSE</w:t>
      </w:r>
    </w:p>
    <w:p w14:paraId="00748005" w14:textId="5DD392FE" w:rsidR="0088233E" w:rsidRDefault="0088233E" w:rsidP="00C15E43">
      <w:pPr>
        <w:spacing w:after="120"/>
        <w:jc w:val="center"/>
        <w:rPr>
          <w:rFonts w:eastAsia="Times New Roman" w:cs="Helvetica"/>
          <w:b/>
          <w:bCs/>
          <w:color w:val="333333"/>
          <w:spacing w:val="15"/>
          <w:kern w:val="36"/>
          <w:sz w:val="28"/>
          <w:szCs w:val="28"/>
        </w:rPr>
      </w:pPr>
      <w:r w:rsidRPr="0088233E">
        <w:rPr>
          <w:i/>
          <w:iCs/>
          <w:sz w:val="20"/>
          <w:szCs w:val="20"/>
          <w:highlight w:val="yellow"/>
        </w:rPr>
        <w:t>(</w:t>
      </w:r>
      <w:r w:rsidRPr="0088233E">
        <w:rPr>
          <w:b/>
          <w:bCs/>
          <w:i/>
          <w:iCs/>
          <w:sz w:val="20"/>
          <w:szCs w:val="20"/>
          <w:highlight w:val="yellow"/>
        </w:rPr>
        <w:t>Note to Reviewers:</w:t>
      </w:r>
      <w:r w:rsidRPr="0088233E">
        <w:rPr>
          <w:i/>
          <w:iCs/>
          <w:sz w:val="20"/>
          <w:szCs w:val="20"/>
          <w:highlight w:val="yellow"/>
        </w:rPr>
        <w:t xml:space="preserve"> For use in EAS and </w:t>
      </w:r>
      <w:proofErr w:type="spellStart"/>
      <w:r w:rsidRPr="0088233E">
        <w:rPr>
          <w:i/>
          <w:iCs/>
          <w:sz w:val="20"/>
          <w:szCs w:val="20"/>
          <w:highlight w:val="yellow"/>
        </w:rPr>
        <w:t>EmVol</w:t>
      </w:r>
      <w:proofErr w:type="spellEnd"/>
      <w:r w:rsidRPr="0088233E">
        <w:rPr>
          <w:i/>
          <w:iCs/>
          <w:sz w:val="20"/>
          <w:szCs w:val="20"/>
          <w:highlight w:val="yellow"/>
        </w:rPr>
        <w:t xml:space="preserve"> toolkits)</w:t>
      </w:r>
    </w:p>
    <w:p w14:paraId="29B78C59" w14:textId="501F6D5C" w:rsidR="00C26257" w:rsidRDefault="00C26257" w:rsidP="00EB12E6">
      <w:pPr>
        <w:spacing w:line="360" w:lineRule="auto"/>
        <w:rPr>
          <w:rFonts w:eastAsia="Times New Roman" w:cs="Arial"/>
          <w:b/>
          <w:bCs/>
          <w:color w:val="3C3030"/>
          <w:sz w:val="24"/>
          <w:szCs w:val="24"/>
        </w:rPr>
      </w:pPr>
    </w:p>
    <w:p w14:paraId="31121435" w14:textId="166C499F" w:rsidR="004D4650" w:rsidRPr="00420287" w:rsidRDefault="004D4650" w:rsidP="004D4650">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1E0F21">
        <w:rPr>
          <w:i/>
          <w:iCs/>
        </w:rPr>
        <w:t>July</w:t>
      </w:r>
      <w:r w:rsidRPr="001E0F21">
        <w:rPr>
          <w:i/>
          <w:iCs/>
        </w:rPr>
        <w:t xml:space="preserve"> 2020</w:t>
      </w:r>
      <w:r>
        <w:rPr>
          <w:i/>
          <w:iCs/>
        </w:rPr>
        <w:t>.</w:t>
      </w:r>
    </w:p>
    <w:p w14:paraId="34716B30" w14:textId="77777777" w:rsidR="004D4650" w:rsidRDefault="004D4650" w:rsidP="000464BC">
      <w:pPr>
        <w:spacing w:line="360" w:lineRule="auto"/>
        <w:rPr>
          <w:rFonts w:eastAsia="Times New Roman" w:cs="Arial"/>
          <w:b/>
          <w:bCs/>
          <w:color w:val="3C3030"/>
          <w:sz w:val="24"/>
          <w:szCs w:val="24"/>
        </w:rPr>
      </w:pPr>
    </w:p>
    <w:p w14:paraId="05908D30" w14:textId="0D313957" w:rsidR="000464BC" w:rsidRDefault="0099702B" w:rsidP="000464BC">
      <w:pPr>
        <w:spacing w:line="360" w:lineRule="auto"/>
        <w:rPr>
          <w:rFonts w:eastAsia="Times New Roman" w:cs="Arial"/>
          <w:b/>
          <w:bCs/>
          <w:color w:val="3C3030"/>
          <w:sz w:val="24"/>
          <w:szCs w:val="24"/>
        </w:rPr>
      </w:pPr>
      <w:r w:rsidRPr="0099702B">
        <w:rPr>
          <w:rFonts w:eastAsia="Times New Roman" w:cs="Arial"/>
          <w:b/>
          <w:bCs/>
          <w:color w:val="3C3030"/>
          <w:sz w:val="24"/>
          <w:szCs w:val="24"/>
        </w:rPr>
        <w:t>Overview</w:t>
      </w:r>
    </w:p>
    <w:p w14:paraId="3A9D7EDC" w14:textId="7707391B" w:rsidR="00DC6FBD" w:rsidRDefault="00AD48F7" w:rsidP="003B1E74">
      <w:pPr>
        <w:spacing w:line="360" w:lineRule="auto"/>
        <w:rPr>
          <w:rFonts w:eastAsia="Times New Roman" w:cs="Arial"/>
          <w:color w:val="000000" w:themeColor="text1"/>
          <w:szCs w:val="20"/>
        </w:rPr>
      </w:pPr>
      <w:r>
        <w:rPr>
          <w:noProof/>
        </w:rPr>
        <mc:AlternateContent>
          <mc:Choice Requires="wps">
            <w:drawing>
              <wp:anchor distT="45720" distB="45720" distL="114300" distR="114300" simplePos="0" relativeHeight="251659264" behindDoc="0" locked="0" layoutInCell="1" allowOverlap="1" wp14:anchorId="6D73AC84" wp14:editId="6B26C6EE">
                <wp:simplePos x="0" y="0"/>
                <wp:positionH relativeFrom="margin">
                  <wp:align>center</wp:align>
                </wp:positionH>
                <wp:positionV relativeFrom="paragraph">
                  <wp:posOffset>2937510</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615D1A52" w14:textId="77777777" w:rsidR="00AD48F7" w:rsidRPr="00CA76E9" w:rsidRDefault="00AD48F7" w:rsidP="00AD48F7">
                            <w:pPr>
                              <w:spacing w:after="120"/>
                              <w:jc w:val="center"/>
                              <w:rPr>
                                <w:i/>
                                <w:iCs/>
                              </w:rPr>
                            </w:pPr>
                            <w:r w:rsidRPr="00CA76E9">
                              <w:rPr>
                                <w:i/>
                                <w:iCs/>
                              </w:rPr>
                              <w:t xml:space="preserve">[Call out </w:t>
                            </w:r>
                            <w:r>
                              <w:rPr>
                                <w:i/>
                                <w:iCs/>
                              </w:rPr>
                              <w:t xml:space="preserve">box </w:t>
                            </w:r>
                            <w:r w:rsidRPr="00CA76E9">
                              <w:rPr>
                                <w:i/>
                                <w:iCs/>
                              </w:rPr>
                              <w:t>for first page of document]</w:t>
                            </w:r>
                          </w:p>
                          <w:p w14:paraId="4BC79A59" w14:textId="77777777" w:rsidR="00AD48F7" w:rsidRDefault="00AD48F7" w:rsidP="00AD48F7">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73AC84" id="_x0000_t202" coordsize="21600,21600" o:spt="202" path="m,l,21600r21600,l21600,xe">
                <v:stroke joinstyle="miter"/>
                <v:path gradientshapeok="t" o:connecttype="rect"/>
              </v:shapetype>
              <v:shape id="Text Box 2" o:spid="_x0000_s1026" type="#_x0000_t202" style="position:absolute;margin-left:0;margin-top:231.3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">
                <v:textbox>
                  <w:txbxContent>
                    <w:p w14:paraId="615D1A52" w14:textId="77777777" w:rsidR="00AD48F7" w:rsidRPr="00CA76E9" w:rsidRDefault="00AD48F7" w:rsidP="00AD48F7">
                      <w:pPr>
                        <w:spacing w:after="120"/>
                        <w:jc w:val="center"/>
                        <w:rPr>
                          <w:i/>
                          <w:iCs/>
                        </w:rPr>
                      </w:pPr>
                      <w:r w:rsidRPr="00CA76E9">
                        <w:rPr>
                          <w:i/>
                          <w:iCs/>
                        </w:rPr>
                        <w:t xml:space="preserve">[Call out </w:t>
                      </w:r>
                      <w:r>
                        <w:rPr>
                          <w:i/>
                          <w:iCs/>
                        </w:rPr>
                        <w:t xml:space="preserve">box </w:t>
                      </w:r>
                      <w:r w:rsidRPr="00CA76E9">
                        <w:rPr>
                          <w:i/>
                          <w:iCs/>
                        </w:rPr>
                        <w:t>for first page of document]</w:t>
                      </w:r>
                    </w:p>
                    <w:p w14:paraId="4BC79A59" w14:textId="77777777" w:rsidR="00AD48F7" w:rsidRDefault="00AD48F7" w:rsidP="00AD48F7">
                      <w:r>
                        <w:t>Please see the Practice Guide accompanying this toolkit for access to practice notices, legal analysis tools, examples, and templates.</w:t>
                      </w:r>
                    </w:p>
                  </w:txbxContent>
                </v:textbox>
                <w10:wrap type="topAndBottom" anchorx="margin"/>
              </v:shape>
            </w:pict>
          </mc:Fallback>
        </mc:AlternateContent>
      </w:r>
      <w:r w:rsidR="009E6A6C" w:rsidRPr="00E31B33">
        <w:rPr>
          <w:rFonts w:eastAsia="Times New Roman" w:cs="Arial"/>
          <w:color w:val="000000" w:themeColor="text1"/>
          <w:szCs w:val="20"/>
        </w:rPr>
        <w:t xml:space="preserve">Individuals and organizations who participate in emergency </w:t>
      </w:r>
      <w:r w:rsidR="009E6A6C">
        <w:rPr>
          <w:rFonts w:eastAsia="Times New Roman" w:cs="Arial"/>
          <w:color w:val="000000" w:themeColor="text1"/>
          <w:szCs w:val="20"/>
        </w:rPr>
        <w:t xml:space="preserve">preparedness and </w:t>
      </w:r>
      <w:r w:rsidR="009E6A6C" w:rsidRPr="00E31B33">
        <w:rPr>
          <w:rFonts w:eastAsia="Times New Roman" w:cs="Arial"/>
          <w:color w:val="000000" w:themeColor="text1"/>
          <w:szCs w:val="20"/>
        </w:rPr>
        <w:t xml:space="preserve">response activities can potentially be liable under multiple theories of civil and </w:t>
      </w:r>
      <w:r w:rsidR="00E500E8">
        <w:rPr>
          <w:rFonts w:eastAsia="Times New Roman" w:cs="Arial"/>
          <w:color w:val="000000" w:themeColor="text1"/>
          <w:szCs w:val="20"/>
        </w:rPr>
        <w:t xml:space="preserve">even </w:t>
      </w:r>
      <w:r w:rsidR="009E6A6C" w:rsidRPr="00E31B33">
        <w:rPr>
          <w:rFonts w:eastAsia="Times New Roman" w:cs="Arial"/>
          <w:color w:val="000000" w:themeColor="text1"/>
          <w:szCs w:val="20"/>
        </w:rPr>
        <w:t>criminal liability.</w:t>
      </w:r>
      <w:r w:rsidR="00010341">
        <w:rPr>
          <w:rFonts w:eastAsia="Times New Roman" w:cs="Arial"/>
          <w:color w:val="000000" w:themeColor="text1"/>
          <w:szCs w:val="20"/>
        </w:rPr>
        <w:t xml:space="preserve"> Within the context of civil liability, </w:t>
      </w:r>
      <w:r w:rsidR="00010341" w:rsidRPr="00E31B33">
        <w:rPr>
          <w:rFonts w:eastAsia="Times New Roman" w:cs="Arial"/>
          <w:color w:val="000000" w:themeColor="text1"/>
          <w:szCs w:val="20"/>
        </w:rPr>
        <w:t>negligence</w:t>
      </w:r>
      <w:r w:rsidR="00C2339E">
        <w:rPr>
          <w:rFonts w:eastAsia="Times New Roman" w:cs="Arial"/>
          <w:color w:val="000000" w:themeColor="text1"/>
          <w:szCs w:val="20"/>
        </w:rPr>
        <w:t xml:space="preserve"> </w:t>
      </w:r>
      <w:r w:rsidR="006913CF">
        <w:rPr>
          <w:rFonts w:eastAsia="Times New Roman" w:cs="Arial"/>
          <w:color w:val="000000" w:themeColor="text1"/>
          <w:szCs w:val="20"/>
        </w:rPr>
        <w:t xml:space="preserve">claims </w:t>
      </w:r>
      <w:r w:rsidR="00010341" w:rsidRPr="00E31B33">
        <w:rPr>
          <w:rFonts w:eastAsia="Times New Roman" w:cs="Arial"/>
          <w:color w:val="000000" w:themeColor="text1"/>
          <w:szCs w:val="20"/>
        </w:rPr>
        <w:t>are the most likely to arise</w:t>
      </w:r>
      <w:r w:rsidR="006913CF">
        <w:rPr>
          <w:rFonts w:eastAsia="Times New Roman" w:cs="Arial"/>
          <w:color w:val="000000" w:themeColor="text1"/>
          <w:szCs w:val="20"/>
        </w:rPr>
        <w:t xml:space="preserve"> but </w:t>
      </w:r>
      <w:r w:rsidR="00AC4050">
        <w:rPr>
          <w:rFonts w:eastAsia="Times New Roman" w:cs="Arial"/>
          <w:color w:val="000000" w:themeColor="text1"/>
          <w:szCs w:val="20"/>
        </w:rPr>
        <w:t xml:space="preserve">other civil claims such as </w:t>
      </w:r>
      <w:r w:rsidR="00010341" w:rsidRPr="00E31B33">
        <w:rPr>
          <w:rFonts w:eastAsia="Times New Roman" w:cs="Arial"/>
          <w:color w:val="000000" w:themeColor="text1"/>
          <w:szCs w:val="20"/>
        </w:rPr>
        <w:t>intentional torts, violations of statutory or regulatory requirements, strict liability, and constitutional violations</w:t>
      </w:r>
      <w:r w:rsidR="00190ECE">
        <w:rPr>
          <w:rFonts w:eastAsia="Times New Roman" w:cs="Arial"/>
          <w:color w:val="000000" w:themeColor="text1"/>
          <w:szCs w:val="20"/>
        </w:rPr>
        <w:t xml:space="preserve"> may occur</w:t>
      </w:r>
      <w:r w:rsidR="00010341" w:rsidRPr="00E31B33">
        <w:rPr>
          <w:rFonts w:eastAsia="Times New Roman" w:cs="Arial"/>
          <w:color w:val="000000" w:themeColor="text1"/>
          <w:szCs w:val="20"/>
        </w:rPr>
        <w:t>.</w:t>
      </w:r>
      <w:r w:rsidR="00BB3998">
        <w:rPr>
          <w:rStyle w:val="FootnoteReference"/>
          <w:rFonts w:eastAsia="Times New Roman" w:cs="Arial"/>
          <w:color w:val="000000" w:themeColor="text1"/>
          <w:szCs w:val="20"/>
        </w:rPr>
        <w:footnoteReference w:id="1"/>
      </w:r>
      <w:r w:rsidR="00C602EB">
        <w:rPr>
          <w:rFonts w:eastAsia="Times New Roman" w:cs="Arial"/>
          <w:color w:val="000000" w:themeColor="text1"/>
          <w:szCs w:val="20"/>
        </w:rPr>
        <w:t xml:space="preserve"> </w:t>
      </w:r>
      <w:r w:rsidR="0077673E">
        <w:rPr>
          <w:rFonts w:eastAsia="Times New Roman" w:cs="Arial"/>
          <w:color w:val="000000" w:themeColor="text1"/>
          <w:szCs w:val="20"/>
        </w:rPr>
        <w:t>Legal</w:t>
      </w:r>
      <w:r w:rsidR="003B1E74" w:rsidRPr="0099702B">
        <w:rPr>
          <w:rFonts w:eastAsia="Times New Roman" w:cs="Arial"/>
          <w:color w:val="000000" w:themeColor="text1"/>
          <w:szCs w:val="20"/>
        </w:rPr>
        <w:t xml:space="preserve"> protections against liability have been created to address the concerns of volunteers and others involved in emergency response, as well as to ensure that there are adequate numbers of medical, public health, and other individuals and institutions to participate in response efforts. These various laws work together to form a patchwork of </w:t>
      </w:r>
      <w:r w:rsidR="006F6716">
        <w:rPr>
          <w:rFonts w:eastAsia="Times New Roman" w:cs="Arial"/>
          <w:color w:val="000000" w:themeColor="text1"/>
          <w:szCs w:val="20"/>
        </w:rPr>
        <w:t>immunit</w:t>
      </w:r>
      <w:r w:rsidR="003E029C">
        <w:rPr>
          <w:rFonts w:eastAsia="Times New Roman" w:cs="Arial"/>
          <w:color w:val="000000" w:themeColor="text1"/>
          <w:szCs w:val="20"/>
        </w:rPr>
        <w:t xml:space="preserve">ies </w:t>
      </w:r>
      <w:r w:rsidR="005C4835">
        <w:rPr>
          <w:rFonts w:eastAsia="Times New Roman" w:cs="Arial"/>
          <w:color w:val="000000" w:themeColor="text1"/>
          <w:szCs w:val="20"/>
        </w:rPr>
        <w:t>and other defense</w:t>
      </w:r>
      <w:r w:rsidR="003B1E74" w:rsidRPr="0099702B">
        <w:rPr>
          <w:rFonts w:eastAsia="Times New Roman" w:cs="Arial"/>
          <w:color w:val="000000" w:themeColor="text1"/>
          <w:szCs w:val="20"/>
        </w:rPr>
        <w:t>s</w:t>
      </w:r>
      <w:r w:rsidR="000006A1">
        <w:rPr>
          <w:rFonts w:eastAsia="Times New Roman" w:cs="Arial"/>
          <w:color w:val="000000" w:themeColor="text1"/>
          <w:szCs w:val="20"/>
        </w:rPr>
        <w:t xml:space="preserve"> against liability</w:t>
      </w:r>
      <w:r w:rsidR="003B1E74" w:rsidRPr="0099702B">
        <w:rPr>
          <w:rFonts w:eastAsia="Times New Roman" w:cs="Arial"/>
          <w:color w:val="000000" w:themeColor="text1"/>
          <w:szCs w:val="20"/>
        </w:rPr>
        <w:t>. These protections, however, can be highly dependent on the nature of the services provided by the person (</w:t>
      </w:r>
      <w:r w:rsidR="0044729D">
        <w:rPr>
          <w:rFonts w:eastAsia="Times New Roman" w:cs="Arial"/>
          <w:color w:val="000000" w:themeColor="text1"/>
          <w:szCs w:val="20"/>
        </w:rPr>
        <w:t xml:space="preserve">e.g., </w:t>
      </w:r>
      <w:r w:rsidR="003B1E74" w:rsidRPr="0099702B">
        <w:rPr>
          <w:rFonts w:eastAsia="Times New Roman" w:cs="Arial"/>
          <w:color w:val="000000" w:themeColor="text1"/>
          <w:szCs w:val="20"/>
        </w:rPr>
        <w:t xml:space="preserve">volunteer vs. paid employee) and the extent of protections provided under the program the person is participating in. </w:t>
      </w:r>
    </w:p>
    <w:p w14:paraId="297D926C" w14:textId="77777777" w:rsidR="004D4650" w:rsidRDefault="004D4650" w:rsidP="003B1E74">
      <w:pPr>
        <w:spacing w:line="360" w:lineRule="auto"/>
        <w:rPr>
          <w:rFonts w:eastAsia="Times New Roman" w:cs="Arial"/>
          <w:color w:val="000000" w:themeColor="text1"/>
          <w:szCs w:val="20"/>
        </w:rPr>
      </w:pPr>
    </w:p>
    <w:p w14:paraId="4AF7C008" w14:textId="41F7A401" w:rsidR="00DB1BB0" w:rsidRPr="00DB1BB0" w:rsidRDefault="003B1E74" w:rsidP="000464BC">
      <w:pPr>
        <w:spacing w:line="360" w:lineRule="auto"/>
        <w:rPr>
          <w:rFonts w:eastAsia="Times New Roman" w:cs="Arial"/>
          <w:color w:val="3C3030"/>
        </w:rPr>
      </w:pPr>
      <w:r w:rsidRPr="0099702B">
        <w:rPr>
          <w:rFonts w:eastAsia="Times New Roman" w:cs="Arial"/>
          <w:color w:val="000000" w:themeColor="text1"/>
          <w:szCs w:val="20"/>
        </w:rPr>
        <w:t xml:space="preserve">This </w:t>
      </w:r>
      <w:r w:rsidR="00DC6FBD">
        <w:rPr>
          <w:rFonts w:eastAsia="Times New Roman" w:cs="Arial"/>
          <w:color w:val="000000" w:themeColor="text1"/>
          <w:szCs w:val="20"/>
        </w:rPr>
        <w:t>document</w:t>
      </w:r>
      <w:r w:rsidRPr="0099702B">
        <w:rPr>
          <w:rFonts w:eastAsia="Times New Roman" w:cs="Arial"/>
          <w:color w:val="000000" w:themeColor="text1"/>
          <w:szCs w:val="20"/>
        </w:rPr>
        <w:t xml:space="preserve"> reviews </w:t>
      </w:r>
      <w:r w:rsidR="007E7648">
        <w:rPr>
          <w:rFonts w:eastAsia="Times New Roman" w:cs="Arial"/>
          <w:color w:val="000000" w:themeColor="text1"/>
          <w:szCs w:val="20"/>
        </w:rPr>
        <w:t xml:space="preserve">various immunity and other </w:t>
      </w:r>
      <w:r w:rsidRPr="0099702B">
        <w:rPr>
          <w:rFonts w:eastAsia="Times New Roman" w:cs="Arial"/>
          <w:color w:val="000000" w:themeColor="text1"/>
          <w:szCs w:val="20"/>
        </w:rPr>
        <w:t xml:space="preserve">liability protections for individuals and entities. </w:t>
      </w:r>
      <w:r w:rsidR="00DB1BB0" w:rsidRPr="00DB1BB0">
        <w:rPr>
          <w:rFonts w:eastAsia="Times New Roman" w:cs="Arial"/>
          <w:color w:val="3C3030"/>
        </w:rPr>
        <w:t xml:space="preserve">It should be reviewed in conjunction with two other documents in this series: </w:t>
      </w:r>
      <w:r w:rsidR="007E7648">
        <w:rPr>
          <w:rFonts w:eastAsia="Times New Roman" w:cs="Arial"/>
          <w:color w:val="3C3030"/>
        </w:rPr>
        <w:t xml:space="preserve">Liability </w:t>
      </w:r>
      <w:r w:rsidR="00DB1BB0" w:rsidRPr="00DB1BB0">
        <w:rPr>
          <w:rFonts w:eastAsia="Times New Roman" w:cs="Arial"/>
          <w:color w:val="3C3030"/>
        </w:rPr>
        <w:t xml:space="preserve">in </w:t>
      </w:r>
      <w:r w:rsidR="007E7648">
        <w:rPr>
          <w:rFonts w:eastAsia="Times New Roman" w:cs="Arial"/>
          <w:color w:val="3C3030"/>
        </w:rPr>
        <w:t>Emergency Preparedness and Response, a</w:t>
      </w:r>
      <w:r w:rsidR="00DB1BB0" w:rsidRPr="00DB1BB0">
        <w:rPr>
          <w:rFonts w:eastAsia="Times New Roman" w:cs="Arial"/>
          <w:color w:val="3C3030"/>
        </w:rPr>
        <w:t xml:space="preserve">nd Workers’ Compensation in </w:t>
      </w:r>
      <w:r w:rsidR="007E7648">
        <w:rPr>
          <w:rFonts w:eastAsia="Times New Roman" w:cs="Arial"/>
          <w:color w:val="3C3030"/>
        </w:rPr>
        <w:t>Emergency Preparedness and Response</w:t>
      </w:r>
      <w:r w:rsidR="00DB1BB0" w:rsidRPr="00DB1BB0">
        <w:rPr>
          <w:rFonts w:eastAsia="Times New Roman" w:cs="Arial"/>
          <w:color w:val="3C3030"/>
        </w:rPr>
        <w:t xml:space="preserve">. </w:t>
      </w:r>
      <w:r w:rsidR="00DB1BB0" w:rsidRPr="00DB1BB0">
        <w:rPr>
          <w:rFonts w:eastAsia="Times New Roman" w:cs="Arial"/>
          <w:color w:val="3C3030"/>
        </w:rPr>
        <w:lastRenderedPageBreak/>
        <w:t xml:space="preserve">These documents address the potential theories of liability and avenues for compensation. Finally, this document is intended to provide general information on the topics presented; it is not intended to be a comprehensive treatment of the law or to provide legal advice. The laws surrounding </w:t>
      </w:r>
      <w:r w:rsidR="00964144">
        <w:rPr>
          <w:rFonts w:eastAsia="Times New Roman" w:cs="Arial"/>
          <w:color w:val="3C3030"/>
        </w:rPr>
        <w:t>immunity</w:t>
      </w:r>
      <w:r w:rsidR="00DB1BB0" w:rsidRPr="00DB1BB0">
        <w:rPr>
          <w:rFonts w:eastAsia="Times New Roman" w:cs="Arial"/>
          <w:color w:val="3C3030"/>
        </w:rPr>
        <w:t xml:space="preserve"> are a mix of common law decisions (represented in the case law of individual jurisdictions), statutory law, and constitutional law in individual states, tribes, </w:t>
      </w:r>
      <w:r w:rsidR="00F54F7A">
        <w:rPr>
          <w:rFonts w:eastAsia="Times New Roman" w:cs="Arial"/>
          <w:color w:val="3C3030"/>
        </w:rPr>
        <w:t xml:space="preserve">localities, </w:t>
      </w:r>
      <w:r w:rsidR="00DB1BB0" w:rsidRPr="00DB1BB0">
        <w:rPr>
          <w:rFonts w:eastAsia="Times New Roman" w:cs="Arial"/>
          <w:color w:val="3C3030"/>
        </w:rPr>
        <w:t>and territories (ST</w:t>
      </w:r>
      <w:r w:rsidR="00F54F7A">
        <w:rPr>
          <w:rFonts w:eastAsia="Times New Roman" w:cs="Arial"/>
          <w:color w:val="3C3030"/>
        </w:rPr>
        <w:t>L</w:t>
      </w:r>
      <w:r w:rsidR="00DB1BB0" w:rsidRPr="00DB1BB0">
        <w:rPr>
          <w:rFonts w:eastAsia="Times New Roman" w:cs="Arial"/>
          <w:color w:val="3C3030"/>
        </w:rPr>
        <w:t>T), as well as federal laws that may preempt ST</w:t>
      </w:r>
      <w:r w:rsidR="00F54F7A">
        <w:rPr>
          <w:rFonts w:eastAsia="Times New Roman" w:cs="Arial"/>
          <w:color w:val="3C3030"/>
        </w:rPr>
        <w:t>L</w:t>
      </w:r>
      <w:r w:rsidR="00DB1BB0" w:rsidRPr="00DB1BB0">
        <w:rPr>
          <w:rFonts w:eastAsia="Times New Roman" w:cs="Arial"/>
          <w:color w:val="3C3030"/>
        </w:rPr>
        <w:t xml:space="preserve">T laws. As such, readers should examine the laws in their own jurisdictions to determine how the liability </w:t>
      </w:r>
      <w:r w:rsidR="005C297C">
        <w:rPr>
          <w:rFonts w:eastAsia="Times New Roman" w:cs="Arial"/>
          <w:color w:val="3C3030"/>
        </w:rPr>
        <w:t>prote</w:t>
      </w:r>
      <w:r w:rsidR="00AF72A9">
        <w:rPr>
          <w:rFonts w:eastAsia="Times New Roman" w:cs="Arial"/>
          <w:color w:val="3C3030"/>
        </w:rPr>
        <w:t xml:space="preserve">ctions </w:t>
      </w:r>
      <w:r w:rsidR="00DB1BB0" w:rsidRPr="00DB1BB0">
        <w:rPr>
          <w:rFonts w:eastAsia="Times New Roman" w:cs="Arial"/>
          <w:color w:val="3C3030"/>
        </w:rPr>
        <w:t>discussed here would be addressed in their specific jurisdictions.</w:t>
      </w:r>
    </w:p>
    <w:p w14:paraId="11C68C1B" w14:textId="77777777" w:rsidR="000464BC" w:rsidRPr="000464BC" w:rsidRDefault="000464BC" w:rsidP="000464BC">
      <w:pPr>
        <w:spacing w:line="360" w:lineRule="auto"/>
        <w:rPr>
          <w:rFonts w:eastAsia="Times New Roman" w:cs="Arial"/>
          <w:b/>
          <w:bCs/>
          <w:color w:val="3C3030"/>
          <w:sz w:val="24"/>
          <w:szCs w:val="24"/>
        </w:rPr>
      </w:pPr>
    </w:p>
    <w:p w14:paraId="2026E0F0" w14:textId="02B0CA66" w:rsidR="00C60596" w:rsidRPr="00DF287B" w:rsidRDefault="0099702B" w:rsidP="00C857C0">
      <w:pPr>
        <w:keepNext/>
        <w:spacing w:line="360" w:lineRule="auto"/>
        <w:rPr>
          <w:rFonts w:eastAsia="Times New Roman" w:cs="Arial"/>
          <w:b/>
          <w:bCs/>
          <w:color w:val="000000" w:themeColor="text1"/>
          <w:sz w:val="24"/>
          <w:szCs w:val="24"/>
        </w:rPr>
      </w:pPr>
      <w:r w:rsidRPr="00DF287B">
        <w:rPr>
          <w:rFonts w:eastAsia="Times New Roman" w:cs="Arial"/>
          <w:b/>
          <w:bCs/>
          <w:color w:val="000000" w:themeColor="text1"/>
          <w:sz w:val="24"/>
          <w:szCs w:val="24"/>
        </w:rPr>
        <w:t>Liability Protections and Immunities</w:t>
      </w:r>
    </w:p>
    <w:p w14:paraId="24581431" w14:textId="6107CAFE" w:rsidR="00F0786B" w:rsidRDefault="0099702B" w:rsidP="000464BC">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While </w:t>
      </w:r>
      <w:r w:rsidR="004C2340">
        <w:rPr>
          <w:rFonts w:eastAsia="Times New Roman" w:cs="Arial"/>
          <w:color w:val="000000" w:themeColor="text1"/>
          <w:szCs w:val="20"/>
        </w:rPr>
        <w:t xml:space="preserve">real and perceived </w:t>
      </w:r>
      <w:r w:rsidR="00A338D8">
        <w:rPr>
          <w:rFonts w:eastAsia="Times New Roman" w:cs="Arial"/>
          <w:color w:val="000000" w:themeColor="text1"/>
          <w:szCs w:val="20"/>
        </w:rPr>
        <w:t>liabilities</w:t>
      </w:r>
      <w:r w:rsidRPr="0099702B">
        <w:rPr>
          <w:rFonts w:eastAsia="Times New Roman" w:cs="Arial"/>
          <w:color w:val="000000" w:themeColor="text1"/>
          <w:szCs w:val="20"/>
        </w:rPr>
        <w:t xml:space="preserve"> for various actors involved in emergency preparedness and response activities can seem daunting, there are significant sources of liability protection available at the </w:t>
      </w:r>
      <w:r w:rsidRPr="00171616">
        <w:rPr>
          <w:rFonts w:eastAsia="Times New Roman" w:cs="Arial"/>
          <w:color w:val="000000" w:themeColor="text1"/>
          <w:szCs w:val="20"/>
        </w:rPr>
        <w:t>state</w:t>
      </w:r>
      <w:r w:rsidRPr="0099702B">
        <w:rPr>
          <w:rFonts w:eastAsia="Times New Roman" w:cs="Arial"/>
          <w:color w:val="000000" w:themeColor="text1"/>
          <w:szCs w:val="20"/>
        </w:rPr>
        <w:t xml:space="preserve"> and federal levels. Many of these protections were newly developed or refined </w:t>
      </w:r>
      <w:r w:rsidR="00E5766C">
        <w:rPr>
          <w:rFonts w:eastAsia="Times New Roman" w:cs="Arial"/>
          <w:color w:val="000000" w:themeColor="text1"/>
          <w:szCs w:val="20"/>
        </w:rPr>
        <w:t>in the last twenty years</w:t>
      </w:r>
      <w:r w:rsidRPr="0099702B">
        <w:rPr>
          <w:rFonts w:eastAsia="Times New Roman" w:cs="Arial"/>
          <w:color w:val="000000" w:themeColor="text1"/>
          <w:szCs w:val="20"/>
        </w:rPr>
        <w:t xml:space="preserve">. </w:t>
      </w:r>
      <w:r w:rsidR="00C24EA6">
        <w:rPr>
          <w:rFonts w:eastAsia="Times New Roman" w:cs="Arial"/>
          <w:color w:val="000000" w:themeColor="text1"/>
          <w:szCs w:val="20"/>
        </w:rPr>
        <w:t>Additional liability protections were added or considered by state legislatures in 2020 as a result of the COVID-19 pandemic.</w:t>
      </w:r>
      <w:r w:rsidR="00C24EA6">
        <w:rPr>
          <w:rStyle w:val="FootnoteReference"/>
          <w:rFonts w:eastAsia="Times New Roman" w:cs="Arial"/>
          <w:color w:val="000000" w:themeColor="text1"/>
          <w:szCs w:val="20"/>
        </w:rPr>
        <w:footnoteReference w:id="2"/>
      </w:r>
      <w:r w:rsidR="00C24EA6">
        <w:rPr>
          <w:rFonts w:eastAsia="Times New Roman" w:cs="Arial"/>
          <w:color w:val="000000" w:themeColor="text1"/>
          <w:szCs w:val="20"/>
        </w:rPr>
        <w:t xml:space="preserve"> </w:t>
      </w:r>
      <w:r w:rsidR="00F0786B">
        <w:rPr>
          <w:rFonts w:eastAsia="Times New Roman" w:cs="Arial"/>
          <w:color w:val="000000" w:themeColor="text1"/>
          <w:szCs w:val="20"/>
        </w:rPr>
        <w:t xml:space="preserve">These </w:t>
      </w:r>
      <w:r w:rsidR="003471C4">
        <w:rPr>
          <w:rFonts w:eastAsia="Times New Roman" w:cs="Arial"/>
          <w:color w:val="000000" w:themeColor="text1"/>
          <w:szCs w:val="20"/>
        </w:rPr>
        <w:t xml:space="preserve">recent </w:t>
      </w:r>
      <w:r w:rsidR="00BD65AB">
        <w:rPr>
          <w:rFonts w:eastAsia="Times New Roman" w:cs="Arial"/>
          <w:color w:val="000000" w:themeColor="text1"/>
          <w:szCs w:val="20"/>
        </w:rPr>
        <w:t xml:space="preserve">efforts </w:t>
      </w:r>
      <w:r w:rsidR="00F0786B">
        <w:rPr>
          <w:rFonts w:eastAsia="Times New Roman" w:cs="Arial"/>
          <w:color w:val="000000" w:themeColor="text1"/>
          <w:szCs w:val="20"/>
        </w:rPr>
        <w:t xml:space="preserve">have </w:t>
      </w:r>
      <w:r w:rsidR="006B3A31">
        <w:rPr>
          <w:rFonts w:eastAsia="Times New Roman" w:cs="Arial"/>
          <w:color w:val="000000" w:themeColor="text1"/>
          <w:szCs w:val="20"/>
        </w:rPr>
        <w:t>included new or enhanced protections for</w:t>
      </w:r>
      <w:r w:rsidR="006B525D">
        <w:rPr>
          <w:rFonts w:eastAsia="Times New Roman" w:cs="Arial"/>
          <w:color w:val="000000" w:themeColor="text1"/>
          <w:szCs w:val="20"/>
        </w:rPr>
        <w:t>:</w:t>
      </w:r>
      <w:r w:rsidR="006B3A31">
        <w:rPr>
          <w:rFonts w:eastAsia="Times New Roman" w:cs="Arial"/>
          <w:color w:val="000000" w:themeColor="text1"/>
          <w:szCs w:val="20"/>
        </w:rPr>
        <w:t xml:space="preserve"> healthcare </w:t>
      </w:r>
      <w:r w:rsidR="00A93193">
        <w:rPr>
          <w:rFonts w:eastAsia="Times New Roman" w:cs="Arial"/>
          <w:color w:val="000000" w:themeColor="text1"/>
          <w:szCs w:val="20"/>
        </w:rPr>
        <w:t xml:space="preserve">personnel and entities </w:t>
      </w:r>
      <w:r w:rsidR="004560F6">
        <w:rPr>
          <w:rFonts w:eastAsia="Times New Roman" w:cs="Arial"/>
          <w:color w:val="000000" w:themeColor="text1"/>
          <w:szCs w:val="20"/>
        </w:rPr>
        <w:t xml:space="preserve">screening, testing, or providing care for COVID-19; </w:t>
      </w:r>
      <w:r w:rsidR="00DA7AD5">
        <w:rPr>
          <w:rFonts w:eastAsia="Times New Roman" w:cs="Arial"/>
          <w:color w:val="000000" w:themeColor="text1"/>
          <w:szCs w:val="20"/>
        </w:rPr>
        <w:t>manufacturers and suppliers of equipment like ventilators and personal protective equipment</w:t>
      </w:r>
      <w:r w:rsidR="006B525D">
        <w:rPr>
          <w:rFonts w:eastAsia="Times New Roman" w:cs="Arial"/>
          <w:color w:val="000000" w:themeColor="text1"/>
          <w:szCs w:val="20"/>
        </w:rPr>
        <w:t xml:space="preserve">; </w:t>
      </w:r>
      <w:r w:rsidR="00AE3849">
        <w:rPr>
          <w:rFonts w:eastAsia="Times New Roman" w:cs="Arial"/>
          <w:color w:val="000000" w:themeColor="text1"/>
          <w:szCs w:val="20"/>
        </w:rPr>
        <w:t xml:space="preserve">education officials, schools, and universities; and businesses </w:t>
      </w:r>
      <w:r w:rsidR="002628B8">
        <w:rPr>
          <w:rFonts w:eastAsia="Times New Roman" w:cs="Arial"/>
          <w:color w:val="000000" w:themeColor="text1"/>
          <w:szCs w:val="20"/>
        </w:rPr>
        <w:t>providing essential services and those reopening.</w:t>
      </w:r>
      <w:r w:rsidR="002628B8">
        <w:rPr>
          <w:rStyle w:val="FootnoteReference"/>
          <w:rFonts w:eastAsia="Times New Roman" w:cs="Arial"/>
          <w:color w:val="000000" w:themeColor="text1"/>
          <w:szCs w:val="20"/>
        </w:rPr>
        <w:footnoteReference w:id="3"/>
      </w:r>
      <w:r w:rsidR="00E07D3B">
        <w:rPr>
          <w:rFonts w:eastAsia="Times New Roman" w:cs="Arial"/>
          <w:color w:val="000000" w:themeColor="text1"/>
          <w:szCs w:val="20"/>
        </w:rPr>
        <w:t xml:space="preserve"> </w:t>
      </w:r>
      <w:r w:rsidR="00635DC8">
        <w:rPr>
          <w:rFonts w:eastAsia="Times New Roman" w:cs="Arial"/>
          <w:color w:val="000000" w:themeColor="text1"/>
          <w:szCs w:val="20"/>
        </w:rPr>
        <w:t xml:space="preserve">Federal legislation in response to COVID-19 likewise adopted or considered </w:t>
      </w:r>
      <w:r w:rsidR="00A04F76">
        <w:rPr>
          <w:rFonts w:eastAsia="Times New Roman" w:cs="Arial"/>
          <w:color w:val="000000" w:themeColor="text1"/>
          <w:szCs w:val="20"/>
        </w:rPr>
        <w:t>expanded liability protections for businesses, institutions, and individual</w:t>
      </w:r>
      <w:r w:rsidR="00CC0102">
        <w:rPr>
          <w:rFonts w:eastAsia="Times New Roman" w:cs="Arial"/>
          <w:color w:val="000000" w:themeColor="text1"/>
          <w:szCs w:val="20"/>
        </w:rPr>
        <w:t>s</w:t>
      </w:r>
      <w:r w:rsidR="00EA697B">
        <w:rPr>
          <w:rFonts w:eastAsia="Times New Roman" w:cs="Arial"/>
          <w:color w:val="000000" w:themeColor="text1"/>
          <w:szCs w:val="20"/>
        </w:rPr>
        <w:t>.</w:t>
      </w:r>
      <w:r w:rsidR="00E66259">
        <w:rPr>
          <w:rStyle w:val="FootnoteReference"/>
          <w:rFonts w:eastAsia="Times New Roman" w:cs="Arial"/>
          <w:color w:val="000000" w:themeColor="text1"/>
          <w:szCs w:val="20"/>
        </w:rPr>
        <w:footnoteReference w:id="4"/>
      </w:r>
      <w:r w:rsidR="00EA697B">
        <w:rPr>
          <w:rFonts w:eastAsia="Times New Roman" w:cs="Arial"/>
          <w:color w:val="000000" w:themeColor="text1"/>
          <w:szCs w:val="20"/>
        </w:rPr>
        <w:t xml:space="preserve">  </w:t>
      </w:r>
      <w:r w:rsidR="00483633">
        <w:rPr>
          <w:rFonts w:eastAsia="Times New Roman" w:cs="Arial"/>
          <w:color w:val="000000" w:themeColor="text1"/>
          <w:szCs w:val="20"/>
        </w:rPr>
        <w:t>The</w:t>
      </w:r>
      <w:r w:rsidR="000577D3" w:rsidRPr="000577D3">
        <w:rPr>
          <w:rFonts w:eastAsia="Times New Roman" w:cs="Arial"/>
          <w:color w:val="000000" w:themeColor="text1"/>
          <w:szCs w:val="20"/>
        </w:rPr>
        <w:t xml:space="preserve"> Coronavirus Aid, Relief and Economic Security Act (CARES Act)</w:t>
      </w:r>
      <w:r w:rsidR="00F738F7">
        <w:rPr>
          <w:rFonts w:eastAsia="Times New Roman" w:cs="Arial"/>
          <w:color w:val="000000" w:themeColor="text1"/>
          <w:szCs w:val="20"/>
        </w:rPr>
        <w:t>, which</w:t>
      </w:r>
      <w:r w:rsidR="000577D3" w:rsidRPr="000577D3">
        <w:rPr>
          <w:rFonts w:eastAsia="Times New Roman" w:cs="Arial"/>
          <w:color w:val="000000" w:themeColor="text1"/>
          <w:szCs w:val="20"/>
        </w:rPr>
        <w:t xml:space="preserve">, </w:t>
      </w:r>
      <w:r w:rsidR="00E43605">
        <w:rPr>
          <w:rFonts w:eastAsia="Times New Roman" w:cs="Arial"/>
          <w:color w:val="000000" w:themeColor="text1"/>
          <w:szCs w:val="20"/>
        </w:rPr>
        <w:t xml:space="preserve">among other things, </w:t>
      </w:r>
      <w:r w:rsidR="000577D3" w:rsidRPr="000577D3">
        <w:rPr>
          <w:rFonts w:eastAsia="Times New Roman" w:cs="Arial"/>
          <w:color w:val="000000" w:themeColor="text1"/>
          <w:szCs w:val="20"/>
        </w:rPr>
        <w:t xml:space="preserve">expanded the covered countermeasure protections </w:t>
      </w:r>
      <w:r w:rsidR="00B8720B">
        <w:rPr>
          <w:rFonts w:eastAsia="Times New Roman" w:cs="Arial"/>
          <w:color w:val="000000" w:themeColor="text1"/>
          <w:szCs w:val="20"/>
        </w:rPr>
        <w:t xml:space="preserve">available under the </w:t>
      </w:r>
      <w:r w:rsidR="00324204">
        <w:rPr>
          <w:rFonts w:eastAsia="Times New Roman" w:cs="Arial"/>
          <w:color w:val="000000" w:themeColor="text1"/>
          <w:szCs w:val="20"/>
        </w:rPr>
        <w:t xml:space="preserve">federal </w:t>
      </w:r>
      <w:r w:rsidR="001A25F9">
        <w:rPr>
          <w:rFonts w:eastAsia="Times New Roman" w:cs="Arial"/>
          <w:color w:val="000000" w:themeColor="text1"/>
          <w:szCs w:val="20"/>
        </w:rPr>
        <w:t>Public Readiness and Emergency Preparedness (</w:t>
      </w:r>
      <w:r w:rsidR="000577D3" w:rsidRPr="000577D3">
        <w:rPr>
          <w:rFonts w:eastAsia="Times New Roman" w:cs="Arial"/>
          <w:color w:val="000000" w:themeColor="text1"/>
          <w:szCs w:val="20"/>
        </w:rPr>
        <w:t>PREP</w:t>
      </w:r>
      <w:r w:rsidR="001A25F9">
        <w:rPr>
          <w:rFonts w:eastAsia="Times New Roman" w:cs="Arial"/>
          <w:color w:val="000000" w:themeColor="text1"/>
          <w:szCs w:val="20"/>
        </w:rPr>
        <w:t>)</w:t>
      </w:r>
      <w:r w:rsidR="000577D3" w:rsidRPr="000577D3">
        <w:rPr>
          <w:rFonts w:eastAsia="Times New Roman" w:cs="Arial"/>
          <w:color w:val="000000" w:themeColor="text1"/>
          <w:szCs w:val="20"/>
        </w:rPr>
        <w:t xml:space="preserve"> Act</w:t>
      </w:r>
      <w:r w:rsidR="00E43605">
        <w:rPr>
          <w:rFonts w:eastAsia="Times New Roman" w:cs="Arial"/>
          <w:color w:val="000000" w:themeColor="text1"/>
          <w:szCs w:val="20"/>
        </w:rPr>
        <w:t xml:space="preserve"> </w:t>
      </w:r>
      <w:r w:rsidR="00324204">
        <w:rPr>
          <w:rFonts w:eastAsia="Times New Roman" w:cs="Arial"/>
          <w:color w:val="000000" w:themeColor="text1"/>
          <w:szCs w:val="20"/>
        </w:rPr>
        <w:t xml:space="preserve">(discussed below) </w:t>
      </w:r>
      <w:r w:rsidR="00766F00">
        <w:rPr>
          <w:rFonts w:eastAsia="Times New Roman" w:cs="Arial"/>
          <w:color w:val="000000" w:themeColor="text1"/>
          <w:szCs w:val="20"/>
        </w:rPr>
        <w:t xml:space="preserve">and </w:t>
      </w:r>
      <w:r w:rsidR="00324204">
        <w:rPr>
          <w:rFonts w:eastAsia="Times New Roman" w:cs="Arial"/>
          <w:color w:val="000000" w:themeColor="text1"/>
          <w:szCs w:val="20"/>
        </w:rPr>
        <w:t>a</w:t>
      </w:r>
      <w:r w:rsidR="00E43605">
        <w:rPr>
          <w:rFonts w:eastAsia="Times New Roman" w:cs="Arial"/>
          <w:color w:val="000000" w:themeColor="text1"/>
          <w:szCs w:val="20"/>
        </w:rPr>
        <w:t xml:space="preserve">dded </w:t>
      </w:r>
      <w:r w:rsidR="001D45FF">
        <w:rPr>
          <w:rFonts w:eastAsia="Times New Roman" w:cs="Arial"/>
          <w:color w:val="000000" w:themeColor="text1"/>
          <w:szCs w:val="20"/>
        </w:rPr>
        <w:t xml:space="preserve">liability protections for </w:t>
      </w:r>
      <w:r w:rsidR="00E43605" w:rsidRPr="00E43605">
        <w:rPr>
          <w:rFonts w:eastAsia="Times New Roman" w:cs="Arial"/>
          <w:color w:val="000000" w:themeColor="text1"/>
          <w:szCs w:val="20"/>
        </w:rPr>
        <w:t>volunteer healthcare professionals—whether or not they have administered a covered countermeasure</w:t>
      </w:r>
      <w:r w:rsidR="00766F00">
        <w:rPr>
          <w:rFonts w:eastAsia="Times New Roman" w:cs="Arial"/>
          <w:color w:val="000000" w:themeColor="text1"/>
          <w:szCs w:val="20"/>
        </w:rPr>
        <w:t>—</w:t>
      </w:r>
      <w:r w:rsidR="001D45FF">
        <w:rPr>
          <w:rFonts w:eastAsia="Times New Roman" w:cs="Arial"/>
          <w:color w:val="000000" w:themeColor="text1"/>
          <w:szCs w:val="20"/>
        </w:rPr>
        <w:t xml:space="preserve">as well as for </w:t>
      </w:r>
      <w:r w:rsidR="00E43605" w:rsidRPr="00E43605">
        <w:rPr>
          <w:rFonts w:eastAsia="Times New Roman" w:cs="Arial"/>
          <w:color w:val="000000" w:themeColor="text1"/>
          <w:szCs w:val="20"/>
        </w:rPr>
        <w:t xml:space="preserve">qualified healthcare volunteers </w:t>
      </w:r>
      <w:r w:rsidR="00766F00">
        <w:rPr>
          <w:rFonts w:eastAsia="Times New Roman" w:cs="Arial"/>
          <w:color w:val="000000" w:themeColor="text1"/>
          <w:szCs w:val="20"/>
        </w:rPr>
        <w:t xml:space="preserve">who provided </w:t>
      </w:r>
      <w:r w:rsidR="00E43605" w:rsidRPr="00E43605">
        <w:rPr>
          <w:rFonts w:eastAsia="Times New Roman" w:cs="Arial"/>
          <w:color w:val="000000" w:themeColor="text1"/>
          <w:szCs w:val="20"/>
        </w:rPr>
        <w:t>healthcare services during the COVID-19</w:t>
      </w:r>
      <w:r w:rsidR="00766F00">
        <w:rPr>
          <w:rFonts w:eastAsia="Times New Roman" w:cs="Arial"/>
          <w:color w:val="000000" w:themeColor="text1"/>
          <w:szCs w:val="20"/>
        </w:rPr>
        <w:t xml:space="preserve"> emergency response</w:t>
      </w:r>
      <w:r w:rsidR="000577D3" w:rsidRPr="000577D3">
        <w:rPr>
          <w:rFonts w:eastAsia="Times New Roman" w:cs="Arial"/>
          <w:color w:val="000000" w:themeColor="text1"/>
          <w:szCs w:val="20"/>
        </w:rPr>
        <w:t>.</w:t>
      </w:r>
      <w:r w:rsidR="006755F5">
        <w:rPr>
          <w:rStyle w:val="FootnoteReference"/>
          <w:rFonts w:eastAsia="Times New Roman" w:cs="Arial"/>
          <w:color w:val="000000" w:themeColor="text1"/>
          <w:szCs w:val="20"/>
        </w:rPr>
        <w:footnoteReference w:id="5"/>
      </w:r>
      <w:r w:rsidR="00525657">
        <w:rPr>
          <w:rFonts w:eastAsia="Times New Roman" w:cs="Arial"/>
          <w:color w:val="000000" w:themeColor="text1"/>
          <w:szCs w:val="20"/>
        </w:rPr>
        <w:t xml:space="preserve">  </w:t>
      </w:r>
    </w:p>
    <w:p w14:paraId="670FA6E9" w14:textId="77777777" w:rsidR="00F0786B" w:rsidRDefault="00F0786B" w:rsidP="000464BC">
      <w:pPr>
        <w:spacing w:line="360" w:lineRule="auto"/>
        <w:rPr>
          <w:rFonts w:eastAsia="Times New Roman" w:cs="Arial"/>
          <w:color w:val="000000" w:themeColor="text1"/>
          <w:szCs w:val="20"/>
        </w:rPr>
      </w:pPr>
    </w:p>
    <w:p w14:paraId="5812B6DB" w14:textId="3F42C886" w:rsidR="0099702B" w:rsidRPr="000464BC" w:rsidRDefault="0099702B" w:rsidP="000464BC">
      <w:pPr>
        <w:spacing w:line="360" w:lineRule="auto"/>
        <w:rPr>
          <w:rFonts w:eastAsia="Times New Roman" w:cs="Arial"/>
          <w:b/>
          <w:bCs/>
          <w:color w:val="3C3030"/>
          <w:sz w:val="24"/>
          <w:szCs w:val="24"/>
        </w:rPr>
      </w:pPr>
      <w:r w:rsidRPr="0099702B">
        <w:rPr>
          <w:rFonts w:eastAsia="Times New Roman" w:cs="Arial"/>
          <w:color w:val="000000" w:themeColor="text1"/>
          <w:szCs w:val="20"/>
        </w:rPr>
        <w:t>Other</w:t>
      </w:r>
      <w:r w:rsidR="00BD65AB">
        <w:rPr>
          <w:rFonts w:eastAsia="Times New Roman" w:cs="Arial"/>
          <w:color w:val="000000" w:themeColor="text1"/>
          <w:szCs w:val="20"/>
        </w:rPr>
        <w:t xml:space="preserve"> forms of liability protections ar</w:t>
      </w:r>
      <w:r w:rsidRPr="0099702B">
        <w:rPr>
          <w:rFonts w:eastAsia="Times New Roman" w:cs="Arial"/>
          <w:color w:val="000000" w:themeColor="text1"/>
          <w:szCs w:val="20"/>
        </w:rPr>
        <w:t>e</w:t>
      </w:r>
      <w:r w:rsidR="00BD65AB">
        <w:rPr>
          <w:rFonts w:eastAsia="Times New Roman" w:cs="Arial"/>
          <w:color w:val="000000" w:themeColor="text1"/>
          <w:szCs w:val="20"/>
        </w:rPr>
        <w:t xml:space="preserve"> rooted in</w:t>
      </w:r>
      <w:r w:rsidRPr="0099702B">
        <w:rPr>
          <w:rFonts w:eastAsia="Times New Roman" w:cs="Arial"/>
          <w:color w:val="000000" w:themeColor="text1"/>
          <w:szCs w:val="20"/>
        </w:rPr>
        <w:t xml:space="preserve"> fundamental </w:t>
      </w:r>
      <w:r w:rsidR="00BD65AB">
        <w:rPr>
          <w:rFonts w:eastAsia="Times New Roman" w:cs="Arial"/>
          <w:color w:val="000000" w:themeColor="text1"/>
          <w:szCs w:val="20"/>
        </w:rPr>
        <w:t xml:space="preserve">legal </w:t>
      </w:r>
      <w:r w:rsidRPr="0099702B">
        <w:rPr>
          <w:rFonts w:eastAsia="Times New Roman" w:cs="Arial"/>
          <w:color w:val="000000" w:themeColor="text1"/>
          <w:szCs w:val="20"/>
        </w:rPr>
        <w:t xml:space="preserve">principles </w:t>
      </w:r>
      <w:r w:rsidR="008226D9">
        <w:rPr>
          <w:rFonts w:eastAsia="Times New Roman" w:cs="Arial"/>
          <w:color w:val="000000" w:themeColor="text1"/>
          <w:szCs w:val="20"/>
        </w:rPr>
        <w:t>such as sovereign/</w:t>
      </w:r>
      <w:r w:rsidRPr="0099702B">
        <w:rPr>
          <w:rFonts w:eastAsia="Times New Roman" w:cs="Arial"/>
          <w:color w:val="000000" w:themeColor="text1"/>
          <w:szCs w:val="20"/>
        </w:rPr>
        <w:t>governmental immunity</w:t>
      </w:r>
      <w:r w:rsidR="00453DA7">
        <w:rPr>
          <w:rFonts w:eastAsia="Times New Roman" w:cs="Arial"/>
          <w:color w:val="000000" w:themeColor="text1"/>
          <w:szCs w:val="20"/>
        </w:rPr>
        <w:t xml:space="preserve">, which </w:t>
      </w:r>
      <w:r w:rsidRPr="0099702B">
        <w:rPr>
          <w:rFonts w:eastAsia="Times New Roman" w:cs="Arial"/>
          <w:color w:val="000000" w:themeColor="text1"/>
          <w:szCs w:val="20"/>
        </w:rPr>
        <w:t xml:space="preserve">continue to evolve as our understanding of modern emergencies likewise </w:t>
      </w:r>
      <w:r w:rsidR="00453DA7" w:rsidRPr="0099702B">
        <w:rPr>
          <w:rFonts w:eastAsia="Times New Roman" w:cs="Arial"/>
          <w:color w:val="000000" w:themeColor="text1"/>
          <w:szCs w:val="20"/>
        </w:rPr>
        <w:t>changes</w:t>
      </w:r>
      <w:r w:rsidRPr="0099702B">
        <w:rPr>
          <w:rFonts w:eastAsia="Times New Roman" w:cs="Arial"/>
          <w:color w:val="000000" w:themeColor="text1"/>
          <w:szCs w:val="20"/>
        </w:rPr>
        <w:t>. What has emerged is a mosaic of protections that can provide varying degrees of coverage: the extent to which liability protections are available to an</w:t>
      </w:r>
      <w:r w:rsidR="0039607F">
        <w:rPr>
          <w:rFonts w:eastAsia="Times New Roman" w:cs="Arial"/>
          <w:color w:val="000000" w:themeColor="text1"/>
          <w:szCs w:val="20"/>
        </w:rPr>
        <w:t>y</w:t>
      </w:r>
      <w:r w:rsidRPr="0099702B">
        <w:rPr>
          <w:rFonts w:eastAsia="Times New Roman" w:cs="Arial"/>
          <w:color w:val="000000" w:themeColor="text1"/>
          <w:szCs w:val="20"/>
        </w:rPr>
        <w:t xml:space="preserve"> individual, entity, or </w:t>
      </w:r>
      <w:r w:rsidR="00E2033E">
        <w:rPr>
          <w:rFonts w:eastAsia="Times New Roman" w:cs="Arial"/>
          <w:color w:val="000000" w:themeColor="text1"/>
          <w:szCs w:val="20"/>
        </w:rPr>
        <w:t>group of persons</w:t>
      </w:r>
      <w:r w:rsidRPr="0099702B">
        <w:rPr>
          <w:rFonts w:eastAsia="Times New Roman" w:cs="Arial"/>
          <w:color w:val="000000" w:themeColor="text1"/>
          <w:szCs w:val="20"/>
        </w:rPr>
        <w:t xml:space="preserve"> will depend on the actor, the law providing the protections, and the circumstances surrounding a particular emergency response.</w:t>
      </w:r>
      <w:r w:rsidR="00F569BB">
        <w:rPr>
          <w:rFonts w:eastAsia="Times New Roman" w:cs="Arial"/>
          <w:color w:val="000000" w:themeColor="text1"/>
          <w:szCs w:val="20"/>
        </w:rPr>
        <w:t xml:space="preserve"> </w:t>
      </w:r>
      <w:r w:rsidR="00CA2504" w:rsidRPr="0099702B">
        <w:rPr>
          <w:rFonts w:eastAsia="Times New Roman" w:cs="Arial"/>
          <w:color w:val="000000" w:themeColor="text1"/>
          <w:szCs w:val="20"/>
        </w:rPr>
        <w:t xml:space="preserve">This section reviews </w:t>
      </w:r>
      <w:r w:rsidR="0091483B">
        <w:rPr>
          <w:rFonts w:eastAsia="Times New Roman" w:cs="Arial"/>
          <w:color w:val="000000" w:themeColor="text1"/>
          <w:szCs w:val="20"/>
        </w:rPr>
        <w:t xml:space="preserve">some of the </w:t>
      </w:r>
      <w:r w:rsidR="00CA2504" w:rsidRPr="0099702B">
        <w:rPr>
          <w:rFonts w:eastAsia="Times New Roman" w:cs="Arial"/>
          <w:color w:val="000000" w:themeColor="text1"/>
          <w:szCs w:val="20"/>
        </w:rPr>
        <w:t xml:space="preserve">available </w:t>
      </w:r>
      <w:r w:rsidR="00F54F7A">
        <w:rPr>
          <w:rFonts w:eastAsia="Times New Roman" w:cs="Arial"/>
          <w:color w:val="000000" w:themeColor="text1"/>
          <w:szCs w:val="20"/>
        </w:rPr>
        <w:t>STLT</w:t>
      </w:r>
      <w:r w:rsidR="00CA2504" w:rsidRPr="0099702B">
        <w:rPr>
          <w:rFonts w:eastAsia="Times New Roman" w:cs="Arial"/>
          <w:color w:val="000000" w:themeColor="text1"/>
          <w:szCs w:val="20"/>
        </w:rPr>
        <w:t xml:space="preserve"> immunity and liability protections</w:t>
      </w:r>
      <w:r w:rsidR="00E81D6F">
        <w:rPr>
          <w:rFonts w:eastAsia="Times New Roman" w:cs="Arial"/>
          <w:color w:val="000000" w:themeColor="text1"/>
          <w:szCs w:val="20"/>
        </w:rPr>
        <w:t xml:space="preserve">, </w:t>
      </w:r>
      <w:r w:rsidRPr="0099702B">
        <w:rPr>
          <w:rFonts w:eastAsia="Times New Roman" w:cs="Arial"/>
          <w:color w:val="000000" w:themeColor="text1"/>
          <w:szCs w:val="20"/>
        </w:rPr>
        <w:t xml:space="preserve">highlights the actors covered, and discusses the types and extent of liability protections provided. </w:t>
      </w:r>
    </w:p>
    <w:p w14:paraId="743986BA" w14:textId="77777777" w:rsidR="00FC3301" w:rsidRPr="0079749B" w:rsidRDefault="00FC3301" w:rsidP="00EB12E6">
      <w:pPr>
        <w:spacing w:line="360" w:lineRule="auto"/>
        <w:rPr>
          <w:rFonts w:eastAsia="Times New Roman" w:cs="Arial"/>
          <w:b/>
          <w:bCs/>
          <w:color w:val="000000" w:themeColor="text1"/>
          <w:szCs w:val="24"/>
        </w:rPr>
      </w:pPr>
    </w:p>
    <w:p w14:paraId="04A26E88" w14:textId="119180E6" w:rsidR="0099702B" w:rsidRPr="00DF287B" w:rsidRDefault="0099702B" w:rsidP="00755F55">
      <w:pPr>
        <w:spacing w:line="360" w:lineRule="auto"/>
        <w:rPr>
          <w:rFonts w:eastAsia="Times New Roman" w:cs="Arial"/>
          <w:b/>
          <w:bCs/>
          <w:color w:val="000000" w:themeColor="text1"/>
          <w:sz w:val="24"/>
          <w:szCs w:val="24"/>
        </w:rPr>
      </w:pPr>
      <w:r w:rsidRPr="00DF287B">
        <w:rPr>
          <w:rFonts w:eastAsia="Times New Roman" w:cs="Arial"/>
          <w:b/>
          <w:bCs/>
          <w:color w:val="000000" w:themeColor="text1"/>
          <w:sz w:val="24"/>
          <w:szCs w:val="24"/>
        </w:rPr>
        <w:t>Federal Liability Protections and Immunities</w:t>
      </w:r>
    </w:p>
    <w:p w14:paraId="3BED1465" w14:textId="4108C030" w:rsidR="000464BC" w:rsidRDefault="0099702B" w:rsidP="000464BC">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Federal Governmental</w:t>
      </w:r>
      <w:r w:rsidR="006605AD">
        <w:rPr>
          <w:rFonts w:eastAsia="Times New Roman" w:cs="Arial"/>
          <w:b/>
          <w:bCs/>
          <w:color w:val="000000" w:themeColor="text1"/>
          <w:szCs w:val="20"/>
        </w:rPr>
        <w:t xml:space="preserve"> and Tribal</w:t>
      </w:r>
      <w:r w:rsidRPr="0099702B">
        <w:rPr>
          <w:rFonts w:eastAsia="Times New Roman" w:cs="Arial"/>
          <w:b/>
          <w:bCs/>
          <w:color w:val="000000" w:themeColor="text1"/>
          <w:szCs w:val="20"/>
        </w:rPr>
        <w:t>/Sovereign Immunity</w:t>
      </w:r>
    </w:p>
    <w:p w14:paraId="0ACB6AFD" w14:textId="1C025591" w:rsidR="00186B04" w:rsidRDefault="0099702B" w:rsidP="00186B04">
      <w:pPr>
        <w:spacing w:line="360" w:lineRule="auto"/>
        <w:rPr>
          <w:rFonts w:eastAsia="Times New Roman" w:cs="Arial"/>
          <w:b/>
          <w:bCs/>
          <w:color w:val="000000" w:themeColor="text1"/>
          <w:szCs w:val="20"/>
        </w:rPr>
      </w:pPr>
      <w:r w:rsidRPr="0099702B">
        <w:rPr>
          <w:rFonts w:eastAsia="Times New Roman" w:cs="Arial"/>
          <w:color w:val="000000" w:themeColor="text1"/>
          <w:szCs w:val="20"/>
        </w:rPr>
        <w:t>The federal government’s sovereign immunity has its roots in the English common law that became the foundation of the U.S. legal system as the nation developed. The common law doctrine of sovereign immunity holds that the “king”—the state—cannot commit an illegal act and therefore cannot be sued. This doctrine has been modified through court decisions and laws like the Federal Tort Claims Act</w:t>
      </w:r>
      <w:r w:rsidR="008337F8">
        <w:rPr>
          <w:rStyle w:val="FootnoteReference"/>
          <w:rFonts w:eastAsia="Times New Roman" w:cs="Arial"/>
          <w:color w:val="000000" w:themeColor="text1"/>
          <w:szCs w:val="20"/>
        </w:rPr>
        <w:footnoteReference w:id="6"/>
      </w:r>
      <w:r w:rsidRPr="0099702B">
        <w:rPr>
          <w:rFonts w:eastAsia="Times New Roman" w:cs="Arial"/>
          <w:color w:val="000000" w:themeColor="text1"/>
          <w:szCs w:val="20"/>
        </w:rPr>
        <w:t xml:space="preserve"> </w:t>
      </w:r>
      <w:r w:rsidR="00743C4D">
        <w:rPr>
          <w:rFonts w:eastAsia="Times New Roman" w:cs="Arial"/>
          <w:color w:val="000000" w:themeColor="text1"/>
          <w:szCs w:val="20"/>
        </w:rPr>
        <w:t xml:space="preserve">(FTCA) </w:t>
      </w:r>
      <w:r w:rsidRPr="0099702B">
        <w:rPr>
          <w:rFonts w:eastAsia="Times New Roman" w:cs="Arial"/>
          <w:color w:val="000000" w:themeColor="text1"/>
          <w:szCs w:val="20"/>
        </w:rPr>
        <w:t>to allow suits against federal government employees and agents in certain circumstances</w:t>
      </w:r>
      <w:r w:rsidR="00A62206" w:rsidRPr="00A62206">
        <w:rPr>
          <w:rFonts w:eastAsia="Times New Roman" w:cs="Arial"/>
          <w:color w:val="000000" w:themeColor="text1"/>
          <w:szCs w:val="20"/>
        </w:rPr>
        <w:t>.</w:t>
      </w:r>
    </w:p>
    <w:p w14:paraId="3BFE9390" w14:textId="77777777" w:rsidR="00186B04" w:rsidRDefault="00186B04" w:rsidP="00186B04">
      <w:pPr>
        <w:spacing w:line="360" w:lineRule="auto"/>
        <w:rPr>
          <w:rFonts w:eastAsia="Times New Roman" w:cs="Arial"/>
          <w:b/>
          <w:bCs/>
          <w:color w:val="000000" w:themeColor="text1"/>
          <w:szCs w:val="20"/>
        </w:rPr>
      </w:pPr>
    </w:p>
    <w:p w14:paraId="40B686E4" w14:textId="5281F068" w:rsidR="00683EE0" w:rsidRPr="00B62A88" w:rsidRDefault="00FC3C83" w:rsidP="00186B04">
      <w:pPr>
        <w:spacing w:line="360" w:lineRule="auto"/>
        <w:rPr>
          <w:rFonts w:eastAsia="Times New Roman" w:cs="Arial"/>
          <w:b/>
          <w:bCs/>
          <w:color w:val="000000" w:themeColor="text1"/>
          <w:szCs w:val="20"/>
        </w:rPr>
      </w:pPr>
      <w:r w:rsidRPr="00FC3C83">
        <w:rPr>
          <w:rFonts w:eastAsia="Times New Roman" w:cstheme="minorHAnsi"/>
          <w:szCs w:val="20"/>
        </w:rPr>
        <w:t>It should be noted that t</w:t>
      </w:r>
      <w:r w:rsidR="00683EE0" w:rsidRPr="00FC3C83">
        <w:rPr>
          <w:rFonts w:eastAsia="Times New Roman" w:cstheme="minorHAnsi"/>
          <w:szCs w:val="20"/>
        </w:rPr>
        <w:t xml:space="preserve">ribal governments are </w:t>
      </w:r>
      <w:r w:rsidR="001623D4">
        <w:rPr>
          <w:rFonts w:eastAsia="Times New Roman" w:cstheme="minorHAnsi"/>
          <w:szCs w:val="20"/>
        </w:rPr>
        <w:t xml:space="preserve">also </w:t>
      </w:r>
      <w:r w:rsidR="00683EE0" w:rsidRPr="00FC3C83">
        <w:rPr>
          <w:rFonts w:eastAsia="Times New Roman" w:cstheme="minorHAnsi"/>
          <w:szCs w:val="20"/>
        </w:rPr>
        <w:t xml:space="preserve">immune for lawsuits under </w:t>
      </w:r>
      <w:r w:rsidR="001623D4">
        <w:rPr>
          <w:rFonts w:eastAsia="Times New Roman" w:cstheme="minorHAnsi"/>
          <w:szCs w:val="20"/>
        </w:rPr>
        <w:t>the principle of sov</w:t>
      </w:r>
      <w:r w:rsidR="00683EE0" w:rsidRPr="00FC3C83">
        <w:rPr>
          <w:rFonts w:eastAsia="Times New Roman" w:cstheme="minorHAnsi"/>
          <w:szCs w:val="20"/>
        </w:rPr>
        <w:t xml:space="preserve">ereign immunity. </w:t>
      </w:r>
      <w:r w:rsidR="002E781B" w:rsidRPr="00FC3C83">
        <w:rPr>
          <w:rFonts w:eastAsia="Times New Roman" w:cstheme="minorHAnsi"/>
          <w:szCs w:val="20"/>
        </w:rPr>
        <w:t>T</w:t>
      </w:r>
      <w:r w:rsidR="00683EE0" w:rsidRPr="00FC3C83">
        <w:rPr>
          <w:rFonts w:eastAsia="Times New Roman" w:cstheme="minorHAnsi"/>
          <w:szCs w:val="20"/>
        </w:rPr>
        <w:t xml:space="preserve">he U.S. Supreme Court equates the scope of tribal sovereign immunity to be equal to that of the federal government and the </w:t>
      </w:r>
      <w:r w:rsidR="00683EE0" w:rsidRPr="00C922CF">
        <w:rPr>
          <w:rFonts w:eastAsia="Times New Roman" w:cstheme="minorHAnsi"/>
          <w:szCs w:val="20"/>
        </w:rPr>
        <w:t>states.</w:t>
      </w:r>
      <w:r w:rsidRPr="00FC3C83">
        <w:rPr>
          <w:rStyle w:val="FootnoteReference"/>
          <w:rFonts w:eastAsia="Times New Roman" w:cstheme="minorHAnsi"/>
          <w:szCs w:val="20"/>
        </w:rPr>
        <w:footnoteReference w:id="7"/>
      </w:r>
      <w:r w:rsidR="00683EE0" w:rsidRPr="00FC3C83">
        <w:rPr>
          <w:rFonts w:eastAsia="Times New Roman" w:cstheme="minorHAnsi"/>
          <w:szCs w:val="20"/>
        </w:rPr>
        <w:t xml:space="preserve"> </w:t>
      </w:r>
      <w:r w:rsidR="00683EE0" w:rsidRPr="00FC3C83">
        <w:rPr>
          <w:rFonts w:eastAsia="Times New Roman" w:cs="Arial"/>
          <w:color w:val="000000" w:themeColor="text1"/>
          <w:szCs w:val="20"/>
        </w:rPr>
        <w:t xml:space="preserve">Tribal sovereign immunity has </w:t>
      </w:r>
      <w:r w:rsidR="00743C4D">
        <w:rPr>
          <w:rFonts w:eastAsia="Times New Roman" w:cs="Arial"/>
          <w:color w:val="000000" w:themeColor="text1"/>
          <w:szCs w:val="20"/>
        </w:rPr>
        <w:t xml:space="preserve">likewise been </w:t>
      </w:r>
      <w:r w:rsidR="00683EE0" w:rsidRPr="00FC3C83">
        <w:rPr>
          <w:rFonts w:eastAsia="Times New Roman" w:cs="Arial"/>
          <w:color w:val="000000" w:themeColor="text1"/>
          <w:szCs w:val="20"/>
        </w:rPr>
        <w:t xml:space="preserve">modified through court decisions and </w:t>
      </w:r>
      <w:r w:rsidR="000E5C1F">
        <w:rPr>
          <w:rFonts w:eastAsia="Times New Roman" w:cs="Arial"/>
          <w:color w:val="000000" w:themeColor="text1"/>
          <w:szCs w:val="20"/>
        </w:rPr>
        <w:t xml:space="preserve">tort claims </w:t>
      </w:r>
      <w:r w:rsidR="00683EE0" w:rsidRPr="00FC3C83">
        <w:rPr>
          <w:rFonts w:eastAsia="Times New Roman" w:cs="Arial"/>
          <w:color w:val="000000" w:themeColor="text1"/>
          <w:szCs w:val="20"/>
        </w:rPr>
        <w:t xml:space="preserve">laws </w:t>
      </w:r>
      <w:r w:rsidR="000E5C1F">
        <w:rPr>
          <w:rFonts w:eastAsia="Times New Roman" w:cs="Arial"/>
          <w:color w:val="000000" w:themeColor="text1"/>
          <w:szCs w:val="20"/>
        </w:rPr>
        <w:t>that</w:t>
      </w:r>
      <w:r w:rsidR="00683EE0" w:rsidRPr="00FC3C83">
        <w:rPr>
          <w:rFonts w:eastAsia="Times New Roman" w:cs="Arial"/>
          <w:color w:val="000000" w:themeColor="text1"/>
          <w:szCs w:val="20"/>
        </w:rPr>
        <w:t xml:space="preserve"> allow suits against tribal employees and agents in </w:t>
      </w:r>
      <w:r w:rsidR="002B6582">
        <w:rPr>
          <w:rFonts w:eastAsia="Times New Roman" w:cs="Arial"/>
          <w:color w:val="000000" w:themeColor="text1"/>
          <w:szCs w:val="20"/>
        </w:rPr>
        <w:t xml:space="preserve">specified </w:t>
      </w:r>
      <w:r w:rsidR="00683EE0" w:rsidRPr="00FC3C83">
        <w:rPr>
          <w:rFonts w:eastAsia="Times New Roman" w:cs="Arial"/>
          <w:color w:val="000000" w:themeColor="text1"/>
          <w:szCs w:val="20"/>
        </w:rPr>
        <w:t>circumstances.</w:t>
      </w:r>
      <w:r w:rsidR="00DA1776">
        <w:rPr>
          <w:rStyle w:val="FootnoteReference"/>
          <w:rFonts w:eastAsia="Times New Roman" w:cs="Arial"/>
          <w:color w:val="000000" w:themeColor="text1"/>
          <w:szCs w:val="20"/>
        </w:rPr>
        <w:footnoteReference w:id="8"/>
      </w:r>
      <w:r w:rsidR="00683EE0" w:rsidRPr="00FC3C83">
        <w:rPr>
          <w:rFonts w:eastAsia="Times New Roman" w:cs="Arial"/>
          <w:color w:val="000000" w:themeColor="text1"/>
          <w:szCs w:val="20"/>
        </w:rPr>
        <w:t xml:space="preserve"> </w:t>
      </w:r>
    </w:p>
    <w:p w14:paraId="0E63B59B" w14:textId="77777777" w:rsidR="000A2EC6" w:rsidRPr="0079749B" w:rsidRDefault="000A2EC6" w:rsidP="00EB12E6">
      <w:pPr>
        <w:spacing w:line="360" w:lineRule="auto"/>
        <w:rPr>
          <w:rFonts w:eastAsia="Times New Roman" w:cs="Arial"/>
          <w:b/>
          <w:bCs/>
          <w:color w:val="000000" w:themeColor="text1"/>
          <w:szCs w:val="20"/>
        </w:rPr>
      </w:pPr>
    </w:p>
    <w:p w14:paraId="71CE21B0" w14:textId="77777777" w:rsidR="006605AD" w:rsidRDefault="0099702B" w:rsidP="00320A15">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lastRenderedPageBreak/>
        <w:t>Federal Tort Claims Act (FTCA)</w:t>
      </w:r>
    </w:p>
    <w:p w14:paraId="41878584" w14:textId="77777777" w:rsidR="005B2531" w:rsidRDefault="0099702B" w:rsidP="006605AD">
      <w:pPr>
        <w:spacing w:line="360" w:lineRule="auto"/>
        <w:rPr>
          <w:rFonts w:eastAsia="Times New Roman" w:cs="Arial"/>
          <w:color w:val="000000" w:themeColor="text1"/>
          <w:szCs w:val="20"/>
        </w:rPr>
      </w:pPr>
      <w:r w:rsidRPr="0099702B">
        <w:rPr>
          <w:rFonts w:eastAsia="Times New Roman" w:cs="Arial"/>
          <w:color w:val="000000" w:themeColor="text1"/>
          <w:szCs w:val="20"/>
        </w:rPr>
        <w:t>The FTCA is generally the exclusive path by which individuals can seek compensation when injured by employees acting within the scope of their work.</w:t>
      </w:r>
      <w:r w:rsidR="00607F3D">
        <w:rPr>
          <w:rStyle w:val="FootnoteReference"/>
          <w:rFonts w:eastAsia="Times New Roman" w:cs="Arial"/>
          <w:color w:val="000000" w:themeColor="text1"/>
          <w:szCs w:val="20"/>
        </w:rPr>
        <w:footnoteReference w:id="9"/>
      </w:r>
      <w:r w:rsidRPr="0099702B">
        <w:rPr>
          <w:rFonts w:eastAsia="Times New Roman" w:cs="Arial"/>
          <w:color w:val="000000" w:themeColor="text1"/>
          <w:szCs w:val="20"/>
        </w:rPr>
        <w:t xml:space="preserve"> The FTCA immunizes </w:t>
      </w:r>
      <w:r w:rsidR="00E3371B">
        <w:rPr>
          <w:rFonts w:eastAsia="Times New Roman" w:cs="Arial"/>
          <w:color w:val="000000" w:themeColor="text1"/>
          <w:szCs w:val="20"/>
        </w:rPr>
        <w:t>g</w:t>
      </w:r>
      <w:r w:rsidRPr="0099702B">
        <w:rPr>
          <w:rFonts w:eastAsia="Times New Roman" w:cs="Arial"/>
          <w:color w:val="000000" w:themeColor="text1"/>
          <w:szCs w:val="20"/>
        </w:rPr>
        <w:t>overnment employees from tort liability by substituting the federal</w:t>
      </w:r>
      <w:r w:rsidR="00E3371B">
        <w:rPr>
          <w:rFonts w:eastAsia="Times New Roman" w:cs="Arial"/>
          <w:color w:val="000000" w:themeColor="text1"/>
          <w:szCs w:val="20"/>
        </w:rPr>
        <w:t xml:space="preserve"> </w:t>
      </w:r>
      <w:r w:rsidRPr="0099702B">
        <w:rPr>
          <w:rFonts w:eastAsia="Times New Roman" w:cs="Arial"/>
          <w:color w:val="000000" w:themeColor="text1"/>
          <w:szCs w:val="20"/>
        </w:rPr>
        <w:t>government as the defendant in certain types of suits brought against the government. Specifically, the act allows suits for “injury or loss of property, or personal injury or death caused by the negligent or wrongful act or omission of any employee of the government while acting within the scope of his office or employment, under circumstances where the United States, if a private person, would be liable to the claimant in accordance with the law of the place where the act or omission occurred.”</w:t>
      </w:r>
      <w:r w:rsidR="00607F3D">
        <w:rPr>
          <w:rStyle w:val="FootnoteReference"/>
          <w:rFonts w:eastAsia="Times New Roman" w:cs="Arial"/>
          <w:color w:val="000000" w:themeColor="text1"/>
          <w:szCs w:val="20"/>
        </w:rPr>
        <w:footnoteReference w:id="10"/>
      </w:r>
      <w:r w:rsidR="007E422A">
        <w:rPr>
          <w:rFonts w:eastAsia="Times New Roman" w:cs="Arial"/>
          <w:color w:val="000000" w:themeColor="text1"/>
          <w:szCs w:val="20"/>
        </w:rPr>
        <w:t xml:space="preserve"> </w:t>
      </w:r>
    </w:p>
    <w:p w14:paraId="08FA2DA1" w14:textId="77777777" w:rsidR="005B2531" w:rsidRDefault="005B2531" w:rsidP="006605AD">
      <w:pPr>
        <w:spacing w:line="360" w:lineRule="auto"/>
        <w:rPr>
          <w:rFonts w:eastAsia="Times New Roman" w:cs="Arial"/>
          <w:color w:val="000000" w:themeColor="text1"/>
          <w:szCs w:val="20"/>
        </w:rPr>
      </w:pPr>
    </w:p>
    <w:p w14:paraId="69E24C9E" w14:textId="77777777" w:rsidR="00DB2552" w:rsidRDefault="00D81CDF" w:rsidP="00DB2552">
      <w:pPr>
        <w:spacing w:line="360" w:lineRule="auto"/>
        <w:rPr>
          <w:rFonts w:cstheme="minorHAnsi"/>
          <w:color w:val="353535"/>
          <w:shd w:val="clear" w:color="auto" w:fill="FFFFFF"/>
        </w:rPr>
      </w:pPr>
      <w:r>
        <w:rPr>
          <w:rFonts w:eastAsia="Times New Roman" w:cs="Arial"/>
          <w:color w:val="000000" w:themeColor="text1"/>
          <w:szCs w:val="20"/>
        </w:rPr>
        <w:t xml:space="preserve">In the </w:t>
      </w:r>
      <w:r w:rsidRPr="00B93F85">
        <w:t>Indian Self-Determination and Education Assistance Act</w:t>
      </w:r>
      <w:r w:rsidRPr="00E63B7A">
        <w:rPr>
          <w:vertAlign w:val="superscript"/>
        </w:rPr>
        <w:footnoteReference w:id="11"/>
      </w:r>
      <w:r w:rsidRPr="00B93F85">
        <w:t xml:space="preserve">, </w:t>
      </w:r>
      <w:r w:rsidR="007E422A" w:rsidRPr="00B93F85">
        <w:t xml:space="preserve">Congress extended </w:t>
      </w:r>
      <w:r w:rsidR="00404491" w:rsidRPr="00B93F85">
        <w:t>FTCA</w:t>
      </w:r>
      <w:r w:rsidR="007E422A" w:rsidRPr="00B93F85">
        <w:t xml:space="preserve"> </w:t>
      </w:r>
      <w:r w:rsidR="00BC6E04" w:rsidRPr="00B93F85">
        <w:t>coverage to</w:t>
      </w:r>
      <w:r w:rsidR="007E422A" w:rsidRPr="00B93F85">
        <w:t xml:space="preserve"> </w:t>
      </w:r>
      <w:r w:rsidR="00404491" w:rsidRPr="00B93F85">
        <w:t xml:space="preserve">negligent acts of </w:t>
      </w:r>
      <w:r w:rsidR="00AC1028" w:rsidRPr="00B93F85">
        <w:t>t</w:t>
      </w:r>
      <w:r w:rsidR="00404491" w:rsidRPr="00B93F85">
        <w:t xml:space="preserve">ribal contractors </w:t>
      </w:r>
      <w:r w:rsidR="00721DCB" w:rsidRPr="00B93F85">
        <w:t>fulfilling</w:t>
      </w:r>
      <w:r w:rsidR="00404491" w:rsidRPr="00B93F85">
        <w:t xml:space="preserve"> </w:t>
      </w:r>
      <w:r w:rsidR="00614A48" w:rsidRPr="00B93F85">
        <w:t xml:space="preserve">federal </w:t>
      </w:r>
      <w:r w:rsidR="00404491" w:rsidRPr="00B93F85">
        <w:t>contracts, grants, or cooperative agreements</w:t>
      </w:r>
      <w:r w:rsidR="000E704C" w:rsidRPr="00B93F85">
        <w:t>, including those</w:t>
      </w:r>
      <w:r w:rsidR="00BE5690" w:rsidRPr="00B93F85">
        <w:t xml:space="preserve"> </w:t>
      </w:r>
      <w:r w:rsidR="00FB73D9" w:rsidRPr="00B93F85">
        <w:t>with the Indian Health Service.</w:t>
      </w:r>
      <w:r w:rsidR="00C76EBF" w:rsidRPr="00E63B7A">
        <w:rPr>
          <w:vertAlign w:val="superscript"/>
        </w:rPr>
        <w:footnoteReference w:id="12"/>
      </w:r>
      <w:r w:rsidR="00404491" w:rsidRPr="00B93F85">
        <w:t xml:space="preserve"> </w:t>
      </w:r>
      <w:r w:rsidR="007E422A" w:rsidRPr="00B93F85">
        <w:t>As a result of extending this coverage to tribal contractors, individuals injured by tribal employees may, under certain circumstances, seek compensation from the federal government.</w:t>
      </w:r>
      <w:r w:rsidR="00444DD7" w:rsidRPr="00B93F85">
        <w:t xml:space="preserve"> </w:t>
      </w:r>
      <w:r w:rsidR="005B2531">
        <w:t xml:space="preserve">For coverage under </w:t>
      </w:r>
      <w:r w:rsidR="005C303F">
        <w:t>FTCA</w:t>
      </w:r>
      <w:r w:rsidR="007E422A" w:rsidRPr="005B2531">
        <w:t>, a tribal employee must be acting within the scope of his or her employment</w:t>
      </w:r>
      <w:r w:rsidR="005C303F">
        <w:t xml:space="preserve"> </w:t>
      </w:r>
      <w:r w:rsidR="007E422A" w:rsidRPr="005B2531">
        <w:t>and</w:t>
      </w:r>
      <w:r w:rsidR="005C303F">
        <w:t xml:space="preserve"> </w:t>
      </w:r>
      <w:r w:rsidR="007E422A" w:rsidRPr="005B2531">
        <w:t>within the scope of the tribe’s contract or compact</w:t>
      </w:r>
      <w:r w:rsidR="005C303F">
        <w:t>.</w:t>
      </w:r>
      <w:r w:rsidR="002D69DD" w:rsidRPr="005B2531">
        <w:rPr>
          <w:vertAlign w:val="superscript"/>
        </w:rPr>
        <w:footnoteReference w:id="13"/>
      </w:r>
      <w:r w:rsidR="00404491">
        <w:rPr>
          <w:rFonts w:cstheme="minorHAnsi"/>
          <w:color w:val="353535"/>
          <w:shd w:val="clear" w:color="auto" w:fill="FFFFFF"/>
        </w:rPr>
        <w:t xml:space="preserve">   </w:t>
      </w:r>
    </w:p>
    <w:p w14:paraId="4F6D6775" w14:textId="77777777" w:rsidR="00DB2552" w:rsidRDefault="00DB2552" w:rsidP="00DB2552">
      <w:pPr>
        <w:spacing w:line="360" w:lineRule="auto"/>
        <w:rPr>
          <w:rFonts w:cstheme="minorHAnsi"/>
          <w:color w:val="353535"/>
          <w:shd w:val="clear" w:color="auto" w:fill="FFFFFF"/>
        </w:rPr>
      </w:pPr>
    </w:p>
    <w:p w14:paraId="6EAB12FD" w14:textId="45CC431F" w:rsidR="0099702B" w:rsidRDefault="0099702B" w:rsidP="00DB2552">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Prior to filing suit under the FTCA, a claimant must present a claim to the federal agency under which the claim arises. If the agency denies the claim or fails to </w:t>
      </w:r>
      <w:r w:rsidR="008C460D">
        <w:rPr>
          <w:rFonts w:eastAsia="Times New Roman" w:cs="Arial"/>
          <w:color w:val="000000" w:themeColor="text1"/>
          <w:szCs w:val="20"/>
        </w:rPr>
        <w:t>act</w:t>
      </w:r>
      <w:r w:rsidRPr="0099702B">
        <w:rPr>
          <w:rFonts w:eastAsia="Times New Roman" w:cs="Arial"/>
          <w:color w:val="000000" w:themeColor="text1"/>
          <w:szCs w:val="20"/>
        </w:rPr>
        <w:t xml:space="preserve"> on it within a specified time period, a claimant can file suit in federal district court. If a suit is brought, the federal government stands in as the defendant in place of </w:t>
      </w:r>
      <w:r w:rsidR="00312901">
        <w:rPr>
          <w:rFonts w:eastAsia="Times New Roman" w:cs="Arial"/>
          <w:color w:val="000000" w:themeColor="text1"/>
          <w:szCs w:val="20"/>
        </w:rPr>
        <w:t>an</w:t>
      </w:r>
      <w:r w:rsidRPr="0099702B">
        <w:rPr>
          <w:rFonts w:eastAsia="Times New Roman" w:cs="Arial"/>
          <w:color w:val="000000" w:themeColor="text1"/>
          <w:szCs w:val="20"/>
        </w:rPr>
        <w:t xml:space="preserve"> employee sued for actions within the scope of </w:t>
      </w:r>
      <w:r w:rsidR="000B579A">
        <w:rPr>
          <w:rFonts w:eastAsia="Times New Roman" w:cs="Arial"/>
          <w:color w:val="000000" w:themeColor="text1"/>
          <w:szCs w:val="20"/>
        </w:rPr>
        <w:t xml:space="preserve">their </w:t>
      </w:r>
      <w:r w:rsidRPr="0099702B">
        <w:rPr>
          <w:rFonts w:eastAsia="Times New Roman" w:cs="Arial"/>
          <w:color w:val="000000" w:themeColor="text1"/>
          <w:szCs w:val="20"/>
        </w:rPr>
        <w:t>employment. Lawsuits under the FTCA are decided by a judge rather than a jury. Coverage under the FTCA does not require that an emergency declaration be in place before immunity attaches.</w:t>
      </w:r>
    </w:p>
    <w:p w14:paraId="340467C0" w14:textId="4A20D4FC" w:rsidR="0099702B" w:rsidRPr="000844A3" w:rsidRDefault="0099702B" w:rsidP="00EB12E6">
      <w:pPr>
        <w:pStyle w:val="ListParagraph"/>
        <w:numPr>
          <w:ilvl w:val="0"/>
          <w:numId w:val="18"/>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lastRenderedPageBreak/>
        <w:t>Actors—</w:t>
      </w:r>
      <w:r w:rsidRPr="000844A3">
        <w:rPr>
          <w:rFonts w:eastAsia="Times New Roman" w:cs="Arial"/>
          <w:color w:val="000000" w:themeColor="text1"/>
          <w:szCs w:val="20"/>
        </w:rPr>
        <w:t>The FTCA covers all government employees, including volunteer</w:t>
      </w:r>
      <w:r w:rsidR="00A84876">
        <w:rPr>
          <w:rFonts w:eastAsia="Times New Roman" w:cs="Arial"/>
          <w:color w:val="000000" w:themeColor="text1"/>
          <w:szCs w:val="20"/>
        </w:rPr>
        <w:t xml:space="preserve"> health professionals</w:t>
      </w:r>
      <w:r w:rsidR="0016497C">
        <w:rPr>
          <w:rFonts w:eastAsia="Times New Roman" w:cs="Arial"/>
          <w:color w:val="000000" w:themeColor="text1"/>
          <w:szCs w:val="20"/>
        </w:rPr>
        <w:t xml:space="preserve"> </w:t>
      </w:r>
      <w:r w:rsidR="00F350EA">
        <w:rPr>
          <w:rFonts w:eastAsia="Times New Roman" w:cs="Arial"/>
          <w:color w:val="000000" w:themeColor="text1"/>
          <w:szCs w:val="20"/>
        </w:rPr>
        <w:t>who have been</w:t>
      </w:r>
      <w:r w:rsidR="0016497C">
        <w:rPr>
          <w:rFonts w:eastAsia="Times New Roman" w:cs="Arial"/>
          <w:color w:val="000000" w:themeColor="text1"/>
          <w:szCs w:val="20"/>
        </w:rPr>
        <w:t xml:space="preserve"> deemed to be </w:t>
      </w:r>
      <w:r w:rsidR="00750D88">
        <w:rPr>
          <w:rFonts w:eastAsia="Times New Roman" w:cs="Arial"/>
          <w:color w:val="000000" w:themeColor="text1"/>
          <w:szCs w:val="20"/>
        </w:rPr>
        <w:t>federal</w:t>
      </w:r>
      <w:r w:rsidR="00995830">
        <w:rPr>
          <w:rFonts w:eastAsia="Times New Roman" w:cs="Arial"/>
          <w:color w:val="000000" w:themeColor="text1"/>
          <w:szCs w:val="20"/>
        </w:rPr>
        <w:t xml:space="preserve"> employees</w:t>
      </w:r>
      <w:r w:rsidRPr="000844A3">
        <w:rPr>
          <w:rFonts w:eastAsia="Times New Roman" w:cs="Arial"/>
          <w:color w:val="000000" w:themeColor="text1"/>
          <w:szCs w:val="20"/>
        </w:rPr>
        <w:t>; it does not cover volunteers in nongovernmental settings.</w:t>
      </w:r>
    </w:p>
    <w:p w14:paraId="280D03B3" w14:textId="3016D976" w:rsidR="0099702B" w:rsidRPr="000844A3" w:rsidRDefault="0099702B" w:rsidP="00EB12E6">
      <w:pPr>
        <w:pStyle w:val="ListParagraph"/>
        <w:numPr>
          <w:ilvl w:val="0"/>
          <w:numId w:val="18"/>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Protections—</w:t>
      </w:r>
      <w:r w:rsidRPr="000844A3">
        <w:rPr>
          <w:rFonts w:eastAsia="Times New Roman" w:cs="Arial"/>
          <w:color w:val="000000" w:themeColor="text1"/>
          <w:szCs w:val="20"/>
        </w:rPr>
        <w:t>The FTCA contains a number of exceptions under which the United States may not be held liable even though a private employer could be held liable under state law; among these exceptions are: (1) the performance of discretionary functions; (2) commission of intentional torts; (3) injuries sustained by military personnel incident to their service. Federal employees may still be sued for violating the U.S. Constitution or a federal statute that authorizes suit against an individual</w:t>
      </w:r>
      <w:r w:rsidR="00FF48FA">
        <w:rPr>
          <w:rFonts w:eastAsia="Times New Roman" w:cs="Arial"/>
          <w:color w:val="000000" w:themeColor="text1"/>
          <w:szCs w:val="20"/>
        </w:rPr>
        <w:t>.</w:t>
      </w:r>
    </w:p>
    <w:p w14:paraId="1653A06E" w14:textId="77777777" w:rsidR="0099702B" w:rsidRPr="000844A3" w:rsidRDefault="0099702B" w:rsidP="003041C9">
      <w:pPr>
        <w:pStyle w:val="ListParagraph"/>
        <w:numPr>
          <w:ilvl w:val="0"/>
          <w:numId w:val="18"/>
        </w:numPr>
        <w:spacing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Relation to State Laws—</w:t>
      </w:r>
      <w:r w:rsidRPr="000844A3">
        <w:rPr>
          <w:rFonts w:eastAsia="Times New Roman" w:cs="Arial"/>
          <w:color w:val="000000" w:themeColor="text1"/>
          <w:szCs w:val="20"/>
        </w:rPr>
        <w:t>Federal employees are immune from suit under state tort law.</w:t>
      </w:r>
    </w:p>
    <w:p w14:paraId="4F6D4BDF" w14:textId="4D17D4D4" w:rsidR="000844A3" w:rsidRDefault="000844A3" w:rsidP="003041C9">
      <w:pPr>
        <w:spacing w:line="360" w:lineRule="auto"/>
        <w:rPr>
          <w:rFonts w:eastAsia="Times New Roman" w:cs="Arial"/>
          <w:b/>
          <w:bCs/>
          <w:color w:val="000000" w:themeColor="text1"/>
          <w:szCs w:val="20"/>
        </w:rPr>
      </w:pPr>
    </w:p>
    <w:p w14:paraId="18DAA888" w14:textId="77777777" w:rsidR="000464BC" w:rsidRPr="00DF287B" w:rsidRDefault="0099702B" w:rsidP="00563341">
      <w:pPr>
        <w:keepNext/>
        <w:spacing w:line="360" w:lineRule="auto"/>
        <w:rPr>
          <w:rFonts w:eastAsia="Times New Roman" w:cs="Arial"/>
          <w:b/>
          <w:bCs/>
          <w:color w:val="000000" w:themeColor="text1"/>
          <w:szCs w:val="20"/>
        </w:rPr>
      </w:pPr>
      <w:r w:rsidRPr="00DF287B">
        <w:rPr>
          <w:rFonts w:eastAsia="Times New Roman" w:cs="Arial"/>
          <w:b/>
          <w:bCs/>
          <w:color w:val="000000" w:themeColor="text1"/>
          <w:szCs w:val="20"/>
        </w:rPr>
        <w:t>Volunteer Protection Act</w:t>
      </w:r>
    </w:p>
    <w:p w14:paraId="6DBC95E4" w14:textId="476545E5" w:rsidR="0099702B" w:rsidRPr="000464BC" w:rsidRDefault="0099702B" w:rsidP="003226A7">
      <w:pPr>
        <w:spacing w:after="120" w:line="360" w:lineRule="auto"/>
        <w:rPr>
          <w:rFonts w:eastAsia="Times New Roman" w:cs="Arial"/>
          <w:b/>
          <w:bCs/>
          <w:color w:val="000000" w:themeColor="text1"/>
          <w:szCs w:val="20"/>
        </w:rPr>
      </w:pPr>
      <w:r w:rsidRPr="0099702B">
        <w:rPr>
          <w:rFonts w:eastAsia="Times New Roman" w:cs="Arial"/>
          <w:color w:val="000000" w:themeColor="text1"/>
          <w:szCs w:val="20"/>
        </w:rPr>
        <w:t xml:space="preserve">The federal Volunteer Protection Act (VPA) provides immunity </w:t>
      </w:r>
      <w:r w:rsidR="0020102D">
        <w:rPr>
          <w:rFonts w:eastAsia="Times New Roman" w:cs="Arial"/>
          <w:color w:val="000000" w:themeColor="text1"/>
          <w:szCs w:val="20"/>
        </w:rPr>
        <w:t>from eco</w:t>
      </w:r>
      <w:r w:rsidR="00563493">
        <w:rPr>
          <w:rFonts w:eastAsia="Times New Roman" w:cs="Arial"/>
          <w:color w:val="000000" w:themeColor="text1"/>
          <w:szCs w:val="20"/>
        </w:rPr>
        <w:t xml:space="preserve">nomic damages </w:t>
      </w:r>
      <w:r w:rsidRPr="0099702B">
        <w:rPr>
          <w:rFonts w:eastAsia="Times New Roman" w:cs="Arial"/>
          <w:color w:val="000000" w:themeColor="text1"/>
          <w:szCs w:val="20"/>
        </w:rPr>
        <w:t>for volunteers of nonprofit organizations or governmental entities against claims of ordinary negligence.</w:t>
      </w:r>
      <w:r w:rsidR="00AE6413">
        <w:rPr>
          <w:rStyle w:val="FootnoteReference"/>
          <w:rFonts w:eastAsia="Times New Roman" w:cs="Arial"/>
          <w:color w:val="000000" w:themeColor="text1"/>
          <w:szCs w:val="20"/>
        </w:rPr>
        <w:footnoteReference w:id="14"/>
      </w:r>
      <w:r w:rsidRPr="0099702B">
        <w:rPr>
          <w:rFonts w:eastAsia="Times New Roman" w:cs="Arial"/>
          <w:color w:val="000000" w:themeColor="text1"/>
          <w:szCs w:val="20"/>
        </w:rPr>
        <w:t xml:space="preserve"> The act does not require that an emergency declaration be in place for its protections to apply.</w:t>
      </w:r>
    </w:p>
    <w:p w14:paraId="76CF4F06" w14:textId="77777777" w:rsidR="0099702B" w:rsidRPr="000844A3" w:rsidRDefault="0099702B" w:rsidP="003226A7">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Actors—</w:t>
      </w:r>
      <w:r w:rsidRPr="000844A3">
        <w:rPr>
          <w:rFonts w:eastAsia="Times New Roman" w:cs="Arial"/>
          <w:color w:val="000000" w:themeColor="text1"/>
          <w:szCs w:val="20"/>
        </w:rPr>
        <w:t>The VPA protects individual volunteers who are working without compensation and within their scope of responsibility for a governmental entity or nonprofit organization. VPA does not protect volunteers working in businesses (including for-profit hospitals) and organizational entities of any type (including nonprofit or governmental organizations) that use volunteers.</w:t>
      </w:r>
    </w:p>
    <w:p w14:paraId="0A179B7C" w14:textId="038F0740" w:rsidR="0099702B" w:rsidRPr="000844A3" w:rsidRDefault="0099702B" w:rsidP="003226A7">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Protections—</w:t>
      </w:r>
      <w:r w:rsidRPr="000844A3">
        <w:rPr>
          <w:rFonts w:eastAsia="Times New Roman" w:cs="Arial"/>
          <w:color w:val="000000" w:themeColor="text1"/>
          <w:szCs w:val="20"/>
        </w:rPr>
        <w:t xml:space="preserve">The VPA shields volunteers from ordinary negligence. It does not protect volunteers from liability for: (1) actions beyond ordinary negligence (e.g., gross negligence); (2) actions for which the volunteer is not properly licensed or insured; (3) operation of a motor or other vehicle that requires a license and insurance; or (4) for any criminal conduct or civil rights violations. A plaintiff’s right to recover is limited to punitive damages from a protected volunteer; the VPA does not provide for payment of defense costs or payment of a judgment or settlement. </w:t>
      </w:r>
      <w:r w:rsidR="005050AF">
        <w:rPr>
          <w:rFonts w:eastAsia="Times New Roman" w:cs="Arial"/>
          <w:color w:val="000000" w:themeColor="text1"/>
          <w:szCs w:val="20"/>
        </w:rPr>
        <w:t xml:space="preserve">The VPA does not prevent a volunteer from being sued for noneconomic damages. </w:t>
      </w:r>
      <w:r w:rsidRPr="000844A3">
        <w:rPr>
          <w:rFonts w:eastAsia="Times New Roman" w:cs="Arial"/>
          <w:color w:val="000000" w:themeColor="text1"/>
          <w:szCs w:val="20"/>
        </w:rPr>
        <w:t>The act also does not prohibit a nonprofit or governmental entity from suing its own volunteers.</w:t>
      </w:r>
    </w:p>
    <w:p w14:paraId="46B492BA" w14:textId="60FC2EA2" w:rsidR="0099702B" w:rsidRPr="000844A3" w:rsidRDefault="0099702B" w:rsidP="00EB12E6">
      <w:pPr>
        <w:pStyle w:val="ListParagraph"/>
        <w:numPr>
          <w:ilvl w:val="0"/>
          <w:numId w:val="19"/>
        </w:numPr>
        <w:spacing w:after="120" w:line="360" w:lineRule="auto"/>
        <w:contextualSpacing w:val="0"/>
        <w:textAlignment w:val="baseline"/>
        <w:rPr>
          <w:rFonts w:eastAsia="Times New Roman" w:cs="Arial"/>
          <w:color w:val="000000" w:themeColor="text1"/>
          <w:szCs w:val="20"/>
        </w:rPr>
      </w:pPr>
      <w:r w:rsidRPr="000844A3">
        <w:rPr>
          <w:rFonts w:eastAsia="Times New Roman" w:cs="Arial"/>
          <w:b/>
          <w:bCs/>
          <w:color w:val="000000" w:themeColor="text1"/>
          <w:szCs w:val="20"/>
          <w:bdr w:val="none" w:sz="0" w:space="0" w:color="auto" w:frame="1"/>
        </w:rPr>
        <w:t>Relation to State Laws—</w:t>
      </w:r>
      <w:r w:rsidRPr="000844A3">
        <w:rPr>
          <w:rFonts w:eastAsia="Times New Roman" w:cs="Arial"/>
          <w:color w:val="000000" w:themeColor="text1"/>
          <w:szCs w:val="20"/>
        </w:rPr>
        <w:t>The VPA expressly preempts state volunteer protection laws that provide less coverage than the VPA; states can adopt laws that provide greater protections than the VPA</w:t>
      </w:r>
      <w:r w:rsidR="00E23383">
        <w:rPr>
          <w:rFonts w:eastAsia="Times New Roman" w:cs="Arial"/>
          <w:color w:val="000000" w:themeColor="text1"/>
          <w:szCs w:val="20"/>
        </w:rPr>
        <w:t xml:space="preserve"> and </w:t>
      </w:r>
      <w:r w:rsidR="00E23383">
        <w:rPr>
          <w:rFonts w:eastAsia="Times New Roman" w:cs="Arial"/>
          <w:color w:val="000000" w:themeColor="text1"/>
          <w:szCs w:val="20"/>
        </w:rPr>
        <w:lastRenderedPageBreak/>
        <w:t xml:space="preserve">thereby opt out of the federal </w:t>
      </w:r>
      <w:r w:rsidR="00D87824">
        <w:rPr>
          <w:rFonts w:eastAsia="Times New Roman" w:cs="Arial"/>
          <w:color w:val="000000" w:themeColor="text1"/>
          <w:szCs w:val="20"/>
        </w:rPr>
        <w:t>VPA</w:t>
      </w:r>
      <w:r w:rsidRPr="000844A3">
        <w:rPr>
          <w:rFonts w:eastAsia="Times New Roman" w:cs="Arial"/>
          <w:color w:val="000000" w:themeColor="text1"/>
          <w:szCs w:val="20"/>
        </w:rPr>
        <w:t>.</w:t>
      </w:r>
      <w:r w:rsidR="007A6E48">
        <w:rPr>
          <w:rFonts w:eastAsia="Times New Roman" w:cs="Arial"/>
          <w:color w:val="000000" w:themeColor="text1"/>
          <w:szCs w:val="20"/>
        </w:rPr>
        <w:t xml:space="preserve"> </w:t>
      </w:r>
      <w:r w:rsidR="0091136D">
        <w:rPr>
          <w:rFonts w:eastAsia="Times New Roman" w:cs="Arial"/>
          <w:color w:val="000000" w:themeColor="text1"/>
          <w:szCs w:val="20"/>
        </w:rPr>
        <w:t>States can also enact legislation that makes VPA inapplicable to state citizens in state courts.</w:t>
      </w:r>
      <w:r w:rsidR="0091136D" w:rsidRPr="000844A3">
        <w:rPr>
          <w:rFonts w:eastAsia="Times New Roman" w:cs="Arial"/>
          <w:color w:val="000000" w:themeColor="text1"/>
          <w:szCs w:val="20"/>
        </w:rPr>
        <w:t xml:space="preserve"> </w:t>
      </w:r>
    </w:p>
    <w:p w14:paraId="0FFE9720" w14:textId="77777777" w:rsidR="000844A3" w:rsidRDefault="000844A3" w:rsidP="00EB12E6">
      <w:pPr>
        <w:spacing w:line="360" w:lineRule="auto"/>
        <w:rPr>
          <w:rFonts w:eastAsia="Times New Roman" w:cs="Arial"/>
          <w:b/>
          <w:bCs/>
          <w:color w:val="000000" w:themeColor="text1"/>
          <w:szCs w:val="20"/>
        </w:rPr>
      </w:pPr>
    </w:p>
    <w:p w14:paraId="6B46846D" w14:textId="77777777" w:rsidR="000464BC" w:rsidRDefault="0099702B" w:rsidP="000464BC">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Public Readiness and Emergency Preparedness Act (PREP Act)</w:t>
      </w:r>
    </w:p>
    <w:p w14:paraId="09B3835A" w14:textId="77777777" w:rsidR="006C45C4" w:rsidRDefault="0099702B" w:rsidP="003226A7">
      <w:pPr>
        <w:spacing w:line="360" w:lineRule="auto"/>
        <w:textAlignment w:val="baseline"/>
      </w:pPr>
      <w:r w:rsidRPr="00717622">
        <w:rPr>
          <w:rFonts w:eastAsia="Times New Roman" w:cs="Arial"/>
          <w:color w:val="000000" w:themeColor="text1"/>
          <w:szCs w:val="20"/>
        </w:rPr>
        <w:t xml:space="preserve">The Public Readiness and Emergency Preparedness Act of 2005 (PREP Act) </w:t>
      </w:r>
      <w:r w:rsidR="003E2AC2" w:rsidRPr="00717622">
        <w:rPr>
          <w:color w:val="000000" w:themeColor="text1"/>
        </w:rPr>
        <w:t>authorizes the Health and Human Services Secretary to issue a declaration that provides immunity from liability to specified actors for claims of loss caused by or related to countermeasures (e.g., vaccines, drugs, devices) against diseases or other threats which have been determined by the HHS Secretary to be a public health emergency or pose a credible threat of a public health emergency.</w:t>
      </w:r>
      <w:r w:rsidR="00A612EC">
        <w:rPr>
          <w:rStyle w:val="FootnoteReference"/>
          <w:rFonts w:eastAsia="Times New Roman" w:cs="Arial"/>
          <w:color w:val="000000" w:themeColor="text1"/>
          <w:szCs w:val="20"/>
        </w:rPr>
        <w:footnoteReference w:id="15"/>
      </w:r>
      <w:r w:rsidRPr="00717622">
        <w:rPr>
          <w:rFonts w:eastAsia="Times New Roman" w:cs="Arial"/>
          <w:color w:val="000000" w:themeColor="text1"/>
          <w:szCs w:val="20"/>
        </w:rPr>
        <w:t xml:space="preserve"> </w:t>
      </w:r>
      <w:r w:rsidR="00780510" w:rsidRPr="00717622">
        <w:rPr>
          <w:color w:val="000000" w:themeColor="text1"/>
        </w:rPr>
        <w:t xml:space="preserve">The PREP Act added new authorities to the Public Health Service Act to address concerns about potential liability associated with the development and administration of countermeasures. </w:t>
      </w:r>
      <w:r w:rsidR="00780510" w:rsidRPr="00547FAC">
        <w:t xml:space="preserve">A PREP Act declaration is different from, and independent of, other federal emergency declarations. A separate public health emergency determination under </w:t>
      </w:r>
      <w:r w:rsidR="00780510" w:rsidRPr="00717622">
        <w:rPr>
          <w:bdr w:val="none" w:sz="0" w:space="0" w:color="auto" w:frame="1"/>
        </w:rPr>
        <w:t xml:space="preserve">Public Health Service Act </w:t>
      </w:r>
      <w:r w:rsidR="00E806B3" w:rsidRPr="00717622">
        <w:rPr>
          <w:bdr w:val="none" w:sz="0" w:space="0" w:color="auto" w:frame="1"/>
        </w:rPr>
        <w:t>s</w:t>
      </w:r>
      <w:r w:rsidR="00780510" w:rsidRPr="00717622">
        <w:rPr>
          <w:bdr w:val="none" w:sz="0" w:space="0" w:color="auto" w:frame="1"/>
        </w:rPr>
        <w:t xml:space="preserve">ection 319 </w:t>
      </w:r>
      <w:r w:rsidR="00780510" w:rsidRPr="00547FAC">
        <w:t>or another statute is not required for PREP Act immunities to take effect</w:t>
      </w:r>
      <w:r w:rsidR="00780510">
        <w:t xml:space="preserve"> unless the language of the PREP Act declaration conditions it effect on other determinations or declarations</w:t>
      </w:r>
      <w:r w:rsidR="00780510" w:rsidRPr="00547FAC">
        <w:t>.</w:t>
      </w:r>
      <w:r w:rsidR="00780510" w:rsidRPr="00547FAC">
        <w:rPr>
          <w:rStyle w:val="FootnoteReference"/>
          <w:rFonts w:eastAsia="Times New Roman" w:cs="Arial"/>
          <w:color w:val="000000" w:themeColor="text1"/>
        </w:rPr>
        <w:footnoteReference w:id="16"/>
      </w:r>
      <w:r w:rsidR="002C62B4">
        <w:t xml:space="preserve"> </w:t>
      </w:r>
    </w:p>
    <w:p w14:paraId="3C5C5242" w14:textId="77777777" w:rsidR="006C45C4" w:rsidRDefault="006C45C4" w:rsidP="003226A7">
      <w:pPr>
        <w:spacing w:line="360" w:lineRule="auto"/>
        <w:textAlignment w:val="baseline"/>
      </w:pPr>
    </w:p>
    <w:p w14:paraId="1A73E58D" w14:textId="70DE3CC5" w:rsidR="004B346B" w:rsidRPr="00717622" w:rsidRDefault="00F30AAE" w:rsidP="00EC01F0">
      <w:pPr>
        <w:spacing w:after="120" w:line="360" w:lineRule="auto"/>
        <w:textAlignment w:val="baseline"/>
        <w:rPr>
          <w:rFonts w:eastAsia="Times New Roman" w:cs="Arial"/>
          <w:color w:val="000000" w:themeColor="text1"/>
          <w:szCs w:val="20"/>
        </w:rPr>
      </w:pPr>
      <w:r>
        <w:t xml:space="preserve">In 2020, </w:t>
      </w:r>
      <w:r w:rsidR="00F364BC">
        <w:t xml:space="preserve">the HHS secretary issued a PREP Act declaration for </w:t>
      </w:r>
      <w:r w:rsidR="00846AE3">
        <w:t xml:space="preserve">the </w:t>
      </w:r>
      <w:r w:rsidR="00F364BC">
        <w:t xml:space="preserve">COVID-19 </w:t>
      </w:r>
      <w:r w:rsidR="00846AE3">
        <w:t xml:space="preserve">pandemic </w:t>
      </w:r>
      <w:r w:rsidR="00F364BC">
        <w:t xml:space="preserve">and </w:t>
      </w:r>
      <w:r w:rsidR="009E054C">
        <w:t>a series of amendments to</w:t>
      </w:r>
      <w:r w:rsidR="00846AE3">
        <w:t xml:space="preserve"> the initial declaration</w:t>
      </w:r>
      <w:r w:rsidR="009E054C">
        <w:t>.</w:t>
      </w:r>
      <w:r w:rsidR="009E054C">
        <w:rPr>
          <w:rStyle w:val="FootnoteReference"/>
          <w:color w:val="000000" w:themeColor="text1"/>
        </w:rPr>
        <w:footnoteReference w:id="17"/>
      </w:r>
      <w:r w:rsidR="009E054C">
        <w:t xml:space="preserve"> </w:t>
      </w:r>
      <w:r w:rsidR="00A6347E">
        <w:t>These amendments were in response to t</w:t>
      </w:r>
      <w:r>
        <w:t xml:space="preserve">he </w:t>
      </w:r>
      <w:r w:rsidR="00A6347E">
        <w:t xml:space="preserve">federal </w:t>
      </w:r>
      <w:r>
        <w:t xml:space="preserve">CARES Act and </w:t>
      </w:r>
      <w:r w:rsidR="006C45C4">
        <w:t xml:space="preserve">subsequent HHS Office of General Counsel (OGC) opinions </w:t>
      </w:r>
      <w:r w:rsidR="00A6347E">
        <w:t xml:space="preserve">that </w:t>
      </w:r>
      <w:r w:rsidR="006C45C4">
        <w:t>modified certain aspects of the PREP Act and</w:t>
      </w:r>
      <w:r w:rsidR="00F364BC">
        <w:t xml:space="preserve"> its interpretation</w:t>
      </w:r>
      <w:r w:rsidR="00A6347E">
        <w:t>, respectively</w:t>
      </w:r>
      <w:r w:rsidR="00F364BC">
        <w:t xml:space="preserve">. </w:t>
      </w:r>
      <w:r w:rsidR="006C45C4">
        <w:t xml:space="preserve"> </w:t>
      </w:r>
      <w:r w:rsidR="00DC5686">
        <w:rPr>
          <w:rFonts w:eastAsia="Times New Roman" w:cs="Arial"/>
          <w:color w:val="000000" w:themeColor="text1"/>
          <w:szCs w:val="20"/>
        </w:rPr>
        <w:t xml:space="preserve">In </w:t>
      </w:r>
      <w:r w:rsidR="00DC5686" w:rsidRPr="00DD0E5D">
        <w:rPr>
          <w:rFonts w:eastAsia="Times New Roman" w:cs="Arial"/>
          <w:color w:val="000000" w:themeColor="text1"/>
        </w:rPr>
        <w:t>April 2020</w:t>
      </w:r>
      <w:r w:rsidR="00DC5686">
        <w:rPr>
          <w:rFonts w:eastAsia="Times New Roman" w:cs="Arial"/>
          <w:color w:val="000000" w:themeColor="text1"/>
        </w:rPr>
        <w:t>, the OGC issued an advisory opinion (</w:t>
      </w:r>
      <w:r w:rsidR="00DC5686" w:rsidRPr="00DD0E5D">
        <w:rPr>
          <w:rFonts w:eastAsia="Times New Roman" w:cs="Arial"/>
          <w:color w:val="000000" w:themeColor="text1"/>
        </w:rPr>
        <w:t>HHS OGC PREP ACT/COVID-19 advisory opinion</w:t>
      </w:r>
      <w:r w:rsidR="00DC5686">
        <w:rPr>
          <w:rFonts w:eastAsia="Times New Roman" w:cs="Arial"/>
          <w:color w:val="000000" w:themeColor="text1"/>
        </w:rPr>
        <w:t xml:space="preserve">) to </w:t>
      </w:r>
      <w:r w:rsidR="004B346B" w:rsidRPr="00717622">
        <w:rPr>
          <w:color w:val="000000" w:themeColor="text1"/>
        </w:rPr>
        <w:t>“…address most questions and concerns about the scope of PREP Act immunity during the Coronavirus disease 2019 (COVID-19) pandemic.”</w:t>
      </w:r>
      <w:r w:rsidR="004B346B">
        <w:rPr>
          <w:rStyle w:val="FootnoteReference"/>
          <w:color w:val="000000" w:themeColor="text1"/>
        </w:rPr>
        <w:footnoteReference w:id="18"/>
      </w:r>
      <w:r w:rsidR="004B346B" w:rsidRPr="00717622">
        <w:rPr>
          <w:color w:val="000000" w:themeColor="text1"/>
        </w:rPr>
        <w:t xml:space="preserve"> The OGC issued the </w:t>
      </w:r>
      <w:r w:rsidR="004B346B" w:rsidRPr="00717622">
        <w:rPr>
          <w:color w:val="000000" w:themeColor="text1"/>
        </w:rPr>
        <w:lastRenderedPageBreak/>
        <w:t>opinion to address frequent questions it received regarding the scope of PREP Act coverage and aspects of COVID-19 response, specifically, “…whether a medical product is a covered countermeasure, whether a person is a covered person, and whether a specific activity qualifies as use or administration of a covered countermeasure.”</w:t>
      </w:r>
      <w:r w:rsidR="004B346B">
        <w:rPr>
          <w:rStyle w:val="FootnoteReference"/>
          <w:color w:val="000000" w:themeColor="text1"/>
        </w:rPr>
        <w:footnoteReference w:id="19"/>
      </w:r>
    </w:p>
    <w:p w14:paraId="2672D43E" w14:textId="3A2BF590" w:rsidR="0099702B" w:rsidRPr="00B95C35" w:rsidRDefault="0099702B" w:rsidP="00B95C35">
      <w:pPr>
        <w:pStyle w:val="ListParagraph"/>
        <w:numPr>
          <w:ilvl w:val="0"/>
          <w:numId w:val="26"/>
        </w:numPr>
        <w:spacing w:after="120" w:line="360" w:lineRule="auto"/>
        <w:contextualSpacing w:val="0"/>
        <w:textAlignment w:val="baseline"/>
        <w:rPr>
          <w:rFonts w:eastAsia="Times New Roman" w:cs="Arial"/>
          <w:color w:val="000000" w:themeColor="text1"/>
          <w:bdr w:val="none" w:sz="0" w:space="0" w:color="auto" w:frame="1"/>
        </w:rPr>
      </w:pPr>
      <w:r w:rsidRPr="001C40BE">
        <w:rPr>
          <w:rFonts w:eastAsia="Times New Roman" w:cs="Arial"/>
          <w:b/>
          <w:bCs/>
          <w:color w:val="000000" w:themeColor="text1"/>
          <w:szCs w:val="20"/>
          <w:bdr w:val="none" w:sz="0" w:space="0" w:color="auto" w:frame="1"/>
        </w:rPr>
        <w:t>Actors—</w:t>
      </w:r>
      <w:r w:rsidRPr="001C40BE">
        <w:rPr>
          <w:rFonts w:eastAsia="Times New Roman" w:cs="Arial"/>
          <w:color w:val="000000" w:themeColor="text1"/>
          <w:szCs w:val="20"/>
        </w:rPr>
        <w:t xml:space="preserve">The PREP Act covers individual persons and entities. Covered persons may, at the secretary’s discretion, include manufacturers, distributors, program planners </w:t>
      </w:r>
      <w:r w:rsidR="00B14D50">
        <w:rPr>
          <w:rFonts w:eastAsia="Times New Roman" w:cs="Arial"/>
          <w:color w:val="000000" w:themeColor="text1"/>
        </w:rPr>
        <w:t>(i.e., state, tribal, local and territorial entities and individuals involved in planning or administering programs for the distribution of countermeasures</w:t>
      </w:r>
      <w:r w:rsidRPr="001C40BE">
        <w:rPr>
          <w:rFonts w:eastAsia="Times New Roman" w:cs="Arial"/>
          <w:color w:val="000000" w:themeColor="text1"/>
          <w:szCs w:val="20"/>
        </w:rPr>
        <w:t>), and qualified persons who prescribe, administer, or dispense countermeasures (i.e., healthcare and other providers), as well as the United States. Officials, agents, and employees of any of these entities or persons are also covered persons.</w:t>
      </w:r>
      <w:r w:rsidR="00726BC5">
        <w:rPr>
          <w:rFonts w:eastAsia="Times New Roman" w:cs="Arial"/>
          <w:color w:val="000000" w:themeColor="text1"/>
          <w:szCs w:val="20"/>
        </w:rPr>
        <w:t xml:space="preserve"> With regard to the COVID</w:t>
      </w:r>
      <w:r w:rsidR="001A7FBD">
        <w:rPr>
          <w:rFonts w:eastAsia="Times New Roman" w:cs="Arial"/>
          <w:color w:val="000000" w:themeColor="text1"/>
          <w:szCs w:val="20"/>
        </w:rPr>
        <w:t xml:space="preserve">-19 pandemic, </w:t>
      </w:r>
      <w:r w:rsidR="00BE1431">
        <w:rPr>
          <w:rFonts w:eastAsia="Times New Roman" w:cs="Arial"/>
          <w:color w:val="000000" w:themeColor="text1"/>
          <w:szCs w:val="20"/>
        </w:rPr>
        <w:t xml:space="preserve">the </w:t>
      </w:r>
      <w:r w:rsidR="001A7FBD" w:rsidRPr="00DD0E5D">
        <w:rPr>
          <w:rFonts w:eastAsia="Times New Roman" w:cs="Arial"/>
          <w:color w:val="000000" w:themeColor="text1"/>
        </w:rPr>
        <w:t>HHS OGC PREP ACT/COVID-19 advisory opinion</w:t>
      </w:r>
      <w:r w:rsidR="00BE1431">
        <w:rPr>
          <w:rFonts w:eastAsia="Times New Roman" w:cs="Arial"/>
          <w:color w:val="000000" w:themeColor="text1"/>
        </w:rPr>
        <w:t xml:space="preserve"> </w:t>
      </w:r>
      <w:r w:rsidR="001A7FBD" w:rsidRPr="00DD0E5D">
        <w:rPr>
          <w:rFonts w:eastAsia="Times New Roman" w:cs="Arial"/>
          <w:color w:val="000000" w:themeColor="text1"/>
        </w:rPr>
        <w:t>note</w:t>
      </w:r>
      <w:r w:rsidR="00B95C35">
        <w:rPr>
          <w:rFonts w:eastAsia="Times New Roman" w:cs="Arial"/>
          <w:color w:val="000000" w:themeColor="text1"/>
        </w:rPr>
        <w:t>d</w:t>
      </w:r>
      <w:r w:rsidR="001A7FBD" w:rsidRPr="00DD0E5D">
        <w:rPr>
          <w:rFonts w:eastAsia="Times New Roman" w:cs="Arial"/>
          <w:color w:val="000000" w:themeColor="text1"/>
        </w:rPr>
        <w:t xml:space="preserve"> that “…a person who complies with all other requirements of the PREP Act and the conditions of the Secretary’s declaration will not lose PREP Act immunity—even if the person at issue is not a covered person—if the entity or individual reasonably could have believed that the person was a covered person</w:t>
      </w:r>
      <w:r w:rsidR="001A7FBD">
        <w:rPr>
          <w:rFonts w:eastAsia="Times New Roman" w:cs="Arial"/>
          <w:color w:val="000000" w:themeColor="text1"/>
        </w:rPr>
        <w:t>”.</w:t>
      </w:r>
      <w:r w:rsidR="001A7FBD">
        <w:rPr>
          <w:rStyle w:val="FootnoteReference"/>
          <w:rFonts w:eastAsia="Times New Roman" w:cs="Arial"/>
          <w:color w:val="000000" w:themeColor="text1"/>
        </w:rPr>
        <w:footnoteReference w:id="20"/>
      </w:r>
      <w:r w:rsidR="001A7FBD">
        <w:rPr>
          <w:rFonts w:eastAsia="Times New Roman" w:cs="Arial"/>
          <w:color w:val="000000" w:themeColor="text1"/>
        </w:rPr>
        <w:t xml:space="preserve"> HHS OGC further observe</w:t>
      </w:r>
      <w:r w:rsidR="00B95C35">
        <w:rPr>
          <w:rFonts w:eastAsia="Times New Roman" w:cs="Arial"/>
          <w:color w:val="000000" w:themeColor="text1"/>
        </w:rPr>
        <w:t>d</w:t>
      </w:r>
      <w:r w:rsidR="001A7FBD">
        <w:rPr>
          <w:rFonts w:eastAsia="Times New Roman" w:cs="Arial"/>
          <w:color w:val="000000" w:themeColor="text1"/>
        </w:rPr>
        <w:t xml:space="preserve"> that “…</w:t>
      </w:r>
      <w:r w:rsidR="001A7FBD" w:rsidRPr="003C6D9D">
        <w:rPr>
          <w:rFonts w:eastAsia="Times New Roman" w:cs="Arial"/>
          <w:color w:val="000000" w:themeColor="text1"/>
        </w:rPr>
        <w:t>covered persons should take, and document, reasonable precautions under the current emergent circumstances to facilitate the safe use or administration of covered countermeasures and to make those documents publicly and easily available.</w:t>
      </w:r>
      <w:r w:rsidR="001A7FBD">
        <w:rPr>
          <w:rFonts w:eastAsia="Times New Roman" w:cs="Arial"/>
          <w:color w:val="000000" w:themeColor="text1"/>
        </w:rPr>
        <w:t>”</w:t>
      </w:r>
      <w:r w:rsidR="001A7FBD">
        <w:rPr>
          <w:rStyle w:val="FootnoteReference"/>
          <w:rFonts w:eastAsia="Times New Roman" w:cs="Arial"/>
          <w:color w:val="000000" w:themeColor="text1"/>
        </w:rPr>
        <w:footnoteReference w:id="21"/>
      </w:r>
    </w:p>
    <w:p w14:paraId="1E45157C" w14:textId="77777777"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Activities Covered—</w:t>
      </w:r>
      <w:r w:rsidRPr="001C40BE">
        <w:rPr>
          <w:rFonts w:eastAsia="Times New Roman" w:cs="Arial"/>
          <w:color w:val="000000" w:themeColor="text1"/>
          <w:szCs w:val="20"/>
        </w:rPr>
        <w:t>The immunity applies to the development, manufacture, testing, distribution, administration, and use of countermeasures.</w:t>
      </w:r>
    </w:p>
    <w:p w14:paraId="5B55EA0C" w14:textId="1E847AA1" w:rsidR="0099702B" w:rsidRPr="001C40BE" w:rsidRDefault="0099702B" w:rsidP="00EB12E6">
      <w:pPr>
        <w:pStyle w:val="ListParagraph"/>
        <w:numPr>
          <w:ilvl w:val="0"/>
          <w:numId w:val="20"/>
        </w:numPr>
        <w:spacing w:after="120"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Countermeasures Covered—</w:t>
      </w:r>
      <w:r w:rsidRPr="001C40BE">
        <w:rPr>
          <w:rFonts w:eastAsia="Times New Roman" w:cs="Arial"/>
          <w:color w:val="000000" w:themeColor="text1"/>
          <w:szCs w:val="20"/>
        </w:rPr>
        <w:t>Countermeasures can include vaccines, drugs, or medical devices to be used against chemical, biological, radiological, and nuclear agents of terrorism, epidemics, and pandemics.</w:t>
      </w:r>
      <w:r w:rsidR="001001FE">
        <w:rPr>
          <w:rFonts w:eastAsia="Times New Roman" w:cs="Arial"/>
          <w:color w:val="000000" w:themeColor="text1"/>
          <w:szCs w:val="20"/>
        </w:rPr>
        <w:t xml:space="preserve"> The CARES Act </w:t>
      </w:r>
      <w:r w:rsidR="006E0192" w:rsidRPr="006E0192">
        <w:rPr>
          <w:rFonts w:eastAsia="Times New Roman" w:cs="Arial"/>
          <w:color w:val="000000" w:themeColor="text1"/>
          <w:szCs w:val="20"/>
        </w:rPr>
        <w:t xml:space="preserve">amended the PREP Act to add respiratory protective devices to the list of covered countermeasures </w:t>
      </w:r>
      <w:r w:rsidR="006E0192">
        <w:rPr>
          <w:rFonts w:eastAsia="Times New Roman" w:cs="Arial"/>
          <w:color w:val="000000" w:themeColor="text1"/>
          <w:szCs w:val="20"/>
        </w:rPr>
        <w:t xml:space="preserve">if </w:t>
      </w:r>
      <w:r w:rsidR="006E0192" w:rsidRPr="006E0192">
        <w:rPr>
          <w:rFonts w:eastAsia="Times New Roman" w:cs="Arial"/>
          <w:color w:val="000000" w:themeColor="text1"/>
          <w:szCs w:val="20"/>
        </w:rPr>
        <w:t xml:space="preserve">they are approved </w:t>
      </w:r>
      <w:r w:rsidR="006E0192">
        <w:rPr>
          <w:rFonts w:eastAsia="Times New Roman" w:cs="Arial"/>
          <w:color w:val="000000" w:themeColor="text1"/>
          <w:szCs w:val="20"/>
        </w:rPr>
        <w:t xml:space="preserve">by NIOSH and the HHS secretary determines they are </w:t>
      </w:r>
      <w:r w:rsidR="006E0192">
        <w:rPr>
          <w:rFonts w:eastAsia="Times New Roman" w:cs="Arial"/>
          <w:color w:val="000000" w:themeColor="text1"/>
          <w:szCs w:val="20"/>
        </w:rPr>
        <w:lastRenderedPageBreak/>
        <w:t xml:space="preserve">a </w:t>
      </w:r>
      <w:r w:rsidR="006E0192" w:rsidRPr="006E0192">
        <w:rPr>
          <w:rFonts w:eastAsia="Times New Roman" w:cs="Arial"/>
          <w:color w:val="000000" w:themeColor="text1"/>
          <w:szCs w:val="20"/>
        </w:rPr>
        <w:t>priority for use during a public health emergency declared by the Secretary under section 319 of the Public Health Service Act</w:t>
      </w:r>
      <w:r w:rsidR="002D76ED">
        <w:rPr>
          <w:rFonts w:eastAsia="Times New Roman" w:cs="Arial"/>
          <w:color w:val="000000" w:themeColor="text1"/>
          <w:szCs w:val="20"/>
        </w:rPr>
        <w:t>.</w:t>
      </w:r>
      <w:r w:rsidR="002D76ED">
        <w:rPr>
          <w:rStyle w:val="FootnoteReference"/>
          <w:rFonts w:eastAsia="Times New Roman" w:cs="Arial"/>
          <w:color w:val="000000" w:themeColor="text1"/>
          <w:szCs w:val="20"/>
        </w:rPr>
        <w:footnoteReference w:id="22"/>
      </w:r>
      <w:r w:rsidR="006028F1">
        <w:rPr>
          <w:rFonts w:eastAsia="Times New Roman" w:cs="Arial"/>
          <w:color w:val="000000" w:themeColor="text1"/>
          <w:szCs w:val="20"/>
        </w:rPr>
        <w:t xml:space="preserve"> </w:t>
      </w:r>
    </w:p>
    <w:p w14:paraId="26B220A7" w14:textId="0AF8C6E2" w:rsidR="006D4974" w:rsidRDefault="0099702B" w:rsidP="003041C9">
      <w:pPr>
        <w:pStyle w:val="ListParagraph"/>
        <w:numPr>
          <w:ilvl w:val="0"/>
          <w:numId w:val="20"/>
        </w:numPr>
        <w:spacing w:line="360" w:lineRule="auto"/>
        <w:contextualSpacing w:val="0"/>
        <w:textAlignment w:val="baseline"/>
        <w:rPr>
          <w:rFonts w:eastAsia="Times New Roman" w:cs="Arial"/>
          <w:color w:val="000000" w:themeColor="text1"/>
          <w:szCs w:val="20"/>
        </w:rPr>
      </w:pPr>
      <w:r w:rsidRPr="001C40BE">
        <w:rPr>
          <w:rFonts w:eastAsia="Times New Roman" w:cs="Arial"/>
          <w:b/>
          <w:bCs/>
          <w:color w:val="000000" w:themeColor="text1"/>
          <w:szCs w:val="20"/>
          <w:bdr w:val="none" w:sz="0" w:space="0" w:color="auto" w:frame="1"/>
        </w:rPr>
        <w:t>Protections—</w:t>
      </w:r>
      <w:r w:rsidRPr="001C40BE">
        <w:rPr>
          <w:rFonts w:eastAsia="Times New Roman" w:cs="Arial"/>
          <w:color w:val="000000" w:themeColor="text1"/>
          <w:szCs w:val="20"/>
        </w:rPr>
        <w:t>The PREP Act provides immunity from tort liability (except for willful misconduct) for the condition or fear of death, physical, mental, emotional, injury, illness, or disability. Immunity includes covering claims for medical monitoring and the loss or damage to property, including business interruption. Claims must have a causal relationship to the development, distribution, administration, or use of the covered countermeasure. The PREP Act also authorizes an emergency fund, the Countermeasures Injury Compensation Program (CICP), to provide compensation for injuries directly caused by administration or use of a countermeasure covered by the HHS secretary’s declaration.</w:t>
      </w:r>
    </w:p>
    <w:p w14:paraId="04F27D7C" w14:textId="77777777" w:rsidR="00147C79" w:rsidRDefault="00147C79" w:rsidP="003041C9">
      <w:pPr>
        <w:pStyle w:val="ListParagraph"/>
        <w:spacing w:line="360" w:lineRule="auto"/>
        <w:ind w:left="360"/>
        <w:contextualSpacing w:val="0"/>
        <w:textAlignment w:val="baseline"/>
        <w:rPr>
          <w:rFonts w:eastAsia="Times New Roman" w:cs="Arial"/>
          <w:color w:val="000000" w:themeColor="text1"/>
          <w:szCs w:val="20"/>
        </w:rPr>
      </w:pPr>
    </w:p>
    <w:p w14:paraId="0A00AA73" w14:textId="54A3E428" w:rsidR="0099702B" w:rsidRPr="001C40BE" w:rsidRDefault="0099702B" w:rsidP="003226A7">
      <w:pPr>
        <w:pStyle w:val="ListParagraph"/>
        <w:spacing w:line="360" w:lineRule="auto"/>
        <w:ind w:left="360"/>
        <w:contextualSpacing w:val="0"/>
        <w:textAlignment w:val="baseline"/>
        <w:rPr>
          <w:rFonts w:eastAsia="Times New Roman" w:cs="Arial"/>
          <w:color w:val="000000" w:themeColor="text1"/>
          <w:szCs w:val="20"/>
        </w:rPr>
      </w:pPr>
      <w:r w:rsidRPr="001C40BE">
        <w:rPr>
          <w:rFonts w:eastAsia="Times New Roman" w:cs="Arial"/>
          <w:color w:val="000000" w:themeColor="text1"/>
          <w:szCs w:val="20"/>
        </w:rPr>
        <w:t>A PREP Act declaration by the HHS secretary only relates to providing immunity from liability for the covered persons and activities related to covered countermeasures. The act’s liability protections do not apply where the liability arose from willful misconduct</w:t>
      </w:r>
      <w:r w:rsidR="008854FB">
        <w:rPr>
          <w:rFonts w:eastAsia="Times New Roman" w:cs="Arial"/>
          <w:color w:val="000000" w:themeColor="text1"/>
          <w:szCs w:val="20"/>
        </w:rPr>
        <w:t>;</w:t>
      </w:r>
      <w:r w:rsidR="00077972">
        <w:rPr>
          <w:rFonts w:eastAsia="Times New Roman" w:cs="Arial"/>
          <w:color w:val="000000" w:themeColor="text1"/>
          <w:szCs w:val="20"/>
        </w:rPr>
        <w:t xml:space="preserve"> all willful misconduct claims </w:t>
      </w:r>
      <w:r w:rsidR="008C16B5">
        <w:rPr>
          <w:rFonts w:eastAsia="Times New Roman" w:cs="Arial"/>
          <w:color w:val="000000" w:themeColor="text1"/>
          <w:szCs w:val="20"/>
        </w:rPr>
        <w:t>must be heard b</w:t>
      </w:r>
      <w:r w:rsidR="00095644">
        <w:rPr>
          <w:rFonts w:eastAsia="Times New Roman" w:cs="Arial"/>
          <w:color w:val="000000" w:themeColor="text1"/>
          <w:szCs w:val="20"/>
        </w:rPr>
        <w:t>y the</w:t>
      </w:r>
      <w:r w:rsidR="00A77917">
        <w:rPr>
          <w:rFonts w:eastAsia="Times New Roman" w:cs="Arial"/>
          <w:color w:val="000000" w:themeColor="text1"/>
          <w:szCs w:val="20"/>
        </w:rPr>
        <w:t xml:space="preserve"> federal district court for the District of Columbia</w:t>
      </w:r>
      <w:r w:rsidRPr="001C40BE">
        <w:rPr>
          <w:rFonts w:eastAsia="Times New Roman" w:cs="Arial"/>
          <w:color w:val="000000" w:themeColor="text1"/>
          <w:szCs w:val="20"/>
        </w:rPr>
        <w:t xml:space="preserve">. It also does not protect individuals who violate a person’s civil rights or who violate the </w:t>
      </w:r>
      <w:r w:rsidR="00CF6A22">
        <w:rPr>
          <w:rFonts w:eastAsia="Times New Roman" w:cs="Arial"/>
          <w:color w:val="000000" w:themeColor="text1"/>
          <w:szCs w:val="20"/>
        </w:rPr>
        <w:t>Americans with Disabilities Act</w:t>
      </w:r>
      <w:r w:rsidRPr="001C40BE">
        <w:rPr>
          <w:rFonts w:eastAsia="Times New Roman" w:cs="Arial"/>
          <w:color w:val="000000" w:themeColor="text1"/>
          <w:szCs w:val="20"/>
        </w:rPr>
        <w:t>, among other exceptions. Furthermore, the PREP Act does not automatically protect everyone involved in a medical response to an emergency. Liability protection under the PREP Act is limited to a specific emergency and includes only the countermeasures and other conditions listed in the PREP Act declaration.</w:t>
      </w:r>
    </w:p>
    <w:p w14:paraId="22A58610" w14:textId="77777777" w:rsidR="00516697" w:rsidRDefault="00516697" w:rsidP="00EB12E6">
      <w:pPr>
        <w:spacing w:line="360" w:lineRule="auto"/>
        <w:rPr>
          <w:rFonts w:eastAsia="Times New Roman" w:cs="Arial"/>
          <w:color w:val="000000" w:themeColor="text1"/>
          <w:szCs w:val="20"/>
        </w:rPr>
      </w:pPr>
    </w:p>
    <w:p w14:paraId="6FB803EC" w14:textId="0FDCBF59" w:rsidR="006008E8" w:rsidRPr="00516697" w:rsidRDefault="00516697" w:rsidP="00EB12E6">
      <w:pPr>
        <w:spacing w:line="360" w:lineRule="auto"/>
        <w:rPr>
          <w:rFonts w:eastAsia="Times New Roman" w:cs="Arial"/>
          <w:b/>
          <w:bCs/>
          <w:color w:val="3C3030"/>
          <w:sz w:val="24"/>
          <w:szCs w:val="24"/>
        </w:rPr>
      </w:pPr>
      <w:r w:rsidRPr="00516697">
        <w:rPr>
          <w:rFonts w:eastAsia="Times New Roman" w:cs="Arial"/>
          <w:b/>
          <w:bCs/>
          <w:color w:val="000000" w:themeColor="text1"/>
          <w:szCs w:val="20"/>
        </w:rPr>
        <w:t>Coronavirus Aid, Relief and Economic Security Act (CARES Act)</w:t>
      </w:r>
    </w:p>
    <w:p w14:paraId="6E25FD67" w14:textId="42CD11F1" w:rsidR="00516697" w:rsidRDefault="00516697" w:rsidP="00EB12E6">
      <w:pPr>
        <w:spacing w:line="360" w:lineRule="auto"/>
        <w:rPr>
          <w:rFonts w:eastAsia="Times New Roman" w:cs="Arial"/>
          <w:b/>
          <w:bCs/>
          <w:color w:val="3C3030"/>
          <w:sz w:val="24"/>
          <w:szCs w:val="24"/>
        </w:rPr>
      </w:pPr>
      <w:r>
        <w:rPr>
          <w:rFonts w:eastAsia="Times New Roman" w:cs="Arial"/>
          <w:color w:val="000000" w:themeColor="text1"/>
          <w:szCs w:val="20"/>
        </w:rPr>
        <w:t xml:space="preserve">In addition to the amendments </w:t>
      </w:r>
      <w:r w:rsidR="005D7CEC">
        <w:rPr>
          <w:rFonts w:eastAsia="Times New Roman" w:cs="Arial"/>
          <w:color w:val="000000" w:themeColor="text1"/>
          <w:szCs w:val="20"/>
        </w:rPr>
        <w:t xml:space="preserve">made to the PREP Act described above, the CARES Act also </w:t>
      </w:r>
      <w:r>
        <w:rPr>
          <w:rFonts w:eastAsia="Times New Roman" w:cs="Arial"/>
          <w:color w:val="000000" w:themeColor="text1"/>
          <w:szCs w:val="20"/>
        </w:rPr>
        <w:t xml:space="preserve">added liability protections for </w:t>
      </w:r>
      <w:r w:rsidRPr="00E43605">
        <w:rPr>
          <w:rFonts w:eastAsia="Times New Roman" w:cs="Arial"/>
          <w:color w:val="000000" w:themeColor="text1"/>
          <w:szCs w:val="20"/>
        </w:rPr>
        <w:t xml:space="preserve">volunteer healthcare professionals </w:t>
      </w:r>
      <w:r>
        <w:rPr>
          <w:rFonts w:eastAsia="Times New Roman" w:cs="Arial"/>
          <w:color w:val="000000" w:themeColor="text1"/>
          <w:szCs w:val="20"/>
        </w:rPr>
        <w:t xml:space="preserve">who provide </w:t>
      </w:r>
      <w:r w:rsidRPr="00E43605">
        <w:rPr>
          <w:rFonts w:eastAsia="Times New Roman" w:cs="Arial"/>
          <w:color w:val="000000" w:themeColor="text1"/>
          <w:szCs w:val="20"/>
        </w:rPr>
        <w:t xml:space="preserve">healthcare services during the </w:t>
      </w:r>
      <w:r w:rsidR="008C206B">
        <w:rPr>
          <w:rFonts w:eastAsia="Times New Roman" w:cs="Arial"/>
          <w:color w:val="000000" w:themeColor="text1"/>
          <w:szCs w:val="20"/>
        </w:rPr>
        <w:t>period</w:t>
      </w:r>
      <w:r w:rsidR="00721489">
        <w:rPr>
          <w:rFonts w:eastAsia="Times New Roman" w:cs="Arial"/>
          <w:color w:val="000000" w:themeColor="text1"/>
          <w:szCs w:val="20"/>
        </w:rPr>
        <w:t xml:space="preserve"> the </w:t>
      </w:r>
      <w:r w:rsidRPr="00E43605">
        <w:rPr>
          <w:rFonts w:eastAsia="Times New Roman" w:cs="Arial"/>
          <w:color w:val="000000" w:themeColor="text1"/>
          <w:szCs w:val="20"/>
        </w:rPr>
        <w:t>COVID-19</w:t>
      </w:r>
      <w:r>
        <w:rPr>
          <w:rFonts w:eastAsia="Times New Roman" w:cs="Arial"/>
          <w:color w:val="000000" w:themeColor="text1"/>
          <w:szCs w:val="20"/>
        </w:rPr>
        <w:t xml:space="preserve"> emergency </w:t>
      </w:r>
      <w:r w:rsidR="00721489">
        <w:rPr>
          <w:rFonts w:eastAsia="Times New Roman" w:cs="Arial"/>
          <w:color w:val="000000" w:themeColor="text1"/>
          <w:szCs w:val="20"/>
        </w:rPr>
        <w:t>declaration under PHSA §319 is in effect.</w:t>
      </w:r>
      <w:r>
        <w:rPr>
          <w:rStyle w:val="FootnoteReference"/>
          <w:rFonts w:eastAsia="Times New Roman" w:cs="Arial"/>
          <w:color w:val="000000" w:themeColor="text1"/>
          <w:szCs w:val="20"/>
        </w:rPr>
        <w:footnoteReference w:id="23"/>
      </w:r>
      <w:r>
        <w:rPr>
          <w:rFonts w:eastAsia="Times New Roman" w:cs="Arial"/>
          <w:color w:val="000000" w:themeColor="text1"/>
          <w:szCs w:val="20"/>
        </w:rPr>
        <w:t xml:space="preserve">  </w:t>
      </w:r>
    </w:p>
    <w:p w14:paraId="1D224FA3" w14:textId="77777777" w:rsidR="009851FD" w:rsidRDefault="009851FD" w:rsidP="00EB12E6">
      <w:pPr>
        <w:spacing w:line="360" w:lineRule="auto"/>
        <w:rPr>
          <w:rFonts w:eastAsia="Times New Roman" w:cs="Arial"/>
          <w:b/>
          <w:bCs/>
          <w:color w:val="3C3030"/>
          <w:sz w:val="24"/>
          <w:szCs w:val="24"/>
        </w:rPr>
      </w:pPr>
    </w:p>
    <w:p w14:paraId="5697BA51" w14:textId="79C2CA5D" w:rsidR="0099702B" w:rsidRPr="00DF287B" w:rsidRDefault="0099702B" w:rsidP="003226A7">
      <w:pPr>
        <w:keepNext/>
        <w:keepLines/>
        <w:spacing w:line="360" w:lineRule="auto"/>
        <w:rPr>
          <w:rFonts w:eastAsia="Times New Roman" w:cs="Arial"/>
          <w:b/>
          <w:bCs/>
          <w:color w:val="000000" w:themeColor="text1"/>
          <w:sz w:val="24"/>
          <w:szCs w:val="24"/>
        </w:rPr>
      </w:pPr>
      <w:r w:rsidRPr="00DF287B">
        <w:rPr>
          <w:rFonts w:eastAsia="Times New Roman" w:cs="Arial"/>
          <w:b/>
          <w:bCs/>
          <w:color w:val="000000" w:themeColor="text1"/>
          <w:sz w:val="24"/>
          <w:szCs w:val="24"/>
        </w:rPr>
        <w:lastRenderedPageBreak/>
        <w:t>State Liability Protections and Immunities</w:t>
      </w:r>
    </w:p>
    <w:p w14:paraId="28D83AEA" w14:textId="77777777" w:rsidR="005720D7" w:rsidRDefault="0099702B" w:rsidP="003226A7">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Governmental/Sovereign Immunity</w:t>
      </w:r>
    </w:p>
    <w:p w14:paraId="7492C2AD" w14:textId="33D0786F"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State governments are immune from lawsuits under sovereign immunity conferred by the 11th Amendment of the U.S. Constitution. Like the federal government, some states have waived this immunity in certain circumstances through state tort claims or state claims acts. These acts generally immunize government employees from tort liability for acts or omissions committed within their scope of employment. Some states cap the amount of money damages available from a judgment against the state and frequently prohibit the recovery of punitive damages against the state. Some states extend these protections to volunteers; others declare them unpaid state employees during an emergency.</w:t>
      </w:r>
    </w:p>
    <w:p w14:paraId="7D5B1074" w14:textId="77777777" w:rsidR="002A2B2D" w:rsidRPr="002A2B2D" w:rsidRDefault="002A2B2D" w:rsidP="00EB12E6">
      <w:pPr>
        <w:spacing w:line="360" w:lineRule="auto"/>
        <w:rPr>
          <w:rFonts w:eastAsia="Times New Roman" w:cs="Arial"/>
          <w:b/>
          <w:bCs/>
          <w:color w:val="000000" w:themeColor="text1"/>
          <w:szCs w:val="20"/>
        </w:rPr>
      </w:pPr>
    </w:p>
    <w:p w14:paraId="2141DA01" w14:textId="77777777" w:rsidR="005720D7" w:rsidRDefault="0099702B" w:rsidP="003F65E6">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Tort Claims Acts</w:t>
      </w:r>
    </w:p>
    <w:p w14:paraId="5D22F77C" w14:textId="21301C02"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State tort claims acts are generally modeled after the FTCA and are the most common type of statutory waiver of sovereign immunity.</w:t>
      </w:r>
      <w:r w:rsidR="00AF771F">
        <w:rPr>
          <w:rStyle w:val="FootnoteReference"/>
          <w:rFonts w:eastAsia="Times New Roman" w:cs="Arial"/>
          <w:color w:val="000000" w:themeColor="text1"/>
          <w:szCs w:val="20"/>
        </w:rPr>
        <w:footnoteReference w:id="24"/>
      </w:r>
      <w:r w:rsidRPr="0099702B">
        <w:rPr>
          <w:rFonts w:eastAsia="Times New Roman" w:cs="Arial"/>
          <w:color w:val="000000" w:themeColor="text1"/>
          <w:szCs w:val="20"/>
        </w:rPr>
        <w:t xml:space="preserve"> These types of laws either abolish state sovereign immunity generally and provide immunity </w:t>
      </w:r>
      <w:r w:rsidR="00F104E8">
        <w:rPr>
          <w:rFonts w:eastAsia="Times New Roman" w:cs="Arial"/>
          <w:color w:val="000000" w:themeColor="text1"/>
          <w:szCs w:val="20"/>
        </w:rPr>
        <w:t xml:space="preserve">only in </w:t>
      </w:r>
      <w:r w:rsidRPr="0099702B">
        <w:rPr>
          <w:rFonts w:eastAsia="Times New Roman" w:cs="Arial"/>
          <w:color w:val="000000" w:themeColor="text1"/>
          <w:szCs w:val="20"/>
        </w:rPr>
        <w:t xml:space="preserve">specific </w:t>
      </w:r>
      <w:r w:rsidR="001772E1" w:rsidRPr="0099702B">
        <w:rPr>
          <w:rFonts w:eastAsia="Times New Roman" w:cs="Arial"/>
          <w:color w:val="000000" w:themeColor="text1"/>
          <w:szCs w:val="20"/>
        </w:rPr>
        <w:t>circumstances or</w:t>
      </w:r>
      <w:r w:rsidRPr="0099702B">
        <w:rPr>
          <w:rFonts w:eastAsia="Times New Roman" w:cs="Arial"/>
          <w:color w:val="000000" w:themeColor="text1"/>
          <w:szCs w:val="20"/>
        </w:rPr>
        <w:t xml:space="preserve"> </w:t>
      </w:r>
      <w:r w:rsidR="00707286">
        <w:rPr>
          <w:rFonts w:eastAsia="Times New Roman" w:cs="Arial"/>
          <w:color w:val="000000" w:themeColor="text1"/>
          <w:szCs w:val="20"/>
        </w:rPr>
        <w:t xml:space="preserve">they </w:t>
      </w:r>
      <w:r w:rsidRPr="0099702B">
        <w:rPr>
          <w:rFonts w:eastAsia="Times New Roman" w:cs="Arial"/>
          <w:color w:val="000000" w:themeColor="text1"/>
          <w:szCs w:val="20"/>
        </w:rPr>
        <w:t>preserve sovereign immunity generally but identify certain exceptions in which immunity is waived.</w:t>
      </w:r>
    </w:p>
    <w:p w14:paraId="7BFFB57C" w14:textId="77777777" w:rsidR="002A2B2D" w:rsidRPr="002A2B2D" w:rsidRDefault="002A2B2D" w:rsidP="00EB12E6">
      <w:pPr>
        <w:spacing w:line="360" w:lineRule="auto"/>
        <w:rPr>
          <w:rFonts w:eastAsia="Times New Roman" w:cs="Arial"/>
          <w:b/>
          <w:bCs/>
          <w:color w:val="000000" w:themeColor="text1"/>
          <w:szCs w:val="20"/>
        </w:rPr>
      </w:pPr>
    </w:p>
    <w:p w14:paraId="7470E11C" w14:textId="77777777" w:rsidR="005720D7" w:rsidRDefault="0099702B" w:rsidP="00F8082D">
      <w:pPr>
        <w:keepNext/>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Claims Acts</w:t>
      </w:r>
    </w:p>
    <w:p w14:paraId="5E82642C" w14:textId="61A840F7"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State claims acts are contrasted with state tort claims acts.</w:t>
      </w:r>
      <w:r w:rsidR="00F8082D">
        <w:rPr>
          <w:rStyle w:val="FootnoteReference"/>
          <w:rFonts w:eastAsia="Times New Roman" w:cs="Arial"/>
          <w:color w:val="000000" w:themeColor="text1"/>
          <w:szCs w:val="20"/>
        </w:rPr>
        <w:footnoteReference w:id="25"/>
      </w:r>
      <w:r w:rsidRPr="0099702B">
        <w:rPr>
          <w:rFonts w:eastAsia="Times New Roman" w:cs="Arial"/>
          <w:color w:val="000000" w:themeColor="text1"/>
          <w:szCs w:val="20"/>
        </w:rPr>
        <w:t xml:space="preserve"> Claims acts limit state sovereign immunity by establishing procedures for making claims against the state, which are overseen by a special claims court. The claims courts are empowered to decide claims, limit the amount of damages, and find exceptions to liability.</w:t>
      </w:r>
    </w:p>
    <w:p w14:paraId="51FD4190" w14:textId="77777777" w:rsidR="002A2B2D" w:rsidRPr="002A2B2D" w:rsidRDefault="002A2B2D" w:rsidP="00EB12E6">
      <w:pPr>
        <w:spacing w:line="360" w:lineRule="auto"/>
        <w:rPr>
          <w:rFonts w:eastAsia="Times New Roman" w:cs="Arial"/>
          <w:b/>
          <w:bCs/>
          <w:color w:val="000000" w:themeColor="text1"/>
          <w:szCs w:val="20"/>
        </w:rPr>
      </w:pPr>
    </w:p>
    <w:p w14:paraId="01D40DFE" w14:textId="2EB32B20"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 xml:space="preserve">Emergency </w:t>
      </w:r>
      <w:r w:rsidR="007833A5">
        <w:rPr>
          <w:rFonts w:eastAsia="Times New Roman" w:cs="Arial"/>
          <w:b/>
          <w:bCs/>
          <w:color w:val="000000" w:themeColor="text1"/>
          <w:szCs w:val="20"/>
        </w:rPr>
        <w:t>Authorities</w:t>
      </w:r>
      <w:r w:rsidRPr="0099702B">
        <w:rPr>
          <w:rFonts w:eastAsia="Times New Roman" w:cs="Arial"/>
          <w:b/>
          <w:bCs/>
          <w:color w:val="000000" w:themeColor="text1"/>
          <w:szCs w:val="20"/>
        </w:rPr>
        <w:t xml:space="preserve"> Statutes</w:t>
      </w:r>
    </w:p>
    <w:p w14:paraId="6A228B35" w14:textId="150734B0"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 xml:space="preserve">State emergency laws can trigger additional </w:t>
      </w:r>
      <w:r w:rsidR="00A9537D">
        <w:rPr>
          <w:rFonts w:eastAsia="Times New Roman" w:cs="Arial"/>
          <w:color w:val="000000" w:themeColor="text1"/>
          <w:szCs w:val="20"/>
        </w:rPr>
        <w:t>legal authorities</w:t>
      </w:r>
      <w:r w:rsidRPr="0099702B">
        <w:rPr>
          <w:rFonts w:eastAsia="Times New Roman" w:cs="Arial"/>
          <w:color w:val="000000" w:themeColor="text1"/>
          <w:szCs w:val="20"/>
        </w:rPr>
        <w:t xml:space="preserve">, suspend certain administrative requirements, and provide or enhance liability protections to specified responders upon a gubernatorial </w:t>
      </w:r>
      <w:r w:rsidRPr="0099702B">
        <w:rPr>
          <w:rFonts w:eastAsia="Times New Roman" w:cs="Arial"/>
          <w:color w:val="000000" w:themeColor="text1"/>
          <w:szCs w:val="20"/>
        </w:rPr>
        <w:lastRenderedPageBreak/>
        <w:t>declaration of emergency.</w:t>
      </w:r>
      <w:r w:rsidR="006970B2">
        <w:rPr>
          <w:rStyle w:val="FootnoteReference"/>
          <w:rFonts w:eastAsia="Times New Roman" w:cs="Arial"/>
          <w:color w:val="000000" w:themeColor="text1"/>
          <w:szCs w:val="20"/>
        </w:rPr>
        <w:footnoteReference w:id="26"/>
      </w:r>
      <w:r w:rsidRPr="0099702B">
        <w:rPr>
          <w:rFonts w:eastAsia="Times New Roman" w:cs="Arial"/>
          <w:color w:val="000000" w:themeColor="text1"/>
          <w:szCs w:val="20"/>
        </w:rPr>
        <w:t xml:space="preserve"> These emergency statutes may include liability protections for specified groups of volunteers and other responders that are more tailored to their services (e.g., health, fire, law enforcement, or engineering). </w:t>
      </w:r>
      <w:r w:rsidR="00B12870" w:rsidRPr="00FB2B3B">
        <w:t xml:space="preserve">These statutes can </w:t>
      </w:r>
      <w:r w:rsidR="00B12870">
        <w:t>provide</w:t>
      </w:r>
      <w:r w:rsidR="00B12870" w:rsidRPr="00FB2B3B">
        <w:t xml:space="preserve"> volunteers</w:t>
      </w:r>
      <w:r w:rsidR="00B12870">
        <w:t xml:space="preserve"> with protections like those available to government employees</w:t>
      </w:r>
      <w:r w:rsidR="00B12870" w:rsidRPr="00FB2B3B">
        <w:t xml:space="preserve"> </w:t>
      </w:r>
      <w:r w:rsidR="00B12870">
        <w:t xml:space="preserve">if the volunteers are </w:t>
      </w:r>
      <w:r w:rsidR="00B12870" w:rsidRPr="00FB2B3B">
        <w:t>performing work that is eligible for coverage under governmental immunity and state tort claims acts</w:t>
      </w:r>
      <w:r w:rsidRPr="0099702B">
        <w:rPr>
          <w:rFonts w:eastAsia="Times New Roman" w:cs="Arial"/>
          <w:color w:val="000000" w:themeColor="text1"/>
          <w:szCs w:val="20"/>
        </w:rPr>
        <w:t xml:space="preserve">. There is a wide range in the types and degrees of coverage provided to volunteers under emergency powers statutes. </w:t>
      </w:r>
      <w:r w:rsidR="00C6319C" w:rsidRPr="00C6319C">
        <w:t>States may have the authority to declare more than one type of emergency (e.g., public health emergencies, natural disasters, state emergencies).</w:t>
      </w:r>
      <w:r w:rsidR="00C6319C" w:rsidRPr="00C6319C">
        <w:rPr>
          <w:vertAlign w:val="superscript"/>
        </w:rPr>
        <w:footnoteReference w:id="27"/>
      </w:r>
      <w:r w:rsidR="00C6319C" w:rsidRPr="00C6319C">
        <w:t xml:space="preserve"> The extent of available liability protections and emergency modifications to licensing and scope of practice may be different depending on what type of emergency is declared.</w:t>
      </w:r>
      <w:r w:rsidR="00C6319C" w:rsidRPr="00C6319C">
        <w:rPr>
          <w:vertAlign w:val="superscript"/>
        </w:rPr>
        <w:footnoteReference w:id="28"/>
      </w:r>
    </w:p>
    <w:p w14:paraId="7868EC94" w14:textId="77777777" w:rsidR="002A2B2D" w:rsidRDefault="002A2B2D" w:rsidP="00EB12E6">
      <w:pPr>
        <w:spacing w:line="360" w:lineRule="auto"/>
        <w:rPr>
          <w:rFonts w:eastAsia="Times New Roman" w:cs="Arial"/>
          <w:b/>
          <w:bCs/>
          <w:color w:val="000000" w:themeColor="text1"/>
          <w:szCs w:val="20"/>
        </w:rPr>
      </w:pPr>
    </w:p>
    <w:p w14:paraId="4A4361D8" w14:textId="35D99D00" w:rsidR="0099702B" w:rsidRPr="0099702B" w:rsidRDefault="0099702B" w:rsidP="00EB12E6">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State General Volunteer Protection Statutes</w:t>
      </w:r>
    </w:p>
    <w:p w14:paraId="160D8366" w14:textId="40149F9A" w:rsidR="0099702B" w:rsidRPr="0099702B" w:rsidRDefault="0099702B" w:rsidP="00EB12E6">
      <w:pPr>
        <w:spacing w:line="360" w:lineRule="auto"/>
        <w:rPr>
          <w:rFonts w:eastAsia="Times New Roman" w:cs="Arial"/>
          <w:color w:val="000000" w:themeColor="text1"/>
          <w:szCs w:val="20"/>
        </w:rPr>
      </w:pPr>
      <w:r w:rsidRPr="0099702B">
        <w:rPr>
          <w:rFonts w:eastAsia="Times New Roman" w:cs="Arial"/>
          <w:color w:val="000000" w:themeColor="text1"/>
          <w:szCs w:val="20"/>
        </w:rPr>
        <w:t xml:space="preserve">All states have some statutory protections for volunteers. The federal VPA (see above) preempts state laws that are less protective than the </w:t>
      </w:r>
      <w:r w:rsidR="00CC0355" w:rsidRPr="0099702B">
        <w:rPr>
          <w:rFonts w:eastAsia="Times New Roman" w:cs="Arial"/>
          <w:color w:val="000000" w:themeColor="text1"/>
          <w:szCs w:val="20"/>
        </w:rPr>
        <w:t>VPA but</w:t>
      </w:r>
      <w:r w:rsidRPr="0099702B">
        <w:rPr>
          <w:rFonts w:eastAsia="Times New Roman" w:cs="Arial"/>
          <w:color w:val="000000" w:themeColor="text1"/>
          <w:szCs w:val="20"/>
        </w:rPr>
        <w:t xml:space="preserve"> allows states to pass laws with greater protections. Generally, like the </w:t>
      </w:r>
      <w:r w:rsidR="001D2CD2">
        <w:rPr>
          <w:rFonts w:eastAsia="Times New Roman" w:cs="Arial"/>
          <w:color w:val="000000" w:themeColor="text1"/>
          <w:szCs w:val="20"/>
        </w:rPr>
        <w:t xml:space="preserve">federal </w:t>
      </w:r>
      <w:r w:rsidRPr="0099702B">
        <w:rPr>
          <w:rFonts w:eastAsia="Times New Roman" w:cs="Arial"/>
          <w:color w:val="000000" w:themeColor="text1"/>
          <w:szCs w:val="20"/>
        </w:rPr>
        <w:t>VPA, these statutes do not require that an emergency declaration be in place, apply to uncompensated individual volunteers for nonprofit and governmental entities only, and apply only to individual persons and not to organizations. However, because each state’s approach is different, it is important to identify what actors, actions, and liability protections are covered and those that are not under a specific state’s statute.</w:t>
      </w:r>
      <w:r w:rsidR="00B66796">
        <w:rPr>
          <w:rStyle w:val="FootnoteReference"/>
          <w:rFonts w:eastAsia="Times New Roman" w:cs="Arial"/>
          <w:color w:val="000000" w:themeColor="text1"/>
          <w:szCs w:val="20"/>
        </w:rPr>
        <w:footnoteReference w:id="29"/>
      </w:r>
    </w:p>
    <w:p w14:paraId="40D22878" w14:textId="77777777" w:rsidR="002A2B2D" w:rsidRDefault="002A2B2D" w:rsidP="00EB12E6">
      <w:pPr>
        <w:spacing w:line="360" w:lineRule="auto"/>
        <w:rPr>
          <w:rFonts w:eastAsia="Times New Roman" w:cs="Arial"/>
          <w:b/>
          <w:bCs/>
          <w:color w:val="000000" w:themeColor="text1"/>
          <w:szCs w:val="20"/>
        </w:rPr>
      </w:pPr>
    </w:p>
    <w:p w14:paraId="7D706F99" w14:textId="77777777" w:rsidR="005720D7" w:rsidRDefault="0099702B" w:rsidP="00573D78">
      <w:pPr>
        <w:keepNext/>
        <w:spacing w:line="360" w:lineRule="auto"/>
        <w:rPr>
          <w:rFonts w:eastAsia="Times New Roman" w:cs="Arial"/>
          <w:b/>
          <w:bCs/>
          <w:color w:val="000000" w:themeColor="text1"/>
          <w:szCs w:val="20"/>
        </w:rPr>
      </w:pPr>
      <w:r w:rsidRPr="0099702B">
        <w:rPr>
          <w:rFonts w:eastAsia="Times New Roman" w:cs="Arial"/>
          <w:b/>
          <w:bCs/>
          <w:color w:val="000000" w:themeColor="text1"/>
          <w:szCs w:val="20"/>
        </w:rPr>
        <w:lastRenderedPageBreak/>
        <w:t>State Healthcare Volunteer Protection Statutes</w:t>
      </w:r>
    </w:p>
    <w:p w14:paraId="22A7BE59" w14:textId="77C9C221"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Many states have also adopted specific liability protections for volunteer health professionals (VHPs) in addition to or to supplement their emergency powers and general volunteer protection statutes.</w:t>
      </w:r>
      <w:r w:rsidR="007A1298">
        <w:rPr>
          <w:rStyle w:val="FootnoteReference"/>
          <w:rFonts w:eastAsia="Times New Roman" w:cs="Arial"/>
          <w:color w:val="000000" w:themeColor="text1"/>
          <w:szCs w:val="20"/>
        </w:rPr>
        <w:footnoteReference w:id="30"/>
      </w:r>
      <w:r w:rsidRPr="0099702B">
        <w:rPr>
          <w:rFonts w:eastAsia="Times New Roman" w:cs="Arial"/>
          <w:color w:val="000000" w:themeColor="text1"/>
          <w:szCs w:val="20"/>
        </w:rPr>
        <w:t xml:space="preserve"> Like the VPA, VHP protection statutes confer immunity to volunteers from civil liability provided that certain conditions are met and are not dependent on the existence of an emergency declaration. </w:t>
      </w:r>
    </w:p>
    <w:p w14:paraId="6D4A3F10" w14:textId="77777777" w:rsidR="002A2B2D" w:rsidRDefault="002A2B2D" w:rsidP="00EB12E6">
      <w:pPr>
        <w:spacing w:line="360" w:lineRule="auto"/>
        <w:rPr>
          <w:rFonts w:eastAsia="Times New Roman" w:cs="Arial"/>
          <w:b/>
          <w:bCs/>
          <w:color w:val="000000" w:themeColor="text1"/>
          <w:szCs w:val="20"/>
        </w:rPr>
      </w:pPr>
    </w:p>
    <w:p w14:paraId="0BC314FA" w14:textId="77777777" w:rsidR="005720D7" w:rsidRDefault="0099702B" w:rsidP="00940861">
      <w:pPr>
        <w:keepNext/>
        <w:keepLines/>
        <w:spacing w:line="360" w:lineRule="auto"/>
        <w:rPr>
          <w:rFonts w:eastAsia="Times New Roman" w:cs="Arial"/>
          <w:b/>
          <w:bCs/>
          <w:color w:val="000000" w:themeColor="text1"/>
          <w:szCs w:val="20"/>
        </w:rPr>
      </w:pPr>
      <w:r w:rsidRPr="0099702B">
        <w:rPr>
          <w:rFonts w:eastAsia="Times New Roman" w:cs="Arial"/>
          <w:b/>
          <w:bCs/>
          <w:color w:val="000000" w:themeColor="text1"/>
          <w:szCs w:val="20"/>
        </w:rPr>
        <w:t>Uniform Emergency Volunteer Health Practitioners Act (UEVHPA)</w:t>
      </w:r>
    </w:p>
    <w:p w14:paraId="23020691" w14:textId="400A821E"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Some states have adopted the Uniform Emergency Volunteer Health Practitioners Act (UEVHPA), which is uniform model law adopted by the Uniform Law Commission.</w:t>
      </w:r>
      <w:r w:rsidR="004B483F">
        <w:rPr>
          <w:rStyle w:val="FootnoteReference"/>
          <w:rFonts w:eastAsia="Times New Roman" w:cs="Arial"/>
          <w:color w:val="000000" w:themeColor="text1"/>
          <w:szCs w:val="20"/>
        </w:rPr>
        <w:footnoteReference w:id="31"/>
      </w:r>
      <w:r w:rsidRPr="0099702B">
        <w:rPr>
          <w:rFonts w:eastAsia="Times New Roman" w:cs="Arial"/>
          <w:color w:val="000000" w:themeColor="text1"/>
          <w:szCs w:val="20"/>
        </w:rPr>
        <w:t xml:space="preserve"> The UEVHPA was conceived as a way to further supplement the number of VHPs who can rapidly respond to emergency events, particularly since traditional mutual aid approaches were viewed as insufficient to rapidly deploy VHPs. The UEVHPA permits health professionals to register either in advance of or during an emergency to provide volunteer services in an enacting state. Under the UEVHPA, VHPs can register through governmentally established registration systems (e.g., ESAR-VHP or Medical Reserve Corps) or with registration systems established by disaster relief organizations, licensing boards, or national or multi-state systems established by associations of licensing boards or health professionals. UVEHPA liability protections become effective upon the state emergency declaration.</w:t>
      </w:r>
    </w:p>
    <w:p w14:paraId="4717D6E9" w14:textId="77777777" w:rsidR="00B672E6" w:rsidRDefault="00B672E6" w:rsidP="00B672E6">
      <w:pPr>
        <w:spacing w:line="360" w:lineRule="auto"/>
        <w:textAlignment w:val="baseline"/>
        <w:rPr>
          <w:rFonts w:eastAsia="Times New Roman" w:cs="Arial"/>
          <w:color w:val="000000" w:themeColor="text1"/>
          <w:szCs w:val="20"/>
        </w:rPr>
      </w:pPr>
    </w:p>
    <w:p w14:paraId="1451D3F6" w14:textId="1E074504" w:rsidR="00B672E6" w:rsidRPr="008765E1" w:rsidRDefault="00B672E6" w:rsidP="00B672E6">
      <w:pPr>
        <w:spacing w:line="360" w:lineRule="auto"/>
        <w:textAlignment w:val="baseline"/>
        <w:rPr>
          <w:rFonts w:eastAsia="Times New Roman" w:cs="Arial"/>
          <w:color w:val="000000" w:themeColor="text1"/>
          <w:szCs w:val="20"/>
        </w:rPr>
      </w:pPr>
      <w:r>
        <w:rPr>
          <w:rFonts w:eastAsia="Times New Roman" w:cs="Arial"/>
          <w:color w:val="000000" w:themeColor="text1"/>
          <w:szCs w:val="20"/>
        </w:rPr>
        <w:t xml:space="preserve">The UEVHPA also includes provisions related to </w:t>
      </w:r>
      <w:r w:rsidRPr="008765E1">
        <w:rPr>
          <w:rFonts w:eastAsia="Times New Roman" w:cs="Arial"/>
          <w:color w:val="000000" w:themeColor="text1"/>
          <w:szCs w:val="20"/>
        </w:rPr>
        <w:t>entity liability</w:t>
      </w:r>
      <w:r>
        <w:rPr>
          <w:rFonts w:eastAsia="Times New Roman" w:cs="Arial"/>
          <w:color w:val="000000" w:themeColor="text1"/>
          <w:szCs w:val="20"/>
        </w:rPr>
        <w:t>. The act</w:t>
      </w:r>
      <w:r w:rsidRPr="008765E1">
        <w:rPr>
          <w:rFonts w:eastAsia="Times New Roman" w:cs="Arial"/>
          <w:color w:val="000000" w:themeColor="text1"/>
          <w:szCs w:val="20"/>
        </w:rPr>
        <w:t xml:space="preserve"> offers two alternatives to states for protecting volunteer health professionals during emergencies: Alternative A grants individual and entity liability protections for volunteer health professionals. Alternative B grants protection only to individuals who are uncompensated volunteers based on the criteria in the federal Volunteer Protection Act.</w:t>
      </w:r>
      <w:r w:rsidR="003C795E">
        <w:rPr>
          <w:rFonts w:eastAsia="Times New Roman" w:cs="Arial"/>
          <w:color w:val="000000" w:themeColor="text1"/>
          <w:szCs w:val="20"/>
        </w:rPr>
        <w:t xml:space="preserve"> </w:t>
      </w:r>
      <w:r w:rsidR="00B445E7">
        <w:rPr>
          <w:rFonts w:eastAsia="Times New Roman" w:cs="Arial"/>
          <w:color w:val="000000" w:themeColor="text1"/>
          <w:szCs w:val="20"/>
        </w:rPr>
        <w:t xml:space="preserve">Therefore, </w:t>
      </w:r>
      <w:r w:rsidR="00FF23AB">
        <w:rPr>
          <w:rFonts w:eastAsia="Times New Roman" w:cs="Arial"/>
          <w:color w:val="000000" w:themeColor="text1"/>
          <w:szCs w:val="20"/>
        </w:rPr>
        <w:t>states may not adopt all of UEVHPA’s liability provisions</w:t>
      </w:r>
      <w:r w:rsidR="0054138C">
        <w:rPr>
          <w:rFonts w:eastAsia="Times New Roman" w:cs="Arial"/>
          <w:color w:val="000000" w:themeColor="text1"/>
          <w:szCs w:val="20"/>
        </w:rPr>
        <w:t xml:space="preserve"> and it is necessary to </w:t>
      </w:r>
      <w:r w:rsidR="00027B2E">
        <w:rPr>
          <w:rFonts w:eastAsia="Times New Roman" w:cs="Arial"/>
          <w:color w:val="000000" w:themeColor="text1"/>
          <w:szCs w:val="20"/>
        </w:rPr>
        <w:t>review the specific provisions adopted by a state</w:t>
      </w:r>
      <w:r w:rsidR="0054138C">
        <w:rPr>
          <w:rFonts w:eastAsia="Times New Roman" w:cs="Arial"/>
          <w:color w:val="000000" w:themeColor="text1"/>
          <w:szCs w:val="20"/>
        </w:rPr>
        <w:t>.</w:t>
      </w:r>
      <w:r w:rsidR="00027B2E">
        <w:rPr>
          <w:rFonts w:eastAsia="Times New Roman" w:cs="Arial"/>
          <w:color w:val="000000" w:themeColor="text1"/>
          <w:szCs w:val="20"/>
        </w:rPr>
        <w:t xml:space="preserve"> </w:t>
      </w:r>
    </w:p>
    <w:p w14:paraId="155260A2" w14:textId="77777777" w:rsidR="00B672E6" w:rsidRDefault="00B672E6" w:rsidP="00EB12E6">
      <w:pPr>
        <w:spacing w:line="360" w:lineRule="auto"/>
        <w:rPr>
          <w:rFonts w:eastAsia="Times New Roman" w:cs="Arial"/>
          <w:b/>
          <w:bCs/>
          <w:color w:val="000000" w:themeColor="text1"/>
          <w:szCs w:val="20"/>
        </w:rPr>
      </w:pPr>
    </w:p>
    <w:p w14:paraId="3191F27D" w14:textId="77777777" w:rsidR="005720D7" w:rsidRDefault="0099702B" w:rsidP="004C0137">
      <w:pPr>
        <w:keepNext/>
        <w:spacing w:line="360" w:lineRule="auto"/>
        <w:rPr>
          <w:rFonts w:eastAsia="Times New Roman" w:cs="Arial"/>
          <w:b/>
          <w:bCs/>
          <w:color w:val="000000" w:themeColor="text1"/>
          <w:szCs w:val="20"/>
        </w:rPr>
      </w:pPr>
      <w:r w:rsidRPr="0099702B">
        <w:rPr>
          <w:rFonts w:eastAsia="Times New Roman" w:cs="Arial"/>
          <w:b/>
          <w:bCs/>
          <w:color w:val="000000" w:themeColor="text1"/>
          <w:szCs w:val="20"/>
        </w:rPr>
        <w:lastRenderedPageBreak/>
        <w:t>Good Samaritan Laws</w:t>
      </w:r>
    </w:p>
    <w:p w14:paraId="0BBBCA00" w14:textId="577834CA" w:rsidR="0099702B" w:rsidRPr="005720D7" w:rsidRDefault="0099702B" w:rsidP="005720D7">
      <w:pPr>
        <w:spacing w:line="360" w:lineRule="auto"/>
        <w:rPr>
          <w:rFonts w:eastAsia="Times New Roman" w:cs="Arial"/>
          <w:b/>
          <w:bCs/>
          <w:color w:val="000000" w:themeColor="text1"/>
          <w:szCs w:val="20"/>
        </w:rPr>
      </w:pPr>
      <w:r w:rsidRPr="0099702B">
        <w:rPr>
          <w:rFonts w:eastAsia="Times New Roman" w:cs="Arial"/>
          <w:color w:val="000000" w:themeColor="text1"/>
          <w:szCs w:val="20"/>
        </w:rPr>
        <w:t>Good Samaritan laws can provide liability protection to volunteers who are near an emergency event and respond to help victims. No formal emergency declaration or activation of the volunteer as part of an emergency response force is required for Good Samaritan liability protections to attach. Every state has a Good Samaritan statute, but the actors eligible for coverage and qualifying circumstances under which care is delivered varies.</w:t>
      </w:r>
      <w:r w:rsidR="00860351">
        <w:rPr>
          <w:rStyle w:val="FootnoteReference"/>
          <w:rFonts w:eastAsia="Times New Roman" w:cs="Arial"/>
          <w:color w:val="000000" w:themeColor="text1"/>
          <w:szCs w:val="20"/>
        </w:rPr>
        <w:footnoteReference w:id="32"/>
      </w:r>
      <w:r w:rsidRPr="0099702B">
        <w:rPr>
          <w:rFonts w:eastAsia="Times New Roman" w:cs="Arial"/>
          <w:color w:val="000000" w:themeColor="text1"/>
          <w:szCs w:val="20"/>
        </w:rPr>
        <w:t xml:space="preserve"> Generally, Good Samaritan statutes cover the spontaneous rendering of aid and reduce the standard of care that would normally be required of the person supplying aid (e.g., a doctor or nurse helping a victim at the scene of an accident) to account for the exigent circumstances in which the care is being delivered. These laws generally do not apply to employees on duty (e.g., EMTs) and may not apply for pre-arranged or compensated volunteers. Good Samaritan laws provide limited immunity from civil liability for ordinary negligence to protected volunteers; they do not provide payment for defense costs, judgments, or settlements. As with other volunteer protection statutes, Good Samaritan laws do not cover egregious conduct.</w:t>
      </w:r>
    </w:p>
    <w:p w14:paraId="660A2277" w14:textId="77777777" w:rsidR="003241AC" w:rsidRDefault="003241AC" w:rsidP="00EB12E6">
      <w:pPr>
        <w:spacing w:line="360" w:lineRule="auto"/>
        <w:rPr>
          <w:rFonts w:eastAsia="Times New Roman" w:cs="Arial"/>
          <w:b/>
          <w:bCs/>
          <w:color w:val="000000" w:themeColor="text1"/>
          <w:szCs w:val="20"/>
        </w:rPr>
      </w:pPr>
    </w:p>
    <w:p w14:paraId="7F87456E" w14:textId="77777777" w:rsidR="005720D7" w:rsidRDefault="0099702B" w:rsidP="005720D7">
      <w:pPr>
        <w:spacing w:line="360" w:lineRule="auto"/>
        <w:rPr>
          <w:rFonts w:eastAsia="Times New Roman" w:cs="Arial"/>
          <w:b/>
          <w:bCs/>
          <w:color w:val="000000" w:themeColor="text1"/>
          <w:szCs w:val="20"/>
        </w:rPr>
      </w:pPr>
      <w:r w:rsidRPr="0099702B">
        <w:rPr>
          <w:rFonts w:eastAsia="Times New Roman" w:cs="Arial"/>
          <w:b/>
          <w:bCs/>
          <w:color w:val="000000" w:themeColor="text1"/>
          <w:szCs w:val="20"/>
        </w:rPr>
        <w:t>Mutual Aid Agreements</w:t>
      </w:r>
    </w:p>
    <w:p w14:paraId="48A42127" w14:textId="002B71C2" w:rsidR="00C91B48" w:rsidRDefault="0099702B" w:rsidP="003226A7">
      <w:pPr>
        <w:spacing w:after="120" w:line="360" w:lineRule="auto"/>
        <w:rPr>
          <w:rFonts w:eastAsia="Times New Roman" w:cs="Arial"/>
          <w:b/>
          <w:bCs/>
          <w:color w:val="000000" w:themeColor="text1"/>
          <w:szCs w:val="20"/>
        </w:rPr>
      </w:pPr>
      <w:r w:rsidRPr="0099702B">
        <w:rPr>
          <w:rFonts w:eastAsia="Times New Roman" w:cs="Arial"/>
          <w:color w:val="000000" w:themeColor="text1"/>
          <w:szCs w:val="20"/>
        </w:rPr>
        <w:t xml:space="preserve">Mutual aid agreements are mechanisms through which jurisdictions </w:t>
      </w:r>
      <w:r w:rsidR="002B12BA">
        <w:rPr>
          <w:rFonts w:eastAsia="Times New Roman" w:cs="Arial"/>
          <w:color w:val="000000" w:themeColor="text1"/>
          <w:szCs w:val="20"/>
        </w:rPr>
        <w:t>assist</w:t>
      </w:r>
      <w:r w:rsidRPr="0099702B">
        <w:rPr>
          <w:rFonts w:eastAsia="Times New Roman" w:cs="Arial"/>
          <w:color w:val="000000" w:themeColor="text1"/>
          <w:szCs w:val="20"/>
        </w:rPr>
        <w:t xml:space="preserve"> other jurisdictions during emergencies. These agreements also generally include provisions for reimbursing expenses, providing liability protections to governmental personnel and volunteers who provide aid, and awarding compensation for injuries to personnel deployed under the agreement.</w:t>
      </w:r>
      <w:r w:rsidR="0081032B">
        <w:rPr>
          <w:rStyle w:val="FootnoteReference"/>
          <w:rFonts w:eastAsia="Times New Roman" w:cs="Arial"/>
          <w:color w:val="000000" w:themeColor="text1"/>
          <w:szCs w:val="20"/>
        </w:rPr>
        <w:footnoteReference w:id="33"/>
      </w:r>
    </w:p>
    <w:p w14:paraId="60C32E6A" w14:textId="12162AF8" w:rsidR="0099702B" w:rsidRDefault="0099702B" w:rsidP="003226A7">
      <w:pPr>
        <w:pStyle w:val="ListParagraph"/>
        <w:numPr>
          <w:ilvl w:val="0"/>
          <w:numId w:val="22"/>
        </w:numPr>
        <w:spacing w:after="120" w:line="360" w:lineRule="auto"/>
        <w:contextualSpacing w:val="0"/>
        <w:textAlignment w:val="baseline"/>
        <w:rPr>
          <w:rFonts w:eastAsia="Times New Roman" w:cs="Arial"/>
          <w:color w:val="000000" w:themeColor="text1"/>
          <w:szCs w:val="20"/>
        </w:rPr>
      </w:pPr>
      <w:r w:rsidRPr="00C91B48">
        <w:rPr>
          <w:rFonts w:eastAsia="Times New Roman" w:cs="Arial"/>
          <w:b/>
          <w:bCs/>
          <w:color w:val="000000" w:themeColor="text1"/>
          <w:szCs w:val="20"/>
          <w:bdr w:val="none" w:sz="0" w:space="0" w:color="auto" w:frame="1"/>
        </w:rPr>
        <w:t>Emergency Management Assistance Compact—</w:t>
      </w:r>
      <w:r w:rsidRPr="00C91B48">
        <w:rPr>
          <w:rFonts w:eastAsia="Times New Roman" w:cs="Arial"/>
          <w:color w:val="000000" w:themeColor="text1"/>
          <w:szCs w:val="20"/>
        </w:rPr>
        <w:t xml:space="preserve">EMAC is the most widely adopted mutual aid agreement in the United Sates; it has been adopted by all states, the District of Columbia, and some territories. Congress ratified EMAC in 1996. EMAC provides an organized structure through which a state can request aid from other states during an emergency. Under EMAC, when officers or employees of one state provide aid to another state, they are considered to be agents of the state receiving aid for tort and immunity purposes. Covered individuals and the state itself are immune from tort liability for acts or omissions committed in good faith while rendering aid or providing supplies and equipment. EMAC also provides reciprocity for individuals who hold a license, certificate, or other authorization to practice medicine or other skilled professions to provide those </w:t>
      </w:r>
      <w:r w:rsidRPr="00C91B48">
        <w:rPr>
          <w:rFonts w:eastAsia="Times New Roman" w:cs="Arial"/>
          <w:color w:val="000000" w:themeColor="text1"/>
          <w:szCs w:val="20"/>
        </w:rPr>
        <w:lastRenderedPageBreak/>
        <w:t>services in the receiving state, subject to any limitations imposed by the receiving state. EMAC only applies to persons properly dispatched in response to an EMAC request. Immunity protections and license reciprocity will not automatically extend to volunteers who provide services outside of EMAC. Volunteers would have to be made temporary government employees to be covered under EMAC.</w:t>
      </w:r>
    </w:p>
    <w:p w14:paraId="3AD880E2" w14:textId="789F1A74" w:rsidR="0099702B" w:rsidRPr="00C91B48" w:rsidRDefault="0099702B" w:rsidP="00EB12E6">
      <w:pPr>
        <w:pStyle w:val="ListParagraph"/>
        <w:numPr>
          <w:ilvl w:val="0"/>
          <w:numId w:val="22"/>
        </w:numPr>
        <w:spacing w:line="360" w:lineRule="auto"/>
        <w:textAlignment w:val="baseline"/>
        <w:rPr>
          <w:rFonts w:eastAsia="Times New Roman" w:cs="Arial"/>
          <w:color w:val="000000" w:themeColor="text1"/>
          <w:szCs w:val="20"/>
        </w:rPr>
      </w:pPr>
      <w:r w:rsidRPr="00C91B48">
        <w:rPr>
          <w:rFonts w:eastAsia="Times New Roman" w:cs="Arial"/>
          <w:b/>
          <w:bCs/>
          <w:color w:val="000000" w:themeColor="text1"/>
          <w:szCs w:val="20"/>
          <w:bdr w:val="none" w:sz="0" w:space="0" w:color="auto" w:frame="1"/>
        </w:rPr>
        <w:t>Other Mutual Aid Agreements—</w:t>
      </w:r>
      <w:r w:rsidRPr="00C91B48">
        <w:rPr>
          <w:rFonts w:eastAsia="Times New Roman" w:cs="Arial"/>
          <w:color w:val="000000" w:themeColor="text1"/>
          <w:szCs w:val="20"/>
        </w:rPr>
        <w:t xml:space="preserve">In addition to EMAC, emergency mutual aid agreements can exist between states and tribes, between individual states or groups of states, between localities in a state, or internationally. Depending on the particulars of the agreement, states may enter various mutual aid arrangements as another way to </w:t>
      </w:r>
      <w:r w:rsidR="00F81BC7">
        <w:rPr>
          <w:rFonts w:eastAsia="Times New Roman" w:cs="Arial"/>
          <w:color w:val="000000" w:themeColor="text1"/>
          <w:szCs w:val="20"/>
        </w:rPr>
        <w:t>assist</w:t>
      </w:r>
      <w:r w:rsidRPr="00C91B48">
        <w:rPr>
          <w:rFonts w:eastAsia="Times New Roman" w:cs="Arial"/>
          <w:color w:val="000000" w:themeColor="text1"/>
          <w:szCs w:val="20"/>
        </w:rPr>
        <w:t xml:space="preserve"> affected jurisdictions while providing liability protections to government employees and others participating in the response.</w:t>
      </w:r>
      <w:r w:rsidR="00D733A2">
        <w:rPr>
          <w:rFonts w:eastAsia="Times New Roman" w:cs="Arial"/>
          <w:color w:val="000000" w:themeColor="text1"/>
          <w:szCs w:val="20"/>
        </w:rPr>
        <w:t xml:space="preserve"> </w:t>
      </w:r>
      <w:r w:rsidR="00D733A2">
        <w:rPr>
          <w:rFonts w:eastAsia="Times New Roman" w:cs="Arial"/>
        </w:rPr>
        <w:t>Tribes and local governments have entered into mutual agreements to address unique issues such as tribal sovereign immunity.</w:t>
      </w:r>
    </w:p>
    <w:p w14:paraId="6D782969" w14:textId="5D132CAD" w:rsidR="002A2B2D" w:rsidRDefault="00E60644" w:rsidP="00EB12E6">
      <w:pPr>
        <w:spacing w:line="360" w:lineRule="auto"/>
        <w:rPr>
          <w:rFonts w:eastAsia="Times New Roman" w:cs="Arial"/>
          <w:b/>
          <w:bCs/>
          <w:color w:val="3C3030"/>
          <w:sz w:val="24"/>
          <w:szCs w:val="24"/>
        </w:rPr>
      </w:pPr>
      <w:r>
        <w:rPr>
          <w:noProof/>
        </w:rPr>
        <mc:AlternateContent>
          <mc:Choice Requires="wps">
            <w:drawing>
              <wp:anchor distT="45720" distB="45720" distL="114300" distR="114300" simplePos="0" relativeHeight="251661312" behindDoc="0" locked="0" layoutInCell="1" allowOverlap="1" wp14:anchorId="43A5C7DB" wp14:editId="62B62FB9">
                <wp:simplePos x="0" y="0"/>
                <wp:positionH relativeFrom="margin">
                  <wp:align>center</wp:align>
                </wp:positionH>
                <wp:positionV relativeFrom="paragraph">
                  <wp:posOffset>6414770</wp:posOffset>
                </wp:positionV>
                <wp:extent cx="55137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48CF8AF8" w14:textId="508B3576" w:rsidR="00E60644" w:rsidRPr="004C64AD" w:rsidRDefault="00E60644" w:rsidP="00E60644">
                            <w:pPr>
                              <w:rPr>
                                <w:sz w:val="20"/>
                                <w:szCs w:val="20"/>
                              </w:rPr>
                            </w:pPr>
                            <w:r w:rsidRPr="004C64AD">
                              <w:rPr>
                                <w:sz w:val="20"/>
                                <w:szCs w:val="20"/>
                              </w:rPr>
                              <w:t xml:space="preserve">This CSTE project was funded under a cooperative agreement with the Centers for Disease Control and Prevention (NU38OT000297-01-00). The </w:t>
                            </w:r>
                            <w:r w:rsidR="003B12B2">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A5C7DB" id="_x0000_s1027" type="#_x0000_t202" style="position:absolute;margin-left:0;margin-top:505.1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">
                <v:textbox style="mso-fit-shape-to-text:t">
                  <w:txbxContent>
                    <w:p w14:paraId="48CF8AF8" w14:textId="508B3576" w:rsidR="00E60644" w:rsidRPr="004C64AD" w:rsidRDefault="00E60644" w:rsidP="00E60644">
                      <w:pPr>
                        <w:rPr>
                          <w:sz w:val="20"/>
                          <w:szCs w:val="20"/>
                        </w:rPr>
                      </w:pPr>
                      <w:r w:rsidRPr="004C64AD">
                        <w:rPr>
                          <w:sz w:val="20"/>
                          <w:szCs w:val="20"/>
                        </w:rPr>
                        <w:t xml:space="preserve">This CSTE project was funded under a cooperative agreement with the Centers for Disease Control and Prevention (NU38OT000297-01-00). The </w:t>
                      </w:r>
                      <w:r w:rsidR="003B12B2">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w:t>
                      </w:r>
                      <w:proofErr w:type="spellStart"/>
                      <w:r>
                        <w:rPr>
                          <w:sz w:val="20"/>
                          <w:szCs w:val="20"/>
                        </w:rPr>
                        <w:t>Health|Environment</w:t>
                      </w:r>
                      <w:proofErr w:type="spellEnd"/>
                      <w:r>
                        <w:rPr>
                          <w:sz w:val="20"/>
                          <w:szCs w:val="20"/>
                        </w:rPr>
                        <w:t xml:space="preserve"> Concepts.</w:t>
                      </w:r>
                    </w:p>
                  </w:txbxContent>
                </v:textbox>
                <w10:wrap type="square" anchorx="margin"/>
              </v:shape>
            </w:pict>
          </mc:Fallback>
        </mc:AlternateContent>
      </w:r>
    </w:p>
    <w:sectPr w:rsidR="002A2B2D" w:rsidSect="00F90C63">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5333D2" w14:textId="77777777" w:rsidR="000C0CCE" w:rsidRDefault="000C0CCE" w:rsidP="00477E52">
      <w:r>
        <w:separator/>
      </w:r>
    </w:p>
  </w:endnote>
  <w:endnote w:type="continuationSeparator" w:id="0">
    <w:p w14:paraId="09112AF0" w14:textId="77777777" w:rsidR="000C0CCE" w:rsidRDefault="000C0CCE" w:rsidP="00477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5049029"/>
      <w:docPartObj>
        <w:docPartGallery w:val="Page Numbers (Bottom of Page)"/>
        <w:docPartUnique/>
      </w:docPartObj>
    </w:sdtPr>
    <w:sdtEndPr>
      <w:rPr>
        <w:noProof/>
      </w:rPr>
    </w:sdtEndPr>
    <w:sdtContent>
      <w:p w14:paraId="539E0E42" w14:textId="72765AD4" w:rsidR="00477E52" w:rsidRDefault="00477E52" w:rsidP="00477E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C379C" w14:textId="77777777" w:rsidR="00734C29" w:rsidRDefault="00734C29" w:rsidP="00734C29">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3FE5F59B" w14:textId="3A1C8796" w:rsidR="00734C29" w:rsidRDefault="00734C29" w:rsidP="00AB4147">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09D0A3" w14:textId="77777777" w:rsidR="000C0CCE" w:rsidRDefault="000C0CCE" w:rsidP="00477E52">
      <w:r>
        <w:separator/>
      </w:r>
    </w:p>
  </w:footnote>
  <w:footnote w:type="continuationSeparator" w:id="0">
    <w:p w14:paraId="5955C18C" w14:textId="77777777" w:rsidR="000C0CCE" w:rsidRDefault="000C0CCE" w:rsidP="00477E52">
      <w:r>
        <w:continuationSeparator/>
      </w:r>
    </w:p>
  </w:footnote>
  <w:footnote w:id="1">
    <w:p w14:paraId="1F648DF2" w14:textId="155506E2" w:rsidR="00B6433E" w:rsidRPr="00F97733" w:rsidRDefault="00B6433E" w:rsidP="00B6433E">
      <w:pPr>
        <w:pStyle w:val="FootnoteText"/>
        <w:tabs>
          <w:tab w:val="left" w:pos="686"/>
        </w:tabs>
        <w:rPr>
          <w:b/>
          <w:bCs/>
        </w:rPr>
      </w:pPr>
      <w:r w:rsidRPr="00F97733">
        <w:rPr>
          <w:b/>
          <w:bCs/>
          <w:highlight w:val="yellow"/>
        </w:rPr>
        <w:t>Footnotes will be streamlined and edited to style guide once text is finalized</w:t>
      </w:r>
    </w:p>
    <w:p w14:paraId="70E06D73" w14:textId="5B6EBA6E" w:rsidR="00B6433E" w:rsidRPr="00F97733" w:rsidRDefault="00BB3998">
      <w:pPr>
        <w:pStyle w:val="FootnoteText"/>
        <w:rPr>
          <w:rFonts w:eastAsia="Times New Roman" w:cs="Arial"/>
          <w:color w:val="3C3030"/>
        </w:rPr>
      </w:pPr>
      <w:r w:rsidRPr="00F97733">
        <w:rPr>
          <w:rStyle w:val="FootnoteReference"/>
        </w:rPr>
        <w:footnoteRef/>
      </w:r>
      <w:r w:rsidRPr="00F97733">
        <w:t xml:space="preserve"> </w:t>
      </w:r>
      <w:r w:rsidR="00F41674" w:rsidRPr="00F97733">
        <w:t xml:space="preserve">See </w:t>
      </w:r>
      <w:r w:rsidR="00B6433E" w:rsidRPr="00F97733">
        <w:t>“</w:t>
      </w:r>
      <w:r w:rsidR="00B6433E" w:rsidRPr="00F97733">
        <w:rPr>
          <w:rFonts w:eastAsia="Times New Roman" w:cs="Arial"/>
          <w:color w:val="3C3030"/>
        </w:rPr>
        <w:t>Liability in Emergency Preparedness and Response” document in this series for more detail.</w:t>
      </w:r>
    </w:p>
  </w:footnote>
  <w:footnote w:id="2">
    <w:p w14:paraId="6FBDD22A" w14:textId="5AF83801" w:rsidR="00C24EA6" w:rsidRDefault="00C24EA6">
      <w:pPr>
        <w:pStyle w:val="FootnoteText"/>
      </w:pPr>
      <w:r>
        <w:rPr>
          <w:rStyle w:val="FootnoteReference"/>
        </w:rPr>
        <w:footnoteRef/>
      </w:r>
      <w:r>
        <w:t xml:space="preserve"> NCSL. </w:t>
      </w:r>
      <w:r w:rsidR="00093ED1" w:rsidRPr="00093ED1">
        <w:t>State Action on Coronavirus (COVID-19)</w:t>
      </w:r>
      <w:r w:rsidR="00C07E20">
        <w:t xml:space="preserve">. Webpage updated as of August 5, 2020. Retrieved from </w:t>
      </w:r>
      <w:hyperlink r:id="rId1" w:history="1">
        <w:r w:rsidR="00CB5146">
          <w:rPr>
            <w:rStyle w:val="Hyperlink"/>
          </w:rPr>
          <w:t>https://www.ncsl.org/research/health/state-action-on-coronavirus-covid-19.aspx</w:t>
        </w:r>
      </w:hyperlink>
      <w:r w:rsidR="00CB5146">
        <w:t>. Accessed August 5, 2020.</w:t>
      </w:r>
    </w:p>
  </w:footnote>
  <w:footnote w:id="3">
    <w:p w14:paraId="6CF12C1E" w14:textId="00FFE3E0" w:rsidR="002628B8" w:rsidRDefault="002628B8">
      <w:pPr>
        <w:pStyle w:val="FootnoteText"/>
      </w:pPr>
      <w:r>
        <w:rPr>
          <w:rStyle w:val="FootnoteReference"/>
        </w:rPr>
        <w:footnoteRef/>
      </w:r>
      <w:r>
        <w:t xml:space="preserve"> NCSL. </w:t>
      </w:r>
      <w:r w:rsidRPr="00093ED1">
        <w:t>State Action on Coronavirus (COVID-19)</w:t>
      </w:r>
      <w:r>
        <w:t xml:space="preserve">. Webpage updated as of August 5, 2020. Retrieved from </w:t>
      </w:r>
      <w:hyperlink r:id="rId2" w:history="1">
        <w:r>
          <w:rPr>
            <w:rStyle w:val="Hyperlink"/>
          </w:rPr>
          <w:t>https://www.ncsl.org/research/health/state-action-on-coronavirus-covid-19.aspx</w:t>
        </w:r>
      </w:hyperlink>
      <w:r>
        <w:t xml:space="preserve">. Accessed August 5, 2020. </w:t>
      </w:r>
      <w:r w:rsidRPr="002A4008">
        <w:rPr>
          <w:i/>
          <w:iCs/>
        </w:rPr>
        <w:t>See also</w:t>
      </w:r>
      <w:r>
        <w:t xml:space="preserve"> </w:t>
      </w:r>
      <w:r w:rsidR="00872B7F" w:rsidRPr="00872B7F">
        <w:t xml:space="preserve">Hodge, J. The Network for Public Health Law. COVID-19 Emergency Legal Preparedness Primer. July 31, 2020. Retrieved from </w:t>
      </w:r>
      <w:hyperlink r:id="rId3" w:history="1">
        <w:r w:rsidR="00872B7F" w:rsidRPr="00872B7F">
          <w:rPr>
            <w:rStyle w:val="Hyperlink"/>
          </w:rPr>
          <w:t>https://www.networkforphl.org/wp-content/uploads/2020/08/Western-Region-Primer-COVID-7-31-2020.pdf</w:t>
        </w:r>
      </w:hyperlink>
      <w:r w:rsidR="00872B7F" w:rsidRPr="00872B7F">
        <w:t>. Accessed August 2, 2020.</w:t>
      </w:r>
    </w:p>
  </w:footnote>
  <w:footnote w:id="4">
    <w:p w14:paraId="11EF35DF" w14:textId="4469AF28" w:rsidR="00E66259" w:rsidRDefault="00E66259">
      <w:pPr>
        <w:pStyle w:val="FootnoteText"/>
      </w:pPr>
      <w:r>
        <w:rPr>
          <w:rStyle w:val="FootnoteReference"/>
        </w:rPr>
        <w:footnoteRef/>
      </w:r>
      <w:r>
        <w:t xml:space="preserve"> </w:t>
      </w:r>
      <w:r w:rsidRPr="00872B7F">
        <w:t xml:space="preserve">Hodge, J. The Network for Public Health Law. COVID-19 Emergency Legal Preparedness Primer. July 31, 2020. Retrieved from </w:t>
      </w:r>
      <w:hyperlink r:id="rId4" w:history="1">
        <w:r w:rsidRPr="00872B7F">
          <w:rPr>
            <w:rStyle w:val="Hyperlink"/>
          </w:rPr>
          <w:t>https://www.networkforphl.org/wp-content/uploads/2020/08/Western-Region-Primer-COVID-7-31-2020.pdf</w:t>
        </w:r>
      </w:hyperlink>
      <w:r w:rsidRPr="00872B7F">
        <w:t>. Accessed August 2, 2020.</w:t>
      </w:r>
    </w:p>
  </w:footnote>
  <w:footnote w:id="5">
    <w:p w14:paraId="73B2F5BC" w14:textId="32E7FD19" w:rsidR="006755F5" w:rsidRDefault="006755F5">
      <w:pPr>
        <w:pStyle w:val="FootnoteText"/>
      </w:pPr>
      <w:r>
        <w:rPr>
          <w:rStyle w:val="FootnoteReference"/>
        </w:rPr>
        <w:footnoteRef/>
      </w:r>
      <w:r>
        <w:t xml:space="preserve"> </w:t>
      </w:r>
      <w:r w:rsidR="0091258E" w:rsidRPr="0091258E">
        <w:t>Pub</w:t>
      </w:r>
      <w:r w:rsidR="00E1618A">
        <w:t>.</w:t>
      </w:r>
      <w:r w:rsidR="0091258E" w:rsidRPr="0091258E">
        <w:t> Law </w:t>
      </w:r>
      <w:r w:rsidR="0091258E">
        <w:t xml:space="preserve">No. </w:t>
      </w:r>
      <w:r w:rsidR="0091258E" w:rsidRPr="0091258E">
        <w:t>116-136</w:t>
      </w:r>
      <w:r w:rsidR="0091258E">
        <w:t>.</w:t>
      </w:r>
      <w:r w:rsidR="00F6267E">
        <w:t xml:space="preserve"> The CARES Act was enacted on </w:t>
      </w:r>
      <w:r w:rsidR="00F6267E">
        <w:rPr>
          <w:rFonts w:eastAsia="Times New Roman" w:cs="Arial"/>
          <w:color w:val="000000" w:themeColor="text1"/>
        </w:rPr>
        <w:t>March 27, 2020.</w:t>
      </w:r>
    </w:p>
  </w:footnote>
  <w:footnote w:id="6">
    <w:p w14:paraId="53AF1CA2" w14:textId="3C8B5C46" w:rsidR="008337F8" w:rsidRPr="00F97733" w:rsidRDefault="008337F8">
      <w:pPr>
        <w:pStyle w:val="FootnoteText"/>
      </w:pPr>
      <w:r w:rsidRPr="00F97733">
        <w:rPr>
          <w:rStyle w:val="FootnoteReference"/>
        </w:rPr>
        <w:footnoteRef/>
      </w:r>
      <w:r w:rsidRPr="00F97733">
        <w:t xml:space="preserve"> Federal Tort Claims Act, as amended. Codified at 28 U.S.C. §§1346(b), 2671-2680.</w:t>
      </w:r>
    </w:p>
  </w:footnote>
  <w:footnote w:id="7">
    <w:p w14:paraId="668EA81C" w14:textId="48F57F8A" w:rsidR="00FC3C83" w:rsidRPr="00F97733" w:rsidRDefault="00FC3C83" w:rsidP="00DA1776">
      <w:pPr>
        <w:pStyle w:val="FootnoteText"/>
      </w:pPr>
      <w:r w:rsidRPr="00F97733">
        <w:rPr>
          <w:rStyle w:val="FootnoteReference"/>
        </w:rPr>
        <w:footnoteRef/>
      </w:r>
      <w:r w:rsidRPr="00F97733">
        <w:t xml:space="preserve"> </w:t>
      </w:r>
      <w:r w:rsidR="00DA1776">
        <w:t>Wood, W</w:t>
      </w:r>
      <w:r w:rsidR="006F71AE">
        <w:t>.</w:t>
      </w:r>
      <w:r w:rsidR="00DA1776">
        <w:t xml:space="preserve"> "It Wasn't an Accident: The Tribal Sovereignty Immunity Story. " American University Law Review 62, no.6 (2013):1587-1673. Retrieved from </w:t>
      </w:r>
      <w:hyperlink r:id="rId5" w:history="1">
        <w:r w:rsidR="006F71AE" w:rsidRPr="0088219E">
          <w:rPr>
            <w:rStyle w:val="Hyperlink"/>
          </w:rPr>
          <w:t>https://digitalcommons.wcl.american.edu/cgi/viewcontent.cgi?article=1894&amp;context=aulr</w:t>
        </w:r>
      </w:hyperlink>
      <w:r w:rsidR="006F71AE">
        <w:t xml:space="preserve">. Accessed August 1, 2020. </w:t>
      </w:r>
    </w:p>
  </w:footnote>
  <w:footnote w:id="8">
    <w:p w14:paraId="2999451C" w14:textId="24CC7898" w:rsidR="00DA1776" w:rsidRDefault="00DA1776">
      <w:pPr>
        <w:pStyle w:val="FootnoteText"/>
      </w:pPr>
      <w:r>
        <w:rPr>
          <w:rStyle w:val="FootnoteReference"/>
        </w:rPr>
        <w:footnoteRef/>
      </w:r>
      <w:r>
        <w:t xml:space="preserve"> </w:t>
      </w:r>
      <w:r w:rsidR="00BE7F29">
        <w:t xml:space="preserve">Wood, W. "It Wasn't an Accident: The Tribal Sovereignty Immunity Story. " American University Law Review 62, no.6 (2013):1587-1673. Retrieved from </w:t>
      </w:r>
      <w:hyperlink r:id="rId6" w:history="1">
        <w:r w:rsidR="00BE7F29" w:rsidRPr="0088219E">
          <w:rPr>
            <w:rStyle w:val="Hyperlink"/>
          </w:rPr>
          <w:t>https://digitalcommons.wcl.american.edu/cgi/viewcontent.cgi?article=1894&amp;context=aulr</w:t>
        </w:r>
      </w:hyperlink>
      <w:r w:rsidR="00BE7F29">
        <w:t>. Accessed August 1, 2020.</w:t>
      </w:r>
    </w:p>
  </w:footnote>
  <w:footnote w:id="9">
    <w:p w14:paraId="5221E452" w14:textId="79A6CD55" w:rsidR="00607F3D" w:rsidRPr="00F97733" w:rsidRDefault="00607F3D">
      <w:pPr>
        <w:pStyle w:val="FootnoteText"/>
      </w:pPr>
      <w:r w:rsidRPr="00F97733">
        <w:rPr>
          <w:rStyle w:val="FootnoteReference"/>
        </w:rPr>
        <w:footnoteRef/>
      </w:r>
      <w:r w:rsidRPr="00F97733">
        <w:t xml:space="preserve"> Federal Tort Claims Act, as amended. Codified at 28 U.S.C. §§1346(b), 2671-2680.</w:t>
      </w:r>
    </w:p>
  </w:footnote>
  <w:footnote w:id="10">
    <w:p w14:paraId="5ECAF7C6" w14:textId="0DE8F1A7" w:rsidR="00607F3D" w:rsidRPr="00F97733" w:rsidRDefault="00607F3D">
      <w:pPr>
        <w:pStyle w:val="FootnoteText"/>
      </w:pPr>
      <w:r w:rsidRPr="00F97733">
        <w:rPr>
          <w:rStyle w:val="FootnoteReference"/>
        </w:rPr>
        <w:footnoteRef/>
      </w:r>
      <w:r w:rsidRPr="00F97733">
        <w:t xml:space="preserve"> Federal Tort Claims Act, as amended. Codified at 28 U.S.C. §§1346(b), 2671-2680.</w:t>
      </w:r>
    </w:p>
  </w:footnote>
  <w:footnote w:id="11">
    <w:p w14:paraId="51990EED" w14:textId="5C8C542D" w:rsidR="00D81CDF" w:rsidRPr="00F97733" w:rsidRDefault="00D81CDF">
      <w:pPr>
        <w:pStyle w:val="FootnoteText"/>
      </w:pPr>
      <w:r w:rsidRPr="00F97733">
        <w:rPr>
          <w:rStyle w:val="FootnoteReference"/>
        </w:rPr>
        <w:footnoteRef/>
      </w:r>
      <w:r w:rsidRPr="00F97733">
        <w:t xml:space="preserve"> </w:t>
      </w:r>
      <w:r w:rsidR="00885956" w:rsidRPr="00F97733">
        <w:t>Indian Self-Determination and Education Assistance Act</w:t>
      </w:r>
      <w:r w:rsidR="00B87D20" w:rsidRPr="00F97733">
        <w:t xml:space="preserve"> of 1975</w:t>
      </w:r>
      <w:r w:rsidR="00885956" w:rsidRPr="00F97733">
        <w:t>. Pub. Law. No. 93–638</w:t>
      </w:r>
      <w:r w:rsidR="00B87D20" w:rsidRPr="00F97733">
        <w:t>, as amended</w:t>
      </w:r>
      <w:r w:rsidR="00885956" w:rsidRPr="00F97733">
        <w:t>. Codified at 25 U.S.C. 450f (d) and 25 U.S.C. 458aaa–15.</w:t>
      </w:r>
      <w:r w:rsidR="009C10F8" w:rsidRPr="00F97733">
        <w:t xml:space="preserve"> </w:t>
      </w:r>
      <w:r w:rsidR="009C10F8" w:rsidRPr="00F97733">
        <w:rPr>
          <w:i/>
          <w:iCs/>
        </w:rPr>
        <w:t>See also</w:t>
      </w:r>
      <w:r w:rsidR="009C10F8" w:rsidRPr="00F97733">
        <w:t xml:space="preserve"> Geoffrey D. </w:t>
      </w:r>
      <w:proofErr w:type="spellStart"/>
      <w:r w:rsidR="009C10F8" w:rsidRPr="00F97733">
        <w:t>Strommer</w:t>
      </w:r>
      <w:proofErr w:type="spellEnd"/>
      <w:r w:rsidR="009C10F8" w:rsidRPr="00F97733">
        <w:t xml:space="preserve"> &amp; Stephen D. Osborne, The History, Status, and Future of Tribal Self-Governance Under the Indian Self</w:t>
      </w:r>
      <w:r w:rsidR="007D72F5" w:rsidRPr="00F97733">
        <w:t xml:space="preserve"> </w:t>
      </w:r>
      <w:r w:rsidR="009C10F8" w:rsidRPr="00F97733">
        <w:t>Determination and Education Assistance Act, 39 Am. Indian L. Rev. 1 (2014)</w:t>
      </w:r>
      <w:r w:rsidR="007D72F5" w:rsidRPr="00F97733">
        <w:t>. Retrieved from</w:t>
      </w:r>
      <w:r w:rsidR="009C10F8" w:rsidRPr="00F97733">
        <w:t xml:space="preserve"> </w:t>
      </w:r>
      <w:hyperlink r:id="rId7" w:history="1">
        <w:r w:rsidR="007D72F5" w:rsidRPr="00F97733">
          <w:rPr>
            <w:rStyle w:val="Hyperlink"/>
          </w:rPr>
          <w:t>http://digitalcommons.law.ou.edu/ailr/vol39/iss1/1</w:t>
        </w:r>
      </w:hyperlink>
      <w:r w:rsidR="007D72F5" w:rsidRPr="00F97733">
        <w:t xml:space="preserve">. </w:t>
      </w:r>
      <w:r w:rsidR="005745D3">
        <w:t>Accessed August 1, 2020.</w:t>
      </w:r>
    </w:p>
  </w:footnote>
  <w:footnote w:id="12">
    <w:p w14:paraId="1F3AE6A6" w14:textId="45176368" w:rsidR="00C76EBF" w:rsidRPr="00F97733" w:rsidRDefault="00C76EBF">
      <w:pPr>
        <w:pStyle w:val="FootnoteText"/>
      </w:pPr>
      <w:r w:rsidRPr="00F97733">
        <w:rPr>
          <w:rStyle w:val="FootnoteReference"/>
        </w:rPr>
        <w:footnoteRef/>
      </w:r>
      <w:r w:rsidRPr="00F97733">
        <w:t xml:space="preserve"> </w:t>
      </w:r>
      <w:r w:rsidR="00201D23" w:rsidRPr="00F97733">
        <w:t>Indian Self-Determination and Education Assistance Act of 1975. Pub. Law. No. 93–638, as amended. Codified at 25 U.S.C. 450f (d) and 25 U.S.C. 458aaa–15.</w:t>
      </w:r>
    </w:p>
  </w:footnote>
  <w:footnote w:id="13">
    <w:p w14:paraId="31596098" w14:textId="22A1E191" w:rsidR="002D69DD" w:rsidRPr="00F97733" w:rsidRDefault="002D69DD" w:rsidP="00DA5E59">
      <w:pPr>
        <w:pStyle w:val="CommentText"/>
      </w:pPr>
      <w:r w:rsidRPr="00F97733">
        <w:rPr>
          <w:rStyle w:val="FootnoteReference"/>
        </w:rPr>
        <w:footnoteRef/>
      </w:r>
      <w:r w:rsidRPr="00F97733">
        <w:t xml:space="preserve"> Indian Health Service. </w:t>
      </w:r>
      <w:r w:rsidR="00323B39" w:rsidRPr="00F97733">
        <w:t xml:space="preserve">Federal Tort Claims Act. </w:t>
      </w:r>
      <w:r w:rsidRPr="00F97733">
        <w:t xml:space="preserve">Retrieved from </w:t>
      </w:r>
      <w:hyperlink r:id="rId8" w:history="1">
        <w:r w:rsidR="000D6F4E" w:rsidRPr="0088219E">
          <w:rPr>
            <w:rStyle w:val="Hyperlink"/>
          </w:rPr>
          <w:t>https://www.ihs.gov/riskmanagement/ftca/</w:t>
        </w:r>
      </w:hyperlink>
      <w:r w:rsidR="000D6F4E">
        <w:t>. A</w:t>
      </w:r>
      <w:r w:rsidR="009B7005">
        <w:t>ugust 1, 2020.</w:t>
      </w:r>
    </w:p>
  </w:footnote>
  <w:footnote w:id="14">
    <w:p w14:paraId="0A19B7B7" w14:textId="381FDDEA" w:rsidR="00AE6413" w:rsidRPr="00F97733" w:rsidRDefault="00AE6413">
      <w:pPr>
        <w:pStyle w:val="FootnoteText"/>
      </w:pPr>
      <w:r w:rsidRPr="00F97733">
        <w:rPr>
          <w:rStyle w:val="FootnoteReference"/>
        </w:rPr>
        <w:footnoteRef/>
      </w:r>
      <w:r w:rsidRPr="00F97733">
        <w:t xml:space="preserve"> Volunteer Protection Act of 1977, Pub. L. No. Pub. L. 105-19. Codified at 42 USC §14501 et seq.</w:t>
      </w:r>
    </w:p>
  </w:footnote>
  <w:footnote w:id="15">
    <w:p w14:paraId="2F6EE73D" w14:textId="4BBA5446" w:rsidR="00A612EC" w:rsidRPr="00F97733" w:rsidRDefault="00A612EC">
      <w:pPr>
        <w:pStyle w:val="FootnoteText"/>
      </w:pPr>
      <w:r w:rsidRPr="00F97733">
        <w:rPr>
          <w:rStyle w:val="FootnoteReference"/>
        </w:rPr>
        <w:footnoteRef/>
      </w:r>
      <w:r w:rsidRPr="00F97733">
        <w:t xml:space="preserve"> </w:t>
      </w:r>
      <w:r w:rsidR="002E04C8" w:rsidRPr="00F97733">
        <w:t>Public Readiness and Emergency Preparedness Response Act of 2005, Pub. L. No. 109-148. Codified in the Public Health Service Act at 42 U.S.C. §247d-6d and §247d-6e.</w:t>
      </w:r>
      <w:r w:rsidR="003E5D71" w:rsidRPr="00F97733">
        <w:t xml:space="preserve"> </w:t>
      </w:r>
      <w:r w:rsidR="003E5D71" w:rsidRPr="00F97733">
        <w:rPr>
          <w:i/>
          <w:iCs/>
        </w:rPr>
        <w:t>See also</w:t>
      </w:r>
      <w:r w:rsidR="003E5D71" w:rsidRPr="00F97733">
        <w:t xml:space="preserve"> “</w:t>
      </w:r>
      <w:r w:rsidR="00276047" w:rsidRPr="00F97733">
        <w:t xml:space="preserve">Public Readiness and Emergency Preparedness Act” document in this series for </w:t>
      </w:r>
      <w:r w:rsidR="006B756D" w:rsidRPr="00F97733">
        <w:t>more information about the PREP Act.</w:t>
      </w:r>
    </w:p>
  </w:footnote>
  <w:footnote w:id="16">
    <w:p w14:paraId="62BD9C90" w14:textId="13A6D3F5" w:rsidR="00780510" w:rsidRPr="00F97733" w:rsidRDefault="00780510" w:rsidP="00780510">
      <w:pPr>
        <w:pStyle w:val="FootnoteText"/>
      </w:pPr>
      <w:r w:rsidRPr="00F97733">
        <w:rPr>
          <w:rStyle w:val="FootnoteReference"/>
        </w:rPr>
        <w:footnoteRef/>
      </w:r>
      <w:r w:rsidRPr="00F97733">
        <w:t xml:space="preserve"> HHS Office of the Assistant Secretary of Preparedness and Emergency Response. Public Readiness and Emergency Preparedness Act Questions and Answers</w:t>
      </w:r>
      <w:r w:rsidR="00A8782C">
        <w:t xml:space="preserve">. Webpage last updated by HHS </w:t>
      </w:r>
      <w:r w:rsidR="00E3166E">
        <w:t>September 5, 2019</w:t>
      </w:r>
      <w:r w:rsidRPr="00F97733">
        <w:t xml:space="preserve">. Retrieved from </w:t>
      </w:r>
      <w:hyperlink r:id="rId9" w:history="1">
        <w:r w:rsidRPr="00F97733">
          <w:rPr>
            <w:rStyle w:val="Hyperlink"/>
          </w:rPr>
          <w:t>https://www.phe.gov/Preparedness/legal/Pages/phe-qa.aspx</w:t>
        </w:r>
      </w:hyperlink>
      <w:r w:rsidRPr="00F97733">
        <w:t>.</w:t>
      </w:r>
      <w:r w:rsidR="00E3166E">
        <w:t xml:space="preserve"> Accessed August 1, 2020.</w:t>
      </w:r>
    </w:p>
  </w:footnote>
  <w:footnote w:id="17">
    <w:p w14:paraId="0CB5FF48" w14:textId="77777777" w:rsidR="009E054C" w:rsidRDefault="009E054C" w:rsidP="009E054C">
      <w:pPr>
        <w:pStyle w:val="FootnoteText"/>
      </w:pPr>
      <w:r>
        <w:rPr>
          <w:rStyle w:val="FootnoteReference"/>
        </w:rPr>
        <w:footnoteRef/>
      </w:r>
      <w:r>
        <w:t xml:space="preserve"> HHS. PREP Act declarations related to COVID-19: (1)  </w:t>
      </w:r>
      <w:hyperlink r:id="rId10" w:history="1">
        <w:r w:rsidRPr="000947DF">
          <w:rPr>
            <w:rStyle w:val="Hyperlink"/>
          </w:rPr>
          <w:t>COVID-19 - Medical Countermeasures (effective February 4, 2020)</w:t>
        </w:r>
      </w:hyperlink>
      <w:r>
        <w:t xml:space="preserve">; (2) </w:t>
      </w:r>
      <w:hyperlink r:id="rId11" w:history="1">
        <w:r w:rsidRPr="000947DF">
          <w:rPr>
            <w:rStyle w:val="Hyperlink"/>
          </w:rPr>
          <w:t>Amended April 10, 2020 to add countermeasures pursuant to the CARES Act</w:t>
        </w:r>
      </w:hyperlink>
      <w:r>
        <w:t xml:space="preserve">; (3) </w:t>
      </w:r>
      <w:hyperlink r:id="rId12" w:history="1">
        <w:r w:rsidRPr="000947DF">
          <w:rPr>
            <w:rStyle w:val="Hyperlink"/>
          </w:rPr>
          <w:t>COVID-19 - Medical Countermeasures (effective February 4, 2020) Amended April 10, 2020 to add countermeasures pursuant to the CARES Act OGC Advisory Opinion on PREP Act Declaration</w:t>
        </w:r>
      </w:hyperlink>
      <w:r>
        <w:t xml:space="preserve">; (4) </w:t>
      </w:r>
      <w:hyperlink r:id="rId13" w:tgtFrame="_blank" w:history="1">
        <w:r w:rsidRPr="000947DF">
          <w:rPr>
            <w:rStyle w:val="Hyperlink"/>
          </w:rPr>
          <w:t>Advisory Opinion 02-02 on the PREP Act and the Secretary's Declaration under the Act </w:t>
        </w:r>
      </w:hyperlink>
      <w:r>
        <w:t xml:space="preserve">; and (5) </w:t>
      </w:r>
      <w:hyperlink r:id="rId14" w:tgtFrame="_blank" w:history="1">
        <w:r w:rsidRPr="000947DF">
          <w:rPr>
            <w:rStyle w:val="Hyperlink"/>
          </w:rPr>
          <w:t>Second Amendment to Declaration under the PREP Act for Medical Countermeasures against COVID-19</w:t>
        </w:r>
      </w:hyperlink>
      <w:r>
        <w:t>. Accessed August 5, 2020.</w:t>
      </w:r>
    </w:p>
  </w:footnote>
  <w:footnote w:id="18">
    <w:p w14:paraId="58CE62E4" w14:textId="77777777" w:rsidR="004B346B" w:rsidRDefault="004B346B" w:rsidP="004B346B">
      <w:pPr>
        <w:pStyle w:val="FootnoteText"/>
      </w:pPr>
      <w:r>
        <w:rPr>
          <w:rStyle w:val="FootnoteReference"/>
        </w:rPr>
        <w:footnoteRef/>
      </w:r>
      <w:r>
        <w:t xml:space="preserve"> </w:t>
      </w:r>
      <w:bookmarkStart w:id="0" w:name="_Hlk42250786"/>
      <w:r>
        <w:t xml:space="preserve">HHS Office of General Counsel. </w:t>
      </w:r>
      <w:r w:rsidRPr="00CC0E4B">
        <w:t xml:space="preserve">Advisory Opinion on The Public Readiness and Emergency Preparedness Act </w:t>
      </w:r>
      <w:r>
        <w:t>a</w:t>
      </w:r>
      <w:r w:rsidRPr="00CC0E4B">
        <w:t>nd The March 10, 2020 Declaration Under the Act</w:t>
      </w:r>
      <w:r>
        <w:t xml:space="preserve">. April 14, 2020. Retrieved from </w:t>
      </w:r>
      <w:bookmarkEnd w:id="0"/>
      <w:r>
        <w:fldChar w:fldCharType="begin"/>
      </w:r>
      <w:r>
        <w:instrText xml:space="preserve"> HYPERLINK "https://www.hhs.gov/sites/default/files/prep-act-advisory-opinion-april-14-2020.pdf" </w:instrText>
      </w:r>
      <w:r>
        <w:fldChar w:fldCharType="separate"/>
      </w:r>
      <w:r w:rsidRPr="00825A19">
        <w:rPr>
          <w:rStyle w:val="Hyperlink"/>
        </w:rPr>
        <w:t>https://www.hhs.gov/sites/default/files/prep-act-advisory-opinion-april-14-2020.pdf</w:t>
      </w:r>
      <w:r>
        <w:rPr>
          <w:rStyle w:val="Hyperlink"/>
        </w:rPr>
        <w:fldChar w:fldCharType="end"/>
      </w:r>
      <w:r>
        <w:t xml:space="preserve">. </w:t>
      </w:r>
    </w:p>
  </w:footnote>
  <w:footnote w:id="19">
    <w:p w14:paraId="00B4B9DF" w14:textId="77777777" w:rsidR="004B346B" w:rsidRDefault="004B346B" w:rsidP="004B346B">
      <w:pPr>
        <w:pStyle w:val="FootnoteText"/>
      </w:pPr>
      <w:r>
        <w:rPr>
          <w:rStyle w:val="FootnoteReference"/>
        </w:rPr>
        <w:footnoteRef/>
      </w:r>
      <w:r>
        <w:t xml:space="preserve"> </w:t>
      </w:r>
      <w:r w:rsidRPr="00051A4A">
        <w:t xml:space="preserve">HHS Office of General Counsel. Advisory Opinion on The Public Readiness and Emergency Preparedness Act and The March 10, 2020 Declaration Under the Act. April 14, 2020. </w:t>
      </w:r>
      <w:r>
        <w:t xml:space="preserve">Retrieved from </w:t>
      </w:r>
      <w:hyperlink r:id="rId15" w:history="1">
        <w:r w:rsidRPr="00825A19">
          <w:rPr>
            <w:rStyle w:val="Hyperlink"/>
          </w:rPr>
          <w:t>https://www.hhs.gov/sites/default/files/prep-act-advisory-opinion-april-14-2020.pdf</w:t>
        </w:r>
      </w:hyperlink>
      <w:r>
        <w:t xml:space="preserve">. </w:t>
      </w:r>
    </w:p>
  </w:footnote>
  <w:footnote w:id="20">
    <w:p w14:paraId="425EFE57" w14:textId="77777777" w:rsidR="001A7FBD" w:rsidRDefault="001A7FBD" w:rsidP="001A7FBD">
      <w:pPr>
        <w:pStyle w:val="FootnoteText"/>
      </w:pPr>
      <w:r>
        <w:rPr>
          <w:rStyle w:val="FootnoteReference"/>
        </w:rPr>
        <w:footnoteRef/>
      </w:r>
      <w:r>
        <w:t xml:space="preserve"> </w:t>
      </w:r>
      <w:bookmarkStart w:id="1" w:name="_Hlk39063385"/>
      <w:r>
        <w:t xml:space="preserve">HHS Office of General Counsel. </w:t>
      </w:r>
      <w:r w:rsidRPr="00CC0E4B">
        <w:t xml:space="preserve">Advisory Opinion on The Public Readiness and Emergency Preparedness Act </w:t>
      </w:r>
      <w:r>
        <w:t>a</w:t>
      </w:r>
      <w:r w:rsidRPr="00CC0E4B">
        <w:t>nd The March 10, 2020 Declaration Under the Act</w:t>
      </w:r>
      <w:r>
        <w:t xml:space="preserve">. April 14, 2020. Retrieved from </w:t>
      </w:r>
      <w:hyperlink r:id="rId16" w:history="1">
        <w:r w:rsidRPr="00825A19">
          <w:rPr>
            <w:rStyle w:val="Hyperlink"/>
          </w:rPr>
          <w:t>https://www.hhs.gov/sites/default/files/prep-act-advisory-opinion-april-14-2020.pdf</w:t>
        </w:r>
      </w:hyperlink>
      <w:r>
        <w:t>.</w:t>
      </w:r>
      <w:bookmarkEnd w:id="1"/>
    </w:p>
  </w:footnote>
  <w:footnote w:id="21">
    <w:p w14:paraId="51502E3D" w14:textId="77777777" w:rsidR="001A7FBD" w:rsidRDefault="001A7FBD" w:rsidP="001A7FBD">
      <w:pPr>
        <w:pStyle w:val="FootnoteText"/>
      </w:pPr>
      <w:r>
        <w:rPr>
          <w:rStyle w:val="FootnoteReference"/>
        </w:rPr>
        <w:footnoteRef/>
      </w:r>
      <w:r>
        <w:t xml:space="preserve"> HHS Office of General Counsel. </w:t>
      </w:r>
      <w:r w:rsidRPr="00CC0E4B">
        <w:t xml:space="preserve">Advisory Opinion on The Public Readiness and Emergency Preparedness Act </w:t>
      </w:r>
      <w:r>
        <w:t>a</w:t>
      </w:r>
      <w:r w:rsidRPr="00CC0E4B">
        <w:t>nd The March 10, 2020 Declaration Under the Act</w:t>
      </w:r>
      <w:r>
        <w:t xml:space="preserve">. April 14, 2020. Retrieved from </w:t>
      </w:r>
      <w:hyperlink r:id="rId17" w:history="1">
        <w:r w:rsidRPr="00825A19">
          <w:rPr>
            <w:rStyle w:val="Hyperlink"/>
          </w:rPr>
          <w:t>https://www.hhs.gov/sites/default/files/prep-act-advisory-opinion-april-14-2020.pdf</w:t>
        </w:r>
      </w:hyperlink>
      <w:r>
        <w:t>.</w:t>
      </w:r>
    </w:p>
  </w:footnote>
  <w:footnote w:id="22">
    <w:p w14:paraId="19F57A50" w14:textId="58F9A7A7" w:rsidR="002D76ED" w:rsidRDefault="002D76ED">
      <w:pPr>
        <w:pStyle w:val="FootnoteText"/>
      </w:pPr>
      <w:r>
        <w:rPr>
          <w:rStyle w:val="FootnoteReference"/>
        </w:rPr>
        <w:footnoteRef/>
      </w:r>
      <w:r>
        <w:t xml:space="preserve"> </w:t>
      </w:r>
      <w:r w:rsidR="000947DF" w:rsidRPr="0091258E">
        <w:t>Pub</w:t>
      </w:r>
      <w:r w:rsidR="000947DF">
        <w:t>.</w:t>
      </w:r>
      <w:r w:rsidR="000947DF" w:rsidRPr="0091258E">
        <w:t> Law </w:t>
      </w:r>
      <w:r w:rsidR="000947DF">
        <w:t xml:space="preserve">No. </w:t>
      </w:r>
      <w:r w:rsidR="000947DF" w:rsidRPr="0091258E">
        <w:t>116-136</w:t>
      </w:r>
      <w:r w:rsidR="00A46240">
        <w:t>, §</w:t>
      </w:r>
      <w:r w:rsidR="003E2610">
        <w:t>3103</w:t>
      </w:r>
      <w:r w:rsidR="00A46240">
        <w:t>.</w:t>
      </w:r>
    </w:p>
  </w:footnote>
  <w:footnote w:id="23">
    <w:p w14:paraId="7365447D" w14:textId="39D18D8F" w:rsidR="00516697" w:rsidRDefault="00516697" w:rsidP="00B52AA0">
      <w:pPr>
        <w:pStyle w:val="FootnoteText"/>
      </w:pPr>
      <w:r>
        <w:rPr>
          <w:rStyle w:val="FootnoteReference"/>
        </w:rPr>
        <w:footnoteRef/>
      </w:r>
      <w:r>
        <w:t xml:space="preserve"> </w:t>
      </w:r>
      <w:r w:rsidRPr="0091258E">
        <w:t>Pub</w:t>
      </w:r>
      <w:r>
        <w:t>.</w:t>
      </w:r>
      <w:r w:rsidRPr="0091258E">
        <w:t> Law </w:t>
      </w:r>
      <w:r>
        <w:t xml:space="preserve">No. </w:t>
      </w:r>
      <w:r w:rsidRPr="0091258E">
        <w:t>116-136</w:t>
      </w:r>
      <w:r w:rsidR="00DD12E2">
        <w:t>, §3215</w:t>
      </w:r>
      <w:r>
        <w:t>.</w:t>
      </w:r>
      <w:r w:rsidR="00B52AA0">
        <w:t xml:space="preserve"> </w:t>
      </w:r>
      <w:r w:rsidR="007339C6">
        <w:t xml:space="preserve">For a description of the CARES Act liability </w:t>
      </w:r>
      <w:r w:rsidR="00252BD8">
        <w:t xml:space="preserve">protections and a comparison with other federal and state volunteer liability protections, </w:t>
      </w:r>
      <w:r w:rsidR="00252BD8" w:rsidRPr="00252BD8">
        <w:rPr>
          <w:i/>
          <w:iCs/>
        </w:rPr>
        <w:t>s</w:t>
      </w:r>
      <w:r w:rsidR="00B52AA0" w:rsidRPr="00252BD8">
        <w:rPr>
          <w:i/>
          <w:iCs/>
        </w:rPr>
        <w:t>ee</w:t>
      </w:r>
      <w:r w:rsidR="00B52AA0">
        <w:t xml:space="preserve"> </w:t>
      </w:r>
      <w:r w:rsidR="00E21E71">
        <w:t xml:space="preserve">Shen, WS. Congressional Research Service. </w:t>
      </w:r>
      <w:r w:rsidR="00B52AA0">
        <w:t>COVID-19 and Liability Limitations for the Health Care Sector</w:t>
      </w:r>
      <w:r w:rsidR="00E21E71">
        <w:t xml:space="preserve">. </w:t>
      </w:r>
      <w:r w:rsidR="008A52C5">
        <w:t xml:space="preserve">(LSB10508) July 1, 2020. Retrieved from </w:t>
      </w:r>
      <w:hyperlink r:id="rId18" w:history="1">
        <w:r w:rsidR="00D56A53">
          <w:rPr>
            <w:rStyle w:val="Hyperlink"/>
          </w:rPr>
          <w:t>https://crsreports.congress.gov/product/pdf/LSB/LSB10508</w:t>
        </w:r>
      </w:hyperlink>
      <w:r w:rsidR="00D56A53">
        <w:t>. Accessed August 5, 2020.</w:t>
      </w:r>
    </w:p>
  </w:footnote>
  <w:footnote w:id="24">
    <w:p w14:paraId="4DAF2C80" w14:textId="4F95C86A" w:rsidR="00AF771F" w:rsidRPr="00F97733" w:rsidRDefault="00AF771F">
      <w:pPr>
        <w:pStyle w:val="FootnoteText"/>
      </w:pPr>
      <w:r w:rsidRPr="00F97733">
        <w:rPr>
          <w:rStyle w:val="FootnoteReference"/>
        </w:rPr>
        <w:footnoteRef/>
      </w:r>
      <w:r w:rsidRPr="00F97733">
        <w:t xml:space="preserve"> </w:t>
      </w:r>
      <w:r w:rsidR="00102ADC" w:rsidRPr="00F97733">
        <w:t xml:space="preserve">For a summary of state </w:t>
      </w:r>
      <w:r w:rsidR="00FB704D" w:rsidRPr="00F97733">
        <w:t>tort claims act</w:t>
      </w:r>
      <w:r w:rsidR="001067FC" w:rsidRPr="00F97733">
        <w:t>s and state claims acts,</w:t>
      </w:r>
      <w:r w:rsidR="00FB704D" w:rsidRPr="00F97733">
        <w:t xml:space="preserve"> </w:t>
      </w:r>
      <w:r w:rsidR="00FB704D" w:rsidRPr="00F97733">
        <w:rPr>
          <w:i/>
          <w:iCs/>
        </w:rPr>
        <w:t>see</w:t>
      </w:r>
      <w:r w:rsidR="00FB704D" w:rsidRPr="00F97733">
        <w:t xml:space="preserve"> </w:t>
      </w:r>
      <w:proofErr w:type="spellStart"/>
      <w:r w:rsidR="00335374" w:rsidRPr="00F97733">
        <w:t>Matthiesen</w:t>
      </w:r>
      <w:proofErr w:type="spellEnd"/>
      <w:r w:rsidR="00335374" w:rsidRPr="00F97733">
        <w:t xml:space="preserve">, </w:t>
      </w:r>
      <w:proofErr w:type="spellStart"/>
      <w:r w:rsidR="00335374" w:rsidRPr="00F97733">
        <w:t>Wickert</w:t>
      </w:r>
      <w:proofErr w:type="spellEnd"/>
      <w:r w:rsidR="00335374" w:rsidRPr="00F97733">
        <w:t xml:space="preserve"> &amp; Lehrer, </w:t>
      </w:r>
      <w:r w:rsidR="00FB704D" w:rsidRPr="00F97733">
        <w:t>S.C</w:t>
      </w:r>
      <w:r w:rsidR="00335374" w:rsidRPr="00F97733">
        <w:t xml:space="preserve">. </w:t>
      </w:r>
      <w:r w:rsidR="005B1CCD" w:rsidRPr="00F97733">
        <w:t xml:space="preserve">Municipal/County/Local Governmental Immunity and Tort Liability </w:t>
      </w:r>
      <w:r w:rsidR="00C0309A" w:rsidRPr="00F97733">
        <w:t>in</w:t>
      </w:r>
      <w:r w:rsidR="005B1CCD" w:rsidRPr="00F97733">
        <w:t xml:space="preserve"> All 50 States. </w:t>
      </w:r>
      <w:r w:rsidR="00451BF9" w:rsidRPr="00F97733">
        <w:t xml:space="preserve">January 29, 2020. Retrieved from </w:t>
      </w:r>
      <w:hyperlink r:id="rId19" w:history="1">
        <w:r w:rsidR="001F3EBF" w:rsidRPr="00F97733">
          <w:rPr>
            <w:rStyle w:val="Hyperlink"/>
          </w:rPr>
          <w:t>https://www.mwl-law.com/wp-content/uploads/2013/03/MUNICIPAL-COUNTY-LOCAL-GOVERNMENTAL-LIABILITY-CHART-00212510.pdf</w:t>
        </w:r>
      </w:hyperlink>
      <w:r w:rsidR="001F3EBF" w:rsidRPr="00F97733">
        <w:t>.</w:t>
      </w:r>
      <w:r w:rsidR="00C83871">
        <w:t xml:space="preserve"> Accessed August 1, 2020.</w:t>
      </w:r>
    </w:p>
  </w:footnote>
  <w:footnote w:id="25">
    <w:p w14:paraId="0ED127D7" w14:textId="23B8E895" w:rsidR="00F8082D" w:rsidRPr="00F97733" w:rsidRDefault="00F8082D">
      <w:pPr>
        <w:pStyle w:val="FootnoteText"/>
      </w:pPr>
      <w:r w:rsidRPr="00F97733">
        <w:rPr>
          <w:rStyle w:val="FootnoteReference"/>
        </w:rPr>
        <w:footnoteRef/>
      </w:r>
      <w:r w:rsidRPr="00F97733">
        <w:t xml:space="preserve"> For a summary of state tort claims acts and state claims acts, </w:t>
      </w:r>
      <w:r w:rsidRPr="00F97733">
        <w:rPr>
          <w:i/>
          <w:iCs/>
        </w:rPr>
        <w:t>see</w:t>
      </w:r>
      <w:r w:rsidRPr="00F97733">
        <w:t xml:space="preserve"> </w:t>
      </w:r>
      <w:proofErr w:type="spellStart"/>
      <w:r w:rsidRPr="00F97733">
        <w:t>Matthiesen</w:t>
      </w:r>
      <w:proofErr w:type="spellEnd"/>
      <w:r w:rsidRPr="00F97733">
        <w:t xml:space="preserve">, </w:t>
      </w:r>
      <w:proofErr w:type="spellStart"/>
      <w:r w:rsidRPr="00F97733">
        <w:t>Wickert</w:t>
      </w:r>
      <w:proofErr w:type="spellEnd"/>
      <w:r w:rsidRPr="00F97733">
        <w:t xml:space="preserve"> &amp; Lehrer, S.C. Municipal/County/Local Governmental Immunity and Tort Liability </w:t>
      </w:r>
      <w:r w:rsidR="00C0309A" w:rsidRPr="00F97733">
        <w:t>in</w:t>
      </w:r>
      <w:r w:rsidRPr="00F97733">
        <w:t xml:space="preserve"> All 50 States. January 29, 2020. Retrieved from </w:t>
      </w:r>
      <w:hyperlink r:id="rId20" w:history="1">
        <w:r w:rsidRPr="00F97733">
          <w:rPr>
            <w:rStyle w:val="Hyperlink"/>
          </w:rPr>
          <w:t>https://www.mwl-law.com/wp-content/uploads/2013/03/MUNICIPAL-COUNTY-LOCAL-GOVERNMENTAL-LIABILITY-CHART-00212510.pdf</w:t>
        </w:r>
      </w:hyperlink>
      <w:r w:rsidRPr="00F97733">
        <w:t>.</w:t>
      </w:r>
      <w:r w:rsidR="00C83871">
        <w:t xml:space="preserve"> Accessed August 1, 2020.</w:t>
      </w:r>
    </w:p>
  </w:footnote>
  <w:footnote w:id="26">
    <w:p w14:paraId="7CCC44CE" w14:textId="01E589D8" w:rsidR="006970B2" w:rsidRPr="00F97733" w:rsidRDefault="006970B2">
      <w:pPr>
        <w:pStyle w:val="FootnoteText"/>
      </w:pPr>
      <w:r w:rsidRPr="00F97733">
        <w:rPr>
          <w:rStyle w:val="FootnoteReference"/>
        </w:rPr>
        <w:footnoteRef/>
      </w:r>
      <w:r w:rsidRPr="00F97733">
        <w:t xml:space="preserve"> For a summary of state emer</w:t>
      </w:r>
      <w:r w:rsidR="001F4C0E" w:rsidRPr="00F97733">
        <w:t xml:space="preserve">gency </w:t>
      </w:r>
      <w:r w:rsidR="007833A5" w:rsidRPr="00F97733">
        <w:t>authorities</w:t>
      </w:r>
      <w:r w:rsidR="001F4C0E" w:rsidRPr="00F97733">
        <w:t xml:space="preserve">, </w:t>
      </w:r>
      <w:r w:rsidR="001F4C0E" w:rsidRPr="00F97733">
        <w:rPr>
          <w:i/>
          <w:iCs/>
        </w:rPr>
        <w:t>see</w:t>
      </w:r>
      <w:r w:rsidR="001F4C0E" w:rsidRPr="00F97733">
        <w:t xml:space="preserve"> The Network for Public Health Law. </w:t>
      </w:r>
      <w:r w:rsidR="00A03AD3" w:rsidRPr="00F97733">
        <w:t>Emergency Declaration Authorities Across All States and D.C.</w:t>
      </w:r>
      <w:r w:rsidR="00F619C6" w:rsidRPr="00F97733">
        <w:t xml:space="preserve"> </w:t>
      </w:r>
      <w:r w:rsidR="00517B51" w:rsidRPr="00F97733">
        <w:t xml:space="preserve">June 16, 2015. Retrieved from </w:t>
      </w:r>
      <w:hyperlink r:id="rId21" w:history="1">
        <w:r w:rsidR="002A3523" w:rsidRPr="00F97733">
          <w:rPr>
            <w:rStyle w:val="Hyperlink"/>
          </w:rPr>
          <w:t>https://www.networkforphl.org/wp-content/uploads/2020/01/Emergency-Declaration-Authorities.pdf</w:t>
        </w:r>
      </w:hyperlink>
      <w:r w:rsidR="002A3523" w:rsidRPr="00F97733">
        <w:t xml:space="preserve">. </w:t>
      </w:r>
      <w:r w:rsidR="00B04AA8">
        <w:t xml:space="preserve">Accessed August 1, 2020. </w:t>
      </w:r>
      <w:r w:rsidR="002A3523" w:rsidRPr="00F97733">
        <w:rPr>
          <w:i/>
          <w:iCs/>
        </w:rPr>
        <w:t>See also</w:t>
      </w:r>
      <w:r w:rsidR="002A3523" w:rsidRPr="00F97733">
        <w:t xml:space="preserve"> </w:t>
      </w:r>
      <w:r w:rsidR="004874D4" w:rsidRPr="00F97733">
        <w:t xml:space="preserve">Gregory Sunshine, Kelly Thompson, Akshara Narayan Menon, Nicholas Anderson, Matthew Penn, and Lisa M. </w:t>
      </w:r>
      <w:proofErr w:type="spellStart"/>
      <w:r w:rsidR="004874D4" w:rsidRPr="00F97733">
        <w:t>Koonin</w:t>
      </w:r>
      <w:proofErr w:type="spellEnd"/>
      <w:r w:rsidR="004874D4" w:rsidRPr="00F97733">
        <w:t xml:space="preserve">. </w:t>
      </w:r>
      <w:r w:rsidR="009A6152" w:rsidRPr="00F97733">
        <w:t xml:space="preserve">An Assessment of State Laws Providing Gubernatorial Authority to Remove Legal Barriers to Emergency Response. </w:t>
      </w:r>
      <w:r w:rsidR="004874D4" w:rsidRPr="00F97733">
        <w:t xml:space="preserve">Health Security. Apr 2019.156-161. Retrieved from </w:t>
      </w:r>
      <w:hyperlink r:id="rId22" w:history="1">
        <w:r w:rsidR="00086B94">
          <w:rPr>
            <w:rStyle w:val="Hyperlink"/>
          </w:rPr>
          <w:t>https://www.nga.org/wp-content/uploads/2019/06/An-Assessment-of-State-Laws-Providing-Gubernatorial-Authority-to-Remove-Legal-Barriers-to-Emergency-Response.pdf</w:t>
        </w:r>
      </w:hyperlink>
      <w:r w:rsidR="00086B94">
        <w:t>. Accessed August 1, 2020.</w:t>
      </w:r>
    </w:p>
  </w:footnote>
  <w:footnote w:id="27">
    <w:p w14:paraId="2B11B229" w14:textId="77777777" w:rsidR="00C6319C" w:rsidRDefault="00C6319C" w:rsidP="00C6319C">
      <w:pPr>
        <w:pStyle w:val="FootnoteText"/>
      </w:pPr>
      <w:r>
        <w:rPr>
          <w:rStyle w:val="FootnoteReference"/>
        </w:rPr>
        <w:footnoteRef/>
      </w:r>
      <w:r>
        <w:t xml:space="preserve"> Network for Public Health Law. </w:t>
      </w:r>
      <w:r w:rsidRPr="00D672A7">
        <w:t xml:space="preserve">Emergency Declaration Authorities Across All States </w:t>
      </w:r>
      <w:proofErr w:type="gramStart"/>
      <w:r w:rsidRPr="00D672A7">
        <w:t>And</w:t>
      </w:r>
      <w:proofErr w:type="gramEnd"/>
      <w:r w:rsidRPr="00D672A7">
        <w:t xml:space="preserve"> D.C</w:t>
      </w:r>
      <w:r>
        <w:t xml:space="preserve">. June 16, 2015. Retrieved from </w:t>
      </w:r>
      <w:hyperlink r:id="rId23" w:history="1">
        <w:r w:rsidRPr="009F055C">
          <w:rPr>
            <w:rStyle w:val="Hyperlink"/>
          </w:rPr>
          <w:t>https://www.networkforphl.org/wp-content/uploads/2020/01/Emergency-Declaration-Authorities.pdf</w:t>
        </w:r>
      </w:hyperlink>
      <w:r>
        <w:t>.</w:t>
      </w:r>
    </w:p>
  </w:footnote>
  <w:footnote w:id="28">
    <w:p w14:paraId="60ECA9A2" w14:textId="77777777" w:rsidR="00C6319C" w:rsidRDefault="00C6319C" w:rsidP="00C6319C">
      <w:pPr>
        <w:pStyle w:val="FootnoteText"/>
      </w:pPr>
      <w:r>
        <w:rPr>
          <w:rStyle w:val="FootnoteReference"/>
        </w:rPr>
        <w:footnoteRef/>
      </w:r>
      <w:r>
        <w:t xml:space="preserve"> G. Sunshine. </w:t>
      </w:r>
      <w:r w:rsidRPr="00381A75">
        <w:t>The Case for Streamlining Emergency Declaration Authorities and Adapting Legal Requirements to Ever-Changing Public Health Threats</w:t>
      </w:r>
      <w:r>
        <w:t xml:space="preserve">. </w:t>
      </w:r>
      <w:r w:rsidRPr="00A060A4">
        <w:rPr>
          <w:i/>
          <w:iCs/>
        </w:rPr>
        <w:t>Emory Law J</w:t>
      </w:r>
      <w:r w:rsidRPr="00A060A4">
        <w:t>. 2017;67(3):397-414</w:t>
      </w:r>
      <w:r>
        <w:t xml:space="preserve">. Retrieved from </w:t>
      </w:r>
      <w:hyperlink r:id="rId24" w:history="1">
        <w:r w:rsidRPr="00BA2EBB">
          <w:rPr>
            <w:rStyle w:val="Hyperlink"/>
          </w:rPr>
          <w:t>https://www.ncbi.nlm.nih.gov/pmc/articles/PMC5956522/</w:t>
        </w:r>
      </w:hyperlink>
      <w:r>
        <w:t>.</w:t>
      </w:r>
    </w:p>
  </w:footnote>
  <w:footnote w:id="29">
    <w:p w14:paraId="723BB919" w14:textId="0C8A93B5" w:rsidR="00B66796" w:rsidRPr="00F97733" w:rsidRDefault="00B66796" w:rsidP="003B2658">
      <w:pPr>
        <w:pStyle w:val="FootnoteText"/>
      </w:pPr>
      <w:r w:rsidRPr="00F97733">
        <w:rPr>
          <w:rStyle w:val="FootnoteReference"/>
        </w:rPr>
        <w:footnoteRef/>
      </w:r>
      <w:r w:rsidRPr="00F97733">
        <w:t xml:space="preserve"> </w:t>
      </w:r>
      <w:bookmarkStart w:id="2" w:name="_Hlk34316707"/>
      <w:r w:rsidR="00101D3E" w:rsidRPr="00F97733">
        <w:rPr>
          <w:i/>
          <w:iCs/>
        </w:rPr>
        <w:t>See</w:t>
      </w:r>
      <w:r w:rsidR="00101D3E" w:rsidRPr="00F97733">
        <w:t xml:space="preserve"> </w:t>
      </w:r>
      <w:proofErr w:type="gramStart"/>
      <w:r w:rsidR="00101D3E" w:rsidRPr="00F97733">
        <w:t>The</w:t>
      </w:r>
      <w:proofErr w:type="gramEnd"/>
      <w:r w:rsidR="00101D3E" w:rsidRPr="00F97733">
        <w:t xml:space="preserve"> Network for Public Health Law. </w:t>
      </w:r>
      <w:r w:rsidR="003B2658" w:rsidRPr="00F97733">
        <w:t xml:space="preserve">Table - Legal Liability Protections for Emergency Medical/Public Health Responses. February 20, 2017. </w:t>
      </w:r>
      <w:r w:rsidR="006801B8" w:rsidRPr="00F97733">
        <w:t xml:space="preserve">Retrieved from </w:t>
      </w:r>
      <w:hyperlink r:id="rId25" w:history="1">
        <w:r w:rsidR="0048309B" w:rsidRPr="00F97733">
          <w:rPr>
            <w:rStyle w:val="Hyperlink"/>
          </w:rPr>
          <w:t>https://www.networkforphl.org/wp-content/uploads/2020/01/Legal-Liability-Protections-for-Emergency-Medical-and-Public-Health-Responses.pdf</w:t>
        </w:r>
      </w:hyperlink>
      <w:r w:rsidR="0048309B" w:rsidRPr="00F97733">
        <w:t xml:space="preserve">. </w:t>
      </w:r>
      <w:bookmarkEnd w:id="2"/>
      <w:r w:rsidR="00BE3C79">
        <w:t>Accessed August 1, 2020.</w:t>
      </w:r>
    </w:p>
  </w:footnote>
  <w:footnote w:id="30">
    <w:p w14:paraId="122951E5" w14:textId="15D495DD" w:rsidR="007A1298" w:rsidRPr="00F97733" w:rsidRDefault="007A1298">
      <w:pPr>
        <w:pStyle w:val="FootnoteText"/>
      </w:pPr>
      <w:r w:rsidRPr="00F97733">
        <w:rPr>
          <w:rStyle w:val="FootnoteReference"/>
        </w:rPr>
        <w:footnoteRef/>
      </w:r>
      <w:r w:rsidRPr="00F97733">
        <w:t xml:space="preserve"> </w:t>
      </w:r>
      <w:r w:rsidRPr="00F97733">
        <w:rPr>
          <w:i/>
          <w:iCs/>
        </w:rPr>
        <w:t>See</w:t>
      </w:r>
      <w:r w:rsidRPr="00F97733">
        <w:t xml:space="preserve"> </w:t>
      </w:r>
      <w:proofErr w:type="gramStart"/>
      <w:r w:rsidRPr="00F97733">
        <w:t>The</w:t>
      </w:r>
      <w:proofErr w:type="gramEnd"/>
      <w:r w:rsidRPr="00F97733">
        <w:t xml:space="preserve"> Network for Public Health Law. Table - Legal Liability Protections for Emergency Medical/Public Health Responses. February 20, 2017. Retrieved from </w:t>
      </w:r>
      <w:hyperlink r:id="rId26" w:history="1">
        <w:r w:rsidRPr="00F97733">
          <w:rPr>
            <w:rStyle w:val="Hyperlink"/>
          </w:rPr>
          <w:t>https://www.networkforphl.org/wp-content/uploads/2020/01/Legal-Liability-Protections-for-Emergency-Medical-and-Public-Health-Responses.pdf</w:t>
        </w:r>
      </w:hyperlink>
      <w:r w:rsidRPr="00F97733">
        <w:t>.</w:t>
      </w:r>
      <w:r w:rsidR="00BD456D">
        <w:t xml:space="preserve"> Accessed August 1, 2020.</w:t>
      </w:r>
    </w:p>
  </w:footnote>
  <w:footnote w:id="31">
    <w:p w14:paraId="3712A97C" w14:textId="0C0E8F8C" w:rsidR="004B483F" w:rsidRPr="00F97733" w:rsidRDefault="004B483F">
      <w:pPr>
        <w:pStyle w:val="FootnoteText"/>
      </w:pPr>
      <w:r w:rsidRPr="00F97733">
        <w:rPr>
          <w:rStyle w:val="FootnoteReference"/>
        </w:rPr>
        <w:footnoteRef/>
      </w:r>
      <w:r w:rsidRPr="00F97733">
        <w:t xml:space="preserve"> Uniform Law Commission. “Emergency Volunteer Health Practitioners” website.</w:t>
      </w:r>
      <w:r w:rsidR="00572C30" w:rsidRPr="00F97733">
        <w:t xml:space="preserve"> Retrieved from </w:t>
      </w:r>
      <w:hyperlink r:id="rId27" w:history="1">
        <w:r w:rsidR="00572C30" w:rsidRPr="00F97733">
          <w:rPr>
            <w:rStyle w:val="Hyperlink"/>
          </w:rPr>
          <w:t>https://www.uniformlaws.org/committees/community-home?CommunityKey=565933ce-965f-4d3c-9c90-b00246f30f2d</w:t>
        </w:r>
      </w:hyperlink>
      <w:r w:rsidR="00572C30" w:rsidRPr="00F97733">
        <w:t>.</w:t>
      </w:r>
      <w:r w:rsidR="00193E0C">
        <w:t xml:space="preserve"> Accessed August 1, 2020.</w:t>
      </w:r>
    </w:p>
  </w:footnote>
  <w:footnote w:id="32">
    <w:p w14:paraId="398DFFDA" w14:textId="05AEE9C9" w:rsidR="00860351" w:rsidRPr="00F97733" w:rsidRDefault="00860351">
      <w:pPr>
        <w:pStyle w:val="FootnoteText"/>
      </w:pPr>
      <w:r w:rsidRPr="00F97733">
        <w:rPr>
          <w:rStyle w:val="FootnoteReference"/>
        </w:rPr>
        <w:footnoteRef/>
      </w:r>
      <w:r w:rsidRPr="00F97733">
        <w:t xml:space="preserve"> The Network for Public Health Law. Table - Legal Liability Protections for Emergency Medical/Public Health Responses. February 20, 2017. Retrieved from </w:t>
      </w:r>
      <w:hyperlink r:id="rId28" w:history="1">
        <w:r w:rsidRPr="00F97733">
          <w:rPr>
            <w:rStyle w:val="Hyperlink"/>
          </w:rPr>
          <w:t>https://www.networkforphl.org/wp-content/uploads/2020/01/Legal-Liability-Protections-for-Emergency-Medical-and-Public-Health-Responses.pdf</w:t>
        </w:r>
      </w:hyperlink>
      <w:r w:rsidRPr="00F97733">
        <w:t>.</w:t>
      </w:r>
      <w:r w:rsidR="00193E0C">
        <w:t xml:space="preserve"> Accessed August 1, 2020.</w:t>
      </w:r>
    </w:p>
  </w:footnote>
  <w:footnote w:id="33">
    <w:p w14:paraId="4B4DE70D" w14:textId="1D58E062" w:rsidR="0081032B" w:rsidRPr="00F97733" w:rsidRDefault="0081032B">
      <w:pPr>
        <w:pStyle w:val="FootnoteText"/>
      </w:pPr>
      <w:r w:rsidRPr="00F97733">
        <w:rPr>
          <w:rStyle w:val="FootnoteReference"/>
        </w:rPr>
        <w:footnoteRef/>
      </w:r>
      <w:r w:rsidRPr="00F97733">
        <w:t xml:space="preserve"> </w:t>
      </w:r>
      <w:r w:rsidR="006277DC" w:rsidRPr="00F97733">
        <w:t xml:space="preserve">See the </w:t>
      </w:r>
      <w:r w:rsidR="00E30E66" w:rsidRPr="00F97733">
        <w:t>“Mutual Aid and Assistance Agreements” document in this series.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F5F7B" w14:textId="0A80D80F" w:rsidR="00F90C63" w:rsidRPr="00EF23CB" w:rsidRDefault="00EF23CB" w:rsidP="00EF23CB">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8D7D5C" w14:textId="77777777" w:rsidR="00EF23CB" w:rsidRDefault="00EF23CB" w:rsidP="00EF23CB">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p w14:paraId="0EEECE26" w14:textId="021AA736" w:rsidR="00F90C63" w:rsidRPr="00381AEB" w:rsidRDefault="00F90C63" w:rsidP="0088233E">
    <w:pPr>
      <w:pStyle w:val="Header"/>
      <w:tabs>
        <w:tab w:val="clear" w:pos="4680"/>
        <w:tab w:val="clear" w:pos="936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4216B"/>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F476ED"/>
    <w:multiLevelType w:val="hybridMultilevel"/>
    <w:tmpl w:val="6F1AC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D33276"/>
    <w:multiLevelType w:val="multilevel"/>
    <w:tmpl w:val="154EB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435F0"/>
    <w:multiLevelType w:val="hybridMultilevel"/>
    <w:tmpl w:val="D3A647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9747C6"/>
    <w:multiLevelType w:val="hybridMultilevel"/>
    <w:tmpl w:val="63BCA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000AD8"/>
    <w:multiLevelType w:val="multilevel"/>
    <w:tmpl w:val="57B8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46CA7"/>
    <w:multiLevelType w:val="multilevel"/>
    <w:tmpl w:val="29E8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82619D"/>
    <w:multiLevelType w:val="hybridMultilevel"/>
    <w:tmpl w:val="35E29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98D4748"/>
    <w:multiLevelType w:val="multilevel"/>
    <w:tmpl w:val="99EC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663DDF"/>
    <w:multiLevelType w:val="multilevel"/>
    <w:tmpl w:val="AA1E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126A2"/>
    <w:multiLevelType w:val="hybridMultilevel"/>
    <w:tmpl w:val="5BB0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DDE4E29"/>
    <w:multiLevelType w:val="multilevel"/>
    <w:tmpl w:val="7CA65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75FAF"/>
    <w:multiLevelType w:val="multilevel"/>
    <w:tmpl w:val="F6DA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C35430"/>
    <w:multiLevelType w:val="multilevel"/>
    <w:tmpl w:val="FEDAB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462722"/>
    <w:multiLevelType w:val="multilevel"/>
    <w:tmpl w:val="122C6F1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44A1275D"/>
    <w:multiLevelType w:val="hybridMultilevel"/>
    <w:tmpl w:val="865292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BED0B10"/>
    <w:multiLevelType w:val="hybridMultilevel"/>
    <w:tmpl w:val="17B019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E166A51"/>
    <w:multiLevelType w:val="multilevel"/>
    <w:tmpl w:val="0C547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BB48BC"/>
    <w:multiLevelType w:val="hybridMultilevel"/>
    <w:tmpl w:val="0B923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C22A6D"/>
    <w:multiLevelType w:val="hybridMultilevel"/>
    <w:tmpl w:val="C2106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3B767C6"/>
    <w:multiLevelType w:val="multilevel"/>
    <w:tmpl w:val="B8E85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5D645D"/>
    <w:multiLevelType w:val="multilevel"/>
    <w:tmpl w:val="0A44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9709C1"/>
    <w:multiLevelType w:val="hybridMultilevel"/>
    <w:tmpl w:val="8FAAF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0473F2"/>
    <w:multiLevelType w:val="multilevel"/>
    <w:tmpl w:val="DC60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575101"/>
    <w:multiLevelType w:val="multilevel"/>
    <w:tmpl w:val="BB9CE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89048D"/>
    <w:multiLevelType w:val="hybridMultilevel"/>
    <w:tmpl w:val="78AAA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8"/>
  </w:num>
  <w:num w:numId="3">
    <w:abstractNumId w:val="6"/>
  </w:num>
  <w:num w:numId="4">
    <w:abstractNumId w:val="14"/>
  </w:num>
  <w:num w:numId="5">
    <w:abstractNumId w:val="13"/>
  </w:num>
  <w:num w:numId="6">
    <w:abstractNumId w:val="23"/>
  </w:num>
  <w:num w:numId="7">
    <w:abstractNumId w:val="9"/>
  </w:num>
  <w:num w:numId="8">
    <w:abstractNumId w:val="12"/>
  </w:num>
  <w:num w:numId="9">
    <w:abstractNumId w:val="21"/>
  </w:num>
  <w:num w:numId="10">
    <w:abstractNumId w:val="24"/>
  </w:num>
  <w:num w:numId="11">
    <w:abstractNumId w:val="20"/>
  </w:num>
  <w:num w:numId="12">
    <w:abstractNumId w:val="5"/>
  </w:num>
  <w:num w:numId="13">
    <w:abstractNumId w:val="17"/>
  </w:num>
  <w:num w:numId="14">
    <w:abstractNumId w:val="15"/>
  </w:num>
  <w:num w:numId="15">
    <w:abstractNumId w:val="1"/>
  </w:num>
  <w:num w:numId="16">
    <w:abstractNumId w:val="0"/>
  </w:num>
  <w:num w:numId="17">
    <w:abstractNumId w:val="4"/>
  </w:num>
  <w:num w:numId="18">
    <w:abstractNumId w:val="7"/>
  </w:num>
  <w:num w:numId="19">
    <w:abstractNumId w:val="19"/>
  </w:num>
  <w:num w:numId="20">
    <w:abstractNumId w:val="25"/>
  </w:num>
  <w:num w:numId="21">
    <w:abstractNumId w:val="10"/>
  </w:num>
  <w:num w:numId="22">
    <w:abstractNumId w:val="22"/>
  </w:num>
  <w:num w:numId="23">
    <w:abstractNumId w:val="18"/>
  </w:num>
  <w:num w:numId="24">
    <w:abstractNumId w:val="3"/>
  </w:num>
  <w:num w:numId="25">
    <w:abstractNumId w:val="2"/>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isplayBackgroundShape/>
  <w:proofState w:spelling="clean" w:grammar="clean"/>
  <w:defaultTabStop w:val="28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2B"/>
    <w:rsid w:val="000006A1"/>
    <w:rsid w:val="00010341"/>
    <w:rsid w:val="00027B2E"/>
    <w:rsid w:val="00041285"/>
    <w:rsid w:val="000464BC"/>
    <w:rsid w:val="0005001D"/>
    <w:rsid w:val="000577D3"/>
    <w:rsid w:val="00075C2F"/>
    <w:rsid w:val="00077972"/>
    <w:rsid w:val="000844A3"/>
    <w:rsid w:val="00085A18"/>
    <w:rsid w:val="00086B94"/>
    <w:rsid w:val="00093ED1"/>
    <w:rsid w:val="000947DF"/>
    <w:rsid w:val="00095644"/>
    <w:rsid w:val="000A2EC6"/>
    <w:rsid w:val="000B579A"/>
    <w:rsid w:val="000C0CCE"/>
    <w:rsid w:val="000D6F4E"/>
    <w:rsid w:val="000E5C1F"/>
    <w:rsid w:val="000E704C"/>
    <w:rsid w:val="001001FE"/>
    <w:rsid w:val="00100300"/>
    <w:rsid w:val="00101D3E"/>
    <w:rsid w:val="00102ADC"/>
    <w:rsid w:val="001067FC"/>
    <w:rsid w:val="00125F5F"/>
    <w:rsid w:val="00147C79"/>
    <w:rsid w:val="00151278"/>
    <w:rsid w:val="00153781"/>
    <w:rsid w:val="001623D4"/>
    <w:rsid w:val="0016497C"/>
    <w:rsid w:val="00171616"/>
    <w:rsid w:val="00175274"/>
    <w:rsid w:val="001772E1"/>
    <w:rsid w:val="00186B04"/>
    <w:rsid w:val="00190ECE"/>
    <w:rsid w:val="00193E0C"/>
    <w:rsid w:val="001A25F9"/>
    <w:rsid w:val="001A7FBD"/>
    <w:rsid w:val="001C40BE"/>
    <w:rsid w:val="001D0493"/>
    <w:rsid w:val="001D20DE"/>
    <w:rsid w:val="001D2CD2"/>
    <w:rsid w:val="001D45FF"/>
    <w:rsid w:val="001E0F21"/>
    <w:rsid w:val="001F3EBF"/>
    <w:rsid w:val="001F4C0E"/>
    <w:rsid w:val="00200443"/>
    <w:rsid w:val="0020102D"/>
    <w:rsid w:val="00201D23"/>
    <w:rsid w:val="00202827"/>
    <w:rsid w:val="00226C3D"/>
    <w:rsid w:val="00247822"/>
    <w:rsid w:val="00252BD8"/>
    <w:rsid w:val="00257C77"/>
    <w:rsid w:val="00262079"/>
    <w:rsid w:val="002628B8"/>
    <w:rsid w:val="00266DD4"/>
    <w:rsid w:val="00276047"/>
    <w:rsid w:val="0028121A"/>
    <w:rsid w:val="00297058"/>
    <w:rsid w:val="002A24A0"/>
    <w:rsid w:val="002A2B2D"/>
    <w:rsid w:val="002A3523"/>
    <w:rsid w:val="002A4008"/>
    <w:rsid w:val="002B12BA"/>
    <w:rsid w:val="002B6582"/>
    <w:rsid w:val="002C62B4"/>
    <w:rsid w:val="002D52CE"/>
    <w:rsid w:val="002D69DD"/>
    <w:rsid w:val="002D76ED"/>
    <w:rsid w:val="002E04C8"/>
    <w:rsid w:val="002E781B"/>
    <w:rsid w:val="0030330C"/>
    <w:rsid w:val="003041C9"/>
    <w:rsid w:val="00312901"/>
    <w:rsid w:val="003138D7"/>
    <w:rsid w:val="00320A15"/>
    <w:rsid w:val="003226A7"/>
    <w:rsid w:val="003239EF"/>
    <w:rsid w:val="00323B39"/>
    <w:rsid w:val="003241AC"/>
    <w:rsid w:val="00324204"/>
    <w:rsid w:val="00326160"/>
    <w:rsid w:val="00335374"/>
    <w:rsid w:val="003422D5"/>
    <w:rsid w:val="00345E27"/>
    <w:rsid w:val="00346914"/>
    <w:rsid w:val="003471C4"/>
    <w:rsid w:val="003602EF"/>
    <w:rsid w:val="00370934"/>
    <w:rsid w:val="00381AEB"/>
    <w:rsid w:val="00391659"/>
    <w:rsid w:val="0039607F"/>
    <w:rsid w:val="003A633F"/>
    <w:rsid w:val="003A7751"/>
    <w:rsid w:val="003B12B2"/>
    <w:rsid w:val="003B1E74"/>
    <w:rsid w:val="003B2658"/>
    <w:rsid w:val="003C2D2F"/>
    <w:rsid w:val="003C795E"/>
    <w:rsid w:val="003E029C"/>
    <w:rsid w:val="003E2610"/>
    <w:rsid w:val="003E2AC2"/>
    <w:rsid w:val="003E5D71"/>
    <w:rsid w:val="003F65E6"/>
    <w:rsid w:val="00404491"/>
    <w:rsid w:val="004051D2"/>
    <w:rsid w:val="00415F84"/>
    <w:rsid w:val="004406C2"/>
    <w:rsid w:val="00442096"/>
    <w:rsid w:val="0044211E"/>
    <w:rsid w:val="00444DD7"/>
    <w:rsid w:val="0044729D"/>
    <w:rsid w:val="00451BF9"/>
    <w:rsid w:val="00453DA7"/>
    <w:rsid w:val="004560F6"/>
    <w:rsid w:val="00463130"/>
    <w:rsid w:val="00476446"/>
    <w:rsid w:val="00477E52"/>
    <w:rsid w:val="00480D8E"/>
    <w:rsid w:val="0048309B"/>
    <w:rsid w:val="00483633"/>
    <w:rsid w:val="004874D4"/>
    <w:rsid w:val="00492E6C"/>
    <w:rsid w:val="004A1DAB"/>
    <w:rsid w:val="004A5DD5"/>
    <w:rsid w:val="004B346B"/>
    <w:rsid w:val="004B483F"/>
    <w:rsid w:val="004C0137"/>
    <w:rsid w:val="004C2340"/>
    <w:rsid w:val="004D4650"/>
    <w:rsid w:val="004F14E5"/>
    <w:rsid w:val="004F571B"/>
    <w:rsid w:val="005050AF"/>
    <w:rsid w:val="00507600"/>
    <w:rsid w:val="00516697"/>
    <w:rsid w:val="005166D5"/>
    <w:rsid w:val="00517B51"/>
    <w:rsid w:val="00525657"/>
    <w:rsid w:val="00534CE3"/>
    <w:rsid w:val="0054138C"/>
    <w:rsid w:val="005444FE"/>
    <w:rsid w:val="00556D45"/>
    <w:rsid w:val="00563341"/>
    <w:rsid w:val="00563493"/>
    <w:rsid w:val="00570D07"/>
    <w:rsid w:val="005720D7"/>
    <w:rsid w:val="00572C30"/>
    <w:rsid w:val="00573D78"/>
    <w:rsid w:val="005745D3"/>
    <w:rsid w:val="00575BED"/>
    <w:rsid w:val="005864A3"/>
    <w:rsid w:val="00594CFC"/>
    <w:rsid w:val="005A06AB"/>
    <w:rsid w:val="005A3751"/>
    <w:rsid w:val="005B1CCD"/>
    <w:rsid w:val="005B2531"/>
    <w:rsid w:val="005C297C"/>
    <w:rsid w:val="005C303F"/>
    <w:rsid w:val="005C4835"/>
    <w:rsid w:val="005C6638"/>
    <w:rsid w:val="005D7CEC"/>
    <w:rsid w:val="006008E8"/>
    <w:rsid w:val="006028F1"/>
    <w:rsid w:val="006069CE"/>
    <w:rsid w:val="00607F3D"/>
    <w:rsid w:val="00610DAB"/>
    <w:rsid w:val="00614A48"/>
    <w:rsid w:val="006277DC"/>
    <w:rsid w:val="00635DC8"/>
    <w:rsid w:val="00643AA1"/>
    <w:rsid w:val="006527AA"/>
    <w:rsid w:val="006605AD"/>
    <w:rsid w:val="00671932"/>
    <w:rsid w:val="006755F5"/>
    <w:rsid w:val="006801B8"/>
    <w:rsid w:val="00683EE0"/>
    <w:rsid w:val="006913CF"/>
    <w:rsid w:val="006970B2"/>
    <w:rsid w:val="006B3A31"/>
    <w:rsid w:val="006B525D"/>
    <w:rsid w:val="006B756D"/>
    <w:rsid w:val="006C45C4"/>
    <w:rsid w:val="006D2E3A"/>
    <w:rsid w:val="006D4974"/>
    <w:rsid w:val="006E0192"/>
    <w:rsid w:val="006E3949"/>
    <w:rsid w:val="006F3BA8"/>
    <w:rsid w:val="006F6716"/>
    <w:rsid w:val="006F71AE"/>
    <w:rsid w:val="00707286"/>
    <w:rsid w:val="007156BE"/>
    <w:rsid w:val="00717622"/>
    <w:rsid w:val="00721489"/>
    <w:rsid w:val="00721DCB"/>
    <w:rsid w:val="00726BC5"/>
    <w:rsid w:val="00732618"/>
    <w:rsid w:val="007339C6"/>
    <w:rsid w:val="00734C29"/>
    <w:rsid w:val="0074265C"/>
    <w:rsid w:val="007426C6"/>
    <w:rsid w:val="00743C4D"/>
    <w:rsid w:val="00746C35"/>
    <w:rsid w:val="00750C90"/>
    <w:rsid w:val="00750D88"/>
    <w:rsid w:val="00755F55"/>
    <w:rsid w:val="00762F6C"/>
    <w:rsid w:val="00763876"/>
    <w:rsid w:val="00766F00"/>
    <w:rsid w:val="00770415"/>
    <w:rsid w:val="0077673E"/>
    <w:rsid w:val="00780510"/>
    <w:rsid w:val="00782508"/>
    <w:rsid w:val="007833A5"/>
    <w:rsid w:val="0079749B"/>
    <w:rsid w:val="007A1298"/>
    <w:rsid w:val="007A6E48"/>
    <w:rsid w:val="007C6F4D"/>
    <w:rsid w:val="007D72F5"/>
    <w:rsid w:val="007E422A"/>
    <w:rsid w:val="007E7648"/>
    <w:rsid w:val="0081032B"/>
    <w:rsid w:val="008226D9"/>
    <w:rsid w:val="008337F8"/>
    <w:rsid w:val="00846AE3"/>
    <w:rsid w:val="00850FD4"/>
    <w:rsid w:val="00851AD0"/>
    <w:rsid w:val="0085405C"/>
    <w:rsid w:val="00860351"/>
    <w:rsid w:val="0086510A"/>
    <w:rsid w:val="00872B7F"/>
    <w:rsid w:val="008733FE"/>
    <w:rsid w:val="008765E1"/>
    <w:rsid w:val="0088233E"/>
    <w:rsid w:val="008854FB"/>
    <w:rsid w:val="00885956"/>
    <w:rsid w:val="008A52C5"/>
    <w:rsid w:val="008A7831"/>
    <w:rsid w:val="008C16B5"/>
    <w:rsid w:val="008C206B"/>
    <w:rsid w:val="008C460D"/>
    <w:rsid w:val="008C70A2"/>
    <w:rsid w:val="008C785B"/>
    <w:rsid w:val="008D6EB1"/>
    <w:rsid w:val="008E18C2"/>
    <w:rsid w:val="008E1D89"/>
    <w:rsid w:val="008F6B09"/>
    <w:rsid w:val="00900485"/>
    <w:rsid w:val="0090340C"/>
    <w:rsid w:val="00910486"/>
    <w:rsid w:val="0091136D"/>
    <w:rsid w:val="0091258E"/>
    <w:rsid w:val="00913419"/>
    <w:rsid w:val="0091483B"/>
    <w:rsid w:val="00940861"/>
    <w:rsid w:val="00941907"/>
    <w:rsid w:val="00941EEE"/>
    <w:rsid w:val="00964144"/>
    <w:rsid w:val="009739B3"/>
    <w:rsid w:val="00976F21"/>
    <w:rsid w:val="00981E77"/>
    <w:rsid w:val="009851FD"/>
    <w:rsid w:val="00995830"/>
    <w:rsid w:val="0099702B"/>
    <w:rsid w:val="009A6152"/>
    <w:rsid w:val="009B0C32"/>
    <w:rsid w:val="009B7005"/>
    <w:rsid w:val="009C10F8"/>
    <w:rsid w:val="009D4142"/>
    <w:rsid w:val="009E054C"/>
    <w:rsid w:val="009E537D"/>
    <w:rsid w:val="009E6A6C"/>
    <w:rsid w:val="00A03AD3"/>
    <w:rsid w:val="00A04F76"/>
    <w:rsid w:val="00A338D8"/>
    <w:rsid w:val="00A37BAB"/>
    <w:rsid w:val="00A46240"/>
    <w:rsid w:val="00A506BA"/>
    <w:rsid w:val="00A612EC"/>
    <w:rsid w:val="00A62206"/>
    <w:rsid w:val="00A6347E"/>
    <w:rsid w:val="00A75F46"/>
    <w:rsid w:val="00A76ED3"/>
    <w:rsid w:val="00A77917"/>
    <w:rsid w:val="00A84876"/>
    <w:rsid w:val="00A8782C"/>
    <w:rsid w:val="00A93193"/>
    <w:rsid w:val="00A9537D"/>
    <w:rsid w:val="00A95E48"/>
    <w:rsid w:val="00AB4147"/>
    <w:rsid w:val="00AC1028"/>
    <w:rsid w:val="00AC4050"/>
    <w:rsid w:val="00AD48F7"/>
    <w:rsid w:val="00AE3849"/>
    <w:rsid w:val="00AE6413"/>
    <w:rsid w:val="00AF2132"/>
    <w:rsid w:val="00AF3614"/>
    <w:rsid w:val="00AF72A9"/>
    <w:rsid w:val="00AF771F"/>
    <w:rsid w:val="00B04AA8"/>
    <w:rsid w:val="00B12870"/>
    <w:rsid w:val="00B14D50"/>
    <w:rsid w:val="00B27D6E"/>
    <w:rsid w:val="00B37602"/>
    <w:rsid w:val="00B445E7"/>
    <w:rsid w:val="00B52AA0"/>
    <w:rsid w:val="00B6433E"/>
    <w:rsid w:val="00B64663"/>
    <w:rsid w:val="00B66796"/>
    <w:rsid w:val="00B672E6"/>
    <w:rsid w:val="00B75B7F"/>
    <w:rsid w:val="00B76EBE"/>
    <w:rsid w:val="00B8720B"/>
    <w:rsid w:val="00B87D20"/>
    <w:rsid w:val="00B93F85"/>
    <w:rsid w:val="00B95C35"/>
    <w:rsid w:val="00BB3998"/>
    <w:rsid w:val="00BC6E04"/>
    <w:rsid w:val="00BD456D"/>
    <w:rsid w:val="00BD65AB"/>
    <w:rsid w:val="00BE1431"/>
    <w:rsid w:val="00BE3B32"/>
    <w:rsid w:val="00BE3C79"/>
    <w:rsid w:val="00BE5690"/>
    <w:rsid w:val="00BE7F29"/>
    <w:rsid w:val="00C0309A"/>
    <w:rsid w:val="00C041F6"/>
    <w:rsid w:val="00C07E20"/>
    <w:rsid w:val="00C10CA9"/>
    <w:rsid w:val="00C15E43"/>
    <w:rsid w:val="00C20BA0"/>
    <w:rsid w:val="00C2339E"/>
    <w:rsid w:val="00C24EA6"/>
    <w:rsid w:val="00C26257"/>
    <w:rsid w:val="00C3323D"/>
    <w:rsid w:val="00C602EB"/>
    <w:rsid w:val="00C60596"/>
    <w:rsid w:val="00C6319C"/>
    <w:rsid w:val="00C668C4"/>
    <w:rsid w:val="00C76EBF"/>
    <w:rsid w:val="00C83871"/>
    <w:rsid w:val="00C857C0"/>
    <w:rsid w:val="00C91B48"/>
    <w:rsid w:val="00C922CF"/>
    <w:rsid w:val="00CA2504"/>
    <w:rsid w:val="00CA2A1A"/>
    <w:rsid w:val="00CA5ED5"/>
    <w:rsid w:val="00CA7A57"/>
    <w:rsid w:val="00CB5146"/>
    <w:rsid w:val="00CC0102"/>
    <w:rsid w:val="00CC0355"/>
    <w:rsid w:val="00CF3B4B"/>
    <w:rsid w:val="00CF6A22"/>
    <w:rsid w:val="00D102BA"/>
    <w:rsid w:val="00D22C6E"/>
    <w:rsid w:val="00D56A53"/>
    <w:rsid w:val="00D57662"/>
    <w:rsid w:val="00D63692"/>
    <w:rsid w:val="00D733A2"/>
    <w:rsid w:val="00D81CDF"/>
    <w:rsid w:val="00D87824"/>
    <w:rsid w:val="00DA1776"/>
    <w:rsid w:val="00DA3171"/>
    <w:rsid w:val="00DA4DC7"/>
    <w:rsid w:val="00DA5E59"/>
    <w:rsid w:val="00DA7AD5"/>
    <w:rsid w:val="00DB1BB0"/>
    <w:rsid w:val="00DB2552"/>
    <w:rsid w:val="00DC3C0F"/>
    <w:rsid w:val="00DC5686"/>
    <w:rsid w:val="00DC6FBD"/>
    <w:rsid w:val="00DD12E2"/>
    <w:rsid w:val="00DE2F0C"/>
    <w:rsid w:val="00DF287B"/>
    <w:rsid w:val="00E07D3B"/>
    <w:rsid w:val="00E1618A"/>
    <w:rsid w:val="00E2033E"/>
    <w:rsid w:val="00E2124E"/>
    <w:rsid w:val="00E21E71"/>
    <w:rsid w:val="00E23383"/>
    <w:rsid w:val="00E30E66"/>
    <w:rsid w:val="00E3166E"/>
    <w:rsid w:val="00E31B33"/>
    <w:rsid w:val="00E3371B"/>
    <w:rsid w:val="00E40B12"/>
    <w:rsid w:val="00E43605"/>
    <w:rsid w:val="00E500E8"/>
    <w:rsid w:val="00E54D5B"/>
    <w:rsid w:val="00E54E5F"/>
    <w:rsid w:val="00E5766C"/>
    <w:rsid w:val="00E60644"/>
    <w:rsid w:val="00E63B7A"/>
    <w:rsid w:val="00E66259"/>
    <w:rsid w:val="00E806B3"/>
    <w:rsid w:val="00E81D6F"/>
    <w:rsid w:val="00E85DA9"/>
    <w:rsid w:val="00EA2A40"/>
    <w:rsid w:val="00EA697B"/>
    <w:rsid w:val="00EB12E6"/>
    <w:rsid w:val="00EB22B9"/>
    <w:rsid w:val="00EC01F0"/>
    <w:rsid w:val="00ED4B79"/>
    <w:rsid w:val="00EF23CB"/>
    <w:rsid w:val="00F0043D"/>
    <w:rsid w:val="00F0786B"/>
    <w:rsid w:val="00F104E8"/>
    <w:rsid w:val="00F260D9"/>
    <w:rsid w:val="00F2787F"/>
    <w:rsid w:val="00F30AAE"/>
    <w:rsid w:val="00F350EA"/>
    <w:rsid w:val="00F364BC"/>
    <w:rsid w:val="00F40421"/>
    <w:rsid w:val="00F41674"/>
    <w:rsid w:val="00F44CA4"/>
    <w:rsid w:val="00F50E6B"/>
    <w:rsid w:val="00F54F7A"/>
    <w:rsid w:val="00F557C7"/>
    <w:rsid w:val="00F569BB"/>
    <w:rsid w:val="00F619C6"/>
    <w:rsid w:val="00F6267E"/>
    <w:rsid w:val="00F631EE"/>
    <w:rsid w:val="00F7357D"/>
    <w:rsid w:val="00F738F7"/>
    <w:rsid w:val="00F8082D"/>
    <w:rsid w:val="00F81BC7"/>
    <w:rsid w:val="00F82481"/>
    <w:rsid w:val="00F829BC"/>
    <w:rsid w:val="00F86AF4"/>
    <w:rsid w:val="00F90C63"/>
    <w:rsid w:val="00F96FCE"/>
    <w:rsid w:val="00F97733"/>
    <w:rsid w:val="00FA28EC"/>
    <w:rsid w:val="00FA612E"/>
    <w:rsid w:val="00FB057D"/>
    <w:rsid w:val="00FB082D"/>
    <w:rsid w:val="00FB704D"/>
    <w:rsid w:val="00FB73D9"/>
    <w:rsid w:val="00FC3301"/>
    <w:rsid w:val="00FC3C83"/>
    <w:rsid w:val="00FD3F0B"/>
    <w:rsid w:val="00FF23AB"/>
    <w:rsid w:val="00FF2620"/>
    <w:rsid w:val="00FF4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430D0458"/>
  <w15:chartTrackingRefBased/>
  <w15:docId w15:val="{EA11D880-05F8-4069-B6BD-49576B307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9702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9702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702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02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9702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702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702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702B"/>
    <w:rPr>
      <w:color w:val="0000FF"/>
      <w:u w:val="single"/>
    </w:rPr>
  </w:style>
  <w:style w:type="character" w:styleId="Strong">
    <w:name w:val="Strong"/>
    <w:basedOn w:val="DefaultParagraphFont"/>
    <w:uiPriority w:val="22"/>
    <w:qFormat/>
    <w:rsid w:val="0099702B"/>
    <w:rPr>
      <w:b/>
      <w:bCs/>
    </w:rPr>
  </w:style>
  <w:style w:type="character" w:styleId="Emphasis">
    <w:name w:val="Emphasis"/>
    <w:basedOn w:val="DefaultParagraphFont"/>
    <w:uiPriority w:val="20"/>
    <w:qFormat/>
    <w:rsid w:val="0099702B"/>
    <w:rPr>
      <w:i/>
      <w:iCs/>
    </w:rPr>
  </w:style>
  <w:style w:type="paragraph" w:styleId="Header">
    <w:name w:val="header"/>
    <w:basedOn w:val="Normal"/>
    <w:link w:val="HeaderChar"/>
    <w:uiPriority w:val="99"/>
    <w:unhideWhenUsed/>
    <w:rsid w:val="00477E52"/>
    <w:pPr>
      <w:tabs>
        <w:tab w:val="center" w:pos="4680"/>
        <w:tab w:val="right" w:pos="9360"/>
      </w:tabs>
    </w:pPr>
  </w:style>
  <w:style w:type="character" w:customStyle="1" w:styleId="HeaderChar">
    <w:name w:val="Header Char"/>
    <w:basedOn w:val="DefaultParagraphFont"/>
    <w:link w:val="Header"/>
    <w:uiPriority w:val="99"/>
    <w:rsid w:val="00477E52"/>
  </w:style>
  <w:style w:type="paragraph" w:styleId="Footer">
    <w:name w:val="footer"/>
    <w:basedOn w:val="Normal"/>
    <w:link w:val="FooterChar"/>
    <w:uiPriority w:val="99"/>
    <w:unhideWhenUsed/>
    <w:rsid w:val="00477E52"/>
    <w:pPr>
      <w:tabs>
        <w:tab w:val="center" w:pos="4680"/>
        <w:tab w:val="right" w:pos="9360"/>
      </w:tabs>
    </w:pPr>
  </w:style>
  <w:style w:type="character" w:customStyle="1" w:styleId="FooterChar">
    <w:name w:val="Footer Char"/>
    <w:basedOn w:val="DefaultParagraphFont"/>
    <w:link w:val="Footer"/>
    <w:uiPriority w:val="99"/>
    <w:rsid w:val="00477E52"/>
  </w:style>
  <w:style w:type="paragraph" w:styleId="ListParagraph">
    <w:name w:val="List Paragraph"/>
    <w:basedOn w:val="Normal"/>
    <w:uiPriority w:val="34"/>
    <w:qFormat/>
    <w:rsid w:val="00770415"/>
    <w:pPr>
      <w:ind w:left="720"/>
      <w:contextualSpacing/>
    </w:pPr>
  </w:style>
  <w:style w:type="paragraph" w:styleId="BalloonText">
    <w:name w:val="Balloon Text"/>
    <w:basedOn w:val="Normal"/>
    <w:link w:val="BalloonTextChar"/>
    <w:uiPriority w:val="99"/>
    <w:semiHidden/>
    <w:unhideWhenUsed/>
    <w:rsid w:val="00981E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E77"/>
    <w:rPr>
      <w:rFonts w:ascii="Segoe UI" w:hAnsi="Segoe UI" w:cs="Segoe UI"/>
      <w:sz w:val="18"/>
      <w:szCs w:val="18"/>
    </w:rPr>
  </w:style>
  <w:style w:type="character" w:styleId="CommentReference">
    <w:name w:val="annotation reference"/>
    <w:basedOn w:val="DefaultParagraphFont"/>
    <w:uiPriority w:val="99"/>
    <w:semiHidden/>
    <w:unhideWhenUsed/>
    <w:rsid w:val="007A6E48"/>
    <w:rPr>
      <w:sz w:val="16"/>
      <w:szCs w:val="16"/>
    </w:rPr>
  </w:style>
  <w:style w:type="paragraph" w:styleId="CommentText">
    <w:name w:val="annotation text"/>
    <w:basedOn w:val="Normal"/>
    <w:link w:val="CommentTextChar"/>
    <w:uiPriority w:val="99"/>
    <w:unhideWhenUsed/>
    <w:rsid w:val="007A6E48"/>
    <w:rPr>
      <w:sz w:val="20"/>
      <w:szCs w:val="20"/>
    </w:rPr>
  </w:style>
  <w:style w:type="character" w:customStyle="1" w:styleId="CommentTextChar">
    <w:name w:val="Comment Text Char"/>
    <w:basedOn w:val="DefaultParagraphFont"/>
    <w:link w:val="CommentText"/>
    <w:uiPriority w:val="99"/>
    <w:rsid w:val="007A6E48"/>
    <w:rPr>
      <w:sz w:val="20"/>
      <w:szCs w:val="20"/>
    </w:rPr>
  </w:style>
  <w:style w:type="paragraph" w:styleId="FootnoteText">
    <w:name w:val="footnote text"/>
    <w:basedOn w:val="Normal"/>
    <w:link w:val="FootnoteTextChar"/>
    <w:uiPriority w:val="99"/>
    <w:semiHidden/>
    <w:unhideWhenUsed/>
    <w:rsid w:val="008337F8"/>
    <w:rPr>
      <w:sz w:val="20"/>
      <w:szCs w:val="20"/>
    </w:rPr>
  </w:style>
  <w:style w:type="character" w:customStyle="1" w:styleId="FootnoteTextChar">
    <w:name w:val="Footnote Text Char"/>
    <w:basedOn w:val="DefaultParagraphFont"/>
    <w:link w:val="FootnoteText"/>
    <w:uiPriority w:val="99"/>
    <w:semiHidden/>
    <w:rsid w:val="008337F8"/>
    <w:rPr>
      <w:sz w:val="20"/>
      <w:szCs w:val="20"/>
    </w:rPr>
  </w:style>
  <w:style w:type="character" w:styleId="FootnoteReference">
    <w:name w:val="footnote reference"/>
    <w:basedOn w:val="DefaultParagraphFont"/>
    <w:uiPriority w:val="99"/>
    <w:semiHidden/>
    <w:unhideWhenUsed/>
    <w:rsid w:val="008337F8"/>
    <w:rPr>
      <w:vertAlign w:val="superscript"/>
    </w:rPr>
  </w:style>
  <w:style w:type="character" w:styleId="FollowedHyperlink">
    <w:name w:val="FollowedHyperlink"/>
    <w:basedOn w:val="DefaultParagraphFont"/>
    <w:uiPriority w:val="99"/>
    <w:semiHidden/>
    <w:unhideWhenUsed/>
    <w:rsid w:val="00FA612E"/>
    <w:rPr>
      <w:color w:val="954F72" w:themeColor="followedHyperlink"/>
      <w:u w:val="single"/>
    </w:rPr>
  </w:style>
  <w:style w:type="character" w:styleId="UnresolvedMention">
    <w:name w:val="Unresolved Mention"/>
    <w:basedOn w:val="DefaultParagraphFont"/>
    <w:uiPriority w:val="99"/>
    <w:semiHidden/>
    <w:unhideWhenUsed/>
    <w:rsid w:val="007D72F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864A3"/>
    <w:rPr>
      <w:b/>
      <w:bCs/>
    </w:rPr>
  </w:style>
  <w:style w:type="character" w:customStyle="1" w:styleId="CommentSubjectChar">
    <w:name w:val="Comment Subject Char"/>
    <w:basedOn w:val="CommentTextChar"/>
    <w:link w:val="CommentSubject"/>
    <w:uiPriority w:val="99"/>
    <w:semiHidden/>
    <w:rsid w:val="005864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987021">
      <w:bodyDiv w:val="1"/>
      <w:marLeft w:val="0"/>
      <w:marRight w:val="0"/>
      <w:marTop w:val="0"/>
      <w:marBottom w:val="0"/>
      <w:divBdr>
        <w:top w:val="none" w:sz="0" w:space="0" w:color="auto"/>
        <w:left w:val="none" w:sz="0" w:space="0" w:color="auto"/>
        <w:bottom w:val="none" w:sz="0" w:space="0" w:color="auto"/>
        <w:right w:val="none" w:sz="0" w:space="0" w:color="auto"/>
      </w:divBdr>
    </w:div>
    <w:div w:id="371270325">
      <w:bodyDiv w:val="1"/>
      <w:marLeft w:val="0"/>
      <w:marRight w:val="0"/>
      <w:marTop w:val="0"/>
      <w:marBottom w:val="0"/>
      <w:divBdr>
        <w:top w:val="none" w:sz="0" w:space="0" w:color="auto"/>
        <w:left w:val="none" w:sz="0" w:space="0" w:color="auto"/>
        <w:bottom w:val="none" w:sz="0" w:space="0" w:color="auto"/>
        <w:right w:val="none" w:sz="0" w:space="0" w:color="auto"/>
      </w:divBdr>
    </w:div>
    <w:div w:id="748622736">
      <w:bodyDiv w:val="1"/>
      <w:marLeft w:val="0"/>
      <w:marRight w:val="0"/>
      <w:marTop w:val="0"/>
      <w:marBottom w:val="0"/>
      <w:divBdr>
        <w:top w:val="none" w:sz="0" w:space="0" w:color="auto"/>
        <w:left w:val="none" w:sz="0" w:space="0" w:color="auto"/>
        <w:bottom w:val="none" w:sz="0" w:space="0" w:color="auto"/>
        <w:right w:val="none" w:sz="0" w:space="0" w:color="auto"/>
      </w:divBdr>
    </w:div>
    <w:div w:id="1078938475">
      <w:bodyDiv w:val="1"/>
      <w:marLeft w:val="0"/>
      <w:marRight w:val="0"/>
      <w:marTop w:val="0"/>
      <w:marBottom w:val="0"/>
      <w:divBdr>
        <w:top w:val="none" w:sz="0" w:space="0" w:color="auto"/>
        <w:left w:val="none" w:sz="0" w:space="0" w:color="auto"/>
        <w:bottom w:val="none" w:sz="0" w:space="0" w:color="auto"/>
        <w:right w:val="none" w:sz="0" w:space="0" w:color="auto"/>
      </w:divBdr>
    </w:div>
    <w:div w:id="1139763898">
      <w:bodyDiv w:val="1"/>
      <w:marLeft w:val="0"/>
      <w:marRight w:val="0"/>
      <w:marTop w:val="0"/>
      <w:marBottom w:val="0"/>
      <w:divBdr>
        <w:top w:val="none" w:sz="0" w:space="0" w:color="auto"/>
        <w:left w:val="none" w:sz="0" w:space="0" w:color="auto"/>
        <w:bottom w:val="none" w:sz="0" w:space="0" w:color="auto"/>
        <w:right w:val="none" w:sz="0" w:space="0" w:color="auto"/>
      </w:divBdr>
    </w:div>
    <w:div w:id="1224367366">
      <w:bodyDiv w:val="1"/>
      <w:marLeft w:val="0"/>
      <w:marRight w:val="0"/>
      <w:marTop w:val="0"/>
      <w:marBottom w:val="0"/>
      <w:divBdr>
        <w:top w:val="none" w:sz="0" w:space="0" w:color="auto"/>
        <w:left w:val="none" w:sz="0" w:space="0" w:color="auto"/>
        <w:bottom w:val="none" w:sz="0" w:space="0" w:color="auto"/>
        <w:right w:val="none" w:sz="0" w:space="0" w:color="auto"/>
      </w:divBdr>
    </w:div>
    <w:div w:id="122614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ihs.gov/riskmanagement/ftca/" TargetMode="External"/><Relationship Id="rId13" Type="http://schemas.openxmlformats.org/officeDocument/2006/relationships/hyperlink" Target="https://www.hhs.gov/sites/default/files/advisory-opinion-20-02-hhs-ogc-prep-act.pdf" TargetMode="External"/><Relationship Id="rId18" Type="http://schemas.openxmlformats.org/officeDocument/2006/relationships/hyperlink" Target="https://crsreports.congress.gov/product/pdf/LSB/LSB10508" TargetMode="External"/><Relationship Id="rId26" Type="http://schemas.openxmlformats.org/officeDocument/2006/relationships/hyperlink" Target="https://www.networkforphl.org/wp-content/uploads/2020/01/Legal-Liability-Protections-for-Emergency-Medical-and-Public-Health-Responses.pdf" TargetMode="External"/><Relationship Id="rId3" Type="http://schemas.openxmlformats.org/officeDocument/2006/relationships/hyperlink" Target="https://www.networkforphl.org/wp-content/uploads/2020/08/Western-Region-Primer-COVID-7-31-2020.pdf" TargetMode="External"/><Relationship Id="rId21" Type="http://schemas.openxmlformats.org/officeDocument/2006/relationships/hyperlink" Target="https://www.networkforphl.org/wp-content/uploads/2020/01/Emergency-Declaration-Authorities.pdf" TargetMode="External"/><Relationship Id="rId7" Type="http://schemas.openxmlformats.org/officeDocument/2006/relationships/hyperlink" Target="http://digitalcommons.law.ou.edu/ailr/vol39/iss1/1" TargetMode="External"/><Relationship Id="rId12" Type="http://schemas.openxmlformats.org/officeDocument/2006/relationships/hyperlink" Target="https://www.hhs.gov/sites/default/files/prep-act-advisory-opinion-april-14-2020.pdf" TargetMode="External"/><Relationship Id="rId17" Type="http://schemas.openxmlformats.org/officeDocument/2006/relationships/hyperlink" Target="https://www.hhs.gov/sites/default/files/prep-act-advisory-opinion-april-14-2020.pdf" TargetMode="External"/><Relationship Id="rId25" Type="http://schemas.openxmlformats.org/officeDocument/2006/relationships/hyperlink" Target="https://www.networkforphl.org/wp-content/uploads/2020/01/Legal-Liability-Protections-for-Emergency-Medical-and-Public-Health-Responses.pdf" TargetMode="External"/><Relationship Id="rId2" Type="http://schemas.openxmlformats.org/officeDocument/2006/relationships/hyperlink" Target="https://www.ncsl.org/research/health/state-action-on-coronavirus-covid-19.aspx" TargetMode="External"/><Relationship Id="rId16" Type="http://schemas.openxmlformats.org/officeDocument/2006/relationships/hyperlink" Target="https://www.hhs.gov/sites/default/files/prep-act-advisory-opinion-april-14-2020.pdf" TargetMode="External"/><Relationship Id="rId20" Type="http://schemas.openxmlformats.org/officeDocument/2006/relationships/hyperlink" Target="https://www.mwl-law.com/wp-content/uploads/2013/03/MUNICIPAL-COUNTY-LOCAL-GOVERNMENTAL-LIABILITY-CHART-00212510.pdf" TargetMode="External"/><Relationship Id="rId1" Type="http://schemas.openxmlformats.org/officeDocument/2006/relationships/hyperlink" Target="https://www.ncsl.org/research/health/state-action-on-coronavirus-covid-19.aspx" TargetMode="External"/><Relationship Id="rId6" Type="http://schemas.openxmlformats.org/officeDocument/2006/relationships/hyperlink" Target="https://digitalcommons.wcl.american.edu/cgi/viewcontent.cgi?article=1894&amp;context=aulr" TargetMode="External"/><Relationship Id="rId11" Type="http://schemas.openxmlformats.org/officeDocument/2006/relationships/hyperlink" Target="https://www.federalregister.gov/documents/2020/04/15/2020-08040/amendment-to-declaration-under-the-public-readiness-and-emergency-preparedness-act-for-medical" TargetMode="External"/><Relationship Id="rId24" Type="http://schemas.openxmlformats.org/officeDocument/2006/relationships/hyperlink" Target="https://www.ncbi.nlm.nih.gov/pmc/articles/PMC5956522/" TargetMode="External"/><Relationship Id="rId5" Type="http://schemas.openxmlformats.org/officeDocument/2006/relationships/hyperlink" Target="https://digitalcommons.wcl.american.edu/cgi/viewcontent.cgi?article=1894&amp;context=aulr" TargetMode="External"/><Relationship Id="rId15" Type="http://schemas.openxmlformats.org/officeDocument/2006/relationships/hyperlink" Target="https://www.hhs.gov/sites/default/files/prep-act-advisory-opinion-april-14-2020.pdf" TargetMode="External"/><Relationship Id="rId23" Type="http://schemas.openxmlformats.org/officeDocument/2006/relationships/hyperlink" Target="https://www.networkforphl.org/wp-content/uploads/2020/01/Emergency-Declaration-Authorities.pdf" TargetMode="External"/><Relationship Id="rId28" Type="http://schemas.openxmlformats.org/officeDocument/2006/relationships/hyperlink" Target="https://www.networkforphl.org/wp-content/uploads/2020/01/Legal-Liability-Protections-for-Emergency-Medical-and-Public-Health-Responses.pdf" TargetMode="External"/><Relationship Id="rId10" Type="http://schemas.openxmlformats.org/officeDocument/2006/relationships/hyperlink" Target="https://www.federalregister.gov/documents/2020/03/17/2020-05484/declaration-under-the-public-readiness-and-emergency-preparedness-act-for-medical-countermeasures" TargetMode="External"/><Relationship Id="rId19" Type="http://schemas.openxmlformats.org/officeDocument/2006/relationships/hyperlink" Target="https://www.mwl-law.com/wp-content/uploads/2013/03/MUNICIPAL-COUNTY-LOCAL-GOVERNMENTAL-LIABILITY-CHART-00212510.pdf" TargetMode="External"/><Relationship Id="rId4" Type="http://schemas.openxmlformats.org/officeDocument/2006/relationships/hyperlink" Target="https://www.networkforphl.org/wp-content/uploads/2020/08/Western-Region-Primer-COVID-7-31-2020.pdf" TargetMode="External"/><Relationship Id="rId9" Type="http://schemas.openxmlformats.org/officeDocument/2006/relationships/hyperlink" Target="https://www.phe.gov/Preparedness/legal/Pages/phe-qa.aspx" TargetMode="External"/><Relationship Id="rId14" Type="http://schemas.openxmlformats.org/officeDocument/2006/relationships/hyperlink" Target="https://www.govinfo.gov/content/pkg/FR-2020-06-08/pdf/2020-12465.pdf" TargetMode="External"/><Relationship Id="rId22" Type="http://schemas.openxmlformats.org/officeDocument/2006/relationships/hyperlink" Target="https://www.nga.org/wp-content/uploads/2019/06/An-Assessment-of-State-Laws-Providing-Gubernatorial-Authority-to-Remove-Legal-Barriers-to-Emergency-Response.pdf" TargetMode="External"/><Relationship Id="rId27" Type="http://schemas.openxmlformats.org/officeDocument/2006/relationships/hyperlink" Target="https://www.uniformlaws.org/committees/community-home?CommunityKey=565933ce-965f-4d3c-9c90-b00246f30f2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EF90B-1C26-4261-A6F4-3C13ABFA5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3718</Words>
  <Characters>21196</Characters>
  <Application>Microsoft Office Word</Application>
  <DocSecurity>0</DocSecurity>
  <Lines>176</Lines>
  <Paragraphs>49</Paragraphs>
  <ScaleCrop>false</ScaleCrop>
  <Company/>
  <LinksUpToDate>false</LinksUpToDate>
  <CharactersWithSpaces>24865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17</cp:revision>
  <dcterms:created xsi:type="dcterms:W3CDTF">2020-08-27T03:20:00Z</dcterms:created>
  <dcterms:modified xsi:type="dcterms:W3CDTF">2020-08-27T23:44:00Z</dcterms:modified>
</cp:coreProperties>
</file>