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F0625" w14:textId="77777777" w:rsidR="00565322" w:rsidRDefault="00565322" w:rsidP="00565322">
      <w:pPr>
        <w:spacing w:after="120"/>
        <w:jc w:val="center"/>
        <w:rPr>
          <w:rFonts w:eastAsia="Times New Roman" w:cs="Helvetica"/>
          <w:b/>
          <w:bCs/>
          <w:color w:val="333333"/>
          <w:spacing w:val="15"/>
          <w:kern w:val="36"/>
          <w:sz w:val="24"/>
          <w:szCs w:val="24"/>
        </w:rPr>
      </w:pPr>
      <w:r>
        <w:rPr>
          <w:rFonts w:eastAsia="Times New Roman" w:cs="Helvetica"/>
          <w:b/>
          <w:bCs/>
          <w:color w:val="333333"/>
          <w:spacing w:val="15"/>
          <w:kern w:val="36"/>
          <w:sz w:val="24"/>
          <w:szCs w:val="24"/>
        </w:rPr>
        <w:t>CSTE Legal Barriers Toolkit Series</w:t>
      </w:r>
    </w:p>
    <w:p w14:paraId="31977615" w14:textId="72CADBE9" w:rsidR="00805BD1" w:rsidRPr="00147A39" w:rsidRDefault="000C2DD9" w:rsidP="00565322">
      <w:pPr>
        <w:jc w:val="center"/>
        <w:rPr>
          <w:rFonts w:ascii="Calibri" w:eastAsia="Times New Roman" w:hAnsi="Calibri" w:cs="Helvetica"/>
          <w:b/>
          <w:bCs/>
          <w:spacing w:val="15"/>
          <w:kern w:val="36"/>
          <w:sz w:val="24"/>
          <w:szCs w:val="24"/>
        </w:rPr>
      </w:pPr>
      <w:r w:rsidRPr="00147A39">
        <w:rPr>
          <w:rFonts w:ascii="Calibri" w:eastAsia="Times New Roman" w:hAnsi="Calibri" w:cs="Helvetica"/>
          <w:b/>
          <w:bCs/>
          <w:spacing w:val="15"/>
          <w:kern w:val="36"/>
          <w:sz w:val="24"/>
          <w:szCs w:val="24"/>
        </w:rPr>
        <w:t>SOCIAL SECURITY ACT, SECTION 1135</w:t>
      </w:r>
    </w:p>
    <w:p w14:paraId="19B5AE95" w14:textId="1E3DAF47" w:rsidR="00805BD1" w:rsidRPr="00147A39" w:rsidRDefault="000C2DD9" w:rsidP="00E12ECB">
      <w:pPr>
        <w:spacing w:after="120"/>
        <w:jc w:val="center"/>
        <w:rPr>
          <w:rFonts w:ascii="Calibri" w:eastAsia="Times New Roman" w:hAnsi="Calibri" w:cs="Helvetica"/>
          <w:b/>
          <w:bCs/>
          <w:spacing w:val="15"/>
          <w:kern w:val="36"/>
          <w:sz w:val="24"/>
          <w:szCs w:val="24"/>
        </w:rPr>
      </w:pPr>
      <w:r w:rsidRPr="00147A39">
        <w:rPr>
          <w:rFonts w:ascii="Calibri" w:eastAsia="Times New Roman" w:hAnsi="Calibri" w:cs="Helvetica"/>
          <w:b/>
          <w:bCs/>
          <w:spacing w:val="15"/>
          <w:kern w:val="36"/>
          <w:sz w:val="24"/>
          <w:szCs w:val="24"/>
        </w:rPr>
        <w:t>WAIVER AUTHORITY IN NATIONAL EMERGENCIES</w:t>
      </w:r>
    </w:p>
    <w:p w14:paraId="76490157" w14:textId="4FC97830" w:rsidR="0027499E" w:rsidRDefault="0027499E" w:rsidP="00935A5D">
      <w:pPr>
        <w:pStyle w:val="Norm15"/>
      </w:pPr>
    </w:p>
    <w:p w14:paraId="3B8AB0FB" w14:textId="77777777" w:rsidR="00223CAA" w:rsidRPr="00420287" w:rsidRDefault="00223CAA" w:rsidP="00223CA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1A72F795" w14:textId="77777777" w:rsidR="00014FAE" w:rsidRPr="000939D6" w:rsidRDefault="00014FAE" w:rsidP="00935A5D">
      <w:pPr>
        <w:pStyle w:val="Norm15"/>
      </w:pPr>
    </w:p>
    <w:p w14:paraId="0CEF3C4C" w14:textId="2B3A4A81" w:rsidR="00805BD1" w:rsidRPr="00935A5D" w:rsidRDefault="00805BD1" w:rsidP="00935A5D">
      <w:pPr>
        <w:pStyle w:val="Norm15"/>
        <w:rPr>
          <w:b/>
          <w:bCs/>
          <w:sz w:val="24"/>
          <w:szCs w:val="24"/>
        </w:rPr>
      </w:pPr>
      <w:r w:rsidRPr="00935A5D">
        <w:rPr>
          <w:b/>
          <w:bCs/>
          <w:sz w:val="24"/>
          <w:szCs w:val="24"/>
        </w:rPr>
        <w:t>Overview</w:t>
      </w:r>
    </w:p>
    <w:p w14:paraId="50E8FAB0" w14:textId="51FE40FD" w:rsidR="00805BD1" w:rsidRPr="00180E31" w:rsidRDefault="00443955" w:rsidP="00935A5D">
      <w:pPr>
        <w:pStyle w:val="Norm15"/>
      </w:pPr>
      <w:r>
        <w:rPr>
          <w:noProof/>
        </w:rPr>
        <mc:AlternateContent>
          <mc:Choice Requires="wps">
            <w:drawing>
              <wp:anchor distT="45720" distB="45720" distL="114300" distR="114300" simplePos="0" relativeHeight="251661312" behindDoc="0" locked="0" layoutInCell="1" allowOverlap="1" wp14:anchorId="738138F9" wp14:editId="34F6B621">
                <wp:simplePos x="0" y="0"/>
                <wp:positionH relativeFrom="margin">
                  <wp:align>left</wp:align>
                </wp:positionH>
                <wp:positionV relativeFrom="paragraph">
                  <wp:posOffset>2385695</wp:posOffset>
                </wp:positionV>
                <wp:extent cx="5833745" cy="694690"/>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694690"/>
                        </a:xfrm>
                        <a:prstGeom prst="rect">
                          <a:avLst/>
                        </a:prstGeom>
                        <a:solidFill>
                          <a:srgbClr val="FFFFFF"/>
                        </a:solidFill>
                        <a:ln w="9525">
                          <a:solidFill>
                            <a:srgbClr val="000000"/>
                          </a:solidFill>
                          <a:miter lim="800000"/>
                          <a:headEnd/>
                          <a:tailEnd/>
                        </a:ln>
                      </wps:spPr>
                      <wps:txbx>
                        <w:txbxContent>
                          <w:p w14:paraId="6DA719C9" w14:textId="77777777" w:rsidR="00935A5D" w:rsidRPr="00CA76E9" w:rsidRDefault="00935A5D" w:rsidP="00935A5D">
                            <w:pPr>
                              <w:spacing w:after="120"/>
                              <w:jc w:val="center"/>
                              <w:rPr>
                                <w:i/>
                                <w:iCs/>
                              </w:rPr>
                            </w:pPr>
                            <w:r w:rsidRPr="00CA76E9">
                              <w:rPr>
                                <w:i/>
                                <w:iCs/>
                              </w:rPr>
                              <w:t xml:space="preserve">[Call out </w:t>
                            </w:r>
                            <w:r>
                              <w:rPr>
                                <w:i/>
                                <w:iCs/>
                              </w:rPr>
                              <w:t xml:space="preserve">box </w:t>
                            </w:r>
                            <w:r w:rsidRPr="00CA76E9">
                              <w:rPr>
                                <w:i/>
                                <w:iCs/>
                              </w:rPr>
                              <w:t>for first page of document]</w:t>
                            </w:r>
                          </w:p>
                          <w:p w14:paraId="3E952CF4" w14:textId="77777777" w:rsidR="00935A5D" w:rsidRDefault="00935A5D" w:rsidP="00935A5D">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8138F9" id="_x0000_t202" coordsize="21600,21600" o:spt="202" path="m,l,21600r21600,l21600,xe">
                <v:stroke joinstyle="miter"/>
                <v:path gradientshapeok="t" o:connecttype="rect"/>
              </v:shapetype>
              <v:shape id="Text Box 2" o:spid="_x0000_s1026" type="#_x0000_t202" style="position:absolute;margin-left:0;margin-top:187.85pt;width:459.35pt;height:54.7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AZJQIAAEQEAAAOAAAAZHJzL2Uyb0RvYy54bWysU9uO2jAQfa/Uf7D8XgIssBARVlu2VJW2&#10;F2m3HzA4DrFqe1LbkNCv79hhadT2qWoeLNszPjlzzsz6rjOanaTzCm3BJ6MxZ9IKLJU9FPzr8+7N&#10;kjMfwJag0cqCn6Xnd5vXr9Ztk8sp1qhL6RiBWJ+3TcHrEJo8y7yopQE/wkZaClboDAQ6ukNWOmgJ&#10;3ehsOh4vshZd2TgU0nu6feiDfJPwq0qK8LmqvAxMF5y4hbS6tO7jmm3WkB8cNLUSFxrwDywMKEs/&#10;vUI9QAB2dOoPKKOEQ49VGAk0GVaVEjLVQNVMxr9V81RDI1MtJI5vrjL5/wcrPp2+OKZK8o4zC4Ys&#10;epZdYG+xY9OoTtv4nJKeGkoLHV3HzFipbx5RfPPM4rYGe5D3zmFbSyiJ3SS+zAZPexwfQfbtRyzp&#10;N3AMmIC6ypkISGIwQieXzldnIhVBl/Plzc3tbM6ZoNhiNVusknUZ5C+vG+fDe4mGxU3BHTmf0OH0&#10;6ENkA/lLSmKPWpU7pXU6uMN+qx07AXXJLn2pACpymKYtawu+mk/nvQDDmB9CjNP3NwijArW7Vqbg&#10;y2sS5FG2d7ZMzRhA6X5PlLW96Bil60UM3b67+LLH8kyKOuzbmsaQNjW6H5y11NIF99+P4CRn+oMl&#10;V1aT2SzOQDrM5rdTOrhhZD+MgBUEVfDAWb/dhjQ3UTCL9+RepZKw0eaeyYUrtWrS+zJWcRaG55T1&#10;a/g3PwEAAP//AwBQSwMEFAAGAAgAAAAhAJxn+4jfAAAACAEAAA8AAABkcnMvZG93bnJldi54bWxM&#10;j81OwzAQhO9IvIO1SFwQdUJ/koY4FUIC0RsUBFc33iYR8TrYbhrenuUEt1nNauabcjPZXozoQ+dI&#10;QTpLQCDVznTUKHh7fbjOQYSoyejeESr4xgCb6vys1IVxJ3rBcRcbwSEUCq2gjXEopAx1i1aHmRuQ&#10;2Ds4b3Xk0zfSeH3icNvLmyRZSas74oZWD3jfYv25O1oF+eJp/Ajb+fN7vTr063iVjY9fXqnLi+nu&#10;FkTEKf49wy8+o0PFTHt3JBNEr4CHRAXzbJmBYHud5iz2Chb5MgVZlfL/gOoHAAD//wMAUEsBAi0A&#10;FAAGAAgAAAAhALaDOJL+AAAA4QEAABMAAAAAAAAAAAAAAAAAAAAAAFtDb250ZW50X1R5cGVzXS54&#10;bWxQSwECLQAUAAYACAAAACEAOP0h/9YAAACUAQAACwAAAAAAAAAAAAAAAAAvAQAAX3JlbHMvLnJl&#10;bHNQSwECLQAUAAYACAAAACEAx4jAGSUCAABEBAAADgAAAAAAAAAAAAAAAAAuAgAAZHJzL2Uyb0Rv&#10;Yy54bWxQSwECLQAUAAYACAAAACEAnGf7iN8AAAAIAQAADwAAAAAAAAAAAAAAAAB/BAAAZHJzL2Rv&#10;d25yZXYueG1sUEsFBgAAAAAEAAQA8wAAAIsFAAAAAA==&#10;">
                <v:textbox>
                  <w:txbxContent>
                    <w:p w14:paraId="6DA719C9" w14:textId="77777777" w:rsidR="00935A5D" w:rsidRPr="00CA76E9" w:rsidRDefault="00935A5D" w:rsidP="00935A5D">
                      <w:pPr>
                        <w:spacing w:after="120"/>
                        <w:jc w:val="center"/>
                        <w:rPr>
                          <w:i/>
                          <w:iCs/>
                        </w:rPr>
                      </w:pPr>
                      <w:r w:rsidRPr="00CA76E9">
                        <w:rPr>
                          <w:i/>
                          <w:iCs/>
                        </w:rPr>
                        <w:t xml:space="preserve">[Call out </w:t>
                      </w:r>
                      <w:r>
                        <w:rPr>
                          <w:i/>
                          <w:iCs/>
                        </w:rPr>
                        <w:t xml:space="preserve">box </w:t>
                      </w:r>
                      <w:r w:rsidRPr="00CA76E9">
                        <w:rPr>
                          <w:i/>
                          <w:iCs/>
                        </w:rPr>
                        <w:t>for first page of document]</w:t>
                      </w:r>
                    </w:p>
                    <w:p w14:paraId="3E952CF4" w14:textId="77777777" w:rsidR="00935A5D" w:rsidRDefault="00935A5D" w:rsidP="00935A5D">
                      <w:r>
                        <w:t>Please see the Practice Guide accompanying this toolkit for access to practice notices, legal analysis tools, examples, and templates.</w:t>
                      </w:r>
                    </w:p>
                  </w:txbxContent>
                </v:textbox>
                <w10:wrap type="topAndBottom" anchorx="margin"/>
              </v:shape>
            </w:pict>
          </mc:Fallback>
        </mc:AlternateContent>
      </w:r>
      <w:r w:rsidR="00805BD1" w:rsidRPr="00180E31">
        <w:t xml:space="preserve">The Social Security Act (SSA) authorizes Medicare, Medicaid, </w:t>
      </w:r>
      <w:r w:rsidR="00140571">
        <w:t xml:space="preserve">the </w:t>
      </w:r>
      <w:r w:rsidR="00805BD1" w:rsidRPr="00180E31">
        <w:t xml:space="preserve">State Children’s Health Insurance </w:t>
      </w:r>
      <w:r w:rsidR="00DB0CB9">
        <w:t xml:space="preserve">Program </w:t>
      </w:r>
      <w:r w:rsidR="00805BD1" w:rsidRPr="00180E31">
        <w:t xml:space="preserve">(SCHIP), and </w:t>
      </w:r>
      <w:r w:rsidR="008C6A5F">
        <w:t>additional</w:t>
      </w:r>
      <w:r w:rsidR="00DB0CB9">
        <w:t xml:space="preserve"> </w:t>
      </w:r>
      <w:r w:rsidR="00805BD1" w:rsidRPr="00180E31">
        <w:t>Health and Human Services (HHS) social services programs</w:t>
      </w:r>
      <w:r w:rsidR="00530646">
        <w:t>, among other things</w:t>
      </w:r>
      <w:r w:rsidR="00805BD1" w:rsidRPr="00180E31">
        <w:t>.</w:t>
      </w:r>
      <w:r w:rsidR="00433F23" w:rsidRPr="00180E31">
        <w:rPr>
          <w:rStyle w:val="FootnoteReference"/>
          <w:rFonts w:ascii="Calibri" w:eastAsia="Times New Roman" w:hAnsi="Calibri" w:cs="Arial"/>
          <w:bdr w:val="none" w:sz="0" w:space="0" w:color="auto" w:frame="1"/>
        </w:rPr>
        <w:footnoteReference w:id="1"/>
      </w:r>
      <w:r w:rsidR="007C7381" w:rsidRPr="00180E31">
        <w:t xml:space="preserve"> </w:t>
      </w:r>
      <w:r w:rsidR="00805BD1" w:rsidRPr="00180E31">
        <w:rPr>
          <w:bdr w:val="none" w:sz="0" w:space="0" w:color="auto" w:frame="1"/>
        </w:rPr>
        <w:t>Section 1135 of the SSA</w:t>
      </w:r>
      <w:r w:rsidR="00180E31">
        <w:t xml:space="preserve"> </w:t>
      </w:r>
      <w:r w:rsidR="00805BD1" w:rsidRPr="00180E31">
        <w:t xml:space="preserve">authorizes the HHS </w:t>
      </w:r>
      <w:r w:rsidR="00C96886">
        <w:t>s</w:t>
      </w:r>
      <w:r w:rsidR="005E6CA6" w:rsidRPr="00180E31">
        <w:t>ecretary</w:t>
      </w:r>
      <w:r w:rsidR="00805BD1" w:rsidRPr="00180E31">
        <w:t xml:space="preserve"> to temporarily modify or waive certain Medicare, Medicaid, SCHIP, and Health Insurance Portability and Accountability Act (HIPAA) requirements.</w:t>
      </w:r>
      <w:r w:rsidR="00627C97">
        <w:rPr>
          <w:rStyle w:val="FootnoteReference"/>
        </w:rPr>
        <w:footnoteReference w:id="2"/>
      </w:r>
      <w:r w:rsidR="00805BD1" w:rsidRPr="00180E31">
        <w:t xml:space="preserve"> The purpose of the </w:t>
      </w:r>
      <w:r w:rsidR="00C96886">
        <w:t>§</w:t>
      </w:r>
      <w:r w:rsidR="00805BD1" w:rsidRPr="00180E31">
        <w:t>1135 waiver authority is to ensure that sufficient healthcare services are available to meet the needs of individuals enrolled in SSA programs when and where an emergency is experienced.</w:t>
      </w:r>
      <w:r w:rsidR="005C43E2">
        <w:rPr>
          <w:rStyle w:val="FootnoteReference"/>
        </w:rPr>
        <w:footnoteReference w:id="3"/>
      </w:r>
      <w:r w:rsidR="00805BD1" w:rsidRPr="00180E31">
        <w:t xml:space="preserve"> Service providers who in good faith are unable to comply with certain requirements are reimbursed for the services they provide during an emergency and are exempted from sanctions for noncompliance absent fraud or abuse.</w:t>
      </w:r>
      <w:r w:rsidR="00E70E39">
        <w:rPr>
          <w:rStyle w:val="FootnoteReference"/>
        </w:rPr>
        <w:footnoteReference w:id="4"/>
      </w:r>
      <w:r w:rsidR="00805BD1" w:rsidRPr="00180E31">
        <w:t xml:space="preserve"> </w:t>
      </w:r>
    </w:p>
    <w:p w14:paraId="191129FA" w14:textId="3307EC3A" w:rsidR="00223CAA" w:rsidRPr="000939D6" w:rsidRDefault="00223CAA" w:rsidP="00935A5D">
      <w:pPr>
        <w:pStyle w:val="Norm15"/>
      </w:pPr>
    </w:p>
    <w:p w14:paraId="6AF6FEBF" w14:textId="6615E8F0" w:rsidR="00805BD1" w:rsidRPr="00935A5D" w:rsidRDefault="00805BD1" w:rsidP="00443955">
      <w:pPr>
        <w:pStyle w:val="Norm15"/>
        <w:keepNext/>
        <w:keepLines/>
        <w:rPr>
          <w:b/>
          <w:bCs/>
          <w:sz w:val="24"/>
          <w:szCs w:val="24"/>
        </w:rPr>
      </w:pPr>
      <w:r w:rsidRPr="00935A5D">
        <w:rPr>
          <w:b/>
          <w:bCs/>
          <w:sz w:val="24"/>
          <w:szCs w:val="24"/>
        </w:rPr>
        <w:t xml:space="preserve">Emergency Declaration </w:t>
      </w:r>
      <w:r w:rsidR="00A72C1F" w:rsidRPr="00935A5D">
        <w:rPr>
          <w:b/>
          <w:bCs/>
          <w:sz w:val="24"/>
          <w:szCs w:val="24"/>
        </w:rPr>
        <w:t>Requirement</w:t>
      </w:r>
      <w:r w:rsidR="00681CF8" w:rsidRPr="00935A5D">
        <w:rPr>
          <w:b/>
          <w:bCs/>
          <w:sz w:val="24"/>
          <w:szCs w:val="24"/>
        </w:rPr>
        <w:t>s</w:t>
      </w:r>
    </w:p>
    <w:p w14:paraId="52A84B08" w14:textId="544DA81C" w:rsidR="00A90EBA" w:rsidRDefault="00805BD1" w:rsidP="00935A5D">
      <w:pPr>
        <w:pStyle w:val="Norm15"/>
      </w:pPr>
      <w:r w:rsidRPr="00A376B5">
        <w:t>Section 1135 waivers require</w:t>
      </w:r>
      <w:r w:rsidR="000257D9">
        <w:t xml:space="preserve"> that </w:t>
      </w:r>
      <w:r w:rsidR="00342699">
        <w:t xml:space="preserve">at least two types of emergency declarations have been </w:t>
      </w:r>
      <w:r w:rsidR="00282BBB">
        <w:t xml:space="preserve">issued before </w:t>
      </w:r>
      <w:r w:rsidR="005E6E75">
        <w:t xml:space="preserve">the HHS </w:t>
      </w:r>
      <w:r w:rsidR="009738E5">
        <w:t>s</w:t>
      </w:r>
      <w:r w:rsidR="005E6E75">
        <w:t xml:space="preserve">ecretary </w:t>
      </w:r>
      <w:r w:rsidR="00F10AF7">
        <w:t xml:space="preserve">can </w:t>
      </w:r>
      <w:r w:rsidR="00A67ED3">
        <w:t>authorize</w:t>
      </w:r>
      <w:r w:rsidR="00F10AF7">
        <w:t xml:space="preserve"> </w:t>
      </w:r>
      <w:r w:rsidR="00B37FC2">
        <w:t>a</w:t>
      </w:r>
      <w:r w:rsidR="009738E5">
        <w:t xml:space="preserve"> §</w:t>
      </w:r>
      <w:r w:rsidR="00FC0D5C">
        <w:t>1135</w:t>
      </w:r>
      <w:r w:rsidR="00B37FC2">
        <w:t xml:space="preserve"> waiver: (1) </w:t>
      </w:r>
      <w:r w:rsidRPr="00A376B5">
        <w:t xml:space="preserve">a declaration of </w:t>
      </w:r>
      <w:r w:rsidR="00D45051">
        <w:t xml:space="preserve">a </w:t>
      </w:r>
      <w:r w:rsidRPr="00A376B5">
        <w:t xml:space="preserve">national </w:t>
      </w:r>
      <w:r w:rsidR="00FC0D5C">
        <w:t xml:space="preserve">emergency by the </w:t>
      </w:r>
      <w:r w:rsidR="00FC0D5C">
        <w:lastRenderedPageBreak/>
        <w:t xml:space="preserve">president </w:t>
      </w:r>
      <w:r w:rsidRPr="00A376B5">
        <w:t>under the</w:t>
      </w:r>
      <w:r w:rsidR="00A376B5" w:rsidRPr="00A376B5">
        <w:t xml:space="preserve"> </w:t>
      </w:r>
      <w:r w:rsidRPr="00A376B5">
        <w:rPr>
          <w:bdr w:val="none" w:sz="0" w:space="0" w:color="auto" w:frame="1"/>
        </w:rPr>
        <w:t>National Emergencies Act</w:t>
      </w:r>
      <w:r w:rsidR="00A376B5" w:rsidRPr="00A376B5">
        <w:rPr>
          <w:bdr w:val="none" w:sz="0" w:space="0" w:color="auto" w:frame="1"/>
        </w:rPr>
        <w:t xml:space="preserve"> </w:t>
      </w:r>
      <w:r w:rsidRPr="00591FF3">
        <w:rPr>
          <w:i/>
          <w:iCs/>
        </w:rPr>
        <w:t>or</w:t>
      </w:r>
      <w:r w:rsidRPr="00A376B5">
        <w:t xml:space="preserve"> </w:t>
      </w:r>
      <w:r w:rsidR="00591FF3">
        <w:t xml:space="preserve">a declaration of </w:t>
      </w:r>
      <w:r w:rsidR="00F73A08">
        <w:t xml:space="preserve">a major disaster or emergency by the president </w:t>
      </w:r>
      <w:r w:rsidR="002A6614">
        <w:t xml:space="preserve">pursuant to the </w:t>
      </w:r>
      <w:hyperlink r:id="rId8" w:anchor="Stafford-Act" w:tooltip="Stafford Act" w:history="1">
        <w:r w:rsidRPr="00A376B5">
          <w:rPr>
            <w:bdr w:val="none" w:sz="0" w:space="0" w:color="auto" w:frame="1"/>
          </w:rPr>
          <w:t>Stafford Act</w:t>
        </w:r>
      </w:hyperlink>
      <w:r w:rsidR="00B5763A">
        <w:rPr>
          <w:bdr w:val="none" w:sz="0" w:space="0" w:color="auto" w:frame="1"/>
        </w:rPr>
        <w:t xml:space="preserve">; </w:t>
      </w:r>
      <w:r w:rsidR="00B5763A" w:rsidRPr="00927386">
        <w:rPr>
          <w:i/>
          <w:iCs/>
          <w:bdr w:val="none" w:sz="0" w:space="0" w:color="auto" w:frame="1"/>
        </w:rPr>
        <w:t>and</w:t>
      </w:r>
      <w:r w:rsidR="00B5763A">
        <w:rPr>
          <w:bdr w:val="none" w:sz="0" w:space="0" w:color="auto" w:frame="1"/>
        </w:rPr>
        <w:t xml:space="preserve"> (2)</w:t>
      </w:r>
      <w:r w:rsidR="00E27D7D" w:rsidRPr="00A376B5">
        <w:t xml:space="preserve"> </w:t>
      </w:r>
      <w:r w:rsidRPr="00A376B5">
        <w:t xml:space="preserve">a public health emergency determination by the HHS </w:t>
      </w:r>
      <w:r w:rsidR="00F26442">
        <w:t>s</w:t>
      </w:r>
      <w:r w:rsidRPr="00A376B5">
        <w:t>ecretary under</w:t>
      </w:r>
      <w:r w:rsidR="00A376B5" w:rsidRPr="00A376B5">
        <w:t xml:space="preserve"> </w:t>
      </w:r>
      <w:r w:rsidR="00F26442">
        <w:t>§</w:t>
      </w:r>
      <w:r w:rsidRPr="00A376B5">
        <w:rPr>
          <w:bdr w:val="none" w:sz="0" w:space="0" w:color="auto" w:frame="1"/>
        </w:rPr>
        <w:t>319 of the Public Health Service Act (PHSA)</w:t>
      </w:r>
      <w:r w:rsidRPr="00A376B5">
        <w:t>.</w:t>
      </w:r>
      <w:r w:rsidR="00B5763A">
        <w:rPr>
          <w:rStyle w:val="FootnoteReference"/>
        </w:rPr>
        <w:footnoteReference w:id="5"/>
      </w:r>
      <w:r w:rsidR="00157700">
        <w:t xml:space="preserve"> </w:t>
      </w:r>
      <w:r w:rsidR="00EE4192" w:rsidRPr="00805BD1">
        <w:t>While governors</w:t>
      </w:r>
      <w:r w:rsidR="00157700">
        <w:t xml:space="preserve"> or tribal leaders</w:t>
      </w:r>
      <w:r w:rsidR="00EE4192" w:rsidRPr="00805BD1">
        <w:t xml:space="preserve"> can make a formal request for a </w:t>
      </w:r>
      <w:r w:rsidR="00D26A23">
        <w:t xml:space="preserve">§319 </w:t>
      </w:r>
      <w:r w:rsidR="00EE4192" w:rsidRPr="00805BD1">
        <w:t xml:space="preserve">public health emergency </w:t>
      </w:r>
      <w:r w:rsidR="0055345D">
        <w:t>determination</w:t>
      </w:r>
      <w:r w:rsidR="00EE4192" w:rsidRPr="00805BD1">
        <w:t xml:space="preserve"> or a </w:t>
      </w:r>
      <w:r w:rsidR="004B35DB">
        <w:t>§</w:t>
      </w:r>
      <w:r w:rsidR="00EE4192" w:rsidRPr="00805BD1">
        <w:t xml:space="preserve">1135 waiver, there is no statutory requirement </w:t>
      </w:r>
      <w:r w:rsidR="00F31E1F">
        <w:t xml:space="preserve">that they </w:t>
      </w:r>
      <w:r w:rsidR="00EE4192" w:rsidRPr="00805BD1">
        <w:t>do so</w:t>
      </w:r>
      <w:r w:rsidR="009D28D4">
        <w:t xml:space="preserve"> (</w:t>
      </w:r>
      <w:r w:rsidR="00EE4192" w:rsidRPr="00805BD1">
        <w:t xml:space="preserve">unlike Stafford Act declarations, which </w:t>
      </w:r>
      <w:r w:rsidR="00831D90">
        <w:t xml:space="preserve">generally </w:t>
      </w:r>
      <w:r w:rsidR="00EE4192" w:rsidRPr="00805BD1">
        <w:t>require a formal request for assistance by a state governor</w:t>
      </w:r>
      <w:r w:rsidR="00EE4192">
        <w:t xml:space="preserve"> or tribal leader</w:t>
      </w:r>
      <w:r w:rsidR="009D28D4">
        <w:t>)</w:t>
      </w:r>
      <w:r w:rsidR="00EE4192" w:rsidRPr="00805BD1">
        <w:t>.</w:t>
      </w:r>
      <w:r w:rsidR="00EE4192">
        <w:rPr>
          <w:rStyle w:val="FootnoteReference"/>
        </w:rPr>
        <w:footnoteReference w:id="6"/>
      </w:r>
      <w:r w:rsidR="00EE4192" w:rsidRPr="00805BD1">
        <w:t xml:space="preserve"> According to HHS, when </w:t>
      </w:r>
      <w:r w:rsidR="00EE4192" w:rsidRPr="00E93D5A">
        <w:t>state, tribal or territorial</w:t>
      </w:r>
      <w:r w:rsidR="00EE4192" w:rsidRPr="00805BD1">
        <w:t xml:space="preserve"> officials believe that a</w:t>
      </w:r>
      <w:r w:rsidR="00D26A23">
        <w:t xml:space="preserve"> §319 </w:t>
      </w:r>
      <w:r w:rsidR="00EE4192" w:rsidRPr="00805BD1">
        <w:t xml:space="preserve">public health emergency determination and </w:t>
      </w:r>
      <w:r w:rsidR="00E93D5A">
        <w:t xml:space="preserve">a </w:t>
      </w:r>
      <w:r w:rsidR="00D345D8">
        <w:t>§</w:t>
      </w:r>
      <w:r w:rsidR="00EE4192" w:rsidRPr="00805BD1">
        <w:t xml:space="preserve">1135 waiver are needed, </w:t>
      </w:r>
      <w:r w:rsidR="00EE4192">
        <w:t>HHS urges</w:t>
      </w:r>
      <w:r w:rsidR="00EE4192" w:rsidRPr="00805BD1">
        <w:t xml:space="preserve"> </w:t>
      </w:r>
      <w:r w:rsidR="00EE4192">
        <w:t xml:space="preserve">them to </w:t>
      </w:r>
      <w:r w:rsidR="00EE4192" w:rsidRPr="00805BD1">
        <w:t xml:space="preserve">work with their </w:t>
      </w:r>
      <w:r w:rsidR="00EE4192">
        <w:t>jurisdiction’s</w:t>
      </w:r>
      <w:r w:rsidR="00EE4192" w:rsidRPr="00805BD1">
        <w:t xml:space="preserve"> HHS regional emergency coordinator and regional </w:t>
      </w:r>
      <w:r w:rsidR="008D54CD" w:rsidRPr="00805BD1">
        <w:t xml:space="preserve">Centers for Medicare and Medicaid Services </w:t>
      </w:r>
      <w:r w:rsidR="008D54CD">
        <w:t>(</w:t>
      </w:r>
      <w:r w:rsidR="00EE4192" w:rsidRPr="00805BD1">
        <w:t>CMS</w:t>
      </w:r>
      <w:r w:rsidR="008D54CD">
        <w:t>)</w:t>
      </w:r>
      <w:r w:rsidR="00EE4192" w:rsidRPr="00805BD1">
        <w:t xml:space="preserve"> officials to discuss the request.</w:t>
      </w:r>
      <w:r w:rsidR="00EE4192">
        <w:rPr>
          <w:rStyle w:val="FootnoteReference"/>
          <w:rFonts w:ascii="Calibri" w:eastAsia="Times New Roman" w:hAnsi="Calibri" w:cs="Arial"/>
          <w:bdr w:val="none" w:sz="0" w:space="0" w:color="auto" w:frame="1"/>
        </w:rPr>
        <w:footnoteReference w:id="7"/>
      </w:r>
      <w:r w:rsidR="006071B4">
        <w:t xml:space="preserve"> </w:t>
      </w:r>
    </w:p>
    <w:p w14:paraId="1E545E28" w14:textId="77777777" w:rsidR="00A90EBA" w:rsidRDefault="00A90EBA" w:rsidP="00935A5D">
      <w:pPr>
        <w:pStyle w:val="Norm15"/>
      </w:pPr>
    </w:p>
    <w:p w14:paraId="461FFC06" w14:textId="42F80CB9" w:rsidR="00C005F9" w:rsidRPr="00C005F9" w:rsidRDefault="00C005F9" w:rsidP="00935A5D">
      <w:pPr>
        <w:pStyle w:val="Norm15"/>
        <w:rPr>
          <w:bdr w:val="none" w:sz="0" w:space="0" w:color="auto" w:frame="1"/>
        </w:rPr>
      </w:pPr>
      <w:r w:rsidRPr="00805BD1">
        <w:t xml:space="preserve">A declaration of an emergency </w:t>
      </w:r>
      <w:r w:rsidR="0099692A">
        <w:t>by a state, tribe</w:t>
      </w:r>
      <w:r w:rsidR="00E74AD3">
        <w:t xml:space="preserve">, </w:t>
      </w:r>
      <w:r w:rsidR="008F76F3">
        <w:t>locality</w:t>
      </w:r>
      <w:r w:rsidR="0099692A">
        <w:t xml:space="preserve"> or territory </w:t>
      </w:r>
      <w:r w:rsidR="008F76F3">
        <w:t xml:space="preserve">(STLT) </w:t>
      </w:r>
      <w:r w:rsidRPr="00805BD1">
        <w:t xml:space="preserve">has no </w:t>
      </w:r>
      <w:r w:rsidR="00991CA4">
        <w:t>effect</w:t>
      </w:r>
      <w:r w:rsidRPr="00805BD1">
        <w:t xml:space="preserve"> on the </w:t>
      </w:r>
      <w:r>
        <w:t xml:space="preserve">HHS </w:t>
      </w:r>
      <w:r w:rsidR="00564488">
        <w:t>s</w:t>
      </w:r>
      <w:r w:rsidRPr="00805BD1">
        <w:t xml:space="preserve">ecretary’s authority to invoke </w:t>
      </w:r>
      <w:r w:rsidR="00837C0E">
        <w:t xml:space="preserve">SSA </w:t>
      </w:r>
      <w:r w:rsidR="00564488">
        <w:t>§</w:t>
      </w:r>
      <w:r w:rsidRPr="00805BD1">
        <w:t>1135.</w:t>
      </w:r>
      <w:r w:rsidR="00FD1050">
        <w:rPr>
          <w:rStyle w:val="FootnoteReference"/>
        </w:rPr>
        <w:footnoteReference w:id="8"/>
      </w:r>
      <w:r w:rsidRPr="00805BD1">
        <w:t xml:space="preserve"> </w:t>
      </w:r>
      <w:r w:rsidR="004903C4">
        <w:t>T</w:t>
      </w:r>
      <w:r w:rsidRPr="00805BD1">
        <w:t xml:space="preserve">he fact that a </w:t>
      </w:r>
      <w:r>
        <w:t>STLT government</w:t>
      </w:r>
      <w:r w:rsidRPr="00805BD1">
        <w:t xml:space="preserve"> has declared an emergency </w:t>
      </w:r>
      <w:r w:rsidR="003171FA">
        <w:t>and/</w:t>
      </w:r>
      <w:r w:rsidRPr="00805BD1">
        <w:t xml:space="preserve">or requested federal assistance may be </w:t>
      </w:r>
      <w:r w:rsidR="003171FA" w:rsidRPr="00805BD1">
        <w:t>pertinent</w:t>
      </w:r>
      <w:r w:rsidR="002852D4">
        <w:t>, however,</w:t>
      </w:r>
      <w:r w:rsidRPr="00805BD1">
        <w:t xml:space="preserve"> to the secretary’s de</w:t>
      </w:r>
      <w:r w:rsidR="003171FA">
        <w:t xml:space="preserve">cision </w:t>
      </w:r>
      <w:r w:rsidR="00B41401">
        <w:t>of</w:t>
      </w:r>
      <w:r w:rsidRPr="00805BD1">
        <w:t xml:space="preserve"> whether a public health emergency exists </w:t>
      </w:r>
      <w:r w:rsidR="00FE2B6B">
        <w:t>and</w:t>
      </w:r>
      <w:r w:rsidRPr="00805BD1">
        <w:t xml:space="preserve"> </w:t>
      </w:r>
      <w:r w:rsidR="00564488">
        <w:t>§</w:t>
      </w:r>
      <w:r w:rsidRPr="00805BD1">
        <w:t>1</w:t>
      </w:r>
      <w:r w:rsidR="00BA2161">
        <w:t>1</w:t>
      </w:r>
      <w:r w:rsidRPr="00805BD1">
        <w:t xml:space="preserve">35 </w:t>
      </w:r>
      <w:r w:rsidR="00B41401">
        <w:t>should be invoked</w:t>
      </w:r>
      <w:r w:rsidRPr="00805BD1">
        <w:t>.</w:t>
      </w:r>
      <w:r>
        <w:rPr>
          <w:rStyle w:val="FootnoteReference"/>
          <w:rFonts w:ascii="Calibri" w:eastAsia="Times New Roman" w:hAnsi="Calibri" w:cs="Arial"/>
          <w:bdr w:val="none" w:sz="0" w:space="0" w:color="auto" w:frame="1"/>
        </w:rPr>
        <w:footnoteReference w:id="9"/>
      </w:r>
      <w:r>
        <w:rPr>
          <w:bdr w:val="none" w:sz="0" w:space="0" w:color="auto" w:frame="1"/>
          <w:vertAlign w:val="superscript"/>
        </w:rPr>
        <w:t xml:space="preserve"> </w:t>
      </w:r>
    </w:p>
    <w:p w14:paraId="79F3C29B" w14:textId="77777777" w:rsidR="00FD1050" w:rsidRPr="00A376B5" w:rsidRDefault="00FD1050" w:rsidP="00935A5D">
      <w:pPr>
        <w:pStyle w:val="Norm15"/>
      </w:pPr>
    </w:p>
    <w:p w14:paraId="79CC1797" w14:textId="06785FE3" w:rsidR="00805BD1" w:rsidRPr="00805BD1" w:rsidRDefault="00805BD1" w:rsidP="00B73BC6">
      <w:pPr>
        <w:spacing w:line="480" w:lineRule="auto"/>
        <w:rPr>
          <w:rFonts w:ascii="Calibri" w:eastAsia="Times New Roman" w:hAnsi="Calibri" w:cs="Arial"/>
          <w:b/>
          <w:bCs/>
          <w:color w:val="000000" w:themeColor="text1"/>
        </w:rPr>
      </w:pPr>
      <w:r w:rsidRPr="00935A5D">
        <w:rPr>
          <w:rFonts w:ascii="Calibri" w:eastAsia="Times New Roman" w:hAnsi="Calibri" w:cs="Arial"/>
          <w:b/>
          <w:bCs/>
          <w:color w:val="000000" w:themeColor="text1"/>
          <w:sz w:val="24"/>
          <w:szCs w:val="24"/>
        </w:rPr>
        <w:t>Issuing Section 1135 Waiver</w:t>
      </w:r>
      <w:r w:rsidR="00374AFD" w:rsidRPr="00935A5D">
        <w:rPr>
          <w:rFonts w:ascii="Calibri" w:eastAsia="Times New Roman" w:hAnsi="Calibri" w:cs="Arial"/>
          <w:b/>
          <w:bCs/>
          <w:color w:val="000000" w:themeColor="text1"/>
          <w:sz w:val="24"/>
          <w:szCs w:val="24"/>
        </w:rPr>
        <w:t>s</w:t>
      </w:r>
    </w:p>
    <w:p w14:paraId="5A16A204" w14:textId="18EC6068" w:rsidR="008744D1" w:rsidRDefault="00805BD1" w:rsidP="00935A5D">
      <w:pPr>
        <w:pStyle w:val="Norm15"/>
      </w:pPr>
      <w:r w:rsidRPr="00805BD1">
        <w:t xml:space="preserve">If the required emergency declarations have been satisfied, then the HHS assistant secretary for preparedness and response </w:t>
      </w:r>
      <w:r w:rsidR="00294F72">
        <w:t xml:space="preserve">(the ASPR) </w:t>
      </w:r>
      <w:r w:rsidRPr="00805BD1">
        <w:t>coordinate</w:t>
      </w:r>
      <w:r w:rsidR="00D3665A">
        <w:t>s</w:t>
      </w:r>
      <w:r w:rsidRPr="00805BD1">
        <w:t xml:space="preserve"> with CMS offices to determine the need for and </w:t>
      </w:r>
      <w:r w:rsidRPr="00805BD1">
        <w:lastRenderedPageBreak/>
        <w:t xml:space="preserve">scope of the </w:t>
      </w:r>
      <w:r w:rsidR="00694D20">
        <w:t>§</w:t>
      </w:r>
      <w:r w:rsidRPr="00805BD1">
        <w:t>1135 waiver.</w:t>
      </w:r>
      <w:r w:rsidR="008E27CE">
        <w:rPr>
          <w:rStyle w:val="FootnoteReference"/>
        </w:rPr>
        <w:footnoteReference w:id="10"/>
      </w:r>
      <w:r w:rsidRPr="00805BD1">
        <w:t xml:space="preserve"> </w:t>
      </w:r>
      <w:r w:rsidR="003F7DD6">
        <w:t>ASPR</w:t>
      </w:r>
      <w:r w:rsidR="003F7DD6" w:rsidRPr="00805BD1">
        <w:t xml:space="preserve"> considers requests from governors’</w:t>
      </w:r>
      <w:r w:rsidR="003F7DD6">
        <w:t xml:space="preserve"> or tribal leaders’</w:t>
      </w:r>
      <w:r w:rsidR="003F7DD6" w:rsidRPr="00805BD1">
        <w:t xml:space="preserve"> offices, healthcare providers and associations, and regional and field HHS and CMS offices.</w:t>
      </w:r>
      <w:r w:rsidR="003F7DD6">
        <w:rPr>
          <w:rStyle w:val="FootnoteReference"/>
        </w:rPr>
        <w:footnoteReference w:id="11"/>
      </w:r>
      <w:r w:rsidR="003F7DD6" w:rsidRPr="00805BD1">
        <w:t xml:space="preserve"> </w:t>
      </w:r>
    </w:p>
    <w:p w14:paraId="40E43FF5" w14:textId="347BB074" w:rsidR="008744D1" w:rsidRDefault="008744D1" w:rsidP="00935A5D">
      <w:pPr>
        <w:pStyle w:val="Norm15"/>
      </w:pPr>
    </w:p>
    <w:p w14:paraId="487008AF" w14:textId="673A5D8C" w:rsidR="00DA0726" w:rsidRPr="00805BD1" w:rsidRDefault="00335003" w:rsidP="00935A5D">
      <w:pPr>
        <w:pStyle w:val="Norm15"/>
      </w:pPr>
      <w:r w:rsidRPr="004A6496">
        <w:t>The</w:t>
      </w:r>
      <w:r w:rsidRPr="00805BD1">
        <w:t xml:space="preserve"> </w:t>
      </w:r>
      <w:r>
        <w:t xml:space="preserve">HHS </w:t>
      </w:r>
      <w:r w:rsidR="00694D20">
        <w:t>s</w:t>
      </w:r>
      <w:r w:rsidRPr="00805BD1">
        <w:t xml:space="preserve">ecretary must </w:t>
      </w:r>
      <w:r w:rsidR="00CE4F12">
        <w:t xml:space="preserve">then </w:t>
      </w:r>
      <w:r w:rsidRPr="00805BD1">
        <w:t>provide certification and notice to Congress</w:t>
      </w:r>
      <w:r>
        <w:t xml:space="preserve"> </w:t>
      </w:r>
      <w:r w:rsidR="00CE4F12">
        <w:t>a</w:t>
      </w:r>
      <w:r w:rsidR="00DA0726" w:rsidRPr="00805BD1">
        <w:t xml:space="preserve">t least two days before formally exercising </w:t>
      </w:r>
      <w:r w:rsidR="00694D20">
        <w:t>§</w:t>
      </w:r>
      <w:r w:rsidR="00DA0726" w:rsidRPr="00805BD1">
        <w:t>1135 waiver authority</w:t>
      </w:r>
      <w:r w:rsidR="00FD18BC">
        <w:t>.</w:t>
      </w:r>
      <w:r w:rsidR="0058050E">
        <w:rPr>
          <w:rStyle w:val="FootnoteReference"/>
        </w:rPr>
        <w:footnoteReference w:id="12"/>
      </w:r>
      <w:r w:rsidR="00FD18BC">
        <w:t xml:space="preserve"> The certification and notice must contain the following information: </w:t>
      </w:r>
      <w:r w:rsidR="00DA0726">
        <w:t>(1) a description of t</w:t>
      </w:r>
      <w:r w:rsidR="00DA0726" w:rsidRPr="00805BD1">
        <w:t>he provision</w:t>
      </w:r>
      <w:r w:rsidR="00DA0726">
        <w:t>(s)</w:t>
      </w:r>
      <w:r w:rsidR="00DA0726" w:rsidRPr="00805BD1">
        <w:t xml:space="preserve"> to be waived or modified</w:t>
      </w:r>
      <w:r w:rsidR="00DA0726">
        <w:t xml:space="preserve">; (2) </w:t>
      </w:r>
      <w:r w:rsidR="00DA0726" w:rsidRPr="00805BD1">
        <w:t xml:space="preserve">the healthcare providers to whom the waiver </w:t>
      </w:r>
      <w:r w:rsidR="00DA0726">
        <w:t xml:space="preserve">or modification </w:t>
      </w:r>
      <w:r w:rsidR="00DA0726" w:rsidRPr="00805BD1">
        <w:t>will apply</w:t>
      </w:r>
      <w:r w:rsidR="00DA0726">
        <w:t xml:space="preserve">; (3) </w:t>
      </w:r>
      <w:r w:rsidR="00DA0726" w:rsidRPr="00805BD1">
        <w:t>the geographic area</w:t>
      </w:r>
      <w:r w:rsidR="00DA0726">
        <w:t>(s)</w:t>
      </w:r>
      <w:r w:rsidR="00DA0726" w:rsidRPr="00805BD1">
        <w:t xml:space="preserve"> in which the waiver or modification will apply</w:t>
      </w:r>
      <w:r w:rsidR="00DA0726">
        <w:t>; (4)</w:t>
      </w:r>
      <w:r w:rsidR="00DA0726" w:rsidRPr="00805BD1">
        <w:t xml:space="preserve"> the </w:t>
      </w:r>
      <w:r w:rsidR="00DA0726">
        <w:t xml:space="preserve">time </w:t>
      </w:r>
      <w:r w:rsidR="00DA0726" w:rsidRPr="00805BD1">
        <w:t xml:space="preserve">period </w:t>
      </w:r>
      <w:r w:rsidR="00DA0726">
        <w:t xml:space="preserve">during which the waiver or modification will be </w:t>
      </w:r>
      <w:r w:rsidR="00DA0726" w:rsidRPr="00805BD1">
        <w:t>in effect</w:t>
      </w:r>
      <w:r w:rsidR="00DA0726">
        <w:t xml:space="preserve">; and (5) </w:t>
      </w:r>
      <w:r w:rsidR="00DA0726" w:rsidRPr="00805BD1">
        <w:t>and a statement that the waiver or modification is necessary to achieve the purposes of the SSA.</w:t>
      </w:r>
      <w:r w:rsidR="00DA0726">
        <w:rPr>
          <w:rStyle w:val="FootnoteReference"/>
        </w:rPr>
        <w:footnoteReference w:id="13"/>
      </w:r>
      <w:r w:rsidR="00FA402D">
        <w:t xml:space="preserve"> </w:t>
      </w:r>
      <w:r w:rsidR="00871330">
        <w:t>(</w:t>
      </w:r>
      <w:r w:rsidR="00FA402D">
        <w:t>S</w:t>
      </w:r>
      <w:r w:rsidR="00E17E67">
        <w:t xml:space="preserve">ee </w:t>
      </w:r>
      <w:r w:rsidR="00871330">
        <w:t>Figure</w:t>
      </w:r>
      <w:r w:rsidR="00E17E67">
        <w:t xml:space="preserve"> 1 for s</w:t>
      </w:r>
      <w:r w:rsidR="00FA402D">
        <w:t xml:space="preserve">elected examples of </w:t>
      </w:r>
      <w:r w:rsidR="00871330">
        <w:t>§</w:t>
      </w:r>
      <w:r w:rsidR="00FA402D">
        <w:t>1135 waivers issued by HHS during</w:t>
      </w:r>
      <w:r w:rsidR="00021113">
        <w:t xml:space="preserve"> past e</w:t>
      </w:r>
      <w:r w:rsidR="00E17E67">
        <w:t>vents.</w:t>
      </w:r>
      <w:r w:rsidR="00871330">
        <w:t xml:space="preserve">) </w:t>
      </w:r>
      <w:r w:rsidR="002A6163" w:rsidRPr="00F85251">
        <w:rPr>
          <w:i/>
          <w:iCs/>
          <w:highlight w:val="yellow"/>
        </w:rPr>
        <w:t>[</w:t>
      </w:r>
      <w:r w:rsidR="002A6163" w:rsidRPr="00F85251">
        <w:rPr>
          <w:b/>
          <w:bCs/>
          <w:i/>
          <w:iCs/>
          <w:highlight w:val="yellow"/>
        </w:rPr>
        <w:t>Editor’s Note:</w:t>
      </w:r>
      <w:r w:rsidR="002A6163" w:rsidRPr="00F85251">
        <w:rPr>
          <w:i/>
          <w:iCs/>
          <w:highlight w:val="yellow"/>
        </w:rPr>
        <w:t xml:space="preserve"> Figure at end of draft document for now.]</w:t>
      </w:r>
    </w:p>
    <w:p w14:paraId="082D2EFB" w14:textId="77777777" w:rsidR="00DA0726" w:rsidRDefault="00DA0726" w:rsidP="00935A5D">
      <w:pPr>
        <w:pStyle w:val="Norm15"/>
      </w:pPr>
    </w:p>
    <w:p w14:paraId="66EBC84F" w14:textId="03217BD4" w:rsidR="00B87AEF" w:rsidRDefault="00DA0726" w:rsidP="00935A5D">
      <w:pPr>
        <w:pStyle w:val="Norm15"/>
      </w:pPr>
      <w:r w:rsidRPr="002C432F">
        <w:t>It is</w:t>
      </w:r>
      <w:r>
        <w:t xml:space="preserve"> important to note that s</w:t>
      </w:r>
      <w:r w:rsidR="00B87AEF" w:rsidRPr="00805BD1">
        <w:t xml:space="preserve">ervice providers’ requirements </w:t>
      </w:r>
      <w:r w:rsidR="002C432F">
        <w:t xml:space="preserve">historically </w:t>
      </w:r>
      <w:r w:rsidR="00B87AEF" w:rsidRPr="00805BD1">
        <w:t>are not automatically waived or modified</w:t>
      </w:r>
      <w:r w:rsidR="00AB13B2">
        <w:t xml:space="preserve"> o</w:t>
      </w:r>
      <w:r w:rsidR="00AB13B2" w:rsidRPr="00805BD1">
        <w:t xml:space="preserve">nce </w:t>
      </w:r>
      <w:r w:rsidR="00AB13B2">
        <w:t>a</w:t>
      </w:r>
      <w:r w:rsidR="002A6163">
        <w:t xml:space="preserve"> §1</w:t>
      </w:r>
      <w:r w:rsidR="00AB13B2" w:rsidRPr="00805BD1">
        <w:t xml:space="preserve">135 waiver has been </w:t>
      </w:r>
      <w:r w:rsidR="00AB13B2" w:rsidRPr="0045093A">
        <w:t>authorized</w:t>
      </w:r>
      <w:r w:rsidR="00F03C48">
        <w:rPr>
          <w:rStyle w:val="FootnoteReference"/>
        </w:rPr>
        <w:footnoteReference w:id="14"/>
      </w:r>
      <w:r w:rsidR="00972FAF">
        <w:t xml:space="preserve">; however, as </w:t>
      </w:r>
      <w:r w:rsidR="00883B10">
        <w:t>will be discussed later,</w:t>
      </w:r>
      <w:r w:rsidR="00F03C48">
        <w:t xml:space="preserve"> during the COVID-19 pandemic, CMS issued some blanket §1135 waivers</w:t>
      </w:r>
      <w:r w:rsidR="00B87AEF" w:rsidRPr="0045093A">
        <w:t>.</w:t>
      </w:r>
      <w:r w:rsidR="00B87AEF" w:rsidRPr="00805BD1">
        <w:t xml:space="preserve"> CMS implements the waiver by determining on a case-by-case basis whether and the extent to which sufficient grounds exist for waiving requirements with respect to a particular provider, a group or class of providers, or a geographic area.</w:t>
      </w:r>
      <w:r w:rsidR="00B87AEF">
        <w:rPr>
          <w:rStyle w:val="FootnoteReference"/>
          <w:rFonts w:ascii="Calibri" w:eastAsia="Times New Roman" w:hAnsi="Calibri" w:cs="Arial"/>
        </w:rPr>
        <w:footnoteReference w:id="15"/>
      </w:r>
      <w:r w:rsidR="00B87AEF">
        <w:t xml:space="preserve"> </w:t>
      </w:r>
      <w:r w:rsidR="00B87AEF" w:rsidRPr="00805BD1">
        <w:t xml:space="preserve">Providers can submit requests to operate under the waiver authority to regional CMS offices and to CMS for other relief beyond the scope of discretion granted to CMS regional offices and state survey </w:t>
      </w:r>
      <w:r w:rsidR="00B87AEF" w:rsidRPr="00805BD1">
        <w:lastRenderedPageBreak/>
        <w:t>agencies.</w:t>
      </w:r>
      <w:r w:rsidR="00BD0528">
        <w:rPr>
          <w:rStyle w:val="FootnoteReference"/>
        </w:rPr>
        <w:footnoteReference w:id="16"/>
      </w:r>
      <w:r w:rsidR="00B87AEF" w:rsidRPr="00805BD1">
        <w:t xml:space="preserve"> CMS reviews specific </w:t>
      </w:r>
      <w:r w:rsidR="0041370B">
        <w:t>§</w:t>
      </w:r>
      <w:r w:rsidR="00B87AEF" w:rsidRPr="00805BD1">
        <w:t>1135 waiver requests with a cross-regional waiver validation team.</w:t>
      </w:r>
      <w:r w:rsidR="00FD39B1">
        <w:rPr>
          <w:rStyle w:val="FootnoteReference"/>
        </w:rPr>
        <w:footnoteReference w:id="17"/>
      </w:r>
      <w:r w:rsidR="00B87AEF" w:rsidRPr="00805BD1">
        <w:t xml:space="preserve"> </w:t>
      </w:r>
      <w:r w:rsidR="00B87AEF" w:rsidRPr="00B17F44">
        <w:t>Absent a waiver, other SSA provisions and CMS regulations can provide flexibility to providers during emergencies.</w:t>
      </w:r>
      <w:r w:rsidR="00B87AEF" w:rsidRPr="00B17F44">
        <w:rPr>
          <w:rStyle w:val="FootnoteReference"/>
          <w:rFonts w:ascii="Calibri" w:eastAsia="Times New Roman" w:hAnsi="Calibri" w:cs="Arial"/>
          <w:bdr w:val="none" w:sz="0" w:space="0" w:color="auto" w:frame="1"/>
        </w:rPr>
        <w:footnoteReference w:id="18"/>
      </w:r>
    </w:p>
    <w:p w14:paraId="3698289E" w14:textId="4241D058" w:rsidR="00883B10" w:rsidRDefault="00883B10" w:rsidP="00935A5D">
      <w:pPr>
        <w:pStyle w:val="Norm15"/>
      </w:pPr>
    </w:p>
    <w:p w14:paraId="71E29B27" w14:textId="45B3EF7A" w:rsidR="00883B10" w:rsidRDefault="00883B10" w:rsidP="00935A5D">
      <w:pPr>
        <w:pStyle w:val="Norm15"/>
        <w:rPr>
          <w:bdr w:val="none" w:sz="0" w:space="0" w:color="auto" w:frame="1"/>
        </w:rPr>
      </w:pPr>
      <w:r>
        <w:rPr>
          <w:bdr w:val="none" w:sz="0" w:space="0" w:color="auto" w:frame="1"/>
        </w:rPr>
        <w:t xml:space="preserve">During the COVID-19 pandemic, CMS did </w:t>
      </w:r>
      <w:r w:rsidR="006C5F91">
        <w:rPr>
          <w:bdr w:val="none" w:sz="0" w:space="0" w:color="auto" w:frame="1"/>
        </w:rPr>
        <w:t xml:space="preserve">issue blanket §1135 waivers </w:t>
      </w:r>
      <w:r w:rsidR="00623491">
        <w:rPr>
          <w:bdr w:val="none" w:sz="0" w:space="0" w:color="auto" w:frame="1"/>
        </w:rPr>
        <w:t xml:space="preserve">that did not require prior notification or application to a CMS regional office </w:t>
      </w:r>
      <w:r w:rsidR="00F006E2">
        <w:rPr>
          <w:bdr w:val="none" w:sz="0" w:space="0" w:color="auto" w:frame="1"/>
        </w:rPr>
        <w:t>to request use of the waiver.</w:t>
      </w:r>
      <w:r w:rsidR="00F006E2">
        <w:rPr>
          <w:rStyle w:val="FootnoteReference"/>
          <w:bdr w:val="none" w:sz="0" w:space="0" w:color="auto" w:frame="1"/>
        </w:rPr>
        <w:footnoteReference w:id="19"/>
      </w:r>
      <w:r w:rsidR="00EC0C73">
        <w:rPr>
          <w:bdr w:val="none" w:sz="0" w:space="0" w:color="auto" w:frame="1"/>
        </w:rPr>
        <w:t xml:space="preserve"> </w:t>
      </w:r>
      <w:r w:rsidR="00D40478">
        <w:rPr>
          <w:bdr w:val="none" w:sz="0" w:space="0" w:color="auto" w:frame="1"/>
        </w:rPr>
        <w:t xml:space="preserve">CMS began issuing </w:t>
      </w:r>
      <w:r w:rsidR="00701D0F">
        <w:rPr>
          <w:bdr w:val="none" w:sz="0" w:space="0" w:color="auto" w:frame="1"/>
        </w:rPr>
        <w:t xml:space="preserve">blanket </w:t>
      </w:r>
      <w:r w:rsidR="00701D0F" w:rsidRPr="00701D0F">
        <w:rPr>
          <w:bdr w:val="none" w:sz="0" w:space="0" w:color="auto" w:frame="1"/>
        </w:rPr>
        <w:t xml:space="preserve">waivers </w:t>
      </w:r>
      <w:r w:rsidR="007B01AB">
        <w:rPr>
          <w:bdr w:val="none" w:sz="0" w:space="0" w:color="auto" w:frame="1"/>
        </w:rPr>
        <w:t>in mid-March 2</w:t>
      </w:r>
      <w:r w:rsidR="00701D0F">
        <w:rPr>
          <w:bdr w:val="none" w:sz="0" w:space="0" w:color="auto" w:frame="1"/>
        </w:rPr>
        <w:t>020</w:t>
      </w:r>
      <w:r w:rsidR="007B01AB">
        <w:rPr>
          <w:bdr w:val="none" w:sz="0" w:space="0" w:color="auto" w:frame="1"/>
        </w:rPr>
        <w:t xml:space="preserve">, which </w:t>
      </w:r>
      <w:r w:rsidR="00701D0F">
        <w:rPr>
          <w:bdr w:val="none" w:sz="0" w:space="0" w:color="auto" w:frame="1"/>
        </w:rPr>
        <w:t xml:space="preserve">were made </w:t>
      </w:r>
      <w:r w:rsidR="00701D0F" w:rsidRPr="00701D0F">
        <w:rPr>
          <w:bdr w:val="none" w:sz="0" w:space="0" w:color="auto" w:frame="1"/>
        </w:rPr>
        <w:t xml:space="preserve">retroactive </w:t>
      </w:r>
      <w:r w:rsidR="009F44E4">
        <w:rPr>
          <w:bdr w:val="none" w:sz="0" w:space="0" w:color="auto" w:frame="1"/>
        </w:rPr>
        <w:t xml:space="preserve">to </w:t>
      </w:r>
      <w:r w:rsidR="00701D0F" w:rsidRPr="00701D0F">
        <w:rPr>
          <w:bdr w:val="none" w:sz="0" w:space="0" w:color="auto" w:frame="1"/>
        </w:rPr>
        <w:t>March 1, 2020 through the end of the emergency declaration</w:t>
      </w:r>
      <w:r w:rsidR="007B01AB">
        <w:rPr>
          <w:bdr w:val="none" w:sz="0" w:space="0" w:color="auto" w:frame="1"/>
        </w:rPr>
        <w:t xml:space="preserve">; CMS </w:t>
      </w:r>
      <w:r w:rsidR="000569D9">
        <w:rPr>
          <w:bdr w:val="none" w:sz="0" w:space="0" w:color="auto" w:frame="1"/>
        </w:rPr>
        <w:t xml:space="preserve">has </w:t>
      </w:r>
      <w:r w:rsidR="007B01AB">
        <w:rPr>
          <w:bdr w:val="none" w:sz="0" w:space="0" w:color="auto" w:frame="1"/>
        </w:rPr>
        <w:t xml:space="preserve">continued to issue updated </w:t>
      </w:r>
      <w:r w:rsidR="000569D9">
        <w:rPr>
          <w:bdr w:val="none" w:sz="0" w:space="0" w:color="auto" w:frame="1"/>
        </w:rPr>
        <w:t>blanket waiver documents throughout the COVID-19 pandemic</w:t>
      </w:r>
      <w:r w:rsidR="009F44E4">
        <w:rPr>
          <w:bdr w:val="none" w:sz="0" w:space="0" w:color="auto" w:frame="1"/>
        </w:rPr>
        <w:t>.</w:t>
      </w:r>
      <w:r w:rsidR="009F44E4">
        <w:rPr>
          <w:rStyle w:val="FootnoteReference"/>
          <w:bdr w:val="none" w:sz="0" w:space="0" w:color="auto" w:frame="1"/>
        </w:rPr>
        <w:footnoteReference w:id="20"/>
      </w:r>
      <w:r w:rsidR="001A5FF5">
        <w:rPr>
          <w:bdr w:val="none" w:sz="0" w:space="0" w:color="auto" w:frame="1"/>
        </w:rPr>
        <w:t xml:space="preserve"> </w:t>
      </w:r>
    </w:p>
    <w:p w14:paraId="1A249FDF" w14:textId="77777777" w:rsidR="005073DE" w:rsidRDefault="005073DE" w:rsidP="00935A5D">
      <w:pPr>
        <w:pStyle w:val="Norm15"/>
      </w:pPr>
    </w:p>
    <w:p w14:paraId="70D1745F" w14:textId="77EBA8EA" w:rsidR="009C5E00" w:rsidRPr="00935A5D" w:rsidRDefault="003B62AD" w:rsidP="00935A5D">
      <w:pPr>
        <w:pStyle w:val="Norm15"/>
        <w:rPr>
          <w:b/>
          <w:bCs/>
          <w:bdr w:val="none" w:sz="0" w:space="0" w:color="auto" w:frame="1"/>
        </w:rPr>
      </w:pPr>
      <w:r w:rsidRPr="00935A5D">
        <w:rPr>
          <w:b/>
          <w:bCs/>
          <w:sz w:val="24"/>
          <w:szCs w:val="24"/>
          <w:bdr w:val="none" w:sz="0" w:space="0" w:color="auto" w:frame="1"/>
        </w:rPr>
        <w:t>Requirements Eligible for Waiver</w:t>
      </w:r>
    </w:p>
    <w:p w14:paraId="6329FD83" w14:textId="7AB79FA1" w:rsidR="00342AD4" w:rsidRPr="00805BD1" w:rsidRDefault="00342AD4" w:rsidP="00F839CF">
      <w:pPr>
        <w:pStyle w:val="Norm15"/>
        <w:spacing w:after="120"/>
      </w:pPr>
      <w:r w:rsidRPr="002C432F">
        <w:t>Under</w:t>
      </w:r>
      <w:r w:rsidRPr="00805BD1">
        <w:t xml:space="preserve"> SSA </w:t>
      </w:r>
      <w:r w:rsidR="002111DB">
        <w:t>§</w:t>
      </w:r>
      <w:r w:rsidRPr="00805BD1">
        <w:t xml:space="preserve">1135, the </w:t>
      </w:r>
      <w:r w:rsidR="006E0551">
        <w:t xml:space="preserve">HHS </w:t>
      </w:r>
      <w:r w:rsidR="002111DB">
        <w:t>s</w:t>
      </w:r>
      <w:r w:rsidRPr="00805BD1">
        <w:t xml:space="preserve">ecretary can waive or modify specific </w:t>
      </w:r>
      <w:r w:rsidR="0072006F">
        <w:t>statutory or regulatory r</w:t>
      </w:r>
      <w:r w:rsidRPr="00805BD1">
        <w:t>equirements to m</w:t>
      </w:r>
      <w:r w:rsidR="00ED2A03">
        <w:t>eet</w:t>
      </w:r>
      <w:r w:rsidRPr="00805BD1">
        <w:t xml:space="preserve"> the </w:t>
      </w:r>
      <w:r w:rsidR="00D85D18" w:rsidRPr="00805BD1">
        <w:t>needs</w:t>
      </w:r>
      <w:r w:rsidRPr="00805BD1">
        <w:t xml:space="preserve"> of the emergency event and service providers.</w:t>
      </w:r>
      <w:r w:rsidR="0072006F">
        <w:rPr>
          <w:rStyle w:val="FootnoteReference"/>
        </w:rPr>
        <w:footnoteReference w:id="21"/>
      </w:r>
      <w:r w:rsidR="00393BE8">
        <w:t xml:space="preserve"> Specifically, </w:t>
      </w:r>
      <w:r w:rsidR="002111DB">
        <w:t>§</w:t>
      </w:r>
      <w:r w:rsidRPr="00805BD1">
        <w:t>1135 allows the secretary to waive or modify the following reimbursement requirements:</w:t>
      </w:r>
    </w:p>
    <w:p w14:paraId="25EF3B97" w14:textId="77777777" w:rsidR="00BA7E83" w:rsidRDefault="00342AD4" w:rsidP="00F839CF">
      <w:pPr>
        <w:pStyle w:val="Norm15"/>
        <w:numPr>
          <w:ilvl w:val="0"/>
          <w:numId w:val="6"/>
        </w:numPr>
        <w:spacing w:after="120"/>
      </w:pPr>
      <w:r w:rsidRPr="00E27D7D">
        <w:rPr>
          <w:b/>
          <w:bCs/>
          <w:bdr w:val="none" w:sz="0" w:space="0" w:color="auto" w:frame="1"/>
        </w:rPr>
        <w:lastRenderedPageBreak/>
        <w:t>Conditions of Participation and Preapproval—</w:t>
      </w:r>
      <w:r w:rsidRPr="00E27D7D">
        <w:t>Conditions of participation or other certification requirements, program participation and similar requirements for providers, and preapproval requirements for service providers and items.</w:t>
      </w:r>
      <w:r w:rsidR="006D674E">
        <w:rPr>
          <w:rStyle w:val="FootnoteReference"/>
        </w:rPr>
        <w:footnoteReference w:id="22"/>
      </w:r>
    </w:p>
    <w:p w14:paraId="1315015B" w14:textId="77777777" w:rsidR="004A6D72" w:rsidRDefault="00342AD4" w:rsidP="00F839CF">
      <w:pPr>
        <w:pStyle w:val="Norm15"/>
        <w:numPr>
          <w:ilvl w:val="0"/>
          <w:numId w:val="6"/>
        </w:numPr>
        <w:spacing w:after="120"/>
      </w:pPr>
      <w:r w:rsidRPr="00BA7E83">
        <w:rPr>
          <w:b/>
          <w:bCs/>
          <w:bdr w:val="none" w:sz="0" w:space="0" w:color="auto" w:frame="1"/>
        </w:rPr>
        <w:t>Licensure Requirements—</w:t>
      </w:r>
      <w:r w:rsidRPr="00E27D7D">
        <w:t>Reimbursement requirements that physicians and other healthcare professionals be licensed in the state in which they are providing services are waived if they have a license from another state and have not been barred from practice in that state or any state in the emergency area. This does not affect state licensure requirements.</w:t>
      </w:r>
      <w:r w:rsidR="00BA7E83">
        <w:rPr>
          <w:rStyle w:val="FootnoteReference"/>
        </w:rPr>
        <w:footnoteReference w:id="23"/>
      </w:r>
    </w:p>
    <w:p w14:paraId="54D2415C" w14:textId="77777777" w:rsidR="0001736E" w:rsidRDefault="00342AD4" w:rsidP="00F839CF">
      <w:pPr>
        <w:pStyle w:val="Norm15"/>
        <w:numPr>
          <w:ilvl w:val="0"/>
          <w:numId w:val="6"/>
        </w:numPr>
        <w:spacing w:after="120"/>
      </w:pPr>
      <w:r w:rsidRPr="004A6D72">
        <w:rPr>
          <w:b/>
          <w:bCs/>
          <w:bdr w:val="none" w:sz="0" w:space="0" w:color="auto" w:frame="1"/>
        </w:rPr>
        <w:t>EMTALA—</w:t>
      </w:r>
      <w:r w:rsidRPr="00E27D7D">
        <w:t>Sanctions under the Emergency Medical Treatment and Active Labor Act (EMTALA) for transfer of an individual who has not been stabilized if the transfer arises out of an emergency or redirection to another location to receive a medical screening exam under a state emergency preparedness or pandemic plan.</w:t>
      </w:r>
      <w:r w:rsidR="00A052FA">
        <w:rPr>
          <w:rStyle w:val="FootnoteReference"/>
        </w:rPr>
        <w:footnoteReference w:id="24"/>
      </w:r>
      <w:r w:rsidRPr="00E27D7D">
        <w:t xml:space="preserve"> A waiver of EMTALA sanctions is effective only if actions under the waiver do not discriminate as to source of payment or ability to pay.</w:t>
      </w:r>
      <w:r w:rsidR="00722F36">
        <w:rPr>
          <w:rStyle w:val="FootnoteReference"/>
        </w:rPr>
        <w:footnoteReference w:id="25"/>
      </w:r>
    </w:p>
    <w:p w14:paraId="4F149D79" w14:textId="414CAF9A" w:rsidR="00FA3196" w:rsidRDefault="00342AD4" w:rsidP="00F839CF">
      <w:pPr>
        <w:pStyle w:val="Norm15"/>
        <w:numPr>
          <w:ilvl w:val="0"/>
          <w:numId w:val="6"/>
        </w:numPr>
        <w:spacing w:after="120"/>
      </w:pPr>
      <w:r w:rsidRPr="0001736E">
        <w:rPr>
          <w:b/>
          <w:bCs/>
          <w:bdr w:val="none" w:sz="0" w:space="0" w:color="auto" w:frame="1"/>
        </w:rPr>
        <w:t>Physician Self-</w:t>
      </w:r>
      <w:r w:rsidR="008C16DA">
        <w:rPr>
          <w:b/>
          <w:bCs/>
          <w:bdr w:val="none" w:sz="0" w:space="0" w:color="auto" w:frame="1"/>
        </w:rPr>
        <w:t>r</w:t>
      </w:r>
      <w:r w:rsidRPr="0001736E">
        <w:rPr>
          <w:b/>
          <w:bCs/>
          <w:bdr w:val="none" w:sz="0" w:space="0" w:color="auto" w:frame="1"/>
        </w:rPr>
        <w:t>eferral—</w:t>
      </w:r>
      <w:r w:rsidRPr="00E27D7D">
        <w:t>Sanctions related to self-referral prohibitions, which could apply when a physician refers a patient for services to a provider in which the physician has a financial interest.</w:t>
      </w:r>
      <w:r w:rsidR="002E62F1">
        <w:rPr>
          <w:rStyle w:val="FootnoteReference"/>
        </w:rPr>
        <w:footnoteReference w:id="26"/>
      </w:r>
    </w:p>
    <w:p w14:paraId="172B0D38" w14:textId="77777777" w:rsidR="00FA3196" w:rsidRDefault="00342AD4" w:rsidP="00F839CF">
      <w:pPr>
        <w:pStyle w:val="Norm15"/>
        <w:numPr>
          <w:ilvl w:val="0"/>
          <w:numId w:val="6"/>
        </w:numPr>
        <w:spacing w:after="120"/>
      </w:pPr>
      <w:r w:rsidRPr="00FA3196">
        <w:rPr>
          <w:b/>
          <w:bCs/>
          <w:bdr w:val="none" w:sz="0" w:space="0" w:color="auto" w:frame="1"/>
        </w:rPr>
        <w:t>Time for Performance—</w:t>
      </w:r>
      <w:r w:rsidRPr="00E27D7D">
        <w:t>Deadlines and timetables for performance of required activities to be modified but not waived.</w:t>
      </w:r>
      <w:r w:rsidR="00FA3196">
        <w:rPr>
          <w:rStyle w:val="FootnoteReference"/>
        </w:rPr>
        <w:footnoteReference w:id="27"/>
      </w:r>
    </w:p>
    <w:p w14:paraId="4F5AF3AB" w14:textId="2041E377" w:rsidR="00A752FE" w:rsidRDefault="00342AD4" w:rsidP="00F839CF">
      <w:pPr>
        <w:pStyle w:val="Norm15"/>
        <w:numPr>
          <w:ilvl w:val="0"/>
          <w:numId w:val="6"/>
        </w:numPr>
        <w:spacing w:after="120"/>
      </w:pPr>
      <w:r w:rsidRPr="00FA3196">
        <w:rPr>
          <w:b/>
          <w:bCs/>
          <w:bdr w:val="none" w:sz="0" w:space="0" w:color="auto" w:frame="1"/>
        </w:rPr>
        <w:t>Out-of-</w:t>
      </w:r>
      <w:r w:rsidR="008E16BB">
        <w:rPr>
          <w:b/>
          <w:bCs/>
          <w:bdr w:val="none" w:sz="0" w:space="0" w:color="auto" w:frame="1"/>
        </w:rPr>
        <w:t>n</w:t>
      </w:r>
      <w:r w:rsidRPr="00FA3196">
        <w:rPr>
          <w:b/>
          <w:bCs/>
          <w:bdr w:val="none" w:sz="0" w:space="0" w:color="auto" w:frame="1"/>
        </w:rPr>
        <w:t>etwork Payments—</w:t>
      </w:r>
      <w:r w:rsidRPr="00E27D7D">
        <w:t>Limitations on payments to permit Medicare+Choice enrollees to use out-of-network providers in an emergency situation.</w:t>
      </w:r>
      <w:r w:rsidR="00FA3196">
        <w:rPr>
          <w:rStyle w:val="FootnoteReference"/>
        </w:rPr>
        <w:footnoteReference w:id="28"/>
      </w:r>
    </w:p>
    <w:p w14:paraId="6038BF97" w14:textId="0259C950" w:rsidR="00342AD4" w:rsidRPr="000939D6" w:rsidRDefault="00342AD4" w:rsidP="00935A5D">
      <w:pPr>
        <w:pStyle w:val="Norm15"/>
        <w:numPr>
          <w:ilvl w:val="0"/>
          <w:numId w:val="6"/>
        </w:numPr>
      </w:pPr>
      <w:r w:rsidRPr="00A752FE">
        <w:rPr>
          <w:b/>
          <w:bCs/>
          <w:bdr w:val="none" w:sz="0" w:space="0" w:color="auto" w:frame="1"/>
        </w:rPr>
        <w:t>HIPAA—</w:t>
      </w:r>
      <w:r w:rsidRPr="00E27D7D">
        <w:t xml:space="preserve">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w:t>
      </w:r>
      <w:r w:rsidRPr="00E27D7D">
        <w:lastRenderedPageBreak/>
        <w:t>to request confidential communications.</w:t>
      </w:r>
      <w:r w:rsidR="00322123">
        <w:rPr>
          <w:rStyle w:val="FootnoteReference"/>
        </w:rPr>
        <w:footnoteReference w:id="29"/>
      </w:r>
      <w:r w:rsidRPr="00E27D7D">
        <w:t xml:space="preserve"> The waiver is effective only if actions under the waiver do </w:t>
      </w:r>
      <w:r w:rsidRPr="000939D6">
        <w:t>not discriminate as to source of payment or ability to pay.</w:t>
      </w:r>
      <w:r w:rsidR="003805E4">
        <w:rPr>
          <w:rStyle w:val="FootnoteReference"/>
        </w:rPr>
        <w:footnoteReference w:id="30"/>
      </w:r>
    </w:p>
    <w:p w14:paraId="07CDA26C" w14:textId="76DCCF5D" w:rsidR="00342AD4" w:rsidRDefault="00342AD4" w:rsidP="00935A5D">
      <w:pPr>
        <w:pStyle w:val="Norm15"/>
        <w:rPr>
          <w:bdr w:val="none" w:sz="0" w:space="0" w:color="auto" w:frame="1"/>
        </w:rPr>
      </w:pPr>
    </w:p>
    <w:p w14:paraId="0F9697F1" w14:textId="77777777" w:rsidR="00C910D3" w:rsidRPr="00935A5D" w:rsidRDefault="00C910D3" w:rsidP="00935A5D">
      <w:pPr>
        <w:pStyle w:val="Norm15"/>
        <w:rPr>
          <w:b/>
          <w:bCs/>
          <w:sz w:val="24"/>
          <w:szCs w:val="24"/>
        </w:rPr>
      </w:pPr>
      <w:r w:rsidRPr="00935A5D">
        <w:rPr>
          <w:b/>
          <w:bCs/>
          <w:sz w:val="24"/>
          <w:szCs w:val="24"/>
        </w:rPr>
        <w:t>Immunity and Liability Issues</w:t>
      </w:r>
    </w:p>
    <w:p w14:paraId="1F4FC0C9" w14:textId="6242D8F0" w:rsidR="00C910D3" w:rsidRDefault="00C910D3" w:rsidP="00935A5D">
      <w:pPr>
        <w:pStyle w:val="Norm15"/>
      </w:pPr>
      <w:r w:rsidRPr="00805BD1">
        <w:t>S</w:t>
      </w:r>
      <w:r w:rsidR="002E08A4">
        <w:t xml:space="preserve">SA </w:t>
      </w:r>
      <w:r w:rsidR="00A1329E">
        <w:t>§1</w:t>
      </w:r>
      <w:r w:rsidRPr="00805BD1">
        <w:t xml:space="preserve">135 does not provide immunity from liability. Section 1135 provides for waivers and modifications of certain SSA program requirements, which are limited in time and geographic scope during an emergency event declared by the HHS </w:t>
      </w:r>
      <w:r w:rsidR="00557A75">
        <w:t>s</w:t>
      </w:r>
      <w:r w:rsidR="00557A75" w:rsidRPr="00805BD1">
        <w:t>ecretary</w:t>
      </w:r>
      <w:r w:rsidRPr="00805BD1">
        <w:t xml:space="preserve"> and the president.</w:t>
      </w:r>
      <w:r w:rsidR="00E427FD">
        <w:rPr>
          <w:rStyle w:val="FootnoteReference"/>
        </w:rPr>
        <w:footnoteReference w:id="31"/>
      </w:r>
      <w:r w:rsidRPr="00805BD1">
        <w:t xml:space="preserve"> Section 1135 waivers are intended to temporarily reduce administrative burdens and increase flexibility </w:t>
      </w:r>
      <w:r w:rsidR="00A9199C">
        <w:t xml:space="preserve">for </w:t>
      </w:r>
      <w:r w:rsidRPr="00805BD1">
        <w:t xml:space="preserve">service providers during a declared emergency with the goal of promoting greater access to care by individuals affected by the </w:t>
      </w:r>
      <w:r w:rsidRPr="00EC21AD">
        <w:t>emergency.</w:t>
      </w:r>
      <w:r>
        <w:rPr>
          <w:rStyle w:val="FootnoteReference"/>
          <w:rFonts w:ascii="Calibri" w:eastAsia="Times New Roman" w:hAnsi="Calibri" w:cs="Arial"/>
        </w:rPr>
        <w:footnoteReference w:id="32"/>
      </w:r>
    </w:p>
    <w:p w14:paraId="51A39664" w14:textId="77777777" w:rsidR="00C910D3" w:rsidRPr="000939D6" w:rsidRDefault="00C910D3" w:rsidP="00935A5D">
      <w:pPr>
        <w:pStyle w:val="Norm15"/>
      </w:pPr>
    </w:p>
    <w:p w14:paraId="0BCD5D16" w14:textId="5600F5DA" w:rsidR="00C910D3" w:rsidRPr="00935A5D" w:rsidRDefault="00FC1EA7" w:rsidP="00405398">
      <w:pPr>
        <w:pStyle w:val="Norm15"/>
        <w:keepNext/>
        <w:keepLines/>
        <w:rPr>
          <w:b/>
          <w:bCs/>
        </w:rPr>
      </w:pPr>
      <w:r w:rsidRPr="00935A5D">
        <w:rPr>
          <w:b/>
          <w:bCs/>
          <w:sz w:val="24"/>
          <w:szCs w:val="24"/>
        </w:rPr>
        <w:t>Effect</w:t>
      </w:r>
      <w:r w:rsidR="00AB0B4D" w:rsidRPr="00935A5D">
        <w:rPr>
          <w:b/>
          <w:bCs/>
          <w:sz w:val="24"/>
          <w:szCs w:val="24"/>
        </w:rPr>
        <w:t xml:space="preserve"> on STLT Law</w:t>
      </w:r>
    </w:p>
    <w:p w14:paraId="4415183A" w14:textId="2C0ACAA5" w:rsidR="007D18EA" w:rsidRPr="00805BD1" w:rsidRDefault="007D18EA" w:rsidP="00935A5D">
      <w:pPr>
        <w:pStyle w:val="Norm15"/>
      </w:pPr>
      <w:r w:rsidRPr="00805BD1">
        <w:t xml:space="preserve">Section 1135 affects the operation and compliance requirements of healthcare providers in </w:t>
      </w:r>
      <w:r>
        <w:t>jurisdictions</w:t>
      </w:r>
      <w:r w:rsidRPr="00805BD1">
        <w:t xml:space="preserve"> that are included within the time and location of emergencies as identified in the</w:t>
      </w:r>
      <w:r w:rsidR="00A4650D">
        <w:t xml:space="preserve"> §</w:t>
      </w:r>
      <w:r w:rsidRPr="00805BD1">
        <w:t>1135 waiver declaration.</w:t>
      </w:r>
      <w:r>
        <w:rPr>
          <w:rStyle w:val="FootnoteReference"/>
        </w:rPr>
        <w:footnoteReference w:id="33"/>
      </w:r>
      <w:r w:rsidRPr="00805BD1">
        <w:t xml:space="preserve"> </w:t>
      </w:r>
      <w:r w:rsidR="004A0229">
        <w:t>STLT</w:t>
      </w:r>
      <w:r w:rsidR="00FD3D27">
        <w:t xml:space="preserve"> governments</w:t>
      </w:r>
      <w:r w:rsidRPr="00805BD1">
        <w:t xml:space="preserve"> can figure prominently in requesting a waiver</w:t>
      </w:r>
      <w:r w:rsidR="00A4650D">
        <w:t>—</w:t>
      </w:r>
      <w:r w:rsidRPr="00805BD1">
        <w:t>though such request</w:t>
      </w:r>
      <w:r w:rsidR="00FD3D27">
        <w:t>s are</w:t>
      </w:r>
      <w:r w:rsidRPr="00805BD1">
        <w:t xml:space="preserve"> not required by law</w:t>
      </w:r>
      <w:r w:rsidR="00A4650D">
        <w:t>—</w:t>
      </w:r>
      <w:r w:rsidRPr="00805BD1">
        <w:t xml:space="preserve">by working with regional HHS and CMS offices to support requests for </w:t>
      </w:r>
      <w:r w:rsidR="00FD3D27">
        <w:t>s</w:t>
      </w:r>
      <w:r w:rsidR="00A4650D">
        <w:t>§</w:t>
      </w:r>
      <w:r w:rsidRPr="00805BD1">
        <w:t>1135 waivers and supporting healthcare providers’ requests to operate under a waiver.</w:t>
      </w:r>
    </w:p>
    <w:p w14:paraId="5A853A29" w14:textId="77777777" w:rsidR="007D18EA" w:rsidRDefault="007D18EA" w:rsidP="00935A5D">
      <w:pPr>
        <w:pStyle w:val="Norm15"/>
      </w:pPr>
    </w:p>
    <w:p w14:paraId="6078D7E7" w14:textId="47730784" w:rsidR="00C910D3" w:rsidRDefault="006D4FBE" w:rsidP="00935A5D">
      <w:pPr>
        <w:pStyle w:val="Norm15"/>
      </w:pPr>
      <w:r>
        <w:t>As listed above, o</w:t>
      </w:r>
      <w:r w:rsidR="00C910D3" w:rsidRPr="00805BD1">
        <w:t xml:space="preserve">nly certain federal requirements relating to Medicare, Medicaid, SCHIP, and HIPAA may be waived or modified under </w:t>
      </w:r>
      <w:r w:rsidR="00A4650D">
        <w:t>§</w:t>
      </w:r>
      <w:r w:rsidR="00C910D3" w:rsidRPr="00805BD1">
        <w:t xml:space="preserve">1135. </w:t>
      </w:r>
      <w:r>
        <w:t>However, a</w:t>
      </w:r>
      <w:r w:rsidR="00C910D3" w:rsidRPr="00805BD1">
        <w:t xml:space="preserve"> waiver does not affect state laws or regulations, including those for licensure</w:t>
      </w:r>
      <w:r w:rsidR="00AF53A5">
        <w:t>, unless the state also waives the requirements</w:t>
      </w:r>
      <w:r w:rsidR="00C910D3" w:rsidRPr="00805BD1">
        <w:t>.</w:t>
      </w:r>
      <w:r w:rsidR="00C910D3">
        <w:rPr>
          <w:rStyle w:val="FootnoteReference"/>
          <w:rFonts w:ascii="Calibri" w:eastAsia="Times New Roman" w:hAnsi="Calibri" w:cs="Arial"/>
          <w:bdr w:val="none" w:sz="0" w:space="0" w:color="auto" w:frame="1"/>
        </w:rPr>
        <w:footnoteReference w:id="34"/>
      </w:r>
      <w:r w:rsidR="00C910D3">
        <w:rPr>
          <w:bdr w:val="none" w:sz="0" w:space="0" w:color="auto" w:frame="1"/>
          <w:vertAlign w:val="superscript"/>
        </w:rPr>
        <w:t xml:space="preserve"> </w:t>
      </w:r>
      <w:r w:rsidR="00C910D3" w:rsidRPr="00805BD1">
        <w:t xml:space="preserve">The </w:t>
      </w:r>
      <w:r w:rsidR="00A4650D">
        <w:t>§</w:t>
      </w:r>
      <w:r w:rsidR="00C910D3" w:rsidRPr="00805BD1">
        <w:t xml:space="preserve">1135 licensure requirement waiver is only for reimbursement under Medicare, Medicaid, and SCHIP; state law governs </w:t>
      </w:r>
      <w:r w:rsidR="00C910D3" w:rsidRPr="00805BD1">
        <w:lastRenderedPageBreak/>
        <w:t>whether a non-federal provider is allowed to provide services in the state without licensure in that state.</w:t>
      </w:r>
      <w:r w:rsidR="002C0DD7">
        <w:rPr>
          <w:rStyle w:val="FootnoteReference"/>
        </w:rPr>
        <w:footnoteReference w:id="35"/>
      </w:r>
    </w:p>
    <w:p w14:paraId="16FF9AA1" w14:textId="77777777" w:rsidR="00C910D3" w:rsidRDefault="00C910D3" w:rsidP="00935A5D">
      <w:pPr>
        <w:pStyle w:val="Norm15"/>
      </w:pPr>
    </w:p>
    <w:p w14:paraId="412EF6DB" w14:textId="13333A3E" w:rsidR="00E27D7D" w:rsidRPr="00935A5D" w:rsidRDefault="00805BD1" w:rsidP="00935A5D">
      <w:pPr>
        <w:pStyle w:val="Norm15"/>
        <w:rPr>
          <w:b/>
          <w:bCs/>
        </w:rPr>
      </w:pPr>
      <w:r w:rsidRPr="00935A5D">
        <w:rPr>
          <w:b/>
          <w:bCs/>
          <w:sz w:val="24"/>
          <w:szCs w:val="24"/>
        </w:rPr>
        <w:t>Waiver Duration</w:t>
      </w:r>
    </w:p>
    <w:p w14:paraId="05AC1447" w14:textId="0690A8A1" w:rsidR="00E27D7D" w:rsidRDefault="00805BD1" w:rsidP="00935A5D">
      <w:pPr>
        <w:pStyle w:val="Norm15"/>
      </w:pPr>
      <w:r w:rsidRPr="00805BD1">
        <w:t>Section 1135 waivers generally expire when the underlying emergency</w:t>
      </w:r>
      <w:r w:rsidR="00663CEC">
        <w:t xml:space="preserve"> or </w:t>
      </w:r>
      <w:r w:rsidRPr="00805BD1">
        <w:t>disaster declaration terminates.</w:t>
      </w:r>
      <w:r w:rsidR="00444F6B">
        <w:rPr>
          <w:rStyle w:val="FootnoteReference"/>
        </w:rPr>
        <w:footnoteReference w:id="36"/>
      </w:r>
      <w:r w:rsidRPr="00805BD1">
        <w:t xml:space="preserve"> The secretary may make a waiver retroactive to the beginning of the emergency period or any subsequent date thereafter.</w:t>
      </w:r>
      <w:r w:rsidR="00BB0C06">
        <w:rPr>
          <w:rStyle w:val="FootnoteReference"/>
        </w:rPr>
        <w:footnoteReference w:id="37"/>
      </w:r>
      <w:r w:rsidRPr="00805BD1">
        <w:t xml:space="preserve"> The secretary may further specify that the waiver terminates 60 days from publication</w:t>
      </w:r>
      <w:r w:rsidR="00CE2DBA">
        <w:t>.</w:t>
      </w:r>
      <w:r w:rsidR="00CE2DBA">
        <w:rPr>
          <w:rStyle w:val="FootnoteReference"/>
        </w:rPr>
        <w:footnoteReference w:id="38"/>
      </w:r>
      <w:r w:rsidR="00CE2DBA">
        <w:t xml:space="preserve"> The termination date </w:t>
      </w:r>
      <w:r w:rsidRPr="00805BD1">
        <w:t xml:space="preserve">may be extended provided that neither the original 60-day period nor any extension continues beyond </w:t>
      </w:r>
      <w:r w:rsidR="00B5756E">
        <w:t xml:space="preserve">the </w:t>
      </w:r>
      <w:r w:rsidRPr="00805BD1">
        <w:t>termination of the appl</w:t>
      </w:r>
      <w:r w:rsidR="009B2EF2">
        <w:t xml:space="preserve">icable </w:t>
      </w:r>
      <w:r w:rsidR="0066009C">
        <w:t xml:space="preserve">Stafford Act or NEA </w:t>
      </w:r>
      <w:r w:rsidR="001F7CD7">
        <w:t xml:space="preserve">declaration and PHSA </w:t>
      </w:r>
      <w:r w:rsidR="00EA63BD">
        <w:t>§</w:t>
      </w:r>
      <w:r w:rsidR="001F7CD7">
        <w:t xml:space="preserve">319 </w:t>
      </w:r>
      <w:r w:rsidR="00EA63BD">
        <w:t xml:space="preserve">public health emergency </w:t>
      </w:r>
      <w:r w:rsidRPr="00805BD1">
        <w:t>determination.</w:t>
      </w:r>
      <w:r w:rsidR="00633E98">
        <w:rPr>
          <w:rStyle w:val="FootnoteReference"/>
        </w:rPr>
        <w:footnoteReference w:id="39"/>
      </w:r>
      <w:r w:rsidR="00906634">
        <w:t xml:space="preserve"> It is important to n</w:t>
      </w:r>
      <w:r w:rsidR="00906634" w:rsidRPr="00BE5BF5">
        <w:t>ote</w:t>
      </w:r>
      <w:r w:rsidR="00906634">
        <w:t xml:space="preserve"> </w:t>
      </w:r>
      <w:r w:rsidR="00906634" w:rsidRPr="00BE5BF5">
        <w:t xml:space="preserve">that </w:t>
      </w:r>
      <w:r w:rsidR="00906634">
        <w:t xml:space="preserve">the HHS </w:t>
      </w:r>
      <w:r w:rsidR="00EA63BD">
        <w:t>s</w:t>
      </w:r>
      <w:r w:rsidR="00906634">
        <w:t xml:space="preserve">ecretary may determine that a waiver or modification is no longer needed to accomplish the underlying purposes of the </w:t>
      </w:r>
      <w:r w:rsidR="00607477">
        <w:t>§</w:t>
      </w:r>
      <w:r w:rsidR="00906634">
        <w:t>1135 and decide to terminate the waiver or modification before determination date originally identified.</w:t>
      </w:r>
      <w:r w:rsidR="00906634">
        <w:rPr>
          <w:rStyle w:val="FootnoteReference"/>
        </w:rPr>
        <w:footnoteReference w:id="40"/>
      </w:r>
    </w:p>
    <w:p w14:paraId="54E57188" w14:textId="77777777" w:rsidR="00E27D7D" w:rsidRDefault="00E27D7D" w:rsidP="00935A5D">
      <w:pPr>
        <w:pStyle w:val="Norm15"/>
      </w:pPr>
    </w:p>
    <w:p w14:paraId="6276A8CE" w14:textId="0ADD408C" w:rsidR="00805BD1" w:rsidRDefault="00805BD1" w:rsidP="00935A5D">
      <w:pPr>
        <w:pStyle w:val="Norm15"/>
      </w:pPr>
      <w:r w:rsidRPr="00805BD1">
        <w:t>Waivers related to the HIPAA privacy rule and non-pandemic-related waivers of EMTALA sanctions are subject to different requirements and are generally limited to a 72-hour period beginning with implementation of a hospital disaster protocol.</w:t>
      </w:r>
      <w:r w:rsidR="00530719">
        <w:rPr>
          <w:rStyle w:val="FootnoteReference"/>
          <w:rFonts w:ascii="Calibri" w:eastAsia="Times New Roman" w:hAnsi="Calibri" w:cs="Arial"/>
          <w:bdr w:val="none" w:sz="0" w:space="0" w:color="auto" w:frame="1"/>
        </w:rPr>
        <w:footnoteReference w:id="41"/>
      </w:r>
      <w:r w:rsidR="00530719">
        <w:t xml:space="preserve"> </w:t>
      </w:r>
      <w:r w:rsidRPr="00805BD1">
        <w:t xml:space="preserve">However, when a public health emergency involves a </w:t>
      </w:r>
      <w:r w:rsidRPr="00805BD1">
        <w:lastRenderedPageBreak/>
        <w:t>pandemic infectious disease, waivers of EMTALA sanctions can extend through the duration of the public health emergency.</w:t>
      </w:r>
      <w:r w:rsidR="00530719">
        <w:rPr>
          <w:rStyle w:val="FootnoteReference"/>
          <w:rFonts w:ascii="Calibri" w:eastAsia="Times New Roman" w:hAnsi="Calibri" w:cs="Arial"/>
          <w:bdr w:val="none" w:sz="0" w:space="0" w:color="auto" w:frame="1"/>
        </w:rPr>
        <w:footnoteReference w:id="42"/>
      </w:r>
    </w:p>
    <w:p w14:paraId="6501F287" w14:textId="167DE8B3" w:rsidR="004C4905" w:rsidRDefault="004C4905" w:rsidP="00935A5D">
      <w:pPr>
        <w:pStyle w:val="Norm15"/>
      </w:pPr>
    </w:p>
    <w:p w14:paraId="30DF5647" w14:textId="3806C154" w:rsidR="004C4905" w:rsidRDefault="004C4905" w:rsidP="00935A5D">
      <w:pPr>
        <w:pStyle w:val="Norm15"/>
      </w:pPr>
      <w:r w:rsidRPr="004C4905">
        <w:t xml:space="preserve">The </w:t>
      </w:r>
      <w:r w:rsidR="00347A39">
        <w:t xml:space="preserve">HHS </w:t>
      </w:r>
      <w:r w:rsidR="0063623B">
        <w:t>s</w:t>
      </w:r>
      <w:r w:rsidRPr="004C4905">
        <w:t xml:space="preserve">ecretary must </w:t>
      </w:r>
      <w:r w:rsidR="00347A39">
        <w:t xml:space="preserve">also </w:t>
      </w:r>
      <w:r w:rsidR="008D1AD5">
        <w:t xml:space="preserve">submit a </w:t>
      </w:r>
      <w:r w:rsidRPr="004C4905">
        <w:t xml:space="preserve">report to Congress within one year after the end of the </w:t>
      </w:r>
      <w:r w:rsidR="00A52CDC">
        <w:t>emergency</w:t>
      </w:r>
      <w:r w:rsidR="00894201">
        <w:t xml:space="preserve"> that</w:t>
      </w:r>
      <w:r w:rsidR="00A52CDC">
        <w:t xml:space="preserve"> </w:t>
      </w:r>
      <w:r w:rsidR="001B083C">
        <w:t>e</w:t>
      </w:r>
      <w:r w:rsidRPr="004C4905">
        <w:t>valuat</w:t>
      </w:r>
      <w:r w:rsidR="00894201">
        <w:t>es</w:t>
      </w:r>
      <w:r w:rsidRPr="004C4905">
        <w:t xml:space="preserve"> the </w:t>
      </w:r>
      <w:r w:rsidR="0063623B">
        <w:t>§</w:t>
      </w:r>
      <w:r w:rsidR="001B083C">
        <w:t xml:space="preserve">1135 </w:t>
      </w:r>
      <w:r w:rsidRPr="004C4905">
        <w:t>approaches used and mak</w:t>
      </w:r>
      <w:r w:rsidR="001B083C">
        <w:t>e</w:t>
      </w:r>
      <w:r w:rsidRPr="004C4905">
        <w:t xml:space="preserve"> recommendations for improvements.</w:t>
      </w:r>
      <w:r w:rsidR="00E47B7E">
        <w:rPr>
          <w:rStyle w:val="FootnoteReference"/>
        </w:rPr>
        <w:footnoteReference w:id="43"/>
      </w:r>
    </w:p>
    <w:p w14:paraId="127DC597" w14:textId="6D0C9A29" w:rsidR="00AE4DBA" w:rsidRPr="00805BD1" w:rsidRDefault="008C2B26" w:rsidP="00935A5D">
      <w:pPr>
        <w:pStyle w:val="Norm15"/>
      </w:pPr>
      <w:r>
        <w:rPr>
          <w:noProof/>
        </w:rPr>
        <mc:AlternateContent>
          <mc:Choice Requires="wps">
            <w:drawing>
              <wp:anchor distT="45720" distB="45720" distL="114300" distR="114300" simplePos="0" relativeHeight="251663360" behindDoc="0" locked="0" layoutInCell="1" allowOverlap="1" wp14:anchorId="1782F622" wp14:editId="6A33A2BD">
                <wp:simplePos x="0" y="0"/>
                <wp:positionH relativeFrom="margin">
                  <wp:align>center</wp:align>
                </wp:positionH>
                <wp:positionV relativeFrom="paragraph">
                  <wp:posOffset>5330190</wp:posOffset>
                </wp:positionV>
                <wp:extent cx="5514340" cy="1404620"/>
                <wp:effectExtent l="0" t="0" r="1016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5E6E0358" w14:textId="70759420" w:rsidR="008C2B26" w:rsidRPr="004C64AD" w:rsidRDefault="008C2B26" w:rsidP="008C2B26">
                            <w:pPr>
                              <w:rPr>
                                <w:sz w:val="20"/>
                                <w:szCs w:val="20"/>
                              </w:rPr>
                            </w:pPr>
                            <w:r w:rsidRPr="004C64AD">
                              <w:rPr>
                                <w:sz w:val="20"/>
                                <w:szCs w:val="20"/>
                              </w:rPr>
                              <w:t xml:space="preserve">This CSTE project was funded under a cooperative agreement with the Centers for Disease Control and Prevention (NU38OT000297-01-00). The </w:t>
                            </w:r>
                            <w:r w:rsidR="00D6037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82F622" id="_x0000_s1027" type="#_x0000_t202" style="position:absolute;margin-left:0;margin-top:419.7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IcJQIAAEwEAAAOAAAAZHJzL2Uyb0RvYy54bWysVMtu2zAQvBfoPxC815IcOU0Ey0Hq1EWB&#10;9AEk/YAVRVlE+SpJW3K/vkvKcYy0vRTVgSC5y+HszFLLm1FJsufOC6NrWsxySrhmphV6W9Nvj5s3&#10;V5T4ALoFaTSv6YF7erN6/Wo52IrPTW9kyx1BEO2rwda0D8FWWeZZzxX4mbFcY7AzTkHApdtmrYMB&#10;0ZXM5nl+mQ3GtdYZxr3H3bspSFcJv+s4C1+6zvNAZE2RW0ijS2MTx2y1hGrrwPaCHWnAP7BQIDRe&#10;eoK6gwBk58RvUEowZ7zpwowZlZmuE4ynGrCaIn9RzUMPlqdaUBxvTzL5/wfLPu+/OiLaml5QokGh&#10;RY98DOSdGck8qjNYX2HSg8W0MOI2upwq9fbesO+eaLPuQW/5rXNm6Dm0yK6IJ7OzoxOOjyDN8Mm0&#10;eA3sgklAY+dUlA7FIIiOLh1OzkQqDDcXi6K8KDHEMFaUeXk5T95lUD0dt86HD9woEic1dWh9gof9&#10;vQ+RDlRPKfE2b6RoN0LKtHDbZi0d2QO2ySZ9qYIXaVKToabXi/liUuCvEHn6/gShRMB+l0LV9OqU&#10;BFXU7b1uUzcGEHKaI2Wpj0JG7SYVw9iMybGkchS5Me0BlXVmam98jjjpjftJyYCtXVP/YweOUyI/&#10;anTnuiijlCEtysVblJK480hzHgHNEKqmgZJpug7p/STd7C26uBFJ32cmR8rYskn24/OKb+J8nbKe&#10;fwKrXwAAAP//AwBQSwMEFAAGAAgAAAAhAFZY1nndAAAACQEAAA8AAABkcnMvZG93bnJldi54bWxM&#10;j8FOwzAQRO9I/IO1SFwqakOplYY4FVTqiVNDubvxNomI1yF22/TvWU5w29GMZt8U68n34oxj7AIZ&#10;eJwrEEh1cB01BvYf24cMREyWnO0DoYErRliXtzeFzV240A7PVWoEl1DMrYE2pSGXMtYtehvnYUBi&#10;7xhGbxPLsZFutBcu9718UkpLbzviD60dcNNi/VWdvAH9XS1m759uRrvr9m2s/dJt9ktj7u+m1xcQ&#10;Caf0F4ZffEaHkpkO4UQuit4AD0kGssXqGQTbmc74OHBOaaVBloX8v6D8AQAA//8DAFBLAQItABQA&#10;BgAIAAAAIQC2gziS/gAAAOEBAAATAAAAAAAAAAAAAAAAAAAAAABbQ29udGVudF9UeXBlc10ueG1s&#10;UEsBAi0AFAAGAAgAAAAhADj9If/WAAAAlAEAAAsAAAAAAAAAAAAAAAAALwEAAF9yZWxzLy5yZWxz&#10;UEsBAi0AFAAGAAgAAAAhAFEMAhwlAgAATAQAAA4AAAAAAAAAAAAAAAAALgIAAGRycy9lMm9Eb2Mu&#10;eG1sUEsBAi0AFAAGAAgAAAAhAFZY1nndAAAACQEAAA8AAAAAAAAAAAAAAAAAfwQAAGRycy9kb3du&#10;cmV2LnhtbFBLBQYAAAAABAAEAPMAAACJBQAAAAA=&#10;">
                <v:textbox style="mso-fit-shape-to-text:t">
                  <w:txbxContent>
                    <w:p w14:paraId="5E6E0358" w14:textId="70759420" w:rsidR="008C2B26" w:rsidRPr="004C64AD" w:rsidRDefault="008C2B26" w:rsidP="008C2B26">
                      <w:pPr>
                        <w:rPr>
                          <w:sz w:val="20"/>
                          <w:szCs w:val="20"/>
                        </w:rPr>
                      </w:pPr>
                      <w:r w:rsidRPr="004C64AD">
                        <w:rPr>
                          <w:sz w:val="20"/>
                          <w:szCs w:val="20"/>
                        </w:rPr>
                        <w:t xml:space="preserve">This CSTE project was funded under a cooperative agreement with the Centers for Disease Control and Prevention (NU38OT000297-01-00). The </w:t>
                      </w:r>
                      <w:r w:rsidR="00D6037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557A75" w:rsidRPr="00E72B1D">
        <w:rPr>
          <w:noProof/>
        </w:rPr>
        <mc:AlternateContent>
          <mc:Choice Requires="wps">
            <w:drawing>
              <wp:anchor distT="45720" distB="45720" distL="114300" distR="114300" simplePos="0" relativeHeight="251659264" behindDoc="0" locked="0" layoutInCell="1" allowOverlap="1" wp14:anchorId="087B0DDF" wp14:editId="57777E31">
                <wp:simplePos x="0" y="0"/>
                <wp:positionH relativeFrom="margin">
                  <wp:posOffset>205105</wp:posOffset>
                </wp:positionH>
                <wp:positionV relativeFrom="paragraph">
                  <wp:posOffset>411480</wp:posOffset>
                </wp:positionV>
                <wp:extent cx="5598795" cy="4293235"/>
                <wp:effectExtent l="0" t="0" r="20955" b="1206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4293235"/>
                        </a:xfrm>
                        <a:prstGeom prst="rect">
                          <a:avLst/>
                        </a:prstGeom>
                        <a:solidFill>
                          <a:srgbClr val="FFFFFF"/>
                        </a:solidFill>
                        <a:ln w="9525">
                          <a:solidFill>
                            <a:srgbClr val="000000"/>
                          </a:solidFill>
                          <a:miter lim="800000"/>
                          <a:headEnd/>
                          <a:tailEnd/>
                        </a:ln>
                      </wps:spPr>
                      <wps:txbx>
                        <w:txbxContent>
                          <w:p w14:paraId="2610137B" w14:textId="7CCF1041" w:rsidR="00E72B1D" w:rsidRDefault="0063623B" w:rsidP="00E91CA6">
                            <w:pPr>
                              <w:spacing w:line="360" w:lineRule="auto"/>
                              <w:jc w:val="center"/>
                              <w:rPr>
                                <w:rFonts w:ascii="Arial" w:eastAsia="Times New Roman" w:hAnsi="Arial" w:cs="Arial"/>
                                <w:b/>
                                <w:bCs/>
                                <w:color w:val="000000" w:themeColor="text1"/>
                                <w:sz w:val="20"/>
                                <w:szCs w:val="20"/>
                              </w:rPr>
                            </w:pPr>
                            <w:r w:rsidRPr="0063623B">
                              <w:rPr>
                                <w:rFonts w:ascii="Arial" w:eastAsia="Times New Roman" w:hAnsi="Arial" w:cs="Arial"/>
                                <w:b/>
                                <w:bCs/>
                                <w:color w:val="000000" w:themeColor="text1"/>
                                <w:sz w:val="20"/>
                                <w:szCs w:val="20"/>
                              </w:rPr>
                              <w:t>Figure</w:t>
                            </w:r>
                            <w:r w:rsidR="00E72B1D" w:rsidRPr="0063623B">
                              <w:rPr>
                                <w:rFonts w:ascii="Arial" w:eastAsia="Times New Roman" w:hAnsi="Arial" w:cs="Arial"/>
                                <w:b/>
                                <w:bCs/>
                                <w:color w:val="000000" w:themeColor="text1"/>
                                <w:sz w:val="20"/>
                                <w:szCs w:val="20"/>
                              </w:rPr>
                              <w:t xml:space="preserve"> 1: </w:t>
                            </w:r>
                            <w:r w:rsidR="0097572C" w:rsidRPr="0063623B">
                              <w:rPr>
                                <w:rFonts w:ascii="Arial" w:eastAsia="Times New Roman" w:hAnsi="Arial" w:cs="Arial"/>
                                <w:b/>
                                <w:bCs/>
                                <w:color w:val="000000" w:themeColor="text1"/>
                                <w:sz w:val="20"/>
                                <w:szCs w:val="20"/>
                              </w:rPr>
                              <w:t xml:space="preserve">Selected </w:t>
                            </w:r>
                            <w:r w:rsidR="00E91CA6" w:rsidRPr="0063623B">
                              <w:rPr>
                                <w:rFonts w:ascii="Arial" w:eastAsia="Times New Roman" w:hAnsi="Arial" w:cs="Arial"/>
                                <w:b/>
                                <w:bCs/>
                                <w:color w:val="000000" w:themeColor="text1"/>
                                <w:sz w:val="20"/>
                                <w:szCs w:val="20"/>
                              </w:rPr>
                              <w:t xml:space="preserve">Examples of Section 1135 Waivers or Modifications </w:t>
                            </w:r>
                          </w:p>
                          <w:p w14:paraId="2EAF8473" w14:textId="77777777" w:rsidR="007C51C9" w:rsidRPr="0063623B" w:rsidRDefault="007C51C9" w:rsidP="00E91CA6">
                            <w:pPr>
                              <w:spacing w:line="360" w:lineRule="auto"/>
                              <w:jc w:val="center"/>
                              <w:rPr>
                                <w:rFonts w:ascii="Arial" w:eastAsia="Times New Roman" w:hAnsi="Arial" w:cs="Arial"/>
                                <w:b/>
                                <w:bCs/>
                                <w:color w:val="000000" w:themeColor="text1"/>
                                <w:sz w:val="20"/>
                                <w:szCs w:val="20"/>
                              </w:rPr>
                            </w:pPr>
                          </w:p>
                          <w:p w14:paraId="51C81AC4" w14:textId="63762BA2" w:rsidR="00E72B1D" w:rsidRPr="0063623B" w:rsidRDefault="00E72B1D" w:rsidP="00E17E67">
                            <w:pPr>
                              <w:ind w:left="360"/>
                              <w:rPr>
                                <w:rFonts w:ascii="Arial" w:hAnsi="Arial" w:cs="Arial"/>
                                <w:sz w:val="18"/>
                                <w:szCs w:val="18"/>
                              </w:rPr>
                            </w:pPr>
                            <w:r w:rsidRPr="0063623B">
                              <w:rPr>
                                <w:rFonts w:ascii="Arial" w:hAnsi="Arial" w:cs="Arial"/>
                                <w:sz w:val="18"/>
                                <w:szCs w:val="18"/>
                              </w:rPr>
                              <w:t xml:space="preserve">The following </w:t>
                            </w:r>
                            <w:r w:rsidR="00403FE2" w:rsidRPr="0063623B">
                              <w:rPr>
                                <w:rFonts w:ascii="Arial" w:hAnsi="Arial" w:cs="Arial"/>
                                <w:sz w:val="18"/>
                                <w:szCs w:val="18"/>
                              </w:rPr>
                              <w:t xml:space="preserve">list provides </w:t>
                            </w:r>
                            <w:r w:rsidR="0097572C" w:rsidRPr="0063623B">
                              <w:rPr>
                                <w:rFonts w:ascii="Arial" w:hAnsi="Arial" w:cs="Arial"/>
                                <w:sz w:val="18"/>
                                <w:szCs w:val="18"/>
                              </w:rPr>
                              <w:t xml:space="preserve">selected </w:t>
                            </w:r>
                            <w:r w:rsidR="00403FE2" w:rsidRPr="0063623B">
                              <w:rPr>
                                <w:rFonts w:ascii="Arial" w:hAnsi="Arial" w:cs="Arial"/>
                                <w:sz w:val="18"/>
                                <w:szCs w:val="18"/>
                              </w:rPr>
                              <w:t>examples of</w:t>
                            </w:r>
                            <w:r w:rsidR="0063623B">
                              <w:rPr>
                                <w:rFonts w:ascii="Arial" w:hAnsi="Arial" w:cs="Arial"/>
                                <w:sz w:val="18"/>
                                <w:szCs w:val="18"/>
                              </w:rPr>
                              <w:t xml:space="preserve"> §1</w:t>
                            </w:r>
                            <w:r w:rsidR="008310FB" w:rsidRPr="0063623B">
                              <w:rPr>
                                <w:rFonts w:ascii="Arial" w:hAnsi="Arial" w:cs="Arial"/>
                                <w:sz w:val="18"/>
                                <w:szCs w:val="18"/>
                              </w:rPr>
                              <w:t xml:space="preserve">135 waivers or modifications issued by HHS. A </w:t>
                            </w:r>
                            <w:r w:rsidR="006A3694" w:rsidRPr="0063623B">
                              <w:rPr>
                                <w:rFonts w:ascii="Arial" w:hAnsi="Arial" w:cs="Arial"/>
                                <w:sz w:val="18"/>
                                <w:szCs w:val="18"/>
                              </w:rPr>
                              <w:t xml:space="preserve">current list of </w:t>
                            </w:r>
                            <w:r w:rsidR="0063623B">
                              <w:rPr>
                                <w:rFonts w:ascii="Arial" w:hAnsi="Arial" w:cs="Arial"/>
                                <w:sz w:val="18"/>
                                <w:szCs w:val="18"/>
                              </w:rPr>
                              <w:t>§</w:t>
                            </w:r>
                            <w:r w:rsidR="00F25A9E" w:rsidRPr="0063623B">
                              <w:rPr>
                                <w:rFonts w:ascii="Arial" w:hAnsi="Arial" w:cs="Arial"/>
                                <w:sz w:val="18"/>
                                <w:szCs w:val="18"/>
                              </w:rPr>
                              <w:t>1135 waivers</w:t>
                            </w:r>
                            <w:r w:rsidR="00841AA6" w:rsidRPr="0063623B">
                              <w:rPr>
                                <w:rFonts w:ascii="Arial" w:hAnsi="Arial" w:cs="Arial"/>
                                <w:sz w:val="18"/>
                                <w:szCs w:val="18"/>
                              </w:rPr>
                              <w:t xml:space="preserve"> and modifications is available </w:t>
                            </w:r>
                            <w:r w:rsidR="00324D2C" w:rsidRPr="0063623B">
                              <w:rPr>
                                <w:rFonts w:ascii="Arial" w:hAnsi="Arial" w:cs="Arial"/>
                                <w:sz w:val="18"/>
                                <w:szCs w:val="18"/>
                              </w:rPr>
                              <w:t xml:space="preserve">on the </w:t>
                            </w:r>
                            <w:r w:rsidRPr="0063623B">
                              <w:rPr>
                                <w:rFonts w:ascii="Arial" w:hAnsi="Arial" w:cs="Arial"/>
                                <w:sz w:val="18"/>
                                <w:szCs w:val="18"/>
                              </w:rPr>
                              <w:t>HHS Office of the Assistant Secretary of Preparedness and Emergency Response</w:t>
                            </w:r>
                            <w:r w:rsidR="00B87497" w:rsidRPr="0063623B">
                              <w:rPr>
                                <w:rFonts w:ascii="Arial" w:hAnsi="Arial" w:cs="Arial"/>
                                <w:sz w:val="18"/>
                                <w:szCs w:val="18"/>
                              </w:rPr>
                              <w:t xml:space="preserve"> website at </w:t>
                            </w:r>
                            <w:hyperlink r:id="rId9" w:history="1">
                              <w:r w:rsidR="00AF43E7" w:rsidRPr="0063623B">
                                <w:rPr>
                                  <w:rStyle w:val="Hyperlink"/>
                                  <w:rFonts w:ascii="Arial" w:hAnsi="Arial" w:cs="Arial"/>
                                  <w:sz w:val="18"/>
                                  <w:szCs w:val="18"/>
                                </w:rPr>
                                <w:t>https://www.phe.gov/emergency/news/healthactions/section1135/Pages/default.aspx</w:t>
                              </w:r>
                            </w:hyperlink>
                          </w:p>
                          <w:p w14:paraId="04B7BD2E" w14:textId="4B984C3D" w:rsidR="00E72B1D" w:rsidRDefault="00E72B1D" w:rsidP="00E72B1D">
                            <w:pPr>
                              <w:rPr>
                                <w:rFonts w:ascii="Arial" w:hAnsi="Arial" w:cs="Arial"/>
                                <w:sz w:val="18"/>
                                <w:szCs w:val="18"/>
                              </w:rPr>
                            </w:pPr>
                          </w:p>
                          <w:p w14:paraId="2CB18AF1" w14:textId="77777777" w:rsidR="007C51C9" w:rsidRPr="0063623B" w:rsidRDefault="007C51C9" w:rsidP="00E72B1D">
                            <w:pPr>
                              <w:rPr>
                                <w:rFonts w:ascii="Arial" w:hAnsi="Arial" w:cs="Arial"/>
                                <w:sz w:val="18"/>
                                <w:szCs w:val="18"/>
                              </w:rPr>
                            </w:pPr>
                          </w:p>
                          <w:p w14:paraId="5CAF52D9" w14:textId="6AB2FB1E" w:rsidR="007C51C9" w:rsidRDefault="00A02A88" w:rsidP="009D7890">
                            <w:pPr>
                              <w:numPr>
                                <w:ilvl w:val="0"/>
                                <w:numId w:val="8"/>
                              </w:numPr>
                              <w:spacing w:after="120"/>
                              <w:rPr>
                                <w:rFonts w:ascii="Arial" w:hAnsi="Arial" w:cs="Arial"/>
                                <w:sz w:val="18"/>
                                <w:szCs w:val="18"/>
                              </w:rPr>
                            </w:pPr>
                            <w:hyperlink r:id="rId10" w:history="1">
                              <w:r w:rsidR="007C51C9" w:rsidRPr="007C51C9">
                                <w:rPr>
                                  <w:rStyle w:val="Hyperlink"/>
                                  <w:rFonts w:ascii="Arial" w:hAnsi="Arial" w:cs="Arial"/>
                                  <w:sz w:val="18"/>
                                  <w:szCs w:val="18"/>
                                </w:rPr>
                                <w:t>March 13, 2020: Waiver of Modification of Requirements Under Section 1135 of the Social Security Act as a Result of the of the Consequences of the 2019 Novel Coronavirus</w:t>
                              </w:r>
                            </w:hyperlink>
                          </w:p>
                          <w:p w14:paraId="38FA0C31" w14:textId="322BFDAB" w:rsidR="0097572C" w:rsidRPr="0063623B" w:rsidRDefault="00A02A88" w:rsidP="009D7890">
                            <w:pPr>
                              <w:numPr>
                                <w:ilvl w:val="0"/>
                                <w:numId w:val="8"/>
                              </w:numPr>
                              <w:spacing w:after="120"/>
                              <w:rPr>
                                <w:rFonts w:ascii="Arial" w:hAnsi="Arial" w:cs="Arial"/>
                                <w:sz w:val="18"/>
                                <w:szCs w:val="18"/>
                              </w:rPr>
                            </w:pPr>
                            <w:hyperlink r:id="rId11" w:history="1">
                              <w:r w:rsidR="0097572C" w:rsidRPr="0063623B">
                                <w:rPr>
                                  <w:rStyle w:val="Hyperlink"/>
                                  <w:rFonts w:ascii="Arial" w:hAnsi="Arial" w:cs="Arial"/>
                                  <w:sz w:val="18"/>
                                  <w:szCs w:val="18"/>
                                </w:rPr>
                                <w:t>January 8, 2020: Waiver of Modification of Requirements Under Section 1135 of the Social Security Act in the Commonwealth of Puerto Rico as a Result of the Consequences of Earthquakes</w:t>
                              </w:r>
                            </w:hyperlink>
                          </w:p>
                          <w:p w14:paraId="6BB27A62" w14:textId="3509EC07" w:rsidR="0097572C" w:rsidRPr="0063623B" w:rsidRDefault="00A02A88" w:rsidP="009D7890">
                            <w:pPr>
                              <w:numPr>
                                <w:ilvl w:val="0"/>
                                <w:numId w:val="8"/>
                              </w:numPr>
                              <w:spacing w:after="120"/>
                              <w:rPr>
                                <w:rFonts w:ascii="Arial" w:hAnsi="Arial" w:cs="Arial"/>
                                <w:sz w:val="18"/>
                                <w:szCs w:val="18"/>
                              </w:rPr>
                            </w:pPr>
                            <w:hyperlink r:id="rId12" w:history="1">
                              <w:r w:rsidR="0097572C" w:rsidRPr="0063623B">
                                <w:rPr>
                                  <w:rStyle w:val="Hyperlink"/>
                                  <w:rFonts w:ascii="Arial" w:hAnsi="Arial" w:cs="Arial"/>
                                  <w:sz w:val="18"/>
                                  <w:szCs w:val="18"/>
                                </w:rPr>
                                <w:t>September 4, 2019: Waiver of Modification of Requirements Under Section 1135 of the Social Security Act in the State of North Carolina as the Result of Hurricane Dorian</w:t>
                              </w:r>
                            </w:hyperlink>
                          </w:p>
                          <w:p w14:paraId="58B0A24E" w14:textId="72273492" w:rsidR="00CA39C7" w:rsidRPr="0063623B" w:rsidRDefault="00A02A88" w:rsidP="009D7890">
                            <w:pPr>
                              <w:numPr>
                                <w:ilvl w:val="0"/>
                                <w:numId w:val="8"/>
                              </w:numPr>
                              <w:spacing w:after="120"/>
                              <w:rPr>
                                <w:rFonts w:ascii="Arial" w:hAnsi="Arial" w:cs="Arial"/>
                                <w:sz w:val="18"/>
                                <w:szCs w:val="18"/>
                              </w:rPr>
                            </w:pPr>
                            <w:hyperlink r:id="rId13" w:history="1">
                              <w:r w:rsidR="00CA39C7" w:rsidRPr="0063623B">
                                <w:rPr>
                                  <w:rStyle w:val="Hyperlink"/>
                                  <w:rFonts w:ascii="Arial" w:hAnsi="Arial" w:cs="Arial"/>
                                  <w:sz w:val="18"/>
                                  <w:szCs w:val="18"/>
                                </w:rPr>
                                <w:t>July 12, 2019: Waiver or Modification of Requirements Under Section 1135 of the Social Security Act as a Result of Tropical Storm Barry in Louisiana</w:t>
                              </w:r>
                            </w:hyperlink>
                          </w:p>
                          <w:p w14:paraId="6518C2B1" w14:textId="6B64F61C" w:rsidR="00CA39C7" w:rsidRPr="0063623B" w:rsidRDefault="00A02A88" w:rsidP="009D7890">
                            <w:pPr>
                              <w:numPr>
                                <w:ilvl w:val="0"/>
                                <w:numId w:val="8"/>
                              </w:numPr>
                              <w:spacing w:after="120"/>
                              <w:rPr>
                                <w:rFonts w:ascii="Arial" w:hAnsi="Arial" w:cs="Arial"/>
                                <w:sz w:val="18"/>
                                <w:szCs w:val="18"/>
                              </w:rPr>
                            </w:pPr>
                            <w:hyperlink r:id="rId14" w:history="1">
                              <w:r w:rsidR="005E3882" w:rsidRPr="0063623B">
                                <w:rPr>
                                  <w:rStyle w:val="Hyperlink"/>
                                  <w:rFonts w:ascii="Arial" w:hAnsi="Arial" w:cs="Arial"/>
                                  <w:sz w:val="18"/>
                                  <w:szCs w:val="18"/>
                                </w:rPr>
                                <w:t>November 13, 2018: Waiver or Modification of Requirements Under Section 1135 of the Social Security Act as a Result of the wildfires in California</w:t>
                              </w:r>
                            </w:hyperlink>
                          </w:p>
                          <w:p w14:paraId="1B428A02" w14:textId="2D88B46E" w:rsidR="005E3882" w:rsidRPr="0063623B" w:rsidRDefault="00A02A88" w:rsidP="009D7890">
                            <w:pPr>
                              <w:numPr>
                                <w:ilvl w:val="0"/>
                                <w:numId w:val="8"/>
                              </w:numPr>
                              <w:spacing w:after="120"/>
                              <w:rPr>
                                <w:rFonts w:ascii="Arial" w:hAnsi="Arial" w:cs="Arial"/>
                                <w:sz w:val="18"/>
                                <w:szCs w:val="18"/>
                              </w:rPr>
                            </w:pPr>
                            <w:hyperlink r:id="rId15" w:history="1">
                              <w:r w:rsidR="00DA6536" w:rsidRPr="0063623B">
                                <w:rPr>
                                  <w:rStyle w:val="Hyperlink"/>
                                  <w:rFonts w:ascii="Arial" w:hAnsi="Arial" w:cs="Arial"/>
                                  <w:sz w:val="18"/>
                                  <w:szCs w:val="18"/>
                                </w:rPr>
                                <w:t>May 23, 2011: Waiver or Modification of Requirements Under Section 1135 of the Social Security Act in Missouri as the Result of Severe Storms, Tornadoes, and Flooding</w:t>
                              </w:r>
                            </w:hyperlink>
                          </w:p>
                          <w:p w14:paraId="707EAC29" w14:textId="2424A636" w:rsidR="008828FD" w:rsidRPr="0063623B" w:rsidRDefault="00A02A88" w:rsidP="008828FD">
                            <w:pPr>
                              <w:numPr>
                                <w:ilvl w:val="0"/>
                                <w:numId w:val="8"/>
                              </w:numPr>
                              <w:spacing w:after="60"/>
                              <w:rPr>
                                <w:rFonts w:ascii="Arial" w:hAnsi="Arial" w:cs="Arial"/>
                                <w:sz w:val="18"/>
                                <w:szCs w:val="18"/>
                              </w:rPr>
                            </w:pPr>
                            <w:hyperlink r:id="rId16" w:history="1">
                              <w:r w:rsidR="008828FD" w:rsidRPr="0063623B">
                                <w:rPr>
                                  <w:rStyle w:val="Hyperlink"/>
                                  <w:rFonts w:ascii="Arial" w:hAnsi="Arial" w:cs="Arial"/>
                                  <w:sz w:val="18"/>
                                  <w:szCs w:val="18"/>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B0DDF" id="_x0000_s1028" type="#_x0000_t202" style="position:absolute;margin-left:16.15pt;margin-top:32.4pt;width:440.85pt;height:338.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dkKAIAAE4EAAAOAAAAZHJzL2Uyb0RvYy54bWysVNtu2zAMfR+wfxD0vjhx4zUx4hRdugwD&#10;ugvQ7gNkWY6FSaImKbGzrx8lp2l2exnmB4EUqUPykPTqZtCKHITzEkxFZ5MpJcJwaKTZVfTL4/bV&#10;ghIfmGmYAiMqehSe3qxfvlj1thQ5dKAa4QiCGF/2tqJdCLbMMs87oZmfgBUGjS04zQKqbpc1jvWI&#10;rlWWT6evsx5cYx1w4T3e3o1Guk74bSt4+NS2XgSiKoq5hXS6dNbxzNYrVu4cs53kpzTYP2ShmTQY&#10;9Ax1xwIjeyd/g9KSO/DQhgkHnUHbSi5SDVjNbPpLNQ8dsyLVguR4e6bJ/z9Y/vHw2RHZVDSfXVNi&#10;mMYmPYohkDcwkDzy01tfotuDRccw4DX2OdXq7T3wr54Y2HTM7MStc9B3gjWY3yy+zC6ejjg+gtT9&#10;B2gwDNsHSEBD63QkD+kgiI59Op57E1PheFkUy8X1sqCEo22eL6/yqyLFYOXTc+t8eCdAkyhU1GHz&#10;Ezw73PsQ02Hlk0uM5kHJZiuVSorb1RvlyIHhoGzTd0L/yU0Z0ld0WeTFyMBfIabp+xOElgEnXkld&#10;0cXZiZWRt7emSfMYmFSjjCkrcyIycjeyGIZ6GHsWA0SSa2iOyKyDccBxIVHowH2npMfhrqj/tmdO&#10;UKLeG+zOcjafx21Iyry4zlFxl5b60sIMR6iKBkpGcRPSBkXeDNxiF1uZ+H3O5JQyDm2i/bRgcSsu&#10;9eT1/BtY/wAAAP//AwBQSwMEFAAGAAgAAAAhAHpm66TfAAAACQEAAA8AAABkcnMvZG93bnJldi54&#10;bWxMj8FOwzAQRO9I/IO1SFwQddpEaRPiVAgJBDcoCK5uvE0i4nWw3TT8PcsJjqsZzb5XbWc7iAl9&#10;6B0pWC4SEEiNMz21Ct5e7683IELUZPTgCBV8Y4BtfX5W6dK4E73gtIut4BEKpVbQxTiWUoamQ6vD&#10;wo1InB2ctzry6VtpvD7xuB3kKklyaXVP/KHTI9512HzujlbBJnucPsJT+vze5IehiFfr6eHLK3V5&#10;Md/egIg4x78y/OIzOtTMtHdHMkEMCtJVyk0FecYGnBfLjN32CtZZUoCsK/nfoP4BAAD//wMAUEsB&#10;Ai0AFAAGAAgAAAAhALaDOJL+AAAA4QEAABMAAAAAAAAAAAAAAAAAAAAAAFtDb250ZW50X1R5cGVz&#10;XS54bWxQSwECLQAUAAYACAAAACEAOP0h/9YAAACUAQAACwAAAAAAAAAAAAAAAAAvAQAAX3JlbHMv&#10;LnJlbHNQSwECLQAUAAYACAAAACEAgplHZCgCAABOBAAADgAAAAAAAAAAAAAAAAAuAgAAZHJzL2Uy&#10;b0RvYy54bWxQSwECLQAUAAYACAAAACEAembrpN8AAAAJAQAADwAAAAAAAAAAAAAAAACCBAAAZHJz&#10;L2Rvd25yZXYueG1sUEsFBgAAAAAEAAQA8wAAAI4FAAAAAA==&#10;">
                <v:textbox>
                  <w:txbxContent>
                    <w:p w14:paraId="2610137B" w14:textId="7CCF1041" w:rsidR="00E72B1D" w:rsidRDefault="0063623B" w:rsidP="00E91CA6">
                      <w:pPr>
                        <w:spacing w:line="360" w:lineRule="auto"/>
                        <w:jc w:val="center"/>
                        <w:rPr>
                          <w:rFonts w:ascii="Arial" w:eastAsia="Times New Roman" w:hAnsi="Arial" w:cs="Arial"/>
                          <w:b/>
                          <w:bCs/>
                          <w:color w:val="000000" w:themeColor="text1"/>
                          <w:sz w:val="20"/>
                          <w:szCs w:val="20"/>
                        </w:rPr>
                      </w:pPr>
                      <w:r w:rsidRPr="0063623B">
                        <w:rPr>
                          <w:rFonts w:ascii="Arial" w:eastAsia="Times New Roman" w:hAnsi="Arial" w:cs="Arial"/>
                          <w:b/>
                          <w:bCs/>
                          <w:color w:val="000000" w:themeColor="text1"/>
                          <w:sz w:val="20"/>
                          <w:szCs w:val="20"/>
                        </w:rPr>
                        <w:t>Figure</w:t>
                      </w:r>
                      <w:r w:rsidR="00E72B1D" w:rsidRPr="0063623B">
                        <w:rPr>
                          <w:rFonts w:ascii="Arial" w:eastAsia="Times New Roman" w:hAnsi="Arial" w:cs="Arial"/>
                          <w:b/>
                          <w:bCs/>
                          <w:color w:val="000000" w:themeColor="text1"/>
                          <w:sz w:val="20"/>
                          <w:szCs w:val="20"/>
                        </w:rPr>
                        <w:t xml:space="preserve"> 1: </w:t>
                      </w:r>
                      <w:r w:rsidR="0097572C" w:rsidRPr="0063623B">
                        <w:rPr>
                          <w:rFonts w:ascii="Arial" w:eastAsia="Times New Roman" w:hAnsi="Arial" w:cs="Arial"/>
                          <w:b/>
                          <w:bCs/>
                          <w:color w:val="000000" w:themeColor="text1"/>
                          <w:sz w:val="20"/>
                          <w:szCs w:val="20"/>
                        </w:rPr>
                        <w:t xml:space="preserve">Selected </w:t>
                      </w:r>
                      <w:r w:rsidR="00E91CA6" w:rsidRPr="0063623B">
                        <w:rPr>
                          <w:rFonts w:ascii="Arial" w:eastAsia="Times New Roman" w:hAnsi="Arial" w:cs="Arial"/>
                          <w:b/>
                          <w:bCs/>
                          <w:color w:val="000000" w:themeColor="text1"/>
                          <w:sz w:val="20"/>
                          <w:szCs w:val="20"/>
                        </w:rPr>
                        <w:t xml:space="preserve">Examples of Section 1135 Waivers or Modifications </w:t>
                      </w:r>
                    </w:p>
                    <w:p w14:paraId="2EAF8473" w14:textId="77777777" w:rsidR="007C51C9" w:rsidRPr="0063623B" w:rsidRDefault="007C51C9" w:rsidP="00E91CA6">
                      <w:pPr>
                        <w:spacing w:line="360" w:lineRule="auto"/>
                        <w:jc w:val="center"/>
                        <w:rPr>
                          <w:rFonts w:ascii="Arial" w:eastAsia="Times New Roman" w:hAnsi="Arial" w:cs="Arial"/>
                          <w:b/>
                          <w:bCs/>
                          <w:color w:val="000000" w:themeColor="text1"/>
                          <w:sz w:val="20"/>
                          <w:szCs w:val="20"/>
                        </w:rPr>
                      </w:pPr>
                    </w:p>
                    <w:p w14:paraId="51C81AC4" w14:textId="63762BA2" w:rsidR="00E72B1D" w:rsidRPr="0063623B" w:rsidRDefault="00E72B1D" w:rsidP="00E17E67">
                      <w:pPr>
                        <w:ind w:left="360"/>
                        <w:rPr>
                          <w:rFonts w:ascii="Arial" w:hAnsi="Arial" w:cs="Arial"/>
                          <w:sz w:val="18"/>
                          <w:szCs w:val="18"/>
                        </w:rPr>
                      </w:pPr>
                      <w:r w:rsidRPr="0063623B">
                        <w:rPr>
                          <w:rFonts w:ascii="Arial" w:hAnsi="Arial" w:cs="Arial"/>
                          <w:sz w:val="18"/>
                          <w:szCs w:val="18"/>
                        </w:rPr>
                        <w:t xml:space="preserve">The following </w:t>
                      </w:r>
                      <w:r w:rsidR="00403FE2" w:rsidRPr="0063623B">
                        <w:rPr>
                          <w:rFonts w:ascii="Arial" w:hAnsi="Arial" w:cs="Arial"/>
                          <w:sz w:val="18"/>
                          <w:szCs w:val="18"/>
                        </w:rPr>
                        <w:t xml:space="preserve">list provides </w:t>
                      </w:r>
                      <w:r w:rsidR="0097572C" w:rsidRPr="0063623B">
                        <w:rPr>
                          <w:rFonts w:ascii="Arial" w:hAnsi="Arial" w:cs="Arial"/>
                          <w:sz w:val="18"/>
                          <w:szCs w:val="18"/>
                        </w:rPr>
                        <w:t xml:space="preserve">selected </w:t>
                      </w:r>
                      <w:r w:rsidR="00403FE2" w:rsidRPr="0063623B">
                        <w:rPr>
                          <w:rFonts w:ascii="Arial" w:hAnsi="Arial" w:cs="Arial"/>
                          <w:sz w:val="18"/>
                          <w:szCs w:val="18"/>
                        </w:rPr>
                        <w:t>examples of</w:t>
                      </w:r>
                      <w:r w:rsidR="0063623B">
                        <w:rPr>
                          <w:rFonts w:ascii="Arial" w:hAnsi="Arial" w:cs="Arial"/>
                          <w:sz w:val="18"/>
                          <w:szCs w:val="18"/>
                        </w:rPr>
                        <w:t xml:space="preserve"> §1</w:t>
                      </w:r>
                      <w:r w:rsidR="008310FB" w:rsidRPr="0063623B">
                        <w:rPr>
                          <w:rFonts w:ascii="Arial" w:hAnsi="Arial" w:cs="Arial"/>
                          <w:sz w:val="18"/>
                          <w:szCs w:val="18"/>
                        </w:rPr>
                        <w:t xml:space="preserve">135 waivers or modifications issued by HHS. A </w:t>
                      </w:r>
                      <w:r w:rsidR="006A3694" w:rsidRPr="0063623B">
                        <w:rPr>
                          <w:rFonts w:ascii="Arial" w:hAnsi="Arial" w:cs="Arial"/>
                          <w:sz w:val="18"/>
                          <w:szCs w:val="18"/>
                        </w:rPr>
                        <w:t xml:space="preserve">current list of </w:t>
                      </w:r>
                      <w:r w:rsidR="0063623B">
                        <w:rPr>
                          <w:rFonts w:ascii="Arial" w:hAnsi="Arial" w:cs="Arial"/>
                          <w:sz w:val="18"/>
                          <w:szCs w:val="18"/>
                        </w:rPr>
                        <w:t>§</w:t>
                      </w:r>
                      <w:r w:rsidR="00F25A9E" w:rsidRPr="0063623B">
                        <w:rPr>
                          <w:rFonts w:ascii="Arial" w:hAnsi="Arial" w:cs="Arial"/>
                          <w:sz w:val="18"/>
                          <w:szCs w:val="18"/>
                        </w:rPr>
                        <w:t>1135 waivers</w:t>
                      </w:r>
                      <w:r w:rsidR="00841AA6" w:rsidRPr="0063623B">
                        <w:rPr>
                          <w:rFonts w:ascii="Arial" w:hAnsi="Arial" w:cs="Arial"/>
                          <w:sz w:val="18"/>
                          <w:szCs w:val="18"/>
                        </w:rPr>
                        <w:t xml:space="preserve"> and modifications is available </w:t>
                      </w:r>
                      <w:r w:rsidR="00324D2C" w:rsidRPr="0063623B">
                        <w:rPr>
                          <w:rFonts w:ascii="Arial" w:hAnsi="Arial" w:cs="Arial"/>
                          <w:sz w:val="18"/>
                          <w:szCs w:val="18"/>
                        </w:rPr>
                        <w:t xml:space="preserve">on the </w:t>
                      </w:r>
                      <w:r w:rsidRPr="0063623B">
                        <w:rPr>
                          <w:rFonts w:ascii="Arial" w:hAnsi="Arial" w:cs="Arial"/>
                          <w:sz w:val="18"/>
                          <w:szCs w:val="18"/>
                        </w:rPr>
                        <w:t>HHS Office of the Assistant Secretary of Preparedness and Emergency Response</w:t>
                      </w:r>
                      <w:r w:rsidR="00B87497" w:rsidRPr="0063623B">
                        <w:rPr>
                          <w:rFonts w:ascii="Arial" w:hAnsi="Arial" w:cs="Arial"/>
                          <w:sz w:val="18"/>
                          <w:szCs w:val="18"/>
                        </w:rPr>
                        <w:t xml:space="preserve"> website at </w:t>
                      </w:r>
                      <w:hyperlink r:id="rId17" w:history="1">
                        <w:r w:rsidR="00AF43E7" w:rsidRPr="0063623B">
                          <w:rPr>
                            <w:rStyle w:val="Hyperlink"/>
                            <w:rFonts w:ascii="Arial" w:hAnsi="Arial" w:cs="Arial"/>
                            <w:sz w:val="18"/>
                            <w:szCs w:val="18"/>
                          </w:rPr>
                          <w:t>https://www.phe.gov/emergency/news/healthactions/section1135/Pages/default.aspx</w:t>
                        </w:r>
                      </w:hyperlink>
                    </w:p>
                    <w:p w14:paraId="04B7BD2E" w14:textId="4B984C3D" w:rsidR="00E72B1D" w:rsidRDefault="00E72B1D" w:rsidP="00E72B1D">
                      <w:pPr>
                        <w:rPr>
                          <w:rFonts w:ascii="Arial" w:hAnsi="Arial" w:cs="Arial"/>
                          <w:sz w:val="18"/>
                          <w:szCs w:val="18"/>
                        </w:rPr>
                      </w:pPr>
                    </w:p>
                    <w:p w14:paraId="2CB18AF1" w14:textId="77777777" w:rsidR="007C51C9" w:rsidRPr="0063623B" w:rsidRDefault="007C51C9" w:rsidP="00E72B1D">
                      <w:pPr>
                        <w:rPr>
                          <w:rFonts w:ascii="Arial" w:hAnsi="Arial" w:cs="Arial"/>
                          <w:sz w:val="18"/>
                          <w:szCs w:val="18"/>
                        </w:rPr>
                      </w:pPr>
                    </w:p>
                    <w:p w14:paraId="5CAF52D9" w14:textId="6AB2FB1E" w:rsidR="007C51C9" w:rsidRDefault="00A02A88" w:rsidP="009D7890">
                      <w:pPr>
                        <w:numPr>
                          <w:ilvl w:val="0"/>
                          <w:numId w:val="8"/>
                        </w:numPr>
                        <w:spacing w:after="120"/>
                        <w:rPr>
                          <w:rFonts w:ascii="Arial" w:hAnsi="Arial" w:cs="Arial"/>
                          <w:sz w:val="18"/>
                          <w:szCs w:val="18"/>
                        </w:rPr>
                      </w:pPr>
                      <w:hyperlink r:id="rId18" w:history="1">
                        <w:r w:rsidR="007C51C9" w:rsidRPr="007C51C9">
                          <w:rPr>
                            <w:rStyle w:val="Hyperlink"/>
                            <w:rFonts w:ascii="Arial" w:hAnsi="Arial" w:cs="Arial"/>
                            <w:sz w:val="18"/>
                            <w:szCs w:val="18"/>
                          </w:rPr>
                          <w:t>March 13, 2020: Waiver of Modification of Requirements Under Section 1135 of the Social Security Act as a Result of the of the Consequences of the 2019 Novel Coronavirus</w:t>
                        </w:r>
                      </w:hyperlink>
                    </w:p>
                    <w:p w14:paraId="38FA0C31" w14:textId="322BFDAB" w:rsidR="0097572C" w:rsidRPr="0063623B" w:rsidRDefault="00A02A88" w:rsidP="009D7890">
                      <w:pPr>
                        <w:numPr>
                          <w:ilvl w:val="0"/>
                          <w:numId w:val="8"/>
                        </w:numPr>
                        <w:spacing w:after="120"/>
                        <w:rPr>
                          <w:rFonts w:ascii="Arial" w:hAnsi="Arial" w:cs="Arial"/>
                          <w:sz w:val="18"/>
                          <w:szCs w:val="18"/>
                        </w:rPr>
                      </w:pPr>
                      <w:hyperlink r:id="rId19" w:history="1">
                        <w:r w:rsidR="0097572C" w:rsidRPr="0063623B">
                          <w:rPr>
                            <w:rStyle w:val="Hyperlink"/>
                            <w:rFonts w:ascii="Arial" w:hAnsi="Arial" w:cs="Arial"/>
                            <w:sz w:val="18"/>
                            <w:szCs w:val="18"/>
                          </w:rPr>
                          <w:t>January 8, 2020: Waiver of Modification of Requirements Under Section 1135 of the Social Security Act in the Commonwealth of Puerto Rico as a Result of the Consequences of Earthquakes</w:t>
                        </w:r>
                      </w:hyperlink>
                    </w:p>
                    <w:p w14:paraId="6BB27A62" w14:textId="3509EC07" w:rsidR="0097572C" w:rsidRPr="0063623B" w:rsidRDefault="00A02A88" w:rsidP="009D7890">
                      <w:pPr>
                        <w:numPr>
                          <w:ilvl w:val="0"/>
                          <w:numId w:val="8"/>
                        </w:numPr>
                        <w:spacing w:after="120"/>
                        <w:rPr>
                          <w:rFonts w:ascii="Arial" w:hAnsi="Arial" w:cs="Arial"/>
                          <w:sz w:val="18"/>
                          <w:szCs w:val="18"/>
                        </w:rPr>
                      </w:pPr>
                      <w:hyperlink r:id="rId20" w:history="1">
                        <w:r w:rsidR="0097572C" w:rsidRPr="0063623B">
                          <w:rPr>
                            <w:rStyle w:val="Hyperlink"/>
                            <w:rFonts w:ascii="Arial" w:hAnsi="Arial" w:cs="Arial"/>
                            <w:sz w:val="18"/>
                            <w:szCs w:val="18"/>
                          </w:rPr>
                          <w:t>September 4, 2019: Waiver of Modification of Requirements Under Section 1135 of the Social Security Act in the State of North Carolina as the Result of Hurricane Dorian</w:t>
                        </w:r>
                      </w:hyperlink>
                    </w:p>
                    <w:p w14:paraId="58B0A24E" w14:textId="72273492" w:rsidR="00CA39C7" w:rsidRPr="0063623B" w:rsidRDefault="00A02A88" w:rsidP="009D7890">
                      <w:pPr>
                        <w:numPr>
                          <w:ilvl w:val="0"/>
                          <w:numId w:val="8"/>
                        </w:numPr>
                        <w:spacing w:after="120"/>
                        <w:rPr>
                          <w:rFonts w:ascii="Arial" w:hAnsi="Arial" w:cs="Arial"/>
                          <w:sz w:val="18"/>
                          <w:szCs w:val="18"/>
                        </w:rPr>
                      </w:pPr>
                      <w:hyperlink r:id="rId21" w:history="1">
                        <w:r w:rsidR="00CA39C7" w:rsidRPr="0063623B">
                          <w:rPr>
                            <w:rStyle w:val="Hyperlink"/>
                            <w:rFonts w:ascii="Arial" w:hAnsi="Arial" w:cs="Arial"/>
                            <w:sz w:val="18"/>
                            <w:szCs w:val="18"/>
                          </w:rPr>
                          <w:t>July 12, 2019: Waiver or Modification of Requirements Under Section 1135 of the Social Security Act as a Result of Tropical Storm Barry in Louisiana</w:t>
                        </w:r>
                      </w:hyperlink>
                    </w:p>
                    <w:p w14:paraId="6518C2B1" w14:textId="6B64F61C" w:rsidR="00CA39C7" w:rsidRPr="0063623B" w:rsidRDefault="00A02A88" w:rsidP="009D7890">
                      <w:pPr>
                        <w:numPr>
                          <w:ilvl w:val="0"/>
                          <w:numId w:val="8"/>
                        </w:numPr>
                        <w:spacing w:after="120"/>
                        <w:rPr>
                          <w:rFonts w:ascii="Arial" w:hAnsi="Arial" w:cs="Arial"/>
                          <w:sz w:val="18"/>
                          <w:szCs w:val="18"/>
                        </w:rPr>
                      </w:pPr>
                      <w:hyperlink r:id="rId22" w:history="1">
                        <w:r w:rsidR="005E3882" w:rsidRPr="0063623B">
                          <w:rPr>
                            <w:rStyle w:val="Hyperlink"/>
                            <w:rFonts w:ascii="Arial" w:hAnsi="Arial" w:cs="Arial"/>
                            <w:sz w:val="18"/>
                            <w:szCs w:val="18"/>
                          </w:rPr>
                          <w:t>November 13, 2018: Waiver or Modification of Requirements Under Section 1135 of the Social Security Act as a Result of the wildfires in California</w:t>
                        </w:r>
                      </w:hyperlink>
                    </w:p>
                    <w:p w14:paraId="1B428A02" w14:textId="2D88B46E" w:rsidR="005E3882" w:rsidRPr="0063623B" w:rsidRDefault="00A02A88" w:rsidP="009D7890">
                      <w:pPr>
                        <w:numPr>
                          <w:ilvl w:val="0"/>
                          <w:numId w:val="8"/>
                        </w:numPr>
                        <w:spacing w:after="120"/>
                        <w:rPr>
                          <w:rFonts w:ascii="Arial" w:hAnsi="Arial" w:cs="Arial"/>
                          <w:sz w:val="18"/>
                          <w:szCs w:val="18"/>
                        </w:rPr>
                      </w:pPr>
                      <w:hyperlink r:id="rId23" w:history="1">
                        <w:r w:rsidR="00DA6536" w:rsidRPr="0063623B">
                          <w:rPr>
                            <w:rStyle w:val="Hyperlink"/>
                            <w:rFonts w:ascii="Arial" w:hAnsi="Arial" w:cs="Arial"/>
                            <w:sz w:val="18"/>
                            <w:szCs w:val="18"/>
                          </w:rPr>
                          <w:t>May 23, 2011: Waiver or Modification of Requirements Under Section 1135 of the Social Security Act in Missouri as the Result of Severe Storms, Tornadoes, and Flooding</w:t>
                        </w:r>
                      </w:hyperlink>
                    </w:p>
                    <w:p w14:paraId="707EAC29" w14:textId="2424A636" w:rsidR="008828FD" w:rsidRPr="0063623B" w:rsidRDefault="00A02A88" w:rsidP="008828FD">
                      <w:pPr>
                        <w:numPr>
                          <w:ilvl w:val="0"/>
                          <w:numId w:val="8"/>
                        </w:numPr>
                        <w:spacing w:after="60"/>
                        <w:rPr>
                          <w:rFonts w:ascii="Arial" w:hAnsi="Arial" w:cs="Arial"/>
                          <w:sz w:val="18"/>
                          <w:szCs w:val="18"/>
                        </w:rPr>
                      </w:pPr>
                      <w:hyperlink r:id="rId24" w:history="1">
                        <w:r w:rsidR="008828FD" w:rsidRPr="0063623B">
                          <w:rPr>
                            <w:rStyle w:val="Hyperlink"/>
                            <w:rFonts w:ascii="Arial" w:hAnsi="Arial" w:cs="Arial"/>
                            <w:sz w:val="18"/>
                            <w:szCs w:val="18"/>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v:textbox>
                <w10:wrap type="topAndBottom" anchorx="margin"/>
              </v:shape>
            </w:pict>
          </mc:Fallback>
        </mc:AlternateContent>
      </w:r>
    </w:p>
    <w:sectPr w:rsidR="00AE4DBA" w:rsidRPr="00805BD1" w:rsidSect="00B84E72">
      <w:headerReference w:type="default"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03667" w14:textId="77777777" w:rsidR="00A02A88" w:rsidRDefault="00A02A88" w:rsidP="00C630BA">
      <w:r>
        <w:separator/>
      </w:r>
    </w:p>
  </w:endnote>
  <w:endnote w:type="continuationSeparator" w:id="0">
    <w:p w14:paraId="6BCE6FF7" w14:textId="77777777" w:rsidR="00A02A88" w:rsidRDefault="00A02A88" w:rsidP="00C6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9847800"/>
      <w:docPartObj>
        <w:docPartGallery w:val="Page Numbers (Bottom of Page)"/>
        <w:docPartUnique/>
      </w:docPartObj>
    </w:sdtPr>
    <w:sdtEndPr>
      <w:rPr>
        <w:noProof/>
      </w:rPr>
    </w:sdtEndPr>
    <w:sdtContent>
      <w:p w14:paraId="6B3EA1AB" w14:textId="0F7E2508" w:rsidR="00C630BA" w:rsidRDefault="00C630BA" w:rsidP="00C630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FB1FF" w14:textId="77777777" w:rsidR="00014FAE" w:rsidRDefault="00014FAE" w:rsidP="00014FAE">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5075B060" w14:textId="2C18493C" w:rsidR="00B84E72" w:rsidRDefault="00014FAE" w:rsidP="00014FAE">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E7460" w14:textId="77777777" w:rsidR="00A02A88" w:rsidRDefault="00A02A88" w:rsidP="00C630BA">
      <w:r>
        <w:separator/>
      </w:r>
    </w:p>
  </w:footnote>
  <w:footnote w:type="continuationSeparator" w:id="0">
    <w:p w14:paraId="0D3283FB" w14:textId="77777777" w:rsidR="00A02A88" w:rsidRDefault="00A02A88" w:rsidP="00C630BA">
      <w:r>
        <w:continuationSeparator/>
      </w:r>
    </w:p>
  </w:footnote>
  <w:footnote w:id="1">
    <w:p w14:paraId="317DDC94" w14:textId="55197B8E" w:rsidR="00F90585" w:rsidRPr="00517326" w:rsidRDefault="00517326" w:rsidP="00517326">
      <w:pPr>
        <w:tabs>
          <w:tab w:val="left" w:pos="686"/>
        </w:tabs>
        <w:rPr>
          <w:b/>
          <w:bCs/>
          <w:sz w:val="20"/>
          <w:szCs w:val="20"/>
        </w:rPr>
      </w:pPr>
      <w:r w:rsidRPr="006B646B">
        <w:rPr>
          <w:b/>
          <w:bCs/>
          <w:sz w:val="20"/>
          <w:szCs w:val="20"/>
          <w:highlight w:val="yellow"/>
        </w:rPr>
        <w:t>Footnotes will be streamlined and edited to a style guide once text is finalized</w:t>
      </w:r>
    </w:p>
    <w:p w14:paraId="549E7A5A" w14:textId="5B905C9A" w:rsidR="00433F23" w:rsidRDefault="00433F23">
      <w:pPr>
        <w:pStyle w:val="FootnoteText"/>
      </w:pPr>
      <w:r>
        <w:rPr>
          <w:rStyle w:val="FootnoteReference"/>
        </w:rPr>
        <w:footnoteRef/>
      </w:r>
      <w:r>
        <w:t xml:space="preserve"> </w:t>
      </w:r>
      <w:r w:rsidRPr="00433F23">
        <w:t xml:space="preserve">Social Security Act, Pub. L. No. </w:t>
      </w:r>
      <w:r w:rsidR="00A27C04" w:rsidRPr="00A27C04">
        <w:t>74-271</w:t>
      </w:r>
      <w:r w:rsidR="00616715">
        <w:t>, as amended</w:t>
      </w:r>
      <w:r w:rsidRPr="00433F23">
        <w:t xml:space="preserve">. Codified at 42 U.S.C. </w:t>
      </w:r>
      <w:r w:rsidR="00695A0F">
        <w:t>ch. 7.</w:t>
      </w:r>
    </w:p>
  </w:footnote>
  <w:footnote w:id="2">
    <w:p w14:paraId="2F100BE9" w14:textId="1321217A" w:rsidR="00627C97" w:rsidRDefault="00627C97">
      <w:pPr>
        <w:pStyle w:val="FootnoteText"/>
      </w:pPr>
      <w:r>
        <w:rPr>
          <w:rStyle w:val="FootnoteReference"/>
        </w:rPr>
        <w:footnoteRef/>
      </w:r>
      <w:r>
        <w:t xml:space="preserve"> </w:t>
      </w:r>
      <w:r w:rsidR="00D954EF" w:rsidRPr="00D954EF">
        <w:t xml:space="preserve">42 U.S.C. </w:t>
      </w:r>
      <w:r w:rsidR="00D954EF">
        <w:t>§</w:t>
      </w:r>
      <w:r w:rsidR="00D954EF" w:rsidRPr="00D954EF">
        <w:t>1320b–5</w:t>
      </w:r>
      <w:r w:rsidR="00006ACE">
        <w:t>.</w:t>
      </w:r>
    </w:p>
  </w:footnote>
  <w:footnote w:id="3">
    <w:p w14:paraId="58FC7C56" w14:textId="04E5E946" w:rsidR="005C43E2" w:rsidRDefault="005C43E2">
      <w:pPr>
        <w:pStyle w:val="FootnoteText"/>
      </w:pPr>
      <w:r>
        <w:rPr>
          <w:rStyle w:val="FootnoteReference"/>
        </w:rPr>
        <w:footnoteRef/>
      </w:r>
      <w:r>
        <w:t xml:space="preserve"> HHS. 1135 Waivers. Webpage </w:t>
      </w:r>
      <w:r w:rsidR="002C577B">
        <w:t>last reviewed by HHS</w:t>
      </w:r>
      <w:r>
        <w:t xml:space="preserve"> </w:t>
      </w:r>
      <w:r w:rsidRPr="00185E72">
        <w:t>September 5, 2019</w:t>
      </w:r>
      <w:r>
        <w:t xml:space="preserve">. Retrieved from </w:t>
      </w:r>
      <w:hyperlink r:id="rId1" w:history="1">
        <w:r>
          <w:rPr>
            <w:rStyle w:val="Hyperlink"/>
          </w:rPr>
          <w:t>https://www.phe.gov/Preparedness/legal/Pages/1135-waivers.aspx</w:t>
        </w:r>
      </w:hyperlink>
      <w:r>
        <w:t>.</w:t>
      </w:r>
      <w:r w:rsidR="002C577B">
        <w:t xml:space="preserve"> Accessed June 16, 2020.</w:t>
      </w:r>
    </w:p>
  </w:footnote>
  <w:footnote w:id="4">
    <w:p w14:paraId="16E8776A" w14:textId="7B33C6E4" w:rsidR="00E70E39" w:rsidRDefault="00E70E39">
      <w:pPr>
        <w:pStyle w:val="FootnoteText"/>
      </w:pPr>
      <w:r>
        <w:rPr>
          <w:rStyle w:val="FootnoteReference"/>
        </w:rPr>
        <w:footnoteRef/>
      </w:r>
      <w:r>
        <w:t xml:space="preserve"> </w:t>
      </w:r>
      <w:r w:rsidR="002C577B">
        <w:t xml:space="preserve">HHS. 1135 Waivers. Webpage last reviewed by HHS </w:t>
      </w:r>
      <w:r w:rsidR="002C577B" w:rsidRPr="00185E72">
        <w:t>September 5, 2019</w:t>
      </w:r>
      <w:r w:rsidR="002C577B">
        <w:t xml:space="preserve">. Retrieved from </w:t>
      </w:r>
      <w:hyperlink r:id="rId2" w:history="1">
        <w:r w:rsidR="002C577B">
          <w:rPr>
            <w:rStyle w:val="Hyperlink"/>
          </w:rPr>
          <w:t>https://www.phe.gov/Preparedness/legal/Pages/1135-waivers.aspx</w:t>
        </w:r>
      </w:hyperlink>
      <w:r w:rsidR="002C577B">
        <w:t>. Accessed June 16, 2020.</w:t>
      </w:r>
    </w:p>
  </w:footnote>
  <w:footnote w:id="5">
    <w:p w14:paraId="0F06BFC8" w14:textId="0A151C49" w:rsidR="00B5763A" w:rsidRDefault="00B5763A">
      <w:pPr>
        <w:pStyle w:val="FootnoteText"/>
      </w:pPr>
      <w:r>
        <w:rPr>
          <w:rStyle w:val="FootnoteReference"/>
        </w:rPr>
        <w:footnoteRef/>
      </w:r>
      <w:r>
        <w:t xml:space="preserve"> </w:t>
      </w:r>
      <w:r w:rsidRPr="00D954EF">
        <w:t xml:space="preserve">42 U.S.C. </w:t>
      </w:r>
      <w:r>
        <w:t>§</w:t>
      </w:r>
      <w:r w:rsidRPr="00D954EF">
        <w:t>1320b–5</w:t>
      </w:r>
      <w:r w:rsidR="000261EB">
        <w:t>(g)</w:t>
      </w:r>
      <w:r>
        <w:t xml:space="preserve">. </w:t>
      </w:r>
      <w:r w:rsidRPr="00B5763A">
        <w:rPr>
          <w:i/>
          <w:iCs/>
        </w:rPr>
        <w:t>See also</w:t>
      </w:r>
      <w:r>
        <w:t xml:space="preserve"> </w:t>
      </w:r>
      <w:r w:rsidR="003B33A2">
        <w:t xml:space="preserve">HHS. 1135 Waivers. Webpage last reviewed by HHS </w:t>
      </w:r>
      <w:r w:rsidR="003B33A2" w:rsidRPr="00185E72">
        <w:t>September 5, 2019</w:t>
      </w:r>
      <w:r w:rsidR="003B33A2">
        <w:t xml:space="preserve">. Retrieved from </w:t>
      </w:r>
      <w:hyperlink r:id="rId3" w:history="1">
        <w:r w:rsidR="003B33A2">
          <w:rPr>
            <w:rStyle w:val="Hyperlink"/>
          </w:rPr>
          <w:t>https://www.phe.gov/Preparedness/legal/Pages/1135-waivers.aspx</w:t>
        </w:r>
      </w:hyperlink>
      <w:r w:rsidR="003B33A2">
        <w:t>. Accessed June 16, 2020.</w:t>
      </w:r>
    </w:p>
  </w:footnote>
  <w:footnote w:id="6">
    <w:p w14:paraId="58B11595" w14:textId="0FC53930" w:rsidR="00EE4192" w:rsidRDefault="00EE4192" w:rsidP="00EE4192">
      <w:pPr>
        <w:pStyle w:val="FootnoteText"/>
      </w:pPr>
      <w:r>
        <w:rPr>
          <w:rStyle w:val="FootnoteReference"/>
        </w:rPr>
        <w:footnoteRef/>
      </w:r>
      <w:r>
        <w:t xml:space="preserve"> HHS. </w:t>
      </w:r>
      <w:r w:rsidRPr="00997BB3">
        <w:t>Public Health Emergency Declaration Q&amp;As</w:t>
      </w:r>
      <w:r>
        <w:t xml:space="preserve">. Webpage </w:t>
      </w:r>
      <w:r w:rsidR="00262A67">
        <w:t xml:space="preserve">last reviewed by HHS </w:t>
      </w:r>
      <w:r>
        <w:t xml:space="preserve">September 5, 2019. Retrieved from </w:t>
      </w:r>
      <w:hyperlink r:id="rId4" w:history="1">
        <w:r w:rsidRPr="00C72619">
          <w:rPr>
            <w:rStyle w:val="Hyperlink"/>
          </w:rPr>
          <w:t>https://www.phe.gov/Preparedness/legal/Pages/phe-qa.aspx</w:t>
        </w:r>
      </w:hyperlink>
      <w:r>
        <w:t xml:space="preserve">. </w:t>
      </w:r>
      <w:r w:rsidR="00D92991">
        <w:t xml:space="preserve">Accessed June 16, 2020. </w:t>
      </w:r>
      <w:r w:rsidR="00831D90" w:rsidRPr="00083B23">
        <w:rPr>
          <w:i/>
          <w:iCs/>
        </w:rPr>
        <w:t>Note:</w:t>
      </w:r>
      <w:r w:rsidR="00831D90">
        <w:t xml:space="preserve"> For COVID-19, the president issued a nationwide </w:t>
      </w:r>
      <w:r w:rsidR="00083B23">
        <w:t xml:space="preserve">emergency under the Stafford Act </w:t>
      </w:r>
      <w:r w:rsidR="00530688">
        <w:t>§</w:t>
      </w:r>
      <w:r w:rsidR="00530688" w:rsidRPr="00530688">
        <w:t>501(b) authority to find the COVID-19 pandemic of sufficient severity and magnitude to warrant a nationwide emergency declaration for all states, tribes, territories, and the District of Columbia</w:t>
      </w:r>
      <w:r w:rsidR="00530688">
        <w:t xml:space="preserve">. </w:t>
      </w:r>
      <w:r w:rsidR="004412AA" w:rsidRPr="004412AA">
        <w:t xml:space="preserve">Letter from Donald J. Trump, President of the United States, to Acting Secretary Wolf, Secretary Mnuchin, Secretary Azar, and Administrator Gaynor. March 13, 2020. Retrieved from  </w:t>
      </w:r>
      <w:hyperlink r:id="rId5" w:history="1">
        <w:r w:rsidR="004412AA" w:rsidRPr="004412AA">
          <w:rPr>
            <w:rStyle w:val="Hyperlink"/>
          </w:rPr>
          <w:t>https://www.whitehouse.gov/briefings-statements/letter-president-donald-j-trump-emergency-determination-stafford-act/</w:t>
        </w:r>
      </w:hyperlink>
      <w:r w:rsidR="004412AA" w:rsidRPr="004412AA">
        <w:t xml:space="preserve">. Accessed June 15, 2020.  </w:t>
      </w:r>
    </w:p>
  </w:footnote>
  <w:footnote w:id="7">
    <w:p w14:paraId="1C95DBC8" w14:textId="1172BF82" w:rsidR="00EE4192" w:rsidRDefault="00EE4192" w:rsidP="00EE4192">
      <w:pPr>
        <w:pStyle w:val="FootnoteText"/>
      </w:pPr>
      <w:r>
        <w:rPr>
          <w:rStyle w:val="FootnoteReference"/>
        </w:rPr>
        <w:footnoteRef/>
      </w:r>
      <w:r w:rsidR="00D75648">
        <w:t xml:space="preserve"> HHS. </w:t>
      </w:r>
      <w:r w:rsidR="00D75648" w:rsidRPr="00997BB3">
        <w:t>Public Health Emergency Declaration Q&amp;As</w:t>
      </w:r>
      <w:r w:rsidR="00D75648">
        <w:t xml:space="preserve">. Webpage last reviewed by HHS September 5, 2019. Retrieved from </w:t>
      </w:r>
      <w:hyperlink r:id="rId6" w:history="1">
        <w:r w:rsidR="00D75648" w:rsidRPr="00C72619">
          <w:rPr>
            <w:rStyle w:val="Hyperlink"/>
          </w:rPr>
          <w:t>https://www.phe.gov/Preparedness/legal/Pages/phe-qa.aspx</w:t>
        </w:r>
      </w:hyperlink>
      <w:r w:rsidR="00D75648">
        <w:t>. Accessed June 16, 2020.</w:t>
      </w:r>
    </w:p>
  </w:footnote>
  <w:footnote w:id="8">
    <w:p w14:paraId="4488668F" w14:textId="3CDF8738" w:rsidR="00FD1050" w:rsidRDefault="00FD1050">
      <w:pPr>
        <w:pStyle w:val="FootnoteText"/>
      </w:pPr>
      <w:r>
        <w:rPr>
          <w:rStyle w:val="FootnoteReference"/>
        </w:rPr>
        <w:footnoteRef/>
      </w:r>
      <w:r>
        <w:t xml:space="preserve"> </w:t>
      </w:r>
      <w:r w:rsidR="00E85F8B" w:rsidRPr="00E85F8B">
        <w:rPr>
          <w:i/>
          <w:iCs/>
        </w:rPr>
        <w:t>See for example</w:t>
      </w:r>
      <w:r w:rsidR="00E85F8B">
        <w:t xml:space="preserve"> </w:t>
      </w:r>
      <w:r w:rsidR="00C61A45">
        <w:t>CMS. Medicare Fee-For-Service. Additional Emergency and Disaster-Related Policies and Procedures That May Be Implemented Only With a § 1135 Waiver. Version 11. Question 1135B-</w:t>
      </w:r>
      <w:r w:rsidR="00F82E4F">
        <w:t>17</w:t>
      </w:r>
      <w:r w:rsidR="00C61A45">
        <w:t xml:space="preserve">. March 15, 2019. Retrieved from </w:t>
      </w:r>
      <w:hyperlink r:id="rId7" w:history="1">
        <w:r w:rsidR="00C61A45">
          <w:rPr>
            <w:rStyle w:val="Hyperlink"/>
          </w:rPr>
          <w:t>https://www.cms.gov/About-CMS/Agency-Information/Emergency/Downloads/MedicareFFS-EmergencyQsAs1135Waiver.pdf</w:t>
        </w:r>
      </w:hyperlink>
      <w:r w:rsidR="00C61A45">
        <w:t>.</w:t>
      </w:r>
      <w:r w:rsidR="00E85F8B">
        <w:t xml:space="preserve"> Accessed June 15, 2020.</w:t>
      </w:r>
    </w:p>
  </w:footnote>
  <w:footnote w:id="9">
    <w:p w14:paraId="0344BC12" w14:textId="1A88E073" w:rsidR="00C005F9" w:rsidRDefault="00C005F9" w:rsidP="00C005F9">
      <w:pPr>
        <w:pStyle w:val="FootnoteText"/>
      </w:pPr>
      <w:r>
        <w:rPr>
          <w:rStyle w:val="FootnoteReference"/>
        </w:rPr>
        <w:footnoteRef/>
      </w:r>
      <w:r>
        <w:t xml:space="preserve"> </w:t>
      </w:r>
      <w:r w:rsidR="00E85F8B" w:rsidRPr="00E85F8B">
        <w:rPr>
          <w:i/>
          <w:iCs/>
        </w:rPr>
        <w:t>See for example</w:t>
      </w:r>
      <w:r w:rsidR="00E85F8B">
        <w:t xml:space="preserve"> </w:t>
      </w:r>
      <w:r w:rsidR="00F31395">
        <w:t xml:space="preserve">CMS. Medicare Fee-For-Service. Additional Emergency and Disaster-Related Policies and Procedures That May Be Implemented Only With a § 1135 Waiver. Version 11. Question 1135B-17. March 15, 2019. Retrieved from </w:t>
      </w:r>
      <w:hyperlink r:id="rId8" w:history="1">
        <w:r w:rsidR="00F31395">
          <w:rPr>
            <w:rStyle w:val="Hyperlink"/>
          </w:rPr>
          <w:t>https://www.cms.gov/About-CMS/Agency-Information/Emergency/Downloads/MedicareFFS-EmergencyQsAs1135Waiver.pdf</w:t>
        </w:r>
      </w:hyperlink>
      <w:r w:rsidR="00F31395">
        <w:t>.</w:t>
      </w:r>
      <w:r w:rsidR="00E85F8B">
        <w:t xml:space="preserve"> Accessed June 15, 2020.</w:t>
      </w:r>
    </w:p>
  </w:footnote>
  <w:footnote w:id="10">
    <w:p w14:paraId="571B658D" w14:textId="62784336" w:rsidR="008E27CE" w:rsidRDefault="008E27CE" w:rsidP="00906C31">
      <w:pPr>
        <w:pStyle w:val="FootnoteText"/>
      </w:pPr>
      <w:r>
        <w:rPr>
          <w:rStyle w:val="FootnoteReference"/>
        </w:rPr>
        <w:footnoteRef/>
      </w:r>
      <w:r>
        <w:t xml:space="preserve"> </w:t>
      </w:r>
      <w:bookmarkStart w:id="0" w:name="_Hlk33291577"/>
      <w:r w:rsidR="000D3D12" w:rsidRPr="000D3D12">
        <w:rPr>
          <w:i/>
          <w:iCs/>
        </w:rPr>
        <w:t>See for example</w:t>
      </w:r>
      <w:r w:rsidR="000D3D12">
        <w:t xml:space="preserve"> </w:t>
      </w:r>
      <w:r w:rsidR="006C4D90">
        <w:t xml:space="preserve">CMS. </w:t>
      </w:r>
      <w:r w:rsidR="00906C31">
        <w:t>Medicare Fee-For-Service</w:t>
      </w:r>
      <w:r w:rsidR="000D3E81">
        <w:t xml:space="preserve">. </w:t>
      </w:r>
      <w:r w:rsidR="00906C31">
        <w:t>Additional Emergency and Disaster-Related</w:t>
      </w:r>
      <w:r w:rsidR="000D3E81">
        <w:t xml:space="preserve"> </w:t>
      </w:r>
      <w:r w:rsidR="00906C31">
        <w:t>Policies and Procedures</w:t>
      </w:r>
      <w:r w:rsidR="000D3E81">
        <w:t xml:space="preserve"> </w:t>
      </w:r>
      <w:r w:rsidR="00906C31">
        <w:t>That May Be Implemented Only With a § 1135 Waiver</w:t>
      </w:r>
      <w:r w:rsidR="000D3E81">
        <w:t xml:space="preserve">. </w:t>
      </w:r>
      <w:r w:rsidR="00DD3C04">
        <w:t xml:space="preserve">Version 11. </w:t>
      </w:r>
      <w:r w:rsidR="00C12B1C">
        <w:t xml:space="preserve">Question </w:t>
      </w:r>
      <w:r w:rsidR="00C45097">
        <w:t xml:space="preserve">1135B-9. </w:t>
      </w:r>
      <w:r w:rsidR="008E5DDA">
        <w:t>Mar</w:t>
      </w:r>
      <w:r w:rsidR="00DD3C04">
        <w:t>ch 15, 2019</w:t>
      </w:r>
      <w:r w:rsidR="00D66A9F">
        <w:t xml:space="preserve">. Retrieved from </w:t>
      </w:r>
      <w:hyperlink r:id="rId9" w:history="1">
        <w:r w:rsidR="00C03971">
          <w:rPr>
            <w:rStyle w:val="Hyperlink"/>
          </w:rPr>
          <w:t>https://www.cms.gov/About-CMS/Agency-Information/Emergency/Downloads/MedicareFFS-EmergencyQsAs1135Waiver.pdf</w:t>
        </w:r>
      </w:hyperlink>
      <w:r w:rsidR="00C12B1C">
        <w:t>.</w:t>
      </w:r>
      <w:bookmarkEnd w:id="0"/>
      <w:r w:rsidR="000D3D12">
        <w:t xml:space="preserve"> Accessed June 15, 2020.</w:t>
      </w:r>
    </w:p>
  </w:footnote>
  <w:footnote w:id="11">
    <w:p w14:paraId="11C801FA" w14:textId="17CFD4C2" w:rsidR="003F7DD6" w:rsidRDefault="003F7DD6" w:rsidP="003F7DD6">
      <w:pPr>
        <w:pStyle w:val="FootnoteText"/>
      </w:pPr>
      <w:r>
        <w:rPr>
          <w:rStyle w:val="FootnoteReference"/>
        </w:rPr>
        <w:footnoteRef/>
      </w:r>
      <w:r>
        <w:t xml:space="preserve"> </w:t>
      </w:r>
      <w:r w:rsidR="000D3D12" w:rsidRPr="000D3D12">
        <w:rPr>
          <w:i/>
          <w:iCs/>
        </w:rPr>
        <w:t>See for example</w:t>
      </w:r>
      <w:r w:rsidR="000D3D12">
        <w:t xml:space="preserve"> </w:t>
      </w:r>
      <w:r>
        <w:t xml:space="preserve">CMS. Medicare Fee-For-Service. Additional Emergency and Disaster-Related Policies and Procedures That May Be Implemented Only With a § 1135 Waiver. Version 11. Question 1135B-9. March 15, 2019. Retrieved from </w:t>
      </w:r>
      <w:hyperlink r:id="rId10" w:history="1">
        <w:r>
          <w:rPr>
            <w:rStyle w:val="Hyperlink"/>
          </w:rPr>
          <w:t>https://www.cms.gov/About-CMS/Agency-Information/Emergency/Downloads/MedicareFFS-EmergencyQsAs1135Waiver.pdf</w:t>
        </w:r>
      </w:hyperlink>
      <w:r>
        <w:t>.</w:t>
      </w:r>
      <w:r w:rsidR="000D3D12">
        <w:t xml:space="preserve"> Accessed June 15, 2020.</w:t>
      </w:r>
    </w:p>
  </w:footnote>
  <w:footnote w:id="12">
    <w:p w14:paraId="6D412C9F" w14:textId="134493AA" w:rsidR="0058050E" w:rsidRDefault="0058050E">
      <w:pPr>
        <w:pStyle w:val="FootnoteText"/>
      </w:pPr>
      <w:r>
        <w:rPr>
          <w:rStyle w:val="FootnoteReference"/>
        </w:rPr>
        <w:footnoteRef/>
      </w:r>
      <w:r>
        <w:t xml:space="preserve"> </w:t>
      </w:r>
      <w:r w:rsidRPr="00D954EF">
        <w:t xml:space="preserve">42 U.S.C. </w:t>
      </w:r>
      <w:r>
        <w:t>§</w:t>
      </w:r>
      <w:r w:rsidRPr="00D954EF">
        <w:t>1320b–5</w:t>
      </w:r>
      <w:r>
        <w:t>(d).</w:t>
      </w:r>
    </w:p>
  </w:footnote>
  <w:footnote w:id="13">
    <w:p w14:paraId="0D09EF94" w14:textId="2DAEAB23" w:rsidR="00DA0726" w:rsidRDefault="00DA0726" w:rsidP="00DA0726">
      <w:pPr>
        <w:pStyle w:val="FootnoteText"/>
      </w:pPr>
      <w:r>
        <w:rPr>
          <w:rStyle w:val="FootnoteReference"/>
        </w:rPr>
        <w:footnoteRef/>
      </w:r>
      <w:r>
        <w:t xml:space="preserve"> </w:t>
      </w:r>
      <w:r w:rsidR="00800F28" w:rsidRPr="00D954EF">
        <w:t xml:space="preserve">42 U.S.C. </w:t>
      </w:r>
      <w:r w:rsidR="00800F28">
        <w:t>§</w:t>
      </w:r>
      <w:r w:rsidR="00800F28" w:rsidRPr="00D954EF">
        <w:t>1320b–5</w:t>
      </w:r>
      <w:r w:rsidR="00800F28">
        <w:t xml:space="preserve">(d). </w:t>
      </w:r>
      <w:r w:rsidR="005F7584" w:rsidRPr="000917D7">
        <w:rPr>
          <w:i/>
          <w:iCs/>
        </w:rPr>
        <w:t>See a</w:t>
      </w:r>
      <w:r w:rsidR="000917D7" w:rsidRPr="000917D7">
        <w:rPr>
          <w:i/>
          <w:iCs/>
        </w:rPr>
        <w:t>lso</w:t>
      </w:r>
      <w:r w:rsidR="000917D7">
        <w:t xml:space="preserve"> </w:t>
      </w:r>
      <w:r w:rsidR="0076112F" w:rsidRPr="0076112F">
        <w:t xml:space="preserve">HHS. 1135 Waivers. Webpage last reviewed by HHS September 5, 2019. Retrieved from </w:t>
      </w:r>
      <w:hyperlink r:id="rId11" w:history="1">
        <w:r w:rsidR="0076112F" w:rsidRPr="0076112F">
          <w:rPr>
            <w:rStyle w:val="Hyperlink"/>
          </w:rPr>
          <w:t>https://www.phe.gov/Preparedness/legal/Pages/1135-waivers.aspx</w:t>
        </w:r>
      </w:hyperlink>
      <w:r w:rsidR="0076112F" w:rsidRPr="0076112F">
        <w:t>. Accessed June 16, 2020.</w:t>
      </w:r>
    </w:p>
  </w:footnote>
  <w:footnote w:id="14">
    <w:p w14:paraId="6302240C" w14:textId="77777777" w:rsidR="00F03C48" w:rsidRDefault="00F03C48" w:rsidP="00F03C48">
      <w:pPr>
        <w:pStyle w:val="FootnoteText"/>
      </w:pPr>
      <w:r>
        <w:rPr>
          <w:rStyle w:val="FootnoteReference"/>
        </w:rPr>
        <w:footnoteRef/>
      </w:r>
      <w:r>
        <w:t xml:space="preserve"> HHS. 1135 Waivers. Webpage last reviewed by HHS </w:t>
      </w:r>
      <w:r w:rsidRPr="00185E72">
        <w:t>September 5, 2019</w:t>
      </w:r>
      <w:r>
        <w:t xml:space="preserve">. Retrieved from </w:t>
      </w:r>
      <w:hyperlink r:id="rId12" w:history="1">
        <w:r>
          <w:rPr>
            <w:rStyle w:val="Hyperlink"/>
          </w:rPr>
          <w:t>https://www.phe.gov/Preparedness/legal/Pages/1135-waivers.aspx</w:t>
        </w:r>
      </w:hyperlink>
      <w:r>
        <w:t>. Accessed June 16, 2020.</w:t>
      </w:r>
    </w:p>
  </w:footnote>
  <w:footnote w:id="15">
    <w:p w14:paraId="7E7075FB" w14:textId="2B374153" w:rsidR="00B87AEF" w:rsidRDefault="00B87AEF" w:rsidP="00B87AEF">
      <w:pPr>
        <w:pStyle w:val="FootnoteText"/>
      </w:pPr>
      <w:r>
        <w:rPr>
          <w:rStyle w:val="FootnoteReference"/>
        </w:rPr>
        <w:footnoteRef/>
      </w:r>
      <w:r>
        <w:t xml:space="preserve"> </w:t>
      </w:r>
      <w:r w:rsidR="003958E5">
        <w:t xml:space="preserve">HHS. 1135 Waivers. Webpage last reviewed by HHS </w:t>
      </w:r>
      <w:r w:rsidR="003958E5" w:rsidRPr="00185E72">
        <w:t>September 5, 2019</w:t>
      </w:r>
      <w:r w:rsidR="003958E5">
        <w:t xml:space="preserve">. Retrieved from </w:t>
      </w:r>
      <w:hyperlink r:id="rId13" w:history="1">
        <w:r w:rsidR="003958E5">
          <w:rPr>
            <w:rStyle w:val="Hyperlink"/>
          </w:rPr>
          <w:t>https://www.phe.gov/Preparedness/legal/Pages/1135-waivers.aspx</w:t>
        </w:r>
      </w:hyperlink>
      <w:r w:rsidR="003958E5">
        <w:t xml:space="preserve">. Accessed June 16, 2020. </w:t>
      </w:r>
      <w:r w:rsidR="005479D8" w:rsidRPr="005479D8">
        <w:rPr>
          <w:i/>
          <w:iCs/>
        </w:rPr>
        <w:t>See also</w:t>
      </w:r>
      <w:r w:rsidR="005479D8">
        <w:t xml:space="preserve"> </w:t>
      </w:r>
      <w:r w:rsidR="003958E5">
        <w:t xml:space="preserve">CMS. Medicare Fee-For-Service. Additional Emergency and Disaster-Related Policies and Procedures That May Be Implemented Only With a § 1135 Waiver. Version 11. Question 1135B-9. March 15, 2019. Retrieved from </w:t>
      </w:r>
      <w:hyperlink r:id="rId14" w:history="1">
        <w:r w:rsidR="003958E5">
          <w:rPr>
            <w:rStyle w:val="Hyperlink"/>
          </w:rPr>
          <w:t>https://www.cms.gov/About-CMS/Agency-Information/Emergency/Downloads/MedicareFFS-EmergencyQsAs1135Waiver.pdf</w:t>
        </w:r>
      </w:hyperlink>
      <w:r w:rsidR="003958E5">
        <w:t>. Accessed June 15, 2020.</w:t>
      </w:r>
    </w:p>
  </w:footnote>
  <w:footnote w:id="16">
    <w:p w14:paraId="3C35D5BB" w14:textId="35E505D3" w:rsidR="00BD0528" w:rsidRDefault="00BD0528">
      <w:pPr>
        <w:pStyle w:val="FootnoteText"/>
      </w:pPr>
      <w:r>
        <w:rPr>
          <w:rStyle w:val="FootnoteReference"/>
        </w:rPr>
        <w:footnoteRef/>
      </w:r>
      <w:r>
        <w:t xml:space="preserve"> </w:t>
      </w:r>
      <w:r w:rsidR="009329A1">
        <w:t xml:space="preserve">HHS. </w:t>
      </w:r>
      <w:r w:rsidR="009329A1" w:rsidRPr="00997BB3">
        <w:t>Public Health Emergency Declaration Q&amp;As</w:t>
      </w:r>
      <w:r w:rsidR="009329A1">
        <w:t xml:space="preserve">. Webpage last reviewed by HHS September 5, 2019. Retrieved from </w:t>
      </w:r>
      <w:hyperlink r:id="rId15" w:history="1">
        <w:r w:rsidR="009329A1" w:rsidRPr="00C72619">
          <w:rPr>
            <w:rStyle w:val="Hyperlink"/>
          </w:rPr>
          <w:t>https://www.phe.gov/Preparedness/legal/Pages/phe-qa.aspx</w:t>
        </w:r>
      </w:hyperlink>
      <w:r w:rsidR="009329A1">
        <w:t>. Accessed June 16, 2020.</w:t>
      </w:r>
      <w:r w:rsidR="005479D8">
        <w:t xml:space="preserve"> </w:t>
      </w:r>
      <w:r w:rsidR="005479D8" w:rsidRPr="005479D8">
        <w:rPr>
          <w:i/>
          <w:iCs/>
        </w:rPr>
        <w:t>See also</w:t>
      </w:r>
      <w:r w:rsidR="005479D8">
        <w:t xml:space="preserve"> </w:t>
      </w:r>
      <w:r w:rsidR="009329A1">
        <w:t xml:space="preserve">CMS. Medicare Fee-For-Service. Additional Emergency and Disaster-Related Policies and Procedures That May Be Implemented Only With a § 1135 Waiver. Version 11. Question 1135B-9. March 15, 2019. Retrieved from </w:t>
      </w:r>
      <w:hyperlink r:id="rId16" w:history="1">
        <w:r w:rsidR="009329A1">
          <w:rPr>
            <w:rStyle w:val="Hyperlink"/>
          </w:rPr>
          <w:t>https://www.cms.gov/About-CMS/Agency-Information/Emergency/Downloads/MedicareFFS-EmergencyQsAs1135Waiver.pdf</w:t>
        </w:r>
      </w:hyperlink>
      <w:r w:rsidR="009329A1">
        <w:t>. Accessed June 15, 2020.</w:t>
      </w:r>
    </w:p>
  </w:footnote>
  <w:footnote w:id="17">
    <w:p w14:paraId="6CAE64E9" w14:textId="1A50D6D1" w:rsidR="00FD39B1" w:rsidRDefault="00FD39B1">
      <w:pPr>
        <w:pStyle w:val="FootnoteText"/>
      </w:pPr>
      <w:r>
        <w:rPr>
          <w:rStyle w:val="FootnoteReference"/>
        </w:rPr>
        <w:footnoteRef/>
      </w:r>
      <w:r>
        <w:t xml:space="preserve"> </w:t>
      </w:r>
      <w:r w:rsidR="00405398">
        <w:t xml:space="preserve">HHS. </w:t>
      </w:r>
      <w:r w:rsidR="00405398" w:rsidRPr="00997BB3">
        <w:t>Public Health Emergency Declaration Q&amp;As</w:t>
      </w:r>
      <w:r w:rsidR="00405398">
        <w:t xml:space="preserve">. Webpage last reviewed by HHS September 5, 2019. Retrieved from </w:t>
      </w:r>
      <w:hyperlink r:id="rId17" w:history="1">
        <w:r w:rsidR="00405398" w:rsidRPr="00C72619">
          <w:rPr>
            <w:rStyle w:val="Hyperlink"/>
          </w:rPr>
          <w:t>https://www.phe.gov/Preparedness/legal/Pages/phe-qa.aspx</w:t>
        </w:r>
      </w:hyperlink>
      <w:r w:rsidR="00405398">
        <w:t xml:space="preserve">. Accessed June 16, 2020. </w:t>
      </w:r>
      <w:r w:rsidR="00405398" w:rsidRPr="005479D8">
        <w:rPr>
          <w:i/>
          <w:iCs/>
        </w:rPr>
        <w:t>See also</w:t>
      </w:r>
      <w:r w:rsidR="00405398">
        <w:t xml:space="preserve"> CMS. Medicare Fee-For-Service. Additional Emergency and Disaster-Related Policies and Procedures That May Be Implemented Only With a § 1135 Waiver. Version 11. Question 1135B-9. March 15, 2019. Retrieved from </w:t>
      </w:r>
      <w:hyperlink r:id="rId18" w:history="1">
        <w:r w:rsidR="00405398">
          <w:rPr>
            <w:rStyle w:val="Hyperlink"/>
          </w:rPr>
          <w:t>https://www.cms.gov/About-CMS/Agency-Information/Emergency/Downloads/MedicareFFS-EmergencyQsAs1135Waiver.pdf</w:t>
        </w:r>
      </w:hyperlink>
      <w:r w:rsidR="00405398">
        <w:t>. Accessed June 15, 2020.</w:t>
      </w:r>
    </w:p>
  </w:footnote>
  <w:footnote w:id="18">
    <w:p w14:paraId="3B6B24FB" w14:textId="6547BA6D" w:rsidR="00B87AEF" w:rsidRDefault="00B87AEF" w:rsidP="00B87AEF">
      <w:pPr>
        <w:pStyle w:val="FootnoteText"/>
      </w:pPr>
      <w:r>
        <w:rPr>
          <w:rStyle w:val="FootnoteReference"/>
        </w:rPr>
        <w:footnoteRef/>
      </w:r>
      <w:r>
        <w:t xml:space="preserve"> </w:t>
      </w:r>
      <w:r w:rsidR="00405398">
        <w:t xml:space="preserve">HHS. </w:t>
      </w:r>
      <w:r w:rsidR="00405398" w:rsidRPr="00997BB3">
        <w:t>Public Health Emergency Declaration Q&amp;As</w:t>
      </w:r>
      <w:r w:rsidR="00405398">
        <w:t xml:space="preserve">. Webpage last reviewed by HHS September 5, 2019. Retrieved from </w:t>
      </w:r>
      <w:hyperlink r:id="rId19" w:history="1">
        <w:r w:rsidR="00405398" w:rsidRPr="00C72619">
          <w:rPr>
            <w:rStyle w:val="Hyperlink"/>
          </w:rPr>
          <w:t>https://www.phe.gov/Preparedness/legal/Pages/phe-qa.aspx</w:t>
        </w:r>
      </w:hyperlink>
      <w:r w:rsidR="00405398">
        <w:t xml:space="preserve">. Accessed June 16, 2020. </w:t>
      </w:r>
      <w:r w:rsidR="00405398" w:rsidRPr="005479D8">
        <w:rPr>
          <w:i/>
          <w:iCs/>
        </w:rPr>
        <w:t>See also</w:t>
      </w:r>
      <w:r w:rsidR="00405398">
        <w:t xml:space="preserve"> CMS. Medicare Fee-For-Service. Additional Emergency and Disaster-Related Policies and Procedures That May Be Implemented Only With a § 1135 Waiver. Version 11. Question 1135B-9. March 15, 2019. Retrieved from </w:t>
      </w:r>
      <w:hyperlink r:id="rId20" w:history="1">
        <w:r w:rsidR="00405398">
          <w:rPr>
            <w:rStyle w:val="Hyperlink"/>
          </w:rPr>
          <w:t>https://www.cms.gov/About-CMS/Agency-Information/Emergency/Downloads/MedicareFFS-EmergencyQsAs1135Waiver.pdf</w:t>
        </w:r>
      </w:hyperlink>
      <w:r w:rsidR="00405398">
        <w:t>. Accessed June 15, 2020.</w:t>
      </w:r>
    </w:p>
  </w:footnote>
  <w:footnote w:id="19">
    <w:p w14:paraId="7333B342" w14:textId="38F19F7E" w:rsidR="00F006E2" w:rsidRDefault="00F006E2">
      <w:pPr>
        <w:pStyle w:val="FootnoteText"/>
      </w:pPr>
      <w:r>
        <w:rPr>
          <w:rStyle w:val="FootnoteReference"/>
        </w:rPr>
        <w:footnoteRef/>
      </w:r>
      <w:r>
        <w:t xml:space="preserve"> CMS. </w:t>
      </w:r>
      <w:r w:rsidRPr="00F006E2">
        <w:t>COVID-19 Emergency Declaration Blanket Waivers for Health Care Providers</w:t>
      </w:r>
      <w:r w:rsidR="00140C60">
        <w:t xml:space="preserve">. </w:t>
      </w:r>
      <w:r w:rsidR="00FB78CA">
        <w:t xml:space="preserve">June 25, 2020. Retrieved from </w:t>
      </w:r>
      <w:hyperlink r:id="rId21" w:history="1">
        <w:r w:rsidR="00EC0C73" w:rsidRPr="00EC0C73">
          <w:rPr>
            <w:rStyle w:val="Hyperlink"/>
          </w:rPr>
          <w:t>https://www.cms.gov/files/document/summary-covid-19-emergency-declaration-waivers.pdf</w:t>
        </w:r>
      </w:hyperlink>
      <w:r w:rsidR="00EC0C73">
        <w:t>. Accessed June 30, 2020.</w:t>
      </w:r>
      <w:r w:rsidR="00FD63A4">
        <w:t xml:space="preserve"> See also CMS. </w:t>
      </w:r>
      <w:r w:rsidR="009E30BC" w:rsidRPr="009E30BC">
        <w:t xml:space="preserve">Current </w:t>
      </w:r>
      <w:r w:rsidR="009E30BC">
        <w:t>E</w:t>
      </w:r>
      <w:r w:rsidR="009E30BC" w:rsidRPr="009E30BC">
        <w:t>mergencies</w:t>
      </w:r>
      <w:r w:rsidR="009E30BC">
        <w:t xml:space="preserve">. Webpage last </w:t>
      </w:r>
      <w:r w:rsidR="00DC491C">
        <w:t xml:space="preserve">modified June 30, 2020. Retrieved from </w:t>
      </w:r>
      <w:hyperlink r:id="rId22" w:history="1">
        <w:r w:rsidR="00D80C73">
          <w:rPr>
            <w:rStyle w:val="Hyperlink"/>
          </w:rPr>
          <w:t>https://www.cms.gov/About-CMS/Agency-Information/Emergency/EPRO/Current-Emergencies/Current-Emergencies-page</w:t>
        </w:r>
      </w:hyperlink>
      <w:r w:rsidR="00D80C73">
        <w:t>. Accessed June 30, 2020.</w:t>
      </w:r>
    </w:p>
  </w:footnote>
  <w:footnote w:id="20">
    <w:p w14:paraId="6887C848" w14:textId="768AD528" w:rsidR="009F44E4" w:rsidRDefault="009F44E4">
      <w:pPr>
        <w:pStyle w:val="FootnoteText"/>
      </w:pPr>
      <w:r>
        <w:rPr>
          <w:rStyle w:val="FootnoteReference"/>
        </w:rPr>
        <w:footnoteRef/>
      </w:r>
      <w:r>
        <w:t xml:space="preserve"> CMS. </w:t>
      </w:r>
      <w:r w:rsidRPr="00F006E2">
        <w:t>COVID-19 Emergency Declaration Blanket Waivers for Health Care Providers</w:t>
      </w:r>
      <w:r>
        <w:t xml:space="preserve">. June 25, 2020. Retrieved from </w:t>
      </w:r>
      <w:hyperlink r:id="rId23" w:history="1">
        <w:r w:rsidRPr="00EC0C73">
          <w:rPr>
            <w:rStyle w:val="Hyperlink"/>
          </w:rPr>
          <w:t>https://www.cms.gov/files/document/summary-covid-19-emergency-declaration-waivers.pdf</w:t>
        </w:r>
      </w:hyperlink>
      <w:r>
        <w:t>. Accessed June 30, 2020.</w:t>
      </w:r>
    </w:p>
  </w:footnote>
  <w:footnote w:id="21">
    <w:p w14:paraId="023BC465" w14:textId="6E7E43C1" w:rsidR="0072006F" w:rsidRDefault="0072006F">
      <w:pPr>
        <w:pStyle w:val="FootnoteText"/>
      </w:pPr>
      <w:r>
        <w:rPr>
          <w:rStyle w:val="FootnoteReference"/>
        </w:rPr>
        <w:footnoteRef/>
      </w:r>
      <w:r>
        <w:t xml:space="preserve"> </w:t>
      </w:r>
      <w:r w:rsidRPr="00D954EF">
        <w:t xml:space="preserve">42 U.S.C. </w:t>
      </w:r>
      <w:r>
        <w:t>§</w:t>
      </w:r>
      <w:r w:rsidRPr="00D954EF">
        <w:t>1320b–5</w:t>
      </w:r>
      <w:r w:rsidR="00945588">
        <w:t>(b)</w:t>
      </w:r>
      <w:r w:rsidR="00D85D18">
        <w:t>.</w:t>
      </w:r>
    </w:p>
  </w:footnote>
  <w:footnote w:id="22">
    <w:p w14:paraId="678D59B4" w14:textId="722D2C0C" w:rsidR="006D674E" w:rsidRDefault="006D674E">
      <w:pPr>
        <w:pStyle w:val="FootnoteText"/>
      </w:pPr>
      <w:r>
        <w:rPr>
          <w:rStyle w:val="FootnoteReference"/>
        </w:rPr>
        <w:footnoteRef/>
      </w:r>
      <w:r>
        <w:t xml:space="preserve"> </w:t>
      </w:r>
      <w:r w:rsidRPr="00D954EF">
        <w:t xml:space="preserve">42 U.S.C. </w:t>
      </w:r>
      <w:r>
        <w:t>§</w:t>
      </w:r>
      <w:r w:rsidRPr="00D954EF">
        <w:t>1320b–5</w:t>
      </w:r>
      <w:r>
        <w:t>(b)</w:t>
      </w:r>
      <w:r w:rsidR="00AF016A">
        <w:t>(1)</w:t>
      </w:r>
      <w:r>
        <w:t>.</w:t>
      </w:r>
    </w:p>
  </w:footnote>
  <w:footnote w:id="23">
    <w:p w14:paraId="245AC811" w14:textId="691EB8E1" w:rsidR="00BA7E83" w:rsidRDefault="00BA7E83">
      <w:pPr>
        <w:pStyle w:val="FootnoteText"/>
      </w:pPr>
      <w:r>
        <w:rPr>
          <w:rStyle w:val="FootnoteReference"/>
        </w:rPr>
        <w:footnoteRef/>
      </w:r>
      <w:r>
        <w:t xml:space="preserve"> </w:t>
      </w:r>
      <w:r w:rsidRPr="00D954EF">
        <w:t xml:space="preserve">42 U.S.C. </w:t>
      </w:r>
      <w:r>
        <w:t>§</w:t>
      </w:r>
      <w:r w:rsidRPr="00D954EF">
        <w:t>1320b–5</w:t>
      </w:r>
      <w:r>
        <w:t>(b)(2).</w:t>
      </w:r>
    </w:p>
  </w:footnote>
  <w:footnote w:id="24">
    <w:p w14:paraId="617A396B" w14:textId="4993FFD1" w:rsidR="00A052FA" w:rsidRDefault="00A052FA">
      <w:pPr>
        <w:pStyle w:val="FootnoteText"/>
      </w:pPr>
      <w:r>
        <w:rPr>
          <w:rStyle w:val="FootnoteReference"/>
        </w:rPr>
        <w:footnoteRef/>
      </w:r>
      <w:r>
        <w:t xml:space="preserve"> </w:t>
      </w:r>
      <w:r w:rsidRPr="00D954EF">
        <w:t xml:space="preserve">42 U.S.C. </w:t>
      </w:r>
      <w:r>
        <w:t>§</w:t>
      </w:r>
      <w:r w:rsidRPr="00D954EF">
        <w:t>1320b–5</w:t>
      </w:r>
      <w:r>
        <w:t>(b)(3).</w:t>
      </w:r>
    </w:p>
  </w:footnote>
  <w:footnote w:id="25">
    <w:p w14:paraId="03B46437" w14:textId="7112897F" w:rsidR="00722F36" w:rsidRDefault="00722F36">
      <w:pPr>
        <w:pStyle w:val="FootnoteText"/>
      </w:pPr>
      <w:r>
        <w:rPr>
          <w:rStyle w:val="FootnoteReference"/>
        </w:rPr>
        <w:footnoteRef/>
      </w:r>
      <w:r>
        <w:t xml:space="preserve"> </w:t>
      </w:r>
      <w:bookmarkStart w:id="1" w:name="_Hlk33299545"/>
      <w:r w:rsidR="003805E4" w:rsidRPr="00D954EF">
        <w:t xml:space="preserve">42 U.S.C. </w:t>
      </w:r>
      <w:r w:rsidR="003805E4">
        <w:t>§</w:t>
      </w:r>
      <w:r w:rsidR="003805E4" w:rsidRPr="00D954EF">
        <w:t>1320b–5</w:t>
      </w:r>
      <w:r w:rsidR="003805E4">
        <w:t xml:space="preserve">(b). </w:t>
      </w:r>
      <w:r w:rsidR="003805E4" w:rsidRPr="003805E4">
        <w:rPr>
          <w:i/>
          <w:iCs/>
        </w:rPr>
        <w:t>See also</w:t>
      </w:r>
      <w:r w:rsidR="003805E4">
        <w:t xml:space="preserve"> </w:t>
      </w:r>
      <w:bookmarkEnd w:id="1"/>
      <w:r w:rsidR="004663E5">
        <w:t xml:space="preserve">HHS. 1135 Waivers. Webpage last reviewed by HHS </w:t>
      </w:r>
      <w:r w:rsidR="004663E5" w:rsidRPr="00185E72">
        <w:t>September 5, 2019</w:t>
      </w:r>
      <w:r w:rsidR="004663E5">
        <w:t xml:space="preserve">. Retrieved from </w:t>
      </w:r>
      <w:hyperlink r:id="rId24" w:history="1">
        <w:r w:rsidR="004663E5">
          <w:rPr>
            <w:rStyle w:val="Hyperlink"/>
          </w:rPr>
          <w:t>https://www.phe.gov/Preparedness/legal/Pages/1135-waivers.aspx</w:t>
        </w:r>
      </w:hyperlink>
      <w:r w:rsidR="004663E5">
        <w:t>. Accessed June 16, 2020.</w:t>
      </w:r>
    </w:p>
  </w:footnote>
  <w:footnote w:id="26">
    <w:p w14:paraId="16AD3862" w14:textId="0B4803B6" w:rsidR="002E62F1" w:rsidRDefault="002E62F1">
      <w:pPr>
        <w:pStyle w:val="FootnoteText"/>
      </w:pPr>
      <w:r>
        <w:rPr>
          <w:rStyle w:val="FootnoteReference"/>
        </w:rPr>
        <w:footnoteRef/>
      </w:r>
      <w:r>
        <w:t xml:space="preserve"> </w:t>
      </w:r>
      <w:r w:rsidRPr="00D954EF">
        <w:t xml:space="preserve">42 U.S.C. </w:t>
      </w:r>
      <w:r>
        <w:t>§</w:t>
      </w:r>
      <w:r w:rsidRPr="00D954EF">
        <w:t>1320b–5</w:t>
      </w:r>
      <w:r>
        <w:t>(b)(4).</w:t>
      </w:r>
    </w:p>
  </w:footnote>
  <w:footnote w:id="27">
    <w:p w14:paraId="7F42C93D" w14:textId="57368BB8" w:rsidR="00FA3196" w:rsidRDefault="00FA3196">
      <w:pPr>
        <w:pStyle w:val="FootnoteText"/>
      </w:pPr>
      <w:r>
        <w:rPr>
          <w:rStyle w:val="FootnoteReference"/>
        </w:rPr>
        <w:footnoteRef/>
      </w:r>
      <w:r>
        <w:t xml:space="preserve"> </w:t>
      </w:r>
      <w:r w:rsidRPr="00D954EF">
        <w:t xml:space="preserve">42 U.S.C. </w:t>
      </w:r>
      <w:r>
        <w:t>§</w:t>
      </w:r>
      <w:r w:rsidRPr="00D954EF">
        <w:t>1320b–5</w:t>
      </w:r>
      <w:r>
        <w:t>(b)(5).</w:t>
      </w:r>
    </w:p>
  </w:footnote>
  <w:footnote w:id="28">
    <w:p w14:paraId="3E8F0682" w14:textId="0C9A8071" w:rsidR="00FA3196" w:rsidRDefault="00FA3196">
      <w:pPr>
        <w:pStyle w:val="FootnoteText"/>
      </w:pPr>
      <w:r>
        <w:rPr>
          <w:rStyle w:val="FootnoteReference"/>
        </w:rPr>
        <w:footnoteRef/>
      </w:r>
      <w:r>
        <w:t xml:space="preserve"> </w:t>
      </w:r>
      <w:r w:rsidRPr="00D954EF">
        <w:t xml:space="preserve">42 U.S.C. </w:t>
      </w:r>
      <w:r>
        <w:t>§</w:t>
      </w:r>
      <w:r w:rsidRPr="00D954EF">
        <w:t>1320b–5</w:t>
      </w:r>
      <w:r>
        <w:t>(b)(</w:t>
      </w:r>
      <w:r w:rsidR="00A752FE">
        <w:t>6</w:t>
      </w:r>
      <w:r>
        <w:t>).</w:t>
      </w:r>
    </w:p>
  </w:footnote>
  <w:footnote w:id="29">
    <w:p w14:paraId="742C2829" w14:textId="6EE948A5" w:rsidR="00322123" w:rsidRDefault="00322123">
      <w:pPr>
        <w:pStyle w:val="FootnoteText"/>
      </w:pPr>
      <w:r>
        <w:rPr>
          <w:rStyle w:val="FootnoteReference"/>
        </w:rPr>
        <w:footnoteRef/>
      </w:r>
      <w:r>
        <w:t xml:space="preserve"> </w:t>
      </w:r>
      <w:r w:rsidRPr="00D954EF">
        <w:t xml:space="preserve">42 U.S.C. </w:t>
      </w:r>
      <w:r>
        <w:t>§</w:t>
      </w:r>
      <w:r w:rsidRPr="00D954EF">
        <w:t>1320b–5</w:t>
      </w:r>
      <w:r>
        <w:t>(b)(7).</w:t>
      </w:r>
      <w:r w:rsidR="00781E52">
        <w:t xml:space="preserve"> </w:t>
      </w:r>
      <w:r w:rsidR="00781E52" w:rsidRPr="009979BF">
        <w:rPr>
          <w:i/>
          <w:iCs/>
        </w:rPr>
        <w:t>See also</w:t>
      </w:r>
      <w:r w:rsidR="009979BF">
        <w:t xml:space="preserve"> HHS. </w:t>
      </w:r>
      <w:r w:rsidR="009979BF" w:rsidRPr="009979BF">
        <w:t>COVID-19 &amp; HIPAA Bulletin Limited Waiver of HIPAA Sanctions and Penalties During a Nationwide Public Health Emergency</w:t>
      </w:r>
      <w:r w:rsidR="009979BF">
        <w:t xml:space="preserve">. March 2020. Retrieved from </w:t>
      </w:r>
      <w:r w:rsidR="00781E52">
        <w:t xml:space="preserve">  </w:t>
      </w:r>
      <w:hyperlink r:id="rId25" w:history="1">
        <w:r w:rsidR="00781E52">
          <w:rPr>
            <w:rStyle w:val="Hyperlink"/>
          </w:rPr>
          <w:t>https://www.hhs.gov/sites/default/files/hipaa-and-covid-19-limited-hipaa-waiver-bulletin-508.pdf</w:t>
        </w:r>
      </w:hyperlink>
      <w:r w:rsidR="009979BF">
        <w:t>. Accessed June 16, 2020.</w:t>
      </w:r>
    </w:p>
  </w:footnote>
  <w:footnote w:id="30">
    <w:p w14:paraId="498CACEC" w14:textId="7BCEE0A1" w:rsidR="003805E4" w:rsidRDefault="003805E4">
      <w:pPr>
        <w:pStyle w:val="FootnoteText"/>
      </w:pPr>
      <w:r>
        <w:rPr>
          <w:rStyle w:val="FootnoteReference"/>
        </w:rPr>
        <w:footnoteRef/>
      </w:r>
      <w:r>
        <w:t xml:space="preserve"> </w:t>
      </w:r>
      <w:r w:rsidRPr="00D954EF">
        <w:t xml:space="preserve">42 U.S.C. </w:t>
      </w:r>
      <w:r>
        <w:t>§</w:t>
      </w:r>
      <w:r w:rsidRPr="00D954EF">
        <w:t>1320b–5</w:t>
      </w:r>
      <w:r>
        <w:t xml:space="preserve">(b). </w:t>
      </w:r>
      <w:r w:rsidRPr="003805E4">
        <w:rPr>
          <w:i/>
          <w:iCs/>
        </w:rPr>
        <w:t>See also</w:t>
      </w:r>
      <w:r>
        <w:t xml:space="preserve"> </w:t>
      </w:r>
      <w:r w:rsidR="004663E5">
        <w:t xml:space="preserve">HHS. 1135 Waivers. Webpage last reviewed by HHS </w:t>
      </w:r>
      <w:r w:rsidR="004663E5" w:rsidRPr="00185E72">
        <w:t>September 5, 2019</w:t>
      </w:r>
      <w:r w:rsidR="004663E5">
        <w:t xml:space="preserve">. Retrieved from </w:t>
      </w:r>
      <w:hyperlink r:id="rId26" w:history="1">
        <w:r w:rsidR="004663E5">
          <w:rPr>
            <w:rStyle w:val="Hyperlink"/>
          </w:rPr>
          <w:t>https://www.phe.gov/Preparedness/legal/Pages/1135-waivers.aspx</w:t>
        </w:r>
      </w:hyperlink>
      <w:r w:rsidR="004663E5">
        <w:t>. Accessed June 16, 2020.</w:t>
      </w:r>
    </w:p>
  </w:footnote>
  <w:footnote w:id="31">
    <w:p w14:paraId="1F5C4878" w14:textId="1B4CEBD8" w:rsidR="00E427FD" w:rsidRDefault="00E427FD">
      <w:pPr>
        <w:pStyle w:val="FootnoteText"/>
      </w:pPr>
      <w:r>
        <w:rPr>
          <w:rStyle w:val="FootnoteReference"/>
        </w:rPr>
        <w:footnoteRef/>
      </w:r>
      <w:r>
        <w:t xml:space="preserve"> </w:t>
      </w:r>
      <w:r w:rsidR="00187EF2">
        <w:t>42 U.S.C. 1320b–5</w:t>
      </w:r>
      <w:r w:rsidR="007D39AC">
        <w:t>(g).</w:t>
      </w:r>
    </w:p>
  </w:footnote>
  <w:footnote w:id="32">
    <w:p w14:paraId="5C058EAE" w14:textId="2448D6B8" w:rsidR="00C910D3" w:rsidRDefault="00C910D3" w:rsidP="00C910D3">
      <w:pPr>
        <w:pStyle w:val="FootnoteText"/>
      </w:pPr>
      <w:r>
        <w:rPr>
          <w:rStyle w:val="FootnoteReference"/>
        </w:rPr>
        <w:footnoteRef/>
      </w:r>
      <w:r>
        <w:t xml:space="preserve"> </w:t>
      </w:r>
      <w:r w:rsidR="00B25317">
        <w:t>42 U.S.C. 1320b–5(a).</w:t>
      </w:r>
    </w:p>
  </w:footnote>
  <w:footnote w:id="33">
    <w:p w14:paraId="784F4108" w14:textId="0FBEAD5B" w:rsidR="007D18EA" w:rsidRDefault="007D18EA" w:rsidP="007D18EA">
      <w:pPr>
        <w:pStyle w:val="FootnoteText"/>
      </w:pPr>
      <w:r>
        <w:rPr>
          <w:rStyle w:val="FootnoteReference"/>
        </w:rPr>
        <w:footnoteRef/>
      </w:r>
      <w:r>
        <w:t xml:space="preserve"> </w:t>
      </w:r>
      <w:r w:rsidR="00AE4DBA">
        <w:t>42 U.S.C. 1320b–5(g).</w:t>
      </w:r>
    </w:p>
  </w:footnote>
  <w:footnote w:id="34">
    <w:p w14:paraId="5C3F82D3" w14:textId="4844BCF0" w:rsidR="00C910D3" w:rsidRDefault="00C910D3" w:rsidP="00C910D3">
      <w:pPr>
        <w:pStyle w:val="FootnoteText"/>
      </w:pPr>
      <w:r>
        <w:rPr>
          <w:rStyle w:val="FootnoteReference"/>
        </w:rPr>
        <w:footnoteRef/>
      </w:r>
      <w:r>
        <w:t xml:space="preserve"> </w:t>
      </w:r>
      <w:r w:rsidR="00926D4F" w:rsidRPr="00926D4F">
        <w:rPr>
          <w:i/>
          <w:iCs/>
        </w:rPr>
        <w:t>See for example</w:t>
      </w:r>
      <w:r w:rsidR="00926D4F">
        <w:t xml:space="preserve"> </w:t>
      </w:r>
      <w:r w:rsidR="00DF48C9">
        <w:t xml:space="preserve">CMS. Medicare Fee-For-Service. Additional Emergency and Disaster-Related Policies and Procedures That May Be Implemented Only With a § 1135 Waiver. Version 11. Question 1135E-1. March 15, 2019. Retrieved from </w:t>
      </w:r>
      <w:hyperlink r:id="rId27" w:history="1">
        <w:r w:rsidR="00DF48C9">
          <w:rPr>
            <w:rStyle w:val="Hyperlink"/>
          </w:rPr>
          <w:t>https://www.cms.gov/About-CMS/Agency-Information/Emergency/Downloads/MedicareFFS-EmergencyQsAs1135Waiver.pdf</w:t>
        </w:r>
      </w:hyperlink>
      <w:r w:rsidR="00DF48C9">
        <w:t>.</w:t>
      </w:r>
      <w:r w:rsidR="00926D4F">
        <w:t xml:space="preserve"> June </w:t>
      </w:r>
      <w:r w:rsidR="008F0E5C">
        <w:t>15, 2020.</w:t>
      </w:r>
    </w:p>
  </w:footnote>
  <w:footnote w:id="35">
    <w:p w14:paraId="253FABC0" w14:textId="27467F84" w:rsidR="002C0DD7" w:rsidRDefault="002C0DD7">
      <w:pPr>
        <w:pStyle w:val="FootnoteText"/>
      </w:pPr>
      <w:r>
        <w:rPr>
          <w:rStyle w:val="FootnoteReference"/>
        </w:rPr>
        <w:footnoteRef/>
      </w:r>
      <w:r>
        <w:t xml:space="preserve"> </w:t>
      </w:r>
      <w:r w:rsidR="008F0E5C" w:rsidRPr="00926D4F">
        <w:rPr>
          <w:i/>
          <w:iCs/>
        </w:rPr>
        <w:t>See for example</w:t>
      </w:r>
      <w:r w:rsidR="008F0E5C">
        <w:t xml:space="preserve"> CMS. Medicare Fee-For-Service. Additional Emergency and Disaster-Related Policies and Procedures That May Be Implemented Only With a § 1135 Waiver. Version 11. Question 1135E-1. March 15, 2019. Retrieved from </w:t>
      </w:r>
      <w:hyperlink r:id="rId28" w:history="1">
        <w:r w:rsidR="008F0E5C">
          <w:rPr>
            <w:rStyle w:val="Hyperlink"/>
          </w:rPr>
          <w:t>https://www.cms.gov/About-CMS/Agency-Information/Emergency/Downloads/MedicareFFS-EmergencyQsAs1135Waiver.pdf</w:t>
        </w:r>
      </w:hyperlink>
      <w:r w:rsidR="008F0E5C">
        <w:t>. June 15, 2020.</w:t>
      </w:r>
    </w:p>
  </w:footnote>
  <w:footnote w:id="36">
    <w:p w14:paraId="71470EC1" w14:textId="06CD3491" w:rsidR="00444F6B" w:rsidRDefault="00444F6B">
      <w:pPr>
        <w:pStyle w:val="FootnoteText"/>
      </w:pPr>
      <w:r>
        <w:rPr>
          <w:rStyle w:val="FootnoteReference"/>
        </w:rPr>
        <w:footnoteRef/>
      </w:r>
      <w:r>
        <w:t xml:space="preserve"> </w:t>
      </w:r>
      <w:r w:rsidR="001404BA">
        <w:t xml:space="preserve">42 U.S.C. 1320b–5(e). </w:t>
      </w:r>
      <w:r w:rsidR="001404BA" w:rsidRPr="001404BA">
        <w:rPr>
          <w:i/>
          <w:iCs/>
        </w:rPr>
        <w:t>See also</w:t>
      </w:r>
      <w:r w:rsidR="001404BA">
        <w:t xml:space="preserve"> </w:t>
      </w:r>
      <w:r w:rsidR="008F0E5C">
        <w:t xml:space="preserve">HHS. </w:t>
      </w:r>
      <w:r w:rsidR="008F0E5C" w:rsidRPr="00997BB3">
        <w:t>Public Health Emergency Declaration Q&amp;As</w:t>
      </w:r>
      <w:r w:rsidR="008F0E5C">
        <w:t xml:space="preserve">. Webpage last reviewed by HHS September 5, 2019. Retrieved from </w:t>
      </w:r>
      <w:hyperlink r:id="rId29" w:history="1">
        <w:r w:rsidR="008F0E5C" w:rsidRPr="00C72619">
          <w:rPr>
            <w:rStyle w:val="Hyperlink"/>
          </w:rPr>
          <w:t>https://www.phe.gov/Preparedness/legal/Pages/phe-qa.aspx</w:t>
        </w:r>
      </w:hyperlink>
      <w:r w:rsidR="008F0E5C">
        <w:t>. Accessed June 16, 2020</w:t>
      </w:r>
    </w:p>
  </w:footnote>
  <w:footnote w:id="37">
    <w:p w14:paraId="33E9B0D4" w14:textId="6325838E" w:rsidR="00BB0C06" w:rsidRDefault="00BB0C06">
      <w:pPr>
        <w:pStyle w:val="FootnoteText"/>
      </w:pPr>
      <w:r>
        <w:rPr>
          <w:rStyle w:val="FootnoteReference"/>
        </w:rPr>
        <w:footnoteRef/>
      </w:r>
      <w:r>
        <w:t xml:space="preserve"> </w:t>
      </w:r>
      <w:bookmarkStart w:id="2" w:name="_Hlk33356579"/>
      <w:r w:rsidR="00FC22BC">
        <w:t xml:space="preserve">42 U.S.C. 1320b–5(c). </w:t>
      </w:r>
      <w:r w:rsidR="00FC22BC" w:rsidRPr="00FC22BC">
        <w:rPr>
          <w:i/>
          <w:iCs/>
        </w:rPr>
        <w:t>See also</w:t>
      </w:r>
      <w:r w:rsidR="00FC22BC">
        <w:t xml:space="preserve"> </w:t>
      </w:r>
      <w:bookmarkEnd w:id="2"/>
      <w:r w:rsidR="008F0E5C">
        <w:t xml:space="preserve">HHS. </w:t>
      </w:r>
      <w:r w:rsidR="008F0E5C" w:rsidRPr="00997BB3">
        <w:t>Public Health Emergency Declaration Q&amp;As</w:t>
      </w:r>
      <w:r w:rsidR="008F0E5C">
        <w:t xml:space="preserve">. Webpage last reviewed by HHS September 5, 2019. Retrieved from </w:t>
      </w:r>
      <w:hyperlink r:id="rId30" w:history="1">
        <w:r w:rsidR="008F0E5C" w:rsidRPr="00C72619">
          <w:rPr>
            <w:rStyle w:val="Hyperlink"/>
          </w:rPr>
          <w:t>https://www.phe.gov/Preparedness/legal/Pages/phe-qa.aspx</w:t>
        </w:r>
      </w:hyperlink>
      <w:r w:rsidR="008F0E5C">
        <w:t>. Accessed June 16, 2020</w:t>
      </w:r>
    </w:p>
  </w:footnote>
  <w:footnote w:id="38">
    <w:p w14:paraId="25880B12" w14:textId="16C15A23" w:rsidR="00CE2DBA" w:rsidRDefault="00CE2DBA">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rsidR="008F0E5C">
        <w:t xml:space="preserve">HHS. </w:t>
      </w:r>
      <w:r w:rsidR="008F0E5C" w:rsidRPr="00997BB3">
        <w:t>Public Health Emergency Declaration Q&amp;As</w:t>
      </w:r>
      <w:r w:rsidR="008F0E5C">
        <w:t xml:space="preserve">. Webpage last reviewed by HHS September 5, 2019. Retrieved from </w:t>
      </w:r>
      <w:hyperlink r:id="rId31" w:history="1">
        <w:r w:rsidR="008F0E5C" w:rsidRPr="00C72619">
          <w:rPr>
            <w:rStyle w:val="Hyperlink"/>
          </w:rPr>
          <w:t>https://www.phe.gov/Preparedness/legal/Pages/phe-qa.aspx</w:t>
        </w:r>
      </w:hyperlink>
      <w:r w:rsidR="008F0E5C">
        <w:t>. Accessed June 16, 2020</w:t>
      </w:r>
    </w:p>
  </w:footnote>
  <w:footnote w:id="39">
    <w:p w14:paraId="48D4F2A9" w14:textId="03E08273" w:rsidR="00633E98" w:rsidRDefault="00633E98">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2" w:history="1">
        <w:r w:rsidR="005014DD" w:rsidRPr="00C72619">
          <w:rPr>
            <w:rStyle w:val="Hyperlink"/>
          </w:rPr>
          <w:t>https://www.phe.gov/Preparedness/legal/Pages/phe-qa.aspx</w:t>
        </w:r>
      </w:hyperlink>
      <w:r w:rsidR="005014DD">
        <w:t>. Accessed June 16, 2020</w:t>
      </w:r>
    </w:p>
  </w:footnote>
  <w:footnote w:id="40">
    <w:p w14:paraId="5D6DE0F8" w14:textId="217009B1" w:rsidR="00906634" w:rsidRDefault="00906634" w:rsidP="00906634">
      <w:pPr>
        <w:pStyle w:val="FootnoteText"/>
      </w:pPr>
      <w:r>
        <w:rPr>
          <w:rStyle w:val="FootnoteReference"/>
        </w:rPr>
        <w:footnoteRef/>
      </w:r>
      <w:r>
        <w:t xml:space="preserve"> 42 U.S.C. 1320b–5(a)</w:t>
      </w:r>
      <w:r w:rsidR="00704489">
        <w:t xml:space="preserve">. </w:t>
      </w:r>
      <w:r w:rsidR="00704489" w:rsidRPr="00704489">
        <w:rPr>
          <w:i/>
          <w:iCs/>
        </w:rPr>
        <w:t>See also</w:t>
      </w:r>
      <w:r>
        <w:t xml:space="preserve"> </w:t>
      </w:r>
      <w:r w:rsidR="00704489">
        <w:t xml:space="preserve">HHS. 1135 Waivers. Webpage last reviewed by HHS </w:t>
      </w:r>
      <w:r w:rsidR="00704489" w:rsidRPr="00185E72">
        <w:t>September 5, 2019</w:t>
      </w:r>
      <w:r w:rsidR="00704489">
        <w:t xml:space="preserve">. Retrieved from </w:t>
      </w:r>
      <w:hyperlink r:id="rId33" w:history="1">
        <w:r w:rsidR="00704489">
          <w:rPr>
            <w:rStyle w:val="Hyperlink"/>
          </w:rPr>
          <w:t>https://www.phe.gov/Preparedness/legal/Pages/1135-waivers.aspx</w:t>
        </w:r>
      </w:hyperlink>
      <w:r w:rsidR="00704489">
        <w:t>. Accessed June 16, 2020.</w:t>
      </w:r>
    </w:p>
  </w:footnote>
  <w:footnote w:id="41">
    <w:p w14:paraId="3EB8B077" w14:textId="0D2C8094" w:rsidR="00530719" w:rsidRDefault="00530719">
      <w:pPr>
        <w:pStyle w:val="FootnoteText"/>
      </w:pPr>
      <w:r>
        <w:rPr>
          <w:rStyle w:val="FootnoteReference"/>
        </w:rPr>
        <w:footnoteRef/>
      </w:r>
      <w:r>
        <w:t xml:space="preserve"> </w:t>
      </w:r>
      <w:r w:rsidR="00B63AF5">
        <w:t xml:space="preserve">42 U.S.C. 1320b–5(b). </w:t>
      </w:r>
      <w:r w:rsidR="00B63AF5" w:rsidRPr="001404BA">
        <w:rPr>
          <w:i/>
          <w:iCs/>
        </w:rPr>
        <w:t>See also</w:t>
      </w:r>
      <w:r w:rsidR="00B63AF5">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4" w:history="1">
        <w:r w:rsidR="005014DD" w:rsidRPr="00C72619">
          <w:rPr>
            <w:rStyle w:val="Hyperlink"/>
          </w:rPr>
          <w:t>https://www.phe.gov/Preparedness/legal/Pages/phe-qa.aspx</w:t>
        </w:r>
      </w:hyperlink>
      <w:r w:rsidR="005014DD">
        <w:t>. Accessed June 16, 2020</w:t>
      </w:r>
    </w:p>
  </w:footnote>
  <w:footnote w:id="42">
    <w:p w14:paraId="1522DCE8" w14:textId="12A6254A" w:rsidR="00530719" w:rsidRDefault="00530719">
      <w:pPr>
        <w:pStyle w:val="FootnoteText"/>
      </w:pPr>
      <w:r>
        <w:rPr>
          <w:rStyle w:val="FootnoteReference"/>
        </w:rPr>
        <w:footnoteRef/>
      </w:r>
      <w:r>
        <w:t xml:space="preserve"> </w:t>
      </w:r>
      <w:r w:rsidR="00B63AF5">
        <w:t xml:space="preserve">42 U.S.C. 1320b–5(b). </w:t>
      </w:r>
      <w:r w:rsidR="00B63AF5" w:rsidRPr="001404BA">
        <w:rPr>
          <w:i/>
          <w:iCs/>
        </w:rPr>
        <w:t>See also</w:t>
      </w:r>
      <w:r w:rsidR="00B63AF5">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5" w:history="1">
        <w:r w:rsidR="005014DD" w:rsidRPr="00C72619">
          <w:rPr>
            <w:rStyle w:val="Hyperlink"/>
          </w:rPr>
          <w:t>https://www.phe.gov/Preparedness/legal/Pages/phe-qa.aspx</w:t>
        </w:r>
      </w:hyperlink>
      <w:r w:rsidR="005014DD">
        <w:t>. Accessed June 16, 2020</w:t>
      </w:r>
    </w:p>
  </w:footnote>
  <w:footnote w:id="43">
    <w:p w14:paraId="28151E26" w14:textId="51F9E8F6" w:rsidR="00E47B7E" w:rsidRDefault="00E47B7E">
      <w:pPr>
        <w:pStyle w:val="FootnoteText"/>
      </w:pPr>
      <w:r>
        <w:rPr>
          <w:rStyle w:val="FootnoteReference"/>
        </w:rPr>
        <w:footnoteRef/>
      </w:r>
      <w:r>
        <w:t xml:space="preserve"> 42 U.S.C. 1320b–5(</w:t>
      </w:r>
      <w:r w:rsidR="00E0281C">
        <w:t>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75F8C" w14:textId="6B36AECB" w:rsidR="000939D6" w:rsidRPr="00B84E72" w:rsidRDefault="004A1E38" w:rsidP="00B84E72">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1C3165" w14:textId="32A9636C" w:rsidR="00B84E72" w:rsidRDefault="004A1E38" w:rsidP="00B84E72">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97254"/>
    <w:multiLevelType w:val="multilevel"/>
    <w:tmpl w:val="A3C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72D7C"/>
    <w:multiLevelType w:val="hybridMultilevel"/>
    <w:tmpl w:val="43EAF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2463E5"/>
    <w:multiLevelType w:val="multilevel"/>
    <w:tmpl w:val="04CA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F2507"/>
    <w:multiLevelType w:val="hybridMultilevel"/>
    <w:tmpl w:val="915A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C37DB"/>
    <w:multiLevelType w:val="hybridMultilevel"/>
    <w:tmpl w:val="334A2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320407E"/>
    <w:multiLevelType w:val="multilevel"/>
    <w:tmpl w:val="BA2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B302D7"/>
    <w:multiLevelType w:val="multilevel"/>
    <w:tmpl w:val="43BE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7"/>
  </w:num>
  <w:num w:numId="4">
    <w:abstractNumId w:val="1"/>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D1"/>
    <w:rsid w:val="00005660"/>
    <w:rsid w:val="00006ACE"/>
    <w:rsid w:val="00014FAE"/>
    <w:rsid w:val="0001736E"/>
    <w:rsid w:val="00021113"/>
    <w:rsid w:val="000257D9"/>
    <w:rsid w:val="000261EB"/>
    <w:rsid w:val="000423E1"/>
    <w:rsid w:val="000569D9"/>
    <w:rsid w:val="0008096C"/>
    <w:rsid w:val="00083B23"/>
    <w:rsid w:val="00090D47"/>
    <w:rsid w:val="000917D7"/>
    <w:rsid w:val="0009232D"/>
    <w:rsid w:val="000939D6"/>
    <w:rsid w:val="00094B07"/>
    <w:rsid w:val="000A4450"/>
    <w:rsid w:val="000A63BF"/>
    <w:rsid w:val="000B60D3"/>
    <w:rsid w:val="000C2DD9"/>
    <w:rsid w:val="000D2E59"/>
    <w:rsid w:val="000D3D12"/>
    <w:rsid w:val="000D3E81"/>
    <w:rsid w:val="000F5285"/>
    <w:rsid w:val="001404BA"/>
    <w:rsid w:val="00140571"/>
    <w:rsid w:val="00140C60"/>
    <w:rsid w:val="00147A39"/>
    <w:rsid w:val="00151278"/>
    <w:rsid w:val="00157700"/>
    <w:rsid w:val="00180E31"/>
    <w:rsid w:val="00187EF2"/>
    <w:rsid w:val="001A5FF5"/>
    <w:rsid w:val="001B083C"/>
    <w:rsid w:val="001B648E"/>
    <w:rsid w:val="001C1E76"/>
    <w:rsid w:val="001C7940"/>
    <w:rsid w:val="001E5EBC"/>
    <w:rsid w:val="001F4552"/>
    <w:rsid w:val="001F7CD7"/>
    <w:rsid w:val="002111DB"/>
    <w:rsid w:val="00217681"/>
    <w:rsid w:val="00223CAA"/>
    <w:rsid w:val="00226162"/>
    <w:rsid w:val="0024126C"/>
    <w:rsid w:val="00251921"/>
    <w:rsid w:val="00256D02"/>
    <w:rsid w:val="00262A67"/>
    <w:rsid w:val="0027215F"/>
    <w:rsid w:val="0027499E"/>
    <w:rsid w:val="00275F81"/>
    <w:rsid w:val="00282BBB"/>
    <w:rsid w:val="002852D4"/>
    <w:rsid w:val="00294F72"/>
    <w:rsid w:val="002A6163"/>
    <w:rsid w:val="002A6614"/>
    <w:rsid w:val="002C0243"/>
    <w:rsid w:val="002C0DD7"/>
    <w:rsid w:val="002C3C7C"/>
    <w:rsid w:val="002C432F"/>
    <w:rsid w:val="002C577B"/>
    <w:rsid w:val="002E08A4"/>
    <w:rsid w:val="002E62F1"/>
    <w:rsid w:val="0031146A"/>
    <w:rsid w:val="003171FA"/>
    <w:rsid w:val="00322123"/>
    <w:rsid w:val="00324D2C"/>
    <w:rsid w:val="00335003"/>
    <w:rsid w:val="00342699"/>
    <w:rsid w:val="00342AD4"/>
    <w:rsid w:val="00347A39"/>
    <w:rsid w:val="00363AE7"/>
    <w:rsid w:val="00374AFD"/>
    <w:rsid w:val="00375C78"/>
    <w:rsid w:val="003805E4"/>
    <w:rsid w:val="00385345"/>
    <w:rsid w:val="00386556"/>
    <w:rsid w:val="00393BE8"/>
    <w:rsid w:val="003958E5"/>
    <w:rsid w:val="0039606C"/>
    <w:rsid w:val="0039749D"/>
    <w:rsid w:val="003A4653"/>
    <w:rsid w:val="003A6442"/>
    <w:rsid w:val="003B33A2"/>
    <w:rsid w:val="003B62AD"/>
    <w:rsid w:val="003D256A"/>
    <w:rsid w:val="003E413D"/>
    <w:rsid w:val="003F7DD6"/>
    <w:rsid w:val="00402F61"/>
    <w:rsid w:val="00403FE2"/>
    <w:rsid w:val="004041CA"/>
    <w:rsid w:val="00405398"/>
    <w:rsid w:val="004059BA"/>
    <w:rsid w:val="0041370B"/>
    <w:rsid w:val="00415055"/>
    <w:rsid w:val="00433F23"/>
    <w:rsid w:val="004412AA"/>
    <w:rsid w:val="00441D51"/>
    <w:rsid w:val="00443955"/>
    <w:rsid w:val="00444F6B"/>
    <w:rsid w:val="0045093A"/>
    <w:rsid w:val="004663E5"/>
    <w:rsid w:val="00476446"/>
    <w:rsid w:val="004830C3"/>
    <w:rsid w:val="004903C4"/>
    <w:rsid w:val="004A0229"/>
    <w:rsid w:val="004A1E38"/>
    <w:rsid w:val="004A6496"/>
    <w:rsid w:val="004A6D72"/>
    <w:rsid w:val="004B35DB"/>
    <w:rsid w:val="004B656E"/>
    <w:rsid w:val="004C4905"/>
    <w:rsid w:val="004D320C"/>
    <w:rsid w:val="004E15BD"/>
    <w:rsid w:val="004E3931"/>
    <w:rsid w:val="004E7B81"/>
    <w:rsid w:val="004F3C6E"/>
    <w:rsid w:val="005014DD"/>
    <w:rsid w:val="005073DE"/>
    <w:rsid w:val="00512FAD"/>
    <w:rsid w:val="00517326"/>
    <w:rsid w:val="005204B6"/>
    <w:rsid w:val="0052255E"/>
    <w:rsid w:val="00523C5B"/>
    <w:rsid w:val="00530646"/>
    <w:rsid w:val="00530688"/>
    <w:rsid w:val="00530719"/>
    <w:rsid w:val="00540B6D"/>
    <w:rsid w:val="00545F11"/>
    <w:rsid w:val="005479D8"/>
    <w:rsid w:val="0055345D"/>
    <w:rsid w:val="00557A75"/>
    <w:rsid w:val="00563467"/>
    <w:rsid w:val="00564488"/>
    <w:rsid w:val="00565322"/>
    <w:rsid w:val="0058050E"/>
    <w:rsid w:val="005918DF"/>
    <w:rsid w:val="00591FF3"/>
    <w:rsid w:val="005C43E2"/>
    <w:rsid w:val="005D3B68"/>
    <w:rsid w:val="005E3882"/>
    <w:rsid w:val="005E6CA6"/>
    <w:rsid w:val="005E6E75"/>
    <w:rsid w:val="005F7584"/>
    <w:rsid w:val="00603D71"/>
    <w:rsid w:val="00605BF6"/>
    <w:rsid w:val="006071B4"/>
    <w:rsid w:val="00607477"/>
    <w:rsid w:val="00616715"/>
    <w:rsid w:val="00623491"/>
    <w:rsid w:val="00627C97"/>
    <w:rsid w:val="00633E98"/>
    <w:rsid w:val="0063623B"/>
    <w:rsid w:val="00651028"/>
    <w:rsid w:val="0066009C"/>
    <w:rsid w:val="0066249B"/>
    <w:rsid w:val="00663CEC"/>
    <w:rsid w:val="00681658"/>
    <w:rsid w:val="00681CF8"/>
    <w:rsid w:val="00694D20"/>
    <w:rsid w:val="00695A0F"/>
    <w:rsid w:val="006A3694"/>
    <w:rsid w:val="006A691B"/>
    <w:rsid w:val="006C4D90"/>
    <w:rsid w:val="006C5F91"/>
    <w:rsid w:val="006D4FBE"/>
    <w:rsid w:val="006D674E"/>
    <w:rsid w:val="006D718C"/>
    <w:rsid w:val="006E0551"/>
    <w:rsid w:val="006F02BC"/>
    <w:rsid w:val="006F2F3C"/>
    <w:rsid w:val="00701D0F"/>
    <w:rsid w:val="007037CC"/>
    <w:rsid w:val="00704489"/>
    <w:rsid w:val="00712C7F"/>
    <w:rsid w:val="00714640"/>
    <w:rsid w:val="0072006F"/>
    <w:rsid w:val="00722F36"/>
    <w:rsid w:val="00737EEB"/>
    <w:rsid w:val="0076112F"/>
    <w:rsid w:val="00780245"/>
    <w:rsid w:val="00781E52"/>
    <w:rsid w:val="007841E0"/>
    <w:rsid w:val="00785C5D"/>
    <w:rsid w:val="007A638F"/>
    <w:rsid w:val="007B01AB"/>
    <w:rsid w:val="007C51C9"/>
    <w:rsid w:val="007C7381"/>
    <w:rsid w:val="007D18EA"/>
    <w:rsid w:val="007D39AC"/>
    <w:rsid w:val="007E51A3"/>
    <w:rsid w:val="00800F28"/>
    <w:rsid w:val="00800FF8"/>
    <w:rsid w:val="00805BD1"/>
    <w:rsid w:val="008310FB"/>
    <w:rsid w:val="00831D90"/>
    <w:rsid w:val="00837C0E"/>
    <w:rsid w:val="00840672"/>
    <w:rsid w:val="00841AA6"/>
    <w:rsid w:val="008505D8"/>
    <w:rsid w:val="00871330"/>
    <w:rsid w:val="008744D1"/>
    <w:rsid w:val="008828FD"/>
    <w:rsid w:val="00883B10"/>
    <w:rsid w:val="00894201"/>
    <w:rsid w:val="008B09E3"/>
    <w:rsid w:val="008B1960"/>
    <w:rsid w:val="008B55ED"/>
    <w:rsid w:val="008C16DA"/>
    <w:rsid w:val="008C2B26"/>
    <w:rsid w:val="008C6A5F"/>
    <w:rsid w:val="008D1AD5"/>
    <w:rsid w:val="008D54CD"/>
    <w:rsid w:val="008E16BB"/>
    <w:rsid w:val="008E27CE"/>
    <w:rsid w:val="008E5DDA"/>
    <w:rsid w:val="008F0E5C"/>
    <w:rsid w:val="008F6F82"/>
    <w:rsid w:val="008F76F3"/>
    <w:rsid w:val="009056AD"/>
    <w:rsid w:val="00906634"/>
    <w:rsid w:val="00906C31"/>
    <w:rsid w:val="00922573"/>
    <w:rsid w:val="00926D4F"/>
    <w:rsid w:val="00927386"/>
    <w:rsid w:val="009329A1"/>
    <w:rsid w:val="00935A5D"/>
    <w:rsid w:val="00945588"/>
    <w:rsid w:val="0095574F"/>
    <w:rsid w:val="0096079C"/>
    <w:rsid w:val="00965A9C"/>
    <w:rsid w:val="00972FAF"/>
    <w:rsid w:val="009738E5"/>
    <w:rsid w:val="0097572C"/>
    <w:rsid w:val="009843A0"/>
    <w:rsid w:val="00991CA4"/>
    <w:rsid w:val="0099692A"/>
    <w:rsid w:val="009979BF"/>
    <w:rsid w:val="00997BB3"/>
    <w:rsid w:val="009B2EF2"/>
    <w:rsid w:val="009C5E00"/>
    <w:rsid w:val="009C6C9F"/>
    <w:rsid w:val="009C714F"/>
    <w:rsid w:val="009D158C"/>
    <w:rsid w:val="009D28D4"/>
    <w:rsid w:val="009D7890"/>
    <w:rsid w:val="009E30BC"/>
    <w:rsid w:val="009F44E4"/>
    <w:rsid w:val="00A02A88"/>
    <w:rsid w:val="00A052FA"/>
    <w:rsid w:val="00A1329E"/>
    <w:rsid w:val="00A13B16"/>
    <w:rsid w:val="00A17D0A"/>
    <w:rsid w:val="00A27C04"/>
    <w:rsid w:val="00A3129C"/>
    <w:rsid w:val="00A376B5"/>
    <w:rsid w:val="00A4167C"/>
    <w:rsid w:val="00A4650D"/>
    <w:rsid w:val="00A466E0"/>
    <w:rsid w:val="00A52CDC"/>
    <w:rsid w:val="00A63B51"/>
    <w:rsid w:val="00A64AE7"/>
    <w:rsid w:val="00A67ED3"/>
    <w:rsid w:val="00A72C1F"/>
    <w:rsid w:val="00A73D1D"/>
    <w:rsid w:val="00A752FE"/>
    <w:rsid w:val="00A811FF"/>
    <w:rsid w:val="00A90EBA"/>
    <w:rsid w:val="00A917D3"/>
    <w:rsid w:val="00A9199C"/>
    <w:rsid w:val="00AA6354"/>
    <w:rsid w:val="00AB0B4D"/>
    <w:rsid w:val="00AB13B2"/>
    <w:rsid w:val="00AC597B"/>
    <w:rsid w:val="00AE4DBA"/>
    <w:rsid w:val="00AF016A"/>
    <w:rsid w:val="00AF43E7"/>
    <w:rsid w:val="00AF53A5"/>
    <w:rsid w:val="00B17F44"/>
    <w:rsid w:val="00B25317"/>
    <w:rsid w:val="00B3207D"/>
    <w:rsid w:val="00B37FC2"/>
    <w:rsid w:val="00B4135D"/>
    <w:rsid w:val="00B41401"/>
    <w:rsid w:val="00B5756E"/>
    <w:rsid w:val="00B57598"/>
    <w:rsid w:val="00B5763A"/>
    <w:rsid w:val="00B63AF5"/>
    <w:rsid w:val="00B70595"/>
    <w:rsid w:val="00B70F67"/>
    <w:rsid w:val="00B73BC6"/>
    <w:rsid w:val="00B75B7F"/>
    <w:rsid w:val="00B764B2"/>
    <w:rsid w:val="00B84E72"/>
    <w:rsid w:val="00B85CE2"/>
    <w:rsid w:val="00B87497"/>
    <w:rsid w:val="00B87AEF"/>
    <w:rsid w:val="00BA2161"/>
    <w:rsid w:val="00BA7E83"/>
    <w:rsid w:val="00BB0C06"/>
    <w:rsid w:val="00BD0528"/>
    <w:rsid w:val="00BE5BF5"/>
    <w:rsid w:val="00C005F9"/>
    <w:rsid w:val="00C01AD7"/>
    <w:rsid w:val="00C03971"/>
    <w:rsid w:val="00C11C5F"/>
    <w:rsid w:val="00C12B1C"/>
    <w:rsid w:val="00C16EAE"/>
    <w:rsid w:val="00C2593A"/>
    <w:rsid w:val="00C26550"/>
    <w:rsid w:val="00C45097"/>
    <w:rsid w:val="00C61A45"/>
    <w:rsid w:val="00C630BA"/>
    <w:rsid w:val="00C73A85"/>
    <w:rsid w:val="00C910D3"/>
    <w:rsid w:val="00C96886"/>
    <w:rsid w:val="00CA2289"/>
    <w:rsid w:val="00CA39C7"/>
    <w:rsid w:val="00CB1F2F"/>
    <w:rsid w:val="00CC5A6B"/>
    <w:rsid w:val="00CD7FE1"/>
    <w:rsid w:val="00CE2DBA"/>
    <w:rsid w:val="00CE3B1C"/>
    <w:rsid w:val="00CE468B"/>
    <w:rsid w:val="00CE4F12"/>
    <w:rsid w:val="00CF4A03"/>
    <w:rsid w:val="00CF6AD9"/>
    <w:rsid w:val="00D06C52"/>
    <w:rsid w:val="00D12190"/>
    <w:rsid w:val="00D12F33"/>
    <w:rsid w:val="00D23097"/>
    <w:rsid w:val="00D26A23"/>
    <w:rsid w:val="00D345D8"/>
    <w:rsid w:val="00D3665A"/>
    <w:rsid w:val="00D40478"/>
    <w:rsid w:val="00D42BBC"/>
    <w:rsid w:val="00D45051"/>
    <w:rsid w:val="00D541C8"/>
    <w:rsid w:val="00D60375"/>
    <w:rsid w:val="00D66A9F"/>
    <w:rsid w:val="00D75648"/>
    <w:rsid w:val="00D76DB3"/>
    <w:rsid w:val="00D80C73"/>
    <w:rsid w:val="00D85D18"/>
    <w:rsid w:val="00D85F19"/>
    <w:rsid w:val="00D92991"/>
    <w:rsid w:val="00D954EF"/>
    <w:rsid w:val="00DA0726"/>
    <w:rsid w:val="00DA6536"/>
    <w:rsid w:val="00DB0CB9"/>
    <w:rsid w:val="00DC491C"/>
    <w:rsid w:val="00DD3C04"/>
    <w:rsid w:val="00DF48C9"/>
    <w:rsid w:val="00E0281C"/>
    <w:rsid w:val="00E12ECB"/>
    <w:rsid w:val="00E17E67"/>
    <w:rsid w:val="00E2271B"/>
    <w:rsid w:val="00E24DA1"/>
    <w:rsid w:val="00E27D7D"/>
    <w:rsid w:val="00E427FD"/>
    <w:rsid w:val="00E47B7E"/>
    <w:rsid w:val="00E70E39"/>
    <w:rsid w:val="00E72B1D"/>
    <w:rsid w:val="00E74AD3"/>
    <w:rsid w:val="00E85F8B"/>
    <w:rsid w:val="00E86BBF"/>
    <w:rsid w:val="00E91CA6"/>
    <w:rsid w:val="00E93D5A"/>
    <w:rsid w:val="00EA48C4"/>
    <w:rsid w:val="00EA63BD"/>
    <w:rsid w:val="00EB0C03"/>
    <w:rsid w:val="00EC0C73"/>
    <w:rsid w:val="00EC21AD"/>
    <w:rsid w:val="00ED2A03"/>
    <w:rsid w:val="00ED688D"/>
    <w:rsid w:val="00EE4192"/>
    <w:rsid w:val="00F006E2"/>
    <w:rsid w:val="00F02443"/>
    <w:rsid w:val="00F03C48"/>
    <w:rsid w:val="00F10AF7"/>
    <w:rsid w:val="00F177B9"/>
    <w:rsid w:val="00F25A9E"/>
    <w:rsid w:val="00F26442"/>
    <w:rsid w:val="00F31395"/>
    <w:rsid w:val="00F31E1F"/>
    <w:rsid w:val="00F374A1"/>
    <w:rsid w:val="00F73A08"/>
    <w:rsid w:val="00F82E4F"/>
    <w:rsid w:val="00F839CF"/>
    <w:rsid w:val="00F86B93"/>
    <w:rsid w:val="00F90585"/>
    <w:rsid w:val="00FA08D7"/>
    <w:rsid w:val="00FA3196"/>
    <w:rsid w:val="00FA402D"/>
    <w:rsid w:val="00FB4E4D"/>
    <w:rsid w:val="00FB78CA"/>
    <w:rsid w:val="00FC0D5C"/>
    <w:rsid w:val="00FC1EA7"/>
    <w:rsid w:val="00FC22BC"/>
    <w:rsid w:val="00FD1050"/>
    <w:rsid w:val="00FD18BC"/>
    <w:rsid w:val="00FD39B1"/>
    <w:rsid w:val="00FD3D27"/>
    <w:rsid w:val="00FD63A4"/>
    <w:rsid w:val="00FE2B6B"/>
    <w:rsid w:val="00FF3B69"/>
    <w:rsid w:val="00FF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3F3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5BD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05BD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05B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B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05B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05B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05BD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5BD1"/>
    <w:rPr>
      <w:color w:val="0000FF"/>
      <w:u w:val="single"/>
    </w:rPr>
  </w:style>
  <w:style w:type="character" w:styleId="Strong">
    <w:name w:val="Strong"/>
    <w:basedOn w:val="DefaultParagraphFont"/>
    <w:uiPriority w:val="22"/>
    <w:qFormat/>
    <w:rsid w:val="00805BD1"/>
    <w:rPr>
      <w:b/>
      <w:bCs/>
    </w:rPr>
  </w:style>
  <w:style w:type="paragraph" w:styleId="Header">
    <w:name w:val="header"/>
    <w:basedOn w:val="Normal"/>
    <w:link w:val="HeaderChar"/>
    <w:uiPriority w:val="99"/>
    <w:unhideWhenUsed/>
    <w:rsid w:val="00C630BA"/>
    <w:pPr>
      <w:tabs>
        <w:tab w:val="center" w:pos="4680"/>
        <w:tab w:val="right" w:pos="9360"/>
      </w:tabs>
    </w:pPr>
  </w:style>
  <w:style w:type="character" w:customStyle="1" w:styleId="HeaderChar">
    <w:name w:val="Header Char"/>
    <w:basedOn w:val="DefaultParagraphFont"/>
    <w:link w:val="Header"/>
    <w:uiPriority w:val="99"/>
    <w:rsid w:val="00C630BA"/>
  </w:style>
  <w:style w:type="paragraph" w:styleId="Footer">
    <w:name w:val="footer"/>
    <w:basedOn w:val="Normal"/>
    <w:link w:val="FooterChar"/>
    <w:uiPriority w:val="99"/>
    <w:unhideWhenUsed/>
    <w:rsid w:val="00C630BA"/>
    <w:pPr>
      <w:tabs>
        <w:tab w:val="center" w:pos="4680"/>
        <w:tab w:val="right" w:pos="9360"/>
      </w:tabs>
    </w:pPr>
  </w:style>
  <w:style w:type="character" w:customStyle="1" w:styleId="FooterChar">
    <w:name w:val="Footer Char"/>
    <w:basedOn w:val="DefaultParagraphFont"/>
    <w:link w:val="Footer"/>
    <w:uiPriority w:val="99"/>
    <w:rsid w:val="00C630BA"/>
  </w:style>
  <w:style w:type="paragraph" w:styleId="ListParagraph">
    <w:name w:val="List Paragraph"/>
    <w:basedOn w:val="Normal"/>
    <w:uiPriority w:val="34"/>
    <w:qFormat/>
    <w:rsid w:val="00E27D7D"/>
    <w:pPr>
      <w:ind w:left="720"/>
      <w:contextualSpacing/>
    </w:pPr>
  </w:style>
  <w:style w:type="paragraph" w:styleId="FootnoteText">
    <w:name w:val="footnote text"/>
    <w:basedOn w:val="Normal"/>
    <w:link w:val="FootnoteTextChar"/>
    <w:uiPriority w:val="99"/>
    <w:semiHidden/>
    <w:unhideWhenUsed/>
    <w:rsid w:val="00433F23"/>
    <w:rPr>
      <w:sz w:val="20"/>
      <w:szCs w:val="20"/>
    </w:rPr>
  </w:style>
  <w:style w:type="character" w:customStyle="1" w:styleId="FootnoteTextChar">
    <w:name w:val="Footnote Text Char"/>
    <w:basedOn w:val="DefaultParagraphFont"/>
    <w:link w:val="FootnoteText"/>
    <w:uiPriority w:val="99"/>
    <w:semiHidden/>
    <w:rsid w:val="00433F23"/>
    <w:rPr>
      <w:sz w:val="20"/>
      <w:szCs w:val="20"/>
    </w:rPr>
  </w:style>
  <w:style w:type="character" w:styleId="FootnoteReference">
    <w:name w:val="footnote reference"/>
    <w:basedOn w:val="DefaultParagraphFont"/>
    <w:uiPriority w:val="99"/>
    <w:semiHidden/>
    <w:unhideWhenUsed/>
    <w:rsid w:val="00433F23"/>
    <w:rPr>
      <w:vertAlign w:val="superscript"/>
    </w:rPr>
  </w:style>
  <w:style w:type="character" w:styleId="UnresolvedMention">
    <w:name w:val="Unresolved Mention"/>
    <w:basedOn w:val="DefaultParagraphFont"/>
    <w:uiPriority w:val="99"/>
    <w:semiHidden/>
    <w:unhideWhenUsed/>
    <w:rsid w:val="00A466E0"/>
    <w:rPr>
      <w:color w:val="605E5C"/>
      <w:shd w:val="clear" w:color="auto" w:fill="E1DFDD"/>
    </w:rPr>
  </w:style>
  <w:style w:type="paragraph" w:styleId="NoSpacing">
    <w:name w:val="No Spacing"/>
    <w:uiPriority w:val="1"/>
    <w:qFormat/>
    <w:rsid w:val="00965A9C"/>
  </w:style>
  <w:style w:type="paragraph" w:customStyle="1" w:styleId="Norm15">
    <w:name w:val="Norm 1.5"/>
    <w:basedOn w:val="Normal"/>
    <w:link w:val="Norm15Char"/>
    <w:autoRedefine/>
    <w:qFormat/>
    <w:rsid w:val="00935A5D"/>
    <w:pPr>
      <w:spacing w:line="360" w:lineRule="auto"/>
    </w:pPr>
    <w:rPr>
      <w:color w:val="000000" w:themeColor="text1"/>
    </w:rPr>
  </w:style>
  <w:style w:type="character" w:customStyle="1" w:styleId="Norm15Char">
    <w:name w:val="Norm 1.5 Char"/>
    <w:basedOn w:val="DefaultParagraphFont"/>
    <w:link w:val="Norm15"/>
    <w:rsid w:val="00935A5D"/>
    <w:rPr>
      <w:color w:val="000000" w:themeColor="text1"/>
    </w:rPr>
  </w:style>
  <w:style w:type="character" w:styleId="FollowedHyperlink">
    <w:name w:val="FollowedHyperlink"/>
    <w:basedOn w:val="DefaultParagraphFont"/>
    <w:uiPriority w:val="99"/>
    <w:semiHidden/>
    <w:unhideWhenUsed/>
    <w:rsid w:val="001B64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391508">
      <w:bodyDiv w:val="1"/>
      <w:marLeft w:val="0"/>
      <w:marRight w:val="0"/>
      <w:marTop w:val="0"/>
      <w:marBottom w:val="0"/>
      <w:divBdr>
        <w:top w:val="none" w:sz="0" w:space="0" w:color="auto"/>
        <w:left w:val="none" w:sz="0" w:space="0" w:color="auto"/>
        <w:bottom w:val="none" w:sz="0" w:space="0" w:color="auto"/>
        <w:right w:val="none" w:sz="0" w:space="0" w:color="auto"/>
      </w:divBdr>
    </w:div>
    <w:div w:id="557937706">
      <w:bodyDiv w:val="1"/>
      <w:marLeft w:val="0"/>
      <w:marRight w:val="0"/>
      <w:marTop w:val="0"/>
      <w:marBottom w:val="0"/>
      <w:divBdr>
        <w:top w:val="none" w:sz="0" w:space="0" w:color="auto"/>
        <w:left w:val="none" w:sz="0" w:space="0" w:color="auto"/>
        <w:bottom w:val="none" w:sz="0" w:space="0" w:color="auto"/>
        <w:right w:val="none" w:sz="0" w:space="0" w:color="auto"/>
      </w:divBdr>
    </w:div>
    <w:div w:id="584413921">
      <w:bodyDiv w:val="1"/>
      <w:marLeft w:val="0"/>
      <w:marRight w:val="0"/>
      <w:marTop w:val="0"/>
      <w:marBottom w:val="0"/>
      <w:divBdr>
        <w:top w:val="none" w:sz="0" w:space="0" w:color="auto"/>
        <w:left w:val="none" w:sz="0" w:space="0" w:color="auto"/>
        <w:bottom w:val="none" w:sz="0" w:space="0" w:color="auto"/>
        <w:right w:val="none" w:sz="0" w:space="0" w:color="auto"/>
      </w:divBdr>
    </w:div>
    <w:div w:id="727609504">
      <w:bodyDiv w:val="1"/>
      <w:marLeft w:val="0"/>
      <w:marRight w:val="0"/>
      <w:marTop w:val="0"/>
      <w:marBottom w:val="0"/>
      <w:divBdr>
        <w:top w:val="none" w:sz="0" w:space="0" w:color="auto"/>
        <w:left w:val="none" w:sz="0" w:space="0" w:color="auto"/>
        <w:bottom w:val="none" w:sz="0" w:space="0" w:color="auto"/>
        <w:right w:val="none" w:sz="0" w:space="0" w:color="auto"/>
      </w:divBdr>
    </w:div>
    <w:div w:id="1381705785">
      <w:bodyDiv w:val="1"/>
      <w:marLeft w:val="0"/>
      <w:marRight w:val="0"/>
      <w:marTop w:val="0"/>
      <w:marBottom w:val="0"/>
      <w:divBdr>
        <w:top w:val="none" w:sz="0" w:space="0" w:color="auto"/>
        <w:left w:val="none" w:sz="0" w:space="0" w:color="auto"/>
        <w:bottom w:val="none" w:sz="0" w:space="0" w:color="auto"/>
        <w:right w:val="none" w:sz="0" w:space="0" w:color="auto"/>
      </w:divBdr>
    </w:div>
    <w:div w:id="1526871775">
      <w:bodyDiv w:val="1"/>
      <w:marLeft w:val="0"/>
      <w:marRight w:val="0"/>
      <w:marTop w:val="0"/>
      <w:marBottom w:val="0"/>
      <w:divBdr>
        <w:top w:val="none" w:sz="0" w:space="0" w:color="auto"/>
        <w:left w:val="none" w:sz="0" w:space="0" w:color="auto"/>
        <w:bottom w:val="none" w:sz="0" w:space="0" w:color="auto"/>
        <w:right w:val="none" w:sz="0" w:space="0" w:color="auto"/>
      </w:divBdr>
    </w:div>
    <w:div w:id="20364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s://www.phe.gov/emergency/news/healthactions/section1135/Pages/la-Barry-12July19.aspx" TargetMode="External"/><Relationship Id="rId18" Type="http://schemas.openxmlformats.org/officeDocument/2006/relationships/hyperlink" Target="https://www.phe.gov/emergency/news/healthactions/section1135/Pages/covid19-13March20.asp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he.gov/emergency/news/healthactions/section1135/Pages/la-Barry-12July19.aspx" TargetMode="External"/><Relationship Id="rId7" Type="http://schemas.openxmlformats.org/officeDocument/2006/relationships/endnotes" Target="endnotes.xml"/><Relationship Id="rId12" Type="http://schemas.openxmlformats.org/officeDocument/2006/relationships/hyperlink" Target="https://www.phe.gov/emergency/news/healthactions/section1135/Pages/nc-dorian-4sept19.aspx" TargetMode="External"/><Relationship Id="rId17" Type="http://schemas.openxmlformats.org/officeDocument/2006/relationships/hyperlink" Target="https://www.phe.gov/emergency/news/healthactions/section1135/Pages/default.asp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he.gov/emergency/news/healthactions/section1135/Documents/1135WaiverSigned_H1N1.pdf" TargetMode="External"/><Relationship Id="rId20" Type="http://schemas.openxmlformats.org/officeDocument/2006/relationships/hyperlink" Target="https://www.phe.gov/emergency/news/healthactions/section1135/Pages/nc-dorian-4sept19.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section1135/Pages/pr-earthquake-28dec19-aspx.aspx" TargetMode="External"/><Relationship Id="rId24" Type="http://schemas.openxmlformats.org/officeDocument/2006/relationships/hyperlink" Target="https://www.phe.gov/emergency/news/healthactions/section1135/Documents/1135WaiverSigned_H1N1.pdf" TargetMode="External"/><Relationship Id="rId5" Type="http://schemas.openxmlformats.org/officeDocument/2006/relationships/webSettings" Target="webSettings.xml"/><Relationship Id="rId15" Type="http://schemas.openxmlformats.org/officeDocument/2006/relationships/hyperlink" Target="https://www.phe.gov/emergency/news/healthactions/section1135/Pages/missouri-tornado2011.aspx" TargetMode="External"/><Relationship Id="rId23" Type="http://schemas.openxmlformats.org/officeDocument/2006/relationships/hyperlink" Target="https://www.phe.gov/emergency/news/healthactions/section1135/Pages/missouri-tornado2011.aspx" TargetMode="External"/><Relationship Id="rId28" Type="http://schemas.openxmlformats.org/officeDocument/2006/relationships/footer" Target="footer2.xml"/><Relationship Id="rId10" Type="http://schemas.openxmlformats.org/officeDocument/2006/relationships/hyperlink" Target="https://www.phe.gov/emergency/news/healthactions/section1135/Pages/covid19-13March20.aspx" TargetMode="External"/><Relationship Id="rId19" Type="http://schemas.openxmlformats.org/officeDocument/2006/relationships/hyperlink" Target="https://www.phe.gov/emergency/news/healthactions/section1135/Pages/pr-earthquake-28dec19-aspx.aspx" TargetMode="External"/><Relationship Id="rId4" Type="http://schemas.openxmlformats.org/officeDocument/2006/relationships/settings" Target="settings.xml"/><Relationship Id="rId9" Type="http://schemas.openxmlformats.org/officeDocument/2006/relationships/hyperlink" Target="https://www.phe.gov/emergency/news/healthactions/section1135/Pages/default.aspx" TargetMode="External"/><Relationship Id="rId14" Type="http://schemas.openxmlformats.org/officeDocument/2006/relationships/hyperlink" Target="https://www.phe.gov/emergency/news/healthactions/section1135/Pages/wildfires-CA-2018.aspx" TargetMode="External"/><Relationship Id="rId22" Type="http://schemas.openxmlformats.org/officeDocument/2006/relationships/hyperlink" Target="https://www.phe.gov/emergency/news/healthactions/section1135/Pages/wildfires-CA-2018.aspx" TargetMode="External"/><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ms.gov/About-CMS/Agency-Information/Emergency/Downloads/MedicareFFS-EmergencyQsAs1135Waiver.pdf" TargetMode="External"/><Relationship Id="rId13" Type="http://schemas.openxmlformats.org/officeDocument/2006/relationships/hyperlink" Target="https://www.phe.gov/Preparedness/legal/Pages/1135-waivers.aspx" TargetMode="External"/><Relationship Id="rId18" Type="http://schemas.openxmlformats.org/officeDocument/2006/relationships/hyperlink" Target="https://www.cms.gov/About-CMS/Agency-Information/Emergency/Downloads/MedicareFFS-EmergencyQsAs1135Waiver.pdf" TargetMode="External"/><Relationship Id="rId26" Type="http://schemas.openxmlformats.org/officeDocument/2006/relationships/hyperlink" Target="https://www.phe.gov/Preparedness/legal/Pages/1135-waivers.aspx" TargetMode="External"/><Relationship Id="rId3" Type="http://schemas.openxmlformats.org/officeDocument/2006/relationships/hyperlink" Target="https://www.phe.gov/Preparedness/legal/Pages/1135-waivers.aspx" TargetMode="External"/><Relationship Id="rId21" Type="http://schemas.openxmlformats.org/officeDocument/2006/relationships/hyperlink" Target="https://www.cms.gov/files/document/summary-covid-19-emergency-declaration-waivers.pdf" TargetMode="External"/><Relationship Id="rId34" Type="http://schemas.openxmlformats.org/officeDocument/2006/relationships/hyperlink" Target="https://www.phe.gov/Preparedness/legal/Pages/phe-qa.aspx" TargetMode="External"/><Relationship Id="rId7" Type="http://schemas.openxmlformats.org/officeDocument/2006/relationships/hyperlink" Target="https://www.cms.gov/About-CMS/Agency-Information/Emergency/Downloads/MedicareFFS-EmergencyQsAs1135Waiver.pdf" TargetMode="External"/><Relationship Id="rId12" Type="http://schemas.openxmlformats.org/officeDocument/2006/relationships/hyperlink" Target="https://www.phe.gov/Preparedness/legal/Pages/1135-waivers.aspx" TargetMode="External"/><Relationship Id="rId17" Type="http://schemas.openxmlformats.org/officeDocument/2006/relationships/hyperlink" Target="https://www.phe.gov/Preparedness/legal/Pages/phe-qa.aspx" TargetMode="External"/><Relationship Id="rId25" Type="http://schemas.openxmlformats.org/officeDocument/2006/relationships/hyperlink" Target="https://www.hhs.gov/sites/default/files/hipaa-and-covid-19-limited-hipaa-waiver-bulletin-508.pdf" TargetMode="External"/><Relationship Id="rId33" Type="http://schemas.openxmlformats.org/officeDocument/2006/relationships/hyperlink" Target="https://www.phe.gov/Preparedness/legal/Pages/1135-waivers.aspx" TargetMode="External"/><Relationship Id="rId2" Type="http://schemas.openxmlformats.org/officeDocument/2006/relationships/hyperlink" Target="https://www.phe.gov/Preparedness/legal/Pages/1135-waivers.aspx" TargetMode="External"/><Relationship Id="rId16" Type="http://schemas.openxmlformats.org/officeDocument/2006/relationships/hyperlink" Target="https://www.cms.gov/About-CMS/Agency-Information/Emergency/Downloads/MedicareFFS-EmergencyQsAs1135Waiver.pdf" TargetMode="External"/><Relationship Id="rId20" Type="http://schemas.openxmlformats.org/officeDocument/2006/relationships/hyperlink" Target="https://www.cms.gov/About-CMS/Agency-Information/Emergency/Downloads/MedicareFFS-EmergencyQsAs1135Waiver.pdf" TargetMode="External"/><Relationship Id="rId29" Type="http://schemas.openxmlformats.org/officeDocument/2006/relationships/hyperlink" Target="https://www.phe.gov/Preparedness/legal/Pages/phe-qa.aspx" TargetMode="External"/><Relationship Id="rId1" Type="http://schemas.openxmlformats.org/officeDocument/2006/relationships/hyperlink" Target="https://www.phe.gov/Preparedness/legal/Pages/1135-waivers.aspx" TargetMode="External"/><Relationship Id="rId6" Type="http://schemas.openxmlformats.org/officeDocument/2006/relationships/hyperlink" Target="https://www.phe.gov/Preparedness/legal/Pages/phe-qa.aspx" TargetMode="External"/><Relationship Id="rId11" Type="http://schemas.openxmlformats.org/officeDocument/2006/relationships/hyperlink" Target="https://www.phe.gov/Preparedness/legal/Pages/1135-waivers.aspx" TargetMode="External"/><Relationship Id="rId24" Type="http://schemas.openxmlformats.org/officeDocument/2006/relationships/hyperlink" Target="https://www.phe.gov/Preparedness/legal/Pages/1135-waivers.aspx" TargetMode="External"/><Relationship Id="rId32" Type="http://schemas.openxmlformats.org/officeDocument/2006/relationships/hyperlink" Target="https://www.phe.gov/Preparedness/legal/Pages/phe-qa.aspx" TargetMode="External"/><Relationship Id="rId5" Type="http://schemas.openxmlformats.org/officeDocument/2006/relationships/hyperlink" Target="https://www.whitehouse.gov/briefings-statements/letter-president-donald-j-trump-emergency-determination-stafford-act/" TargetMode="External"/><Relationship Id="rId15" Type="http://schemas.openxmlformats.org/officeDocument/2006/relationships/hyperlink" Target="https://www.phe.gov/Preparedness/legal/Pages/phe-qa.aspx" TargetMode="External"/><Relationship Id="rId23" Type="http://schemas.openxmlformats.org/officeDocument/2006/relationships/hyperlink" Target="https://www.cms.gov/files/document/summary-covid-19-emergency-declaration-waivers.pdf" TargetMode="External"/><Relationship Id="rId28" Type="http://schemas.openxmlformats.org/officeDocument/2006/relationships/hyperlink" Target="https://www.cms.gov/About-CMS/Agency-Information/Emergency/Downloads/MedicareFFS-EmergencyQsAs1135Waiver.pdf" TargetMode="External"/><Relationship Id="rId10" Type="http://schemas.openxmlformats.org/officeDocument/2006/relationships/hyperlink" Target="https://www.cms.gov/About-CMS/Agency-Information/Emergency/Downloads/MedicareFFS-EmergencyQsAs1135Waiver.pdf" TargetMode="External"/><Relationship Id="rId19" Type="http://schemas.openxmlformats.org/officeDocument/2006/relationships/hyperlink" Target="https://www.phe.gov/Preparedness/legal/Pages/phe-qa.aspx" TargetMode="External"/><Relationship Id="rId31" Type="http://schemas.openxmlformats.org/officeDocument/2006/relationships/hyperlink" Target="https://www.phe.gov/Preparedness/legal/Pages/phe-qa.aspx" TargetMode="External"/><Relationship Id="rId4" Type="http://schemas.openxmlformats.org/officeDocument/2006/relationships/hyperlink" Target="https://www.phe.gov/Preparedness/legal/Pages/phe-qa.aspx" TargetMode="External"/><Relationship Id="rId9" Type="http://schemas.openxmlformats.org/officeDocument/2006/relationships/hyperlink" Target="https://www.cms.gov/About-CMS/Agency-Information/Emergency/Downloads/MedicareFFS-EmergencyQsAs1135Waiver.pdf" TargetMode="External"/><Relationship Id="rId14" Type="http://schemas.openxmlformats.org/officeDocument/2006/relationships/hyperlink" Target="https://www.cms.gov/About-CMS/Agency-Information/Emergency/Downloads/MedicareFFS-EmergencyQsAs1135Waiver.pdf" TargetMode="External"/><Relationship Id="rId22" Type="http://schemas.openxmlformats.org/officeDocument/2006/relationships/hyperlink" Target="https://www.cms.gov/About-CMS/Agency-Information/Emergency/EPRO/Current-Emergencies/Current-Emergencies-page" TargetMode="External"/><Relationship Id="rId27" Type="http://schemas.openxmlformats.org/officeDocument/2006/relationships/hyperlink" Target="https://www.cms.gov/About-CMS/Agency-Information/Emergency/Downloads/MedicareFFS-EmergencyQsAs1135Waiver.pdf" TargetMode="External"/><Relationship Id="rId30" Type="http://schemas.openxmlformats.org/officeDocument/2006/relationships/hyperlink" Target="https://www.phe.gov/Preparedness/legal/Pages/phe-qa.aspx" TargetMode="External"/><Relationship Id="rId35"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25F88-D028-4ACD-8F88-58E3111A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1624</Words>
  <Characters>9257</Characters>
  <Application>Microsoft Office Word</Application>
  <DocSecurity>0</DocSecurity>
  <Lines>77</Lines>
  <Paragraphs>21</Paragraphs>
  <ScaleCrop>false</ScaleCrop>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2020-07-01T23:33:00Z</dcterms:created>
  <dcterms:modified xsi:type="dcterms:W3CDTF">2020-08-28T01:05:00Z</dcterms:modified>
</cp:coreProperties>
</file>