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74034A" w14:textId="77777777" w:rsidR="00CC1A51" w:rsidRDefault="00CC1A51" w:rsidP="00CC1A51">
      <w:pPr>
        <w:spacing w:after="120"/>
        <w:jc w:val="center"/>
        <w:rPr>
          <w:b/>
          <w:bCs/>
          <w:sz w:val="24"/>
          <w:szCs w:val="24"/>
        </w:rPr>
      </w:pPr>
      <w:bookmarkStart w:id="0" w:name="EmergDecsAuth_FS"/>
      <w:r>
        <w:rPr>
          <w:b/>
          <w:bCs/>
          <w:sz w:val="24"/>
          <w:szCs w:val="24"/>
        </w:rPr>
        <w:t>CSTE Legal Barriers Toolkit Series</w:t>
      </w:r>
    </w:p>
    <w:p w14:paraId="08C3298E" w14:textId="2573FDD5" w:rsidR="002508FD" w:rsidRPr="00155F3A" w:rsidRDefault="00155F3A" w:rsidP="00155F3A">
      <w:pPr>
        <w:spacing w:after="120" w:line="360" w:lineRule="auto"/>
        <w:jc w:val="center"/>
        <w:rPr>
          <w:rFonts w:eastAsia="Times New Roman" w:cstheme="minorHAnsi"/>
          <w:b/>
          <w:bCs/>
          <w:color w:val="333333"/>
          <w:spacing w:val="15"/>
          <w:kern w:val="36"/>
          <w:sz w:val="24"/>
          <w:szCs w:val="24"/>
        </w:rPr>
      </w:pPr>
      <w:r w:rsidRPr="003176CA">
        <w:rPr>
          <w:rFonts w:eastAsia="Times New Roman" w:cstheme="minorHAnsi"/>
          <w:b/>
          <w:bCs/>
          <w:color w:val="000000" w:themeColor="text1"/>
          <w:spacing w:val="15"/>
          <w:kern w:val="36"/>
          <w:sz w:val="24"/>
          <w:szCs w:val="24"/>
        </w:rPr>
        <w:t xml:space="preserve">EMERGENCY </w:t>
      </w:r>
      <w:bookmarkEnd w:id="0"/>
      <w:r w:rsidRPr="003176CA">
        <w:rPr>
          <w:rFonts w:eastAsia="Times New Roman" w:cstheme="minorHAnsi"/>
          <w:b/>
          <w:bCs/>
          <w:color w:val="000000" w:themeColor="text1"/>
          <w:spacing w:val="15"/>
          <w:kern w:val="36"/>
          <w:sz w:val="24"/>
          <w:szCs w:val="24"/>
        </w:rPr>
        <w:t>DECLARATIONS AND PREPAREDNESS SYSTEMS</w:t>
      </w:r>
    </w:p>
    <w:p w14:paraId="1CDA1D1A" w14:textId="77777777" w:rsidR="00E96F90" w:rsidRDefault="00E96F90" w:rsidP="006672E8">
      <w:pPr>
        <w:spacing w:line="360" w:lineRule="auto"/>
        <w:ind w:left="576"/>
        <w:rPr>
          <w:b/>
          <w:bCs/>
          <w:i/>
          <w:iCs/>
        </w:rPr>
      </w:pPr>
    </w:p>
    <w:p w14:paraId="43059905" w14:textId="4BE49FFA" w:rsidR="006672E8" w:rsidRDefault="006672E8" w:rsidP="006672E8">
      <w:pPr>
        <w:spacing w:line="360" w:lineRule="auto"/>
        <w:ind w:left="576"/>
        <w:rPr>
          <w:i/>
          <w:iCs/>
        </w:rPr>
      </w:pPr>
      <w:r w:rsidRPr="00CF24F3">
        <w:rPr>
          <w:b/>
          <w:bCs/>
          <w:i/>
          <w:iCs/>
        </w:rPr>
        <w:t>Notice to readers</w:t>
      </w:r>
      <w:r w:rsidRPr="007747E2">
        <w:rPr>
          <w:i/>
          <w:iCs/>
        </w:rPr>
        <w:t xml:space="preserve">: </w:t>
      </w:r>
      <w:r w:rsidRPr="00420287">
        <w:rPr>
          <w:i/>
          <w:iCs/>
        </w:rPr>
        <w:t xml:space="preserve">The COVID-19 pandemic has prompted the unprecedented widespread implementation of public health emergency legal authorities and programs. Because of the evolving nature of COVID-19 </w:t>
      </w:r>
      <w:r>
        <w:rPr>
          <w:i/>
          <w:iCs/>
        </w:rPr>
        <w:t>and other future public health emergencies</w:t>
      </w:r>
      <w:r w:rsidRPr="00420287">
        <w:rPr>
          <w:i/>
          <w:iCs/>
        </w:rPr>
        <w:t xml:space="preserve">, the description, interpretation, and ultimate efficacy of the legal authorities and programs </w:t>
      </w:r>
      <w:r>
        <w:rPr>
          <w:i/>
          <w:iCs/>
        </w:rPr>
        <w:t>discussed</w:t>
      </w:r>
      <w:r w:rsidRPr="00420287">
        <w:rPr>
          <w:i/>
          <w:iCs/>
        </w:rPr>
        <w:t xml:space="preserve"> </w:t>
      </w:r>
      <w:r>
        <w:rPr>
          <w:i/>
          <w:iCs/>
        </w:rPr>
        <w:t>here</w:t>
      </w:r>
      <w:r w:rsidRPr="00420287">
        <w:rPr>
          <w:i/>
          <w:iCs/>
        </w:rPr>
        <w:t xml:space="preserve"> may </w:t>
      </w:r>
      <w:r>
        <w:rPr>
          <w:i/>
          <w:iCs/>
        </w:rPr>
        <w:t xml:space="preserve">have changed since this document was created in </w:t>
      </w:r>
      <w:r w:rsidR="008102F8">
        <w:rPr>
          <w:i/>
          <w:iCs/>
        </w:rPr>
        <w:t xml:space="preserve">July </w:t>
      </w:r>
      <w:r w:rsidRPr="008102F8">
        <w:rPr>
          <w:i/>
          <w:iCs/>
        </w:rPr>
        <w:t>2020</w:t>
      </w:r>
      <w:r>
        <w:rPr>
          <w:i/>
          <w:iCs/>
        </w:rPr>
        <w:t>.</w:t>
      </w:r>
    </w:p>
    <w:p w14:paraId="246E1748" w14:textId="77777777" w:rsidR="00155F3A" w:rsidRDefault="00155F3A" w:rsidP="00272016">
      <w:pPr>
        <w:spacing w:line="360" w:lineRule="auto"/>
        <w:rPr>
          <w:rFonts w:eastAsia="Times New Roman" w:cstheme="minorHAnsi"/>
          <w:b/>
          <w:bCs/>
          <w:color w:val="3C3030"/>
          <w:sz w:val="24"/>
          <w:szCs w:val="24"/>
        </w:rPr>
      </w:pPr>
    </w:p>
    <w:p w14:paraId="13826C3A" w14:textId="77777777" w:rsidR="00527530" w:rsidRPr="003176CA" w:rsidRDefault="002508FD" w:rsidP="00527530">
      <w:pPr>
        <w:spacing w:line="360" w:lineRule="auto"/>
        <w:rPr>
          <w:rFonts w:eastAsia="Times New Roman" w:cstheme="minorHAnsi"/>
          <w:b/>
          <w:bCs/>
          <w:color w:val="000000" w:themeColor="text1"/>
          <w:sz w:val="24"/>
          <w:szCs w:val="24"/>
        </w:rPr>
      </w:pPr>
      <w:r w:rsidRPr="003176CA">
        <w:rPr>
          <w:rFonts w:eastAsia="Times New Roman" w:cstheme="minorHAnsi"/>
          <w:b/>
          <w:bCs/>
          <w:color w:val="000000" w:themeColor="text1"/>
          <w:sz w:val="24"/>
          <w:szCs w:val="24"/>
        </w:rPr>
        <w:t>Overview</w:t>
      </w:r>
    </w:p>
    <w:p w14:paraId="584A2883" w14:textId="3456E735" w:rsidR="00527530" w:rsidRDefault="002012B7" w:rsidP="00527530">
      <w:pPr>
        <w:spacing w:line="360" w:lineRule="auto"/>
        <w:rPr>
          <w:rFonts w:eastAsia="Times New Roman" w:cstheme="minorHAnsi"/>
          <w:b/>
          <w:bCs/>
          <w:color w:val="3C3030"/>
          <w:sz w:val="24"/>
          <w:szCs w:val="24"/>
        </w:rPr>
      </w:pPr>
      <w:r>
        <w:rPr>
          <w:noProof/>
        </w:rPr>
        <mc:AlternateContent>
          <mc:Choice Requires="wps">
            <w:drawing>
              <wp:anchor distT="45720" distB="45720" distL="114300" distR="114300" simplePos="0" relativeHeight="251659264" behindDoc="0" locked="0" layoutInCell="1" allowOverlap="1" wp14:anchorId="07A76D70" wp14:editId="3B3EB489">
                <wp:simplePos x="0" y="0"/>
                <wp:positionH relativeFrom="margin">
                  <wp:align>center</wp:align>
                </wp:positionH>
                <wp:positionV relativeFrom="paragraph">
                  <wp:posOffset>1888490</wp:posOffset>
                </wp:positionV>
                <wp:extent cx="5833745" cy="685800"/>
                <wp:effectExtent l="0" t="0" r="14605" b="19050"/>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3745" cy="685800"/>
                        </a:xfrm>
                        <a:prstGeom prst="rect">
                          <a:avLst/>
                        </a:prstGeom>
                        <a:solidFill>
                          <a:srgbClr val="FFFFFF"/>
                        </a:solidFill>
                        <a:ln w="9525">
                          <a:solidFill>
                            <a:srgbClr val="000000"/>
                          </a:solidFill>
                          <a:miter lim="800000"/>
                          <a:headEnd/>
                          <a:tailEnd/>
                        </a:ln>
                      </wps:spPr>
                      <wps:txbx>
                        <w:txbxContent>
                          <w:p w14:paraId="2BD65DFC" w14:textId="77777777" w:rsidR="002012B7" w:rsidRPr="00CA76E9" w:rsidRDefault="002012B7" w:rsidP="002012B7">
                            <w:pPr>
                              <w:spacing w:after="120"/>
                              <w:jc w:val="center"/>
                              <w:rPr>
                                <w:i/>
                                <w:iCs/>
                              </w:rPr>
                            </w:pPr>
                            <w:r w:rsidRPr="00CA76E9">
                              <w:rPr>
                                <w:i/>
                                <w:iCs/>
                              </w:rPr>
                              <w:t xml:space="preserve">[Call out </w:t>
                            </w:r>
                            <w:r>
                              <w:rPr>
                                <w:i/>
                                <w:iCs/>
                              </w:rPr>
                              <w:t xml:space="preserve">box </w:t>
                            </w:r>
                            <w:r w:rsidRPr="00CA76E9">
                              <w:rPr>
                                <w:i/>
                                <w:iCs/>
                              </w:rPr>
                              <w:t>for first page of document]</w:t>
                            </w:r>
                          </w:p>
                          <w:p w14:paraId="59E05E38" w14:textId="77777777" w:rsidR="002012B7" w:rsidRDefault="002012B7" w:rsidP="002012B7">
                            <w:r>
                              <w:t>Please see the Practice Guide accompanying this toolkit for access to practice notices, legal analysis tools, examples, and templates.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7A76D70" id="_x0000_t202" coordsize="21600,21600" o:spt="202" path="m,l,21600r21600,l21600,xe">
                <v:stroke joinstyle="miter"/>
                <v:path gradientshapeok="t" o:connecttype="rect"/>
              </v:shapetype>
              <v:shape id="Text Box 2" o:spid="_x0000_s1026" type="#_x0000_t202" style="position:absolute;margin-left:0;margin-top:148.7pt;width:459.35pt;height:54pt;z-index:2516592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">
                <v:textbox>
                  <w:txbxContent>
                    <w:p w14:paraId="2BD65DFC" w14:textId="77777777" w:rsidR="002012B7" w:rsidRPr="00CA76E9" w:rsidRDefault="002012B7" w:rsidP="002012B7">
                      <w:pPr>
                        <w:spacing w:after="120"/>
                        <w:jc w:val="center"/>
                        <w:rPr>
                          <w:i/>
                          <w:iCs/>
                        </w:rPr>
                      </w:pPr>
                      <w:r w:rsidRPr="00CA76E9">
                        <w:rPr>
                          <w:i/>
                          <w:iCs/>
                        </w:rPr>
                        <w:t xml:space="preserve">[Call out </w:t>
                      </w:r>
                      <w:r>
                        <w:rPr>
                          <w:i/>
                          <w:iCs/>
                        </w:rPr>
                        <w:t xml:space="preserve">box </w:t>
                      </w:r>
                      <w:r w:rsidRPr="00CA76E9">
                        <w:rPr>
                          <w:i/>
                          <w:iCs/>
                        </w:rPr>
                        <w:t>for first page of document]</w:t>
                      </w:r>
                    </w:p>
                    <w:p w14:paraId="59E05E38" w14:textId="77777777" w:rsidR="002012B7" w:rsidRDefault="002012B7" w:rsidP="002012B7">
                      <w:r>
                        <w:t>Please see the Practice Guide accompanying this toolkit for access to practice notices, legal analysis tools, examples, and templates.</w:t>
                      </w:r>
                    </w:p>
                  </w:txbxContent>
                </v:textbox>
                <w10:wrap type="topAndBottom" anchorx="margin"/>
              </v:shape>
            </w:pict>
          </mc:Fallback>
        </mc:AlternateContent>
      </w:r>
      <w:r w:rsidR="002508FD">
        <w:rPr>
          <w:rFonts w:eastAsia="Times New Roman" w:cstheme="minorHAnsi"/>
          <w:szCs w:val="20"/>
        </w:rPr>
        <w:t xml:space="preserve">When a </w:t>
      </w:r>
      <w:r w:rsidR="00B638CA">
        <w:rPr>
          <w:rFonts w:eastAsia="Times New Roman" w:cstheme="minorHAnsi"/>
          <w:szCs w:val="20"/>
        </w:rPr>
        <w:t xml:space="preserve">state, tribal, local or territorial (STLT) </w:t>
      </w:r>
      <w:r w:rsidR="002508FD">
        <w:rPr>
          <w:rFonts w:eastAsia="Times New Roman" w:cstheme="minorHAnsi"/>
          <w:szCs w:val="20"/>
        </w:rPr>
        <w:t xml:space="preserve">government </w:t>
      </w:r>
      <w:r w:rsidR="007561E4">
        <w:rPr>
          <w:rFonts w:eastAsia="Times New Roman" w:cstheme="minorHAnsi"/>
          <w:szCs w:val="20"/>
        </w:rPr>
        <w:t>decide</w:t>
      </w:r>
      <w:r w:rsidR="007541F0">
        <w:rPr>
          <w:rFonts w:eastAsia="Times New Roman" w:cstheme="minorHAnsi"/>
          <w:szCs w:val="20"/>
        </w:rPr>
        <w:t>s</w:t>
      </w:r>
      <w:r w:rsidR="007561E4">
        <w:rPr>
          <w:rFonts w:eastAsia="Times New Roman" w:cstheme="minorHAnsi"/>
          <w:szCs w:val="20"/>
        </w:rPr>
        <w:t xml:space="preserve"> </w:t>
      </w:r>
      <w:r w:rsidR="000F01BB">
        <w:rPr>
          <w:rFonts w:eastAsia="Times New Roman" w:cstheme="minorHAnsi"/>
          <w:szCs w:val="20"/>
        </w:rPr>
        <w:t>whether</w:t>
      </w:r>
      <w:r w:rsidR="007561E4">
        <w:rPr>
          <w:rFonts w:eastAsia="Times New Roman" w:cstheme="minorHAnsi"/>
          <w:szCs w:val="20"/>
        </w:rPr>
        <w:t xml:space="preserve"> to declare </w:t>
      </w:r>
      <w:r w:rsidR="002508FD">
        <w:rPr>
          <w:rFonts w:eastAsia="Times New Roman" w:cstheme="minorHAnsi"/>
          <w:szCs w:val="20"/>
        </w:rPr>
        <w:t>a state of emergency</w:t>
      </w:r>
      <w:r w:rsidR="007845F5">
        <w:rPr>
          <w:rFonts w:eastAsia="Times New Roman" w:cstheme="minorHAnsi"/>
          <w:szCs w:val="20"/>
        </w:rPr>
        <w:t>, t</w:t>
      </w:r>
      <w:r w:rsidR="002508FD">
        <w:rPr>
          <w:rFonts w:eastAsia="Times New Roman" w:cstheme="minorHAnsi"/>
          <w:szCs w:val="20"/>
        </w:rPr>
        <w:t xml:space="preserve">his decision determines the legal and operational resources available to respond to an emergency and has implications for governments, the private </w:t>
      </w:r>
      <w:r w:rsidR="00770604">
        <w:rPr>
          <w:rFonts w:eastAsia="Times New Roman" w:cstheme="minorHAnsi"/>
          <w:szCs w:val="20"/>
        </w:rPr>
        <w:t xml:space="preserve">and non-profit </w:t>
      </w:r>
      <w:r w:rsidR="002508FD">
        <w:rPr>
          <w:rFonts w:eastAsia="Times New Roman" w:cstheme="minorHAnsi"/>
          <w:szCs w:val="20"/>
        </w:rPr>
        <w:t>sector</w:t>
      </w:r>
      <w:r w:rsidR="00770604">
        <w:rPr>
          <w:rFonts w:eastAsia="Times New Roman" w:cstheme="minorHAnsi"/>
          <w:szCs w:val="20"/>
        </w:rPr>
        <w:t>s</w:t>
      </w:r>
      <w:r w:rsidR="002508FD">
        <w:rPr>
          <w:rFonts w:eastAsia="Times New Roman" w:cstheme="minorHAnsi"/>
          <w:szCs w:val="20"/>
        </w:rPr>
        <w:t>, and the public</w:t>
      </w:r>
      <w:r w:rsidR="004E6393">
        <w:rPr>
          <w:rFonts w:eastAsia="Times New Roman" w:cstheme="minorHAnsi"/>
          <w:szCs w:val="20"/>
        </w:rPr>
        <w:t xml:space="preserve">. </w:t>
      </w:r>
      <w:r w:rsidR="00BB0749">
        <w:rPr>
          <w:rFonts w:eastAsia="Times New Roman" w:cstheme="minorHAnsi"/>
          <w:szCs w:val="20"/>
        </w:rPr>
        <w:t xml:space="preserve">STLT </w:t>
      </w:r>
      <w:r w:rsidR="004E6393">
        <w:rPr>
          <w:rFonts w:eastAsia="Times New Roman" w:cstheme="minorHAnsi"/>
          <w:szCs w:val="20"/>
        </w:rPr>
        <w:t xml:space="preserve">and federal </w:t>
      </w:r>
      <w:r w:rsidR="00BE2370">
        <w:rPr>
          <w:rFonts w:eastAsia="Times New Roman" w:cstheme="minorHAnsi"/>
          <w:szCs w:val="20"/>
        </w:rPr>
        <w:t xml:space="preserve">emergency legal </w:t>
      </w:r>
      <w:r w:rsidR="004774DC">
        <w:rPr>
          <w:rFonts w:eastAsia="Times New Roman" w:cstheme="minorHAnsi"/>
          <w:szCs w:val="20"/>
        </w:rPr>
        <w:t>authori</w:t>
      </w:r>
      <w:r w:rsidR="00806CFA">
        <w:rPr>
          <w:rFonts w:eastAsia="Times New Roman" w:cstheme="minorHAnsi"/>
          <w:szCs w:val="20"/>
        </w:rPr>
        <w:t xml:space="preserve">ties are </w:t>
      </w:r>
      <w:r w:rsidR="00566D4C">
        <w:rPr>
          <w:rFonts w:eastAsia="Times New Roman" w:cstheme="minorHAnsi"/>
          <w:szCs w:val="20"/>
        </w:rPr>
        <w:t xml:space="preserve">operationalized by </w:t>
      </w:r>
      <w:r w:rsidR="00647780">
        <w:rPr>
          <w:rFonts w:eastAsia="Times New Roman" w:cstheme="minorHAnsi"/>
          <w:szCs w:val="20"/>
        </w:rPr>
        <w:t xml:space="preserve">various actors </w:t>
      </w:r>
      <w:r w:rsidR="005D6ABE">
        <w:rPr>
          <w:rFonts w:eastAsia="Times New Roman" w:cstheme="minorHAnsi"/>
          <w:szCs w:val="20"/>
        </w:rPr>
        <w:t>guided by preparedness plans and systems. Understa</w:t>
      </w:r>
      <w:r w:rsidR="002508FD">
        <w:rPr>
          <w:rFonts w:eastAsia="Times New Roman" w:cstheme="minorHAnsi"/>
          <w:szCs w:val="20"/>
        </w:rPr>
        <w:t xml:space="preserve">nding the scope of </w:t>
      </w:r>
      <w:r w:rsidR="00B22CF3">
        <w:rPr>
          <w:rFonts w:eastAsia="Times New Roman" w:cstheme="minorHAnsi"/>
          <w:szCs w:val="20"/>
        </w:rPr>
        <w:t>STLT</w:t>
      </w:r>
      <w:r w:rsidR="002508FD">
        <w:rPr>
          <w:rFonts w:eastAsia="Times New Roman" w:cstheme="minorHAnsi"/>
          <w:szCs w:val="20"/>
        </w:rPr>
        <w:t xml:space="preserve"> and federal emergency authorities</w:t>
      </w:r>
      <w:r w:rsidR="005D6ABE">
        <w:rPr>
          <w:rFonts w:eastAsia="Times New Roman" w:cstheme="minorHAnsi"/>
          <w:szCs w:val="20"/>
        </w:rPr>
        <w:t xml:space="preserve">, plans, </w:t>
      </w:r>
      <w:r w:rsidR="00834D68">
        <w:rPr>
          <w:rFonts w:eastAsia="Times New Roman" w:cstheme="minorHAnsi"/>
          <w:szCs w:val="20"/>
        </w:rPr>
        <w:t xml:space="preserve">and systems </w:t>
      </w:r>
      <w:r w:rsidR="002508FD">
        <w:rPr>
          <w:rFonts w:eastAsia="Times New Roman" w:cstheme="minorHAnsi"/>
          <w:szCs w:val="20"/>
        </w:rPr>
        <w:t>and how the</w:t>
      </w:r>
      <w:r w:rsidR="00834D68">
        <w:rPr>
          <w:rFonts w:eastAsia="Times New Roman" w:cstheme="minorHAnsi"/>
          <w:szCs w:val="20"/>
        </w:rPr>
        <w:t>se</w:t>
      </w:r>
      <w:r w:rsidR="002508FD">
        <w:rPr>
          <w:rFonts w:eastAsia="Times New Roman" w:cstheme="minorHAnsi"/>
          <w:szCs w:val="20"/>
        </w:rPr>
        <w:t xml:space="preserve"> interact </w:t>
      </w:r>
      <w:r w:rsidR="00C25827">
        <w:rPr>
          <w:rFonts w:eastAsia="Times New Roman" w:cstheme="minorHAnsi"/>
          <w:szCs w:val="20"/>
        </w:rPr>
        <w:t xml:space="preserve">are vital </w:t>
      </w:r>
      <w:r w:rsidR="00AD75E5">
        <w:rPr>
          <w:rFonts w:eastAsia="Times New Roman" w:cstheme="minorHAnsi"/>
          <w:szCs w:val="20"/>
        </w:rPr>
        <w:t xml:space="preserve">in </w:t>
      </w:r>
      <w:r w:rsidR="002508FD">
        <w:rPr>
          <w:rFonts w:eastAsia="Times New Roman" w:cstheme="minorHAnsi"/>
          <w:szCs w:val="20"/>
        </w:rPr>
        <w:t>preparing for and responding to public health emergencies.</w:t>
      </w:r>
    </w:p>
    <w:p w14:paraId="7AAB906E" w14:textId="77777777" w:rsidR="002012B7" w:rsidRDefault="002012B7" w:rsidP="00272016">
      <w:pPr>
        <w:spacing w:line="360" w:lineRule="auto"/>
        <w:rPr>
          <w:rFonts w:eastAsia="Times New Roman" w:cstheme="minorHAnsi"/>
          <w:b/>
          <w:bCs/>
          <w:color w:val="000000" w:themeColor="text1"/>
          <w:sz w:val="24"/>
          <w:szCs w:val="24"/>
        </w:rPr>
      </w:pPr>
    </w:p>
    <w:p w14:paraId="195E8BDA" w14:textId="49D7E651" w:rsidR="002508FD" w:rsidRPr="003E0929" w:rsidRDefault="00776329" w:rsidP="00272016">
      <w:pPr>
        <w:spacing w:line="360" w:lineRule="auto"/>
        <w:rPr>
          <w:rFonts w:eastAsia="Times New Roman" w:cstheme="minorHAnsi"/>
          <w:b/>
          <w:bCs/>
          <w:color w:val="000000" w:themeColor="text1"/>
          <w:sz w:val="24"/>
          <w:szCs w:val="24"/>
        </w:rPr>
      </w:pPr>
      <w:r w:rsidRPr="003E0929">
        <w:rPr>
          <w:rFonts w:eastAsia="Times New Roman" w:cstheme="minorHAnsi"/>
          <w:b/>
          <w:bCs/>
          <w:color w:val="000000" w:themeColor="text1"/>
          <w:sz w:val="24"/>
          <w:szCs w:val="24"/>
        </w:rPr>
        <w:t xml:space="preserve">STLT </w:t>
      </w:r>
      <w:r w:rsidR="002508FD" w:rsidRPr="003E0929">
        <w:rPr>
          <w:rFonts w:eastAsia="Times New Roman" w:cstheme="minorHAnsi"/>
          <w:b/>
          <w:bCs/>
          <w:color w:val="000000" w:themeColor="text1"/>
          <w:sz w:val="24"/>
          <w:szCs w:val="24"/>
        </w:rPr>
        <w:t>Emergency Declarations</w:t>
      </w:r>
    </w:p>
    <w:p w14:paraId="1808403D" w14:textId="77777777" w:rsidR="00527530" w:rsidRDefault="002508FD" w:rsidP="00527530">
      <w:pPr>
        <w:spacing w:line="360" w:lineRule="auto"/>
        <w:rPr>
          <w:rFonts w:eastAsia="Times New Roman" w:cstheme="minorHAnsi"/>
          <w:b/>
          <w:bCs/>
        </w:rPr>
      </w:pPr>
      <w:r>
        <w:rPr>
          <w:rFonts w:eastAsia="Times New Roman" w:cstheme="minorHAnsi"/>
          <w:b/>
          <w:bCs/>
        </w:rPr>
        <w:t>Authorities Without an Emergency Declaration</w:t>
      </w:r>
    </w:p>
    <w:p w14:paraId="049A9FC3" w14:textId="3A3EFA51" w:rsidR="002508FD" w:rsidRPr="00527530" w:rsidRDefault="006A55C2" w:rsidP="00527530">
      <w:pPr>
        <w:spacing w:line="360" w:lineRule="auto"/>
        <w:rPr>
          <w:rFonts w:eastAsia="Times New Roman" w:cstheme="minorHAnsi"/>
          <w:b/>
          <w:bCs/>
        </w:rPr>
      </w:pPr>
      <w:r>
        <w:rPr>
          <w:rFonts w:eastAsia="Times New Roman" w:cstheme="minorHAnsi"/>
        </w:rPr>
        <w:t>State</w:t>
      </w:r>
      <w:r w:rsidR="00332900">
        <w:rPr>
          <w:rFonts w:eastAsia="Times New Roman" w:cstheme="minorHAnsi"/>
        </w:rPr>
        <w:t xml:space="preserve">, tribal, and territorial </w:t>
      </w:r>
      <w:r w:rsidR="002508FD">
        <w:rPr>
          <w:rFonts w:eastAsia="Times New Roman" w:cstheme="minorHAnsi"/>
        </w:rPr>
        <w:t xml:space="preserve">officials have existing broad powers to address emergency situations by virtue of the statutory authorities granted to their positions without formally declaring a state of emergency. </w:t>
      </w:r>
      <w:r w:rsidR="00332900">
        <w:rPr>
          <w:rFonts w:eastAsia="Times New Roman" w:cstheme="minorHAnsi"/>
        </w:rPr>
        <w:t xml:space="preserve">Local officials’ authorities to declare an emergency </w:t>
      </w:r>
      <w:r w:rsidR="000B3B70">
        <w:rPr>
          <w:rFonts w:eastAsia="Times New Roman" w:cstheme="minorHAnsi"/>
        </w:rPr>
        <w:t xml:space="preserve">will depend on the authority granted </w:t>
      </w:r>
      <w:r w:rsidR="006D74A1">
        <w:rPr>
          <w:rFonts w:eastAsia="Times New Roman" w:cstheme="minorHAnsi"/>
        </w:rPr>
        <w:t xml:space="preserve">to them </w:t>
      </w:r>
      <w:r w:rsidR="000B3B70">
        <w:rPr>
          <w:rFonts w:eastAsia="Times New Roman" w:cstheme="minorHAnsi"/>
        </w:rPr>
        <w:t>under</w:t>
      </w:r>
      <w:r w:rsidR="00993A47">
        <w:rPr>
          <w:rFonts w:eastAsia="Times New Roman" w:cstheme="minorHAnsi"/>
        </w:rPr>
        <w:t xml:space="preserve"> a state’s law</w:t>
      </w:r>
      <w:r w:rsidR="006D74A1">
        <w:rPr>
          <w:rFonts w:eastAsia="Times New Roman" w:cstheme="minorHAnsi"/>
        </w:rPr>
        <w:t>s</w:t>
      </w:r>
      <w:r w:rsidR="00993A47">
        <w:rPr>
          <w:rFonts w:eastAsia="Times New Roman" w:cstheme="minorHAnsi"/>
        </w:rPr>
        <w:t xml:space="preserve">. </w:t>
      </w:r>
      <w:r w:rsidR="00891D3E">
        <w:t>Tribes, unlike local governments, are independent sovereign nations with the ability to declare their own emergencies under their tribal constitutions separate and independent from the federal, state or local governments.</w:t>
      </w:r>
      <w:r w:rsidR="002A385D">
        <w:rPr>
          <w:rStyle w:val="FootnoteReference"/>
        </w:rPr>
        <w:footnoteReference w:id="1"/>
      </w:r>
      <w:r w:rsidR="00891D3E">
        <w:t xml:space="preserve"> </w:t>
      </w:r>
      <w:r w:rsidR="002508FD">
        <w:rPr>
          <w:rFonts w:eastAsia="Times New Roman" w:cstheme="minorHAnsi"/>
        </w:rPr>
        <w:t xml:space="preserve">A </w:t>
      </w:r>
      <w:r w:rsidR="00E82FE3">
        <w:rPr>
          <w:rFonts w:eastAsia="Times New Roman" w:cstheme="minorHAnsi"/>
        </w:rPr>
        <w:t>STLT</w:t>
      </w:r>
      <w:r w:rsidR="002508FD">
        <w:rPr>
          <w:rFonts w:eastAsia="Times New Roman" w:cstheme="minorHAnsi"/>
        </w:rPr>
        <w:t xml:space="preserve"> health officer’s </w:t>
      </w:r>
      <w:r w:rsidR="00300AD6">
        <w:rPr>
          <w:rFonts w:eastAsia="Times New Roman" w:cstheme="minorHAnsi"/>
        </w:rPr>
        <w:t>non-</w:t>
      </w:r>
      <w:r w:rsidR="005C2A1A">
        <w:rPr>
          <w:rFonts w:eastAsia="Times New Roman" w:cstheme="minorHAnsi"/>
        </w:rPr>
        <w:t>emergency</w:t>
      </w:r>
      <w:r w:rsidR="002508FD">
        <w:rPr>
          <w:rFonts w:eastAsia="Times New Roman" w:cstheme="minorHAnsi"/>
        </w:rPr>
        <w:t xml:space="preserve"> </w:t>
      </w:r>
      <w:r w:rsidR="005C2A1A">
        <w:rPr>
          <w:rFonts w:eastAsia="Times New Roman" w:cstheme="minorHAnsi"/>
        </w:rPr>
        <w:t>powers</w:t>
      </w:r>
      <w:r w:rsidR="002508FD">
        <w:rPr>
          <w:rFonts w:eastAsia="Times New Roman" w:cstheme="minorHAnsi"/>
        </w:rPr>
        <w:t xml:space="preserve"> generally </w:t>
      </w:r>
      <w:r w:rsidR="002508FD">
        <w:rPr>
          <w:rFonts w:eastAsia="Times New Roman" w:cstheme="minorHAnsi"/>
        </w:rPr>
        <w:lastRenderedPageBreak/>
        <w:t xml:space="preserve">contain a broad grant of authority to, among other things, investigate the causes of disease, </w:t>
      </w:r>
      <w:r w:rsidR="007F3EE4">
        <w:rPr>
          <w:rFonts w:eastAsia="Times New Roman" w:cstheme="minorHAnsi"/>
        </w:rPr>
        <w:t xml:space="preserve">collect data, </w:t>
      </w:r>
      <w:r w:rsidR="009E1270">
        <w:rPr>
          <w:rFonts w:eastAsia="Times New Roman" w:cstheme="minorHAnsi"/>
        </w:rPr>
        <w:t xml:space="preserve">abate nuisances, </w:t>
      </w:r>
      <w:r w:rsidR="002508FD">
        <w:rPr>
          <w:rFonts w:eastAsia="Times New Roman" w:cstheme="minorHAnsi"/>
        </w:rPr>
        <w:t xml:space="preserve">and institute </w:t>
      </w:r>
      <w:r w:rsidR="00BE3946">
        <w:rPr>
          <w:rFonts w:eastAsia="Times New Roman" w:cstheme="minorHAnsi"/>
        </w:rPr>
        <w:t xml:space="preserve">some </w:t>
      </w:r>
      <w:r w:rsidR="002508FD">
        <w:rPr>
          <w:rFonts w:eastAsia="Times New Roman" w:cstheme="minorHAnsi"/>
        </w:rPr>
        <w:t xml:space="preserve">quarantine </w:t>
      </w:r>
      <w:r w:rsidR="009E1270">
        <w:rPr>
          <w:rFonts w:eastAsia="Times New Roman" w:cstheme="minorHAnsi"/>
        </w:rPr>
        <w:t xml:space="preserve">and isolation </w:t>
      </w:r>
      <w:r w:rsidR="002508FD">
        <w:rPr>
          <w:rFonts w:eastAsia="Times New Roman" w:cstheme="minorHAnsi"/>
        </w:rPr>
        <w:t xml:space="preserve">measures. Depending on the circumstances of an event, these existing powers may be sufficient to adequately respond </w:t>
      </w:r>
      <w:r w:rsidR="00C034C7">
        <w:rPr>
          <w:rFonts w:eastAsia="Times New Roman" w:cstheme="minorHAnsi"/>
        </w:rPr>
        <w:t xml:space="preserve">to </w:t>
      </w:r>
      <w:r w:rsidR="002508FD">
        <w:rPr>
          <w:rFonts w:eastAsia="Times New Roman" w:cstheme="minorHAnsi"/>
        </w:rPr>
        <w:t xml:space="preserve">or allow initial response measures to begin until an emergency is declared. Identifying authorities and capabilities to respond to emergencies without a declaration </w:t>
      </w:r>
      <w:r w:rsidR="00636B9B">
        <w:rPr>
          <w:rFonts w:eastAsia="Times New Roman" w:cstheme="minorHAnsi"/>
        </w:rPr>
        <w:t>is also n</w:t>
      </w:r>
      <w:r w:rsidR="002508FD">
        <w:rPr>
          <w:rFonts w:eastAsia="Times New Roman" w:cstheme="minorHAnsi"/>
        </w:rPr>
        <w:t xml:space="preserve">ecessary should an event not meet the statutory definition required to </w:t>
      </w:r>
      <w:r w:rsidR="00E5204F">
        <w:rPr>
          <w:rFonts w:eastAsia="Times New Roman" w:cstheme="minorHAnsi"/>
        </w:rPr>
        <w:t>initiate</w:t>
      </w:r>
      <w:r w:rsidR="002508FD">
        <w:rPr>
          <w:rFonts w:eastAsia="Times New Roman" w:cstheme="minorHAnsi"/>
        </w:rPr>
        <w:t xml:space="preserve"> an emergency declaration.</w:t>
      </w:r>
    </w:p>
    <w:p w14:paraId="2C6E455B" w14:textId="77777777" w:rsidR="00C40C50" w:rsidRDefault="00C40C50" w:rsidP="00527530">
      <w:pPr>
        <w:keepNext/>
        <w:spacing w:line="360" w:lineRule="auto"/>
        <w:rPr>
          <w:rFonts w:eastAsia="Times New Roman" w:cstheme="minorHAnsi"/>
          <w:b/>
          <w:bCs/>
        </w:rPr>
      </w:pPr>
    </w:p>
    <w:p w14:paraId="2C5F0D3E" w14:textId="0E1DE887" w:rsidR="00527530" w:rsidRDefault="002508FD" w:rsidP="00527530">
      <w:pPr>
        <w:keepNext/>
        <w:spacing w:line="360" w:lineRule="auto"/>
        <w:rPr>
          <w:rFonts w:eastAsia="Times New Roman" w:cstheme="minorHAnsi"/>
          <w:b/>
          <w:bCs/>
        </w:rPr>
      </w:pPr>
      <w:r>
        <w:rPr>
          <w:rFonts w:eastAsia="Times New Roman" w:cstheme="minorHAnsi"/>
          <w:b/>
          <w:bCs/>
        </w:rPr>
        <w:t>Authority to Declare Emergencies</w:t>
      </w:r>
    </w:p>
    <w:p w14:paraId="361AADE4" w14:textId="70F16E9F" w:rsidR="002508FD" w:rsidRDefault="002508FD" w:rsidP="00527530">
      <w:pPr>
        <w:spacing w:line="360" w:lineRule="auto"/>
        <w:rPr>
          <w:rFonts w:eastAsia="Times New Roman" w:cstheme="minorHAnsi"/>
          <w:b/>
          <w:bCs/>
        </w:rPr>
      </w:pPr>
      <w:r>
        <w:rPr>
          <w:rFonts w:eastAsia="Times New Roman" w:cstheme="minorHAnsi"/>
        </w:rPr>
        <w:t xml:space="preserve">When conditions warrant, all </w:t>
      </w:r>
      <w:r w:rsidR="009155A5">
        <w:rPr>
          <w:rFonts w:eastAsia="Times New Roman" w:cstheme="minorHAnsi"/>
        </w:rPr>
        <w:t xml:space="preserve">STLT </w:t>
      </w:r>
      <w:r w:rsidR="00144396">
        <w:rPr>
          <w:rFonts w:eastAsia="Times New Roman" w:cstheme="minorHAnsi"/>
        </w:rPr>
        <w:t>governments</w:t>
      </w:r>
      <w:r>
        <w:rPr>
          <w:rFonts w:eastAsia="Times New Roman" w:cstheme="minorHAnsi"/>
        </w:rPr>
        <w:t xml:space="preserve"> have mechanisms that allow officials to declare </w:t>
      </w:r>
      <w:r w:rsidR="009155A5">
        <w:rPr>
          <w:rFonts w:eastAsia="Times New Roman" w:cstheme="minorHAnsi"/>
        </w:rPr>
        <w:t xml:space="preserve">or to seek </w:t>
      </w:r>
      <w:r>
        <w:rPr>
          <w:rFonts w:eastAsia="Times New Roman" w:cstheme="minorHAnsi"/>
        </w:rPr>
        <w:t xml:space="preserve">a state of emergency, thereby activating authorities and resources that are unavailable in non-emergencies. </w:t>
      </w:r>
      <w:r w:rsidR="00BE5761">
        <w:rPr>
          <w:rFonts w:eastAsia="Times New Roman" w:cstheme="minorHAnsi"/>
        </w:rPr>
        <w:t>S</w:t>
      </w:r>
      <w:r>
        <w:rPr>
          <w:rFonts w:eastAsia="Times New Roman" w:cstheme="minorHAnsi"/>
        </w:rPr>
        <w:t xml:space="preserve">tates </w:t>
      </w:r>
      <w:r w:rsidR="00BE5761">
        <w:rPr>
          <w:rFonts w:eastAsia="Times New Roman" w:cstheme="minorHAnsi"/>
        </w:rPr>
        <w:t xml:space="preserve">and territories </w:t>
      </w:r>
      <w:r>
        <w:rPr>
          <w:rFonts w:eastAsia="Times New Roman" w:cstheme="minorHAnsi"/>
        </w:rPr>
        <w:t xml:space="preserve">give the governor the authority to declare one or more types of emergencies. </w:t>
      </w:r>
      <w:r w:rsidR="005E0DBC">
        <w:rPr>
          <w:rFonts w:eastAsia="Times New Roman" w:cstheme="minorHAnsi"/>
        </w:rPr>
        <w:t xml:space="preserve">Jurisdictions have also </w:t>
      </w:r>
      <w:r>
        <w:rPr>
          <w:rFonts w:eastAsia="Times New Roman" w:cstheme="minorHAnsi"/>
        </w:rPr>
        <w:t>granted state health officers/agency directors the authority to declare public health emergencies. Other state or tribal officials such as the emergency management agency director, homeland security director, or agricultural director may have similar powers. Local governments may have authority to declare an emergency and activate emergency authorities within their jurisdiction.</w:t>
      </w:r>
    </w:p>
    <w:p w14:paraId="676B4757" w14:textId="77777777" w:rsidR="00527530" w:rsidRPr="00527530" w:rsidRDefault="00527530" w:rsidP="00527530">
      <w:pPr>
        <w:spacing w:line="360" w:lineRule="auto"/>
        <w:rPr>
          <w:rFonts w:eastAsia="Times New Roman" w:cstheme="minorHAnsi"/>
          <w:b/>
          <w:bCs/>
        </w:rPr>
      </w:pPr>
    </w:p>
    <w:p w14:paraId="394CE10E" w14:textId="77777777" w:rsidR="00527530" w:rsidRDefault="002508FD" w:rsidP="00527530">
      <w:pPr>
        <w:spacing w:line="360" w:lineRule="auto"/>
        <w:rPr>
          <w:rFonts w:eastAsia="Times New Roman" w:cstheme="minorHAnsi"/>
          <w:b/>
          <w:bCs/>
        </w:rPr>
      </w:pPr>
      <w:r>
        <w:rPr>
          <w:rFonts w:eastAsia="Times New Roman" w:cstheme="minorHAnsi"/>
          <w:b/>
          <w:bCs/>
        </w:rPr>
        <w:t>Types of State Emergencies</w:t>
      </w:r>
    </w:p>
    <w:p w14:paraId="4BBBE52F" w14:textId="1612E9DE" w:rsidR="002508FD" w:rsidRDefault="002508FD" w:rsidP="00527530">
      <w:pPr>
        <w:spacing w:line="360" w:lineRule="auto"/>
        <w:rPr>
          <w:rFonts w:eastAsia="Times New Roman" w:cstheme="minorHAnsi"/>
          <w:b/>
          <w:bCs/>
        </w:rPr>
      </w:pPr>
      <w:r>
        <w:rPr>
          <w:rFonts w:eastAsia="Times New Roman" w:cstheme="minorHAnsi"/>
        </w:rPr>
        <w:t xml:space="preserve">The determination of whether circumstances justify or require the declaration of an emergency depends on conditions set out in </w:t>
      </w:r>
      <w:r w:rsidR="00DB7D03">
        <w:rPr>
          <w:rFonts w:eastAsia="Times New Roman" w:cstheme="minorHAnsi"/>
        </w:rPr>
        <w:t>STLT law</w:t>
      </w:r>
      <w:r>
        <w:rPr>
          <w:rFonts w:eastAsia="Times New Roman" w:cstheme="minorHAnsi"/>
        </w:rPr>
        <w:t xml:space="preserve">. Traditionally states </w:t>
      </w:r>
      <w:r w:rsidR="00B3111A">
        <w:rPr>
          <w:rFonts w:eastAsia="Times New Roman" w:cstheme="minorHAnsi"/>
        </w:rPr>
        <w:t xml:space="preserve">and territories </w:t>
      </w:r>
      <w:r>
        <w:rPr>
          <w:rFonts w:eastAsia="Times New Roman" w:cstheme="minorHAnsi"/>
        </w:rPr>
        <w:t xml:space="preserve">have a general statute that permits the governor to declare a state of emergency for any type of emergency or natural disaster, which can be construed broadly to include disease epidemics and other public health emergencies. </w:t>
      </w:r>
      <w:r w:rsidR="00016781">
        <w:rPr>
          <w:rFonts w:eastAsia="Times New Roman" w:cstheme="minorHAnsi"/>
        </w:rPr>
        <w:t>Jurisdictions</w:t>
      </w:r>
      <w:r>
        <w:rPr>
          <w:rFonts w:eastAsia="Times New Roman" w:cstheme="minorHAnsi"/>
        </w:rPr>
        <w:t xml:space="preserve"> </w:t>
      </w:r>
      <w:r w:rsidR="00016781">
        <w:rPr>
          <w:rFonts w:eastAsia="Times New Roman" w:cstheme="minorHAnsi"/>
        </w:rPr>
        <w:t>have also</w:t>
      </w:r>
      <w:r>
        <w:rPr>
          <w:rFonts w:eastAsia="Times New Roman" w:cstheme="minorHAnsi"/>
        </w:rPr>
        <w:t xml:space="preserve"> refine</w:t>
      </w:r>
      <w:r w:rsidR="00016781">
        <w:rPr>
          <w:rFonts w:eastAsia="Times New Roman" w:cstheme="minorHAnsi"/>
        </w:rPr>
        <w:t>d</w:t>
      </w:r>
      <w:r>
        <w:rPr>
          <w:rFonts w:eastAsia="Times New Roman" w:cstheme="minorHAnsi"/>
        </w:rPr>
        <w:t xml:space="preserve"> their approaches to defining emergencies; </w:t>
      </w:r>
      <w:r w:rsidR="00016781">
        <w:rPr>
          <w:rFonts w:eastAsia="Times New Roman" w:cstheme="minorHAnsi"/>
        </w:rPr>
        <w:t>they</w:t>
      </w:r>
      <w:r>
        <w:rPr>
          <w:rFonts w:eastAsia="Times New Roman" w:cstheme="minorHAnsi"/>
        </w:rPr>
        <w:t xml:space="preserve"> may have one or more statutory definitions to define emergencies, including "disaster,” "emergency,” and "public health emergency.”</w:t>
      </w:r>
      <w:r w:rsidR="001130D7">
        <w:rPr>
          <w:rStyle w:val="FootnoteReference"/>
          <w:rFonts w:eastAsia="Times New Roman" w:cstheme="minorHAnsi"/>
          <w:bdr w:val="none" w:sz="0" w:space="0" w:color="auto" w:frame="1"/>
        </w:rPr>
        <w:footnoteReference w:id="2"/>
      </w:r>
      <w:r w:rsidR="001130D7">
        <w:rPr>
          <w:rFonts w:eastAsia="Times New Roman" w:cstheme="minorHAnsi"/>
        </w:rPr>
        <w:t xml:space="preserve"> </w:t>
      </w:r>
      <w:r>
        <w:rPr>
          <w:rFonts w:eastAsia="Times New Roman" w:cstheme="minorHAnsi"/>
        </w:rPr>
        <w:t xml:space="preserve">In </w:t>
      </w:r>
      <w:r w:rsidR="0056715A">
        <w:rPr>
          <w:rFonts w:eastAsia="Times New Roman" w:cstheme="minorHAnsi"/>
        </w:rPr>
        <w:t>jurisdictions</w:t>
      </w:r>
      <w:r>
        <w:rPr>
          <w:rFonts w:eastAsia="Times New Roman" w:cstheme="minorHAnsi"/>
        </w:rPr>
        <w:t xml:space="preserve"> with multiple types of emergencies, it may be possible to have more than one type of emergency declared at the same time. If so, </w:t>
      </w:r>
      <w:r w:rsidR="00501C3A">
        <w:rPr>
          <w:rFonts w:eastAsia="Times New Roman" w:cstheme="minorHAnsi"/>
        </w:rPr>
        <w:t>government</w:t>
      </w:r>
      <w:r>
        <w:rPr>
          <w:rFonts w:eastAsia="Times New Roman" w:cstheme="minorHAnsi"/>
        </w:rPr>
        <w:t xml:space="preserve"> officials must clearly understand the </w:t>
      </w:r>
      <w:r>
        <w:rPr>
          <w:rFonts w:eastAsia="Times New Roman" w:cstheme="minorHAnsi"/>
        </w:rPr>
        <w:lastRenderedPageBreak/>
        <w:t xml:space="preserve">authorities that flow from each declaration, </w:t>
      </w:r>
      <w:r w:rsidR="00C11EC6">
        <w:rPr>
          <w:rFonts w:eastAsia="Times New Roman" w:cstheme="minorHAnsi"/>
        </w:rPr>
        <w:t xml:space="preserve">the </w:t>
      </w:r>
      <w:r>
        <w:rPr>
          <w:rFonts w:eastAsia="Times New Roman" w:cstheme="minorHAnsi"/>
        </w:rPr>
        <w:t>agency roles and responsibilities</w:t>
      </w:r>
      <w:r w:rsidR="00565CF3">
        <w:rPr>
          <w:rFonts w:eastAsia="Times New Roman" w:cstheme="minorHAnsi"/>
        </w:rPr>
        <w:t xml:space="preserve"> activated</w:t>
      </w:r>
      <w:r>
        <w:rPr>
          <w:rFonts w:eastAsia="Times New Roman" w:cstheme="minorHAnsi"/>
        </w:rPr>
        <w:t>, and the impacts on local governments, the private sector, and the public.</w:t>
      </w:r>
    </w:p>
    <w:p w14:paraId="6EA2AAE9" w14:textId="77777777" w:rsidR="00527530" w:rsidRPr="00527530" w:rsidRDefault="00527530" w:rsidP="00527530">
      <w:pPr>
        <w:spacing w:line="360" w:lineRule="auto"/>
        <w:rPr>
          <w:rFonts w:eastAsia="Times New Roman" w:cstheme="minorHAnsi"/>
          <w:b/>
          <w:bCs/>
        </w:rPr>
      </w:pPr>
    </w:p>
    <w:p w14:paraId="505F1EC7" w14:textId="77777777" w:rsidR="00527530" w:rsidRDefault="00E27C9A" w:rsidP="00C40C50">
      <w:pPr>
        <w:keepNext/>
        <w:keepLines/>
        <w:spacing w:line="360" w:lineRule="auto"/>
        <w:rPr>
          <w:rFonts w:eastAsia="Times New Roman" w:cstheme="minorHAnsi"/>
          <w:b/>
          <w:bCs/>
        </w:rPr>
      </w:pPr>
      <w:r>
        <w:rPr>
          <w:rFonts w:eastAsia="Times New Roman" w:cstheme="minorHAnsi"/>
          <w:b/>
          <w:bCs/>
        </w:rPr>
        <w:t>STLT</w:t>
      </w:r>
      <w:r w:rsidR="002508FD">
        <w:rPr>
          <w:rFonts w:eastAsia="Times New Roman" w:cstheme="minorHAnsi"/>
          <w:b/>
          <w:bCs/>
        </w:rPr>
        <w:t xml:space="preserve"> Emergency Declaration Process</w:t>
      </w:r>
    </w:p>
    <w:p w14:paraId="11B2CCE1" w14:textId="50BB5EED" w:rsidR="002508FD" w:rsidRPr="00527530" w:rsidRDefault="002508FD" w:rsidP="00527530">
      <w:pPr>
        <w:spacing w:line="360" w:lineRule="auto"/>
        <w:rPr>
          <w:rFonts w:eastAsia="Times New Roman" w:cstheme="minorHAnsi"/>
          <w:b/>
          <w:bCs/>
        </w:rPr>
      </w:pPr>
      <w:r>
        <w:rPr>
          <w:rFonts w:eastAsia="Times New Roman" w:cstheme="minorHAnsi"/>
        </w:rPr>
        <w:t xml:space="preserve">While unique to each </w:t>
      </w:r>
      <w:r w:rsidR="00E27C9A">
        <w:rPr>
          <w:rFonts w:eastAsia="Times New Roman" w:cstheme="minorHAnsi"/>
        </w:rPr>
        <w:t>jurisdiction</w:t>
      </w:r>
      <w:r>
        <w:rPr>
          <w:rFonts w:eastAsia="Times New Roman" w:cstheme="minorHAnsi"/>
        </w:rPr>
        <w:t xml:space="preserve">, generally the governor or tribal council may declare an emergency by issuing an executive order or other declaration to that effect. The declaration addresses the effective dates and duration of the declaration, geographic areas covered, conditions giving rise to the emergency, and the agency or agencies leading the response activities. The declaration may also identify </w:t>
      </w:r>
      <w:r w:rsidR="004148C2">
        <w:rPr>
          <w:rFonts w:eastAsia="Times New Roman" w:cstheme="minorHAnsi"/>
        </w:rPr>
        <w:t>STLT</w:t>
      </w:r>
      <w:r>
        <w:rPr>
          <w:rFonts w:eastAsia="Times New Roman" w:cstheme="minorHAnsi"/>
        </w:rPr>
        <w:t xml:space="preserve"> rules and regulations that are waived or suspended during the emergency. Governors may be required to seek legislative approval for the imposition of a</w:t>
      </w:r>
      <w:r w:rsidR="00D02E24">
        <w:rPr>
          <w:rFonts w:eastAsia="Times New Roman" w:cstheme="minorHAnsi"/>
        </w:rPr>
        <w:t>n</w:t>
      </w:r>
      <w:r>
        <w:rPr>
          <w:rFonts w:eastAsia="Times New Roman" w:cstheme="minorHAnsi"/>
        </w:rPr>
        <w:t xml:space="preserve"> emergency within a given time after the declaration (e.g., within 30 days). Alternatively, a governor may be able to declare a state of emergency for a specified </w:t>
      </w:r>
      <w:r w:rsidR="00AF00FD">
        <w:rPr>
          <w:rFonts w:eastAsia="Times New Roman" w:cstheme="minorHAnsi"/>
        </w:rPr>
        <w:t>period</w:t>
      </w:r>
      <w:r w:rsidR="00D142C3">
        <w:rPr>
          <w:rFonts w:eastAsia="Times New Roman" w:cstheme="minorHAnsi"/>
        </w:rPr>
        <w:t xml:space="preserve"> (e.g., 30 days)</w:t>
      </w:r>
      <w:r>
        <w:rPr>
          <w:rFonts w:eastAsia="Times New Roman" w:cstheme="minorHAnsi"/>
        </w:rPr>
        <w:t xml:space="preserve">, but then would need legislative approval to renew the emergency declaration. For emergencies declared by other executive officers like </w:t>
      </w:r>
      <w:r w:rsidR="003E68BA">
        <w:rPr>
          <w:rFonts w:eastAsia="Times New Roman" w:cstheme="minorHAnsi"/>
        </w:rPr>
        <w:t xml:space="preserve">a </w:t>
      </w:r>
      <w:r>
        <w:rPr>
          <w:rFonts w:eastAsia="Times New Roman" w:cstheme="minorHAnsi"/>
        </w:rPr>
        <w:t>state health officer, such declarations may require simultaneous or subsequent approval by the governor and/or legislature. Locally declared emergencies may require approval by a local legislative body, state executive officers, and/or the state legislature.</w:t>
      </w:r>
      <w:r w:rsidR="0032344F">
        <w:rPr>
          <w:rFonts w:eastAsia="Times New Roman" w:cstheme="minorHAnsi"/>
        </w:rPr>
        <w:t xml:space="preserve"> </w:t>
      </w:r>
    </w:p>
    <w:p w14:paraId="33DC977C" w14:textId="77777777" w:rsidR="00527530" w:rsidRDefault="00527530" w:rsidP="00272016">
      <w:pPr>
        <w:spacing w:line="360" w:lineRule="auto"/>
        <w:rPr>
          <w:rFonts w:eastAsia="Times New Roman" w:cstheme="minorHAnsi"/>
          <w:b/>
          <w:bCs/>
        </w:rPr>
      </w:pPr>
    </w:p>
    <w:p w14:paraId="13C2C3E1" w14:textId="77777777" w:rsidR="00527530" w:rsidRDefault="002508FD" w:rsidP="00527530">
      <w:pPr>
        <w:spacing w:line="360" w:lineRule="auto"/>
        <w:rPr>
          <w:rFonts w:eastAsia="Times New Roman" w:cstheme="minorHAnsi"/>
          <w:b/>
          <w:bCs/>
        </w:rPr>
      </w:pPr>
      <w:r>
        <w:rPr>
          <w:rFonts w:eastAsia="Times New Roman" w:cstheme="minorHAnsi"/>
          <w:b/>
          <w:bCs/>
        </w:rPr>
        <w:t xml:space="preserve">Actions and Authorities </w:t>
      </w:r>
      <w:r w:rsidR="001B34EC">
        <w:rPr>
          <w:rFonts w:eastAsia="Times New Roman" w:cstheme="minorHAnsi"/>
          <w:b/>
          <w:bCs/>
        </w:rPr>
        <w:t>Activated by STLT</w:t>
      </w:r>
      <w:r>
        <w:rPr>
          <w:rFonts w:eastAsia="Times New Roman" w:cstheme="minorHAnsi"/>
          <w:b/>
          <w:bCs/>
        </w:rPr>
        <w:t xml:space="preserve"> Emergency Declarations</w:t>
      </w:r>
    </w:p>
    <w:p w14:paraId="77A1685C" w14:textId="3518CED0" w:rsidR="002508FD" w:rsidRPr="00527530" w:rsidRDefault="002508FD" w:rsidP="00B01DA8">
      <w:pPr>
        <w:spacing w:after="120" w:line="360" w:lineRule="auto"/>
        <w:rPr>
          <w:rFonts w:eastAsia="Times New Roman" w:cstheme="minorHAnsi"/>
          <w:b/>
          <w:bCs/>
        </w:rPr>
      </w:pPr>
      <w:r>
        <w:rPr>
          <w:rFonts w:eastAsia="Times New Roman" w:cstheme="minorHAnsi"/>
        </w:rPr>
        <w:t>The declaration of a</w:t>
      </w:r>
      <w:r w:rsidR="00183F33">
        <w:rPr>
          <w:rFonts w:eastAsia="Times New Roman" w:cstheme="minorHAnsi"/>
        </w:rPr>
        <w:t xml:space="preserve">n emergency </w:t>
      </w:r>
      <w:r w:rsidR="00FB5A47">
        <w:rPr>
          <w:rFonts w:eastAsia="Times New Roman" w:cstheme="minorHAnsi"/>
        </w:rPr>
        <w:t xml:space="preserve">by a STLT government initiates </w:t>
      </w:r>
      <w:r>
        <w:rPr>
          <w:rFonts w:eastAsia="Times New Roman" w:cstheme="minorHAnsi"/>
        </w:rPr>
        <w:t xml:space="preserve">an array of authorities and actions by </w:t>
      </w:r>
      <w:r w:rsidR="00FB5A47">
        <w:rPr>
          <w:rFonts w:eastAsia="Times New Roman" w:cstheme="minorHAnsi"/>
        </w:rPr>
        <w:t xml:space="preserve">these </w:t>
      </w:r>
      <w:r>
        <w:rPr>
          <w:rFonts w:eastAsia="Times New Roman" w:cstheme="minorHAnsi"/>
        </w:rPr>
        <w:t xml:space="preserve">governments. Depending on the type of emergency declared, and the scope of authority granted to the official making the emergency declaration, the actions and authorities </w:t>
      </w:r>
      <w:r w:rsidR="00D44A19">
        <w:rPr>
          <w:rFonts w:eastAsia="Times New Roman" w:cstheme="minorHAnsi"/>
        </w:rPr>
        <w:t>activated</w:t>
      </w:r>
      <w:r>
        <w:rPr>
          <w:rFonts w:eastAsia="Times New Roman" w:cstheme="minorHAnsi"/>
        </w:rPr>
        <w:t xml:space="preserve"> by a</w:t>
      </w:r>
      <w:r w:rsidR="00D44A19">
        <w:rPr>
          <w:rFonts w:eastAsia="Times New Roman" w:cstheme="minorHAnsi"/>
        </w:rPr>
        <w:t xml:space="preserve">n </w:t>
      </w:r>
      <w:r>
        <w:rPr>
          <w:rFonts w:eastAsia="Times New Roman" w:cstheme="minorHAnsi"/>
        </w:rPr>
        <w:t>emergency declaration can include:</w:t>
      </w:r>
    </w:p>
    <w:p w14:paraId="062D79A7" w14:textId="0447CFBD" w:rsidR="002508FD" w:rsidRDefault="002508FD" w:rsidP="00B01DA8">
      <w:pPr>
        <w:pStyle w:val="ListParagraph"/>
        <w:numPr>
          <w:ilvl w:val="0"/>
          <w:numId w:val="1"/>
        </w:numPr>
        <w:spacing w:after="120" w:line="360" w:lineRule="auto"/>
        <w:contextualSpacing w:val="0"/>
        <w:textAlignment w:val="baseline"/>
        <w:rPr>
          <w:rFonts w:eastAsia="Times New Roman" w:cstheme="minorHAnsi"/>
        </w:rPr>
      </w:pPr>
      <w:r>
        <w:rPr>
          <w:rFonts w:eastAsia="Times New Roman" w:cstheme="minorHAnsi"/>
        </w:rPr>
        <w:t xml:space="preserve">Activation of </w:t>
      </w:r>
      <w:r w:rsidR="009B41EE">
        <w:rPr>
          <w:rFonts w:eastAsia="Times New Roman" w:cstheme="minorHAnsi"/>
        </w:rPr>
        <w:t>governmental</w:t>
      </w:r>
      <w:r>
        <w:rPr>
          <w:rFonts w:eastAsia="Times New Roman" w:cstheme="minorHAnsi"/>
        </w:rPr>
        <w:t xml:space="preserve"> emergency response plans and mutual aid agreements.</w:t>
      </w:r>
    </w:p>
    <w:p w14:paraId="19A0A242" w14:textId="1F4BFB46" w:rsidR="002508FD" w:rsidRDefault="002508FD" w:rsidP="00B01DA8">
      <w:pPr>
        <w:pStyle w:val="ListParagraph"/>
        <w:numPr>
          <w:ilvl w:val="0"/>
          <w:numId w:val="1"/>
        </w:numPr>
        <w:spacing w:after="120" w:line="360" w:lineRule="auto"/>
        <w:contextualSpacing w:val="0"/>
        <w:textAlignment w:val="baseline"/>
        <w:rPr>
          <w:rFonts w:eastAsia="Times New Roman" w:cstheme="minorHAnsi"/>
        </w:rPr>
      </w:pPr>
      <w:r>
        <w:rPr>
          <w:rFonts w:eastAsia="Times New Roman" w:cstheme="minorHAnsi"/>
        </w:rPr>
        <w:t xml:space="preserve">Activation of </w:t>
      </w:r>
      <w:r w:rsidR="00C63D5F">
        <w:rPr>
          <w:rFonts w:eastAsia="Times New Roman" w:cstheme="minorHAnsi"/>
        </w:rPr>
        <w:t>governmental</w:t>
      </w:r>
      <w:r>
        <w:rPr>
          <w:rFonts w:eastAsia="Times New Roman" w:cstheme="minorHAnsi"/>
        </w:rPr>
        <w:t xml:space="preserve"> emergency operations center and incident command system (ICS).</w:t>
      </w:r>
    </w:p>
    <w:p w14:paraId="427D865C" w14:textId="21968286" w:rsidR="002508FD" w:rsidRDefault="002508FD" w:rsidP="00B01DA8">
      <w:pPr>
        <w:pStyle w:val="ListParagraph"/>
        <w:numPr>
          <w:ilvl w:val="0"/>
          <w:numId w:val="1"/>
        </w:numPr>
        <w:spacing w:after="120" w:line="360" w:lineRule="auto"/>
        <w:contextualSpacing w:val="0"/>
        <w:textAlignment w:val="baseline"/>
        <w:rPr>
          <w:rFonts w:eastAsia="Times New Roman" w:cstheme="minorHAnsi"/>
        </w:rPr>
      </w:pPr>
      <w:r>
        <w:rPr>
          <w:rFonts w:eastAsia="Times New Roman" w:cstheme="minorHAnsi"/>
        </w:rPr>
        <w:t>Authori</w:t>
      </w:r>
      <w:r w:rsidR="00442D98">
        <w:rPr>
          <w:rFonts w:eastAsia="Times New Roman" w:cstheme="minorHAnsi"/>
        </w:rPr>
        <w:t>zation</w:t>
      </w:r>
      <w:r>
        <w:rPr>
          <w:rFonts w:eastAsia="Times New Roman" w:cstheme="minorHAnsi"/>
        </w:rPr>
        <w:t xml:space="preserve"> to expend funds and deploy personnel, equipment, supplies, and stockpiles.</w:t>
      </w:r>
    </w:p>
    <w:p w14:paraId="64983CBB" w14:textId="77777777" w:rsidR="002508FD" w:rsidRDefault="002508FD" w:rsidP="00B01DA8">
      <w:pPr>
        <w:pStyle w:val="ListParagraph"/>
        <w:numPr>
          <w:ilvl w:val="0"/>
          <w:numId w:val="1"/>
        </w:numPr>
        <w:spacing w:after="120" w:line="360" w:lineRule="auto"/>
        <w:contextualSpacing w:val="0"/>
        <w:textAlignment w:val="baseline"/>
        <w:rPr>
          <w:rFonts w:eastAsia="Times New Roman" w:cstheme="minorHAnsi"/>
        </w:rPr>
      </w:pPr>
      <w:r>
        <w:rPr>
          <w:rFonts w:eastAsia="Times New Roman" w:cstheme="minorHAnsi"/>
        </w:rPr>
        <w:t>Activation of statutory immunities and liability protections for those involved in response activities.</w:t>
      </w:r>
    </w:p>
    <w:p w14:paraId="3F5EAC73" w14:textId="77777777" w:rsidR="002508FD" w:rsidRDefault="002508FD" w:rsidP="00B01DA8">
      <w:pPr>
        <w:pStyle w:val="ListParagraph"/>
        <w:numPr>
          <w:ilvl w:val="0"/>
          <w:numId w:val="1"/>
        </w:numPr>
        <w:spacing w:after="120" w:line="360" w:lineRule="auto"/>
        <w:contextualSpacing w:val="0"/>
        <w:textAlignment w:val="baseline"/>
        <w:rPr>
          <w:rFonts w:eastAsia="Times New Roman" w:cstheme="minorHAnsi"/>
        </w:rPr>
      </w:pPr>
      <w:r>
        <w:rPr>
          <w:rFonts w:eastAsia="Times New Roman" w:cstheme="minorHAnsi"/>
        </w:rPr>
        <w:t>Suspension and waiver of rules and regulations (and statutes, if allowed).</w:t>
      </w:r>
    </w:p>
    <w:p w14:paraId="2E0A7B70" w14:textId="4197E219" w:rsidR="002508FD" w:rsidRDefault="002508FD" w:rsidP="00B01DA8">
      <w:pPr>
        <w:pStyle w:val="ListParagraph"/>
        <w:numPr>
          <w:ilvl w:val="0"/>
          <w:numId w:val="1"/>
        </w:numPr>
        <w:spacing w:line="360" w:lineRule="auto"/>
        <w:textAlignment w:val="baseline"/>
        <w:rPr>
          <w:rFonts w:eastAsia="Times New Roman" w:cstheme="minorHAnsi"/>
        </w:rPr>
      </w:pPr>
      <w:r>
        <w:rPr>
          <w:rFonts w:eastAsia="Times New Roman" w:cstheme="minorHAnsi"/>
        </w:rPr>
        <w:t xml:space="preserve">Streamlining of </w:t>
      </w:r>
      <w:r w:rsidR="00B80EB8">
        <w:rPr>
          <w:rFonts w:eastAsia="Times New Roman" w:cstheme="minorHAnsi"/>
        </w:rPr>
        <w:t>governmental</w:t>
      </w:r>
      <w:r>
        <w:rPr>
          <w:rFonts w:eastAsia="Times New Roman" w:cstheme="minorHAnsi"/>
        </w:rPr>
        <w:t xml:space="preserve"> administrative procedures such as procurement requirements.</w:t>
      </w:r>
    </w:p>
    <w:p w14:paraId="671C5D36" w14:textId="77777777" w:rsidR="00EA0E4A" w:rsidRDefault="00EA0E4A" w:rsidP="00B01DA8">
      <w:pPr>
        <w:spacing w:line="360" w:lineRule="auto"/>
        <w:textAlignment w:val="baseline"/>
        <w:rPr>
          <w:rFonts w:eastAsia="Times New Roman" w:cstheme="minorHAnsi"/>
        </w:rPr>
      </w:pPr>
    </w:p>
    <w:p w14:paraId="632E5259" w14:textId="07B3BC85" w:rsidR="002508FD" w:rsidRPr="00763278" w:rsidRDefault="0073049F" w:rsidP="00272016">
      <w:pPr>
        <w:spacing w:line="360" w:lineRule="auto"/>
        <w:textAlignment w:val="baseline"/>
        <w:rPr>
          <w:rFonts w:eastAsia="Times New Roman" w:cstheme="minorHAnsi"/>
          <w:b/>
          <w:bCs/>
        </w:rPr>
      </w:pPr>
      <w:r w:rsidRPr="00763278">
        <w:rPr>
          <w:rFonts w:eastAsia="Times New Roman" w:cstheme="minorHAnsi"/>
          <w:b/>
          <w:bCs/>
        </w:rPr>
        <w:lastRenderedPageBreak/>
        <w:t>STLT Emergency Declarations</w:t>
      </w:r>
      <w:r w:rsidR="00763278" w:rsidRPr="00763278">
        <w:rPr>
          <w:rFonts w:eastAsia="Times New Roman" w:cstheme="minorHAnsi"/>
          <w:b/>
          <w:bCs/>
        </w:rPr>
        <w:t xml:space="preserve"> and Authorities during the COVID-19 Pandemic</w:t>
      </w:r>
      <w:r w:rsidRPr="00763278">
        <w:rPr>
          <w:rFonts w:eastAsia="Times New Roman" w:cstheme="minorHAnsi"/>
          <w:b/>
          <w:bCs/>
        </w:rPr>
        <w:t xml:space="preserve"> </w:t>
      </w:r>
    </w:p>
    <w:p w14:paraId="061B7CF2" w14:textId="16356D1E" w:rsidR="00543256" w:rsidRDefault="00BC26B9" w:rsidP="00272016">
      <w:pPr>
        <w:spacing w:line="360" w:lineRule="auto"/>
        <w:textAlignment w:val="baseline"/>
        <w:rPr>
          <w:rFonts w:eastAsia="Times New Roman" w:cstheme="minorHAnsi"/>
        </w:rPr>
      </w:pPr>
      <w:r>
        <w:rPr>
          <w:rFonts w:eastAsia="Times New Roman" w:cstheme="minorHAnsi"/>
        </w:rPr>
        <w:t xml:space="preserve">The 2020 COVID-19 pandemic saw </w:t>
      </w:r>
      <w:r w:rsidR="00DC6DED">
        <w:rPr>
          <w:rFonts w:eastAsia="Times New Roman" w:cstheme="minorHAnsi"/>
        </w:rPr>
        <w:t xml:space="preserve">the </w:t>
      </w:r>
      <w:r w:rsidR="00633E0E">
        <w:rPr>
          <w:rFonts w:eastAsia="Times New Roman" w:cstheme="minorHAnsi"/>
        </w:rPr>
        <w:t xml:space="preserve">implementation </w:t>
      </w:r>
      <w:r w:rsidR="00CC5E71">
        <w:rPr>
          <w:rFonts w:eastAsia="Times New Roman" w:cstheme="minorHAnsi"/>
        </w:rPr>
        <w:t>of e</w:t>
      </w:r>
      <w:r w:rsidR="00DC6DED">
        <w:rPr>
          <w:rFonts w:eastAsia="Times New Roman" w:cstheme="minorHAnsi"/>
        </w:rPr>
        <w:t xml:space="preserve">mergency legal authorities </w:t>
      </w:r>
      <w:r w:rsidR="00CC5E71">
        <w:rPr>
          <w:rFonts w:eastAsia="Times New Roman" w:cstheme="minorHAnsi"/>
        </w:rPr>
        <w:t>by STLT governments</w:t>
      </w:r>
      <w:r w:rsidR="00946C55">
        <w:rPr>
          <w:rFonts w:eastAsia="Times New Roman" w:cstheme="minorHAnsi"/>
        </w:rPr>
        <w:t xml:space="preserve"> </w:t>
      </w:r>
      <w:r w:rsidR="009E525F">
        <w:rPr>
          <w:rFonts w:eastAsia="Times New Roman" w:cstheme="minorHAnsi"/>
        </w:rPr>
        <w:t>on</w:t>
      </w:r>
      <w:r w:rsidR="00B2687C">
        <w:rPr>
          <w:rFonts w:eastAsia="Times New Roman" w:cstheme="minorHAnsi"/>
        </w:rPr>
        <w:t xml:space="preserve"> </w:t>
      </w:r>
      <w:r w:rsidR="00875F6A">
        <w:rPr>
          <w:rFonts w:eastAsia="Times New Roman" w:cstheme="minorHAnsi"/>
        </w:rPr>
        <w:t xml:space="preserve">an </w:t>
      </w:r>
      <w:r w:rsidR="00B2687C">
        <w:rPr>
          <w:rFonts w:eastAsia="Times New Roman" w:cstheme="minorHAnsi"/>
        </w:rPr>
        <w:t>unprecedented scale.</w:t>
      </w:r>
      <w:r w:rsidR="00253EC8">
        <w:rPr>
          <w:rFonts w:eastAsia="Times New Roman" w:cstheme="minorHAnsi"/>
        </w:rPr>
        <w:t xml:space="preserve"> It also </w:t>
      </w:r>
      <w:r w:rsidR="006E3AB4">
        <w:rPr>
          <w:rFonts w:eastAsia="Times New Roman" w:cstheme="minorHAnsi"/>
        </w:rPr>
        <w:t>highlighted the</w:t>
      </w:r>
      <w:r w:rsidR="00AC5258">
        <w:rPr>
          <w:rFonts w:eastAsia="Times New Roman" w:cstheme="minorHAnsi"/>
        </w:rPr>
        <w:t xml:space="preserve"> </w:t>
      </w:r>
      <w:r w:rsidR="008001E4">
        <w:rPr>
          <w:rFonts w:eastAsia="Times New Roman" w:cstheme="minorHAnsi"/>
        </w:rPr>
        <w:t>differing</w:t>
      </w:r>
      <w:r w:rsidR="00AC5258">
        <w:rPr>
          <w:rFonts w:eastAsia="Times New Roman" w:cstheme="minorHAnsi"/>
        </w:rPr>
        <w:t xml:space="preserve"> approaches </w:t>
      </w:r>
      <w:r w:rsidR="008001E4">
        <w:rPr>
          <w:rFonts w:eastAsia="Times New Roman" w:cstheme="minorHAnsi"/>
        </w:rPr>
        <w:t>among</w:t>
      </w:r>
      <w:r w:rsidR="00AC5258">
        <w:rPr>
          <w:rFonts w:eastAsia="Times New Roman" w:cstheme="minorHAnsi"/>
        </w:rPr>
        <w:t xml:space="preserve"> jurisdictions</w:t>
      </w:r>
      <w:r w:rsidR="00F23D77">
        <w:rPr>
          <w:rFonts w:eastAsia="Times New Roman" w:cstheme="minorHAnsi"/>
        </w:rPr>
        <w:t xml:space="preserve"> on the timing, extent, and </w:t>
      </w:r>
      <w:r w:rsidR="002F290B">
        <w:rPr>
          <w:rFonts w:eastAsia="Times New Roman" w:cstheme="minorHAnsi"/>
        </w:rPr>
        <w:t xml:space="preserve">duration of emergency </w:t>
      </w:r>
      <w:r w:rsidR="00D25F20">
        <w:rPr>
          <w:rFonts w:eastAsia="Times New Roman" w:cstheme="minorHAnsi"/>
        </w:rPr>
        <w:t>authorities</w:t>
      </w:r>
      <w:r w:rsidR="00D37E48">
        <w:rPr>
          <w:rFonts w:eastAsia="Times New Roman" w:cstheme="minorHAnsi"/>
        </w:rPr>
        <w:t>, a</w:t>
      </w:r>
      <w:r w:rsidR="00B235DE">
        <w:rPr>
          <w:rFonts w:eastAsia="Times New Roman" w:cstheme="minorHAnsi"/>
        </w:rPr>
        <w:t>s well as t</w:t>
      </w:r>
      <w:r w:rsidR="00D37E48">
        <w:rPr>
          <w:rFonts w:eastAsia="Times New Roman" w:cstheme="minorHAnsi"/>
        </w:rPr>
        <w:t xml:space="preserve">he types of measures used to </w:t>
      </w:r>
      <w:r w:rsidR="00834C4F">
        <w:rPr>
          <w:rFonts w:eastAsia="Times New Roman" w:cstheme="minorHAnsi"/>
        </w:rPr>
        <w:t xml:space="preserve">combat the pandemic and </w:t>
      </w:r>
      <w:r w:rsidR="00B235DE">
        <w:rPr>
          <w:rFonts w:eastAsia="Times New Roman" w:cstheme="minorHAnsi"/>
        </w:rPr>
        <w:t>its</w:t>
      </w:r>
      <w:r w:rsidR="00834C4F">
        <w:rPr>
          <w:rFonts w:eastAsia="Times New Roman" w:cstheme="minorHAnsi"/>
        </w:rPr>
        <w:t xml:space="preserve"> social and economic effects</w:t>
      </w:r>
      <w:r w:rsidR="00B235DE">
        <w:rPr>
          <w:rFonts w:eastAsia="Times New Roman" w:cstheme="minorHAnsi"/>
        </w:rPr>
        <w:t>.</w:t>
      </w:r>
      <w:r w:rsidR="00E718BA">
        <w:rPr>
          <w:rFonts w:eastAsia="Times New Roman" w:cstheme="minorHAnsi"/>
        </w:rPr>
        <w:t xml:space="preserve"> </w:t>
      </w:r>
      <w:r w:rsidR="00B043BB">
        <w:rPr>
          <w:rFonts w:eastAsia="Times New Roman" w:cstheme="minorHAnsi"/>
        </w:rPr>
        <w:t xml:space="preserve">The evolving </w:t>
      </w:r>
      <w:r w:rsidR="005422A8">
        <w:rPr>
          <w:rFonts w:eastAsia="Times New Roman" w:cstheme="minorHAnsi"/>
        </w:rPr>
        <w:t xml:space="preserve">understanding </w:t>
      </w:r>
      <w:r w:rsidR="00BD71DF">
        <w:rPr>
          <w:rFonts w:eastAsia="Times New Roman" w:cstheme="minorHAnsi"/>
        </w:rPr>
        <w:t>of the novel COVID-19 virus by the public health, healthcare, and sc</w:t>
      </w:r>
      <w:r w:rsidR="00EA189C">
        <w:rPr>
          <w:rFonts w:eastAsia="Times New Roman" w:cstheme="minorHAnsi"/>
        </w:rPr>
        <w:t>ientific</w:t>
      </w:r>
      <w:r w:rsidR="00BD71DF">
        <w:rPr>
          <w:rFonts w:eastAsia="Times New Roman" w:cstheme="minorHAnsi"/>
        </w:rPr>
        <w:t xml:space="preserve"> communities</w:t>
      </w:r>
      <w:r w:rsidR="00EA189C">
        <w:rPr>
          <w:rFonts w:eastAsia="Times New Roman" w:cstheme="minorHAnsi"/>
        </w:rPr>
        <w:t>, and the</w:t>
      </w:r>
      <w:r w:rsidR="00667A05">
        <w:rPr>
          <w:rFonts w:eastAsia="Times New Roman" w:cstheme="minorHAnsi"/>
        </w:rPr>
        <w:t xml:space="preserve"> variable nature of the outbreak </w:t>
      </w:r>
      <w:r w:rsidR="007342D1">
        <w:rPr>
          <w:rFonts w:eastAsia="Times New Roman" w:cstheme="minorHAnsi"/>
        </w:rPr>
        <w:t xml:space="preserve">as </w:t>
      </w:r>
      <w:r w:rsidR="00667A05">
        <w:rPr>
          <w:rFonts w:eastAsia="Times New Roman" w:cstheme="minorHAnsi"/>
        </w:rPr>
        <w:t xml:space="preserve">experienced across the country </w:t>
      </w:r>
      <w:r w:rsidR="002306C1">
        <w:rPr>
          <w:rFonts w:eastAsia="Times New Roman" w:cstheme="minorHAnsi"/>
        </w:rPr>
        <w:t>at different times and degrees</w:t>
      </w:r>
      <w:r w:rsidR="00243F88">
        <w:rPr>
          <w:rFonts w:eastAsia="Times New Roman" w:cstheme="minorHAnsi"/>
        </w:rPr>
        <w:t>,</w:t>
      </w:r>
      <w:r w:rsidR="008A5DBD">
        <w:rPr>
          <w:rFonts w:eastAsia="Times New Roman" w:cstheme="minorHAnsi"/>
        </w:rPr>
        <w:t xml:space="preserve"> </w:t>
      </w:r>
      <w:r w:rsidR="00512FFD">
        <w:rPr>
          <w:rFonts w:eastAsia="Times New Roman" w:cstheme="minorHAnsi"/>
        </w:rPr>
        <w:t xml:space="preserve">further </w:t>
      </w:r>
      <w:r w:rsidR="004F4368">
        <w:rPr>
          <w:rFonts w:eastAsia="Times New Roman" w:cstheme="minorHAnsi"/>
        </w:rPr>
        <w:t xml:space="preserve">added to </w:t>
      </w:r>
      <w:r w:rsidR="0029368E">
        <w:rPr>
          <w:rFonts w:eastAsia="Times New Roman" w:cstheme="minorHAnsi"/>
        </w:rPr>
        <w:t>the</w:t>
      </w:r>
      <w:r w:rsidR="00024E4A">
        <w:rPr>
          <w:rFonts w:eastAsia="Times New Roman" w:cstheme="minorHAnsi"/>
        </w:rPr>
        <w:t xml:space="preserve"> </w:t>
      </w:r>
      <w:r w:rsidR="008C00A0">
        <w:rPr>
          <w:rFonts w:eastAsia="Times New Roman" w:cstheme="minorHAnsi"/>
        </w:rPr>
        <w:t>shifting</w:t>
      </w:r>
      <w:r w:rsidR="006C0CC9">
        <w:rPr>
          <w:rFonts w:eastAsia="Times New Roman" w:cstheme="minorHAnsi"/>
        </w:rPr>
        <w:t xml:space="preserve"> emergency response.</w:t>
      </w:r>
      <w:r w:rsidR="0029368E">
        <w:rPr>
          <w:rFonts w:eastAsia="Times New Roman" w:cstheme="minorHAnsi"/>
        </w:rPr>
        <w:t xml:space="preserve"> </w:t>
      </w:r>
      <w:r w:rsidR="00D3771B">
        <w:rPr>
          <w:rFonts w:eastAsia="Times New Roman" w:cstheme="minorHAnsi"/>
        </w:rPr>
        <w:t xml:space="preserve">This section briefly </w:t>
      </w:r>
      <w:r w:rsidR="00CA49D4">
        <w:rPr>
          <w:rFonts w:eastAsia="Times New Roman" w:cstheme="minorHAnsi"/>
        </w:rPr>
        <w:t xml:space="preserve">identifies some of the many issues that arose during the COVID-19 </w:t>
      </w:r>
      <w:r w:rsidR="00411FCD">
        <w:rPr>
          <w:rFonts w:eastAsia="Times New Roman" w:cstheme="minorHAnsi"/>
        </w:rPr>
        <w:t>pandemic related to STLT governments’ use of emergency legal authorities.</w:t>
      </w:r>
    </w:p>
    <w:p w14:paraId="39682E7F" w14:textId="77777777" w:rsidR="00602124" w:rsidRDefault="00602124" w:rsidP="00272016">
      <w:pPr>
        <w:spacing w:line="360" w:lineRule="auto"/>
        <w:textAlignment w:val="baseline"/>
        <w:rPr>
          <w:rFonts w:eastAsia="Times New Roman" w:cstheme="minorHAnsi"/>
        </w:rPr>
      </w:pPr>
    </w:p>
    <w:p w14:paraId="7EC710CF" w14:textId="4E96F40F" w:rsidR="00602124" w:rsidRDefault="008C00A0" w:rsidP="002D1ED3">
      <w:pPr>
        <w:pStyle w:val="ListParagraph"/>
        <w:numPr>
          <w:ilvl w:val="0"/>
          <w:numId w:val="13"/>
        </w:numPr>
        <w:spacing w:line="360" w:lineRule="auto"/>
        <w:textAlignment w:val="baseline"/>
        <w:rPr>
          <w:rFonts w:eastAsia="Times New Roman" w:cstheme="minorHAnsi"/>
        </w:rPr>
      </w:pPr>
      <w:r w:rsidRPr="00AE2ACB">
        <w:rPr>
          <w:rFonts w:eastAsia="Times New Roman" w:cstheme="minorHAnsi"/>
          <w:b/>
          <w:bCs/>
        </w:rPr>
        <w:t>Emergency Declaration</w:t>
      </w:r>
      <w:r w:rsidR="00F34B7F" w:rsidRPr="00AE2ACB">
        <w:rPr>
          <w:rFonts w:eastAsia="Times New Roman" w:cstheme="minorHAnsi"/>
          <w:b/>
          <w:bCs/>
        </w:rPr>
        <w:t xml:space="preserve"> Timing</w:t>
      </w:r>
      <w:r w:rsidR="00C75D9A" w:rsidRPr="00AE2ACB">
        <w:rPr>
          <w:rFonts w:eastAsia="Times New Roman" w:cstheme="minorHAnsi"/>
          <w:b/>
          <w:bCs/>
        </w:rPr>
        <w:t xml:space="preserve"> – </w:t>
      </w:r>
      <w:r w:rsidR="008A1674" w:rsidRPr="00AE2ACB">
        <w:rPr>
          <w:rFonts w:eastAsia="Times New Roman" w:cstheme="minorHAnsi"/>
        </w:rPr>
        <w:t>STLT governments</w:t>
      </w:r>
      <w:r w:rsidR="007A4D8A" w:rsidRPr="00AE2ACB">
        <w:rPr>
          <w:rFonts w:eastAsia="Times New Roman" w:cstheme="minorHAnsi"/>
        </w:rPr>
        <w:t xml:space="preserve"> </w:t>
      </w:r>
      <w:r w:rsidR="009C6F93" w:rsidRPr="00AE2ACB">
        <w:rPr>
          <w:rFonts w:eastAsia="Times New Roman" w:cstheme="minorHAnsi"/>
        </w:rPr>
        <w:t>declared a state of emergency for the pandemic at different times</w:t>
      </w:r>
      <w:r w:rsidR="00983CA6" w:rsidRPr="00AE2ACB">
        <w:rPr>
          <w:rFonts w:eastAsia="Times New Roman" w:cstheme="minorHAnsi"/>
        </w:rPr>
        <w:t xml:space="preserve"> during the outbreak. This was driven to some extent </w:t>
      </w:r>
      <w:r w:rsidR="00DC1B3F" w:rsidRPr="00AE2ACB">
        <w:rPr>
          <w:rFonts w:eastAsia="Times New Roman" w:cstheme="minorHAnsi"/>
        </w:rPr>
        <w:t xml:space="preserve">by </w:t>
      </w:r>
      <w:r w:rsidR="00983CA6" w:rsidRPr="00AE2ACB">
        <w:rPr>
          <w:rFonts w:eastAsia="Times New Roman" w:cstheme="minorHAnsi"/>
        </w:rPr>
        <w:t>when the jurisdiction was exper</w:t>
      </w:r>
      <w:r w:rsidR="00EF463F" w:rsidRPr="00AE2ACB">
        <w:rPr>
          <w:rFonts w:eastAsia="Times New Roman" w:cstheme="minorHAnsi"/>
        </w:rPr>
        <w:t>iencing the outbreak</w:t>
      </w:r>
      <w:r w:rsidR="00C4337D" w:rsidRPr="00AE2ACB">
        <w:rPr>
          <w:rFonts w:eastAsia="Times New Roman" w:cstheme="minorHAnsi"/>
        </w:rPr>
        <w:t>.</w:t>
      </w:r>
      <w:r w:rsidR="00EE6020">
        <w:rPr>
          <w:rFonts w:eastAsia="Times New Roman" w:cstheme="minorHAnsi"/>
        </w:rPr>
        <w:t xml:space="preserve"> </w:t>
      </w:r>
      <w:r w:rsidR="00850202" w:rsidRPr="00AE2ACB">
        <w:rPr>
          <w:rFonts w:eastAsia="Times New Roman" w:cstheme="minorHAnsi"/>
        </w:rPr>
        <w:t xml:space="preserve">However, all states had </w:t>
      </w:r>
      <w:r w:rsidR="00AE2ACB" w:rsidRPr="00AE2ACB">
        <w:rPr>
          <w:rFonts w:eastAsia="Times New Roman" w:cstheme="minorHAnsi"/>
        </w:rPr>
        <w:t xml:space="preserve">initially </w:t>
      </w:r>
      <w:r w:rsidR="00850202" w:rsidRPr="00AE2ACB">
        <w:rPr>
          <w:rFonts w:eastAsia="Times New Roman" w:cstheme="minorHAnsi"/>
        </w:rPr>
        <w:t xml:space="preserve">declared </w:t>
      </w:r>
      <w:r w:rsidR="000C52D2" w:rsidRPr="00AE2ACB">
        <w:rPr>
          <w:rFonts w:eastAsia="Times New Roman" w:cstheme="minorHAnsi"/>
        </w:rPr>
        <w:t>a state of emergency by the end of March 2020.</w:t>
      </w:r>
      <w:r w:rsidR="00EE6020">
        <w:rPr>
          <w:rStyle w:val="FootnoteReference"/>
          <w:rFonts w:eastAsia="Times New Roman" w:cstheme="minorHAnsi"/>
        </w:rPr>
        <w:footnoteReference w:id="3"/>
      </w:r>
      <w:r w:rsidR="000C52D2" w:rsidRPr="00AE2ACB">
        <w:rPr>
          <w:rFonts w:eastAsia="Times New Roman" w:cstheme="minorHAnsi"/>
        </w:rPr>
        <w:t xml:space="preserve"> </w:t>
      </w:r>
      <w:r w:rsidR="00AE2ACB" w:rsidRPr="00AE2ACB">
        <w:rPr>
          <w:rFonts w:eastAsia="Times New Roman" w:cstheme="minorHAnsi"/>
        </w:rPr>
        <w:t>(These declarations were also renewed one or more times during the pandemic.</w:t>
      </w:r>
      <w:r w:rsidR="0078685A">
        <w:rPr>
          <w:rStyle w:val="FootnoteReference"/>
          <w:rFonts w:eastAsia="Times New Roman" w:cstheme="minorHAnsi"/>
        </w:rPr>
        <w:footnoteReference w:id="4"/>
      </w:r>
      <w:r w:rsidR="00AE2ACB" w:rsidRPr="00AE2ACB">
        <w:rPr>
          <w:rFonts w:eastAsia="Times New Roman" w:cstheme="minorHAnsi"/>
        </w:rPr>
        <w:t xml:space="preserve">) </w:t>
      </w:r>
      <w:r w:rsidR="00126464" w:rsidRPr="00AE2ACB">
        <w:rPr>
          <w:rFonts w:eastAsia="Times New Roman" w:cstheme="minorHAnsi"/>
        </w:rPr>
        <w:t xml:space="preserve">And while some jurisdictions my not have instituted </w:t>
      </w:r>
      <w:r w:rsidR="008C341A" w:rsidRPr="00AE2ACB">
        <w:rPr>
          <w:rFonts w:eastAsia="Times New Roman" w:cstheme="minorHAnsi"/>
        </w:rPr>
        <w:t>all the measures allowed under the emergency declaration until later in the pandemic</w:t>
      </w:r>
      <w:r w:rsidR="003C0C8B" w:rsidRPr="00AE2ACB">
        <w:rPr>
          <w:rFonts w:eastAsia="Times New Roman" w:cstheme="minorHAnsi"/>
        </w:rPr>
        <w:t xml:space="preserve">, the emergency </w:t>
      </w:r>
      <w:r w:rsidR="00E619C0" w:rsidRPr="00AE2ACB">
        <w:rPr>
          <w:rFonts w:eastAsia="Times New Roman" w:cstheme="minorHAnsi"/>
        </w:rPr>
        <w:t>declar</w:t>
      </w:r>
      <w:r w:rsidR="003C0C8B" w:rsidRPr="00AE2ACB">
        <w:rPr>
          <w:rFonts w:eastAsia="Times New Roman" w:cstheme="minorHAnsi"/>
        </w:rPr>
        <w:t xml:space="preserve">ation allowed </w:t>
      </w:r>
      <w:r w:rsidR="00623F9F" w:rsidRPr="00AE2ACB">
        <w:rPr>
          <w:rFonts w:eastAsia="Times New Roman" w:cstheme="minorHAnsi"/>
        </w:rPr>
        <w:t>the governments t</w:t>
      </w:r>
      <w:r w:rsidR="004134CF" w:rsidRPr="00AE2ACB">
        <w:rPr>
          <w:rFonts w:eastAsia="Times New Roman" w:cstheme="minorHAnsi"/>
        </w:rPr>
        <w:t xml:space="preserve">o </w:t>
      </w:r>
      <w:r w:rsidR="001106A8" w:rsidRPr="00AE2ACB">
        <w:rPr>
          <w:rFonts w:eastAsia="Times New Roman" w:cstheme="minorHAnsi"/>
        </w:rPr>
        <w:t>avail themselves of</w:t>
      </w:r>
      <w:r w:rsidR="004134CF" w:rsidRPr="00AE2ACB">
        <w:rPr>
          <w:rFonts w:eastAsia="Times New Roman" w:cstheme="minorHAnsi"/>
        </w:rPr>
        <w:t xml:space="preserve"> the </w:t>
      </w:r>
      <w:r w:rsidR="0022477D" w:rsidRPr="00AE2ACB">
        <w:rPr>
          <w:rFonts w:eastAsia="Times New Roman" w:cstheme="minorHAnsi"/>
        </w:rPr>
        <w:t xml:space="preserve">types of </w:t>
      </w:r>
      <w:r w:rsidR="004134CF" w:rsidRPr="00AE2ACB">
        <w:rPr>
          <w:rFonts w:eastAsia="Times New Roman" w:cstheme="minorHAnsi"/>
        </w:rPr>
        <w:t>expanded authorities, funding</w:t>
      </w:r>
      <w:r w:rsidR="007221B7" w:rsidRPr="00AE2ACB">
        <w:rPr>
          <w:rFonts w:eastAsia="Times New Roman" w:cstheme="minorHAnsi"/>
        </w:rPr>
        <w:t xml:space="preserve">, and legal/regulatory flexibilities </w:t>
      </w:r>
      <w:r w:rsidR="0022477D" w:rsidRPr="00AE2ACB">
        <w:rPr>
          <w:rFonts w:eastAsia="Times New Roman" w:cstheme="minorHAnsi"/>
        </w:rPr>
        <w:t>available under a declared emergency to</w:t>
      </w:r>
      <w:r w:rsidR="00F67388" w:rsidRPr="00AE2ACB">
        <w:rPr>
          <w:rFonts w:eastAsia="Times New Roman" w:cstheme="minorHAnsi"/>
        </w:rPr>
        <w:t xml:space="preserve"> prepare </w:t>
      </w:r>
      <w:r w:rsidR="009007F5" w:rsidRPr="00AE2ACB">
        <w:rPr>
          <w:rFonts w:eastAsia="Times New Roman" w:cstheme="minorHAnsi"/>
        </w:rPr>
        <w:t>for and mitigate against the spread of</w:t>
      </w:r>
      <w:r w:rsidR="006D174D" w:rsidRPr="00AE2ACB">
        <w:rPr>
          <w:rFonts w:eastAsia="Times New Roman" w:cstheme="minorHAnsi"/>
        </w:rPr>
        <w:t xml:space="preserve"> pandemic.</w:t>
      </w:r>
      <w:r w:rsidR="000E622E">
        <w:rPr>
          <w:rStyle w:val="FootnoteReference"/>
          <w:rFonts w:eastAsia="Times New Roman" w:cstheme="minorHAnsi"/>
        </w:rPr>
        <w:footnoteReference w:id="5"/>
      </w:r>
      <w:r w:rsidR="0022477D" w:rsidRPr="00AE2ACB">
        <w:rPr>
          <w:rFonts w:eastAsia="Times New Roman" w:cstheme="minorHAnsi"/>
        </w:rPr>
        <w:t xml:space="preserve"> </w:t>
      </w:r>
    </w:p>
    <w:p w14:paraId="045CD08D" w14:textId="77777777" w:rsidR="000B1734" w:rsidRPr="000B1734" w:rsidRDefault="000B1734" w:rsidP="000B1734">
      <w:pPr>
        <w:spacing w:line="360" w:lineRule="auto"/>
        <w:textAlignment w:val="baseline"/>
        <w:rPr>
          <w:rFonts w:eastAsia="Times New Roman" w:cstheme="minorHAnsi"/>
        </w:rPr>
      </w:pPr>
    </w:p>
    <w:p w14:paraId="19FFBB74" w14:textId="5F729D33" w:rsidR="00F34B7F" w:rsidRDefault="00F34B7F" w:rsidP="008C00A0">
      <w:pPr>
        <w:pStyle w:val="ListParagraph"/>
        <w:numPr>
          <w:ilvl w:val="0"/>
          <w:numId w:val="13"/>
        </w:numPr>
        <w:spacing w:line="360" w:lineRule="auto"/>
        <w:textAlignment w:val="baseline"/>
        <w:rPr>
          <w:rFonts w:eastAsia="Times New Roman" w:cstheme="minorHAnsi"/>
        </w:rPr>
      </w:pPr>
      <w:r w:rsidRPr="00B9621F">
        <w:rPr>
          <w:rFonts w:eastAsia="Times New Roman" w:cstheme="minorHAnsi"/>
          <w:b/>
          <w:bCs/>
        </w:rPr>
        <w:t>State</w:t>
      </w:r>
      <w:r w:rsidR="0064257B" w:rsidRPr="00B9621F">
        <w:rPr>
          <w:rFonts w:eastAsia="Times New Roman" w:cstheme="minorHAnsi"/>
          <w:b/>
          <w:bCs/>
        </w:rPr>
        <w:t>/</w:t>
      </w:r>
      <w:r w:rsidRPr="00B9621F">
        <w:rPr>
          <w:rFonts w:eastAsia="Times New Roman" w:cstheme="minorHAnsi"/>
          <w:b/>
          <w:bCs/>
        </w:rPr>
        <w:t>Local</w:t>
      </w:r>
      <w:r w:rsidR="007E3060" w:rsidRPr="00B9621F">
        <w:rPr>
          <w:rFonts w:eastAsia="Times New Roman" w:cstheme="minorHAnsi"/>
          <w:b/>
          <w:bCs/>
        </w:rPr>
        <w:t xml:space="preserve"> </w:t>
      </w:r>
      <w:r w:rsidR="0064257B" w:rsidRPr="00B9621F">
        <w:rPr>
          <w:rFonts w:eastAsia="Times New Roman" w:cstheme="minorHAnsi"/>
          <w:b/>
          <w:bCs/>
        </w:rPr>
        <w:t>Authorization</w:t>
      </w:r>
      <w:r w:rsidR="006D174D" w:rsidRPr="00B9621F">
        <w:rPr>
          <w:rFonts w:eastAsia="Times New Roman" w:cstheme="minorHAnsi"/>
          <w:b/>
          <w:bCs/>
        </w:rPr>
        <w:t>—</w:t>
      </w:r>
      <w:r w:rsidR="006D174D">
        <w:rPr>
          <w:rFonts w:eastAsia="Times New Roman" w:cstheme="minorHAnsi"/>
        </w:rPr>
        <w:t xml:space="preserve">The authority of a local government to </w:t>
      </w:r>
      <w:r w:rsidR="000E0B81">
        <w:rPr>
          <w:rFonts w:eastAsia="Times New Roman" w:cstheme="minorHAnsi"/>
        </w:rPr>
        <w:t xml:space="preserve">declare an emergency within its boundaries is </w:t>
      </w:r>
      <w:r w:rsidR="006170CE">
        <w:rPr>
          <w:rFonts w:eastAsia="Times New Roman" w:cstheme="minorHAnsi"/>
        </w:rPr>
        <w:t xml:space="preserve">dictated by </w:t>
      </w:r>
      <w:r w:rsidR="00E355F4">
        <w:rPr>
          <w:rFonts w:eastAsia="Times New Roman" w:cstheme="minorHAnsi"/>
        </w:rPr>
        <w:t xml:space="preserve">state law. </w:t>
      </w:r>
      <w:r w:rsidR="00722D87">
        <w:rPr>
          <w:rFonts w:eastAsia="Times New Roman" w:cstheme="minorHAnsi"/>
        </w:rPr>
        <w:t xml:space="preserve">During the COVID-19 pandemic, </w:t>
      </w:r>
      <w:r w:rsidR="003F23DD">
        <w:rPr>
          <w:rFonts w:eastAsia="Times New Roman" w:cstheme="minorHAnsi"/>
        </w:rPr>
        <w:t xml:space="preserve">states took different approaches to the </w:t>
      </w:r>
      <w:r w:rsidR="00D00C3F">
        <w:rPr>
          <w:rFonts w:eastAsia="Times New Roman" w:cstheme="minorHAnsi"/>
        </w:rPr>
        <w:t>permissibility</w:t>
      </w:r>
      <w:r w:rsidR="00F2390D">
        <w:rPr>
          <w:rFonts w:eastAsia="Times New Roman" w:cstheme="minorHAnsi"/>
        </w:rPr>
        <w:t xml:space="preserve"> </w:t>
      </w:r>
      <w:r w:rsidR="00AD3B59">
        <w:rPr>
          <w:rFonts w:eastAsia="Times New Roman" w:cstheme="minorHAnsi"/>
        </w:rPr>
        <w:t xml:space="preserve">of locally-declared emergencies and the imposition of specific </w:t>
      </w:r>
      <w:r w:rsidR="00AD3B59">
        <w:rPr>
          <w:rFonts w:eastAsia="Times New Roman" w:cstheme="minorHAnsi"/>
        </w:rPr>
        <w:lastRenderedPageBreak/>
        <w:t>public health mitigation measu</w:t>
      </w:r>
      <w:r w:rsidR="00F2390D">
        <w:rPr>
          <w:rFonts w:eastAsia="Times New Roman" w:cstheme="minorHAnsi"/>
        </w:rPr>
        <w:t xml:space="preserve">res a locality could </w:t>
      </w:r>
      <w:r w:rsidR="00D00C3F">
        <w:rPr>
          <w:rFonts w:eastAsia="Times New Roman" w:cstheme="minorHAnsi"/>
        </w:rPr>
        <w:t>institute</w:t>
      </w:r>
      <w:r w:rsidR="0086015B">
        <w:rPr>
          <w:rFonts w:eastAsia="Times New Roman" w:cstheme="minorHAnsi"/>
        </w:rPr>
        <w:t>.</w:t>
      </w:r>
      <w:r w:rsidR="002E03F3">
        <w:rPr>
          <w:rStyle w:val="FootnoteReference"/>
          <w:rFonts w:eastAsia="Times New Roman" w:cstheme="minorHAnsi"/>
        </w:rPr>
        <w:footnoteReference w:id="6"/>
      </w:r>
      <w:r w:rsidR="0086015B">
        <w:rPr>
          <w:rFonts w:eastAsia="Times New Roman" w:cstheme="minorHAnsi"/>
        </w:rPr>
        <w:t xml:space="preserve"> </w:t>
      </w:r>
      <w:r w:rsidR="001E439E">
        <w:rPr>
          <w:rFonts w:eastAsia="Times New Roman" w:cstheme="minorHAnsi"/>
        </w:rPr>
        <w:t xml:space="preserve">Even if </w:t>
      </w:r>
      <w:r w:rsidR="00E85F57">
        <w:rPr>
          <w:rFonts w:eastAsia="Times New Roman" w:cstheme="minorHAnsi"/>
        </w:rPr>
        <w:t xml:space="preserve">a state’s law authorized local officials to declare emergencies and institute </w:t>
      </w:r>
      <w:r w:rsidR="00FF6EFE">
        <w:rPr>
          <w:rFonts w:eastAsia="Times New Roman" w:cstheme="minorHAnsi"/>
        </w:rPr>
        <w:t xml:space="preserve">measures to protect the public’s health, gubernatorial </w:t>
      </w:r>
      <w:r w:rsidR="000043A9">
        <w:rPr>
          <w:rFonts w:eastAsia="Times New Roman" w:cstheme="minorHAnsi"/>
        </w:rPr>
        <w:t xml:space="preserve">orders </w:t>
      </w:r>
      <w:r w:rsidR="00FF6EFE">
        <w:rPr>
          <w:rFonts w:eastAsia="Times New Roman" w:cstheme="minorHAnsi"/>
        </w:rPr>
        <w:t xml:space="preserve">and/or </w:t>
      </w:r>
      <w:r w:rsidR="000043A9">
        <w:rPr>
          <w:rFonts w:eastAsia="Times New Roman" w:cstheme="minorHAnsi"/>
        </w:rPr>
        <w:t>action by legislative bodies</w:t>
      </w:r>
      <w:r w:rsidR="0074502A">
        <w:rPr>
          <w:rFonts w:eastAsia="Times New Roman" w:cstheme="minorHAnsi"/>
        </w:rPr>
        <w:t xml:space="preserve"> limited </w:t>
      </w:r>
      <w:r w:rsidR="00E333A0">
        <w:rPr>
          <w:rFonts w:eastAsia="Times New Roman" w:cstheme="minorHAnsi"/>
        </w:rPr>
        <w:t xml:space="preserve">some </w:t>
      </w:r>
      <w:r w:rsidR="0074502A">
        <w:rPr>
          <w:rFonts w:eastAsia="Times New Roman" w:cstheme="minorHAnsi"/>
        </w:rPr>
        <w:t>local actions</w:t>
      </w:r>
      <w:r w:rsidR="000E55AE">
        <w:rPr>
          <w:rFonts w:eastAsia="Times New Roman" w:cstheme="minorHAnsi"/>
        </w:rPr>
        <w:t>.</w:t>
      </w:r>
      <w:r w:rsidR="00B64302">
        <w:rPr>
          <w:rStyle w:val="FootnoteReference"/>
          <w:rFonts w:eastAsia="Times New Roman" w:cstheme="minorHAnsi"/>
        </w:rPr>
        <w:footnoteReference w:id="7"/>
      </w:r>
      <w:r w:rsidR="00F2390D">
        <w:rPr>
          <w:rFonts w:eastAsia="Times New Roman" w:cstheme="minorHAnsi"/>
        </w:rPr>
        <w:t xml:space="preserve"> </w:t>
      </w:r>
    </w:p>
    <w:p w14:paraId="74441E8A" w14:textId="77777777" w:rsidR="00602124" w:rsidRPr="00602124" w:rsidRDefault="00602124" w:rsidP="00602124">
      <w:pPr>
        <w:spacing w:line="360" w:lineRule="auto"/>
        <w:textAlignment w:val="baseline"/>
        <w:rPr>
          <w:rFonts w:eastAsia="Times New Roman" w:cstheme="minorHAnsi"/>
        </w:rPr>
      </w:pPr>
    </w:p>
    <w:p w14:paraId="20847031" w14:textId="4183E563" w:rsidR="00602124" w:rsidRDefault="00FE5E00" w:rsidP="008C00A0">
      <w:pPr>
        <w:pStyle w:val="ListParagraph"/>
        <w:numPr>
          <w:ilvl w:val="0"/>
          <w:numId w:val="13"/>
        </w:numPr>
        <w:spacing w:line="360" w:lineRule="auto"/>
        <w:textAlignment w:val="baseline"/>
        <w:rPr>
          <w:rFonts w:eastAsia="Times New Roman" w:cstheme="minorHAnsi"/>
        </w:rPr>
      </w:pPr>
      <w:r w:rsidRPr="000E5E12">
        <w:rPr>
          <w:rFonts w:eastAsia="Times New Roman" w:cstheme="minorHAnsi"/>
          <w:b/>
          <w:bCs/>
        </w:rPr>
        <w:t xml:space="preserve">Use of </w:t>
      </w:r>
      <w:r w:rsidR="0064257B" w:rsidRPr="000E5E12">
        <w:rPr>
          <w:rFonts w:eastAsia="Times New Roman" w:cstheme="minorHAnsi"/>
          <w:b/>
          <w:bCs/>
        </w:rPr>
        <w:t xml:space="preserve">Quarantine </w:t>
      </w:r>
      <w:r w:rsidR="001629B5" w:rsidRPr="000E5E12">
        <w:rPr>
          <w:rFonts w:eastAsia="Times New Roman" w:cstheme="minorHAnsi"/>
          <w:b/>
          <w:bCs/>
        </w:rPr>
        <w:t>and Isolation</w:t>
      </w:r>
      <w:r w:rsidR="000E55AE" w:rsidRPr="000E5E12">
        <w:rPr>
          <w:rFonts w:eastAsia="Times New Roman" w:cstheme="minorHAnsi"/>
          <w:b/>
          <w:bCs/>
        </w:rPr>
        <w:t>—</w:t>
      </w:r>
      <w:r w:rsidR="0005750D">
        <w:rPr>
          <w:rFonts w:eastAsia="Times New Roman" w:cstheme="minorHAnsi"/>
        </w:rPr>
        <w:t xml:space="preserve">STLT governments </w:t>
      </w:r>
      <w:r w:rsidR="00F14B56">
        <w:rPr>
          <w:rFonts w:eastAsia="Times New Roman" w:cstheme="minorHAnsi"/>
        </w:rPr>
        <w:t xml:space="preserve">are empowered </w:t>
      </w:r>
      <w:r w:rsidR="00AE0864">
        <w:rPr>
          <w:rFonts w:eastAsia="Times New Roman" w:cstheme="minorHAnsi"/>
        </w:rPr>
        <w:t xml:space="preserve">by law </w:t>
      </w:r>
      <w:r w:rsidR="0005750D">
        <w:rPr>
          <w:rFonts w:eastAsia="Times New Roman" w:cstheme="minorHAnsi"/>
        </w:rPr>
        <w:t xml:space="preserve">to impose </w:t>
      </w:r>
      <w:r w:rsidR="008B5BAA">
        <w:rPr>
          <w:rFonts w:eastAsia="Times New Roman" w:cstheme="minorHAnsi"/>
        </w:rPr>
        <w:t>quarantine</w:t>
      </w:r>
      <w:r w:rsidR="00347EBF">
        <w:rPr>
          <w:rStyle w:val="FootnoteReference"/>
          <w:rFonts w:eastAsia="Times New Roman" w:cstheme="minorHAnsi"/>
        </w:rPr>
        <w:footnoteReference w:id="8"/>
      </w:r>
      <w:r w:rsidR="008B5BAA">
        <w:rPr>
          <w:rFonts w:eastAsia="Times New Roman" w:cstheme="minorHAnsi"/>
        </w:rPr>
        <w:t xml:space="preserve"> and </w:t>
      </w:r>
      <w:r w:rsidR="0005750D">
        <w:rPr>
          <w:rFonts w:eastAsia="Times New Roman" w:cstheme="minorHAnsi"/>
        </w:rPr>
        <w:t>isolation</w:t>
      </w:r>
      <w:r w:rsidR="00BC143F">
        <w:rPr>
          <w:rStyle w:val="FootnoteReference"/>
          <w:rFonts w:eastAsia="Times New Roman" w:cstheme="minorHAnsi"/>
        </w:rPr>
        <w:footnoteReference w:id="9"/>
      </w:r>
      <w:r w:rsidR="0005750D">
        <w:rPr>
          <w:rFonts w:eastAsia="Times New Roman" w:cstheme="minorHAnsi"/>
        </w:rPr>
        <w:t xml:space="preserve"> </w:t>
      </w:r>
      <w:r w:rsidR="0010114F">
        <w:rPr>
          <w:rFonts w:eastAsia="Times New Roman" w:cstheme="minorHAnsi"/>
        </w:rPr>
        <w:t>to protect public health</w:t>
      </w:r>
      <w:r w:rsidR="00AE0864">
        <w:rPr>
          <w:rFonts w:eastAsia="Times New Roman" w:cstheme="minorHAnsi"/>
        </w:rPr>
        <w:t>.</w:t>
      </w:r>
      <w:r w:rsidR="00573237">
        <w:rPr>
          <w:rStyle w:val="FootnoteReference"/>
          <w:rFonts w:eastAsia="Times New Roman" w:cstheme="minorHAnsi"/>
        </w:rPr>
        <w:footnoteReference w:id="10"/>
      </w:r>
      <w:r w:rsidR="00D64B47">
        <w:rPr>
          <w:rFonts w:eastAsia="Times New Roman" w:cstheme="minorHAnsi"/>
        </w:rPr>
        <w:t xml:space="preserve"> </w:t>
      </w:r>
      <w:r w:rsidR="00D64B47">
        <w:rPr>
          <w:rStyle w:val="FootnoteReference"/>
          <w:rFonts w:eastAsia="Times New Roman" w:cstheme="minorHAnsi"/>
        </w:rPr>
        <w:footnoteReference w:id="11"/>
      </w:r>
      <w:r w:rsidR="00AE3E04">
        <w:rPr>
          <w:rFonts w:eastAsia="Times New Roman" w:cstheme="minorHAnsi"/>
        </w:rPr>
        <w:t xml:space="preserve"> </w:t>
      </w:r>
      <w:r w:rsidR="00A33230">
        <w:rPr>
          <w:rFonts w:eastAsia="Times New Roman" w:cstheme="minorHAnsi"/>
        </w:rPr>
        <w:t xml:space="preserve">The legal imposition of </w:t>
      </w:r>
      <w:r w:rsidR="00101850">
        <w:rPr>
          <w:rFonts w:eastAsia="Times New Roman" w:cstheme="minorHAnsi"/>
        </w:rPr>
        <w:t xml:space="preserve">these measures has generally been reserved </w:t>
      </w:r>
      <w:r w:rsidR="00F32AD7">
        <w:rPr>
          <w:rFonts w:eastAsia="Times New Roman" w:cstheme="minorHAnsi"/>
        </w:rPr>
        <w:t xml:space="preserve">for </w:t>
      </w:r>
      <w:r w:rsidR="000275EF">
        <w:rPr>
          <w:rFonts w:eastAsia="Times New Roman" w:cstheme="minorHAnsi"/>
        </w:rPr>
        <w:t>persons with or suspected</w:t>
      </w:r>
      <w:r w:rsidR="001F6DB9">
        <w:rPr>
          <w:rFonts w:eastAsia="Times New Roman" w:cstheme="minorHAnsi"/>
        </w:rPr>
        <w:t xml:space="preserve"> of having </w:t>
      </w:r>
      <w:r w:rsidR="000275EF">
        <w:rPr>
          <w:rFonts w:eastAsia="Times New Roman" w:cstheme="minorHAnsi"/>
        </w:rPr>
        <w:t xml:space="preserve">highly infectious diseases (e.g., </w:t>
      </w:r>
      <w:r w:rsidR="001F6DB9">
        <w:rPr>
          <w:rFonts w:eastAsia="Times New Roman" w:cstheme="minorHAnsi"/>
        </w:rPr>
        <w:t>Ebola</w:t>
      </w:r>
      <w:r w:rsidR="000275EF">
        <w:rPr>
          <w:rFonts w:eastAsia="Times New Roman" w:cstheme="minorHAnsi"/>
        </w:rPr>
        <w:t xml:space="preserve">) </w:t>
      </w:r>
      <w:r w:rsidR="001F6DB9">
        <w:rPr>
          <w:rFonts w:eastAsia="Times New Roman" w:cstheme="minorHAnsi"/>
        </w:rPr>
        <w:t xml:space="preserve">or for </w:t>
      </w:r>
      <w:r w:rsidR="00F32AD7">
        <w:rPr>
          <w:rFonts w:eastAsia="Times New Roman" w:cstheme="minorHAnsi"/>
        </w:rPr>
        <w:t>persons</w:t>
      </w:r>
      <w:r w:rsidR="002F65B9">
        <w:rPr>
          <w:rFonts w:eastAsia="Times New Roman" w:cstheme="minorHAnsi"/>
        </w:rPr>
        <w:t xml:space="preserve"> who will not self-isolate or comply with required treatment regimens (e.g., </w:t>
      </w:r>
      <w:r w:rsidR="00F32AD7">
        <w:rPr>
          <w:rFonts w:eastAsia="Times New Roman" w:cstheme="minorHAnsi"/>
        </w:rPr>
        <w:t>tuberculosis</w:t>
      </w:r>
      <w:r w:rsidR="002F65B9">
        <w:rPr>
          <w:rFonts w:eastAsia="Times New Roman" w:cstheme="minorHAnsi"/>
        </w:rPr>
        <w:t>).</w:t>
      </w:r>
      <w:r w:rsidR="00B73593">
        <w:rPr>
          <w:rStyle w:val="FootnoteReference"/>
          <w:rFonts w:eastAsia="Times New Roman" w:cstheme="minorHAnsi"/>
        </w:rPr>
        <w:footnoteReference w:id="12"/>
      </w:r>
      <w:r w:rsidR="002F65B9">
        <w:rPr>
          <w:rFonts w:eastAsia="Times New Roman" w:cstheme="minorHAnsi"/>
        </w:rPr>
        <w:t xml:space="preserve"> </w:t>
      </w:r>
      <w:r w:rsidR="009730F2">
        <w:rPr>
          <w:rFonts w:eastAsia="Times New Roman" w:cstheme="minorHAnsi"/>
        </w:rPr>
        <w:t xml:space="preserve">During COVID-19, STLT </w:t>
      </w:r>
      <w:r w:rsidR="004D25C6">
        <w:rPr>
          <w:rFonts w:eastAsia="Times New Roman" w:cstheme="minorHAnsi"/>
        </w:rPr>
        <w:t xml:space="preserve">governments relied primarily on voluntary self-quarantine </w:t>
      </w:r>
      <w:r w:rsidR="00BB20CE">
        <w:rPr>
          <w:rFonts w:eastAsia="Times New Roman" w:cstheme="minorHAnsi"/>
        </w:rPr>
        <w:t>and self-isolation, although some cases required</w:t>
      </w:r>
      <w:r w:rsidR="00A836ED">
        <w:rPr>
          <w:rFonts w:eastAsia="Times New Roman" w:cstheme="minorHAnsi"/>
        </w:rPr>
        <w:t xml:space="preserve"> </w:t>
      </w:r>
      <w:r w:rsidR="00311F38">
        <w:rPr>
          <w:rFonts w:eastAsia="Times New Roman" w:cstheme="minorHAnsi"/>
        </w:rPr>
        <w:t>administrative or</w:t>
      </w:r>
      <w:r w:rsidR="00254F0D">
        <w:rPr>
          <w:rFonts w:eastAsia="Times New Roman" w:cstheme="minorHAnsi"/>
        </w:rPr>
        <w:t xml:space="preserve"> </w:t>
      </w:r>
      <w:r w:rsidR="00311F38">
        <w:rPr>
          <w:rFonts w:eastAsia="Times New Roman" w:cstheme="minorHAnsi"/>
        </w:rPr>
        <w:t xml:space="preserve">court </w:t>
      </w:r>
      <w:r w:rsidR="00A836ED">
        <w:rPr>
          <w:rFonts w:eastAsia="Times New Roman" w:cstheme="minorHAnsi"/>
        </w:rPr>
        <w:t>orders and enforcement of these measures when some individuals would not voluntarily comply.</w:t>
      </w:r>
      <w:r w:rsidR="00736435">
        <w:rPr>
          <w:rStyle w:val="FootnoteReference"/>
          <w:rFonts w:eastAsia="Times New Roman" w:cstheme="minorHAnsi"/>
        </w:rPr>
        <w:footnoteReference w:id="13"/>
      </w:r>
      <w:r w:rsidR="00A836ED">
        <w:rPr>
          <w:rFonts w:eastAsia="Times New Roman" w:cstheme="minorHAnsi"/>
        </w:rPr>
        <w:t xml:space="preserve"> </w:t>
      </w:r>
      <w:r w:rsidR="003253ED">
        <w:rPr>
          <w:rFonts w:eastAsia="Times New Roman" w:cstheme="minorHAnsi"/>
        </w:rPr>
        <w:t xml:space="preserve">The federal government also instituted </w:t>
      </w:r>
      <w:r w:rsidR="003253ED">
        <w:rPr>
          <w:rFonts w:eastAsia="Times New Roman" w:cstheme="minorHAnsi"/>
        </w:rPr>
        <w:lastRenderedPageBreak/>
        <w:t xml:space="preserve">federal quarantine and isolation </w:t>
      </w:r>
      <w:r w:rsidR="00C80CCB">
        <w:rPr>
          <w:rFonts w:eastAsia="Times New Roman" w:cstheme="minorHAnsi"/>
        </w:rPr>
        <w:t xml:space="preserve">orders primarily for travelers </w:t>
      </w:r>
      <w:r w:rsidR="006F3DAB">
        <w:rPr>
          <w:rFonts w:eastAsia="Times New Roman" w:cstheme="minorHAnsi"/>
        </w:rPr>
        <w:t>and persons returning to the U.S. from abroad.</w:t>
      </w:r>
      <w:r w:rsidR="00FC5A7A">
        <w:rPr>
          <w:rStyle w:val="FootnoteReference"/>
          <w:rFonts w:eastAsia="Times New Roman" w:cstheme="minorHAnsi"/>
        </w:rPr>
        <w:footnoteReference w:id="14"/>
      </w:r>
      <w:r w:rsidR="006F3DAB">
        <w:rPr>
          <w:rFonts w:eastAsia="Times New Roman" w:cstheme="minorHAnsi"/>
        </w:rPr>
        <w:t xml:space="preserve"> (See</w:t>
      </w:r>
      <w:r w:rsidR="004E4438">
        <w:rPr>
          <w:rFonts w:eastAsia="Times New Roman" w:cstheme="minorHAnsi"/>
        </w:rPr>
        <w:t xml:space="preserve"> federal quarantine discussion below.)</w:t>
      </w:r>
      <w:r w:rsidR="00F32AD7">
        <w:rPr>
          <w:rFonts w:eastAsia="Times New Roman" w:cstheme="minorHAnsi"/>
        </w:rPr>
        <w:t xml:space="preserve"> </w:t>
      </w:r>
      <w:r w:rsidR="00AE0864">
        <w:rPr>
          <w:rFonts w:eastAsia="Times New Roman" w:cstheme="minorHAnsi"/>
        </w:rPr>
        <w:t xml:space="preserve"> </w:t>
      </w:r>
    </w:p>
    <w:p w14:paraId="1B512F9D" w14:textId="76EA95DE" w:rsidR="0064257B" w:rsidRPr="00602124" w:rsidRDefault="0010114F" w:rsidP="00602124">
      <w:pPr>
        <w:spacing w:line="360" w:lineRule="auto"/>
        <w:textAlignment w:val="baseline"/>
        <w:rPr>
          <w:rFonts w:eastAsia="Times New Roman" w:cstheme="minorHAnsi"/>
        </w:rPr>
      </w:pPr>
      <w:r w:rsidRPr="00602124">
        <w:rPr>
          <w:rFonts w:eastAsia="Times New Roman" w:cstheme="minorHAnsi"/>
        </w:rPr>
        <w:t xml:space="preserve"> </w:t>
      </w:r>
      <w:r w:rsidR="000E55AE" w:rsidRPr="00602124">
        <w:rPr>
          <w:rFonts w:eastAsia="Times New Roman" w:cstheme="minorHAnsi"/>
        </w:rPr>
        <w:t xml:space="preserve"> </w:t>
      </w:r>
    </w:p>
    <w:p w14:paraId="26967F6A" w14:textId="24B7B4DE" w:rsidR="00E02F3B" w:rsidRDefault="001629B5" w:rsidP="00816E2B">
      <w:pPr>
        <w:pStyle w:val="ListParagraph"/>
        <w:numPr>
          <w:ilvl w:val="0"/>
          <w:numId w:val="13"/>
        </w:numPr>
        <w:spacing w:after="80" w:line="360" w:lineRule="auto"/>
        <w:contextualSpacing w:val="0"/>
        <w:textAlignment w:val="baseline"/>
        <w:rPr>
          <w:rFonts w:eastAsia="Times New Roman" w:cstheme="minorHAnsi"/>
        </w:rPr>
      </w:pPr>
      <w:r w:rsidRPr="00DE5285">
        <w:rPr>
          <w:rFonts w:eastAsia="Times New Roman" w:cstheme="minorHAnsi"/>
          <w:b/>
          <w:bCs/>
        </w:rPr>
        <w:t>Publ</w:t>
      </w:r>
      <w:r w:rsidR="00395940" w:rsidRPr="00DE5285">
        <w:rPr>
          <w:rFonts w:eastAsia="Times New Roman" w:cstheme="minorHAnsi"/>
          <w:b/>
          <w:bCs/>
        </w:rPr>
        <w:t>ic Health Mitigation Measures</w:t>
      </w:r>
      <w:r w:rsidR="000B7A29" w:rsidRPr="00DE5285">
        <w:rPr>
          <w:rFonts w:eastAsia="Times New Roman" w:cstheme="minorHAnsi"/>
          <w:b/>
          <w:bCs/>
        </w:rPr>
        <w:t>—</w:t>
      </w:r>
      <w:r w:rsidR="004A14A5">
        <w:rPr>
          <w:rFonts w:eastAsia="Times New Roman" w:cstheme="minorHAnsi"/>
        </w:rPr>
        <w:t xml:space="preserve">The foundation of the </w:t>
      </w:r>
      <w:r w:rsidR="00E7441F">
        <w:rPr>
          <w:rFonts w:eastAsia="Times New Roman" w:cstheme="minorHAnsi"/>
        </w:rPr>
        <w:t>response to COVID-19 was the use of public health measure</w:t>
      </w:r>
      <w:r w:rsidR="00DE5285">
        <w:rPr>
          <w:rFonts w:eastAsia="Times New Roman" w:cstheme="minorHAnsi"/>
        </w:rPr>
        <w:t>s to interrupt the transmission of the disease and to mitigate</w:t>
      </w:r>
      <w:r w:rsidR="00254F0D">
        <w:rPr>
          <w:rFonts w:eastAsia="Times New Roman" w:cstheme="minorHAnsi"/>
        </w:rPr>
        <w:t xml:space="preserve"> its spread. </w:t>
      </w:r>
      <w:r w:rsidR="001D54F5">
        <w:rPr>
          <w:rFonts w:eastAsia="Times New Roman" w:cstheme="minorHAnsi"/>
        </w:rPr>
        <w:t>The types of measures instituted during COVID-19 by STLT govern</w:t>
      </w:r>
      <w:r w:rsidR="0029003F">
        <w:rPr>
          <w:rFonts w:eastAsia="Times New Roman" w:cstheme="minorHAnsi"/>
        </w:rPr>
        <w:t>ments</w:t>
      </w:r>
      <w:r w:rsidR="00254C3A">
        <w:rPr>
          <w:rFonts w:eastAsia="Times New Roman" w:cstheme="minorHAnsi"/>
        </w:rPr>
        <w:t xml:space="preserve"> </w:t>
      </w:r>
      <w:r w:rsidR="00CC4091">
        <w:rPr>
          <w:rFonts w:eastAsia="Times New Roman" w:cstheme="minorHAnsi"/>
        </w:rPr>
        <w:t xml:space="preserve">were either </w:t>
      </w:r>
      <w:r w:rsidR="004D06D5">
        <w:rPr>
          <w:rFonts w:eastAsia="Times New Roman" w:cstheme="minorHAnsi"/>
        </w:rPr>
        <w:t>explicitly</w:t>
      </w:r>
      <w:r w:rsidR="00CC4091">
        <w:rPr>
          <w:rFonts w:eastAsia="Times New Roman" w:cstheme="minorHAnsi"/>
        </w:rPr>
        <w:t xml:space="preserve"> authorized </w:t>
      </w:r>
      <w:r w:rsidR="004D06D5">
        <w:rPr>
          <w:rFonts w:eastAsia="Times New Roman" w:cstheme="minorHAnsi"/>
        </w:rPr>
        <w:t>in the emergency powers</w:t>
      </w:r>
      <w:r w:rsidR="00A54FB8">
        <w:rPr>
          <w:rFonts w:eastAsia="Times New Roman" w:cstheme="minorHAnsi"/>
        </w:rPr>
        <w:t xml:space="preserve"> </w:t>
      </w:r>
      <w:r w:rsidR="002268BB">
        <w:rPr>
          <w:rFonts w:eastAsia="Times New Roman" w:cstheme="minorHAnsi"/>
        </w:rPr>
        <w:t xml:space="preserve">or </w:t>
      </w:r>
      <w:r w:rsidR="003B30BF">
        <w:rPr>
          <w:rFonts w:eastAsia="Times New Roman" w:cstheme="minorHAnsi"/>
        </w:rPr>
        <w:t xml:space="preserve">in the broad language of laws allowing for measures to protect public health. </w:t>
      </w:r>
      <w:r w:rsidR="006B5F2F">
        <w:rPr>
          <w:rFonts w:eastAsia="Times New Roman" w:cstheme="minorHAnsi"/>
        </w:rPr>
        <w:t xml:space="preserve">The public health mitigation measures </w:t>
      </w:r>
      <w:r w:rsidR="00A73A7E">
        <w:rPr>
          <w:rFonts w:eastAsia="Times New Roman" w:cstheme="minorHAnsi"/>
        </w:rPr>
        <w:t xml:space="preserve">used </w:t>
      </w:r>
      <w:r w:rsidR="006B5F2F">
        <w:rPr>
          <w:rFonts w:eastAsia="Times New Roman" w:cstheme="minorHAnsi"/>
        </w:rPr>
        <w:t xml:space="preserve">broadly </w:t>
      </w:r>
      <w:r w:rsidR="00A73A7E">
        <w:rPr>
          <w:rFonts w:eastAsia="Times New Roman" w:cstheme="minorHAnsi"/>
        </w:rPr>
        <w:t>b</w:t>
      </w:r>
      <w:r w:rsidR="006B5F2F">
        <w:rPr>
          <w:rFonts w:eastAsia="Times New Roman" w:cstheme="minorHAnsi"/>
        </w:rPr>
        <w:t xml:space="preserve">y STLT governments during </w:t>
      </w:r>
      <w:r w:rsidR="00C06013">
        <w:rPr>
          <w:rFonts w:eastAsia="Times New Roman" w:cstheme="minorHAnsi"/>
        </w:rPr>
        <w:t>COVID-19 included, but were</w:t>
      </w:r>
      <w:r w:rsidR="00DE2F44">
        <w:rPr>
          <w:rFonts w:eastAsia="Times New Roman" w:cstheme="minorHAnsi"/>
        </w:rPr>
        <w:t xml:space="preserve"> not limited to</w:t>
      </w:r>
      <w:r w:rsidR="00875B87">
        <w:rPr>
          <w:rStyle w:val="FootnoteReference"/>
          <w:rFonts w:eastAsia="Times New Roman" w:cstheme="minorHAnsi"/>
        </w:rPr>
        <w:footnoteReference w:id="15"/>
      </w:r>
      <w:r w:rsidR="00DE2F44">
        <w:rPr>
          <w:rFonts w:eastAsia="Times New Roman" w:cstheme="minorHAnsi"/>
        </w:rPr>
        <w:t>:</w:t>
      </w:r>
    </w:p>
    <w:p w14:paraId="01155A0D" w14:textId="54F53FFC" w:rsidR="00E02F3B" w:rsidRDefault="00E02F3B" w:rsidP="00816E2B">
      <w:pPr>
        <w:pStyle w:val="ListParagraph"/>
        <w:numPr>
          <w:ilvl w:val="1"/>
          <w:numId w:val="13"/>
        </w:numPr>
        <w:spacing w:after="80" w:line="360" w:lineRule="auto"/>
        <w:contextualSpacing w:val="0"/>
        <w:textAlignment w:val="baseline"/>
        <w:rPr>
          <w:rFonts w:eastAsia="Times New Roman" w:cstheme="minorHAnsi"/>
        </w:rPr>
      </w:pPr>
      <w:r>
        <w:rPr>
          <w:rFonts w:eastAsia="Times New Roman" w:cstheme="minorHAnsi"/>
        </w:rPr>
        <w:t>Closure</w:t>
      </w:r>
      <w:r w:rsidR="003D0F92">
        <w:rPr>
          <w:rFonts w:eastAsia="Times New Roman" w:cstheme="minorHAnsi"/>
        </w:rPr>
        <w:t xml:space="preserve"> of schools</w:t>
      </w:r>
      <w:r w:rsidR="00894714">
        <w:rPr>
          <w:rFonts w:eastAsia="Times New Roman" w:cstheme="minorHAnsi"/>
        </w:rPr>
        <w:t xml:space="preserve"> and universities</w:t>
      </w:r>
      <w:r w:rsidR="003D0F92">
        <w:rPr>
          <w:rFonts w:eastAsia="Times New Roman" w:cstheme="minorHAnsi"/>
        </w:rPr>
        <w:t>, non-essential businesses, places of worship</w:t>
      </w:r>
      <w:r w:rsidR="00894714">
        <w:rPr>
          <w:rFonts w:eastAsia="Times New Roman" w:cstheme="minorHAnsi"/>
        </w:rPr>
        <w:t>, and sporting</w:t>
      </w:r>
      <w:r w:rsidR="00790561">
        <w:rPr>
          <w:rFonts w:eastAsia="Times New Roman" w:cstheme="minorHAnsi"/>
        </w:rPr>
        <w:t xml:space="preserve"> and other events</w:t>
      </w:r>
    </w:p>
    <w:p w14:paraId="5BF34957" w14:textId="2A3EE011" w:rsidR="00E02F3B" w:rsidRDefault="006E6C1F" w:rsidP="00816E2B">
      <w:pPr>
        <w:pStyle w:val="ListParagraph"/>
        <w:numPr>
          <w:ilvl w:val="1"/>
          <w:numId w:val="13"/>
        </w:numPr>
        <w:spacing w:after="80" w:line="360" w:lineRule="auto"/>
        <w:contextualSpacing w:val="0"/>
        <w:textAlignment w:val="baseline"/>
        <w:rPr>
          <w:rFonts w:eastAsia="Times New Roman" w:cstheme="minorHAnsi"/>
        </w:rPr>
      </w:pPr>
      <w:r>
        <w:rPr>
          <w:rFonts w:eastAsia="Times New Roman" w:cstheme="minorHAnsi"/>
        </w:rPr>
        <w:t>Stay at home orders and curfews</w:t>
      </w:r>
    </w:p>
    <w:p w14:paraId="4926B0E3" w14:textId="3D155F0C" w:rsidR="00883DE1" w:rsidRDefault="00883DE1" w:rsidP="00816E2B">
      <w:pPr>
        <w:pStyle w:val="ListParagraph"/>
        <w:numPr>
          <w:ilvl w:val="1"/>
          <w:numId w:val="13"/>
        </w:numPr>
        <w:spacing w:after="80" w:line="360" w:lineRule="auto"/>
        <w:contextualSpacing w:val="0"/>
        <w:textAlignment w:val="baseline"/>
        <w:rPr>
          <w:rFonts w:eastAsia="Times New Roman" w:cstheme="minorHAnsi"/>
        </w:rPr>
      </w:pPr>
      <w:r>
        <w:rPr>
          <w:rFonts w:eastAsia="Times New Roman" w:cstheme="minorHAnsi"/>
        </w:rPr>
        <w:t xml:space="preserve">Restrictions on visitors to </w:t>
      </w:r>
      <w:r w:rsidR="00EE2794">
        <w:rPr>
          <w:rFonts w:eastAsia="Times New Roman" w:cstheme="minorHAnsi"/>
        </w:rPr>
        <w:t>nursing homes and other congregate living facilities</w:t>
      </w:r>
    </w:p>
    <w:p w14:paraId="4ADFE123" w14:textId="7448638C" w:rsidR="00B15580" w:rsidRDefault="00B15580" w:rsidP="00816E2B">
      <w:pPr>
        <w:pStyle w:val="ListParagraph"/>
        <w:numPr>
          <w:ilvl w:val="1"/>
          <w:numId w:val="13"/>
        </w:numPr>
        <w:spacing w:after="80" w:line="360" w:lineRule="auto"/>
        <w:contextualSpacing w:val="0"/>
        <w:textAlignment w:val="baseline"/>
        <w:rPr>
          <w:rFonts w:eastAsia="Times New Roman" w:cstheme="minorHAnsi"/>
        </w:rPr>
      </w:pPr>
      <w:r>
        <w:rPr>
          <w:rFonts w:eastAsia="Times New Roman" w:cstheme="minorHAnsi"/>
        </w:rPr>
        <w:t>Travel restrictions and self-quarantine requirements</w:t>
      </w:r>
      <w:r w:rsidR="00892979">
        <w:rPr>
          <w:rFonts w:eastAsia="Times New Roman" w:cstheme="minorHAnsi"/>
        </w:rPr>
        <w:t xml:space="preserve"> if traveling from </w:t>
      </w:r>
      <w:r w:rsidR="00525678">
        <w:rPr>
          <w:rFonts w:eastAsia="Times New Roman" w:cstheme="minorHAnsi"/>
        </w:rPr>
        <w:t>high</w:t>
      </w:r>
      <w:r w:rsidR="00AA16D3">
        <w:rPr>
          <w:rFonts w:eastAsia="Times New Roman" w:cstheme="minorHAnsi"/>
        </w:rPr>
        <w:t>-case areas</w:t>
      </w:r>
    </w:p>
    <w:p w14:paraId="291CA00A" w14:textId="5DE570C1" w:rsidR="006E6C1F" w:rsidRDefault="00F86EFE" w:rsidP="00816E2B">
      <w:pPr>
        <w:pStyle w:val="ListParagraph"/>
        <w:numPr>
          <w:ilvl w:val="1"/>
          <w:numId w:val="13"/>
        </w:numPr>
        <w:spacing w:after="80" w:line="360" w:lineRule="auto"/>
        <w:contextualSpacing w:val="0"/>
        <w:textAlignment w:val="baseline"/>
        <w:rPr>
          <w:rFonts w:eastAsia="Times New Roman" w:cstheme="minorHAnsi"/>
        </w:rPr>
      </w:pPr>
      <w:r>
        <w:rPr>
          <w:rFonts w:eastAsia="Times New Roman" w:cstheme="minorHAnsi"/>
        </w:rPr>
        <w:t>Social distancing</w:t>
      </w:r>
      <w:r w:rsidR="003D0F0B">
        <w:rPr>
          <w:rFonts w:eastAsia="Times New Roman" w:cstheme="minorHAnsi"/>
        </w:rPr>
        <w:t xml:space="preserve"> </w:t>
      </w:r>
      <w:r w:rsidR="00892979">
        <w:rPr>
          <w:rFonts w:eastAsia="Times New Roman" w:cstheme="minorHAnsi"/>
        </w:rPr>
        <w:t xml:space="preserve">requirements </w:t>
      </w:r>
      <w:r w:rsidR="003D0F0B">
        <w:rPr>
          <w:rFonts w:eastAsia="Times New Roman" w:cstheme="minorHAnsi"/>
        </w:rPr>
        <w:t>and limits on gathering</w:t>
      </w:r>
      <w:r w:rsidR="00892979">
        <w:rPr>
          <w:rFonts w:eastAsia="Times New Roman" w:cstheme="minorHAnsi"/>
        </w:rPr>
        <w:t xml:space="preserve"> sizes </w:t>
      </w:r>
      <w:r w:rsidR="00525678">
        <w:rPr>
          <w:rFonts w:eastAsia="Times New Roman" w:cstheme="minorHAnsi"/>
        </w:rPr>
        <w:t>indoors and outdoors</w:t>
      </w:r>
    </w:p>
    <w:p w14:paraId="31380E53" w14:textId="185E6204" w:rsidR="00F86EFE" w:rsidRPr="00E02F3B" w:rsidRDefault="00F86EFE" w:rsidP="00E02F3B">
      <w:pPr>
        <w:pStyle w:val="ListParagraph"/>
        <w:numPr>
          <w:ilvl w:val="1"/>
          <w:numId w:val="13"/>
        </w:numPr>
        <w:spacing w:line="360" w:lineRule="auto"/>
        <w:textAlignment w:val="baseline"/>
        <w:rPr>
          <w:rFonts w:eastAsia="Times New Roman" w:cstheme="minorHAnsi"/>
        </w:rPr>
      </w:pPr>
      <w:r>
        <w:rPr>
          <w:rFonts w:eastAsia="Times New Roman" w:cstheme="minorHAnsi"/>
        </w:rPr>
        <w:t>Mask</w:t>
      </w:r>
      <w:r w:rsidR="002039EE">
        <w:rPr>
          <w:rFonts w:eastAsia="Times New Roman" w:cstheme="minorHAnsi"/>
        </w:rPr>
        <w:t xml:space="preserve"> wearing</w:t>
      </w:r>
      <w:r w:rsidR="006176B4">
        <w:rPr>
          <w:rFonts w:eastAsia="Times New Roman" w:cstheme="minorHAnsi"/>
        </w:rPr>
        <w:t xml:space="preserve"> mandates</w:t>
      </w:r>
    </w:p>
    <w:p w14:paraId="50ED3110" w14:textId="77777777" w:rsidR="00DE2F44" w:rsidRPr="00DE2F44" w:rsidRDefault="00DE2F44" w:rsidP="00DE2F44">
      <w:pPr>
        <w:pStyle w:val="ListParagraph"/>
        <w:rPr>
          <w:rFonts w:eastAsia="Times New Roman" w:cstheme="minorHAnsi"/>
        </w:rPr>
      </w:pPr>
    </w:p>
    <w:p w14:paraId="4AE96CA6" w14:textId="71DC0F02" w:rsidR="002039EE" w:rsidRDefault="00DE2F44" w:rsidP="00DE2F44">
      <w:pPr>
        <w:pStyle w:val="ListParagraph"/>
        <w:spacing w:line="360" w:lineRule="auto"/>
        <w:ind w:left="360"/>
        <w:textAlignment w:val="baseline"/>
        <w:rPr>
          <w:rFonts w:eastAsia="Times New Roman" w:cstheme="minorHAnsi"/>
        </w:rPr>
      </w:pPr>
      <w:r>
        <w:rPr>
          <w:rFonts w:eastAsia="Times New Roman" w:cstheme="minorHAnsi"/>
        </w:rPr>
        <w:t xml:space="preserve">The </w:t>
      </w:r>
      <w:r w:rsidR="00AA16D3">
        <w:rPr>
          <w:rFonts w:eastAsia="Times New Roman" w:cstheme="minorHAnsi"/>
        </w:rPr>
        <w:t>wide</w:t>
      </w:r>
      <w:r w:rsidR="005D2AB6">
        <w:rPr>
          <w:rFonts w:eastAsia="Times New Roman" w:cstheme="minorHAnsi"/>
        </w:rPr>
        <w:t xml:space="preserve"> imposition of </w:t>
      </w:r>
      <w:r w:rsidR="00E02F3B">
        <w:rPr>
          <w:rFonts w:eastAsia="Times New Roman" w:cstheme="minorHAnsi"/>
        </w:rPr>
        <w:t xml:space="preserve">such </w:t>
      </w:r>
      <w:r w:rsidR="006C31F3">
        <w:rPr>
          <w:rFonts w:eastAsia="Times New Roman" w:cstheme="minorHAnsi"/>
        </w:rPr>
        <w:t>public health</w:t>
      </w:r>
      <w:r w:rsidR="005D2AB6">
        <w:rPr>
          <w:rFonts w:eastAsia="Times New Roman" w:cstheme="minorHAnsi"/>
        </w:rPr>
        <w:t xml:space="preserve"> </w:t>
      </w:r>
      <w:r w:rsidR="00EA79B1">
        <w:rPr>
          <w:rFonts w:eastAsia="Times New Roman" w:cstheme="minorHAnsi"/>
        </w:rPr>
        <w:t>measures</w:t>
      </w:r>
      <w:r w:rsidR="005D2AB6">
        <w:rPr>
          <w:rFonts w:eastAsia="Times New Roman" w:cstheme="minorHAnsi"/>
        </w:rPr>
        <w:t xml:space="preserve"> </w:t>
      </w:r>
      <w:r w:rsidR="006C31F3">
        <w:rPr>
          <w:rFonts w:eastAsia="Times New Roman" w:cstheme="minorHAnsi"/>
        </w:rPr>
        <w:t xml:space="preserve">was the first time </w:t>
      </w:r>
      <w:r w:rsidR="00EA79B1">
        <w:rPr>
          <w:rFonts w:eastAsia="Times New Roman" w:cstheme="minorHAnsi"/>
        </w:rPr>
        <w:t xml:space="preserve">in generations </w:t>
      </w:r>
      <w:r w:rsidR="00C67A42">
        <w:rPr>
          <w:rFonts w:eastAsia="Times New Roman" w:cstheme="minorHAnsi"/>
        </w:rPr>
        <w:t>that</w:t>
      </w:r>
      <w:r w:rsidR="00EA79B1">
        <w:rPr>
          <w:rFonts w:eastAsia="Times New Roman" w:cstheme="minorHAnsi"/>
        </w:rPr>
        <w:t xml:space="preserve"> such </w:t>
      </w:r>
      <w:r w:rsidR="00C67A42">
        <w:rPr>
          <w:rFonts w:eastAsia="Times New Roman" w:cstheme="minorHAnsi"/>
        </w:rPr>
        <w:t xml:space="preserve">restrictive and widespread </w:t>
      </w:r>
      <w:r w:rsidR="00EA79B1">
        <w:rPr>
          <w:rFonts w:eastAsia="Times New Roman" w:cstheme="minorHAnsi"/>
        </w:rPr>
        <w:t xml:space="preserve">actions </w:t>
      </w:r>
      <w:r w:rsidR="002B1181">
        <w:rPr>
          <w:rFonts w:eastAsia="Times New Roman" w:cstheme="minorHAnsi"/>
        </w:rPr>
        <w:t>have been</w:t>
      </w:r>
      <w:r w:rsidR="00E02F3B">
        <w:rPr>
          <w:rFonts w:eastAsia="Times New Roman" w:cstheme="minorHAnsi"/>
        </w:rPr>
        <w:t xml:space="preserve"> taken in the U.S. </w:t>
      </w:r>
      <w:r w:rsidR="00EA79B1">
        <w:rPr>
          <w:rFonts w:eastAsia="Times New Roman" w:cstheme="minorHAnsi"/>
        </w:rPr>
        <w:t xml:space="preserve"> </w:t>
      </w:r>
      <w:r w:rsidR="00A50FBE">
        <w:rPr>
          <w:rFonts w:eastAsia="Times New Roman" w:cstheme="minorHAnsi"/>
        </w:rPr>
        <w:t xml:space="preserve">The receptiveness of communities </w:t>
      </w:r>
      <w:r w:rsidR="00A50FBE">
        <w:rPr>
          <w:rFonts w:eastAsia="Times New Roman" w:cstheme="minorHAnsi"/>
        </w:rPr>
        <w:lastRenderedPageBreak/>
        <w:t xml:space="preserve">and </w:t>
      </w:r>
      <w:r w:rsidR="0089416D">
        <w:rPr>
          <w:rFonts w:eastAsia="Times New Roman" w:cstheme="minorHAnsi"/>
        </w:rPr>
        <w:t>individuals</w:t>
      </w:r>
      <w:r w:rsidR="00A50FBE">
        <w:rPr>
          <w:rFonts w:eastAsia="Times New Roman" w:cstheme="minorHAnsi"/>
        </w:rPr>
        <w:t xml:space="preserve"> to accept and adhere to </w:t>
      </w:r>
      <w:r w:rsidR="00E033B0">
        <w:rPr>
          <w:rFonts w:eastAsia="Times New Roman" w:cstheme="minorHAnsi"/>
        </w:rPr>
        <w:t>public health</w:t>
      </w:r>
      <w:r w:rsidR="0089416D">
        <w:rPr>
          <w:rFonts w:eastAsia="Times New Roman" w:cstheme="minorHAnsi"/>
        </w:rPr>
        <w:t xml:space="preserve"> measures</w:t>
      </w:r>
      <w:r w:rsidR="002F451D">
        <w:rPr>
          <w:rFonts w:eastAsia="Times New Roman" w:cstheme="minorHAnsi"/>
        </w:rPr>
        <w:t xml:space="preserve"> was generally</w:t>
      </w:r>
      <w:r w:rsidR="00F15AE6">
        <w:rPr>
          <w:rFonts w:eastAsia="Times New Roman" w:cstheme="minorHAnsi"/>
        </w:rPr>
        <w:t xml:space="preserve"> high</w:t>
      </w:r>
      <w:r w:rsidR="00313D04">
        <w:rPr>
          <w:rStyle w:val="FootnoteReference"/>
          <w:rFonts w:eastAsia="Times New Roman" w:cstheme="minorHAnsi"/>
        </w:rPr>
        <w:footnoteReference w:id="16"/>
      </w:r>
      <w:r w:rsidR="00F15AE6">
        <w:rPr>
          <w:rFonts w:eastAsia="Times New Roman" w:cstheme="minorHAnsi"/>
        </w:rPr>
        <w:t xml:space="preserve">, but </w:t>
      </w:r>
      <w:r w:rsidR="008805D0">
        <w:rPr>
          <w:rFonts w:eastAsia="Times New Roman" w:cstheme="minorHAnsi"/>
        </w:rPr>
        <w:t xml:space="preserve">there </w:t>
      </w:r>
      <w:r w:rsidR="008E40CC">
        <w:rPr>
          <w:rFonts w:eastAsia="Times New Roman" w:cstheme="minorHAnsi"/>
        </w:rPr>
        <w:t xml:space="preserve">were examples of </w:t>
      </w:r>
      <w:r w:rsidR="00EC684A">
        <w:rPr>
          <w:rFonts w:eastAsia="Times New Roman" w:cstheme="minorHAnsi"/>
        </w:rPr>
        <w:t xml:space="preserve">resistance </w:t>
      </w:r>
      <w:r w:rsidR="00313D04">
        <w:rPr>
          <w:rFonts w:eastAsia="Times New Roman" w:cstheme="minorHAnsi"/>
        </w:rPr>
        <w:t>to public health mitigation measures, too.</w:t>
      </w:r>
      <w:r w:rsidR="008D2408">
        <w:rPr>
          <w:rStyle w:val="FootnoteReference"/>
          <w:rFonts w:eastAsia="Times New Roman" w:cstheme="minorHAnsi"/>
        </w:rPr>
        <w:footnoteReference w:id="17"/>
      </w:r>
    </w:p>
    <w:p w14:paraId="7E02EA8D" w14:textId="15FDF695" w:rsidR="00DE2F44" w:rsidRDefault="005D2AB6" w:rsidP="00DE2F44">
      <w:pPr>
        <w:pStyle w:val="ListParagraph"/>
        <w:spacing w:line="360" w:lineRule="auto"/>
        <w:ind w:left="360"/>
        <w:textAlignment w:val="baseline"/>
        <w:rPr>
          <w:rFonts w:eastAsia="Times New Roman" w:cstheme="minorHAnsi"/>
        </w:rPr>
      </w:pPr>
      <w:r>
        <w:rPr>
          <w:rFonts w:eastAsia="Times New Roman" w:cstheme="minorHAnsi"/>
        </w:rPr>
        <w:t xml:space="preserve">  </w:t>
      </w:r>
    </w:p>
    <w:p w14:paraId="6C2E483E" w14:textId="7301B9F6" w:rsidR="00395940" w:rsidRDefault="00395940" w:rsidP="008C00A0">
      <w:pPr>
        <w:pStyle w:val="ListParagraph"/>
        <w:numPr>
          <w:ilvl w:val="0"/>
          <w:numId w:val="13"/>
        </w:numPr>
        <w:spacing w:line="360" w:lineRule="auto"/>
        <w:textAlignment w:val="baseline"/>
        <w:rPr>
          <w:rFonts w:eastAsia="Times New Roman" w:cstheme="minorHAnsi"/>
        </w:rPr>
      </w:pPr>
      <w:r w:rsidRPr="00CC6060">
        <w:rPr>
          <w:rFonts w:eastAsia="Times New Roman" w:cstheme="minorHAnsi"/>
          <w:b/>
          <w:bCs/>
        </w:rPr>
        <w:t>Legal Challenges</w:t>
      </w:r>
      <w:r w:rsidR="00816E2B" w:rsidRPr="00CC6060">
        <w:rPr>
          <w:rFonts w:eastAsia="Times New Roman" w:cstheme="minorHAnsi"/>
          <w:b/>
          <w:bCs/>
        </w:rPr>
        <w:t>—</w:t>
      </w:r>
      <w:r w:rsidR="009A1F43">
        <w:rPr>
          <w:rFonts w:eastAsia="Times New Roman" w:cstheme="minorHAnsi"/>
        </w:rPr>
        <w:t xml:space="preserve">Because COVID-19 pandemic was the first time that many of these </w:t>
      </w:r>
      <w:r w:rsidR="00126E65">
        <w:rPr>
          <w:rFonts w:eastAsia="Times New Roman" w:cstheme="minorHAnsi"/>
        </w:rPr>
        <w:t xml:space="preserve">emergency legal authorities were used so broadly, it also </w:t>
      </w:r>
      <w:r w:rsidR="00F90599">
        <w:rPr>
          <w:rFonts w:eastAsia="Times New Roman" w:cstheme="minorHAnsi"/>
        </w:rPr>
        <w:t xml:space="preserve">invited legal challenges to many aspects of the </w:t>
      </w:r>
      <w:r w:rsidR="000F6000">
        <w:rPr>
          <w:rFonts w:eastAsia="Times New Roman" w:cstheme="minorHAnsi"/>
        </w:rPr>
        <w:t>authorities and the measures instituted to address the pandemic.</w:t>
      </w:r>
      <w:r w:rsidR="00F62A73">
        <w:rPr>
          <w:rFonts w:eastAsia="Times New Roman" w:cstheme="minorHAnsi"/>
        </w:rPr>
        <w:t xml:space="preserve"> These challenges </w:t>
      </w:r>
      <w:r w:rsidR="002F3D7F">
        <w:rPr>
          <w:rFonts w:eastAsia="Times New Roman" w:cstheme="minorHAnsi"/>
        </w:rPr>
        <w:t>arose</w:t>
      </w:r>
      <w:r w:rsidR="00C57D38">
        <w:rPr>
          <w:rFonts w:eastAsia="Times New Roman" w:cstheme="minorHAnsi"/>
        </w:rPr>
        <w:t xml:space="preserve"> in multiple ways</w:t>
      </w:r>
      <w:r w:rsidR="00F5632B">
        <w:rPr>
          <w:rFonts w:eastAsia="Times New Roman" w:cstheme="minorHAnsi"/>
        </w:rPr>
        <w:t>, such as</w:t>
      </w:r>
      <w:r w:rsidR="009628EB">
        <w:rPr>
          <w:rFonts w:eastAsia="Times New Roman" w:cstheme="minorHAnsi"/>
        </w:rPr>
        <w:t xml:space="preserve">: private parties </w:t>
      </w:r>
      <w:r w:rsidR="001A05CC">
        <w:rPr>
          <w:rFonts w:eastAsia="Times New Roman" w:cstheme="minorHAnsi"/>
        </w:rPr>
        <w:t>against</w:t>
      </w:r>
      <w:r w:rsidR="009628EB">
        <w:rPr>
          <w:rFonts w:eastAsia="Times New Roman" w:cstheme="minorHAnsi"/>
        </w:rPr>
        <w:t xml:space="preserve"> governments; employees </w:t>
      </w:r>
      <w:r w:rsidR="007C4933">
        <w:rPr>
          <w:rFonts w:eastAsia="Times New Roman" w:cstheme="minorHAnsi"/>
        </w:rPr>
        <w:t>against</w:t>
      </w:r>
      <w:r w:rsidR="009628EB">
        <w:rPr>
          <w:rFonts w:eastAsia="Times New Roman" w:cstheme="minorHAnsi"/>
        </w:rPr>
        <w:t xml:space="preserve"> employers; states </w:t>
      </w:r>
      <w:r w:rsidR="0078630A">
        <w:rPr>
          <w:rFonts w:eastAsia="Times New Roman" w:cstheme="minorHAnsi"/>
        </w:rPr>
        <w:t>against</w:t>
      </w:r>
      <w:r w:rsidR="009628EB">
        <w:rPr>
          <w:rFonts w:eastAsia="Times New Roman" w:cstheme="minorHAnsi"/>
        </w:rPr>
        <w:t xml:space="preserve"> localities</w:t>
      </w:r>
      <w:r w:rsidR="0078630A">
        <w:rPr>
          <w:rFonts w:eastAsia="Times New Roman" w:cstheme="minorHAnsi"/>
        </w:rPr>
        <w:t xml:space="preserve">; localities against states; </w:t>
      </w:r>
      <w:r w:rsidR="00EC2210">
        <w:rPr>
          <w:rFonts w:eastAsia="Times New Roman" w:cstheme="minorHAnsi"/>
        </w:rPr>
        <w:t xml:space="preserve">tribes </w:t>
      </w:r>
      <w:r w:rsidR="00F5632B">
        <w:rPr>
          <w:rFonts w:eastAsia="Times New Roman" w:cstheme="minorHAnsi"/>
        </w:rPr>
        <w:t xml:space="preserve">against states; </w:t>
      </w:r>
      <w:r w:rsidR="0078630A">
        <w:rPr>
          <w:rFonts w:eastAsia="Times New Roman" w:cstheme="minorHAnsi"/>
        </w:rPr>
        <w:t>and the federal government against states.</w:t>
      </w:r>
      <w:r w:rsidR="00A55CCA">
        <w:rPr>
          <w:rStyle w:val="FootnoteReference"/>
          <w:rFonts w:eastAsia="Times New Roman" w:cstheme="minorHAnsi"/>
        </w:rPr>
        <w:footnoteReference w:id="18"/>
      </w:r>
      <w:r w:rsidR="0078630A">
        <w:rPr>
          <w:rFonts w:eastAsia="Times New Roman" w:cstheme="minorHAnsi"/>
        </w:rPr>
        <w:t xml:space="preserve"> </w:t>
      </w:r>
      <w:r w:rsidR="00C57D38">
        <w:rPr>
          <w:rFonts w:eastAsia="Times New Roman" w:cstheme="minorHAnsi"/>
        </w:rPr>
        <w:t xml:space="preserve">Legal issue </w:t>
      </w:r>
      <w:r w:rsidR="00A04964">
        <w:rPr>
          <w:rFonts w:eastAsia="Times New Roman" w:cstheme="minorHAnsi"/>
        </w:rPr>
        <w:t>challenged include</w:t>
      </w:r>
      <w:r w:rsidR="00AA147D">
        <w:rPr>
          <w:rFonts w:eastAsia="Times New Roman" w:cstheme="minorHAnsi"/>
        </w:rPr>
        <w:t>d:</w:t>
      </w:r>
    </w:p>
    <w:p w14:paraId="612DF850" w14:textId="24B33293" w:rsidR="00CC43BA" w:rsidRDefault="00AA147D" w:rsidP="00AA147D">
      <w:pPr>
        <w:pStyle w:val="ListParagraph"/>
        <w:numPr>
          <w:ilvl w:val="1"/>
          <w:numId w:val="13"/>
        </w:numPr>
        <w:spacing w:line="360" w:lineRule="auto"/>
        <w:textAlignment w:val="baseline"/>
        <w:rPr>
          <w:rFonts w:eastAsia="Times New Roman" w:cstheme="minorHAnsi"/>
        </w:rPr>
      </w:pPr>
      <w:r>
        <w:rPr>
          <w:rFonts w:eastAsia="Times New Roman" w:cstheme="minorHAnsi"/>
        </w:rPr>
        <w:t>Authority of governor</w:t>
      </w:r>
      <w:r w:rsidR="006745A5">
        <w:rPr>
          <w:rFonts w:eastAsia="Times New Roman" w:cstheme="minorHAnsi"/>
        </w:rPr>
        <w:t xml:space="preserve"> to declare emergency, to extend the emergency declaration, </w:t>
      </w:r>
      <w:r w:rsidR="00CC6060">
        <w:rPr>
          <w:rFonts w:eastAsia="Times New Roman" w:cstheme="minorHAnsi"/>
        </w:rPr>
        <w:t xml:space="preserve">and </w:t>
      </w:r>
      <w:r w:rsidR="006745A5">
        <w:rPr>
          <w:rFonts w:eastAsia="Times New Roman" w:cstheme="minorHAnsi"/>
        </w:rPr>
        <w:t>to take unilateral action without legislative</w:t>
      </w:r>
      <w:r w:rsidR="00CC43BA">
        <w:rPr>
          <w:rFonts w:eastAsia="Times New Roman" w:cstheme="minorHAnsi"/>
        </w:rPr>
        <w:t xml:space="preserve"> approval.</w:t>
      </w:r>
    </w:p>
    <w:p w14:paraId="674BD7AA" w14:textId="77777777" w:rsidR="00AD03AF" w:rsidRDefault="00CC43BA" w:rsidP="00AA147D">
      <w:pPr>
        <w:pStyle w:val="ListParagraph"/>
        <w:numPr>
          <w:ilvl w:val="1"/>
          <w:numId w:val="13"/>
        </w:numPr>
        <w:spacing w:line="360" w:lineRule="auto"/>
        <w:textAlignment w:val="baseline"/>
        <w:rPr>
          <w:rFonts w:eastAsia="Times New Roman" w:cstheme="minorHAnsi"/>
        </w:rPr>
      </w:pPr>
      <w:r>
        <w:rPr>
          <w:rFonts w:eastAsia="Times New Roman" w:cstheme="minorHAnsi"/>
        </w:rPr>
        <w:t xml:space="preserve">Authority of the </w:t>
      </w:r>
      <w:r w:rsidR="00AD03AF">
        <w:rPr>
          <w:rFonts w:eastAsia="Times New Roman" w:cstheme="minorHAnsi"/>
        </w:rPr>
        <w:t xml:space="preserve">governor, STLT </w:t>
      </w:r>
      <w:r>
        <w:rPr>
          <w:rFonts w:eastAsia="Times New Roman" w:cstheme="minorHAnsi"/>
        </w:rPr>
        <w:t>health officer</w:t>
      </w:r>
      <w:r w:rsidR="00AD03AF">
        <w:rPr>
          <w:rFonts w:eastAsia="Times New Roman" w:cstheme="minorHAnsi"/>
        </w:rPr>
        <w:t>, or other official</w:t>
      </w:r>
      <w:r>
        <w:rPr>
          <w:rFonts w:eastAsia="Times New Roman" w:cstheme="minorHAnsi"/>
        </w:rPr>
        <w:t xml:space="preserve"> to </w:t>
      </w:r>
      <w:r w:rsidR="00AD03AF">
        <w:rPr>
          <w:rFonts w:eastAsia="Times New Roman" w:cstheme="minorHAnsi"/>
        </w:rPr>
        <w:t>order closures or take other actions.</w:t>
      </w:r>
    </w:p>
    <w:p w14:paraId="17D05860" w14:textId="5D75F2B7" w:rsidR="009E59A8" w:rsidRDefault="00AD03AF" w:rsidP="00AA147D">
      <w:pPr>
        <w:pStyle w:val="ListParagraph"/>
        <w:numPr>
          <w:ilvl w:val="1"/>
          <w:numId w:val="13"/>
        </w:numPr>
        <w:spacing w:line="360" w:lineRule="auto"/>
        <w:textAlignment w:val="baseline"/>
        <w:rPr>
          <w:rFonts w:eastAsia="Times New Roman" w:cstheme="minorHAnsi"/>
        </w:rPr>
      </w:pPr>
      <w:r>
        <w:rPr>
          <w:rFonts w:eastAsia="Times New Roman" w:cstheme="minorHAnsi"/>
        </w:rPr>
        <w:t>Authority of localities to act</w:t>
      </w:r>
      <w:r w:rsidR="009E59A8">
        <w:rPr>
          <w:rFonts w:eastAsia="Times New Roman" w:cstheme="minorHAnsi"/>
        </w:rPr>
        <w:t xml:space="preserve"> in relation to the state government</w:t>
      </w:r>
      <w:r w:rsidR="00A04E3B">
        <w:rPr>
          <w:rFonts w:eastAsia="Times New Roman" w:cstheme="minorHAnsi"/>
        </w:rPr>
        <w:t xml:space="preserve"> (e.g., </w:t>
      </w:r>
      <w:r w:rsidR="00684D9B">
        <w:rPr>
          <w:rFonts w:eastAsia="Times New Roman" w:cstheme="minorHAnsi"/>
        </w:rPr>
        <w:t>school closures, mask mandates, limits on gatherings)</w:t>
      </w:r>
      <w:r w:rsidR="00491181">
        <w:rPr>
          <w:rFonts w:eastAsia="Times New Roman" w:cstheme="minorHAnsi"/>
        </w:rPr>
        <w:t>.</w:t>
      </w:r>
    </w:p>
    <w:p w14:paraId="126A10CB" w14:textId="02A3FA8B" w:rsidR="00AA147D" w:rsidRDefault="00E12434" w:rsidP="00AA147D">
      <w:pPr>
        <w:pStyle w:val="ListParagraph"/>
        <w:numPr>
          <w:ilvl w:val="1"/>
          <w:numId w:val="13"/>
        </w:numPr>
        <w:spacing w:line="360" w:lineRule="auto"/>
        <w:textAlignment w:val="baseline"/>
        <w:rPr>
          <w:rFonts w:eastAsia="Times New Roman" w:cstheme="minorHAnsi"/>
        </w:rPr>
      </w:pPr>
      <w:r>
        <w:rPr>
          <w:rFonts w:eastAsia="Times New Roman" w:cstheme="minorHAnsi"/>
        </w:rPr>
        <w:t xml:space="preserve">Limits on </w:t>
      </w:r>
      <w:r w:rsidR="0078630A">
        <w:rPr>
          <w:rFonts w:eastAsia="Times New Roman" w:cstheme="minorHAnsi"/>
        </w:rPr>
        <w:t xml:space="preserve">speech and </w:t>
      </w:r>
      <w:r w:rsidR="00A04E3B">
        <w:rPr>
          <w:rFonts w:eastAsia="Times New Roman" w:cstheme="minorHAnsi"/>
        </w:rPr>
        <w:t>assembly (e.g., places of worship</w:t>
      </w:r>
      <w:r w:rsidR="00684D9B">
        <w:rPr>
          <w:rFonts w:eastAsia="Times New Roman" w:cstheme="minorHAnsi"/>
        </w:rPr>
        <w:t xml:space="preserve">, </w:t>
      </w:r>
      <w:r w:rsidR="0078630A">
        <w:rPr>
          <w:rFonts w:eastAsia="Times New Roman" w:cstheme="minorHAnsi"/>
        </w:rPr>
        <w:t>rallies</w:t>
      </w:r>
      <w:r w:rsidR="00491181">
        <w:rPr>
          <w:rFonts w:eastAsia="Times New Roman" w:cstheme="minorHAnsi"/>
        </w:rPr>
        <w:t>/protests)</w:t>
      </w:r>
    </w:p>
    <w:p w14:paraId="28AB6F4D" w14:textId="4146B0DC" w:rsidR="00491181" w:rsidRDefault="00491181" w:rsidP="00AA147D">
      <w:pPr>
        <w:pStyle w:val="ListParagraph"/>
        <w:numPr>
          <w:ilvl w:val="1"/>
          <w:numId w:val="13"/>
        </w:numPr>
        <w:spacing w:line="360" w:lineRule="auto"/>
        <w:textAlignment w:val="baseline"/>
        <w:rPr>
          <w:rFonts w:eastAsia="Times New Roman" w:cstheme="minorHAnsi"/>
        </w:rPr>
      </w:pPr>
      <w:r>
        <w:rPr>
          <w:rFonts w:eastAsia="Times New Roman" w:cstheme="minorHAnsi"/>
        </w:rPr>
        <w:t>Closure of non-essential business and phasing/pace of re-opening</w:t>
      </w:r>
    </w:p>
    <w:p w14:paraId="4FFBB579" w14:textId="1AAE690C" w:rsidR="007C4933" w:rsidRDefault="007C4933" w:rsidP="00AA147D">
      <w:pPr>
        <w:pStyle w:val="ListParagraph"/>
        <w:numPr>
          <w:ilvl w:val="1"/>
          <w:numId w:val="13"/>
        </w:numPr>
        <w:spacing w:line="360" w:lineRule="auto"/>
        <w:textAlignment w:val="baseline"/>
        <w:rPr>
          <w:rFonts w:eastAsia="Times New Roman" w:cstheme="minorHAnsi"/>
        </w:rPr>
      </w:pPr>
      <w:r>
        <w:rPr>
          <w:rFonts w:eastAsia="Times New Roman" w:cstheme="minorHAnsi"/>
        </w:rPr>
        <w:t>Protection of employees in essential businesses and in businesses re-opening</w:t>
      </w:r>
    </w:p>
    <w:p w14:paraId="7DE880D3" w14:textId="4833993F" w:rsidR="00DA3037" w:rsidRPr="008C00A0" w:rsidRDefault="00DA3037" w:rsidP="00AA147D">
      <w:pPr>
        <w:pStyle w:val="ListParagraph"/>
        <w:numPr>
          <w:ilvl w:val="1"/>
          <w:numId w:val="13"/>
        </w:numPr>
        <w:spacing w:line="360" w:lineRule="auto"/>
        <w:textAlignment w:val="baseline"/>
        <w:rPr>
          <w:rFonts w:eastAsia="Times New Roman" w:cstheme="minorHAnsi"/>
        </w:rPr>
      </w:pPr>
      <w:r>
        <w:rPr>
          <w:rFonts w:eastAsia="Times New Roman" w:cstheme="minorHAnsi"/>
        </w:rPr>
        <w:t>Travel restrictions and curfews</w:t>
      </w:r>
    </w:p>
    <w:p w14:paraId="5A98E609" w14:textId="77777777" w:rsidR="00543256" w:rsidRDefault="00543256" w:rsidP="00272016">
      <w:pPr>
        <w:spacing w:line="360" w:lineRule="auto"/>
        <w:textAlignment w:val="baseline"/>
        <w:rPr>
          <w:rFonts w:eastAsia="Times New Roman" w:cstheme="minorHAnsi"/>
        </w:rPr>
      </w:pPr>
    </w:p>
    <w:p w14:paraId="3B74A6BD" w14:textId="77777777" w:rsidR="00527530" w:rsidRPr="00C40C50" w:rsidRDefault="002508FD" w:rsidP="00527530">
      <w:pPr>
        <w:spacing w:line="360" w:lineRule="auto"/>
        <w:rPr>
          <w:rFonts w:eastAsia="Times New Roman" w:cstheme="minorHAnsi"/>
          <w:b/>
          <w:bCs/>
          <w:color w:val="000000" w:themeColor="text1"/>
          <w:sz w:val="24"/>
          <w:szCs w:val="24"/>
        </w:rPr>
      </w:pPr>
      <w:r w:rsidRPr="00C40C50">
        <w:rPr>
          <w:rFonts w:eastAsia="Times New Roman" w:cstheme="minorHAnsi"/>
          <w:b/>
          <w:bCs/>
          <w:color w:val="000000" w:themeColor="text1"/>
          <w:sz w:val="24"/>
          <w:szCs w:val="24"/>
        </w:rPr>
        <w:t>Federal Emergency Declarations and Authorities</w:t>
      </w:r>
    </w:p>
    <w:p w14:paraId="1B22C7AB" w14:textId="32D1B469" w:rsidR="002508FD" w:rsidRPr="00527530" w:rsidRDefault="002508FD" w:rsidP="00527530">
      <w:pPr>
        <w:spacing w:line="360" w:lineRule="auto"/>
        <w:rPr>
          <w:rFonts w:eastAsia="Times New Roman" w:cstheme="minorHAnsi"/>
          <w:b/>
          <w:bCs/>
          <w:color w:val="3C3030"/>
          <w:sz w:val="24"/>
          <w:szCs w:val="24"/>
        </w:rPr>
      </w:pPr>
      <w:r>
        <w:rPr>
          <w:rFonts w:eastAsia="Times New Roman" w:cstheme="minorHAnsi"/>
        </w:rPr>
        <w:t xml:space="preserve">As with </w:t>
      </w:r>
      <w:r w:rsidR="00B80EB8">
        <w:rPr>
          <w:rFonts w:eastAsia="Times New Roman" w:cstheme="minorHAnsi"/>
        </w:rPr>
        <w:t>STLT</w:t>
      </w:r>
      <w:r w:rsidR="00EF2441">
        <w:rPr>
          <w:rFonts w:eastAsia="Times New Roman" w:cstheme="minorHAnsi"/>
        </w:rPr>
        <w:t xml:space="preserve"> law</w:t>
      </w:r>
      <w:r>
        <w:rPr>
          <w:rFonts w:eastAsia="Times New Roman" w:cstheme="minorHAnsi"/>
        </w:rPr>
        <w:t xml:space="preserve">, federal law imbues designated federal officials with broad powers that allow them to respond to and assist </w:t>
      </w:r>
      <w:r w:rsidR="00AB22AE">
        <w:rPr>
          <w:rFonts w:eastAsia="Times New Roman" w:cstheme="minorHAnsi"/>
        </w:rPr>
        <w:t>jurisdictions</w:t>
      </w:r>
      <w:r>
        <w:rPr>
          <w:rFonts w:eastAsia="Times New Roman" w:cstheme="minorHAnsi"/>
        </w:rPr>
        <w:t xml:space="preserve"> in responding to emergencies even without a federal emergency declaration. Thus, the </w:t>
      </w:r>
      <w:r w:rsidR="00D34B3C">
        <w:rPr>
          <w:rFonts w:eastAsia="Times New Roman" w:cstheme="minorHAnsi"/>
        </w:rPr>
        <w:t>S</w:t>
      </w:r>
      <w:r>
        <w:rPr>
          <w:rFonts w:eastAsia="Times New Roman" w:cstheme="minorHAnsi"/>
        </w:rPr>
        <w:t xml:space="preserve">ecretary of Health and Human Services (HHS) has broad authority under </w:t>
      </w:r>
      <w:r w:rsidR="00D34B3C">
        <w:rPr>
          <w:rFonts w:eastAsia="Times New Roman" w:cstheme="minorHAnsi"/>
        </w:rPr>
        <w:t>s</w:t>
      </w:r>
      <w:r>
        <w:rPr>
          <w:rFonts w:eastAsia="Times New Roman" w:cstheme="minorHAnsi"/>
        </w:rPr>
        <w:t xml:space="preserve">ections </w:t>
      </w:r>
      <w:r>
        <w:rPr>
          <w:rFonts w:eastAsia="Times New Roman" w:cstheme="minorHAnsi"/>
        </w:rPr>
        <w:lastRenderedPageBreak/>
        <w:t>301 and 311 of the Public Health Service Act to provide assistance to states and localities.</w:t>
      </w:r>
      <w:r w:rsidR="002527B9">
        <w:rPr>
          <w:rStyle w:val="FootnoteReference"/>
          <w:rFonts w:eastAsia="Times New Roman" w:cstheme="minorHAnsi"/>
        </w:rPr>
        <w:footnoteReference w:id="19"/>
      </w:r>
      <w:r w:rsidR="007136EA">
        <w:rPr>
          <w:rFonts w:eastAsia="Times New Roman" w:cstheme="minorHAnsi"/>
        </w:rPr>
        <w:t xml:space="preserve"> </w:t>
      </w:r>
      <w:r>
        <w:rPr>
          <w:rFonts w:eastAsia="Times New Roman" w:cstheme="minorHAnsi"/>
        </w:rPr>
        <w:t>Federal law also provides the president and other federal officials with authority to declare emergencies under specified conditions. Some of these federal authorities relevant to the public health context include</w:t>
      </w:r>
      <w:r w:rsidR="007474A5">
        <w:rPr>
          <w:rStyle w:val="FootnoteReference"/>
          <w:rFonts w:eastAsia="Times New Roman" w:cstheme="minorHAnsi"/>
        </w:rPr>
        <w:footnoteReference w:id="20"/>
      </w:r>
      <w:r>
        <w:rPr>
          <w:rFonts w:eastAsia="Times New Roman" w:cstheme="minorHAnsi"/>
        </w:rPr>
        <w:t>:</w:t>
      </w:r>
    </w:p>
    <w:p w14:paraId="2052BD79" w14:textId="34C7B952" w:rsidR="002508FD" w:rsidRPr="008A4C13" w:rsidRDefault="002508FD" w:rsidP="00272016">
      <w:pPr>
        <w:pStyle w:val="ListParagraph"/>
        <w:numPr>
          <w:ilvl w:val="0"/>
          <w:numId w:val="2"/>
        </w:numPr>
        <w:spacing w:after="120" w:line="360" w:lineRule="auto"/>
        <w:textAlignment w:val="baseline"/>
        <w:rPr>
          <w:rFonts w:eastAsia="Times New Roman" w:cstheme="minorHAnsi"/>
        </w:rPr>
      </w:pPr>
      <w:r w:rsidRPr="008A4C13">
        <w:rPr>
          <w:rFonts w:eastAsia="Times New Roman" w:cstheme="minorHAnsi"/>
        </w:rPr>
        <w:t>President—</w:t>
      </w:r>
      <w:r w:rsidRPr="008A4C13">
        <w:rPr>
          <w:rFonts w:eastAsia="Times New Roman" w:cstheme="minorHAnsi"/>
          <w:bdr w:val="none" w:sz="0" w:space="0" w:color="auto" w:frame="1"/>
        </w:rPr>
        <w:t>Stafford Act</w:t>
      </w:r>
      <w:r w:rsidR="008A4C13">
        <w:rPr>
          <w:rFonts w:eastAsia="Times New Roman" w:cstheme="minorHAnsi"/>
          <w:bdr w:val="none" w:sz="0" w:space="0" w:color="auto" w:frame="1"/>
        </w:rPr>
        <w:t xml:space="preserve"> </w:t>
      </w:r>
      <w:r w:rsidRPr="008A4C13">
        <w:rPr>
          <w:rFonts w:eastAsia="Times New Roman" w:cstheme="minorHAnsi"/>
        </w:rPr>
        <w:t>and the</w:t>
      </w:r>
      <w:r w:rsidR="008A4C13">
        <w:rPr>
          <w:rFonts w:eastAsia="Times New Roman" w:cstheme="minorHAnsi"/>
        </w:rPr>
        <w:t xml:space="preserve"> </w:t>
      </w:r>
      <w:r w:rsidRPr="008A4C13">
        <w:rPr>
          <w:rFonts w:eastAsia="Times New Roman" w:cstheme="minorHAnsi"/>
          <w:bdr w:val="none" w:sz="0" w:space="0" w:color="auto" w:frame="1"/>
        </w:rPr>
        <w:t>National Emergencies Act</w:t>
      </w:r>
      <w:r w:rsidRPr="008A4C13">
        <w:rPr>
          <w:rFonts w:eastAsia="Times New Roman" w:cstheme="minorHAnsi"/>
        </w:rPr>
        <w:t>.</w:t>
      </w:r>
    </w:p>
    <w:p w14:paraId="213B86FA" w14:textId="6B837E69" w:rsidR="002508FD" w:rsidRPr="008A4C13" w:rsidRDefault="002508FD" w:rsidP="00272016">
      <w:pPr>
        <w:pStyle w:val="ListParagraph"/>
        <w:numPr>
          <w:ilvl w:val="0"/>
          <w:numId w:val="2"/>
        </w:numPr>
        <w:spacing w:after="120" w:line="360" w:lineRule="auto"/>
        <w:textAlignment w:val="baseline"/>
        <w:rPr>
          <w:rFonts w:eastAsia="Times New Roman" w:cstheme="minorHAnsi"/>
        </w:rPr>
      </w:pPr>
      <w:r w:rsidRPr="008A4C13">
        <w:rPr>
          <w:rFonts w:eastAsia="Times New Roman" w:cstheme="minorHAnsi"/>
        </w:rPr>
        <w:t>HHS Secretary—</w:t>
      </w:r>
      <w:r w:rsidRPr="008A4C13">
        <w:rPr>
          <w:rFonts w:eastAsia="Times New Roman" w:cstheme="minorHAnsi"/>
          <w:bdr w:val="none" w:sz="0" w:space="0" w:color="auto" w:frame="1"/>
        </w:rPr>
        <w:t>Public Health Service Act Section 319</w:t>
      </w:r>
      <w:r w:rsidR="008A4C13">
        <w:rPr>
          <w:rFonts w:eastAsia="Times New Roman" w:cstheme="minorHAnsi"/>
          <w:bdr w:val="none" w:sz="0" w:space="0" w:color="auto" w:frame="1"/>
        </w:rPr>
        <w:t xml:space="preserve"> </w:t>
      </w:r>
      <w:r w:rsidRPr="008A4C13">
        <w:rPr>
          <w:rFonts w:eastAsia="Times New Roman" w:cstheme="minorHAnsi"/>
        </w:rPr>
        <w:t>and</w:t>
      </w:r>
      <w:r w:rsidR="008A4C13">
        <w:rPr>
          <w:rFonts w:eastAsia="Times New Roman" w:cstheme="minorHAnsi"/>
        </w:rPr>
        <w:t xml:space="preserve"> </w:t>
      </w:r>
      <w:r w:rsidRPr="008A4C13">
        <w:rPr>
          <w:rFonts w:eastAsia="Times New Roman" w:cstheme="minorHAnsi"/>
          <w:bdr w:val="none" w:sz="0" w:space="0" w:color="auto" w:frame="1"/>
        </w:rPr>
        <w:t>Social Security Act Section 1135</w:t>
      </w:r>
      <w:r w:rsidRPr="008A4C13">
        <w:rPr>
          <w:rFonts w:eastAsia="Times New Roman" w:cstheme="minorHAnsi"/>
        </w:rPr>
        <w:t>.</w:t>
      </w:r>
    </w:p>
    <w:p w14:paraId="03B5EB42" w14:textId="77777777" w:rsidR="002508FD" w:rsidRDefault="002508FD" w:rsidP="00272016">
      <w:pPr>
        <w:spacing w:line="360" w:lineRule="auto"/>
        <w:textAlignment w:val="baseline"/>
        <w:rPr>
          <w:rFonts w:eastAsia="Times New Roman" w:cstheme="minorHAnsi"/>
        </w:rPr>
      </w:pPr>
    </w:p>
    <w:p w14:paraId="6D38E67D" w14:textId="77777777" w:rsidR="00527530" w:rsidRDefault="002508FD" w:rsidP="00741ABA">
      <w:pPr>
        <w:keepNext/>
        <w:keepLines/>
        <w:spacing w:line="360" w:lineRule="auto"/>
        <w:rPr>
          <w:rFonts w:eastAsia="Times New Roman" w:cstheme="minorHAnsi"/>
          <w:b/>
          <w:bCs/>
        </w:rPr>
      </w:pPr>
      <w:r>
        <w:rPr>
          <w:rFonts w:eastAsia="Times New Roman" w:cstheme="minorHAnsi"/>
          <w:b/>
          <w:bCs/>
        </w:rPr>
        <w:t xml:space="preserve">Actions and Authorities </w:t>
      </w:r>
      <w:r w:rsidR="002F2BAB">
        <w:rPr>
          <w:rFonts w:eastAsia="Times New Roman" w:cstheme="minorHAnsi"/>
          <w:b/>
          <w:bCs/>
        </w:rPr>
        <w:t>Initiated</w:t>
      </w:r>
      <w:r>
        <w:rPr>
          <w:rFonts w:eastAsia="Times New Roman" w:cstheme="minorHAnsi"/>
          <w:b/>
          <w:bCs/>
        </w:rPr>
        <w:t xml:space="preserve"> by Federal Emergency Declarations</w:t>
      </w:r>
    </w:p>
    <w:p w14:paraId="589622E2" w14:textId="3517CDA4" w:rsidR="002508FD" w:rsidRPr="00527530" w:rsidRDefault="002508FD" w:rsidP="00934792">
      <w:pPr>
        <w:spacing w:after="120" w:line="360" w:lineRule="auto"/>
        <w:rPr>
          <w:rFonts w:eastAsia="Times New Roman" w:cstheme="minorHAnsi"/>
          <w:b/>
          <w:bCs/>
        </w:rPr>
      </w:pPr>
      <w:r w:rsidRPr="002F2BAB">
        <w:rPr>
          <w:rFonts w:eastAsia="Times New Roman" w:cstheme="minorHAnsi"/>
        </w:rPr>
        <w:t>Federal emergency declarations activate legal and programmatic responses from federal agencies including:</w:t>
      </w:r>
    </w:p>
    <w:p w14:paraId="12C5188A" w14:textId="7E35763B" w:rsidR="002508FD" w:rsidRDefault="008001F9" w:rsidP="00934792">
      <w:pPr>
        <w:numPr>
          <w:ilvl w:val="0"/>
          <w:numId w:val="3"/>
        </w:numPr>
        <w:spacing w:after="120" w:line="360" w:lineRule="auto"/>
        <w:textAlignment w:val="baseline"/>
        <w:rPr>
          <w:rFonts w:eastAsia="Times New Roman" w:cstheme="minorHAnsi"/>
        </w:rPr>
      </w:pPr>
      <w:r>
        <w:rPr>
          <w:rFonts w:eastAsia="Times New Roman" w:cstheme="minorHAnsi"/>
        </w:rPr>
        <w:t>Initiating</w:t>
      </w:r>
      <w:r w:rsidR="002508FD">
        <w:rPr>
          <w:rFonts w:eastAsia="Times New Roman" w:cstheme="minorHAnsi"/>
        </w:rPr>
        <w:t xml:space="preserve"> federal assistance to </w:t>
      </w:r>
      <w:r>
        <w:rPr>
          <w:rFonts w:eastAsia="Times New Roman" w:cstheme="minorHAnsi"/>
          <w:szCs w:val="20"/>
        </w:rPr>
        <w:t>STLT</w:t>
      </w:r>
      <w:r w:rsidR="002508FD">
        <w:rPr>
          <w:rFonts w:eastAsia="Times New Roman" w:cstheme="minorHAnsi"/>
          <w:szCs w:val="20"/>
        </w:rPr>
        <w:t xml:space="preserve"> governments</w:t>
      </w:r>
      <w:r w:rsidR="002508FD">
        <w:rPr>
          <w:rFonts w:eastAsia="Times New Roman" w:cstheme="minorHAnsi"/>
        </w:rPr>
        <w:t xml:space="preserve"> in the form of financial, personnel, services, logistical, and technical assistance.</w:t>
      </w:r>
    </w:p>
    <w:p w14:paraId="2E4B10D8" w14:textId="57B3F577" w:rsidR="002508FD" w:rsidRDefault="008001F9" w:rsidP="00934792">
      <w:pPr>
        <w:numPr>
          <w:ilvl w:val="0"/>
          <w:numId w:val="3"/>
        </w:numPr>
        <w:spacing w:after="120" w:line="360" w:lineRule="auto"/>
        <w:textAlignment w:val="baseline"/>
        <w:rPr>
          <w:rFonts w:eastAsia="Times New Roman" w:cstheme="minorHAnsi"/>
        </w:rPr>
      </w:pPr>
      <w:r>
        <w:rPr>
          <w:rFonts w:eastAsia="Times New Roman" w:cstheme="minorHAnsi"/>
        </w:rPr>
        <w:t>Activating</w:t>
      </w:r>
      <w:r w:rsidR="002508FD">
        <w:rPr>
          <w:rFonts w:eastAsia="Times New Roman" w:cstheme="minorHAnsi"/>
        </w:rPr>
        <w:t xml:space="preserve"> emergency provisions in other laws including Social Security Act Section 1135 waivers and statutory immunities and liability protections, such as the</w:t>
      </w:r>
      <w:r w:rsidR="00880B62">
        <w:rPr>
          <w:rFonts w:eastAsia="Times New Roman" w:cstheme="minorHAnsi"/>
        </w:rPr>
        <w:t xml:space="preserve"> </w:t>
      </w:r>
      <w:r w:rsidR="002508FD" w:rsidRPr="00880B62">
        <w:rPr>
          <w:rFonts w:eastAsia="Times New Roman" w:cstheme="minorHAnsi"/>
          <w:bdr w:val="none" w:sz="0" w:space="0" w:color="auto" w:frame="1"/>
        </w:rPr>
        <w:t>Public Readiness and Emergency Preparedness Act (PREP Act)</w:t>
      </w:r>
      <w:r w:rsidR="002508FD">
        <w:rPr>
          <w:rFonts w:eastAsia="Times New Roman" w:cstheme="minorHAnsi"/>
          <w:color w:val="737373"/>
        </w:rPr>
        <w:t>.</w:t>
      </w:r>
      <w:r w:rsidR="006643AF">
        <w:rPr>
          <w:rStyle w:val="FootnoteReference"/>
          <w:rFonts w:eastAsia="Times New Roman" w:cstheme="minorHAnsi"/>
          <w:color w:val="737373"/>
        </w:rPr>
        <w:footnoteReference w:id="21"/>
      </w:r>
    </w:p>
    <w:p w14:paraId="10D1F67A" w14:textId="50A73E75" w:rsidR="002508FD" w:rsidRDefault="002508FD" w:rsidP="00934792">
      <w:pPr>
        <w:numPr>
          <w:ilvl w:val="0"/>
          <w:numId w:val="3"/>
        </w:numPr>
        <w:spacing w:after="120" w:line="360" w:lineRule="auto"/>
        <w:textAlignment w:val="baseline"/>
        <w:rPr>
          <w:rFonts w:eastAsia="Times New Roman" w:cstheme="minorHAnsi"/>
        </w:rPr>
      </w:pPr>
      <w:r>
        <w:rPr>
          <w:rFonts w:eastAsia="Times New Roman" w:cstheme="minorHAnsi"/>
        </w:rPr>
        <w:t xml:space="preserve">Easing regulatory requirements on individuals, organizations, and </w:t>
      </w:r>
      <w:r w:rsidR="00F73837">
        <w:rPr>
          <w:rFonts w:eastAsia="Times New Roman" w:cstheme="minorHAnsi"/>
        </w:rPr>
        <w:t>state,</w:t>
      </w:r>
      <w:r w:rsidR="00EF6807">
        <w:rPr>
          <w:rFonts w:eastAsia="Times New Roman" w:cstheme="minorHAnsi"/>
        </w:rPr>
        <w:t xml:space="preserve"> territorial, and local</w:t>
      </w:r>
      <w:r>
        <w:rPr>
          <w:rFonts w:eastAsia="Times New Roman" w:cstheme="minorHAnsi"/>
        </w:rPr>
        <w:t xml:space="preserve"> governments.</w:t>
      </w:r>
    </w:p>
    <w:p w14:paraId="61E96F26" w14:textId="2E3F4C83" w:rsidR="002508FD" w:rsidRDefault="002508FD" w:rsidP="00934792">
      <w:pPr>
        <w:numPr>
          <w:ilvl w:val="0"/>
          <w:numId w:val="3"/>
        </w:numPr>
        <w:spacing w:line="360" w:lineRule="auto"/>
        <w:textAlignment w:val="baseline"/>
        <w:rPr>
          <w:rFonts w:eastAsia="Times New Roman" w:cstheme="minorHAnsi"/>
        </w:rPr>
      </w:pPr>
      <w:r>
        <w:rPr>
          <w:rFonts w:eastAsia="Times New Roman" w:cstheme="minorHAnsi"/>
        </w:rPr>
        <w:t>Activating the</w:t>
      </w:r>
      <w:r w:rsidR="00880B62">
        <w:rPr>
          <w:rFonts w:eastAsia="Times New Roman" w:cstheme="minorHAnsi"/>
        </w:rPr>
        <w:t xml:space="preserve"> </w:t>
      </w:r>
      <w:r w:rsidRPr="00880B62">
        <w:rPr>
          <w:rFonts w:eastAsia="Times New Roman" w:cstheme="minorHAnsi"/>
          <w:bdr w:val="none" w:sz="0" w:space="0" w:color="auto" w:frame="1"/>
        </w:rPr>
        <w:t>National Response Framework</w:t>
      </w:r>
      <w:r w:rsidR="00880B62" w:rsidRPr="00880B62">
        <w:rPr>
          <w:rFonts w:eastAsia="Times New Roman" w:cstheme="minorHAnsi"/>
        </w:rPr>
        <w:t xml:space="preserve">, </w:t>
      </w:r>
      <w:r w:rsidRPr="00880B62">
        <w:rPr>
          <w:rFonts w:eastAsia="Times New Roman" w:cstheme="minorHAnsi"/>
          <w:bdr w:val="none" w:sz="0" w:space="0" w:color="auto" w:frame="1"/>
        </w:rPr>
        <w:t>National Incident Management System</w:t>
      </w:r>
      <w:r>
        <w:rPr>
          <w:rFonts w:eastAsia="Times New Roman" w:cstheme="minorHAnsi"/>
        </w:rPr>
        <w:t>,</w:t>
      </w:r>
      <w:r>
        <w:rPr>
          <w:rFonts w:eastAsia="Times New Roman" w:cstheme="minorHAnsi"/>
          <w:color w:val="737373"/>
        </w:rPr>
        <w:t xml:space="preserve"> </w:t>
      </w:r>
      <w:r>
        <w:rPr>
          <w:rFonts w:eastAsia="Times New Roman" w:cstheme="minorHAnsi"/>
        </w:rPr>
        <w:t>and other emergency response protocols and systems.</w:t>
      </w:r>
    </w:p>
    <w:p w14:paraId="5359F3EC" w14:textId="376D3046" w:rsidR="002508FD" w:rsidRDefault="002508FD" w:rsidP="00934792">
      <w:pPr>
        <w:spacing w:line="360" w:lineRule="auto"/>
        <w:textAlignment w:val="baseline"/>
        <w:rPr>
          <w:rFonts w:eastAsia="Times New Roman" w:cstheme="minorHAnsi"/>
        </w:rPr>
      </w:pPr>
    </w:p>
    <w:p w14:paraId="6418E850" w14:textId="11845C93" w:rsidR="0095348E" w:rsidRPr="00763278" w:rsidRDefault="0095348E" w:rsidP="0095348E">
      <w:pPr>
        <w:spacing w:line="360" w:lineRule="auto"/>
        <w:textAlignment w:val="baseline"/>
        <w:rPr>
          <w:rFonts w:eastAsia="Times New Roman" w:cstheme="minorHAnsi"/>
          <w:b/>
          <w:bCs/>
        </w:rPr>
      </w:pPr>
      <w:r>
        <w:rPr>
          <w:rFonts w:eastAsia="Times New Roman" w:cstheme="minorHAnsi"/>
          <w:b/>
          <w:bCs/>
        </w:rPr>
        <w:t>Federal</w:t>
      </w:r>
      <w:r w:rsidRPr="00763278">
        <w:rPr>
          <w:rFonts w:eastAsia="Times New Roman" w:cstheme="minorHAnsi"/>
          <w:b/>
          <w:bCs/>
        </w:rPr>
        <w:t xml:space="preserve"> Emergency Declarations and Authorities during the COVID-19 Pandemic </w:t>
      </w:r>
    </w:p>
    <w:p w14:paraId="72E1D0B5" w14:textId="0297879A" w:rsidR="00056BB4" w:rsidRDefault="00C66D46" w:rsidP="00BE1236">
      <w:pPr>
        <w:spacing w:after="120" w:line="360" w:lineRule="auto"/>
        <w:textAlignment w:val="baseline"/>
        <w:rPr>
          <w:rFonts w:eastAsia="Times New Roman" w:cstheme="minorHAnsi"/>
        </w:rPr>
      </w:pPr>
      <w:r>
        <w:rPr>
          <w:rFonts w:eastAsia="Times New Roman" w:cstheme="minorHAnsi"/>
        </w:rPr>
        <w:t xml:space="preserve">In response to COVID-19, the federal government used </w:t>
      </w:r>
      <w:r w:rsidR="00580903">
        <w:rPr>
          <w:rFonts w:eastAsia="Times New Roman" w:cstheme="minorHAnsi"/>
        </w:rPr>
        <w:t>multiple legal authorities to</w:t>
      </w:r>
      <w:r w:rsidR="00C36B06">
        <w:rPr>
          <w:rFonts w:eastAsia="Times New Roman" w:cstheme="minorHAnsi"/>
        </w:rPr>
        <w:t xml:space="preserve"> declare the pandemic an emergency, to </w:t>
      </w:r>
      <w:r w:rsidR="008413F1">
        <w:rPr>
          <w:rFonts w:eastAsia="Times New Roman" w:cstheme="minorHAnsi"/>
        </w:rPr>
        <w:t xml:space="preserve">waive certain legal requirements, and to limit the transmission of the </w:t>
      </w:r>
      <w:r w:rsidR="00945048">
        <w:rPr>
          <w:rFonts w:eastAsia="Times New Roman" w:cstheme="minorHAnsi"/>
        </w:rPr>
        <w:t>disease. These actions included:</w:t>
      </w:r>
    </w:p>
    <w:p w14:paraId="0A39DCC4" w14:textId="3563BE87" w:rsidR="00055AB1" w:rsidRDefault="00055AB1" w:rsidP="00055AB1">
      <w:pPr>
        <w:pStyle w:val="ListParagraph"/>
        <w:numPr>
          <w:ilvl w:val="0"/>
          <w:numId w:val="14"/>
        </w:numPr>
        <w:spacing w:after="120" w:line="360" w:lineRule="auto"/>
        <w:textAlignment w:val="baseline"/>
        <w:rPr>
          <w:rFonts w:eastAsia="Times New Roman" w:cstheme="minorHAnsi"/>
        </w:rPr>
      </w:pPr>
      <w:r w:rsidRPr="00BE1236">
        <w:rPr>
          <w:rFonts w:eastAsia="Times New Roman" w:cstheme="minorHAnsi"/>
          <w:b/>
          <w:bCs/>
        </w:rPr>
        <w:t>Emergency Declarations/Determinations—</w:t>
      </w:r>
      <w:r w:rsidR="00751BBE">
        <w:rPr>
          <w:rFonts w:eastAsia="Times New Roman" w:cstheme="minorHAnsi"/>
        </w:rPr>
        <w:t xml:space="preserve">The president and/or HHS Secretary </w:t>
      </w:r>
      <w:r w:rsidR="00E05E2D">
        <w:rPr>
          <w:rFonts w:eastAsia="Times New Roman" w:cstheme="minorHAnsi"/>
        </w:rPr>
        <w:t xml:space="preserve">issued the following emergency declarations/determinations for COVID-19: </w:t>
      </w:r>
      <w:r w:rsidR="006F668C">
        <w:rPr>
          <w:rFonts w:eastAsia="Times New Roman" w:cstheme="minorHAnsi"/>
        </w:rPr>
        <w:t xml:space="preserve">HHS public health emergency under </w:t>
      </w:r>
      <w:r w:rsidR="00AA76A9">
        <w:rPr>
          <w:rFonts w:eastAsia="Times New Roman" w:cstheme="minorHAnsi"/>
        </w:rPr>
        <w:t xml:space="preserve">section </w:t>
      </w:r>
      <w:r w:rsidR="00AA76A9">
        <w:rPr>
          <w:rFonts w:eastAsia="Times New Roman" w:cstheme="minorHAnsi"/>
        </w:rPr>
        <w:lastRenderedPageBreak/>
        <w:t xml:space="preserve">319 of </w:t>
      </w:r>
      <w:r w:rsidR="006F668C">
        <w:rPr>
          <w:rFonts w:eastAsia="Times New Roman" w:cstheme="minorHAnsi"/>
        </w:rPr>
        <w:t>the Public Health Service Act</w:t>
      </w:r>
      <w:r w:rsidR="005711B9">
        <w:rPr>
          <w:rStyle w:val="FootnoteReference"/>
          <w:rFonts w:eastAsia="Times New Roman" w:cstheme="minorHAnsi"/>
        </w:rPr>
        <w:footnoteReference w:id="22"/>
      </w:r>
      <w:r w:rsidR="006F668C">
        <w:rPr>
          <w:rFonts w:eastAsia="Times New Roman" w:cstheme="minorHAnsi"/>
        </w:rPr>
        <w:t xml:space="preserve">; </w:t>
      </w:r>
      <w:r w:rsidR="006422D6">
        <w:rPr>
          <w:rFonts w:eastAsia="Times New Roman" w:cstheme="minorHAnsi"/>
        </w:rPr>
        <w:t>HHS emergency declaration under the PREP Act</w:t>
      </w:r>
      <w:r w:rsidR="00C57974">
        <w:rPr>
          <w:rStyle w:val="FootnoteReference"/>
          <w:rFonts w:eastAsia="Times New Roman" w:cstheme="minorHAnsi"/>
        </w:rPr>
        <w:footnoteReference w:id="23"/>
      </w:r>
      <w:r w:rsidR="006422D6">
        <w:rPr>
          <w:rFonts w:eastAsia="Times New Roman" w:cstheme="minorHAnsi"/>
        </w:rPr>
        <w:t xml:space="preserve">; </w:t>
      </w:r>
      <w:r w:rsidR="009A1E40">
        <w:rPr>
          <w:rFonts w:eastAsia="Times New Roman" w:cstheme="minorHAnsi"/>
        </w:rPr>
        <w:t>and presidential declarations under the Stafford Act</w:t>
      </w:r>
      <w:r w:rsidR="00356B47">
        <w:rPr>
          <w:rStyle w:val="FootnoteReference"/>
          <w:rFonts w:eastAsia="Times New Roman" w:cstheme="minorHAnsi"/>
        </w:rPr>
        <w:footnoteReference w:id="24"/>
      </w:r>
      <w:r w:rsidR="009A1E40">
        <w:rPr>
          <w:rFonts w:eastAsia="Times New Roman" w:cstheme="minorHAnsi"/>
        </w:rPr>
        <w:t>, the National Emergencies Act</w:t>
      </w:r>
      <w:r w:rsidR="0036680B">
        <w:rPr>
          <w:rStyle w:val="FootnoteReference"/>
          <w:rFonts w:eastAsia="Times New Roman" w:cstheme="minorHAnsi"/>
        </w:rPr>
        <w:footnoteReference w:id="25"/>
      </w:r>
      <w:r w:rsidR="009A1E40">
        <w:rPr>
          <w:rFonts w:eastAsia="Times New Roman" w:cstheme="minorHAnsi"/>
        </w:rPr>
        <w:t>, and the Defense Production Act</w:t>
      </w:r>
      <w:r w:rsidR="0036680B">
        <w:rPr>
          <w:rStyle w:val="FootnoteReference"/>
          <w:rFonts w:eastAsia="Times New Roman" w:cstheme="minorHAnsi"/>
        </w:rPr>
        <w:footnoteReference w:id="26"/>
      </w:r>
      <w:r w:rsidR="009A1E40">
        <w:rPr>
          <w:rFonts w:eastAsia="Times New Roman" w:cstheme="minorHAnsi"/>
        </w:rPr>
        <w:t>.</w:t>
      </w:r>
    </w:p>
    <w:p w14:paraId="0180CC4C" w14:textId="77777777" w:rsidR="0061320E" w:rsidRDefault="0061320E" w:rsidP="0061320E">
      <w:pPr>
        <w:pStyle w:val="ListParagraph"/>
        <w:spacing w:after="120" w:line="360" w:lineRule="auto"/>
        <w:ind w:left="360"/>
        <w:textAlignment w:val="baseline"/>
        <w:rPr>
          <w:rFonts w:eastAsia="Times New Roman" w:cstheme="minorHAnsi"/>
        </w:rPr>
      </w:pPr>
    </w:p>
    <w:p w14:paraId="7C8748A7" w14:textId="0CD11BE1" w:rsidR="0061320E" w:rsidRDefault="00751BBE" w:rsidP="00EF285C">
      <w:pPr>
        <w:pStyle w:val="ListParagraph"/>
        <w:numPr>
          <w:ilvl w:val="0"/>
          <w:numId w:val="14"/>
        </w:numPr>
        <w:spacing w:line="360" w:lineRule="auto"/>
        <w:textAlignment w:val="baseline"/>
        <w:rPr>
          <w:rFonts w:eastAsia="Times New Roman" w:cstheme="minorHAnsi"/>
        </w:rPr>
      </w:pPr>
      <w:r w:rsidRPr="00BE1236">
        <w:rPr>
          <w:rFonts w:eastAsia="Times New Roman" w:cstheme="minorHAnsi"/>
          <w:b/>
          <w:bCs/>
        </w:rPr>
        <w:t xml:space="preserve">Emergency </w:t>
      </w:r>
      <w:r w:rsidR="00055AB1" w:rsidRPr="00BE1236">
        <w:rPr>
          <w:rFonts w:eastAsia="Times New Roman" w:cstheme="minorHAnsi"/>
          <w:b/>
          <w:bCs/>
        </w:rPr>
        <w:t>Waivers</w:t>
      </w:r>
      <w:r w:rsidR="00540C90" w:rsidRPr="00BE1236">
        <w:rPr>
          <w:rFonts w:eastAsia="Times New Roman" w:cstheme="minorHAnsi"/>
          <w:b/>
          <w:bCs/>
        </w:rPr>
        <w:t>—</w:t>
      </w:r>
      <w:r w:rsidR="00914A83">
        <w:rPr>
          <w:rFonts w:eastAsia="Times New Roman" w:cstheme="minorHAnsi"/>
        </w:rPr>
        <w:t xml:space="preserve">The HHS secretary issued a series of emergency waivers under </w:t>
      </w:r>
      <w:r w:rsidR="00363BDF">
        <w:rPr>
          <w:rFonts w:eastAsia="Times New Roman" w:cstheme="minorHAnsi"/>
        </w:rPr>
        <w:t>section 1135 of the Social Security Act</w:t>
      </w:r>
      <w:r w:rsidR="006445C1">
        <w:rPr>
          <w:rFonts w:eastAsia="Times New Roman" w:cstheme="minorHAnsi"/>
        </w:rPr>
        <w:t>.</w:t>
      </w:r>
      <w:r w:rsidR="00CF007B">
        <w:rPr>
          <w:rStyle w:val="FootnoteReference"/>
          <w:rFonts w:eastAsia="Times New Roman" w:cstheme="minorHAnsi"/>
        </w:rPr>
        <w:footnoteReference w:id="27"/>
      </w:r>
      <w:r w:rsidR="00914A83">
        <w:rPr>
          <w:rFonts w:eastAsia="Times New Roman" w:cstheme="minorHAnsi"/>
        </w:rPr>
        <w:t xml:space="preserve"> </w:t>
      </w:r>
    </w:p>
    <w:p w14:paraId="48712791" w14:textId="77777777" w:rsidR="0061320E" w:rsidRPr="0061320E" w:rsidRDefault="0061320E" w:rsidP="00EF285C">
      <w:pPr>
        <w:spacing w:line="360" w:lineRule="auto"/>
        <w:textAlignment w:val="baseline"/>
        <w:rPr>
          <w:rFonts w:eastAsia="Times New Roman" w:cstheme="minorHAnsi"/>
        </w:rPr>
      </w:pPr>
    </w:p>
    <w:p w14:paraId="54FAF594" w14:textId="0A8858B4" w:rsidR="00540C90" w:rsidRDefault="00540C90" w:rsidP="00055AB1">
      <w:pPr>
        <w:pStyle w:val="ListParagraph"/>
        <w:numPr>
          <w:ilvl w:val="0"/>
          <w:numId w:val="14"/>
        </w:numPr>
        <w:spacing w:after="120" w:line="360" w:lineRule="auto"/>
        <w:textAlignment w:val="baseline"/>
        <w:rPr>
          <w:rFonts w:eastAsia="Times New Roman" w:cstheme="minorHAnsi"/>
        </w:rPr>
      </w:pPr>
      <w:r w:rsidRPr="00BE1236">
        <w:rPr>
          <w:rFonts w:eastAsia="Times New Roman" w:cstheme="minorHAnsi"/>
          <w:b/>
          <w:bCs/>
        </w:rPr>
        <w:t>Travel Restrictions—</w:t>
      </w:r>
      <w:r w:rsidR="006445C1">
        <w:rPr>
          <w:rFonts w:eastAsia="Times New Roman" w:cstheme="minorHAnsi"/>
        </w:rPr>
        <w:t xml:space="preserve">The federal government instituted travel restrictions from </w:t>
      </w:r>
      <w:r w:rsidR="005308C4">
        <w:rPr>
          <w:rFonts w:eastAsia="Times New Roman" w:cstheme="minorHAnsi"/>
        </w:rPr>
        <w:t xml:space="preserve">certain countries with high </w:t>
      </w:r>
      <w:r w:rsidR="009E4319">
        <w:rPr>
          <w:rFonts w:eastAsia="Times New Roman" w:cstheme="minorHAnsi"/>
        </w:rPr>
        <w:t>rates of COVID-19</w:t>
      </w:r>
      <w:r w:rsidR="00023958">
        <w:rPr>
          <w:rFonts w:eastAsia="Times New Roman" w:cstheme="minorHAnsi"/>
        </w:rPr>
        <w:t xml:space="preserve">, </w:t>
      </w:r>
      <w:r w:rsidR="009E4319">
        <w:rPr>
          <w:rFonts w:eastAsia="Times New Roman" w:cstheme="minorHAnsi"/>
        </w:rPr>
        <w:t xml:space="preserve">closed </w:t>
      </w:r>
      <w:r w:rsidR="00023958">
        <w:rPr>
          <w:rFonts w:eastAsia="Times New Roman" w:cstheme="minorHAnsi"/>
        </w:rPr>
        <w:t xml:space="preserve">the </w:t>
      </w:r>
      <w:r w:rsidR="009E4319">
        <w:rPr>
          <w:rFonts w:eastAsia="Times New Roman" w:cstheme="minorHAnsi"/>
        </w:rPr>
        <w:t>borders</w:t>
      </w:r>
      <w:r w:rsidR="00023958">
        <w:rPr>
          <w:rFonts w:eastAsia="Times New Roman" w:cstheme="minorHAnsi"/>
        </w:rPr>
        <w:t xml:space="preserve"> with Canada and Mexico, and instituted</w:t>
      </w:r>
      <w:r w:rsidR="00CA61F9">
        <w:rPr>
          <w:rFonts w:eastAsia="Times New Roman" w:cstheme="minorHAnsi"/>
        </w:rPr>
        <w:t xml:space="preserve"> emergency</w:t>
      </w:r>
      <w:r w:rsidR="00023958">
        <w:rPr>
          <w:rFonts w:eastAsia="Times New Roman" w:cstheme="minorHAnsi"/>
        </w:rPr>
        <w:t xml:space="preserve"> immigration </w:t>
      </w:r>
      <w:r w:rsidR="00CA61F9">
        <w:rPr>
          <w:rFonts w:eastAsia="Times New Roman" w:cstheme="minorHAnsi"/>
        </w:rPr>
        <w:t>and visa limitations</w:t>
      </w:r>
      <w:r w:rsidR="00CF6E9C">
        <w:rPr>
          <w:rFonts w:eastAsia="Times New Roman" w:cstheme="minorHAnsi"/>
        </w:rPr>
        <w:t xml:space="preserve"> for </w:t>
      </w:r>
      <w:r w:rsidR="00FB4FC8">
        <w:rPr>
          <w:rFonts w:eastAsia="Times New Roman" w:cstheme="minorHAnsi"/>
        </w:rPr>
        <w:t>other specified countries</w:t>
      </w:r>
      <w:r w:rsidR="00CA61F9">
        <w:rPr>
          <w:rFonts w:eastAsia="Times New Roman" w:cstheme="minorHAnsi"/>
        </w:rPr>
        <w:t>.</w:t>
      </w:r>
      <w:r w:rsidR="00B300CB">
        <w:rPr>
          <w:rStyle w:val="FootnoteReference"/>
          <w:rFonts w:eastAsia="Times New Roman" w:cstheme="minorHAnsi"/>
        </w:rPr>
        <w:footnoteReference w:id="28"/>
      </w:r>
      <w:r w:rsidR="00CA61F9">
        <w:rPr>
          <w:rFonts w:eastAsia="Times New Roman" w:cstheme="minorHAnsi"/>
        </w:rPr>
        <w:t xml:space="preserve"> </w:t>
      </w:r>
      <w:r w:rsidR="00023958">
        <w:rPr>
          <w:rFonts w:eastAsia="Times New Roman" w:cstheme="minorHAnsi"/>
        </w:rPr>
        <w:t xml:space="preserve"> </w:t>
      </w:r>
      <w:r w:rsidR="009E4319">
        <w:rPr>
          <w:rFonts w:eastAsia="Times New Roman" w:cstheme="minorHAnsi"/>
        </w:rPr>
        <w:t xml:space="preserve"> </w:t>
      </w:r>
    </w:p>
    <w:p w14:paraId="5B94E664" w14:textId="77777777" w:rsidR="00CA61F9" w:rsidRPr="00CA61F9" w:rsidRDefault="00CA61F9" w:rsidP="00EF285C">
      <w:pPr>
        <w:pStyle w:val="ListParagraph"/>
        <w:spacing w:line="360" w:lineRule="auto"/>
        <w:rPr>
          <w:rFonts w:eastAsia="Times New Roman" w:cstheme="minorHAnsi"/>
        </w:rPr>
      </w:pPr>
    </w:p>
    <w:p w14:paraId="13C7304E" w14:textId="68B044EA" w:rsidR="00CA61F9" w:rsidRPr="00055AB1" w:rsidRDefault="00CA61F9" w:rsidP="00055AB1">
      <w:pPr>
        <w:pStyle w:val="ListParagraph"/>
        <w:numPr>
          <w:ilvl w:val="0"/>
          <w:numId w:val="14"/>
        </w:numPr>
        <w:spacing w:after="120" w:line="360" w:lineRule="auto"/>
        <w:textAlignment w:val="baseline"/>
        <w:rPr>
          <w:rFonts w:eastAsia="Times New Roman" w:cstheme="minorHAnsi"/>
        </w:rPr>
      </w:pPr>
      <w:r w:rsidRPr="00BE1236">
        <w:rPr>
          <w:rFonts w:eastAsia="Times New Roman" w:cstheme="minorHAnsi"/>
          <w:b/>
          <w:bCs/>
        </w:rPr>
        <w:t>Federal Quarantine—</w:t>
      </w:r>
      <w:r w:rsidR="00E23084">
        <w:rPr>
          <w:rFonts w:eastAsia="Times New Roman" w:cstheme="minorHAnsi"/>
        </w:rPr>
        <w:t xml:space="preserve">The federal government </w:t>
      </w:r>
      <w:r w:rsidR="005962CA">
        <w:rPr>
          <w:rFonts w:eastAsia="Times New Roman" w:cstheme="minorHAnsi"/>
        </w:rPr>
        <w:t xml:space="preserve">exercised its authority </w:t>
      </w:r>
      <w:r w:rsidR="00936D01">
        <w:rPr>
          <w:rFonts w:eastAsia="Times New Roman" w:cstheme="minorHAnsi"/>
        </w:rPr>
        <w:t xml:space="preserve">under the Public Health Service </w:t>
      </w:r>
      <w:r w:rsidR="005962CA">
        <w:rPr>
          <w:rFonts w:eastAsia="Times New Roman" w:cstheme="minorHAnsi"/>
        </w:rPr>
        <w:t>A</w:t>
      </w:r>
      <w:r w:rsidR="00936D01">
        <w:rPr>
          <w:rFonts w:eastAsia="Times New Roman" w:cstheme="minorHAnsi"/>
        </w:rPr>
        <w:t xml:space="preserve">ct to quarantine persons entering the U.S. </w:t>
      </w:r>
      <w:r w:rsidR="005001D2">
        <w:rPr>
          <w:rFonts w:eastAsia="Times New Roman" w:cstheme="minorHAnsi"/>
        </w:rPr>
        <w:t xml:space="preserve">who are </w:t>
      </w:r>
      <w:r w:rsidR="00715A77">
        <w:rPr>
          <w:rFonts w:eastAsia="Times New Roman" w:cstheme="minorHAnsi"/>
        </w:rPr>
        <w:t xml:space="preserve">suspected of carrying one of the communicable diseases identified by </w:t>
      </w:r>
      <w:r w:rsidR="003C219D">
        <w:rPr>
          <w:rFonts w:eastAsia="Times New Roman" w:cstheme="minorHAnsi"/>
        </w:rPr>
        <w:t>Presidential Executive Orders</w:t>
      </w:r>
      <w:r w:rsidR="00715A77">
        <w:rPr>
          <w:rFonts w:eastAsia="Times New Roman" w:cstheme="minorHAnsi"/>
        </w:rPr>
        <w:t>.</w:t>
      </w:r>
      <w:r w:rsidR="00715A77">
        <w:rPr>
          <w:rStyle w:val="FootnoteReference"/>
          <w:rFonts w:eastAsia="Times New Roman" w:cstheme="minorHAnsi"/>
        </w:rPr>
        <w:footnoteReference w:id="29"/>
      </w:r>
      <w:r w:rsidR="00715A77">
        <w:rPr>
          <w:rFonts w:eastAsia="Times New Roman" w:cstheme="minorHAnsi"/>
        </w:rPr>
        <w:t xml:space="preserve"> </w:t>
      </w:r>
      <w:r w:rsidR="003C219D">
        <w:rPr>
          <w:rFonts w:eastAsia="Times New Roman" w:cstheme="minorHAnsi"/>
        </w:rPr>
        <w:t xml:space="preserve"> </w:t>
      </w:r>
    </w:p>
    <w:p w14:paraId="45023FF5" w14:textId="77777777" w:rsidR="00EF285C" w:rsidRDefault="00EF285C" w:rsidP="00527530">
      <w:pPr>
        <w:spacing w:line="360" w:lineRule="auto"/>
        <w:rPr>
          <w:rFonts w:eastAsia="Times New Roman" w:cstheme="minorHAnsi"/>
          <w:b/>
          <w:bCs/>
          <w:color w:val="000000" w:themeColor="text1"/>
          <w:sz w:val="24"/>
          <w:szCs w:val="24"/>
        </w:rPr>
      </w:pPr>
    </w:p>
    <w:p w14:paraId="57AC6D2C" w14:textId="23F69015" w:rsidR="00527530" w:rsidRPr="009F6BFF" w:rsidRDefault="002508FD" w:rsidP="00527530">
      <w:pPr>
        <w:spacing w:line="360" w:lineRule="auto"/>
        <w:rPr>
          <w:rFonts w:eastAsia="Times New Roman" w:cstheme="minorHAnsi"/>
          <w:b/>
          <w:bCs/>
          <w:color w:val="000000" w:themeColor="text1"/>
          <w:sz w:val="24"/>
          <w:szCs w:val="24"/>
        </w:rPr>
      </w:pPr>
      <w:r w:rsidRPr="009F6BFF">
        <w:rPr>
          <w:rFonts w:eastAsia="Times New Roman" w:cstheme="minorHAnsi"/>
          <w:b/>
          <w:bCs/>
          <w:color w:val="000000" w:themeColor="text1"/>
          <w:sz w:val="24"/>
          <w:szCs w:val="24"/>
        </w:rPr>
        <w:lastRenderedPageBreak/>
        <w:t>Implications of Emergency Declarations and Authorities</w:t>
      </w:r>
    </w:p>
    <w:p w14:paraId="4CF7AD8F" w14:textId="3044BA50" w:rsidR="007136EA" w:rsidRPr="00527530" w:rsidRDefault="002508FD" w:rsidP="00934792">
      <w:pPr>
        <w:spacing w:line="360" w:lineRule="auto"/>
        <w:rPr>
          <w:rFonts w:eastAsia="Times New Roman" w:cstheme="minorHAnsi"/>
          <w:b/>
          <w:bCs/>
          <w:color w:val="3C3030"/>
          <w:sz w:val="24"/>
          <w:szCs w:val="24"/>
        </w:rPr>
      </w:pPr>
      <w:r>
        <w:rPr>
          <w:rFonts w:eastAsia="Times New Roman" w:cstheme="minorHAnsi"/>
          <w:szCs w:val="20"/>
        </w:rPr>
        <w:t>An emergency declaration can change the legal and operational landscape in which governments, private organizations, and the public operate during an emergency. Emergency declarations, especially if they occur at multiple levels (</w:t>
      </w:r>
      <w:r w:rsidR="00E929A2">
        <w:rPr>
          <w:rFonts w:eastAsia="Times New Roman" w:cstheme="minorHAnsi"/>
          <w:szCs w:val="20"/>
        </w:rPr>
        <w:t xml:space="preserve">i.e., </w:t>
      </w:r>
      <w:r>
        <w:rPr>
          <w:rFonts w:eastAsia="Times New Roman" w:cstheme="minorHAnsi"/>
          <w:szCs w:val="20"/>
        </w:rPr>
        <w:t xml:space="preserve">federal, state, </w:t>
      </w:r>
      <w:r w:rsidR="00E929A2">
        <w:rPr>
          <w:rFonts w:eastAsia="Times New Roman" w:cstheme="minorHAnsi"/>
          <w:szCs w:val="20"/>
        </w:rPr>
        <w:t xml:space="preserve">territorial, </w:t>
      </w:r>
      <w:r>
        <w:rPr>
          <w:rFonts w:eastAsia="Times New Roman" w:cstheme="minorHAnsi"/>
          <w:szCs w:val="20"/>
        </w:rPr>
        <w:t xml:space="preserve">tribal, </w:t>
      </w:r>
      <w:r w:rsidR="00E929A2">
        <w:rPr>
          <w:rFonts w:eastAsia="Times New Roman" w:cstheme="minorHAnsi"/>
          <w:szCs w:val="20"/>
        </w:rPr>
        <w:t xml:space="preserve">or </w:t>
      </w:r>
      <w:r>
        <w:rPr>
          <w:rFonts w:eastAsia="Times New Roman" w:cstheme="minorHAnsi"/>
          <w:szCs w:val="20"/>
        </w:rPr>
        <w:t xml:space="preserve">local), can confuse organizations and individuals. All </w:t>
      </w:r>
      <w:r w:rsidR="00E929A2">
        <w:rPr>
          <w:rFonts w:eastAsia="Times New Roman" w:cstheme="minorHAnsi"/>
          <w:szCs w:val="20"/>
        </w:rPr>
        <w:t>gover</w:t>
      </w:r>
      <w:r w:rsidR="00F84ECA">
        <w:rPr>
          <w:rFonts w:eastAsia="Times New Roman" w:cstheme="minorHAnsi"/>
          <w:szCs w:val="20"/>
        </w:rPr>
        <w:t>nmental agencies</w:t>
      </w:r>
      <w:r>
        <w:rPr>
          <w:rFonts w:eastAsia="Times New Roman" w:cstheme="minorHAnsi"/>
          <w:szCs w:val="20"/>
        </w:rPr>
        <w:t xml:space="preserve"> need to understand the implications of operating under an emergency declaration, especially those that are not directly involved in response activities such as procurement offices. </w:t>
      </w:r>
      <w:r w:rsidR="00F73C3E">
        <w:rPr>
          <w:rFonts w:eastAsia="Times New Roman" w:cstheme="minorHAnsi"/>
          <w:szCs w:val="20"/>
        </w:rPr>
        <w:t>Jurisdictions</w:t>
      </w:r>
      <w:r>
        <w:rPr>
          <w:rFonts w:eastAsia="Times New Roman" w:cstheme="minorHAnsi"/>
          <w:szCs w:val="20"/>
        </w:rPr>
        <w:t xml:space="preserve"> must also understand the legal and operational effects of a federal emergency declaration. Federal declarations may affect compliance with federal legal and programmatic requirements. Federal declarations generally do not alter state legislative and regulatory requirements; however, state law will be preempted to the extent it conflicts with federal law. State declarations are necessary to modify states legal requirements.</w:t>
      </w:r>
      <w:r w:rsidR="007136EA">
        <w:rPr>
          <w:rFonts w:eastAsia="Times New Roman" w:cstheme="minorHAnsi"/>
          <w:szCs w:val="20"/>
        </w:rPr>
        <w:t xml:space="preserve"> </w:t>
      </w:r>
    </w:p>
    <w:p w14:paraId="50FF4BC5" w14:textId="77777777" w:rsidR="007136EA" w:rsidRDefault="007136EA" w:rsidP="00934792">
      <w:pPr>
        <w:spacing w:line="360" w:lineRule="auto"/>
        <w:rPr>
          <w:rFonts w:eastAsia="Times New Roman" w:cstheme="minorHAnsi"/>
          <w:b/>
          <w:bCs/>
          <w:color w:val="333333"/>
          <w:spacing w:val="15"/>
          <w:kern w:val="36"/>
          <w:sz w:val="28"/>
          <w:szCs w:val="28"/>
        </w:rPr>
      </w:pPr>
      <w:bookmarkStart w:id="1" w:name="FedEmergPrepDirs_FS"/>
    </w:p>
    <w:p w14:paraId="3A061609" w14:textId="77777777" w:rsidR="00527530" w:rsidRPr="009F6BFF" w:rsidRDefault="002508FD" w:rsidP="00B17260">
      <w:pPr>
        <w:keepNext/>
        <w:spacing w:after="120" w:line="360" w:lineRule="auto"/>
        <w:rPr>
          <w:rFonts w:eastAsia="Times New Roman" w:cstheme="minorHAnsi"/>
          <w:b/>
          <w:bCs/>
          <w:color w:val="000000" w:themeColor="text1"/>
          <w:spacing w:val="15"/>
          <w:kern w:val="36"/>
          <w:sz w:val="24"/>
          <w:szCs w:val="24"/>
        </w:rPr>
      </w:pPr>
      <w:r w:rsidRPr="009F6BFF">
        <w:rPr>
          <w:rFonts w:eastAsia="Times New Roman" w:cstheme="minorHAnsi"/>
          <w:b/>
          <w:bCs/>
          <w:color w:val="000000" w:themeColor="text1"/>
          <w:spacing w:val="15"/>
          <w:kern w:val="36"/>
          <w:sz w:val="24"/>
          <w:szCs w:val="24"/>
        </w:rPr>
        <w:t xml:space="preserve">Emergency Preparedness </w:t>
      </w:r>
      <w:r w:rsidR="0066152D" w:rsidRPr="009F6BFF">
        <w:rPr>
          <w:rFonts w:eastAsia="Times New Roman" w:cstheme="minorHAnsi"/>
          <w:b/>
          <w:bCs/>
          <w:color w:val="000000" w:themeColor="text1"/>
          <w:spacing w:val="15"/>
          <w:kern w:val="36"/>
          <w:sz w:val="24"/>
          <w:szCs w:val="24"/>
        </w:rPr>
        <w:t>Plan</w:t>
      </w:r>
      <w:r w:rsidR="002F40F0" w:rsidRPr="009F6BFF">
        <w:rPr>
          <w:rFonts w:eastAsia="Times New Roman" w:cstheme="minorHAnsi"/>
          <w:b/>
          <w:bCs/>
          <w:color w:val="000000" w:themeColor="text1"/>
          <w:spacing w:val="15"/>
          <w:kern w:val="36"/>
          <w:sz w:val="24"/>
          <w:szCs w:val="24"/>
        </w:rPr>
        <w:t>ning</w:t>
      </w:r>
      <w:r w:rsidRPr="009F6BFF">
        <w:rPr>
          <w:rFonts w:eastAsia="Times New Roman" w:cstheme="minorHAnsi"/>
          <w:b/>
          <w:bCs/>
          <w:color w:val="000000" w:themeColor="text1"/>
          <w:spacing w:val="15"/>
          <w:kern w:val="36"/>
          <w:sz w:val="24"/>
          <w:szCs w:val="24"/>
        </w:rPr>
        <w:t xml:space="preserve"> and Systems</w:t>
      </w:r>
      <w:bookmarkEnd w:id="1"/>
    </w:p>
    <w:p w14:paraId="191ED0A7" w14:textId="22C4C2F2" w:rsidR="002508FD" w:rsidRPr="00527530" w:rsidRDefault="00B23FD0" w:rsidP="00934792">
      <w:pPr>
        <w:spacing w:line="360" w:lineRule="auto"/>
        <w:rPr>
          <w:rFonts w:eastAsia="Times New Roman" w:cstheme="minorHAnsi"/>
          <w:b/>
          <w:bCs/>
          <w:color w:val="333333"/>
          <w:spacing w:val="15"/>
          <w:kern w:val="36"/>
        </w:rPr>
      </w:pPr>
      <w:r>
        <w:rPr>
          <w:rFonts w:eastAsia="Times New Roman" w:cstheme="minorHAnsi"/>
          <w:szCs w:val="20"/>
        </w:rPr>
        <w:t xml:space="preserve">Emergency declarations by the federal and STLT governments </w:t>
      </w:r>
      <w:r w:rsidR="00F94F65">
        <w:rPr>
          <w:rFonts w:eastAsia="Times New Roman" w:cstheme="minorHAnsi"/>
          <w:szCs w:val="20"/>
        </w:rPr>
        <w:t xml:space="preserve">also activate plans and systems </w:t>
      </w:r>
      <w:r w:rsidR="00182D7D">
        <w:rPr>
          <w:rFonts w:eastAsia="Times New Roman" w:cstheme="minorHAnsi"/>
          <w:szCs w:val="20"/>
        </w:rPr>
        <w:t xml:space="preserve">created to manage and respond to </w:t>
      </w:r>
      <w:r w:rsidR="00700501">
        <w:rPr>
          <w:rFonts w:eastAsia="Times New Roman" w:cstheme="minorHAnsi"/>
          <w:szCs w:val="20"/>
        </w:rPr>
        <w:t xml:space="preserve">an emergency. </w:t>
      </w:r>
      <w:r w:rsidR="002508FD">
        <w:rPr>
          <w:rFonts w:eastAsia="Times New Roman" w:cstheme="minorHAnsi"/>
          <w:szCs w:val="20"/>
        </w:rPr>
        <w:t xml:space="preserve">The evolution of </w:t>
      </w:r>
      <w:r w:rsidR="00816613">
        <w:rPr>
          <w:rFonts w:eastAsia="Times New Roman" w:cstheme="minorHAnsi"/>
          <w:szCs w:val="20"/>
        </w:rPr>
        <w:t>governmental</w:t>
      </w:r>
      <w:r w:rsidR="002508FD">
        <w:rPr>
          <w:rFonts w:eastAsia="Times New Roman" w:cstheme="minorHAnsi"/>
          <w:szCs w:val="20"/>
        </w:rPr>
        <w:t xml:space="preserve"> emergency preparedness and response capabilities has been greatly influenced by </w:t>
      </w:r>
      <w:r w:rsidR="002F40F0">
        <w:rPr>
          <w:rFonts w:eastAsia="Times New Roman" w:cstheme="minorHAnsi"/>
          <w:szCs w:val="20"/>
        </w:rPr>
        <w:t xml:space="preserve">U.S. </w:t>
      </w:r>
      <w:r w:rsidR="002508FD">
        <w:rPr>
          <w:rFonts w:eastAsia="Times New Roman" w:cstheme="minorHAnsi"/>
          <w:szCs w:val="20"/>
        </w:rPr>
        <w:t xml:space="preserve">federal policies and structures developed and refined </w:t>
      </w:r>
      <w:r w:rsidR="00B840E6">
        <w:rPr>
          <w:rFonts w:eastAsia="Times New Roman" w:cstheme="minorHAnsi"/>
          <w:szCs w:val="20"/>
        </w:rPr>
        <w:t>over time</w:t>
      </w:r>
      <w:r w:rsidR="002508FD">
        <w:rPr>
          <w:rFonts w:eastAsia="Times New Roman" w:cstheme="minorHAnsi"/>
          <w:szCs w:val="20"/>
        </w:rPr>
        <w:t xml:space="preserve">. A concerted federal effort—mandated by legislation and presidential directives—has established frameworks for providing and coordinating emergency assistance to </w:t>
      </w:r>
      <w:r w:rsidR="000B1E32">
        <w:rPr>
          <w:rFonts w:eastAsia="Times New Roman" w:cstheme="minorHAnsi"/>
          <w:szCs w:val="20"/>
        </w:rPr>
        <w:t>STLT</w:t>
      </w:r>
      <w:r w:rsidR="002508FD">
        <w:rPr>
          <w:rFonts w:eastAsia="Times New Roman" w:cstheme="minorHAnsi"/>
          <w:szCs w:val="20"/>
        </w:rPr>
        <w:t xml:space="preserve"> governments. Federal grants have provided financial resources to </w:t>
      </w:r>
      <w:r w:rsidR="00184A25">
        <w:rPr>
          <w:rFonts w:eastAsia="Times New Roman" w:cstheme="minorHAnsi"/>
          <w:szCs w:val="20"/>
        </w:rPr>
        <w:t xml:space="preserve">STLT </w:t>
      </w:r>
      <w:r w:rsidR="00AA4E4E">
        <w:rPr>
          <w:rFonts w:eastAsia="Times New Roman" w:cstheme="minorHAnsi"/>
          <w:szCs w:val="20"/>
        </w:rPr>
        <w:t xml:space="preserve">governments </w:t>
      </w:r>
      <w:r w:rsidR="002508FD">
        <w:rPr>
          <w:rFonts w:eastAsia="Times New Roman" w:cstheme="minorHAnsi"/>
          <w:szCs w:val="20"/>
        </w:rPr>
        <w:t>to engage in planning activities</w:t>
      </w:r>
      <w:r w:rsidR="00B136FA">
        <w:rPr>
          <w:rFonts w:eastAsia="Times New Roman" w:cstheme="minorHAnsi"/>
          <w:szCs w:val="20"/>
        </w:rPr>
        <w:t xml:space="preserve"> that complement federal action</w:t>
      </w:r>
      <w:r w:rsidR="002508FD">
        <w:rPr>
          <w:rFonts w:eastAsia="Times New Roman" w:cstheme="minorHAnsi"/>
          <w:szCs w:val="20"/>
        </w:rPr>
        <w:t xml:space="preserve"> and to bolster </w:t>
      </w:r>
      <w:r w:rsidR="00074030">
        <w:rPr>
          <w:rFonts w:eastAsia="Times New Roman" w:cstheme="minorHAnsi"/>
          <w:szCs w:val="20"/>
        </w:rPr>
        <w:t>STLT</w:t>
      </w:r>
      <w:r w:rsidR="002508FD">
        <w:rPr>
          <w:rFonts w:eastAsia="Times New Roman" w:cstheme="minorHAnsi"/>
          <w:szCs w:val="20"/>
        </w:rPr>
        <w:t xml:space="preserve"> response capacity. </w:t>
      </w:r>
      <w:r w:rsidR="00504D78">
        <w:rPr>
          <w:rFonts w:eastAsia="Times New Roman" w:cstheme="minorHAnsi"/>
          <w:szCs w:val="20"/>
        </w:rPr>
        <w:t xml:space="preserve">The following sections highlight some of the key </w:t>
      </w:r>
      <w:r w:rsidR="006A5B2E">
        <w:rPr>
          <w:rFonts w:eastAsia="Times New Roman" w:cstheme="minorHAnsi"/>
          <w:szCs w:val="20"/>
        </w:rPr>
        <w:t xml:space="preserve">federal plans and </w:t>
      </w:r>
      <w:r w:rsidR="00755CFF">
        <w:rPr>
          <w:rFonts w:eastAsia="Times New Roman" w:cstheme="minorHAnsi"/>
          <w:szCs w:val="20"/>
        </w:rPr>
        <w:t xml:space="preserve">systems </w:t>
      </w:r>
      <w:r w:rsidR="00D81D3E">
        <w:rPr>
          <w:rFonts w:eastAsia="Times New Roman" w:cstheme="minorHAnsi"/>
          <w:szCs w:val="20"/>
        </w:rPr>
        <w:t xml:space="preserve">developed to guide </w:t>
      </w:r>
      <w:r w:rsidR="00811B6D">
        <w:rPr>
          <w:rFonts w:eastAsia="Times New Roman" w:cstheme="minorHAnsi"/>
          <w:szCs w:val="20"/>
        </w:rPr>
        <w:t>emergency preparedness and response activities in the U.S.</w:t>
      </w:r>
      <w:r w:rsidR="00A34231">
        <w:rPr>
          <w:rStyle w:val="FootnoteReference"/>
          <w:rFonts w:eastAsia="Times New Roman" w:cstheme="minorHAnsi"/>
          <w:szCs w:val="20"/>
        </w:rPr>
        <w:footnoteReference w:id="30"/>
      </w:r>
    </w:p>
    <w:p w14:paraId="76D883E9" w14:textId="77777777" w:rsidR="003F0A22" w:rsidRDefault="003F0A22" w:rsidP="00934792">
      <w:pPr>
        <w:spacing w:line="360" w:lineRule="auto"/>
        <w:rPr>
          <w:rFonts w:eastAsia="Times New Roman" w:cstheme="minorHAnsi"/>
          <w:b/>
          <w:bCs/>
        </w:rPr>
      </w:pPr>
    </w:p>
    <w:p w14:paraId="6B4986B7" w14:textId="77777777" w:rsidR="003F0A22" w:rsidRDefault="003F0A22" w:rsidP="003F0A22">
      <w:pPr>
        <w:pStyle w:val="ListParagraph"/>
        <w:numPr>
          <w:ilvl w:val="0"/>
          <w:numId w:val="11"/>
        </w:numPr>
        <w:spacing w:line="360" w:lineRule="auto"/>
        <w:rPr>
          <w:rFonts w:eastAsia="Times New Roman" w:cstheme="minorHAnsi"/>
        </w:rPr>
      </w:pPr>
      <w:r w:rsidRPr="00811B6D">
        <w:rPr>
          <w:rFonts w:eastAsia="Times New Roman" w:cstheme="minorHAnsi"/>
          <w:b/>
          <w:bCs/>
          <w:color w:val="3C3030"/>
        </w:rPr>
        <w:t xml:space="preserve">Presidential Directives - </w:t>
      </w:r>
      <w:r w:rsidRPr="00811B6D">
        <w:rPr>
          <w:rFonts w:eastAsia="Times New Roman" w:cstheme="minorHAnsi"/>
          <w:bdr w:val="none" w:sz="0" w:space="0" w:color="auto" w:frame="1"/>
        </w:rPr>
        <w:t>Presidential directives</w:t>
      </w:r>
      <w:r w:rsidRPr="00811B6D">
        <w:rPr>
          <w:rFonts w:eastAsia="Times New Roman" w:cstheme="minorHAnsi"/>
          <w:color w:val="737373"/>
        </w:rPr>
        <w:t xml:space="preserve"> </w:t>
      </w:r>
      <w:r w:rsidRPr="00811B6D">
        <w:rPr>
          <w:rFonts w:eastAsia="Times New Roman" w:cstheme="minorHAnsi"/>
        </w:rPr>
        <w:t xml:space="preserve">are orders by the president which are issued under the president’s constitutional or other statutory powers. Presidential directives explain how Executive Branch agencies implement presidential authorities. There are different directive types, such as executive orders and policy directives. The naming and usage of various directive types can </w:t>
      </w:r>
      <w:r w:rsidRPr="00811B6D">
        <w:rPr>
          <w:rFonts w:eastAsia="Times New Roman" w:cstheme="minorHAnsi"/>
        </w:rPr>
        <w:lastRenderedPageBreak/>
        <w:t>change from administration to administration.</w:t>
      </w:r>
      <w:r w:rsidRPr="00811B6D">
        <w:rPr>
          <w:rFonts w:eastAsia="Times New Roman" w:cstheme="minorHAnsi"/>
          <w:bdr w:val="none" w:sz="0" w:space="0" w:color="auto" w:frame="1"/>
          <w:vertAlign w:val="superscript"/>
        </w:rPr>
        <w:t xml:space="preserve">1 </w:t>
      </w:r>
      <w:r>
        <w:rPr>
          <w:rStyle w:val="FootnoteReference"/>
          <w:rFonts w:eastAsia="Times New Roman" w:cstheme="minorHAnsi"/>
          <w:bdr w:val="none" w:sz="0" w:space="0" w:color="auto" w:frame="1"/>
        </w:rPr>
        <w:footnoteReference w:id="31"/>
      </w:r>
      <w:r w:rsidRPr="00811B6D">
        <w:rPr>
          <w:rFonts w:eastAsia="Times New Roman" w:cstheme="minorHAnsi"/>
        </w:rPr>
        <w:t xml:space="preserve"> Presidential directives remain in effect when administrations change, unless otherwise stated in the document or until subsequent presidential action is taken.</w:t>
      </w:r>
    </w:p>
    <w:p w14:paraId="7EC20B18" w14:textId="33D0DBE3" w:rsidR="003F0A22" w:rsidRPr="000A418A" w:rsidRDefault="003F0A22" w:rsidP="001759C5">
      <w:pPr>
        <w:pStyle w:val="ListParagraph"/>
        <w:numPr>
          <w:ilvl w:val="1"/>
          <w:numId w:val="11"/>
        </w:numPr>
        <w:spacing w:line="360" w:lineRule="auto"/>
        <w:rPr>
          <w:rFonts w:eastAsia="Times New Roman" w:cstheme="minorHAnsi"/>
        </w:rPr>
      </w:pPr>
      <w:r w:rsidRPr="000A418A">
        <w:rPr>
          <w:rFonts w:eastAsia="Times New Roman" w:cstheme="minorHAnsi"/>
          <w:b/>
          <w:bCs/>
          <w:bdr w:val="none" w:sz="0" w:space="0" w:color="auto" w:frame="1"/>
        </w:rPr>
        <w:t>Presidential Policy Directive-8: National Preparedness—</w:t>
      </w:r>
      <w:r>
        <w:t>PPD-8 ordered the United States to undertake “…</w:t>
      </w:r>
      <w:r w:rsidRPr="0012385A">
        <w:t>systematic preparation for the threats that pose the greatest risk to the security of the Nation, including acts of terrorism, cyber-attacks, pandemics, and catastrophic natural disasters.</w:t>
      </w:r>
      <w:r>
        <w:t>”</w:t>
      </w:r>
      <w:r>
        <w:rPr>
          <w:rStyle w:val="FootnoteReference"/>
        </w:rPr>
        <w:footnoteReference w:id="32"/>
      </w:r>
      <w:r>
        <w:t xml:space="preserve"> The directive required</w:t>
      </w:r>
      <w:r w:rsidRPr="00EB72EC">
        <w:t xml:space="preserve"> the development of a national preparedness goal </w:t>
      </w:r>
      <w:r>
        <w:t xml:space="preserve">to </w:t>
      </w:r>
      <w:r w:rsidRPr="00EB72EC">
        <w:t>identif</w:t>
      </w:r>
      <w:r>
        <w:t xml:space="preserve">y </w:t>
      </w:r>
      <w:r w:rsidRPr="00EB72EC">
        <w:t xml:space="preserve">core capabilities necessary for preparedness and a national preparedness system to guide activities </w:t>
      </w:r>
      <w:r>
        <w:t>to accomplish the national preparedness goal.</w:t>
      </w:r>
      <w:r>
        <w:rPr>
          <w:rStyle w:val="FootnoteReference"/>
        </w:rPr>
        <w:footnoteReference w:id="33"/>
      </w:r>
      <w:r w:rsidRPr="00EB72EC">
        <w:t xml:space="preserve"> </w:t>
      </w:r>
      <w:r w:rsidR="00EC6534">
        <w:t>The core capabilities are: p</w:t>
      </w:r>
      <w:r w:rsidR="00A64F44" w:rsidRPr="000A418A">
        <w:rPr>
          <w:rFonts w:eastAsia="Times New Roman" w:cstheme="minorHAnsi"/>
        </w:rPr>
        <w:t>revention</w:t>
      </w:r>
      <w:r w:rsidR="005A2F0C" w:rsidRPr="000A418A">
        <w:rPr>
          <w:rFonts w:eastAsia="Times New Roman" w:cstheme="minorHAnsi"/>
        </w:rPr>
        <w:t>, protection, mitigation, response, and recovery.</w:t>
      </w:r>
      <w:r w:rsidR="00EF0B67">
        <w:rPr>
          <w:rStyle w:val="FootnoteReference"/>
          <w:rFonts w:eastAsia="Times New Roman" w:cstheme="minorHAnsi"/>
        </w:rPr>
        <w:footnoteReference w:id="34"/>
      </w:r>
      <w:r w:rsidR="005A2F0C" w:rsidRPr="000A418A">
        <w:rPr>
          <w:rFonts w:eastAsia="Times New Roman" w:cstheme="minorHAnsi"/>
        </w:rPr>
        <w:t xml:space="preserve"> </w:t>
      </w:r>
      <w:r>
        <w:t>The National Preparedness Goal focuses on using a whole-community</w:t>
      </w:r>
      <w:r w:rsidR="00D8756B">
        <w:rPr>
          <w:rStyle w:val="FootnoteReference"/>
          <w:rFonts w:eastAsia="Times New Roman" w:cstheme="minorHAnsi"/>
          <w:color w:val="3C3030"/>
        </w:rPr>
        <w:footnoteReference w:id="35"/>
      </w:r>
      <w:r>
        <w:t xml:space="preserve"> approach to preparedness, response, and recovery for all types of disasters and emergencies.</w:t>
      </w:r>
      <w:r w:rsidR="002A099E">
        <w:rPr>
          <w:rStyle w:val="FootnoteReference"/>
        </w:rPr>
        <w:footnoteReference w:id="36"/>
      </w:r>
      <w:r>
        <w:t xml:space="preserve"> </w:t>
      </w:r>
    </w:p>
    <w:p w14:paraId="578F4140" w14:textId="77777777" w:rsidR="001117BB" w:rsidRPr="00B07CF9" w:rsidRDefault="001117BB" w:rsidP="00B07CF9">
      <w:pPr>
        <w:spacing w:line="360" w:lineRule="auto"/>
        <w:ind w:left="720"/>
        <w:rPr>
          <w:rFonts w:eastAsia="Times New Roman" w:cstheme="minorHAnsi"/>
        </w:rPr>
      </w:pPr>
    </w:p>
    <w:p w14:paraId="6AE45167" w14:textId="4417E3A5" w:rsidR="00E76AD2" w:rsidRPr="00F82B02" w:rsidRDefault="00B07CF9" w:rsidP="00940F4E">
      <w:pPr>
        <w:pStyle w:val="ListParagraph"/>
        <w:numPr>
          <w:ilvl w:val="0"/>
          <w:numId w:val="11"/>
        </w:numPr>
        <w:spacing w:line="360" w:lineRule="auto"/>
        <w:rPr>
          <w:rFonts w:eastAsia="Times New Roman" w:cstheme="minorHAnsi"/>
          <w:color w:val="3C3030"/>
        </w:rPr>
      </w:pPr>
      <w:r w:rsidRPr="00F82B02">
        <w:rPr>
          <w:rFonts w:eastAsia="Times New Roman" w:cstheme="minorHAnsi"/>
          <w:b/>
          <w:bCs/>
          <w:color w:val="3C3030"/>
        </w:rPr>
        <w:t xml:space="preserve">National </w:t>
      </w:r>
      <w:r w:rsidR="00CB6ADD" w:rsidRPr="00F82B02">
        <w:rPr>
          <w:rFonts w:eastAsia="Times New Roman" w:cstheme="minorHAnsi"/>
          <w:b/>
          <w:bCs/>
          <w:color w:val="3C3030"/>
        </w:rPr>
        <w:t>Preparedness</w:t>
      </w:r>
      <w:r w:rsidRPr="00F82B02">
        <w:rPr>
          <w:rFonts w:eastAsia="Times New Roman" w:cstheme="minorHAnsi"/>
          <w:b/>
          <w:bCs/>
          <w:color w:val="3C3030"/>
        </w:rPr>
        <w:t xml:space="preserve"> System</w:t>
      </w:r>
      <w:r w:rsidR="00DC3199" w:rsidRPr="00F82B02">
        <w:rPr>
          <w:rFonts w:eastAsia="Times New Roman" w:cstheme="minorHAnsi"/>
          <w:b/>
          <w:bCs/>
          <w:color w:val="3C3030"/>
        </w:rPr>
        <w:t xml:space="preserve"> - </w:t>
      </w:r>
      <w:r w:rsidR="00DC3199" w:rsidRPr="00F82B02">
        <w:rPr>
          <w:rFonts w:eastAsia="Times New Roman" w:cstheme="minorHAnsi"/>
          <w:color w:val="3C3030"/>
        </w:rPr>
        <w:t xml:space="preserve">The National Preparedness System outlines the </w:t>
      </w:r>
      <w:r w:rsidR="005213ED" w:rsidRPr="00F82B02">
        <w:rPr>
          <w:rFonts w:eastAsia="Times New Roman" w:cstheme="minorHAnsi"/>
          <w:color w:val="3C3030"/>
        </w:rPr>
        <w:t xml:space="preserve">process </w:t>
      </w:r>
      <w:r w:rsidR="003C7B45" w:rsidRPr="00F82B02">
        <w:rPr>
          <w:rFonts w:eastAsia="Times New Roman" w:cstheme="minorHAnsi"/>
          <w:color w:val="3C3030"/>
        </w:rPr>
        <w:t xml:space="preserve">to be used </w:t>
      </w:r>
      <w:r w:rsidR="00386A87" w:rsidRPr="00F82B02">
        <w:rPr>
          <w:rFonts w:eastAsia="Times New Roman" w:cstheme="minorHAnsi"/>
          <w:color w:val="3C3030"/>
        </w:rPr>
        <w:t xml:space="preserve">in </w:t>
      </w:r>
      <w:r w:rsidR="00DC3199" w:rsidRPr="00F82B02">
        <w:rPr>
          <w:rFonts w:eastAsia="Times New Roman" w:cstheme="minorHAnsi"/>
          <w:color w:val="3C3030"/>
        </w:rPr>
        <w:t>achiev</w:t>
      </w:r>
      <w:r w:rsidR="00386A87" w:rsidRPr="00F82B02">
        <w:rPr>
          <w:rFonts w:eastAsia="Times New Roman" w:cstheme="minorHAnsi"/>
          <w:color w:val="3C3030"/>
        </w:rPr>
        <w:t>ing whole-community prepa</w:t>
      </w:r>
      <w:r w:rsidR="008652D0" w:rsidRPr="00F82B02">
        <w:rPr>
          <w:rFonts w:eastAsia="Times New Roman" w:cstheme="minorHAnsi"/>
          <w:color w:val="3C3030"/>
        </w:rPr>
        <w:t xml:space="preserve">redness </w:t>
      </w:r>
      <w:r w:rsidR="001110CA" w:rsidRPr="00F82B02">
        <w:rPr>
          <w:rFonts w:eastAsia="Times New Roman" w:cstheme="minorHAnsi"/>
          <w:color w:val="3C3030"/>
        </w:rPr>
        <w:t xml:space="preserve">as established </w:t>
      </w:r>
      <w:r w:rsidR="006436D8" w:rsidRPr="00F82B02">
        <w:rPr>
          <w:rFonts w:eastAsia="Times New Roman" w:cstheme="minorHAnsi"/>
          <w:color w:val="3C3030"/>
        </w:rPr>
        <w:t>by t</w:t>
      </w:r>
      <w:r w:rsidR="00DC3199" w:rsidRPr="00F82B02">
        <w:rPr>
          <w:rFonts w:eastAsia="Times New Roman" w:cstheme="minorHAnsi"/>
          <w:color w:val="3C3030"/>
        </w:rPr>
        <w:t>he National Preparedness Goal</w:t>
      </w:r>
      <w:r w:rsidR="006436D8" w:rsidRPr="00F82B02">
        <w:rPr>
          <w:rFonts w:eastAsia="Times New Roman" w:cstheme="minorHAnsi"/>
          <w:color w:val="3C3030"/>
        </w:rPr>
        <w:t>.</w:t>
      </w:r>
      <w:r w:rsidR="00031FA4">
        <w:rPr>
          <w:rStyle w:val="FootnoteReference"/>
          <w:rFonts w:eastAsia="Times New Roman" w:cstheme="minorHAnsi"/>
          <w:color w:val="3C3030"/>
        </w:rPr>
        <w:footnoteReference w:id="37"/>
      </w:r>
      <w:r w:rsidR="00200AEB" w:rsidRPr="00F82B02">
        <w:rPr>
          <w:rFonts w:eastAsia="Times New Roman" w:cstheme="minorHAnsi"/>
          <w:color w:val="3C3030"/>
        </w:rPr>
        <w:t xml:space="preserve"> </w:t>
      </w:r>
      <w:r w:rsidR="00E76AD2" w:rsidRPr="00F82B02">
        <w:rPr>
          <w:rFonts w:eastAsia="Times New Roman" w:cstheme="minorHAnsi"/>
          <w:color w:val="3C3030"/>
        </w:rPr>
        <w:t xml:space="preserve">FEMA identifies the following six components of the National Preparedness System: </w:t>
      </w:r>
      <w:r w:rsidR="003F29C1" w:rsidRPr="00F82B02">
        <w:rPr>
          <w:rFonts w:eastAsia="Times New Roman" w:cstheme="minorHAnsi"/>
          <w:color w:val="3C3030"/>
        </w:rPr>
        <w:t>(1) i</w:t>
      </w:r>
      <w:r w:rsidR="00E76AD2" w:rsidRPr="00F82B02">
        <w:rPr>
          <w:rFonts w:eastAsia="Times New Roman" w:cstheme="minorHAnsi"/>
          <w:color w:val="3C3030"/>
        </w:rPr>
        <w:t xml:space="preserve">dentifying and </w:t>
      </w:r>
      <w:r w:rsidR="003F29C1" w:rsidRPr="00F82B02">
        <w:rPr>
          <w:rFonts w:eastAsia="Times New Roman" w:cstheme="minorHAnsi"/>
          <w:color w:val="3C3030"/>
        </w:rPr>
        <w:t>a</w:t>
      </w:r>
      <w:r w:rsidR="00E76AD2" w:rsidRPr="00F82B02">
        <w:rPr>
          <w:rFonts w:eastAsia="Times New Roman" w:cstheme="minorHAnsi"/>
          <w:color w:val="3C3030"/>
        </w:rPr>
        <w:t xml:space="preserve">ssessing </w:t>
      </w:r>
      <w:r w:rsidR="003F29C1" w:rsidRPr="00F82B02">
        <w:rPr>
          <w:rFonts w:eastAsia="Times New Roman" w:cstheme="minorHAnsi"/>
          <w:color w:val="3C3030"/>
        </w:rPr>
        <w:t>r</w:t>
      </w:r>
      <w:r w:rsidR="00E76AD2" w:rsidRPr="00F82B02">
        <w:rPr>
          <w:rFonts w:eastAsia="Times New Roman" w:cstheme="minorHAnsi"/>
          <w:color w:val="3C3030"/>
        </w:rPr>
        <w:t>isk</w:t>
      </w:r>
      <w:r w:rsidR="00291246" w:rsidRPr="00F82B02">
        <w:rPr>
          <w:rFonts w:eastAsia="Times New Roman" w:cstheme="minorHAnsi"/>
          <w:color w:val="3C3030"/>
        </w:rPr>
        <w:t>; (2) e</w:t>
      </w:r>
      <w:r w:rsidR="00E76AD2" w:rsidRPr="00F82B02">
        <w:rPr>
          <w:rFonts w:eastAsia="Times New Roman" w:cstheme="minorHAnsi"/>
          <w:color w:val="3C3030"/>
        </w:rPr>
        <w:t xml:space="preserve">stimating </w:t>
      </w:r>
      <w:r w:rsidR="00291246" w:rsidRPr="00F82B02">
        <w:rPr>
          <w:rFonts w:eastAsia="Times New Roman" w:cstheme="minorHAnsi"/>
          <w:color w:val="3C3030"/>
        </w:rPr>
        <w:t>c</w:t>
      </w:r>
      <w:r w:rsidR="00E76AD2" w:rsidRPr="00F82B02">
        <w:rPr>
          <w:rFonts w:eastAsia="Times New Roman" w:cstheme="minorHAnsi"/>
          <w:color w:val="3C3030"/>
        </w:rPr>
        <w:t xml:space="preserve">apability </w:t>
      </w:r>
      <w:r w:rsidR="00291246" w:rsidRPr="00F82B02">
        <w:rPr>
          <w:rFonts w:eastAsia="Times New Roman" w:cstheme="minorHAnsi"/>
          <w:color w:val="3C3030"/>
        </w:rPr>
        <w:t>r</w:t>
      </w:r>
      <w:r w:rsidR="00E76AD2" w:rsidRPr="00F82B02">
        <w:rPr>
          <w:rFonts w:eastAsia="Times New Roman" w:cstheme="minorHAnsi"/>
          <w:color w:val="3C3030"/>
        </w:rPr>
        <w:t>equirements</w:t>
      </w:r>
      <w:r w:rsidR="00291246" w:rsidRPr="00F82B02">
        <w:rPr>
          <w:rFonts w:eastAsia="Times New Roman" w:cstheme="minorHAnsi"/>
          <w:color w:val="3C3030"/>
        </w:rPr>
        <w:t xml:space="preserve"> to address risks; (3) b</w:t>
      </w:r>
      <w:r w:rsidR="00E76AD2" w:rsidRPr="00F82B02">
        <w:rPr>
          <w:rFonts w:eastAsia="Times New Roman" w:cstheme="minorHAnsi"/>
          <w:color w:val="3C3030"/>
        </w:rPr>
        <w:t xml:space="preserve">uilding and </w:t>
      </w:r>
      <w:r w:rsidR="00291246" w:rsidRPr="00F82B02">
        <w:rPr>
          <w:rFonts w:eastAsia="Times New Roman" w:cstheme="minorHAnsi"/>
          <w:color w:val="3C3030"/>
        </w:rPr>
        <w:t>s</w:t>
      </w:r>
      <w:r w:rsidR="00E76AD2" w:rsidRPr="00F82B02">
        <w:rPr>
          <w:rFonts w:eastAsia="Times New Roman" w:cstheme="minorHAnsi"/>
          <w:color w:val="3C3030"/>
        </w:rPr>
        <w:t xml:space="preserve">ustaining </w:t>
      </w:r>
      <w:r w:rsidR="00291246" w:rsidRPr="00F82B02">
        <w:rPr>
          <w:rFonts w:eastAsia="Times New Roman" w:cstheme="minorHAnsi"/>
          <w:color w:val="3C3030"/>
        </w:rPr>
        <w:lastRenderedPageBreak/>
        <w:t>c</w:t>
      </w:r>
      <w:r w:rsidR="00E76AD2" w:rsidRPr="00F82B02">
        <w:rPr>
          <w:rFonts w:eastAsia="Times New Roman" w:cstheme="minorHAnsi"/>
          <w:color w:val="3C3030"/>
        </w:rPr>
        <w:t>apabilities</w:t>
      </w:r>
      <w:r w:rsidR="00291246" w:rsidRPr="00F82B02">
        <w:rPr>
          <w:rFonts w:eastAsia="Times New Roman" w:cstheme="minorHAnsi"/>
          <w:color w:val="3C3030"/>
        </w:rPr>
        <w:t>; (4) p</w:t>
      </w:r>
      <w:r w:rsidR="00E76AD2" w:rsidRPr="00F82B02">
        <w:rPr>
          <w:rFonts w:eastAsia="Times New Roman" w:cstheme="minorHAnsi"/>
          <w:color w:val="3C3030"/>
        </w:rPr>
        <w:t xml:space="preserve">lanning to </w:t>
      </w:r>
      <w:r w:rsidR="00291246" w:rsidRPr="00F82B02">
        <w:rPr>
          <w:rFonts w:eastAsia="Times New Roman" w:cstheme="minorHAnsi"/>
          <w:color w:val="3C3030"/>
        </w:rPr>
        <w:t>d</w:t>
      </w:r>
      <w:r w:rsidR="00E76AD2" w:rsidRPr="00F82B02">
        <w:rPr>
          <w:rFonts w:eastAsia="Times New Roman" w:cstheme="minorHAnsi"/>
          <w:color w:val="3C3030"/>
        </w:rPr>
        <w:t xml:space="preserve">eliver </w:t>
      </w:r>
      <w:r w:rsidR="00291246" w:rsidRPr="00F82B02">
        <w:rPr>
          <w:rFonts w:eastAsia="Times New Roman" w:cstheme="minorHAnsi"/>
          <w:color w:val="3C3030"/>
        </w:rPr>
        <w:t>c</w:t>
      </w:r>
      <w:r w:rsidR="00E76AD2" w:rsidRPr="00F82B02">
        <w:rPr>
          <w:rFonts w:eastAsia="Times New Roman" w:cstheme="minorHAnsi"/>
          <w:color w:val="3C3030"/>
        </w:rPr>
        <w:t>apabilities</w:t>
      </w:r>
      <w:r w:rsidR="00291246" w:rsidRPr="00F82B02">
        <w:rPr>
          <w:rFonts w:eastAsia="Times New Roman" w:cstheme="minorHAnsi"/>
          <w:color w:val="3C3030"/>
        </w:rPr>
        <w:t xml:space="preserve"> through a whole-community approach</w:t>
      </w:r>
      <w:r w:rsidR="00F82B02" w:rsidRPr="00F82B02">
        <w:rPr>
          <w:rFonts w:eastAsia="Times New Roman" w:cstheme="minorHAnsi"/>
          <w:color w:val="3C3030"/>
        </w:rPr>
        <w:t>; (5) v</w:t>
      </w:r>
      <w:r w:rsidR="00E76AD2" w:rsidRPr="00F82B02">
        <w:rPr>
          <w:rFonts w:eastAsia="Times New Roman" w:cstheme="minorHAnsi"/>
          <w:color w:val="3C3030"/>
        </w:rPr>
        <w:t xml:space="preserve">alidating </w:t>
      </w:r>
      <w:r w:rsidR="00F82B02">
        <w:rPr>
          <w:rFonts w:eastAsia="Times New Roman" w:cstheme="minorHAnsi"/>
          <w:color w:val="3C3030"/>
        </w:rPr>
        <w:t>c</w:t>
      </w:r>
      <w:r w:rsidR="00E76AD2" w:rsidRPr="00F82B02">
        <w:rPr>
          <w:rFonts w:eastAsia="Times New Roman" w:cstheme="minorHAnsi"/>
          <w:color w:val="3C3030"/>
        </w:rPr>
        <w:t>apabilities</w:t>
      </w:r>
      <w:r w:rsidR="00F82B02">
        <w:rPr>
          <w:rFonts w:eastAsia="Times New Roman" w:cstheme="minorHAnsi"/>
          <w:color w:val="3C3030"/>
        </w:rPr>
        <w:t xml:space="preserve"> through </w:t>
      </w:r>
      <w:r w:rsidR="003B6C2B">
        <w:rPr>
          <w:rFonts w:eastAsia="Times New Roman" w:cstheme="minorHAnsi"/>
          <w:color w:val="3C3030"/>
        </w:rPr>
        <w:t>exerci</w:t>
      </w:r>
      <w:r w:rsidR="00AB006E">
        <w:rPr>
          <w:rFonts w:eastAsia="Times New Roman" w:cstheme="minorHAnsi"/>
          <w:color w:val="3C3030"/>
        </w:rPr>
        <w:t>ses and simulations; and (6)</w:t>
      </w:r>
      <w:r w:rsidR="00E76AD2" w:rsidRPr="00F82B02">
        <w:rPr>
          <w:rFonts w:eastAsia="Times New Roman" w:cstheme="minorHAnsi"/>
          <w:color w:val="3C3030"/>
        </w:rPr>
        <w:t xml:space="preserve"> </w:t>
      </w:r>
      <w:r w:rsidR="00AB006E">
        <w:rPr>
          <w:rFonts w:eastAsia="Times New Roman" w:cstheme="minorHAnsi"/>
          <w:color w:val="3C3030"/>
        </w:rPr>
        <w:t xml:space="preserve">reviewing </w:t>
      </w:r>
      <w:r w:rsidR="00D8756B">
        <w:rPr>
          <w:rFonts w:eastAsia="Times New Roman" w:cstheme="minorHAnsi"/>
          <w:color w:val="3C3030"/>
        </w:rPr>
        <w:t xml:space="preserve">and updating </w:t>
      </w:r>
      <w:r w:rsidR="00B45292">
        <w:rPr>
          <w:rFonts w:eastAsia="Times New Roman" w:cstheme="minorHAnsi"/>
          <w:color w:val="3C3030"/>
        </w:rPr>
        <w:t>plans and capabilities as risks change over time.</w:t>
      </w:r>
      <w:r w:rsidR="00B45292">
        <w:rPr>
          <w:rStyle w:val="FootnoteReference"/>
          <w:rFonts w:eastAsia="Times New Roman" w:cstheme="minorHAnsi"/>
          <w:color w:val="3C3030"/>
        </w:rPr>
        <w:footnoteReference w:id="38"/>
      </w:r>
      <w:r w:rsidR="00C06670">
        <w:rPr>
          <w:rFonts w:eastAsia="Times New Roman" w:cstheme="minorHAnsi"/>
          <w:color w:val="3C3030"/>
        </w:rPr>
        <w:t xml:space="preserve"> DH</w:t>
      </w:r>
      <w:r w:rsidR="004836A0">
        <w:rPr>
          <w:rFonts w:eastAsia="Times New Roman" w:cstheme="minorHAnsi"/>
          <w:color w:val="3C3030"/>
        </w:rPr>
        <w:t>S</w:t>
      </w:r>
      <w:r w:rsidR="00C06670">
        <w:rPr>
          <w:rFonts w:eastAsia="Times New Roman" w:cstheme="minorHAnsi"/>
          <w:color w:val="3C3030"/>
        </w:rPr>
        <w:t xml:space="preserve"> and FEMA have created </w:t>
      </w:r>
      <w:r w:rsidR="00E92A44">
        <w:rPr>
          <w:rFonts w:eastAsia="Times New Roman" w:cstheme="minorHAnsi"/>
          <w:color w:val="3C3030"/>
        </w:rPr>
        <w:t xml:space="preserve">resources and tools </w:t>
      </w:r>
      <w:r w:rsidR="001568C0">
        <w:rPr>
          <w:rFonts w:eastAsia="Times New Roman" w:cstheme="minorHAnsi"/>
          <w:color w:val="3C3030"/>
        </w:rPr>
        <w:t>that address these six elements</w:t>
      </w:r>
      <w:r w:rsidR="00701EFB">
        <w:rPr>
          <w:rFonts w:eastAsia="Times New Roman" w:cstheme="minorHAnsi"/>
          <w:color w:val="3C3030"/>
        </w:rPr>
        <w:t xml:space="preserve"> and</w:t>
      </w:r>
      <w:r w:rsidR="004B6B37">
        <w:rPr>
          <w:rFonts w:eastAsia="Times New Roman" w:cstheme="minorHAnsi"/>
          <w:color w:val="3C3030"/>
        </w:rPr>
        <w:t xml:space="preserve"> t</w:t>
      </w:r>
      <w:r w:rsidR="00E92A44">
        <w:rPr>
          <w:rFonts w:eastAsia="Times New Roman" w:cstheme="minorHAnsi"/>
          <w:color w:val="3C3030"/>
        </w:rPr>
        <w:t>o assist STLT</w:t>
      </w:r>
      <w:r w:rsidR="001568C0">
        <w:rPr>
          <w:rFonts w:eastAsia="Times New Roman" w:cstheme="minorHAnsi"/>
          <w:color w:val="3C3030"/>
        </w:rPr>
        <w:t xml:space="preserve">s </w:t>
      </w:r>
      <w:r w:rsidR="00701EFB">
        <w:rPr>
          <w:rFonts w:eastAsia="Times New Roman" w:cstheme="minorHAnsi"/>
          <w:color w:val="3C3030"/>
        </w:rPr>
        <w:t>in their own emergency preparedness and response activities.</w:t>
      </w:r>
      <w:r w:rsidR="00701EFB">
        <w:rPr>
          <w:rStyle w:val="FootnoteReference"/>
          <w:rFonts w:eastAsia="Times New Roman" w:cstheme="minorHAnsi"/>
          <w:color w:val="3C3030"/>
        </w:rPr>
        <w:footnoteReference w:id="39"/>
      </w:r>
    </w:p>
    <w:p w14:paraId="2D53E051" w14:textId="77777777" w:rsidR="006436D8" w:rsidRPr="00B45292" w:rsidRDefault="006436D8" w:rsidP="00B45292">
      <w:pPr>
        <w:spacing w:line="360" w:lineRule="auto"/>
        <w:rPr>
          <w:rFonts w:eastAsia="Times New Roman" w:cstheme="minorHAnsi"/>
          <w:b/>
          <w:bCs/>
          <w:color w:val="3C3030"/>
        </w:rPr>
      </w:pPr>
    </w:p>
    <w:p w14:paraId="7C3D27D5" w14:textId="23A42C7D" w:rsidR="001117BB" w:rsidRPr="000127C6" w:rsidRDefault="00125D30" w:rsidP="007614E3">
      <w:pPr>
        <w:pStyle w:val="ListParagraph"/>
        <w:numPr>
          <w:ilvl w:val="0"/>
          <w:numId w:val="11"/>
        </w:numPr>
        <w:spacing w:line="360" w:lineRule="auto"/>
        <w:rPr>
          <w:rFonts w:eastAsia="Times New Roman" w:cstheme="minorHAnsi"/>
          <w:b/>
          <w:bCs/>
          <w:color w:val="3C3030"/>
        </w:rPr>
      </w:pPr>
      <w:r w:rsidRPr="000127C6">
        <w:rPr>
          <w:rFonts w:eastAsia="Times New Roman" w:cstheme="minorHAnsi"/>
          <w:b/>
          <w:bCs/>
          <w:color w:val="3C3030"/>
        </w:rPr>
        <w:t>National Response Framework (NRF)</w:t>
      </w:r>
      <w:r w:rsidRPr="000127C6">
        <w:rPr>
          <w:rFonts w:eastAsia="Times New Roman" w:cstheme="minorHAnsi"/>
          <w:color w:val="3C3030"/>
        </w:rPr>
        <w:t xml:space="preserve"> – Establishes </w:t>
      </w:r>
      <w:r w:rsidR="00787D73" w:rsidRPr="000127C6">
        <w:rPr>
          <w:rFonts w:eastAsia="Times New Roman" w:cstheme="minorHAnsi"/>
          <w:color w:val="3C3030"/>
        </w:rPr>
        <w:t xml:space="preserve">the </w:t>
      </w:r>
      <w:r w:rsidR="00C930C9" w:rsidRPr="000127C6">
        <w:rPr>
          <w:rFonts w:eastAsia="Times New Roman" w:cstheme="minorHAnsi"/>
          <w:color w:val="3C3030"/>
        </w:rPr>
        <w:t>foundation</w:t>
      </w:r>
      <w:r w:rsidR="00A71466" w:rsidRPr="000127C6">
        <w:rPr>
          <w:rFonts w:eastAsia="Times New Roman" w:cstheme="minorHAnsi"/>
          <w:color w:val="3C3030"/>
        </w:rPr>
        <w:t>al</w:t>
      </w:r>
      <w:r w:rsidR="00C930C9" w:rsidRPr="000127C6">
        <w:rPr>
          <w:rFonts w:eastAsia="Times New Roman" w:cstheme="minorHAnsi"/>
          <w:color w:val="3C3030"/>
        </w:rPr>
        <w:t xml:space="preserve"> </w:t>
      </w:r>
      <w:r w:rsidR="00787D73" w:rsidRPr="000127C6">
        <w:rPr>
          <w:rFonts w:eastAsia="Times New Roman" w:cstheme="minorHAnsi"/>
          <w:color w:val="3C3030"/>
        </w:rPr>
        <w:t xml:space="preserve">strategies </w:t>
      </w:r>
      <w:r w:rsidR="00A71466" w:rsidRPr="000127C6">
        <w:rPr>
          <w:rFonts w:eastAsia="Times New Roman" w:cstheme="minorHAnsi"/>
          <w:color w:val="3C3030"/>
        </w:rPr>
        <w:t>for responding to</w:t>
      </w:r>
      <w:r w:rsidR="009F2B74" w:rsidRPr="000127C6">
        <w:rPr>
          <w:rFonts w:eastAsia="Times New Roman" w:cstheme="minorHAnsi"/>
          <w:color w:val="3C3030"/>
        </w:rPr>
        <w:t xml:space="preserve"> emergencies. </w:t>
      </w:r>
      <w:r w:rsidR="000127C6">
        <w:rPr>
          <w:rFonts w:eastAsia="Times New Roman" w:cstheme="minorHAnsi"/>
          <w:color w:val="3C3030"/>
        </w:rPr>
        <w:t>T</w:t>
      </w:r>
      <w:r w:rsidR="001117BB" w:rsidRPr="000127C6">
        <w:rPr>
          <w:rFonts w:eastAsia="Times New Roman" w:cstheme="minorHAnsi"/>
        </w:rPr>
        <w:t>he NRF is implemented by</w:t>
      </w:r>
      <w:r w:rsidR="009F2B74" w:rsidRPr="000127C6">
        <w:rPr>
          <w:rFonts w:eastAsia="Times New Roman" w:cstheme="minorHAnsi"/>
        </w:rPr>
        <w:t xml:space="preserve"> FEMA, which released the fourth edition of the NRF in 2019</w:t>
      </w:r>
      <w:r w:rsidR="001117BB" w:rsidRPr="000127C6">
        <w:rPr>
          <w:rFonts w:eastAsia="Times New Roman" w:cstheme="minorHAnsi"/>
        </w:rPr>
        <w:t>.</w:t>
      </w:r>
      <w:r w:rsidR="00FB58E2">
        <w:rPr>
          <w:rStyle w:val="FootnoteReference"/>
          <w:rFonts w:eastAsia="Times New Roman" w:cstheme="minorHAnsi"/>
        </w:rPr>
        <w:footnoteReference w:id="40"/>
      </w:r>
      <w:r w:rsidR="001117BB" w:rsidRPr="000127C6">
        <w:rPr>
          <w:rFonts w:eastAsia="Times New Roman" w:cstheme="minorHAnsi"/>
        </w:rPr>
        <w:t xml:space="preserve"> The NRF is not a source of legal authority for incident response; it is used to guide response activities that arise from events of all sizes whether an emergency is declared or not. The NRF uses a national, all-hazards approach that describes and integrates roles for federal, state, local, territorial, and tribal governments</w:t>
      </w:r>
      <w:r w:rsidR="004C2B92">
        <w:rPr>
          <w:rFonts w:eastAsia="Times New Roman" w:cstheme="minorHAnsi"/>
        </w:rPr>
        <w:t>,</w:t>
      </w:r>
      <w:r w:rsidR="001117BB" w:rsidRPr="000127C6">
        <w:rPr>
          <w:rFonts w:eastAsia="Times New Roman" w:cstheme="minorHAnsi"/>
        </w:rPr>
        <w:t xml:space="preserve"> and the private </w:t>
      </w:r>
      <w:r w:rsidR="00076F31">
        <w:rPr>
          <w:rFonts w:eastAsia="Times New Roman" w:cstheme="minorHAnsi"/>
        </w:rPr>
        <w:t xml:space="preserve">and non-profit </w:t>
      </w:r>
      <w:r w:rsidR="001117BB" w:rsidRPr="000127C6">
        <w:rPr>
          <w:rFonts w:eastAsia="Times New Roman" w:cstheme="minorHAnsi"/>
        </w:rPr>
        <w:t>sector</w:t>
      </w:r>
      <w:r w:rsidR="00076F31">
        <w:rPr>
          <w:rFonts w:eastAsia="Times New Roman" w:cstheme="minorHAnsi"/>
        </w:rPr>
        <w:t>s</w:t>
      </w:r>
      <w:r w:rsidR="001117BB" w:rsidRPr="000127C6">
        <w:rPr>
          <w:rFonts w:eastAsia="Times New Roman" w:cstheme="minorHAnsi"/>
        </w:rPr>
        <w:t xml:space="preserve"> in preparing, responding, and recovering from incidents. The NRF uses </w:t>
      </w:r>
      <w:r w:rsidR="00523495" w:rsidRPr="00125D30">
        <w:rPr>
          <w:rFonts w:eastAsia="Times New Roman" w:cstheme="minorHAnsi"/>
          <w:color w:val="3C3030"/>
        </w:rPr>
        <w:t>scalable</w:t>
      </w:r>
      <w:r w:rsidR="00523495">
        <w:rPr>
          <w:rFonts w:eastAsia="Times New Roman" w:cstheme="minorHAnsi"/>
          <w:color w:val="3C3030"/>
        </w:rPr>
        <w:t xml:space="preserve"> and </w:t>
      </w:r>
      <w:r w:rsidR="00523495" w:rsidRPr="00125D30">
        <w:rPr>
          <w:rFonts w:eastAsia="Times New Roman" w:cstheme="minorHAnsi"/>
          <w:color w:val="3C3030"/>
        </w:rPr>
        <w:t xml:space="preserve">adaptable concepts identified </w:t>
      </w:r>
      <w:r w:rsidR="001117BB" w:rsidRPr="000127C6">
        <w:rPr>
          <w:rFonts w:eastAsia="Times New Roman" w:cstheme="minorHAnsi"/>
        </w:rPr>
        <w:t>the National Incident Management System to coordinate response activities among governments and organizations at all levels.</w:t>
      </w:r>
      <w:r w:rsidR="00653E21">
        <w:rPr>
          <w:rStyle w:val="FootnoteReference"/>
          <w:rFonts w:eastAsia="Times New Roman" w:cstheme="minorHAnsi"/>
        </w:rPr>
        <w:footnoteReference w:id="41"/>
      </w:r>
      <w:r w:rsidR="001117BB" w:rsidRPr="000127C6">
        <w:rPr>
          <w:rFonts w:eastAsia="Times New Roman" w:cstheme="minorHAnsi"/>
        </w:rPr>
        <w:t xml:space="preserve"> </w:t>
      </w:r>
      <w:r w:rsidR="00FB58E2">
        <w:rPr>
          <w:rFonts w:eastAsia="Times New Roman" w:cstheme="minorHAnsi"/>
        </w:rPr>
        <w:t xml:space="preserve">Jurisdictions </w:t>
      </w:r>
      <w:r w:rsidR="001117BB" w:rsidRPr="000127C6">
        <w:rPr>
          <w:rFonts w:eastAsia="Times New Roman" w:cstheme="minorHAnsi"/>
        </w:rPr>
        <w:t xml:space="preserve">have looked to the NRF </w:t>
      </w:r>
      <w:r w:rsidR="00653E21" w:rsidRPr="000127C6">
        <w:rPr>
          <w:rFonts w:eastAsia="Times New Roman" w:cstheme="minorHAnsi"/>
        </w:rPr>
        <w:t>to</w:t>
      </w:r>
      <w:r w:rsidR="001117BB" w:rsidRPr="000127C6">
        <w:rPr>
          <w:rFonts w:eastAsia="Times New Roman" w:cstheme="minorHAnsi"/>
        </w:rPr>
        <w:t xml:space="preserve"> structure their </w:t>
      </w:r>
      <w:r w:rsidR="00653E21">
        <w:rPr>
          <w:rFonts w:eastAsia="Times New Roman" w:cstheme="minorHAnsi"/>
        </w:rPr>
        <w:t xml:space="preserve">own </w:t>
      </w:r>
      <w:r w:rsidR="001117BB" w:rsidRPr="000127C6">
        <w:rPr>
          <w:rFonts w:eastAsia="Times New Roman" w:cstheme="minorHAnsi"/>
        </w:rPr>
        <w:t xml:space="preserve">response plans. </w:t>
      </w:r>
    </w:p>
    <w:p w14:paraId="5742E551" w14:textId="77777777" w:rsidR="000127C6" w:rsidRDefault="000127C6" w:rsidP="00272016">
      <w:pPr>
        <w:spacing w:line="360" w:lineRule="auto"/>
        <w:rPr>
          <w:rFonts w:eastAsia="Times New Roman" w:cstheme="minorHAnsi"/>
          <w:b/>
          <w:bCs/>
          <w:sz w:val="28"/>
          <w:szCs w:val="24"/>
        </w:rPr>
      </w:pPr>
    </w:p>
    <w:p w14:paraId="46E2884C" w14:textId="78204511" w:rsidR="00A26A75" w:rsidRPr="00CE363E" w:rsidRDefault="00A26A75" w:rsidP="00A26A75">
      <w:pPr>
        <w:pStyle w:val="ListParagraph"/>
        <w:numPr>
          <w:ilvl w:val="0"/>
          <w:numId w:val="12"/>
        </w:numPr>
        <w:spacing w:line="360" w:lineRule="auto"/>
        <w:rPr>
          <w:rFonts w:eastAsia="Times New Roman" w:cstheme="minorHAnsi"/>
          <w:b/>
          <w:bCs/>
          <w:color w:val="3C3030"/>
        </w:rPr>
      </w:pPr>
      <w:r w:rsidRPr="00A26A75">
        <w:rPr>
          <w:rFonts w:eastAsia="Times New Roman" w:cstheme="minorHAnsi"/>
          <w:b/>
          <w:bCs/>
          <w:color w:val="3C3030"/>
        </w:rPr>
        <w:t xml:space="preserve">National Strategy Documents - </w:t>
      </w:r>
      <w:r w:rsidRPr="00A26A75">
        <w:rPr>
          <w:rFonts w:eastAsia="Times New Roman" w:cstheme="minorHAnsi"/>
          <w:szCs w:val="20"/>
        </w:rPr>
        <w:t xml:space="preserve">Federal legislation and presidential directives called for the development of strategies and plans to chart the nation’s planning and response activities for emergencies. These documents complement the National Response Framework, which establishes a national, all-hazards response structure. Key national strategy documents include the </w:t>
      </w:r>
      <w:r w:rsidRPr="00A26A75">
        <w:rPr>
          <w:rFonts w:eastAsia="Times New Roman" w:cstheme="minorHAnsi"/>
          <w:szCs w:val="20"/>
          <w:bdr w:val="none" w:sz="0" w:space="0" w:color="auto" w:frame="1"/>
        </w:rPr>
        <w:t>National Health Security Strategy</w:t>
      </w:r>
      <w:r w:rsidR="008E035B">
        <w:rPr>
          <w:rStyle w:val="FootnoteReference"/>
          <w:rFonts w:eastAsia="Times New Roman" w:cstheme="minorHAnsi"/>
          <w:szCs w:val="20"/>
          <w:bdr w:val="none" w:sz="0" w:space="0" w:color="auto" w:frame="1"/>
        </w:rPr>
        <w:footnoteReference w:id="42"/>
      </w:r>
      <w:r w:rsidR="00465DFA">
        <w:rPr>
          <w:rFonts w:eastAsia="Times New Roman" w:cstheme="minorHAnsi"/>
          <w:szCs w:val="20"/>
          <w:bdr w:val="none" w:sz="0" w:space="0" w:color="auto" w:frame="1"/>
        </w:rPr>
        <w:t xml:space="preserve"> and </w:t>
      </w:r>
      <w:r w:rsidRPr="00A26A75">
        <w:rPr>
          <w:rFonts w:eastAsia="Times New Roman" w:cstheme="minorHAnsi"/>
          <w:szCs w:val="20"/>
        </w:rPr>
        <w:t xml:space="preserve">the </w:t>
      </w:r>
      <w:r w:rsidRPr="00A26A75">
        <w:rPr>
          <w:rFonts w:eastAsia="Times New Roman" w:cstheme="minorHAnsi"/>
          <w:szCs w:val="20"/>
          <w:bdr w:val="none" w:sz="0" w:space="0" w:color="auto" w:frame="1"/>
        </w:rPr>
        <w:t>National Strategy for Pandemic Influenza</w:t>
      </w:r>
      <w:r w:rsidR="00175724">
        <w:rPr>
          <w:rStyle w:val="FootnoteReference"/>
          <w:rFonts w:eastAsia="Times New Roman" w:cstheme="minorHAnsi"/>
          <w:szCs w:val="20"/>
          <w:bdr w:val="none" w:sz="0" w:space="0" w:color="auto" w:frame="1"/>
        </w:rPr>
        <w:footnoteReference w:id="43"/>
      </w:r>
      <w:r w:rsidR="005548AD">
        <w:rPr>
          <w:rFonts w:eastAsia="Times New Roman" w:cstheme="minorHAnsi"/>
          <w:szCs w:val="20"/>
          <w:bdr w:val="none" w:sz="0" w:space="0" w:color="auto" w:frame="1"/>
        </w:rPr>
        <w:t xml:space="preserve"> </w:t>
      </w:r>
      <w:r w:rsidRPr="00A26A75">
        <w:rPr>
          <w:rFonts w:eastAsia="Times New Roman" w:cstheme="minorHAnsi"/>
          <w:szCs w:val="20"/>
        </w:rPr>
        <w:t xml:space="preserve">The national strategies </w:t>
      </w:r>
      <w:r w:rsidRPr="00A26A75">
        <w:rPr>
          <w:rFonts w:eastAsia="Times New Roman" w:cstheme="minorHAnsi"/>
          <w:szCs w:val="20"/>
        </w:rPr>
        <w:lastRenderedPageBreak/>
        <w:t>also address plans for coordinating with state, local, territorial, and tribal governments, and the private sector.</w:t>
      </w:r>
    </w:p>
    <w:p w14:paraId="334BA5D2" w14:textId="77777777" w:rsidR="007670A0" w:rsidRPr="007670A0" w:rsidRDefault="007670A0" w:rsidP="007670A0">
      <w:pPr>
        <w:spacing w:line="360" w:lineRule="auto"/>
        <w:rPr>
          <w:rFonts w:eastAsia="Times New Roman" w:cstheme="minorHAnsi"/>
          <w:b/>
          <w:bCs/>
          <w:color w:val="3C3030"/>
        </w:rPr>
      </w:pPr>
    </w:p>
    <w:p w14:paraId="2DEBD239" w14:textId="06B6F3CF" w:rsidR="00AB1B21" w:rsidRPr="00AB1B21" w:rsidRDefault="007670A0" w:rsidP="00156327">
      <w:pPr>
        <w:pStyle w:val="ListParagraph"/>
        <w:numPr>
          <w:ilvl w:val="0"/>
          <w:numId w:val="12"/>
        </w:numPr>
        <w:spacing w:line="360" w:lineRule="auto"/>
        <w:rPr>
          <w:rFonts w:eastAsia="Times New Roman" w:cstheme="minorHAnsi"/>
          <w:b/>
          <w:bCs/>
          <w:color w:val="3C3030"/>
        </w:rPr>
      </w:pPr>
      <w:r w:rsidRPr="00AB1B21">
        <w:rPr>
          <w:rFonts w:eastAsia="Times New Roman" w:cstheme="minorHAnsi"/>
          <w:b/>
          <w:bCs/>
          <w:color w:val="3C3030"/>
        </w:rPr>
        <w:t xml:space="preserve">National Incident Management System - </w:t>
      </w:r>
      <w:r w:rsidRPr="00AB1B21">
        <w:rPr>
          <w:rFonts w:eastAsia="Times New Roman" w:cstheme="minorHAnsi"/>
        </w:rPr>
        <w:t xml:space="preserve">The </w:t>
      </w:r>
      <w:r w:rsidRPr="00AB1B21">
        <w:rPr>
          <w:rFonts w:eastAsia="Times New Roman" w:cstheme="minorHAnsi"/>
          <w:bdr w:val="none" w:sz="0" w:space="0" w:color="auto" w:frame="1"/>
        </w:rPr>
        <w:t>National Incident Management System (NIMS)</w:t>
      </w:r>
      <w:r w:rsidRPr="00AB1B21">
        <w:rPr>
          <w:rFonts w:eastAsia="Times New Roman" w:cstheme="minorHAnsi"/>
        </w:rPr>
        <w:t xml:space="preserve"> establishes a framework for coordinating emergency response activities among federal, state, tribal, local, nongovernmental, and private sector organizations.</w:t>
      </w:r>
      <w:r>
        <w:rPr>
          <w:rStyle w:val="FootnoteReference"/>
          <w:rFonts w:eastAsia="Times New Roman" w:cstheme="minorHAnsi"/>
        </w:rPr>
        <w:footnoteReference w:id="44"/>
      </w:r>
      <w:r w:rsidRPr="00AB1B21">
        <w:rPr>
          <w:rFonts w:eastAsia="Times New Roman" w:cstheme="minorHAnsi"/>
        </w:rPr>
        <w:t xml:space="preserve"> </w:t>
      </w:r>
      <w:r w:rsidR="001A1C4C" w:rsidRPr="00AB1B21">
        <w:rPr>
          <w:rFonts w:eastAsia="Times New Roman" w:cstheme="minorHAnsi"/>
        </w:rPr>
        <w:t xml:space="preserve">NIMS defines operational systems, including the Incident Command System (ICS), Emergency Operations Center (EOC) structures, and Multiagency Coordination Groups (MAC Groups) that guide how personnel </w:t>
      </w:r>
      <w:r w:rsidR="00DE2025">
        <w:rPr>
          <w:rFonts w:eastAsia="Times New Roman" w:cstheme="minorHAnsi"/>
        </w:rPr>
        <w:t>interact</w:t>
      </w:r>
      <w:r w:rsidR="001A1C4C" w:rsidRPr="00AB1B21">
        <w:rPr>
          <w:rFonts w:eastAsia="Times New Roman" w:cstheme="minorHAnsi"/>
        </w:rPr>
        <w:t xml:space="preserve"> during incidents</w:t>
      </w:r>
      <w:r w:rsidR="00AB1B21" w:rsidRPr="00AB1B21">
        <w:rPr>
          <w:rFonts w:eastAsia="Times New Roman" w:cstheme="minorHAnsi"/>
        </w:rPr>
        <w:t>.</w:t>
      </w:r>
      <w:r w:rsidR="00DE2025">
        <w:rPr>
          <w:rStyle w:val="FootnoteReference"/>
          <w:rFonts w:eastAsia="Times New Roman" w:cstheme="minorHAnsi"/>
        </w:rPr>
        <w:footnoteReference w:id="45"/>
      </w:r>
      <w:r w:rsidR="00AB1B21">
        <w:rPr>
          <w:rFonts w:eastAsia="Times New Roman" w:cstheme="minorHAnsi"/>
        </w:rPr>
        <w:t xml:space="preserve"> </w:t>
      </w:r>
      <w:r w:rsidRPr="00AB1B21">
        <w:rPr>
          <w:rFonts w:eastAsia="Times New Roman" w:cstheme="minorHAnsi"/>
        </w:rPr>
        <w:t xml:space="preserve">NIMS </w:t>
      </w:r>
      <w:r w:rsidR="009F5260" w:rsidRPr="00AB1B21">
        <w:rPr>
          <w:rFonts w:eastAsia="Times New Roman" w:cstheme="minorHAnsi"/>
        </w:rPr>
        <w:t>provides a</w:t>
      </w:r>
      <w:r w:rsidRPr="00AB1B21">
        <w:rPr>
          <w:rFonts w:eastAsia="Times New Roman" w:cstheme="minorHAnsi"/>
        </w:rPr>
        <w:t xml:space="preserve"> consistent framework for management </w:t>
      </w:r>
      <w:r w:rsidR="009F5260" w:rsidRPr="00AB1B21">
        <w:rPr>
          <w:rFonts w:eastAsia="Times New Roman" w:cstheme="minorHAnsi"/>
        </w:rPr>
        <w:t xml:space="preserve">of incidents </w:t>
      </w:r>
      <w:r w:rsidRPr="00AB1B21">
        <w:rPr>
          <w:rFonts w:eastAsia="Times New Roman" w:cstheme="minorHAnsi"/>
        </w:rPr>
        <w:t xml:space="preserve">at all jurisdictional levels regardless of the cause, size, or complexity of the event. </w:t>
      </w:r>
    </w:p>
    <w:p w14:paraId="0AA41A80" w14:textId="77777777" w:rsidR="007670A0" w:rsidRPr="007670A0" w:rsidRDefault="007670A0" w:rsidP="007670A0">
      <w:pPr>
        <w:spacing w:line="360" w:lineRule="auto"/>
        <w:rPr>
          <w:rFonts w:eastAsia="Times New Roman" w:cstheme="minorHAnsi"/>
          <w:b/>
          <w:bCs/>
        </w:rPr>
      </w:pPr>
    </w:p>
    <w:p w14:paraId="23E0BFEF" w14:textId="2F4F769A" w:rsidR="00527530" w:rsidRPr="0060409C" w:rsidRDefault="002508FD" w:rsidP="00527530">
      <w:pPr>
        <w:keepNext/>
        <w:spacing w:line="360" w:lineRule="auto"/>
        <w:rPr>
          <w:rFonts w:eastAsia="Times New Roman" w:cstheme="minorHAnsi"/>
          <w:b/>
          <w:bCs/>
          <w:color w:val="3C3030"/>
        </w:rPr>
      </w:pPr>
      <w:r w:rsidRPr="0060409C">
        <w:rPr>
          <w:rFonts w:eastAsia="Times New Roman" w:cstheme="minorHAnsi"/>
          <w:b/>
          <w:bCs/>
          <w:color w:val="3C3030"/>
        </w:rPr>
        <w:t xml:space="preserve">How Federal Directives and Systems Affect </w:t>
      </w:r>
      <w:r w:rsidR="007E4E0E">
        <w:rPr>
          <w:rFonts w:eastAsia="Times New Roman" w:cstheme="minorHAnsi"/>
          <w:b/>
          <w:bCs/>
          <w:color w:val="3C3030"/>
        </w:rPr>
        <w:t>STLT Jurisdictions</w:t>
      </w:r>
    </w:p>
    <w:p w14:paraId="257F0C86" w14:textId="4A1FED87" w:rsidR="002508FD" w:rsidRPr="00527530" w:rsidRDefault="002508FD" w:rsidP="00527530">
      <w:pPr>
        <w:spacing w:line="360" w:lineRule="auto"/>
        <w:rPr>
          <w:rFonts w:eastAsia="Times New Roman" w:cstheme="minorHAnsi"/>
          <w:b/>
          <w:bCs/>
          <w:color w:val="3C3030"/>
          <w:sz w:val="24"/>
          <w:szCs w:val="24"/>
        </w:rPr>
      </w:pPr>
      <w:r>
        <w:rPr>
          <w:rFonts w:eastAsia="Times New Roman" w:cstheme="minorHAnsi"/>
          <w:szCs w:val="20"/>
        </w:rPr>
        <w:t xml:space="preserve">Presidential directives establishing emergency planning and response policies and structures have directly affected </w:t>
      </w:r>
      <w:r w:rsidR="00465C32">
        <w:rPr>
          <w:rFonts w:eastAsia="Times New Roman" w:cstheme="minorHAnsi"/>
          <w:szCs w:val="20"/>
        </w:rPr>
        <w:t>STLT</w:t>
      </w:r>
      <w:r>
        <w:rPr>
          <w:rFonts w:eastAsia="Times New Roman" w:cstheme="minorHAnsi"/>
          <w:szCs w:val="20"/>
        </w:rPr>
        <w:t xml:space="preserve"> emergency preparedness and response activities. Federal agency emergency response and assistance to state, local, and tribal governments is organized according to the strategies and policies identified through various national strategies, frameworks, and protocols. </w:t>
      </w:r>
    </w:p>
    <w:p w14:paraId="339B0185" w14:textId="049BA734" w:rsidR="002508FD" w:rsidRDefault="002508FD" w:rsidP="00272016">
      <w:pPr>
        <w:spacing w:line="360" w:lineRule="auto"/>
        <w:textAlignment w:val="baseline"/>
        <w:rPr>
          <w:rFonts w:eastAsia="Times New Roman" w:cstheme="minorHAnsi"/>
          <w:szCs w:val="20"/>
        </w:rPr>
      </w:pPr>
    </w:p>
    <w:p w14:paraId="626A19A1" w14:textId="7E71AFDA" w:rsidR="008102F8" w:rsidRDefault="008102F8" w:rsidP="00272016">
      <w:pPr>
        <w:spacing w:line="360" w:lineRule="auto"/>
        <w:textAlignment w:val="baseline"/>
        <w:rPr>
          <w:rFonts w:eastAsia="Times New Roman" w:cstheme="minorHAnsi"/>
          <w:szCs w:val="20"/>
        </w:rPr>
      </w:pPr>
      <w:r>
        <w:rPr>
          <w:noProof/>
        </w:rPr>
        <mc:AlternateContent>
          <mc:Choice Requires="wps">
            <w:drawing>
              <wp:anchor distT="45720" distB="45720" distL="114300" distR="114300" simplePos="0" relativeHeight="251661312" behindDoc="0" locked="0" layoutInCell="1" allowOverlap="1" wp14:anchorId="6A743AF3" wp14:editId="7C8CC09E">
                <wp:simplePos x="0" y="0"/>
                <wp:positionH relativeFrom="margin">
                  <wp:align>center</wp:align>
                </wp:positionH>
                <wp:positionV relativeFrom="paragraph">
                  <wp:posOffset>2846683</wp:posOffset>
                </wp:positionV>
                <wp:extent cx="5514340" cy="1404620"/>
                <wp:effectExtent l="0" t="0" r="10160"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4340" cy="1404620"/>
                        </a:xfrm>
                        <a:prstGeom prst="rect">
                          <a:avLst/>
                        </a:prstGeom>
                        <a:solidFill>
                          <a:srgbClr val="FFFFFF"/>
                        </a:solidFill>
                        <a:ln w="9525">
                          <a:solidFill>
                            <a:srgbClr val="000000"/>
                          </a:solidFill>
                          <a:miter lim="800000"/>
                          <a:headEnd/>
                          <a:tailEnd/>
                        </a:ln>
                      </wps:spPr>
                      <wps:txbx>
                        <w:txbxContent>
                          <w:p w14:paraId="1B6627FB" w14:textId="3096D0F3" w:rsidR="008102F8" w:rsidRPr="004C64AD" w:rsidRDefault="008102F8" w:rsidP="008102F8">
                            <w:pPr>
                              <w:rPr>
                                <w:sz w:val="20"/>
                                <w:szCs w:val="20"/>
                              </w:rPr>
                            </w:pPr>
                            <w:r w:rsidRPr="004C64AD">
                              <w:rPr>
                                <w:sz w:val="20"/>
                                <w:szCs w:val="20"/>
                              </w:rPr>
                              <w:t xml:space="preserve">This CSTE project was funded under a cooperative agreement with the Centers for Disease Control and Prevention (NU38OT000297-01-00). The </w:t>
                            </w:r>
                            <w:r w:rsidR="0084564D">
                              <w:rPr>
                                <w:sz w:val="20"/>
                                <w:szCs w:val="20"/>
                              </w:rPr>
                              <w:t>document</w:t>
                            </w:r>
                            <w:r w:rsidRPr="004C64AD">
                              <w:rPr>
                                <w:sz w:val="20"/>
                                <w:szCs w:val="20"/>
                              </w:rPr>
                              <w:t xml:space="preserve"> was authored for CSTE by Patricia </w:t>
                            </w:r>
                            <w:r w:rsidR="00A87F41">
                              <w:rPr>
                                <w:sz w:val="20"/>
                                <w:szCs w:val="20"/>
                              </w:rPr>
                              <w:t xml:space="preserve">I. </w:t>
                            </w:r>
                            <w:r w:rsidRPr="004C64AD">
                              <w:rPr>
                                <w:sz w:val="20"/>
                                <w:szCs w:val="20"/>
                              </w:rPr>
                              <w:t>Elliott JD, MPH</w:t>
                            </w:r>
                            <w:r>
                              <w:rPr>
                                <w:sz w:val="20"/>
                                <w:szCs w:val="20"/>
                              </w:rPr>
                              <w:t xml:space="preserve"> of Health|Environment Concepts.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A743AF3" id="_x0000_t202" coordsize="21600,21600" o:spt="202" path="m,l,21600r21600,l21600,xe">
                <v:stroke joinstyle="miter"/>
                <v:path gradientshapeok="t" o:connecttype="rect"/>
              </v:shapetype>
              <v:shape id="_x0000_s1027" type="#_x0000_t202" style="position:absolute;margin-left:0;margin-top:224.15pt;width:434.2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">
                <v:textbox style="mso-fit-shape-to-text:t">
                  <w:txbxContent>
                    <w:p w14:paraId="1B6627FB" w14:textId="3096D0F3" w:rsidR="008102F8" w:rsidRPr="004C64AD" w:rsidRDefault="008102F8" w:rsidP="008102F8">
                      <w:pPr>
                        <w:rPr>
                          <w:sz w:val="20"/>
                          <w:szCs w:val="20"/>
                        </w:rPr>
                      </w:pPr>
                      <w:r w:rsidRPr="004C64AD">
                        <w:rPr>
                          <w:sz w:val="20"/>
                          <w:szCs w:val="20"/>
                        </w:rPr>
                        <w:t xml:space="preserve">This CSTE project was funded under a cooperative agreement with the Centers for Disease Control and Prevention (NU38OT000297-01-00). The </w:t>
                      </w:r>
                      <w:r w:rsidR="0084564D">
                        <w:rPr>
                          <w:sz w:val="20"/>
                          <w:szCs w:val="20"/>
                        </w:rPr>
                        <w:t>document</w:t>
                      </w:r>
                      <w:r w:rsidRPr="004C64AD">
                        <w:rPr>
                          <w:sz w:val="20"/>
                          <w:szCs w:val="20"/>
                        </w:rPr>
                        <w:t xml:space="preserve"> was authored for CSTE by Patricia </w:t>
                      </w:r>
                      <w:r w:rsidR="00A87F41">
                        <w:rPr>
                          <w:sz w:val="20"/>
                          <w:szCs w:val="20"/>
                        </w:rPr>
                        <w:t xml:space="preserve">I. </w:t>
                      </w:r>
                      <w:r w:rsidRPr="004C64AD">
                        <w:rPr>
                          <w:sz w:val="20"/>
                          <w:szCs w:val="20"/>
                        </w:rPr>
                        <w:t>Elliott JD, MPH</w:t>
                      </w:r>
                      <w:r>
                        <w:rPr>
                          <w:sz w:val="20"/>
                          <w:szCs w:val="20"/>
                        </w:rPr>
                        <w:t xml:space="preserve"> of Health|Environment Concepts.</w:t>
                      </w:r>
                    </w:p>
                  </w:txbxContent>
                </v:textbox>
                <w10:wrap type="square" anchorx="margin"/>
              </v:shape>
            </w:pict>
          </mc:Fallback>
        </mc:AlternateContent>
      </w:r>
    </w:p>
    <w:sectPr w:rsidR="008102F8" w:rsidSect="00290759">
      <w:headerReference w:type="default"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5D6460" w14:textId="77777777" w:rsidR="00EE464E" w:rsidRDefault="00EE464E" w:rsidP="00155F3A">
      <w:r>
        <w:separator/>
      </w:r>
    </w:p>
  </w:endnote>
  <w:endnote w:type="continuationSeparator" w:id="0">
    <w:p w14:paraId="3F4885C3" w14:textId="77777777" w:rsidR="00EE464E" w:rsidRDefault="00EE464E" w:rsidP="00155F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1055405"/>
      <w:docPartObj>
        <w:docPartGallery w:val="Page Numbers (Bottom of Page)"/>
        <w:docPartUnique/>
      </w:docPartObj>
    </w:sdtPr>
    <w:sdtEndPr>
      <w:rPr>
        <w:noProof/>
      </w:rPr>
    </w:sdtEndPr>
    <w:sdtContent>
      <w:p w14:paraId="2ED36C2A" w14:textId="3F4F88CC" w:rsidR="00155F3A" w:rsidRDefault="00155F3A" w:rsidP="00155F3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0D451A" w14:textId="77777777" w:rsidR="00306060" w:rsidRDefault="00306060" w:rsidP="00306060">
    <w:pPr>
      <w:ind w:left="720"/>
      <w:jc w:val="center"/>
      <w:rPr>
        <w:i/>
        <w:iCs/>
        <w:sz w:val="20"/>
        <w:szCs w:val="20"/>
      </w:rPr>
    </w:pPr>
    <w:r w:rsidRPr="00026FC3">
      <w:rPr>
        <w:i/>
        <w:iCs/>
        <w:sz w:val="20"/>
        <w:szCs w:val="20"/>
      </w:rPr>
      <w:t>NOTICE: This resource is for informational purposes only</w:t>
    </w:r>
    <w:r>
      <w:rPr>
        <w:i/>
        <w:iCs/>
        <w:sz w:val="20"/>
        <w:szCs w:val="20"/>
      </w:rPr>
      <w:t xml:space="preserve">. It </w:t>
    </w:r>
    <w:r w:rsidRPr="00026FC3">
      <w:rPr>
        <w:i/>
        <w:iCs/>
        <w:sz w:val="20"/>
        <w:szCs w:val="20"/>
      </w:rPr>
      <w:t xml:space="preserve">is not intended as a </w:t>
    </w:r>
  </w:p>
  <w:p w14:paraId="6348D9B8" w14:textId="0949DBB4" w:rsidR="00290759" w:rsidRDefault="00306060" w:rsidP="00306060">
    <w:pPr>
      <w:pStyle w:val="Footer"/>
      <w:jc w:val="center"/>
    </w:pPr>
    <w:r w:rsidRPr="00026FC3">
      <w:rPr>
        <w:i/>
        <w:iCs/>
        <w:sz w:val="20"/>
        <w:szCs w:val="20"/>
      </w:rPr>
      <w:t>substitute for professional legal or other advice.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EC5D6E" w14:textId="77777777" w:rsidR="00EE464E" w:rsidRDefault="00EE464E" w:rsidP="00155F3A">
      <w:r>
        <w:separator/>
      </w:r>
    </w:p>
  </w:footnote>
  <w:footnote w:type="continuationSeparator" w:id="0">
    <w:p w14:paraId="4E66E57D" w14:textId="77777777" w:rsidR="00EE464E" w:rsidRDefault="00EE464E" w:rsidP="00155F3A">
      <w:r>
        <w:continuationSeparator/>
      </w:r>
    </w:p>
  </w:footnote>
  <w:footnote w:id="1">
    <w:p w14:paraId="55C3B79F" w14:textId="291B0F12" w:rsidR="003176CA" w:rsidRPr="00C40C50" w:rsidRDefault="00C40C50" w:rsidP="00C40C50">
      <w:pPr>
        <w:pStyle w:val="FootnoteText"/>
        <w:tabs>
          <w:tab w:val="left" w:pos="686"/>
        </w:tabs>
        <w:rPr>
          <w:b/>
          <w:bCs/>
        </w:rPr>
      </w:pPr>
      <w:r>
        <w:rPr>
          <w:b/>
          <w:bCs/>
          <w:highlight w:val="yellow"/>
        </w:rPr>
        <w:t>Footnotes will be streamlined and edited to style guide once text is finalized</w:t>
      </w:r>
    </w:p>
    <w:p w14:paraId="24F89EE0" w14:textId="76849093" w:rsidR="002A385D" w:rsidRDefault="002A385D">
      <w:pPr>
        <w:pStyle w:val="FootnoteText"/>
      </w:pPr>
      <w:r>
        <w:rPr>
          <w:rStyle w:val="FootnoteReference"/>
        </w:rPr>
        <w:footnoteRef/>
      </w:r>
      <w:r>
        <w:t xml:space="preserve"> </w:t>
      </w:r>
      <w:r w:rsidR="00EB474B">
        <w:t xml:space="preserve">Sunshine, G. &amp; Hoss, A. </w:t>
      </w:r>
      <w:r w:rsidR="00EB474B" w:rsidRPr="00EB474B">
        <w:t xml:space="preserve">Emergency Declarations and Tribes: Mechanisms Under Tribal </w:t>
      </w:r>
      <w:r w:rsidR="00EB474B">
        <w:t>a</w:t>
      </w:r>
      <w:r w:rsidR="00EB474B" w:rsidRPr="00EB474B">
        <w:t>nd Federal Law</w:t>
      </w:r>
      <w:r w:rsidR="00EB474B">
        <w:t xml:space="preserve">. </w:t>
      </w:r>
      <w:r w:rsidR="00FD72C3" w:rsidRPr="00FD72C3">
        <w:t>Mich</w:t>
      </w:r>
      <w:r w:rsidR="00FD72C3">
        <w:t xml:space="preserve">igan </w:t>
      </w:r>
      <w:r w:rsidR="00FD72C3" w:rsidRPr="00FD72C3">
        <w:t>State Int</w:t>
      </w:r>
      <w:r w:rsidR="00FD72C3">
        <w:t>ernational</w:t>
      </w:r>
      <w:r w:rsidR="00FD72C3" w:rsidRPr="00FD72C3">
        <w:t xml:space="preserve"> Law Rev</w:t>
      </w:r>
      <w:r w:rsidR="00FD72C3">
        <w:t>iew</w:t>
      </w:r>
      <w:r w:rsidR="00FD72C3" w:rsidRPr="00FD72C3">
        <w:t>. 2015</w:t>
      </w:r>
      <w:r w:rsidR="00FD72C3">
        <w:t xml:space="preserve">. </w:t>
      </w:r>
      <w:r w:rsidR="00FD72C3" w:rsidRPr="00FD72C3">
        <w:t>24(1)</w:t>
      </w:r>
      <w:r w:rsidR="00921C64">
        <w:t>. pp.</w:t>
      </w:r>
      <w:r w:rsidR="00FD72C3" w:rsidRPr="00FD72C3">
        <w:t xml:space="preserve"> 33–44.</w:t>
      </w:r>
      <w:r w:rsidR="00EB474B">
        <w:t xml:space="preserve"> Retrieved from </w:t>
      </w:r>
      <w:hyperlink r:id="rId1" w:history="1">
        <w:r w:rsidR="00EB474B" w:rsidRPr="002E392C">
          <w:rPr>
            <w:rStyle w:val="Hyperlink"/>
          </w:rPr>
          <w:t>https://www.ncbi.nlm.nih.gov/pmc/articles/PMC4703113/</w:t>
        </w:r>
      </w:hyperlink>
      <w:r w:rsidR="00EB474B">
        <w:t xml:space="preserve">. </w:t>
      </w:r>
      <w:r w:rsidR="00290D09">
        <w:t xml:space="preserve">Accessed </w:t>
      </w:r>
      <w:r w:rsidR="00C21C65">
        <w:t>August 1, 2020.</w:t>
      </w:r>
    </w:p>
  </w:footnote>
  <w:footnote w:id="2">
    <w:p w14:paraId="77DAD6E6" w14:textId="1AB88E82" w:rsidR="001130D7" w:rsidRDefault="001130D7">
      <w:pPr>
        <w:pStyle w:val="FootnoteText"/>
      </w:pPr>
      <w:r>
        <w:rPr>
          <w:rStyle w:val="FootnoteReference"/>
        </w:rPr>
        <w:footnoteRef/>
      </w:r>
      <w:r>
        <w:t xml:space="preserve"> </w:t>
      </w:r>
      <w:r w:rsidR="00F37D2A" w:rsidRPr="00D631D4">
        <w:rPr>
          <w:i/>
          <w:iCs/>
        </w:rPr>
        <w:t>See</w:t>
      </w:r>
      <w:r w:rsidR="00F37D2A">
        <w:t xml:space="preserve"> </w:t>
      </w:r>
      <w:r w:rsidR="0049127F">
        <w:t xml:space="preserve">Hodge, J. </w:t>
      </w:r>
      <w:r w:rsidR="0049127F" w:rsidRPr="0049127F">
        <w:t>Emergency Declaration Authorities</w:t>
      </w:r>
      <w:r w:rsidR="0049127F">
        <w:t xml:space="preserve">. </w:t>
      </w:r>
      <w:r w:rsidR="00D24602">
        <w:t>July 2, 2015.</w:t>
      </w:r>
      <w:r w:rsidR="0049127F" w:rsidRPr="0049127F">
        <w:t xml:space="preserve"> </w:t>
      </w:r>
      <w:r w:rsidR="00F37D2A">
        <w:t xml:space="preserve">Retrieved from </w:t>
      </w:r>
      <w:hyperlink r:id="rId2" w:history="1">
        <w:r w:rsidR="00F37D2A">
          <w:rPr>
            <w:rStyle w:val="Hyperlink"/>
          </w:rPr>
          <w:t>https://www.networkforphl.org/wp-content/uploads/2020/01/Emergency-Declaration-Authorities.pdf</w:t>
        </w:r>
      </w:hyperlink>
      <w:r w:rsidR="00D24602">
        <w:t>.</w:t>
      </w:r>
      <w:r w:rsidR="00D631D4">
        <w:t xml:space="preserve"> Accessed August 1, 2020.</w:t>
      </w:r>
    </w:p>
  </w:footnote>
  <w:footnote w:id="3">
    <w:p w14:paraId="5C6625DE" w14:textId="23834D0C" w:rsidR="00EE6020" w:rsidRDefault="00EE6020">
      <w:pPr>
        <w:pStyle w:val="FootnoteText"/>
      </w:pPr>
      <w:r>
        <w:rPr>
          <w:rStyle w:val="FootnoteReference"/>
        </w:rPr>
        <w:footnoteRef/>
      </w:r>
      <w:r>
        <w:t xml:space="preserve"> </w:t>
      </w:r>
      <w:r w:rsidR="00A24633">
        <w:t xml:space="preserve">Hodge, J. The </w:t>
      </w:r>
      <w:r>
        <w:t xml:space="preserve">Network for Public Health Law. </w:t>
      </w:r>
      <w:r w:rsidR="000B105E" w:rsidRPr="000B105E">
        <w:t>COVID-19 Emergency Legal Preparedness Primer</w:t>
      </w:r>
      <w:r w:rsidR="003B65F6">
        <w:t xml:space="preserve">. </w:t>
      </w:r>
      <w:r w:rsidR="00A11E0B">
        <w:t>p</w:t>
      </w:r>
      <w:r w:rsidR="00280AED">
        <w:t>p</w:t>
      </w:r>
      <w:r w:rsidR="00A11E0B">
        <w:t>.</w:t>
      </w:r>
      <w:r w:rsidR="00280AED">
        <w:t xml:space="preserve"> 18-21. </w:t>
      </w:r>
      <w:r w:rsidR="003B65F6">
        <w:t xml:space="preserve">July 31, 2020. </w:t>
      </w:r>
      <w:r w:rsidR="00280AED">
        <w:t xml:space="preserve">Retrieved from </w:t>
      </w:r>
      <w:hyperlink r:id="rId3" w:history="1">
        <w:r w:rsidR="00157425">
          <w:rPr>
            <w:rStyle w:val="Hyperlink"/>
          </w:rPr>
          <w:t>https://www.networkforphl.org/wp-content/uploads/2020/08/Western-Region-Primer-COVID-7-31-2020.pdf</w:t>
        </w:r>
      </w:hyperlink>
      <w:r w:rsidR="00157425">
        <w:t xml:space="preserve">. Accessed August 2, 2020. </w:t>
      </w:r>
      <w:r w:rsidR="00157425" w:rsidRPr="0078685A">
        <w:rPr>
          <w:i/>
          <w:iCs/>
        </w:rPr>
        <w:t>See also</w:t>
      </w:r>
      <w:r w:rsidR="00157425">
        <w:t xml:space="preserve"> National Governors Association. </w:t>
      </w:r>
      <w:r w:rsidR="004B4B28" w:rsidRPr="00E10135">
        <w:t xml:space="preserve">Status </w:t>
      </w:r>
      <w:r w:rsidR="004B4B28">
        <w:t>o</w:t>
      </w:r>
      <w:r w:rsidR="004B4B28" w:rsidRPr="00E10135">
        <w:t>f State Covid-19 Emergency Orders</w:t>
      </w:r>
      <w:r w:rsidR="004B4B28">
        <w:t xml:space="preserve">. Webpage last updated </w:t>
      </w:r>
      <w:r w:rsidR="00FB0E62">
        <w:t xml:space="preserve">July 30, 2020. Retrieved from </w:t>
      </w:r>
      <w:hyperlink r:id="rId4" w:history="1">
        <w:r w:rsidR="00FB0E62">
          <w:rPr>
            <w:rStyle w:val="Hyperlink"/>
          </w:rPr>
          <w:t>https://www.nga.org/state-covid-19-emergency-orders/</w:t>
        </w:r>
      </w:hyperlink>
      <w:r w:rsidR="00FB0E62">
        <w:t>. Accessed August 2, 2020.</w:t>
      </w:r>
    </w:p>
  </w:footnote>
  <w:footnote w:id="4">
    <w:p w14:paraId="2388995F" w14:textId="25E87C0A" w:rsidR="0078685A" w:rsidRDefault="0078685A">
      <w:pPr>
        <w:pStyle w:val="FootnoteText"/>
      </w:pPr>
      <w:r>
        <w:rPr>
          <w:rStyle w:val="FootnoteReference"/>
        </w:rPr>
        <w:footnoteRef/>
      </w:r>
      <w:r>
        <w:t xml:space="preserve"> National Governors Association. </w:t>
      </w:r>
      <w:r w:rsidRPr="00E10135">
        <w:t xml:space="preserve">Status </w:t>
      </w:r>
      <w:r>
        <w:t>o</w:t>
      </w:r>
      <w:r w:rsidRPr="00E10135">
        <w:t>f State Covid-19 Emergency Orders</w:t>
      </w:r>
      <w:r>
        <w:t xml:space="preserve">. Webpage last updated July 30, 2020. Retrieved from </w:t>
      </w:r>
      <w:hyperlink r:id="rId5" w:history="1">
        <w:r>
          <w:rPr>
            <w:rStyle w:val="Hyperlink"/>
          </w:rPr>
          <w:t>https://www.nga.org/state-covid-19-emergency-orders/</w:t>
        </w:r>
      </w:hyperlink>
      <w:r>
        <w:t>. Accessed August 2, 2020.</w:t>
      </w:r>
    </w:p>
  </w:footnote>
  <w:footnote w:id="5">
    <w:p w14:paraId="101DB533" w14:textId="67DB62B7" w:rsidR="000E622E" w:rsidRDefault="000E622E">
      <w:pPr>
        <w:pStyle w:val="FootnoteText"/>
      </w:pPr>
      <w:r>
        <w:rPr>
          <w:rStyle w:val="FootnoteReference"/>
        </w:rPr>
        <w:footnoteRef/>
      </w:r>
      <w:r>
        <w:t xml:space="preserve"> </w:t>
      </w:r>
      <w:r w:rsidR="00062390" w:rsidRPr="00F7046A">
        <w:rPr>
          <w:i/>
          <w:iCs/>
        </w:rPr>
        <w:t>See</w:t>
      </w:r>
      <w:r w:rsidR="00F7046A" w:rsidRPr="00F7046A">
        <w:rPr>
          <w:i/>
          <w:iCs/>
        </w:rPr>
        <w:t xml:space="preserve"> for example</w:t>
      </w:r>
      <w:r w:rsidR="00062390">
        <w:t xml:space="preserve"> ASTHO. </w:t>
      </w:r>
      <w:r w:rsidR="00062390" w:rsidRPr="00062390">
        <w:t>State Emergency Declarations and COVID-19</w:t>
      </w:r>
      <w:r w:rsidR="00062390">
        <w:t xml:space="preserve">. March </w:t>
      </w:r>
      <w:r w:rsidR="0029102C">
        <w:t xml:space="preserve">5, 2020. Retrieved from </w:t>
      </w:r>
      <w:hyperlink r:id="rId6" w:history="1">
        <w:r w:rsidR="0029102C" w:rsidRPr="0029102C">
          <w:rPr>
            <w:rStyle w:val="Hyperlink"/>
          </w:rPr>
          <w:t>https://www.astho.org/StatePublicHealth/State-Emergency-Declarations-and-COVID-19/03-05-20/</w:t>
        </w:r>
      </w:hyperlink>
      <w:r w:rsidR="0029102C">
        <w:t>. Accessed August 2, 2020.</w:t>
      </w:r>
      <w:r w:rsidR="00F7046A">
        <w:t xml:space="preserve"> </w:t>
      </w:r>
      <w:r w:rsidR="00F7046A" w:rsidRPr="0078685A">
        <w:rPr>
          <w:i/>
          <w:iCs/>
        </w:rPr>
        <w:t>See also</w:t>
      </w:r>
      <w:r w:rsidR="00F7046A">
        <w:t xml:space="preserve"> National Governors Association. </w:t>
      </w:r>
      <w:r w:rsidR="00F7046A" w:rsidRPr="00E10135">
        <w:t xml:space="preserve">Status </w:t>
      </w:r>
      <w:r w:rsidR="00F7046A">
        <w:t>o</w:t>
      </w:r>
      <w:r w:rsidR="00F7046A" w:rsidRPr="00E10135">
        <w:t>f State Covid-19 Emergency Orders</w:t>
      </w:r>
      <w:r w:rsidR="00F7046A">
        <w:t xml:space="preserve">. Webpage last updated July 30, 2020. Retrieved from </w:t>
      </w:r>
      <w:hyperlink r:id="rId7" w:history="1">
        <w:r w:rsidR="00F7046A">
          <w:rPr>
            <w:rStyle w:val="Hyperlink"/>
          </w:rPr>
          <w:t>https://www.nga.org/state-covid-19-emergency-orders/</w:t>
        </w:r>
      </w:hyperlink>
      <w:r w:rsidR="00F7046A">
        <w:t>. Accessed August 2, 2020.</w:t>
      </w:r>
    </w:p>
  </w:footnote>
  <w:footnote w:id="6">
    <w:p w14:paraId="45CBE02E" w14:textId="69C8749C" w:rsidR="002E03F3" w:rsidRDefault="002E03F3">
      <w:pPr>
        <w:pStyle w:val="FootnoteText"/>
      </w:pPr>
      <w:r>
        <w:rPr>
          <w:rStyle w:val="FootnoteReference"/>
        </w:rPr>
        <w:footnoteRef/>
      </w:r>
      <w:r>
        <w:t xml:space="preserve"> </w:t>
      </w:r>
      <w:r w:rsidR="00527437">
        <w:t xml:space="preserve">Hodge, J. The Network for Public Health Law. </w:t>
      </w:r>
      <w:r w:rsidR="00527437" w:rsidRPr="000B105E">
        <w:t>COVID-19 Emergency Legal Preparedness Primer</w:t>
      </w:r>
      <w:r w:rsidR="00527437">
        <w:t xml:space="preserve">. </w:t>
      </w:r>
      <w:r w:rsidR="00A11E0B">
        <w:t>p</w:t>
      </w:r>
      <w:r w:rsidR="00527437">
        <w:t>p</w:t>
      </w:r>
      <w:r w:rsidR="00A11E0B">
        <w:t>.</w:t>
      </w:r>
      <w:r w:rsidR="00527437">
        <w:t xml:space="preserve"> </w:t>
      </w:r>
      <w:r w:rsidR="00187058">
        <w:t>28</w:t>
      </w:r>
      <w:r w:rsidR="00527437">
        <w:t>-2</w:t>
      </w:r>
      <w:r w:rsidR="00187058">
        <w:t>9</w:t>
      </w:r>
      <w:r w:rsidR="00CC78F7">
        <w:t>; 55-57</w:t>
      </w:r>
      <w:r w:rsidR="00527437">
        <w:t xml:space="preserve">. July 31, 2020. Retrieved from </w:t>
      </w:r>
      <w:hyperlink r:id="rId8" w:history="1">
        <w:r w:rsidR="00527437">
          <w:rPr>
            <w:rStyle w:val="Hyperlink"/>
          </w:rPr>
          <w:t>https://www.networkforphl.org/wp-content/uploads/2020/08/Western-Region-Primer-COVID-7-31-2020.pdf</w:t>
        </w:r>
      </w:hyperlink>
      <w:r w:rsidR="00527437">
        <w:t>. Accessed August 2, 2020.</w:t>
      </w:r>
    </w:p>
  </w:footnote>
  <w:footnote w:id="7">
    <w:p w14:paraId="4B058DE3" w14:textId="1DCEFA1A" w:rsidR="00B64302" w:rsidRDefault="00B64302">
      <w:pPr>
        <w:pStyle w:val="FootnoteText"/>
      </w:pPr>
      <w:r>
        <w:rPr>
          <w:rStyle w:val="FootnoteReference"/>
        </w:rPr>
        <w:footnoteRef/>
      </w:r>
      <w:r>
        <w:t xml:space="preserve"> Hodge, J. The Network for Public Health Law. </w:t>
      </w:r>
      <w:r w:rsidRPr="000B105E">
        <w:t>COVID-19 Emergency Legal Preparedness Primer</w:t>
      </w:r>
      <w:r>
        <w:t xml:space="preserve">. pp. 28-29; 55-57. July 31, 2020. Retrieved from </w:t>
      </w:r>
      <w:hyperlink r:id="rId9" w:history="1">
        <w:r>
          <w:rPr>
            <w:rStyle w:val="Hyperlink"/>
          </w:rPr>
          <w:t>https://www.networkforphl.org/wp-content/uploads/2020/08/Western-Region-Primer-COVID-7-31-2020.pdf</w:t>
        </w:r>
      </w:hyperlink>
      <w:r>
        <w:t>. Accessed August 2, 2020.</w:t>
      </w:r>
      <w:r w:rsidR="009A70E7">
        <w:t xml:space="preserve"> </w:t>
      </w:r>
      <w:r w:rsidR="009A70E7" w:rsidRPr="009A70E7">
        <w:rPr>
          <w:i/>
          <w:iCs/>
        </w:rPr>
        <w:t>See also</w:t>
      </w:r>
      <w:r w:rsidR="009A70E7">
        <w:t xml:space="preserve"> NCSL. </w:t>
      </w:r>
      <w:r w:rsidR="00CB28FA" w:rsidRPr="00CB28FA">
        <w:t>Legislative Oversight of Emergency Executive Powers</w:t>
      </w:r>
      <w:r w:rsidR="00CB28FA">
        <w:t xml:space="preserve">. Webpage last updated July 27, 2020. Retrieved from </w:t>
      </w:r>
      <w:hyperlink r:id="rId10" w:history="1">
        <w:r w:rsidR="00772B0D">
          <w:rPr>
            <w:rStyle w:val="Hyperlink"/>
          </w:rPr>
          <w:t>https://www.ncsl.org/research/about-state-legislatures/legislative-oversight-of-executive-orders.aspx</w:t>
        </w:r>
      </w:hyperlink>
      <w:r w:rsidR="00772B0D">
        <w:t>. Accessed August 2, 2020.</w:t>
      </w:r>
    </w:p>
  </w:footnote>
  <w:footnote w:id="8">
    <w:p w14:paraId="763BD4C3" w14:textId="4A4B277F" w:rsidR="00347EBF" w:rsidRDefault="00347EBF">
      <w:pPr>
        <w:pStyle w:val="FootnoteText"/>
      </w:pPr>
      <w:r>
        <w:rPr>
          <w:rStyle w:val="FootnoteReference"/>
        </w:rPr>
        <w:footnoteRef/>
      </w:r>
      <w:r>
        <w:t xml:space="preserve"> </w:t>
      </w:r>
      <w:r w:rsidR="00206766">
        <w:t>According to the CDC: “</w:t>
      </w:r>
      <w:r w:rsidR="00206766" w:rsidRPr="00206766">
        <w:t>Quarantine separates and restricts the movement of people who were exposed to a contagious disease to see if they become sick.</w:t>
      </w:r>
      <w:r w:rsidR="00206766">
        <w:t xml:space="preserve">” </w:t>
      </w:r>
      <w:r w:rsidR="00CA2806">
        <w:t xml:space="preserve">CDC. </w:t>
      </w:r>
      <w:r w:rsidR="00CA2806" w:rsidRPr="00CA2806">
        <w:t>Legal Authorities for Isolation and Quarantine</w:t>
      </w:r>
      <w:r w:rsidR="00CA2806">
        <w:t xml:space="preserve">. Webpage last </w:t>
      </w:r>
      <w:r w:rsidR="00BC143F">
        <w:t xml:space="preserve">reviewed by CDC February 24, 2020. Retrieved from </w:t>
      </w:r>
      <w:hyperlink r:id="rId11" w:history="1">
        <w:r w:rsidR="00BC143F">
          <w:rPr>
            <w:rStyle w:val="Hyperlink"/>
          </w:rPr>
          <w:t>https://www.cdc.gov/quarantine/aboutlawsregulationsquarantineisolation.html</w:t>
        </w:r>
      </w:hyperlink>
      <w:r w:rsidR="00BC143F">
        <w:t>. Accessed August 2, 2020.</w:t>
      </w:r>
    </w:p>
  </w:footnote>
  <w:footnote w:id="9">
    <w:p w14:paraId="1CB45094" w14:textId="12C3D6E7" w:rsidR="00BC143F" w:rsidRDefault="00BC143F">
      <w:pPr>
        <w:pStyle w:val="FootnoteText"/>
      </w:pPr>
      <w:r>
        <w:rPr>
          <w:rStyle w:val="FootnoteReference"/>
        </w:rPr>
        <w:footnoteRef/>
      </w:r>
      <w:r>
        <w:t xml:space="preserve"> According to the CDC: “</w:t>
      </w:r>
      <w:r w:rsidR="00595090" w:rsidRPr="00595090">
        <w:t>Isolation separates sick people with a quarantinable communicable disease from people who are not sick.</w:t>
      </w:r>
      <w:r w:rsidR="00595090">
        <w:t xml:space="preserve">” CDC. </w:t>
      </w:r>
      <w:r w:rsidR="00595090" w:rsidRPr="00CA2806">
        <w:t>Legal Authorities for Isolation and Quarantine</w:t>
      </w:r>
      <w:r w:rsidR="00595090">
        <w:t xml:space="preserve">. Webpage last reviewed by CDC February 24, 2020. Retrieved from </w:t>
      </w:r>
      <w:hyperlink r:id="rId12" w:history="1">
        <w:r w:rsidR="00595090">
          <w:rPr>
            <w:rStyle w:val="Hyperlink"/>
          </w:rPr>
          <w:t>https://www.cdc.gov/quarantine/aboutlawsregulationsquarantineisolation.html</w:t>
        </w:r>
      </w:hyperlink>
      <w:r w:rsidR="00595090">
        <w:t>. Accessed August 2, 2020.</w:t>
      </w:r>
    </w:p>
  </w:footnote>
  <w:footnote w:id="10">
    <w:p w14:paraId="13E0CF31" w14:textId="790CA927" w:rsidR="00573237" w:rsidRDefault="00573237">
      <w:pPr>
        <w:pStyle w:val="FootnoteText"/>
      </w:pPr>
      <w:r>
        <w:rPr>
          <w:rStyle w:val="FootnoteReference"/>
        </w:rPr>
        <w:footnoteRef/>
      </w:r>
      <w:r>
        <w:t xml:space="preserve"> </w:t>
      </w:r>
      <w:r w:rsidR="00F66D75">
        <w:t xml:space="preserve">NCSL. </w:t>
      </w:r>
      <w:r w:rsidR="00FF6D06" w:rsidRPr="00FF6D06">
        <w:t>State Quarantine and Isolation Statutes</w:t>
      </w:r>
      <w:r w:rsidR="00FF6D06">
        <w:t xml:space="preserve">. Webpage last updated February 27, 2020. Retrieved from </w:t>
      </w:r>
      <w:hyperlink r:id="rId13" w:history="1">
        <w:r w:rsidR="00CF2CF3" w:rsidRPr="00CF2CF3">
          <w:rPr>
            <w:rStyle w:val="Hyperlink"/>
          </w:rPr>
          <w:t>https://www.ncsl.org/research/health/state-quarantine-and-isolation-statutes.aspx</w:t>
        </w:r>
      </w:hyperlink>
      <w:r w:rsidR="00CF2CF3">
        <w:t>. Accessed August 2, 2020.</w:t>
      </w:r>
    </w:p>
  </w:footnote>
  <w:footnote w:id="11">
    <w:p w14:paraId="7C03D32A" w14:textId="029B9B5D" w:rsidR="00D64B47" w:rsidRDefault="00D64B47">
      <w:pPr>
        <w:pStyle w:val="FootnoteText"/>
      </w:pPr>
      <w:r>
        <w:rPr>
          <w:rStyle w:val="FootnoteReference"/>
        </w:rPr>
        <w:footnoteRef/>
      </w:r>
      <w:r>
        <w:t xml:space="preserve"> </w:t>
      </w:r>
      <w:r w:rsidR="00775B70">
        <w:t xml:space="preserve">While not discussed here, </w:t>
      </w:r>
      <w:r w:rsidR="005B063C">
        <w:t xml:space="preserve">the </w:t>
      </w:r>
      <w:r w:rsidR="00015472">
        <w:t xml:space="preserve">need to balance governmental quarantine/isolation powers with </w:t>
      </w:r>
      <w:r w:rsidR="00F7585C">
        <w:t xml:space="preserve">an individual’s </w:t>
      </w:r>
      <w:r w:rsidR="00015472">
        <w:t xml:space="preserve">legal </w:t>
      </w:r>
      <w:r w:rsidR="00162573">
        <w:t>protections, such as due process rights</w:t>
      </w:r>
      <w:r w:rsidR="008814E3">
        <w:t>,</w:t>
      </w:r>
      <w:r w:rsidR="00162573">
        <w:t xml:space="preserve"> and </w:t>
      </w:r>
      <w:r w:rsidR="00996264">
        <w:t xml:space="preserve">the provision of </w:t>
      </w:r>
      <w:r w:rsidR="007428F0">
        <w:t xml:space="preserve">appropriate </w:t>
      </w:r>
      <w:r w:rsidR="00996264">
        <w:t xml:space="preserve">health </w:t>
      </w:r>
      <w:r w:rsidR="00CE3459">
        <w:t>care and necessities</w:t>
      </w:r>
      <w:r w:rsidR="00247FAB">
        <w:t xml:space="preserve"> for living, must be acknowledged. </w:t>
      </w:r>
      <w:r w:rsidR="00247FAB" w:rsidRPr="00247FAB">
        <w:rPr>
          <w:i/>
          <w:iCs/>
        </w:rPr>
        <w:t>See</w:t>
      </w:r>
      <w:r w:rsidR="00247FAB">
        <w:t xml:space="preserve"> </w:t>
      </w:r>
      <w:r w:rsidR="00247FAB" w:rsidRPr="00295085">
        <w:t xml:space="preserve">Parmet, </w:t>
      </w:r>
      <w:r w:rsidR="00247FAB">
        <w:t xml:space="preserve">W.E. and </w:t>
      </w:r>
      <w:r w:rsidR="00247FAB" w:rsidRPr="00295085">
        <w:t>Sinha,</w:t>
      </w:r>
      <w:r w:rsidR="00247FAB">
        <w:t xml:space="preserve"> M.S. </w:t>
      </w:r>
      <w:r w:rsidR="00247FAB" w:rsidRPr="001D0DCA">
        <w:t>Covid-19—The Law and Limits of Quarantine</w:t>
      </w:r>
      <w:r w:rsidR="00247FAB">
        <w:t xml:space="preserve">. </w:t>
      </w:r>
      <w:r w:rsidR="00247FAB" w:rsidRPr="000315AD">
        <w:t>N Engl J Med 2020; 382:e28</w:t>
      </w:r>
      <w:r w:rsidR="00247FAB">
        <w:t xml:space="preserve">. Retrieved from </w:t>
      </w:r>
      <w:hyperlink r:id="rId14" w:history="1">
        <w:r w:rsidR="00247FAB">
          <w:rPr>
            <w:rStyle w:val="Hyperlink"/>
          </w:rPr>
          <w:t>https://www.nejm.org/doi/full/10.1056/NEJMp2004211</w:t>
        </w:r>
      </w:hyperlink>
      <w:r w:rsidR="00247FAB">
        <w:t xml:space="preserve">. Accessed August 2, 2020. </w:t>
      </w:r>
      <w:r w:rsidR="00247FAB" w:rsidRPr="00247FAB">
        <w:rPr>
          <w:i/>
          <w:iCs/>
        </w:rPr>
        <w:t>See also</w:t>
      </w:r>
      <w:r w:rsidR="00247FAB">
        <w:t xml:space="preserve"> Hodge, J. The Network for Public Health Law. </w:t>
      </w:r>
      <w:r w:rsidR="00247FAB" w:rsidRPr="000B105E">
        <w:t>COVID-19 Emergency Legal Preparedness Primer</w:t>
      </w:r>
      <w:r w:rsidR="00247FAB">
        <w:t xml:space="preserve">. pp. </w:t>
      </w:r>
      <w:r w:rsidR="007428F0">
        <w:t>37</w:t>
      </w:r>
      <w:r w:rsidR="00247FAB">
        <w:t>-</w:t>
      </w:r>
      <w:r w:rsidR="007428F0">
        <w:t>38</w:t>
      </w:r>
      <w:r w:rsidR="00247FAB">
        <w:t xml:space="preserve">. July 31, 2020. Retrieved from </w:t>
      </w:r>
      <w:hyperlink r:id="rId15" w:history="1">
        <w:r w:rsidR="00247FAB">
          <w:rPr>
            <w:rStyle w:val="Hyperlink"/>
          </w:rPr>
          <w:t>https://www.networkforphl.org/wp-content/uploads/2020/08/Western-Region-Primer-COVID-7-31-2020.pdf</w:t>
        </w:r>
      </w:hyperlink>
      <w:r w:rsidR="00247FAB">
        <w:t>. Accessed August 2, 2020.</w:t>
      </w:r>
    </w:p>
  </w:footnote>
  <w:footnote w:id="12">
    <w:p w14:paraId="127DFC22" w14:textId="6DA3FBB5" w:rsidR="00B73593" w:rsidRDefault="00B73593">
      <w:pPr>
        <w:pStyle w:val="FootnoteText"/>
      </w:pPr>
      <w:r>
        <w:rPr>
          <w:rStyle w:val="FootnoteReference"/>
        </w:rPr>
        <w:footnoteRef/>
      </w:r>
      <w:r>
        <w:t xml:space="preserve"> </w:t>
      </w:r>
      <w:r w:rsidR="00295085" w:rsidRPr="00295085">
        <w:t xml:space="preserve">Parmet, </w:t>
      </w:r>
      <w:r w:rsidR="00295085">
        <w:t xml:space="preserve">W.E. and </w:t>
      </w:r>
      <w:r w:rsidR="00295085" w:rsidRPr="00295085">
        <w:t>Sinha,</w:t>
      </w:r>
      <w:r w:rsidR="00295085">
        <w:t xml:space="preserve"> M.S. </w:t>
      </w:r>
      <w:r w:rsidR="001D0DCA" w:rsidRPr="001D0DCA">
        <w:t>Covid-19—The Law and Limits of Quarantine</w:t>
      </w:r>
      <w:r w:rsidR="001D0DCA">
        <w:t xml:space="preserve">. </w:t>
      </w:r>
      <w:r w:rsidR="000315AD" w:rsidRPr="000315AD">
        <w:t>N Engl J Med 2020; 382:e28</w:t>
      </w:r>
      <w:r w:rsidR="000315AD">
        <w:t xml:space="preserve">. Retrieved from </w:t>
      </w:r>
      <w:hyperlink r:id="rId16" w:history="1">
        <w:r w:rsidR="000315AD">
          <w:rPr>
            <w:rStyle w:val="Hyperlink"/>
          </w:rPr>
          <w:t>https://www.nejm.org/doi/full/10.1056/NEJMp2004211</w:t>
        </w:r>
      </w:hyperlink>
      <w:r w:rsidR="000315AD">
        <w:t xml:space="preserve">. Accessed </w:t>
      </w:r>
      <w:r w:rsidR="002F3309">
        <w:t>August 2, 2020.</w:t>
      </w:r>
    </w:p>
  </w:footnote>
  <w:footnote w:id="13">
    <w:p w14:paraId="5D5929AE" w14:textId="73C9BFEC" w:rsidR="00736435" w:rsidRDefault="00736435">
      <w:pPr>
        <w:pStyle w:val="FootnoteText"/>
      </w:pPr>
      <w:r>
        <w:rPr>
          <w:rStyle w:val="FootnoteReference"/>
        </w:rPr>
        <w:footnoteRef/>
      </w:r>
      <w:r>
        <w:t xml:space="preserve"> </w:t>
      </w:r>
      <w:r w:rsidR="00E17612">
        <w:t xml:space="preserve">Fry, S. et al. </w:t>
      </w:r>
      <w:r w:rsidR="00896B37" w:rsidRPr="00896B37">
        <w:t>Quarantine and Isolation Authorities in States Affected by COVID-19</w:t>
      </w:r>
      <w:r w:rsidR="00E17612">
        <w:t>. Law</w:t>
      </w:r>
      <w:r w:rsidR="00667433">
        <w:t>f</w:t>
      </w:r>
      <w:r w:rsidR="00E17612">
        <w:t xml:space="preserve">are. </w:t>
      </w:r>
      <w:r w:rsidR="005D4CB0">
        <w:t xml:space="preserve">March 6, 2020. </w:t>
      </w:r>
      <w:r w:rsidR="00E17612">
        <w:t xml:space="preserve">Retrieved from </w:t>
      </w:r>
      <w:hyperlink r:id="rId17" w:history="1">
        <w:r w:rsidR="00667433">
          <w:rPr>
            <w:rStyle w:val="Hyperlink"/>
          </w:rPr>
          <w:t>https://www.lawfareblog.com/quarantine-and-isolation-authorities-states-affected-covid-19</w:t>
        </w:r>
      </w:hyperlink>
      <w:r w:rsidR="00667433">
        <w:t>. Accessed August 2</w:t>
      </w:r>
      <w:r w:rsidR="00F845A4">
        <w:t>, 2020.</w:t>
      </w:r>
    </w:p>
  </w:footnote>
  <w:footnote w:id="14">
    <w:p w14:paraId="663578BA" w14:textId="7DA2A1CC" w:rsidR="00FC5A7A" w:rsidRDefault="00FC5A7A">
      <w:pPr>
        <w:pStyle w:val="FootnoteText"/>
      </w:pPr>
      <w:r>
        <w:rPr>
          <w:rStyle w:val="FootnoteReference"/>
        </w:rPr>
        <w:footnoteRef/>
      </w:r>
      <w:r>
        <w:t xml:space="preserve"> </w:t>
      </w:r>
      <w:r w:rsidR="00DB030B">
        <w:t>Liu, E.</w:t>
      </w:r>
      <w:r w:rsidR="001779F3">
        <w:t>C.</w:t>
      </w:r>
      <w:r w:rsidR="00A20E38">
        <w:t xml:space="preserve"> C</w:t>
      </w:r>
      <w:r w:rsidR="00DD7CE0">
        <w:t xml:space="preserve">ongressional </w:t>
      </w:r>
      <w:r w:rsidR="00A20E38">
        <w:t>R</w:t>
      </w:r>
      <w:r w:rsidR="00DD7CE0">
        <w:t xml:space="preserve">esearch </w:t>
      </w:r>
      <w:r w:rsidR="00A20E38">
        <w:t>S</w:t>
      </w:r>
      <w:r w:rsidR="00DD7CE0">
        <w:t>ervice</w:t>
      </w:r>
      <w:r w:rsidR="00A20E38">
        <w:t xml:space="preserve">. COVID-19: Federal Travel Restrictions and Quarantine Measures. </w:t>
      </w:r>
      <w:r w:rsidR="004F3539" w:rsidRPr="004F3539">
        <w:t>LSB10415</w:t>
      </w:r>
      <w:r w:rsidR="004F3539">
        <w:t xml:space="preserve">. </w:t>
      </w:r>
      <w:r w:rsidR="0000188F">
        <w:t>May 28, 2020</w:t>
      </w:r>
      <w:r w:rsidR="004F3539">
        <w:t xml:space="preserve">. Retrieved from </w:t>
      </w:r>
      <w:r w:rsidR="0000188F">
        <w:t xml:space="preserve"> </w:t>
      </w:r>
      <w:hyperlink r:id="rId18" w:history="1">
        <w:r w:rsidR="004F3539" w:rsidRPr="004F3539">
          <w:rPr>
            <w:rStyle w:val="Hyperlink"/>
          </w:rPr>
          <w:t>https://crsreports.congress.gov/product/pdf/LSB/LSB10415</w:t>
        </w:r>
      </w:hyperlink>
      <w:r w:rsidR="004F3539">
        <w:t>. Accessed August 2, 2020.</w:t>
      </w:r>
    </w:p>
  </w:footnote>
  <w:footnote w:id="15">
    <w:p w14:paraId="36A27B98" w14:textId="46B88601" w:rsidR="00875B87" w:rsidRDefault="00875B87">
      <w:pPr>
        <w:pStyle w:val="FootnoteText"/>
      </w:pPr>
      <w:r>
        <w:rPr>
          <w:rStyle w:val="FootnoteReference"/>
        </w:rPr>
        <w:footnoteRef/>
      </w:r>
      <w:r>
        <w:t xml:space="preserve"> </w:t>
      </w:r>
      <w:r w:rsidR="000E5C92" w:rsidRPr="00693411">
        <w:rPr>
          <w:i/>
          <w:iCs/>
        </w:rPr>
        <w:t>See</w:t>
      </w:r>
      <w:r w:rsidR="000E5C92">
        <w:t xml:space="preserve"> </w:t>
      </w:r>
      <w:r w:rsidR="00693411">
        <w:t xml:space="preserve">Hodge, J. </w:t>
      </w:r>
      <w:r w:rsidR="000E5C92">
        <w:t xml:space="preserve">The Network for Public Health Law. </w:t>
      </w:r>
      <w:r w:rsidR="000E5C92" w:rsidRPr="000B105E">
        <w:t>COVID-19 Emergency Legal Preparedness Primer</w:t>
      </w:r>
      <w:r w:rsidR="000E5C92">
        <w:t xml:space="preserve">. July 31, 2020. Retrieved from </w:t>
      </w:r>
      <w:hyperlink r:id="rId19" w:history="1">
        <w:r w:rsidR="000E5C92">
          <w:rPr>
            <w:rStyle w:val="Hyperlink"/>
          </w:rPr>
          <w:t>https://www.networkforphl.org/wp-content/uploads/2020/08/Western-Region-Primer-COVID-7-31-2020.pdf</w:t>
        </w:r>
      </w:hyperlink>
      <w:r w:rsidR="000E5C92">
        <w:t>. Accessed August 2, 2020.</w:t>
      </w:r>
      <w:r w:rsidR="00261B1C">
        <w:t xml:space="preserve"> </w:t>
      </w:r>
      <w:r w:rsidR="00261B1C" w:rsidRPr="001B4762">
        <w:rPr>
          <w:i/>
          <w:iCs/>
        </w:rPr>
        <w:t>See also</w:t>
      </w:r>
      <w:r w:rsidR="00261B1C">
        <w:t xml:space="preserve"> </w:t>
      </w:r>
      <w:r w:rsidR="00CA6693">
        <w:t xml:space="preserve">NCSL. </w:t>
      </w:r>
      <w:r w:rsidR="00CA6693" w:rsidRPr="00CA6693">
        <w:t>NCSL Coronavirus (COVID-19) Resources for States</w:t>
      </w:r>
      <w:r w:rsidR="00CA6693">
        <w:t xml:space="preserve">: Health. </w:t>
      </w:r>
      <w:r w:rsidR="002E05D5">
        <w:t xml:space="preserve">August 3, 2020. </w:t>
      </w:r>
      <w:r w:rsidR="001B4762">
        <w:t xml:space="preserve">Retrieved from </w:t>
      </w:r>
      <w:hyperlink r:id="rId20" w:history="1">
        <w:r w:rsidR="001B4762">
          <w:rPr>
            <w:rStyle w:val="Hyperlink"/>
          </w:rPr>
          <w:t>https://www.ncsl.org/research/health/ncsl-coronavirus-covid-19-resources.aspx</w:t>
        </w:r>
      </w:hyperlink>
      <w:r w:rsidR="001B4762">
        <w:t xml:space="preserve">. Accessed </w:t>
      </w:r>
      <w:r w:rsidR="00D2570D">
        <w:t xml:space="preserve">August 5, 2020. </w:t>
      </w:r>
      <w:r w:rsidR="00D2570D" w:rsidRPr="00D2570D">
        <w:rPr>
          <w:i/>
          <w:iCs/>
        </w:rPr>
        <w:t>See also</w:t>
      </w:r>
      <w:r w:rsidR="00D2570D">
        <w:t xml:space="preserve"> ASTHO. </w:t>
      </w:r>
      <w:r w:rsidR="00B321FC">
        <w:t xml:space="preserve">COVID-19. Retrieved from </w:t>
      </w:r>
      <w:hyperlink r:id="rId21" w:history="1">
        <w:r w:rsidR="00C030D7">
          <w:rPr>
            <w:rStyle w:val="Hyperlink"/>
          </w:rPr>
          <w:t>https://www.astho.org/COVID-19/</w:t>
        </w:r>
      </w:hyperlink>
      <w:r w:rsidR="00C030D7">
        <w:t>. Accessed August 5, 2020.</w:t>
      </w:r>
    </w:p>
  </w:footnote>
  <w:footnote w:id="16">
    <w:p w14:paraId="2238A734" w14:textId="3D52F033" w:rsidR="00313D04" w:rsidRDefault="00313D04">
      <w:pPr>
        <w:pStyle w:val="FootnoteText"/>
      </w:pPr>
      <w:r>
        <w:rPr>
          <w:rStyle w:val="FootnoteReference"/>
        </w:rPr>
        <w:footnoteRef/>
      </w:r>
      <w:r>
        <w:t xml:space="preserve"> </w:t>
      </w:r>
      <w:r w:rsidR="009B771F" w:rsidRPr="009B771F">
        <w:t xml:space="preserve"> Czeisler MÉ, Tynan MA, Howard ME, et al. Public Attitudes, Behaviors, and Beliefs Related to COVID-19, Stay-at-Home Orders, Nonessential Business Closures, and Public Health Guidance—United States, New York City, and Los Angeles, May 5–12, 2020. MMWR Morb Mortal Wkly Rep 2020;69:751–758. </w:t>
      </w:r>
      <w:r w:rsidR="009C4D0B">
        <w:t xml:space="preserve">Retrieved from </w:t>
      </w:r>
      <w:hyperlink r:id="rId22" w:tgtFrame="_blank" w:history="1">
        <w:r w:rsidR="009B771F" w:rsidRPr="009B771F">
          <w:rPr>
            <w:rStyle w:val="Hyperlink"/>
          </w:rPr>
          <w:t>http://dx.doi.org/10.15585/mmwr.mm6924e1external icon</w:t>
        </w:r>
      </w:hyperlink>
      <w:r w:rsidR="009B771F" w:rsidRPr="009B771F">
        <w:t>.</w:t>
      </w:r>
      <w:r w:rsidR="009C4D0B">
        <w:t xml:space="preserve"> Accessed August 2, 2020.</w:t>
      </w:r>
    </w:p>
  </w:footnote>
  <w:footnote w:id="17">
    <w:p w14:paraId="318580E7" w14:textId="47A8DA34" w:rsidR="008D2408" w:rsidRDefault="008D2408">
      <w:pPr>
        <w:pStyle w:val="FootnoteText"/>
      </w:pPr>
      <w:r>
        <w:rPr>
          <w:rStyle w:val="FootnoteReference"/>
        </w:rPr>
        <w:footnoteRef/>
      </w:r>
      <w:r>
        <w:t xml:space="preserve"> </w:t>
      </w:r>
      <w:r w:rsidRPr="00693411">
        <w:rPr>
          <w:i/>
          <w:iCs/>
        </w:rPr>
        <w:t>See</w:t>
      </w:r>
      <w:r>
        <w:t xml:space="preserve"> Hodge, J. The Network for Public Health Law. </w:t>
      </w:r>
      <w:r w:rsidRPr="000B105E">
        <w:t>COVID-19 Emergency Legal Preparedness Primer</w:t>
      </w:r>
      <w:r>
        <w:t xml:space="preserve">. July 31, 2020. Retrieved from </w:t>
      </w:r>
      <w:hyperlink r:id="rId23" w:history="1">
        <w:r>
          <w:rPr>
            <w:rStyle w:val="Hyperlink"/>
          </w:rPr>
          <w:t>https://www.networkforphl.org/wp-content/uploads/2020/08/Western-Region-Primer-COVID-7-31-2020.pdf</w:t>
        </w:r>
      </w:hyperlink>
      <w:r>
        <w:t>. Accessed August 2, 2020.</w:t>
      </w:r>
    </w:p>
  </w:footnote>
  <w:footnote w:id="18">
    <w:p w14:paraId="244801A3" w14:textId="34141CDC" w:rsidR="00A55CCA" w:rsidRDefault="00A55CCA">
      <w:pPr>
        <w:pStyle w:val="FootnoteText"/>
      </w:pPr>
      <w:r>
        <w:rPr>
          <w:rStyle w:val="FootnoteReference"/>
        </w:rPr>
        <w:footnoteRef/>
      </w:r>
      <w:r>
        <w:t xml:space="preserve"> </w:t>
      </w:r>
      <w:r w:rsidR="00BB69A9">
        <w:t xml:space="preserve">Hodge, J. The Network for Public Health Law. </w:t>
      </w:r>
      <w:r w:rsidR="00BB69A9" w:rsidRPr="000B105E">
        <w:t>COVID-19 Emergency Legal Preparedness Primer</w:t>
      </w:r>
      <w:r w:rsidR="00BB69A9">
        <w:t xml:space="preserve">. July 31, 2020. Retrieved from </w:t>
      </w:r>
      <w:hyperlink r:id="rId24" w:history="1">
        <w:r w:rsidR="00BB69A9">
          <w:rPr>
            <w:rStyle w:val="Hyperlink"/>
          </w:rPr>
          <w:t>https://www.networkforphl.org/wp-content/uploads/2020/08/Western-Region-Primer-COVID-7-31-2020.pdf</w:t>
        </w:r>
      </w:hyperlink>
      <w:r w:rsidR="00BB69A9">
        <w:t>. Accessed August 2, 2020.</w:t>
      </w:r>
    </w:p>
  </w:footnote>
  <w:footnote w:id="19">
    <w:p w14:paraId="6E6C15C8" w14:textId="63343EA5" w:rsidR="002527B9" w:rsidRDefault="002527B9">
      <w:pPr>
        <w:pStyle w:val="FootnoteText"/>
      </w:pPr>
      <w:r>
        <w:rPr>
          <w:rStyle w:val="FootnoteReference"/>
        </w:rPr>
        <w:footnoteRef/>
      </w:r>
      <w:r>
        <w:t xml:space="preserve"> </w:t>
      </w:r>
      <w:r w:rsidR="007136EA" w:rsidRPr="007136EA">
        <w:t>CDC</w:t>
      </w:r>
      <w:r w:rsidR="00A139A1">
        <w:t xml:space="preserve">. </w:t>
      </w:r>
      <w:r w:rsidR="000438C4">
        <w:t>S</w:t>
      </w:r>
      <w:r w:rsidR="007136EA" w:rsidRPr="007136EA">
        <w:t xml:space="preserve">elected Federal Legal Authorities Pertinent to Public Health Emergencies. </w:t>
      </w:r>
      <w:r w:rsidR="008D3EB1">
        <w:t>August 2017</w:t>
      </w:r>
      <w:r w:rsidR="007136EA" w:rsidRPr="007136EA">
        <w:t xml:space="preserve">. </w:t>
      </w:r>
      <w:r w:rsidR="00D97D90">
        <w:t xml:space="preserve">Retrieved from </w:t>
      </w:r>
      <w:hyperlink r:id="rId25" w:history="1">
        <w:r w:rsidR="00D97D90">
          <w:rPr>
            <w:rStyle w:val="Hyperlink"/>
          </w:rPr>
          <w:t>https://www.cdc.gov/phlp/docs/ph-emergencies.pdf</w:t>
        </w:r>
      </w:hyperlink>
      <w:r w:rsidR="00D97D90">
        <w:t>.</w:t>
      </w:r>
      <w:r w:rsidR="00E96232">
        <w:t xml:space="preserve"> Accessed August 1, 2020.</w:t>
      </w:r>
    </w:p>
  </w:footnote>
  <w:footnote w:id="20">
    <w:p w14:paraId="3202FCFB" w14:textId="16DFFA33" w:rsidR="007474A5" w:rsidRDefault="007474A5">
      <w:pPr>
        <w:pStyle w:val="FootnoteText"/>
      </w:pPr>
      <w:r>
        <w:rPr>
          <w:rStyle w:val="FootnoteReference"/>
        </w:rPr>
        <w:footnoteRef/>
      </w:r>
      <w:r>
        <w:t xml:space="preserve"> </w:t>
      </w:r>
      <w:r w:rsidRPr="007136EA">
        <w:t>CDC</w:t>
      </w:r>
      <w:r>
        <w:t>. S</w:t>
      </w:r>
      <w:r w:rsidRPr="007136EA">
        <w:t xml:space="preserve">elected Federal Legal Authorities Pertinent to Public Health Emergencies. </w:t>
      </w:r>
      <w:r>
        <w:t>August 2017</w:t>
      </w:r>
      <w:r w:rsidRPr="007136EA">
        <w:t xml:space="preserve">. </w:t>
      </w:r>
      <w:r>
        <w:t xml:space="preserve">Retrieved from </w:t>
      </w:r>
      <w:hyperlink r:id="rId26" w:history="1">
        <w:r>
          <w:rPr>
            <w:rStyle w:val="Hyperlink"/>
          </w:rPr>
          <w:t>https://www.cdc.gov/phlp/docs/ph-emergencies.pdf</w:t>
        </w:r>
      </w:hyperlink>
      <w:r>
        <w:t>.</w:t>
      </w:r>
      <w:r w:rsidR="00E96232">
        <w:t xml:space="preserve"> Accessed August 1, 2020.</w:t>
      </w:r>
    </w:p>
  </w:footnote>
  <w:footnote w:id="21">
    <w:p w14:paraId="2DDCAD86" w14:textId="5189760D" w:rsidR="006643AF" w:rsidRDefault="006643AF">
      <w:pPr>
        <w:pStyle w:val="FootnoteText"/>
      </w:pPr>
      <w:r>
        <w:rPr>
          <w:rStyle w:val="FootnoteReference"/>
        </w:rPr>
        <w:footnoteRef/>
      </w:r>
      <w:r>
        <w:t xml:space="preserve"> </w:t>
      </w:r>
      <w:r w:rsidRPr="007136EA">
        <w:t>CDC</w:t>
      </w:r>
      <w:r>
        <w:t>. S</w:t>
      </w:r>
      <w:r w:rsidRPr="007136EA">
        <w:t xml:space="preserve">elected Federal Legal Authorities Pertinent to Public Health Emergencies. </w:t>
      </w:r>
      <w:r>
        <w:t>August 2017</w:t>
      </w:r>
      <w:r w:rsidRPr="007136EA">
        <w:t xml:space="preserve">. </w:t>
      </w:r>
      <w:r>
        <w:t xml:space="preserve">Retrieved from </w:t>
      </w:r>
      <w:hyperlink r:id="rId27" w:history="1">
        <w:r>
          <w:rPr>
            <w:rStyle w:val="Hyperlink"/>
          </w:rPr>
          <w:t>https://www.cdc.gov/phlp/docs/ph-emergencies.pdf</w:t>
        </w:r>
      </w:hyperlink>
      <w:r>
        <w:t>.</w:t>
      </w:r>
      <w:r w:rsidR="00E96232">
        <w:t xml:space="preserve"> Accessed August 1, 2020.</w:t>
      </w:r>
    </w:p>
  </w:footnote>
  <w:footnote w:id="22">
    <w:p w14:paraId="035A7C83" w14:textId="28109B6A" w:rsidR="005711B9" w:rsidRDefault="005711B9">
      <w:pPr>
        <w:pStyle w:val="FootnoteText"/>
      </w:pPr>
      <w:r>
        <w:rPr>
          <w:rStyle w:val="FootnoteReference"/>
        </w:rPr>
        <w:footnoteRef/>
      </w:r>
      <w:r>
        <w:t xml:space="preserve"> HHS. </w:t>
      </w:r>
      <w:r w:rsidR="00AA76A9" w:rsidRPr="00AA76A9">
        <w:t>Public Health Emergency Declarations</w:t>
      </w:r>
      <w:r w:rsidR="00AA76A9">
        <w:t xml:space="preserve">. Webpage </w:t>
      </w:r>
      <w:r w:rsidR="00D00FBD">
        <w:t xml:space="preserve">last reviewed by HHS July 23, 2020. Retrieved from </w:t>
      </w:r>
      <w:hyperlink r:id="rId28" w:history="1">
        <w:r w:rsidR="00D00FBD">
          <w:rPr>
            <w:rStyle w:val="Hyperlink"/>
          </w:rPr>
          <w:t>https://www.phe.gov/emergency/news/healthactions/phe/Pages/default.aspx</w:t>
        </w:r>
      </w:hyperlink>
      <w:r w:rsidR="00D00FBD">
        <w:t>. Accessed August 2, 2020.</w:t>
      </w:r>
    </w:p>
  </w:footnote>
  <w:footnote w:id="23">
    <w:p w14:paraId="5E1D3CDD" w14:textId="5667E245" w:rsidR="00C57974" w:rsidRDefault="00C57974">
      <w:pPr>
        <w:pStyle w:val="FootnoteText"/>
      </w:pPr>
      <w:r>
        <w:rPr>
          <w:rStyle w:val="FootnoteReference"/>
        </w:rPr>
        <w:footnoteRef/>
      </w:r>
      <w:r>
        <w:t xml:space="preserve"> </w:t>
      </w:r>
      <w:r w:rsidR="00E34346">
        <w:t xml:space="preserve">HHS. </w:t>
      </w:r>
      <w:r w:rsidR="00E34346" w:rsidRPr="00E34346">
        <w:t>Public Readiness and Emergency Preparedness Act</w:t>
      </w:r>
      <w:r w:rsidR="00E34346">
        <w:t xml:space="preserve">: Current Declarations. Webpage last reviewed by HHS </w:t>
      </w:r>
      <w:r w:rsidR="004E180F">
        <w:t xml:space="preserve">June 9, 2020. Retrieved from </w:t>
      </w:r>
      <w:hyperlink r:id="rId29" w:history="1">
        <w:r w:rsidR="004E180F">
          <w:rPr>
            <w:rStyle w:val="Hyperlink"/>
          </w:rPr>
          <w:t>https://www.phe.gov/Preparedness/legal/prepact/Pages/default.aspx</w:t>
        </w:r>
      </w:hyperlink>
      <w:r w:rsidR="004E180F">
        <w:t>. Accessed August 2, 2020.</w:t>
      </w:r>
    </w:p>
  </w:footnote>
  <w:footnote w:id="24">
    <w:p w14:paraId="0000D173" w14:textId="3D9F3C53" w:rsidR="00356B47" w:rsidRDefault="00356B47">
      <w:pPr>
        <w:pStyle w:val="FootnoteText"/>
      </w:pPr>
      <w:r>
        <w:rPr>
          <w:rStyle w:val="FootnoteReference"/>
        </w:rPr>
        <w:footnoteRef/>
      </w:r>
      <w:r>
        <w:t xml:space="preserve"> </w:t>
      </w:r>
      <w:r w:rsidR="00FF78EE">
        <w:t xml:space="preserve">White House. </w:t>
      </w:r>
      <w:r w:rsidR="00FF78EE" w:rsidRPr="00FF78EE">
        <w:t>Letter from President Donald J. Trump on Emergency Determination Under the Stafford Act</w:t>
      </w:r>
      <w:r w:rsidR="00FF78EE">
        <w:t xml:space="preserve">. March </w:t>
      </w:r>
      <w:r w:rsidR="00FA3CAB">
        <w:t xml:space="preserve">13, 2020. Retrieved from </w:t>
      </w:r>
      <w:hyperlink r:id="rId30" w:history="1">
        <w:r w:rsidR="00FA3CAB">
          <w:rPr>
            <w:rStyle w:val="Hyperlink"/>
          </w:rPr>
          <w:t>https://www.whitehouse.gov/briefings-statements/letter-president-donald-j-trump-emergency-determination-stafford-act/</w:t>
        </w:r>
      </w:hyperlink>
      <w:r w:rsidR="00FA3CAB">
        <w:t>. Accessed August 2, 2020.</w:t>
      </w:r>
    </w:p>
  </w:footnote>
  <w:footnote w:id="25">
    <w:p w14:paraId="22BFDBE6" w14:textId="77777777" w:rsidR="0036680B" w:rsidRDefault="0036680B" w:rsidP="0036680B">
      <w:pPr>
        <w:pStyle w:val="FootnoteText"/>
      </w:pPr>
      <w:r>
        <w:rPr>
          <w:rStyle w:val="FootnoteReference"/>
        </w:rPr>
        <w:footnoteRef/>
      </w:r>
      <w:r>
        <w:t xml:space="preserve"> White House. </w:t>
      </w:r>
      <w:r w:rsidRPr="005A6E13">
        <w:t>Proclamation on Declaring a National Emergency Concerning the Novel Coronavirus Disease (COVID-19) Outbreak</w:t>
      </w:r>
      <w:r>
        <w:t xml:space="preserve">. March 13, 2020. Retrieved from </w:t>
      </w:r>
      <w:hyperlink r:id="rId31" w:history="1">
        <w:r w:rsidRPr="0009755F">
          <w:rPr>
            <w:rStyle w:val="Hyperlink"/>
          </w:rPr>
          <w:t>https://www.whitehouse.gov/presidential-actions/proclamation-declaring-national-emergency-concerning-novel-coronavirus-disease-covid-19-outbreak/</w:t>
        </w:r>
      </w:hyperlink>
      <w:r>
        <w:t>. Accessed August 2, 2020.</w:t>
      </w:r>
    </w:p>
  </w:footnote>
  <w:footnote w:id="26">
    <w:p w14:paraId="4E910ED1" w14:textId="5BCAB45F" w:rsidR="0036680B" w:rsidRDefault="0036680B">
      <w:pPr>
        <w:pStyle w:val="FootnoteText"/>
      </w:pPr>
      <w:r>
        <w:rPr>
          <w:rStyle w:val="FootnoteReference"/>
        </w:rPr>
        <w:footnoteRef/>
      </w:r>
      <w:r>
        <w:t xml:space="preserve"> </w:t>
      </w:r>
      <w:r w:rsidR="0075314A">
        <w:t xml:space="preserve">White House. </w:t>
      </w:r>
      <w:r w:rsidR="0075314A" w:rsidRPr="0075314A">
        <w:t>Executive Order on Prioritizing and Allocating Health and Medical Resources to Respond to the Spread of Covid-19</w:t>
      </w:r>
      <w:r w:rsidR="00F704D7">
        <w:t xml:space="preserve">. March 18, 2020. Retrieved from </w:t>
      </w:r>
      <w:hyperlink r:id="rId32" w:history="1">
        <w:r w:rsidR="00F704D7" w:rsidRPr="00F704D7">
          <w:rPr>
            <w:rStyle w:val="Hyperlink"/>
          </w:rPr>
          <w:t>https://www.whitehouse.gov/presidential-actions/executive-order-prioritizing-allocating-health-medical-resources-respond-spread-covid-19/</w:t>
        </w:r>
      </w:hyperlink>
      <w:r w:rsidR="00F704D7">
        <w:t>. Accessed August 2, 2020.</w:t>
      </w:r>
    </w:p>
  </w:footnote>
  <w:footnote w:id="27">
    <w:p w14:paraId="4D273D5D" w14:textId="63FA478A" w:rsidR="00CF007B" w:rsidRDefault="00CF007B">
      <w:pPr>
        <w:pStyle w:val="FootnoteText"/>
      </w:pPr>
      <w:r>
        <w:rPr>
          <w:rStyle w:val="FootnoteReference"/>
        </w:rPr>
        <w:footnoteRef/>
      </w:r>
      <w:r>
        <w:t xml:space="preserve"> </w:t>
      </w:r>
      <w:r w:rsidR="008A47EA">
        <w:t xml:space="preserve">HHS. </w:t>
      </w:r>
      <w:r w:rsidR="008A47EA" w:rsidRPr="008A47EA">
        <w:t>Waiver or Modification of Requirements Under Section 1135 of the Social Security Act</w:t>
      </w:r>
      <w:r w:rsidR="008A47EA">
        <w:t>. Webpage last reviewed by HHS</w:t>
      </w:r>
      <w:r w:rsidR="00A36580">
        <w:t xml:space="preserve"> March 15, 2020. </w:t>
      </w:r>
      <w:r w:rsidR="008A47EA">
        <w:t xml:space="preserve">Retrieved from </w:t>
      </w:r>
      <w:hyperlink r:id="rId33" w:history="1">
        <w:r w:rsidR="00A36580">
          <w:rPr>
            <w:rStyle w:val="Hyperlink"/>
          </w:rPr>
          <w:t>https://www.phe.gov/emergency/news/healthactions/section1135/Pages/default.aspx</w:t>
        </w:r>
      </w:hyperlink>
      <w:r w:rsidR="00A36580">
        <w:t>. Accessed August 2, 2020.</w:t>
      </w:r>
    </w:p>
  </w:footnote>
  <w:footnote w:id="28">
    <w:p w14:paraId="2BBF96A2" w14:textId="6F82069F" w:rsidR="00B300CB" w:rsidRDefault="00B300CB">
      <w:pPr>
        <w:pStyle w:val="FootnoteText"/>
      </w:pPr>
      <w:r>
        <w:rPr>
          <w:rStyle w:val="FootnoteReference"/>
        </w:rPr>
        <w:footnoteRef/>
      </w:r>
      <w:r>
        <w:t xml:space="preserve"> </w:t>
      </w:r>
      <w:r w:rsidR="00464088">
        <w:t xml:space="preserve">Liu, E.C. Congressional Research Service. COVID-19: Federal Travel Restrictions and Quarantine Measures. </w:t>
      </w:r>
      <w:r w:rsidR="00464088" w:rsidRPr="004F3539">
        <w:t>LSB10415</w:t>
      </w:r>
      <w:r w:rsidR="00464088">
        <w:t xml:space="preserve">. May 28, 2020. Retrieved from  </w:t>
      </w:r>
      <w:hyperlink r:id="rId34" w:history="1">
        <w:r w:rsidR="00464088" w:rsidRPr="004F3539">
          <w:rPr>
            <w:rStyle w:val="Hyperlink"/>
          </w:rPr>
          <w:t>https://crsreports.congress.gov/product/pdf/LSB/LSB10415</w:t>
        </w:r>
      </w:hyperlink>
      <w:r w:rsidR="00464088">
        <w:t>. Accessed August 2, 2020.</w:t>
      </w:r>
    </w:p>
  </w:footnote>
  <w:footnote w:id="29">
    <w:p w14:paraId="4D50A4B1" w14:textId="055E02C9" w:rsidR="00715A77" w:rsidRDefault="00715A77">
      <w:pPr>
        <w:pStyle w:val="FootnoteText"/>
      </w:pPr>
      <w:r>
        <w:rPr>
          <w:rStyle w:val="FootnoteReference"/>
        </w:rPr>
        <w:footnoteRef/>
      </w:r>
      <w:r>
        <w:t xml:space="preserve"> </w:t>
      </w:r>
      <w:r w:rsidR="008E6702">
        <w:t xml:space="preserve">Liu, E.C. Congressional Research Service. COVID-19: Federal Travel Restrictions and Quarantine Measures. </w:t>
      </w:r>
      <w:r w:rsidR="008E6702" w:rsidRPr="004F3539">
        <w:t>LSB10415</w:t>
      </w:r>
      <w:r w:rsidR="008E6702">
        <w:t xml:space="preserve">. May 28, 2020. Retrieved from  </w:t>
      </w:r>
      <w:hyperlink r:id="rId35" w:history="1">
        <w:r w:rsidR="008E6702" w:rsidRPr="004F3539">
          <w:rPr>
            <w:rStyle w:val="Hyperlink"/>
          </w:rPr>
          <w:t>https://crsreports.congress.gov/product/pdf/LSB/LSB10415</w:t>
        </w:r>
      </w:hyperlink>
      <w:r w:rsidR="008E6702">
        <w:t xml:space="preserve">. Accessed August 2, 2020. </w:t>
      </w:r>
      <w:r w:rsidR="008E6702" w:rsidRPr="008E6702">
        <w:rPr>
          <w:i/>
          <w:iCs/>
        </w:rPr>
        <w:t>See also</w:t>
      </w:r>
      <w:r w:rsidR="008E6702">
        <w:t xml:space="preserve"> </w:t>
      </w:r>
      <w:r w:rsidR="00EA1872">
        <w:t xml:space="preserve">CDC. </w:t>
      </w:r>
      <w:r w:rsidR="00EA1872" w:rsidRPr="00CA2806">
        <w:t>Legal Authorities for Isolation and Quarantine</w:t>
      </w:r>
      <w:r w:rsidR="00EA1872">
        <w:t xml:space="preserve">. Webpage last reviewed by CDC February 24, 2020. Retrieved from </w:t>
      </w:r>
      <w:hyperlink r:id="rId36" w:history="1">
        <w:r w:rsidR="00EA1872">
          <w:rPr>
            <w:rStyle w:val="Hyperlink"/>
          </w:rPr>
          <w:t>https://www.cdc.gov/quarantine/aboutlawsregulationsquarantineisolation.html</w:t>
        </w:r>
      </w:hyperlink>
      <w:r w:rsidR="00EA1872">
        <w:t>. Accessed August 2, 2020.</w:t>
      </w:r>
    </w:p>
  </w:footnote>
  <w:footnote w:id="30">
    <w:p w14:paraId="71777C7A" w14:textId="679E0446" w:rsidR="00A34231" w:rsidRDefault="00A34231">
      <w:pPr>
        <w:pStyle w:val="FootnoteText"/>
      </w:pPr>
      <w:r>
        <w:rPr>
          <w:rStyle w:val="FootnoteReference"/>
        </w:rPr>
        <w:footnoteRef/>
      </w:r>
      <w:r>
        <w:t xml:space="preserve"> See ASTHO. </w:t>
      </w:r>
      <w:r w:rsidR="00D92FA6">
        <w:t xml:space="preserve">Resource Guide for Directors of Public Health Preparedness and Hospital Preparedness Program Coordinators. </w:t>
      </w:r>
      <w:r w:rsidR="007D5DB9">
        <w:t xml:space="preserve">Version 2.0 October 30, 2015. Retrieved from </w:t>
      </w:r>
      <w:hyperlink r:id="rId37" w:history="1">
        <w:r w:rsidR="00255287">
          <w:rPr>
            <w:rStyle w:val="Hyperlink"/>
          </w:rPr>
          <w:t>https://www.astho.org/Preparedness/DPHP_HPP_ResourceGuide_V2_Oct2015/</w:t>
        </w:r>
      </w:hyperlink>
      <w:r w:rsidR="00255287">
        <w:t>.</w:t>
      </w:r>
      <w:r w:rsidR="005A01C7">
        <w:t xml:space="preserve"> Accessed August 1, 2020.</w:t>
      </w:r>
    </w:p>
  </w:footnote>
  <w:footnote w:id="31">
    <w:p w14:paraId="644C89F6" w14:textId="22119AAE" w:rsidR="003F0A22" w:rsidRDefault="003F0A22" w:rsidP="003F0A22">
      <w:pPr>
        <w:pStyle w:val="FootnoteText"/>
      </w:pPr>
      <w:r>
        <w:rPr>
          <w:rStyle w:val="FootnoteReference"/>
        </w:rPr>
        <w:footnoteRef/>
      </w:r>
      <w:r>
        <w:t xml:space="preserve"> </w:t>
      </w:r>
      <w:r w:rsidRPr="00644CD7">
        <w:t>Relyea HC. Congressional Research Service. Presidential Directives: Background and Overview (98-611). November 26, 2008.</w:t>
      </w:r>
      <w:r>
        <w:t xml:space="preserve"> </w:t>
      </w:r>
      <w:r w:rsidR="00E64C27">
        <w:t xml:space="preserve">Retrieved from </w:t>
      </w:r>
      <w:hyperlink r:id="rId38" w:history="1">
        <w:r w:rsidR="00E64C27">
          <w:rPr>
            <w:rStyle w:val="Hyperlink"/>
          </w:rPr>
          <w:t>https://fas.org/sgp/crs/misc/98-611.pdf</w:t>
        </w:r>
      </w:hyperlink>
      <w:r w:rsidR="00E64C27">
        <w:t xml:space="preserve">. Accessed August 1, 2020. </w:t>
      </w:r>
      <w:r w:rsidR="00A65F3D" w:rsidRPr="00A65F3D">
        <w:rPr>
          <w:i/>
          <w:iCs/>
        </w:rPr>
        <w:t>Note</w:t>
      </w:r>
      <w:r w:rsidR="00A65F3D">
        <w:t xml:space="preserve"> </w:t>
      </w:r>
      <w:r w:rsidRPr="00811B6D">
        <w:rPr>
          <w:rFonts w:eastAsia="Times New Roman" w:cstheme="minorHAnsi"/>
        </w:rPr>
        <w:t xml:space="preserve">Homeland Security Presidential Directives (HSPDs) were created in 2001 and are presidential directives that pertain to homeland security issues. The </w:t>
      </w:r>
      <w:r>
        <w:rPr>
          <w:rFonts w:eastAsia="Times New Roman" w:cstheme="minorHAnsi"/>
        </w:rPr>
        <w:t xml:space="preserve">current administration and other use </w:t>
      </w:r>
      <w:r w:rsidRPr="00811B6D">
        <w:rPr>
          <w:rFonts w:eastAsia="Times New Roman" w:cstheme="minorHAnsi"/>
        </w:rPr>
        <w:t>Presidential Policy Directives (PPDs) for homeland security issues.</w:t>
      </w:r>
    </w:p>
  </w:footnote>
  <w:footnote w:id="32">
    <w:p w14:paraId="675598AD" w14:textId="66326C6E" w:rsidR="003F0A22" w:rsidRDefault="003F0A22" w:rsidP="003F0A22">
      <w:pPr>
        <w:pStyle w:val="FootnoteText"/>
      </w:pPr>
      <w:r>
        <w:rPr>
          <w:rStyle w:val="FootnoteReference"/>
        </w:rPr>
        <w:footnoteRef/>
      </w:r>
      <w:r>
        <w:t xml:space="preserve"> Presidential Policy Directive 8: National Security. March 30, 2011. </w:t>
      </w:r>
      <w:r w:rsidR="00A4558D">
        <w:t xml:space="preserve">Webpage last updated by DHS </w:t>
      </w:r>
      <w:r w:rsidR="00A4558D" w:rsidRPr="00A4558D">
        <w:t>August 14, 2018</w:t>
      </w:r>
      <w:r w:rsidR="00A4558D">
        <w:t xml:space="preserve">. </w:t>
      </w:r>
      <w:r>
        <w:t xml:space="preserve">Retrieved from </w:t>
      </w:r>
      <w:hyperlink r:id="rId39" w:history="1">
        <w:r>
          <w:rPr>
            <w:rStyle w:val="Hyperlink"/>
          </w:rPr>
          <w:t>https://www.dhs.gov/presidential-policy-directive-8-national-preparedness</w:t>
        </w:r>
      </w:hyperlink>
      <w:r>
        <w:t>.</w:t>
      </w:r>
      <w:r w:rsidR="00AE5118">
        <w:t xml:space="preserve"> Accessed August 1, 2020.</w:t>
      </w:r>
    </w:p>
  </w:footnote>
  <w:footnote w:id="33">
    <w:p w14:paraId="59CF1DC8" w14:textId="3D400E4E" w:rsidR="003F0A22" w:rsidRDefault="003F0A22" w:rsidP="003F0A22">
      <w:pPr>
        <w:pStyle w:val="FootnoteText"/>
      </w:pPr>
      <w:r>
        <w:rPr>
          <w:rStyle w:val="FootnoteReference"/>
        </w:rPr>
        <w:footnoteRef/>
      </w:r>
      <w:r>
        <w:t xml:space="preserve"> Presidential Policy Directive 8: National Security. March 30, 2011. </w:t>
      </w:r>
      <w:r w:rsidR="00310053">
        <w:t xml:space="preserve">Webpage last updated by DHS </w:t>
      </w:r>
      <w:r w:rsidR="00310053" w:rsidRPr="00A4558D">
        <w:t>August 14, 2018</w:t>
      </w:r>
      <w:r w:rsidR="00310053">
        <w:t xml:space="preserve">. Retrieved from </w:t>
      </w:r>
      <w:hyperlink r:id="rId40" w:history="1">
        <w:r w:rsidR="00310053">
          <w:rPr>
            <w:rStyle w:val="Hyperlink"/>
          </w:rPr>
          <w:t>https://www.dhs.gov/presidential-policy-directive-8-national-preparedness</w:t>
        </w:r>
      </w:hyperlink>
      <w:r w:rsidR="00310053">
        <w:t>. Accessed August 1, 2020.</w:t>
      </w:r>
    </w:p>
  </w:footnote>
  <w:footnote w:id="34">
    <w:p w14:paraId="78114053" w14:textId="41477BF1" w:rsidR="00EF0B67" w:rsidRDefault="00EF0B67">
      <w:pPr>
        <w:pStyle w:val="FootnoteText"/>
      </w:pPr>
      <w:r>
        <w:rPr>
          <w:rStyle w:val="FootnoteReference"/>
        </w:rPr>
        <w:footnoteRef/>
      </w:r>
      <w:r>
        <w:t xml:space="preserve"> </w:t>
      </w:r>
      <w:r w:rsidR="00282037">
        <w:t xml:space="preserve">FEMA. National Preparedness Goal. Webpage </w:t>
      </w:r>
      <w:r w:rsidR="00CB1F03">
        <w:t xml:space="preserve">last </w:t>
      </w:r>
      <w:r w:rsidR="00282037">
        <w:t>updated</w:t>
      </w:r>
      <w:r w:rsidR="0041614B">
        <w:t xml:space="preserve"> </w:t>
      </w:r>
      <w:r w:rsidR="00CB1F03">
        <w:t>by DHS July 20, 2020.</w:t>
      </w:r>
      <w:r w:rsidR="00282037">
        <w:t xml:space="preserve"> Retrieved from </w:t>
      </w:r>
      <w:hyperlink r:id="rId41" w:history="1">
        <w:r w:rsidR="00282037">
          <w:rPr>
            <w:rStyle w:val="Hyperlink"/>
          </w:rPr>
          <w:t>https://www.fema.gov/national-preparedness-goal</w:t>
        </w:r>
      </w:hyperlink>
      <w:r w:rsidR="00282037">
        <w:t>.</w:t>
      </w:r>
      <w:r w:rsidR="000367CA">
        <w:t xml:space="preserve"> Accessed August 1, 2020.</w:t>
      </w:r>
    </w:p>
  </w:footnote>
  <w:footnote w:id="35">
    <w:p w14:paraId="4B318E04" w14:textId="6ACAF33F" w:rsidR="00D8756B" w:rsidRDefault="00D8756B" w:rsidP="00D8756B">
      <w:pPr>
        <w:pStyle w:val="FootnoteText"/>
      </w:pPr>
      <w:r>
        <w:rPr>
          <w:rStyle w:val="FootnoteReference"/>
        </w:rPr>
        <w:footnoteRef/>
      </w:r>
      <w:r>
        <w:t xml:space="preserve"> FEMA </w:t>
      </w:r>
      <w:r w:rsidR="00E138DB">
        <w:t xml:space="preserve">notes: </w:t>
      </w:r>
      <w:r w:rsidR="00B56B72" w:rsidRPr="00B56B72">
        <w:t xml:space="preserve">“Whole Community includes: Individuals and families, including those with access and functional needs; Businesses; Faith-based and community organizations; Nonprofit groups; Schools and academia; Media outlets; and All levels of government, including state, local, tribal, territorial, and federal partners.” </w:t>
      </w:r>
      <w:r w:rsidRPr="00635415">
        <w:t xml:space="preserve"> </w:t>
      </w:r>
      <w:r>
        <w:t xml:space="preserve">FEMA. </w:t>
      </w:r>
      <w:r w:rsidR="00E138DB" w:rsidRPr="00E138DB">
        <w:t>Whole Community</w:t>
      </w:r>
      <w:r>
        <w:t xml:space="preserve">. Webpage </w:t>
      </w:r>
      <w:r w:rsidR="002F3B54">
        <w:t xml:space="preserve">last </w:t>
      </w:r>
      <w:r>
        <w:t xml:space="preserve">updated </w:t>
      </w:r>
      <w:r w:rsidR="002F3B54">
        <w:t xml:space="preserve">by </w:t>
      </w:r>
      <w:r w:rsidR="00647AAD">
        <w:t>FEMA</w:t>
      </w:r>
      <w:r w:rsidR="002F3B54">
        <w:t xml:space="preserve"> Ju</w:t>
      </w:r>
      <w:r w:rsidR="00287FFE">
        <w:t>ne 4</w:t>
      </w:r>
      <w:r w:rsidR="002F3B54">
        <w:t xml:space="preserve">, 2020. </w:t>
      </w:r>
      <w:r>
        <w:t>Retrieved</w:t>
      </w:r>
      <w:r w:rsidR="007C05F4">
        <w:t xml:space="preserve"> from</w:t>
      </w:r>
      <w:r>
        <w:t xml:space="preserve"> </w:t>
      </w:r>
      <w:hyperlink r:id="rId42" w:history="1">
        <w:r w:rsidR="007C05F4">
          <w:rPr>
            <w:rStyle w:val="Hyperlink"/>
          </w:rPr>
          <w:t>https://www.fema.gov/glossary/whole-community</w:t>
        </w:r>
      </w:hyperlink>
      <w:r>
        <w:t>.</w:t>
      </w:r>
      <w:r w:rsidR="007C05F4">
        <w:t xml:space="preserve"> Accessed August 1, 2020.</w:t>
      </w:r>
    </w:p>
  </w:footnote>
  <w:footnote w:id="36">
    <w:p w14:paraId="7912D9A3" w14:textId="0145B7E3" w:rsidR="002A099E" w:rsidRDefault="002A099E">
      <w:pPr>
        <w:pStyle w:val="FootnoteText"/>
      </w:pPr>
      <w:r>
        <w:rPr>
          <w:rStyle w:val="FootnoteReference"/>
        </w:rPr>
        <w:footnoteRef/>
      </w:r>
      <w:r>
        <w:t xml:space="preserve"> Presidential Policy Directive 8: National Security. March 30, 2011. </w:t>
      </w:r>
      <w:r w:rsidR="00136B92">
        <w:t xml:space="preserve">Webpage last updated by DHS </w:t>
      </w:r>
      <w:r w:rsidR="00136B92" w:rsidRPr="00A4558D">
        <w:t>August 14, 2018</w:t>
      </w:r>
      <w:r w:rsidR="00136B92">
        <w:t xml:space="preserve">. Retrieved from </w:t>
      </w:r>
      <w:hyperlink r:id="rId43" w:history="1">
        <w:r w:rsidR="00136B92">
          <w:rPr>
            <w:rStyle w:val="Hyperlink"/>
          </w:rPr>
          <w:t>https://www.dhs.gov/presidential-policy-directive-8-national-preparedness</w:t>
        </w:r>
      </w:hyperlink>
      <w:r w:rsidR="00136B92">
        <w:t>. Accessed August 1, 2020.</w:t>
      </w:r>
    </w:p>
  </w:footnote>
  <w:footnote w:id="37">
    <w:p w14:paraId="172A5E93" w14:textId="1BABF22F" w:rsidR="00031FA4" w:rsidRDefault="00031FA4">
      <w:pPr>
        <w:pStyle w:val="FootnoteText"/>
      </w:pPr>
      <w:r>
        <w:rPr>
          <w:rStyle w:val="FootnoteReference"/>
        </w:rPr>
        <w:footnoteRef/>
      </w:r>
      <w:r>
        <w:t xml:space="preserve"> FEMA. </w:t>
      </w:r>
      <w:r w:rsidR="00D14B62">
        <w:t xml:space="preserve">National Preparedness System. </w:t>
      </w:r>
      <w:r w:rsidR="001442BD">
        <w:t xml:space="preserve">Webpage </w:t>
      </w:r>
      <w:r w:rsidR="00ED56A8">
        <w:t xml:space="preserve">last </w:t>
      </w:r>
      <w:r w:rsidR="001442BD">
        <w:t xml:space="preserve">updated </w:t>
      </w:r>
      <w:r w:rsidR="00ED56A8">
        <w:t xml:space="preserve">by </w:t>
      </w:r>
      <w:r w:rsidR="003425FB">
        <w:t>FEMA</w:t>
      </w:r>
      <w:r w:rsidR="00ED56A8">
        <w:t xml:space="preserve"> July 31, 2020. </w:t>
      </w:r>
      <w:r w:rsidR="003614BA">
        <w:t xml:space="preserve">Retrieved from </w:t>
      </w:r>
      <w:hyperlink r:id="rId44" w:history="1">
        <w:r w:rsidR="003B7DAF">
          <w:rPr>
            <w:rStyle w:val="Hyperlink"/>
          </w:rPr>
          <w:t>https://www.fema.gov/national-preparedness-system</w:t>
        </w:r>
      </w:hyperlink>
      <w:r w:rsidR="003B7DAF">
        <w:t>.</w:t>
      </w:r>
      <w:r w:rsidR="00ED56A8">
        <w:t xml:space="preserve"> Accessed August 1, 2020.</w:t>
      </w:r>
    </w:p>
  </w:footnote>
  <w:footnote w:id="38">
    <w:p w14:paraId="5EC8B66C" w14:textId="59A8404D" w:rsidR="00B45292" w:rsidRDefault="00B45292">
      <w:pPr>
        <w:pStyle w:val="FootnoteText"/>
      </w:pPr>
      <w:r>
        <w:rPr>
          <w:rStyle w:val="FootnoteReference"/>
        </w:rPr>
        <w:footnoteRef/>
      </w:r>
      <w:r>
        <w:t xml:space="preserve"> FEMA. National Preparedness System. </w:t>
      </w:r>
      <w:r w:rsidR="00D053D8">
        <w:t xml:space="preserve">Webpage last updated by </w:t>
      </w:r>
      <w:r w:rsidR="003425FB">
        <w:t>FEMA</w:t>
      </w:r>
      <w:r w:rsidR="00D053D8">
        <w:t xml:space="preserve"> July 31, 2020. Retrieved from </w:t>
      </w:r>
      <w:hyperlink r:id="rId45" w:history="1">
        <w:r w:rsidR="00D053D8">
          <w:rPr>
            <w:rStyle w:val="Hyperlink"/>
          </w:rPr>
          <w:t>https://www.fema.gov/national-preparedness-system</w:t>
        </w:r>
      </w:hyperlink>
      <w:r w:rsidR="00D053D8">
        <w:t>. Accessed August 1, 2020.</w:t>
      </w:r>
    </w:p>
  </w:footnote>
  <w:footnote w:id="39">
    <w:p w14:paraId="63851199" w14:textId="1D879EA8" w:rsidR="00701EFB" w:rsidRDefault="00701EFB">
      <w:pPr>
        <w:pStyle w:val="FootnoteText"/>
      </w:pPr>
      <w:r>
        <w:rPr>
          <w:rStyle w:val="FootnoteReference"/>
        </w:rPr>
        <w:footnoteRef/>
      </w:r>
      <w:r>
        <w:t xml:space="preserve"> </w:t>
      </w:r>
      <w:r w:rsidR="005462C6">
        <w:t xml:space="preserve">FEMA. National Preparedness System. Webpage last updated by FEMA July 31, 2020. Retrieved from </w:t>
      </w:r>
      <w:hyperlink r:id="rId46" w:history="1">
        <w:r w:rsidR="005462C6">
          <w:rPr>
            <w:rStyle w:val="Hyperlink"/>
          </w:rPr>
          <w:t>https://www.fema.gov/national-preparedness-system</w:t>
        </w:r>
      </w:hyperlink>
      <w:r w:rsidR="005462C6">
        <w:t>. Accessed August 1, 2020.</w:t>
      </w:r>
    </w:p>
  </w:footnote>
  <w:footnote w:id="40">
    <w:p w14:paraId="19DCDA50" w14:textId="4887F402" w:rsidR="00FB58E2" w:rsidRDefault="00FB58E2">
      <w:pPr>
        <w:pStyle w:val="FootnoteText"/>
      </w:pPr>
      <w:r>
        <w:rPr>
          <w:rStyle w:val="FootnoteReference"/>
        </w:rPr>
        <w:footnoteRef/>
      </w:r>
      <w:r>
        <w:t xml:space="preserve"> </w:t>
      </w:r>
      <w:r w:rsidR="000403D3">
        <w:t>DH</w:t>
      </w:r>
      <w:r w:rsidR="00427FB8">
        <w:t>S</w:t>
      </w:r>
      <w:r w:rsidR="000403D3">
        <w:t xml:space="preserve">. National Response Framework. </w:t>
      </w:r>
      <w:r w:rsidR="0038569A">
        <w:t xml:space="preserve">Fourth edition. October 28, 2019. Retrieved from </w:t>
      </w:r>
      <w:hyperlink r:id="rId47" w:history="1">
        <w:r w:rsidR="00427FB8">
          <w:rPr>
            <w:rStyle w:val="Hyperlink"/>
          </w:rPr>
          <w:t>https://www.fema.gov/media-library-data/1582825590194-2f000855d442fc3c9f18547d1468990d/NRF_FINALApproved_508_2011028v1040.pdf</w:t>
        </w:r>
      </w:hyperlink>
      <w:r w:rsidR="00427FB8">
        <w:t>.</w:t>
      </w:r>
      <w:r>
        <w:t xml:space="preserve"> </w:t>
      </w:r>
      <w:r w:rsidR="0007188D">
        <w:t>Accessed August 1, 2020.</w:t>
      </w:r>
    </w:p>
  </w:footnote>
  <w:footnote w:id="41">
    <w:p w14:paraId="52BC4896" w14:textId="6AA1B275" w:rsidR="00653E21" w:rsidRDefault="00653E21">
      <w:pPr>
        <w:pStyle w:val="FootnoteText"/>
      </w:pPr>
      <w:r>
        <w:rPr>
          <w:rStyle w:val="FootnoteReference"/>
        </w:rPr>
        <w:footnoteRef/>
      </w:r>
      <w:r>
        <w:t xml:space="preserve"> DHS. National Response Framework. Fourth edition. October 28, 2019. Retrieved from </w:t>
      </w:r>
      <w:hyperlink r:id="rId48" w:history="1">
        <w:r>
          <w:rPr>
            <w:rStyle w:val="Hyperlink"/>
          </w:rPr>
          <w:t>https://www.fema.gov/media-library-data/1582825590194-2f000855d442fc3c9f18547d1468990d/NRF_FINALApproved_508_2011028v1040.pdf</w:t>
        </w:r>
      </w:hyperlink>
      <w:r>
        <w:t>.</w:t>
      </w:r>
      <w:r w:rsidR="006E736B">
        <w:t xml:space="preserve"> Accessed August 1, 2020.</w:t>
      </w:r>
    </w:p>
  </w:footnote>
  <w:footnote w:id="42">
    <w:p w14:paraId="5B8D56CA" w14:textId="146D2F66" w:rsidR="008E035B" w:rsidRDefault="008E035B">
      <w:pPr>
        <w:pStyle w:val="FootnoteText"/>
      </w:pPr>
      <w:r>
        <w:rPr>
          <w:rStyle w:val="FootnoteReference"/>
        </w:rPr>
        <w:footnoteRef/>
      </w:r>
      <w:r>
        <w:t xml:space="preserve"> </w:t>
      </w:r>
      <w:r w:rsidR="00617747">
        <w:t xml:space="preserve">HHS. National Health Security Strategy. </w:t>
      </w:r>
      <w:r w:rsidR="00AA4A8F">
        <w:t xml:space="preserve">Webpage updated January </w:t>
      </w:r>
      <w:r w:rsidR="00175724">
        <w:t xml:space="preserve">15, 2019. </w:t>
      </w:r>
      <w:r w:rsidR="00890BB0">
        <w:t xml:space="preserve">Retrieved from </w:t>
      </w:r>
      <w:hyperlink r:id="rId49" w:history="1">
        <w:r w:rsidR="00890BB0">
          <w:rPr>
            <w:rStyle w:val="Hyperlink"/>
          </w:rPr>
          <w:t>https://www.phe.gov/Preparedness/planning/authority/nhss/Pages/default.aspx</w:t>
        </w:r>
      </w:hyperlink>
      <w:r w:rsidR="00890BB0">
        <w:t>.</w:t>
      </w:r>
      <w:r w:rsidR="00832B1A">
        <w:t xml:space="preserve"> Accessed August 1, 2020.</w:t>
      </w:r>
    </w:p>
  </w:footnote>
  <w:footnote w:id="43">
    <w:p w14:paraId="65A5D1EA" w14:textId="5B1F2B39" w:rsidR="00175724" w:rsidRDefault="00175724">
      <w:pPr>
        <w:pStyle w:val="FootnoteText"/>
      </w:pPr>
      <w:r>
        <w:rPr>
          <w:rStyle w:val="FootnoteReference"/>
        </w:rPr>
        <w:footnoteRef/>
      </w:r>
      <w:r>
        <w:t xml:space="preserve"> </w:t>
      </w:r>
      <w:r w:rsidR="00944EE2">
        <w:t>CDC. National Pandemic Strategy. Webpage update</w:t>
      </w:r>
      <w:r w:rsidR="00D263DB">
        <w:t>d by CDC</w:t>
      </w:r>
      <w:r w:rsidR="00944EE2">
        <w:t xml:space="preserve"> J</w:t>
      </w:r>
      <w:r w:rsidR="00A33C75">
        <w:t>une</w:t>
      </w:r>
      <w:r w:rsidR="00D263DB">
        <w:t xml:space="preserve"> </w:t>
      </w:r>
      <w:r w:rsidR="00944EE2">
        <w:t xml:space="preserve">15, 2017. Retrieved from </w:t>
      </w:r>
      <w:hyperlink r:id="rId50" w:history="1">
        <w:r w:rsidR="00944EE2">
          <w:rPr>
            <w:rStyle w:val="Hyperlink"/>
          </w:rPr>
          <w:t>https://www.cdc.gov/flu/pandemic-resources/national-strategy/index.html</w:t>
        </w:r>
      </w:hyperlink>
      <w:r w:rsidR="00944EE2">
        <w:t>.</w:t>
      </w:r>
      <w:r w:rsidR="00D263DB">
        <w:t xml:space="preserve"> Accessed August 1, 2020.</w:t>
      </w:r>
    </w:p>
  </w:footnote>
  <w:footnote w:id="44">
    <w:p w14:paraId="54994AAF" w14:textId="42D18644" w:rsidR="007670A0" w:rsidRDefault="007670A0" w:rsidP="007670A0">
      <w:pPr>
        <w:pStyle w:val="FootnoteText"/>
      </w:pPr>
      <w:r>
        <w:rPr>
          <w:rStyle w:val="FootnoteReference"/>
        </w:rPr>
        <w:footnoteRef/>
      </w:r>
      <w:r>
        <w:t xml:space="preserve"> </w:t>
      </w:r>
      <w:r w:rsidR="008B2DB2">
        <w:t xml:space="preserve">FEMA. National Incident Management System. Third Edition. </w:t>
      </w:r>
      <w:r w:rsidR="00161351">
        <w:t xml:space="preserve">October 2017. Retrieved from </w:t>
      </w:r>
      <w:hyperlink r:id="rId51" w:history="1">
        <w:r w:rsidR="009F335F">
          <w:rPr>
            <w:rStyle w:val="Hyperlink"/>
          </w:rPr>
          <w:t>https://www.fema.gov/media-library-data/1508151197225-ced8c60378c3936adb92c1a3ee6f6564/FINAL_NIMS_2017.pdf</w:t>
        </w:r>
      </w:hyperlink>
      <w:r w:rsidR="009F335F">
        <w:t>.</w:t>
      </w:r>
      <w:r w:rsidR="00520748">
        <w:t xml:space="preserve"> Accessed August 1, 2020.</w:t>
      </w:r>
    </w:p>
  </w:footnote>
  <w:footnote w:id="45">
    <w:p w14:paraId="33B3FF74" w14:textId="40393377" w:rsidR="00DE2025" w:rsidRDefault="00DE2025">
      <w:pPr>
        <w:pStyle w:val="FootnoteText"/>
      </w:pPr>
      <w:r>
        <w:rPr>
          <w:rStyle w:val="FootnoteReference"/>
        </w:rPr>
        <w:footnoteRef/>
      </w:r>
      <w:r>
        <w:t xml:space="preserve"> FEMA. </w:t>
      </w:r>
      <w:r w:rsidR="005A474D" w:rsidRPr="005A474D">
        <w:t xml:space="preserve">NIMS Doctrine Supporting Guides </w:t>
      </w:r>
      <w:r w:rsidR="005A474D">
        <w:t>and</w:t>
      </w:r>
      <w:r w:rsidR="005A474D" w:rsidRPr="005A474D">
        <w:t xml:space="preserve"> Tools</w:t>
      </w:r>
      <w:r w:rsidR="005A474D">
        <w:t xml:space="preserve">. Webpage </w:t>
      </w:r>
      <w:r w:rsidR="00415C9A">
        <w:t xml:space="preserve">last </w:t>
      </w:r>
      <w:r w:rsidR="005A474D">
        <w:t xml:space="preserve">updated </w:t>
      </w:r>
      <w:r w:rsidR="00402248">
        <w:t xml:space="preserve">by </w:t>
      </w:r>
      <w:r w:rsidR="00415C9A">
        <w:t xml:space="preserve">FEMA on July 20, 2020. </w:t>
      </w:r>
      <w:r w:rsidR="003A01DD">
        <w:t xml:space="preserve">Retrieved from </w:t>
      </w:r>
      <w:hyperlink r:id="rId52" w:history="1">
        <w:r w:rsidR="00884B84">
          <w:rPr>
            <w:rStyle w:val="Hyperlink"/>
          </w:rPr>
          <w:t>https://www.fema.gov/nims-doctrine-supporting-guides-tools</w:t>
        </w:r>
      </w:hyperlink>
      <w:r w:rsidR="00884B84">
        <w:t>.</w:t>
      </w:r>
      <w:r w:rsidR="00415C9A">
        <w:t xml:space="preserve"> Accessed August 1,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7BFF9B" w14:textId="0272A758" w:rsidR="00155F3A" w:rsidRPr="00991427" w:rsidRDefault="00B5321F" w:rsidP="00290759">
    <w:pPr>
      <w:pStyle w:val="Header"/>
      <w:jc w:val="center"/>
    </w:pPr>
    <w:r w:rsidRPr="000E2930">
      <w:rPr>
        <w:highlight w:val="yellow"/>
      </w:rPr>
      <w:t xml:space="preserve">DRAFT </w:t>
    </w:r>
    <w:r>
      <w:rPr>
        <w:highlight w:val="yellow"/>
      </w:rPr>
      <w:t xml:space="preserve">Pre-Federal Clearance – August 2020 – </w:t>
    </w:r>
    <w:r w:rsidRPr="000E2930">
      <w:rPr>
        <w:highlight w:val="yellow"/>
      </w:rPr>
      <w:t>DO NOT CITE OR CIRCULATE BEYOND CSTE REVIEWERS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F8026A" w14:textId="062D748F" w:rsidR="00290759" w:rsidRPr="008102F8" w:rsidRDefault="00B5321F" w:rsidP="00290759">
    <w:pPr>
      <w:pStyle w:val="Header"/>
      <w:jc w:val="center"/>
    </w:pPr>
    <w:r w:rsidRPr="000E2930">
      <w:rPr>
        <w:highlight w:val="yellow"/>
      </w:rPr>
      <w:t xml:space="preserve">DRAFT </w:t>
    </w:r>
    <w:r>
      <w:rPr>
        <w:highlight w:val="yellow"/>
      </w:rPr>
      <w:t xml:space="preserve">Pre-Federal Clearance – August 2020 – </w:t>
    </w:r>
    <w:r w:rsidRPr="000E2930">
      <w:rPr>
        <w:highlight w:val="yellow"/>
      </w:rPr>
      <w:t>DO NOT CITE OR CIRCULATE BEYOND CSTE REVIEWERS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A7155A"/>
    <w:multiLevelType w:val="hybridMultilevel"/>
    <w:tmpl w:val="8FA2C9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F556400"/>
    <w:multiLevelType w:val="hybridMultilevel"/>
    <w:tmpl w:val="30F474F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 w15:restartNumberingAfterBreak="0">
    <w:nsid w:val="1DCD6CA9"/>
    <w:multiLevelType w:val="multilevel"/>
    <w:tmpl w:val="AED0F7C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22206BC8"/>
    <w:multiLevelType w:val="hybridMultilevel"/>
    <w:tmpl w:val="3FFAAA2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5984728"/>
    <w:multiLevelType w:val="hybridMultilevel"/>
    <w:tmpl w:val="F9B65E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4C093A21"/>
    <w:multiLevelType w:val="hybridMultilevel"/>
    <w:tmpl w:val="7CF41F1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5B0F04CB"/>
    <w:multiLevelType w:val="hybridMultilevel"/>
    <w:tmpl w:val="FE12ACA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5D391480"/>
    <w:multiLevelType w:val="hybridMultilevel"/>
    <w:tmpl w:val="72B4CF3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8" w15:restartNumberingAfterBreak="0">
    <w:nsid w:val="602532B2"/>
    <w:multiLevelType w:val="hybridMultilevel"/>
    <w:tmpl w:val="081A24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68D61A1D"/>
    <w:multiLevelType w:val="hybridMultilevel"/>
    <w:tmpl w:val="FE9648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6E643907"/>
    <w:multiLevelType w:val="multilevel"/>
    <w:tmpl w:val="F3AA58B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7D434D2F"/>
    <w:multiLevelType w:val="hybridMultilevel"/>
    <w:tmpl w:val="8392EB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7DC1340A"/>
    <w:multiLevelType w:val="hybridMultilevel"/>
    <w:tmpl w:val="2D3824B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num w:numId="1">
    <w:abstractNumId w:val="4"/>
  </w:num>
  <w:num w:numId="2">
    <w:abstractNumId w:val="11"/>
  </w:num>
  <w:num w:numId="3">
    <w:abstractNumId w:val="8"/>
  </w:num>
  <w:num w:numId="4">
    <w:abstractNumId w:val="0"/>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num>
  <w:num w:numId="7">
    <w:abstractNumId w:val="1"/>
  </w:num>
  <w:num w:numId="8">
    <w:abstractNumId w:val="7"/>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6"/>
  </w:num>
  <w:num w:numId="12">
    <w:abstractNumId w:val="3"/>
  </w:num>
  <w:num w:numId="13">
    <w:abstractNumId w:val="5"/>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FD"/>
    <w:rsid w:val="0000188F"/>
    <w:rsid w:val="000022EC"/>
    <w:rsid w:val="000043A9"/>
    <w:rsid w:val="000055DD"/>
    <w:rsid w:val="000127C6"/>
    <w:rsid w:val="0001384C"/>
    <w:rsid w:val="00015472"/>
    <w:rsid w:val="00016781"/>
    <w:rsid w:val="00023958"/>
    <w:rsid w:val="00024E4A"/>
    <w:rsid w:val="000275EF"/>
    <w:rsid w:val="000315AD"/>
    <w:rsid w:val="00031FA4"/>
    <w:rsid w:val="000367CA"/>
    <w:rsid w:val="000403D3"/>
    <w:rsid w:val="000438C4"/>
    <w:rsid w:val="00044D03"/>
    <w:rsid w:val="00055AB1"/>
    <w:rsid w:val="00056BB4"/>
    <w:rsid w:val="0005750D"/>
    <w:rsid w:val="00062390"/>
    <w:rsid w:val="0007188D"/>
    <w:rsid w:val="00074030"/>
    <w:rsid w:val="00076F31"/>
    <w:rsid w:val="00080BEF"/>
    <w:rsid w:val="00084D60"/>
    <w:rsid w:val="0009755F"/>
    <w:rsid w:val="000A27B3"/>
    <w:rsid w:val="000A418A"/>
    <w:rsid w:val="000B105E"/>
    <w:rsid w:val="000B1734"/>
    <w:rsid w:val="000B1E32"/>
    <w:rsid w:val="000B3B70"/>
    <w:rsid w:val="000B7A29"/>
    <w:rsid w:val="000C1AF8"/>
    <w:rsid w:val="000C52D2"/>
    <w:rsid w:val="000D0E52"/>
    <w:rsid w:val="000D7ABB"/>
    <w:rsid w:val="000E0B81"/>
    <w:rsid w:val="000E55AE"/>
    <w:rsid w:val="000E5C92"/>
    <w:rsid w:val="000E5E12"/>
    <w:rsid w:val="000E622E"/>
    <w:rsid w:val="000F01BB"/>
    <w:rsid w:val="000F6000"/>
    <w:rsid w:val="0010114F"/>
    <w:rsid w:val="00101850"/>
    <w:rsid w:val="001106A8"/>
    <w:rsid w:val="001110CA"/>
    <w:rsid w:val="001117BB"/>
    <w:rsid w:val="001130D7"/>
    <w:rsid w:val="0012385A"/>
    <w:rsid w:val="00125D30"/>
    <w:rsid w:val="00126464"/>
    <w:rsid w:val="00126E65"/>
    <w:rsid w:val="00130380"/>
    <w:rsid w:val="00136B92"/>
    <w:rsid w:val="00141348"/>
    <w:rsid w:val="001442BD"/>
    <w:rsid w:val="00144396"/>
    <w:rsid w:val="0014744E"/>
    <w:rsid w:val="001511BA"/>
    <w:rsid w:val="00151278"/>
    <w:rsid w:val="00155F3A"/>
    <w:rsid w:val="001568C0"/>
    <w:rsid w:val="00157425"/>
    <w:rsid w:val="0015799A"/>
    <w:rsid w:val="00161351"/>
    <w:rsid w:val="00162573"/>
    <w:rsid w:val="001629B5"/>
    <w:rsid w:val="00175724"/>
    <w:rsid w:val="001779F3"/>
    <w:rsid w:val="00182D7D"/>
    <w:rsid w:val="00183F33"/>
    <w:rsid w:val="00184A25"/>
    <w:rsid w:val="00187058"/>
    <w:rsid w:val="00192BFC"/>
    <w:rsid w:val="00193A7C"/>
    <w:rsid w:val="001A05CC"/>
    <w:rsid w:val="001A1964"/>
    <w:rsid w:val="001A1C4C"/>
    <w:rsid w:val="001B34EC"/>
    <w:rsid w:val="001B4762"/>
    <w:rsid w:val="001D0DCA"/>
    <w:rsid w:val="001D54F5"/>
    <w:rsid w:val="001E439E"/>
    <w:rsid w:val="001E5B4A"/>
    <w:rsid w:val="001E73A4"/>
    <w:rsid w:val="001F6DB9"/>
    <w:rsid w:val="00200AEB"/>
    <w:rsid w:val="002012B7"/>
    <w:rsid w:val="002039EE"/>
    <w:rsid w:val="00206355"/>
    <w:rsid w:val="00206766"/>
    <w:rsid w:val="0022477D"/>
    <w:rsid w:val="002268BB"/>
    <w:rsid w:val="002306C1"/>
    <w:rsid w:val="00231119"/>
    <w:rsid w:val="00243F88"/>
    <w:rsid w:val="00247FAB"/>
    <w:rsid w:val="002508FD"/>
    <w:rsid w:val="002527B9"/>
    <w:rsid w:val="00253EC8"/>
    <w:rsid w:val="00254C3A"/>
    <w:rsid w:val="00254F0D"/>
    <w:rsid w:val="00255287"/>
    <w:rsid w:val="00261B1C"/>
    <w:rsid w:val="00272016"/>
    <w:rsid w:val="00275D9A"/>
    <w:rsid w:val="00280AED"/>
    <w:rsid w:val="00282037"/>
    <w:rsid w:val="00283BBF"/>
    <w:rsid w:val="00287FFE"/>
    <w:rsid w:val="0029003F"/>
    <w:rsid w:val="00290759"/>
    <w:rsid w:val="00290D09"/>
    <w:rsid w:val="0029102C"/>
    <w:rsid w:val="00291246"/>
    <w:rsid w:val="00292ACC"/>
    <w:rsid w:val="0029368E"/>
    <w:rsid w:val="002945C1"/>
    <w:rsid w:val="00295085"/>
    <w:rsid w:val="002A099E"/>
    <w:rsid w:val="002A385D"/>
    <w:rsid w:val="002B05D5"/>
    <w:rsid w:val="002B1181"/>
    <w:rsid w:val="002B28FF"/>
    <w:rsid w:val="002C573C"/>
    <w:rsid w:val="002D54BC"/>
    <w:rsid w:val="002E03F3"/>
    <w:rsid w:val="002E05D5"/>
    <w:rsid w:val="002E7F04"/>
    <w:rsid w:val="002F290B"/>
    <w:rsid w:val="002F2BAB"/>
    <w:rsid w:val="002F3309"/>
    <w:rsid w:val="002F3B54"/>
    <w:rsid w:val="002F3D7F"/>
    <w:rsid w:val="002F40F0"/>
    <w:rsid w:val="002F451D"/>
    <w:rsid w:val="002F5E10"/>
    <w:rsid w:val="002F65B9"/>
    <w:rsid w:val="00300AD6"/>
    <w:rsid w:val="00306060"/>
    <w:rsid w:val="00310053"/>
    <w:rsid w:val="00311F38"/>
    <w:rsid w:val="00313D04"/>
    <w:rsid w:val="003176CA"/>
    <w:rsid w:val="00320D28"/>
    <w:rsid w:val="0032344F"/>
    <w:rsid w:val="003253ED"/>
    <w:rsid w:val="00327AAF"/>
    <w:rsid w:val="00332900"/>
    <w:rsid w:val="003425FB"/>
    <w:rsid w:val="00347EBF"/>
    <w:rsid w:val="00356B47"/>
    <w:rsid w:val="00357F8D"/>
    <w:rsid w:val="003614BA"/>
    <w:rsid w:val="00363BDF"/>
    <w:rsid w:val="0036680B"/>
    <w:rsid w:val="00372D15"/>
    <w:rsid w:val="003809C4"/>
    <w:rsid w:val="00382B54"/>
    <w:rsid w:val="0038569A"/>
    <w:rsid w:val="00386A87"/>
    <w:rsid w:val="00395940"/>
    <w:rsid w:val="003A01DD"/>
    <w:rsid w:val="003A25BE"/>
    <w:rsid w:val="003A6078"/>
    <w:rsid w:val="003B1055"/>
    <w:rsid w:val="003B30BF"/>
    <w:rsid w:val="003B65F6"/>
    <w:rsid w:val="003B6C2B"/>
    <w:rsid w:val="003B7DAF"/>
    <w:rsid w:val="003C0C8B"/>
    <w:rsid w:val="003C219D"/>
    <w:rsid w:val="003C7B45"/>
    <w:rsid w:val="003D0F0B"/>
    <w:rsid w:val="003D0F92"/>
    <w:rsid w:val="003E0929"/>
    <w:rsid w:val="003E38A1"/>
    <w:rsid w:val="003E580A"/>
    <w:rsid w:val="003E62E5"/>
    <w:rsid w:val="003E68BA"/>
    <w:rsid w:val="003F0A22"/>
    <w:rsid w:val="003F23DD"/>
    <w:rsid w:val="003F29C1"/>
    <w:rsid w:val="00402248"/>
    <w:rsid w:val="00411FCD"/>
    <w:rsid w:val="004134CF"/>
    <w:rsid w:val="00413E9D"/>
    <w:rsid w:val="004148C2"/>
    <w:rsid w:val="00415C9A"/>
    <w:rsid w:val="0041614B"/>
    <w:rsid w:val="00427FB8"/>
    <w:rsid w:val="00442D98"/>
    <w:rsid w:val="00445801"/>
    <w:rsid w:val="0046376E"/>
    <w:rsid w:val="00464088"/>
    <w:rsid w:val="00465C32"/>
    <w:rsid w:val="00465DFA"/>
    <w:rsid w:val="004749FA"/>
    <w:rsid w:val="00476446"/>
    <w:rsid w:val="004774DC"/>
    <w:rsid w:val="004836A0"/>
    <w:rsid w:val="00491181"/>
    <w:rsid w:val="0049127F"/>
    <w:rsid w:val="004A14A5"/>
    <w:rsid w:val="004A1C18"/>
    <w:rsid w:val="004A76F3"/>
    <w:rsid w:val="004B28A8"/>
    <w:rsid w:val="004B28F2"/>
    <w:rsid w:val="004B4B28"/>
    <w:rsid w:val="004B6B37"/>
    <w:rsid w:val="004C2B92"/>
    <w:rsid w:val="004C5E95"/>
    <w:rsid w:val="004D06D5"/>
    <w:rsid w:val="004D25C6"/>
    <w:rsid w:val="004E180F"/>
    <w:rsid w:val="004E4438"/>
    <w:rsid w:val="004E6393"/>
    <w:rsid w:val="004F3539"/>
    <w:rsid w:val="004F4368"/>
    <w:rsid w:val="005001D2"/>
    <w:rsid w:val="00501C3A"/>
    <w:rsid w:val="00504D78"/>
    <w:rsid w:val="00512FFD"/>
    <w:rsid w:val="00520748"/>
    <w:rsid w:val="005213ED"/>
    <w:rsid w:val="00523495"/>
    <w:rsid w:val="00525576"/>
    <w:rsid w:val="00525678"/>
    <w:rsid w:val="00525696"/>
    <w:rsid w:val="00527437"/>
    <w:rsid w:val="00527530"/>
    <w:rsid w:val="005308C4"/>
    <w:rsid w:val="00537E11"/>
    <w:rsid w:val="00540C90"/>
    <w:rsid w:val="005422A8"/>
    <w:rsid w:val="00543256"/>
    <w:rsid w:val="005462C6"/>
    <w:rsid w:val="005548AD"/>
    <w:rsid w:val="0055528B"/>
    <w:rsid w:val="005573FD"/>
    <w:rsid w:val="00565CF3"/>
    <w:rsid w:val="00566D4C"/>
    <w:rsid w:val="0056715A"/>
    <w:rsid w:val="005711B9"/>
    <w:rsid w:val="00573237"/>
    <w:rsid w:val="00580903"/>
    <w:rsid w:val="00584757"/>
    <w:rsid w:val="00595090"/>
    <w:rsid w:val="005962CA"/>
    <w:rsid w:val="005A01C7"/>
    <w:rsid w:val="005A2F0C"/>
    <w:rsid w:val="005A3600"/>
    <w:rsid w:val="005A474D"/>
    <w:rsid w:val="005A6E13"/>
    <w:rsid w:val="005A73CC"/>
    <w:rsid w:val="005B063C"/>
    <w:rsid w:val="005B48CD"/>
    <w:rsid w:val="005C1F49"/>
    <w:rsid w:val="005C2A1A"/>
    <w:rsid w:val="005D2AB6"/>
    <w:rsid w:val="005D4CB0"/>
    <w:rsid w:val="005D6ABE"/>
    <w:rsid w:val="005E0DBC"/>
    <w:rsid w:val="00602124"/>
    <w:rsid w:val="0060409C"/>
    <w:rsid w:val="00607E85"/>
    <w:rsid w:val="0061320E"/>
    <w:rsid w:val="006170CE"/>
    <w:rsid w:val="006176B4"/>
    <w:rsid w:val="00617747"/>
    <w:rsid w:val="00623F9F"/>
    <w:rsid w:val="00633E0E"/>
    <w:rsid w:val="00635415"/>
    <w:rsid w:val="00636B9B"/>
    <w:rsid w:val="006422D6"/>
    <w:rsid w:val="0064257B"/>
    <w:rsid w:val="006436D8"/>
    <w:rsid w:val="006445C1"/>
    <w:rsid w:val="00644CD7"/>
    <w:rsid w:val="00647780"/>
    <w:rsid w:val="00647AAD"/>
    <w:rsid w:val="00653E21"/>
    <w:rsid w:val="0066152D"/>
    <w:rsid w:val="00662B25"/>
    <w:rsid w:val="006643AF"/>
    <w:rsid w:val="00665B87"/>
    <w:rsid w:val="006672E8"/>
    <w:rsid w:val="00667433"/>
    <w:rsid w:val="00667A05"/>
    <w:rsid w:val="006745A5"/>
    <w:rsid w:val="00684D9B"/>
    <w:rsid w:val="0068693C"/>
    <w:rsid w:val="00693411"/>
    <w:rsid w:val="00695A1E"/>
    <w:rsid w:val="006A17F2"/>
    <w:rsid w:val="006A55C2"/>
    <w:rsid w:val="006A5B2E"/>
    <w:rsid w:val="006B5F2F"/>
    <w:rsid w:val="006C0CC9"/>
    <w:rsid w:val="006C31F3"/>
    <w:rsid w:val="006C702F"/>
    <w:rsid w:val="006D174D"/>
    <w:rsid w:val="006D736D"/>
    <w:rsid w:val="006D74A1"/>
    <w:rsid w:val="006E3AB4"/>
    <w:rsid w:val="006E6C1F"/>
    <w:rsid w:val="006E736B"/>
    <w:rsid w:val="006E7CA4"/>
    <w:rsid w:val="006F3DAB"/>
    <w:rsid w:val="006F668C"/>
    <w:rsid w:val="006F6C93"/>
    <w:rsid w:val="00700501"/>
    <w:rsid w:val="00701EFB"/>
    <w:rsid w:val="007136EA"/>
    <w:rsid w:val="00715A77"/>
    <w:rsid w:val="007221B7"/>
    <w:rsid w:val="00722D87"/>
    <w:rsid w:val="007247A4"/>
    <w:rsid w:val="00725CCA"/>
    <w:rsid w:val="0073049F"/>
    <w:rsid w:val="007342D1"/>
    <w:rsid w:val="00736435"/>
    <w:rsid w:val="00741348"/>
    <w:rsid w:val="00741ABA"/>
    <w:rsid w:val="00741E28"/>
    <w:rsid w:val="007428F0"/>
    <w:rsid w:val="0074502A"/>
    <w:rsid w:val="007474A5"/>
    <w:rsid w:val="00751BBE"/>
    <w:rsid w:val="0075314A"/>
    <w:rsid w:val="007541F0"/>
    <w:rsid w:val="00755CFF"/>
    <w:rsid w:val="007561E4"/>
    <w:rsid w:val="00756878"/>
    <w:rsid w:val="00763278"/>
    <w:rsid w:val="007670A0"/>
    <w:rsid w:val="00770604"/>
    <w:rsid w:val="00772B0D"/>
    <w:rsid w:val="007746DF"/>
    <w:rsid w:val="00775B70"/>
    <w:rsid w:val="00776329"/>
    <w:rsid w:val="007845F5"/>
    <w:rsid w:val="0078630A"/>
    <w:rsid w:val="0078685A"/>
    <w:rsid w:val="00787D73"/>
    <w:rsid w:val="00790561"/>
    <w:rsid w:val="007A4D8A"/>
    <w:rsid w:val="007B393B"/>
    <w:rsid w:val="007C05F4"/>
    <w:rsid w:val="007C4933"/>
    <w:rsid w:val="007D5DB9"/>
    <w:rsid w:val="007E3060"/>
    <w:rsid w:val="007E4E0E"/>
    <w:rsid w:val="007F3EE4"/>
    <w:rsid w:val="008001CF"/>
    <w:rsid w:val="008001E4"/>
    <w:rsid w:val="008001F9"/>
    <w:rsid w:val="00806CFA"/>
    <w:rsid w:val="008102F8"/>
    <w:rsid w:val="00811B6D"/>
    <w:rsid w:val="00816613"/>
    <w:rsid w:val="00816E2B"/>
    <w:rsid w:val="0082768F"/>
    <w:rsid w:val="00832B1A"/>
    <w:rsid w:val="00832CA7"/>
    <w:rsid w:val="00834C4F"/>
    <w:rsid w:val="00834D68"/>
    <w:rsid w:val="008413F1"/>
    <w:rsid w:val="0084564D"/>
    <w:rsid w:val="00850202"/>
    <w:rsid w:val="0086015B"/>
    <w:rsid w:val="008652D0"/>
    <w:rsid w:val="00875B87"/>
    <w:rsid w:val="00875F6A"/>
    <w:rsid w:val="008805D0"/>
    <w:rsid w:val="00880B62"/>
    <w:rsid w:val="008814E3"/>
    <w:rsid w:val="00883DE1"/>
    <w:rsid w:val="00884B84"/>
    <w:rsid w:val="00890BB0"/>
    <w:rsid w:val="00891D3E"/>
    <w:rsid w:val="00892979"/>
    <w:rsid w:val="0089416D"/>
    <w:rsid w:val="00894714"/>
    <w:rsid w:val="00896B37"/>
    <w:rsid w:val="00897D8A"/>
    <w:rsid w:val="008A1674"/>
    <w:rsid w:val="008A47EA"/>
    <w:rsid w:val="008A4C13"/>
    <w:rsid w:val="008A5DBD"/>
    <w:rsid w:val="008B175C"/>
    <w:rsid w:val="008B2DB2"/>
    <w:rsid w:val="008B2FB5"/>
    <w:rsid w:val="008B5BAA"/>
    <w:rsid w:val="008C00A0"/>
    <w:rsid w:val="008C341A"/>
    <w:rsid w:val="008C48F2"/>
    <w:rsid w:val="008D2408"/>
    <w:rsid w:val="008D3EB1"/>
    <w:rsid w:val="008E035B"/>
    <w:rsid w:val="008E40CC"/>
    <w:rsid w:val="008E6702"/>
    <w:rsid w:val="009007F5"/>
    <w:rsid w:val="00912490"/>
    <w:rsid w:val="00912E7D"/>
    <w:rsid w:val="00914A83"/>
    <w:rsid w:val="009155A5"/>
    <w:rsid w:val="00921C64"/>
    <w:rsid w:val="009222DD"/>
    <w:rsid w:val="00923504"/>
    <w:rsid w:val="00934792"/>
    <w:rsid w:val="009365AA"/>
    <w:rsid w:val="00936D01"/>
    <w:rsid w:val="0093770A"/>
    <w:rsid w:val="00944EE2"/>
    <w:rsid w:val="00945048"/>
    <w:rsid w:val="00946C55"/>
    <w:rsid w:val="0095348E"/>
    <w:rsid w:val="009628EB"/>
    <w:rsid w:val="00970D4E"/>
    <w:rsid w:val="0097178E"/>
    <w:rsid w:val="009730F2"/>
    <w:rsid w:val="00983CA6"/>
    <w:rsid w:val="00991427"/>
    <w:rsid w:val="00993A47"/>
    <w:rsid w:val="00996264"/>
    <w:rsid w:val="009A1E40"/>
    <w:rsid w:val="009A1F43"/>
    <w:rsid w:val="009A70E7"/>
    <w:rsid w:val="009B41EE"/>
    <w:rsid w:val="009B771F"/>
    <w:rsid w:val="009C4D0B"/>
    <w:rsid w:val="009C6C49"/>
    <w:rsid w:val="009C6F93"/>
    <w:rsid w:val="009E1270"/>
    <w:rsid w:val="009E324D"/>
    <w:rsid w:val="009E4319"/>
    <w:rsid w:val="009E525F"/>
    <w:rsid w:val="009E59A8"/>
    <w:rsid w:val="009E6DA3"/>
    <w:rsid w:val="009F0282"/>
    <w:rsid w:val="009F1D28"/>
    <w:rsid w:val="009F2B74"/>
    <w:rsid w:val="009F335F"/>
    <w:rsid w:val="009F5260"/>
    <w:rsid w:val="009F6BFF"/>
    <w:rsid w:val="00A04964"/>
    <w:rsid w:val="00A04E3B"/>
    <w:rsid w:val="00A11E0B"/>
    <w:rsid w:val="00A139A1"/>
    <w:rsid w:val="00A20E38"/>
    <w:rsid w:val="00A24633"/>
    <w:rsid w:val="00A26A75"/>
    <w:rsid w:val="00A27FDE"/>
    <w:rsid w:val="00A33230"/>
    <w:rsid w:val="00A33C75"/>
    <w:rsid w:val="00A34231"/>
    <w:rsid w:val="00A36580"/>
    <w:rsid w:val="00A36A2E"/>
    <w:rsid w:val="00A4558D"/>
    <w:rsid w:val="00A46A9C"/>
    <w:rsid w:val="00A50FBE"/>
    <w:rsid w:val="00A54FB8"/>
    <w:rsid w:val="00A55CCA"/>
    <w:rsid w:val="00A64F44"/>
    <w:rsid w:val="00A65F3D"/>
    <w:rsid w:val="00A71466"/>
    <w:rsid w:val="00A73A7E"/>
    <w:rsid w:val="00A7450A"/>
    <w:rsid w:val="00A836ED"/>
    <w:rsid w:val="00A87F41"/>
    <w:rsid w:val="00A96E3F"/>
    <w:rsid w:val="00AA147D"/>
    <w:rsid w:val="00AA16D3"/>
    <w:rsid w:val="00AA1F51"/>
    <w:rsid w:val="00AA4A8F"/>
    <w:rsid w:val="00AA4E4E"/>
    <w:rsid w:val="00AA76A9"/>
    <w:rsid w:val="00AB006E"/>
    <w:rsid w:val="00AB1B21"/>
    <w:rsid w:val="00AB22AE"/>
    <w:rsid w:val="00AB67FD"/>
    <w:rsid w:val="00AC5258"/>
    <w:rsid w:val="00AD03AF"/>
    <w:rsid w:val="00AD13F7"/>
    <w:rsid w:val="00AD3B59"/>
    <w:rsid w:val="00AD75E5"/>
    <w:rsid w:val="00AE0864"/>
    <w:rsid w:val="00AE2ACB"/>
    <w:rsid w:val="00AE3E04"/>
    <w:rsid w:val="00AE5118"/>
    <w:rsid w:val="00AF00FD"/>
    <w:rsid w:val="00B01DA8"/>
    <w:rsid w:val="00B043BB"/>
    <w:rsid w:val="00B07CF9"/>
    <w:rsid w:val="00B12BB9"/>
    <w:rsid w:val="00B136FA"/>
    <w:rsid w:val="00B15580"/>
    <w:rsid w:val="00B16128"/>
    <w:rsid w:val="00B17260"/>
    <w:rsid w:val="00B22CF3"/>
    <w:rsid w:val="00B235DE"/>
    <w:rsid w:val="00B23FD0"/>
    <w:rsid w:val="00B2687C"/>
    <w:rsid w:val="00B300CB"/>
    <w:rsid w:val="00B3111A"/>
    <w:rsid w:val="00B321FC"/>
    <w:rsid w:val="00B42BC7"/>
    <w:rsid w:val="00B45292"/>
    <w:rsid w:val="00B5321F"/>
    <w:rsid w:val="00B555CB"/>
    <w:rsid w:val="00B56B72"/>
    <w:rsid w:val="00B638CA"/>
    <w:rsid w:val="00B64302"/>
    <w:rsid w:val="00B66212"/>
    <w:rsid w:val="00B70462"/>
    <w:rsid w:val="00B73593"/>
    <w:rsid w:val="00B75B7F"/>
    <w:rsid w:val="00B763FB"/>
    <w:rsid w:val="00B80EB8"/>
    <w:rsid w:val="00B81E14"/>
    <w:rsid w:val="00B840E6"/>
    <w:rsid w:val="00B9621F"/>
    <w:rsid w:val="00BA3C15"/>
    <w:rsid w:val="00BA4B3D"/>
    <w:rsid w:val="00BB0749"/>
    <w:rsid w:val="00BB20CE"/>
    <w:rsid w:val="00BB5541"/>
    <w:rsid w:val="00BB69A9"/>
    <w:rsid w:val="00BC143F"/>
    <w:rsid w:val="00BC266D"/>
    <w:rsid w:val="00BC26B9"/>
    <w:rsid w:val="00BD5DBE"/>
    <w:rsid w:val="00BD71DF"/>
    <w:rsid w:val="00BE1236"/>
    <w:rsid w:val="00BE2370"/>
    <w:rsid w:val="00BE3023"/>
    <w:rsid w:val="00BE3946"/>
    <w:rsid w:val="00BE5761"/>
    <w:rsid w:val="00C007B4"/>
    <w:rsid w:val="00C030D7"/>
    <w:rsid w:val="00C034C7"/>
    <w:rsid w:val="00C06013"/>
    <w:rsid w:val="00C06670"/>
    <w:rsid w:val="00C07ECD"/>
    <w:rsid w:val="00C11EC6"/>
    <w:rsid w:val="00C20514"/>
    <w:rsid w:val="00C21C65"/>
    <w:rsid w:val="00C25827"/>
    <w:rsid w:val="00C3681A"/>
    <w:rsid w:val="00C36B06"/>
    <w:rsid w:val="00C40C50"/>
    <w:rsid w:val="00C4188D"/>
    <w:rsid w:val="00C4337D"/>
    <w:rsid w:val="00C51DEF"/>
    <w:rsid w:val="00C57974"/>
    <w:rsid w:val="00C57D38"/>
    <w:rsid w:val="00C63D5F"/>
    <w:rsid w:val="00C66D46"/>
    <w:rsid w:val="00C67A42"/>
    <w:rsid w:val="00C72471"/>
    <w:rsid w:val="00C75D9A"/>
    <w:rsid w:val="00C80C60"/>
    <w:rsid w:val="00C80CCB"/>
    <w:rsid w:val="00C91882"/>
    <w:rsid w:val="00C930C9"/>
    <w:rsid w:val="00CA2806"/>
    <w:rsid w:val="00CA3412"/>
    <w:rsid w:val="00CA49D4"/>
    <w:rsid w:val="00CA61F9"/>
    <w:rsid w:val="00CA6693"/>
    <w:rsid w:val="00CB16A7"/>
    <w:rsid w:val="00CB1F03"/>
    <w:rsid w:val="00CB28FA"/>
    <w:rsid w:val="00CB6ADD"/>
    <w:rsid w:val="00CC1A51"/>
    <w:rsid w:val="00CC4091"/>
    <w:rsid w:val="00CC43BA"/>
    <w:rsid w:val="00CC4A6B"/>
    <w:rsid w:val="00CC5E71"/>
    <w:rsid w:val="00CC6060"/>
    <w:rsid w:val="00CC78F7"/>
    <w:rsid w:val="00CE3459"/>
    <w:rsid w:val="00CE363E"/>
    <w:rsid w:val="00CE3DE5"/>
    <w:rsid w:val="00CF007B"/>
    <w:rsid w:val="00CF2CF3"/>
    <w:rsid w:val="00CF6E9C"/>
    <w:rsid w:val="00D00C3F"/>
    <w:rsid w:val="00D00FBD"/>
    <w:rsid w:val="00D02E24"/>
    <w:rsid w:val="00D053D8"/>
    <w:rsid w:val="00D07ABF"/>
    <w:rsid w:val="00D142C3"/>
    <w:rsid w:val="00D14B62"/>
    <w:rsid w:val="00D16971"/>
    <w:rsid w:val="00D20212"/>
    <w:rsid w:val="00D24602"/>
    <w:rsid w:val="00D2570D"/>
    <w:rsid w:val="00D25F20"/>
    <w:rsid w:val="00D263DB"/>
    <w:rsid w:val="00D33CD9"/>
    <w:rsid w:val="00D34B3C"/>
    <w:rsid w:val="00D3771B"/>
    <w:rsid w:val="00D37E48"/>
    <w:rsid w:val="00D4473E"/>
    <w:rsid w:val="00D44A19"/>
    <w:rsid w:val="00D44DB9"/>
    <w:rsid w:val="00D52169"/>
    <w:rsid w:val="00D61DCF"/>
    <w:rsid w:val="00D631D4"/>
    <w:rsid w:val="00D64B47"/>
    <w:rsid w:val="00D70285"/>
    <w:rsid w:val="00D7117D"/>
    <w:rsid w:val="00D77783"/>
    <w:rsid w:val="00D81D3E"/>
    <w:rsid w:val="00D8756B"/>
    <w:rsid w:val="00D92FA6"/>
    <w:rsid w:val="00D97211"/>
    <w:rsid w:val="00D97D90"/>
    <w:rsid w:val="00DA3037"/>
    <w:rsid w:val="00DB030B"/>
    <w:rsid w:val="00DB2D62"/>
    <w:rsid w:val="00DB7D03"/>
    <w:rsid w:val="00DC1B3F"/>
    <w:rsid w:val="00DC3199"/>
    <w:rsid w:val="00DC6DED"/>
    <w:rsid w:val="00DD766E"/>
    <w:rsid w:val="00DD7CE0"/>
    <w:rsid w:val="00DE2025"/>
    <w:rsid w:val="00DE2F44"/>
    <w:rsid w:val="00DE5285"/>
    <w:rsid w:val="00DE61D5"/>
    <w:rsid w:val="00DF2347"/>
    <w:rsid w:val="00E02F3B"/>
    <w:rsid w:val="00E033B0"/>
    <w:rsid w:val="00E05E2D"/>
    <w:rsid w:val="00E10135"/>
    <w:rsid w:val="00E12434"/>
    <w:rsid w:val="00E138DB"/>
    <w:rsid w:val="00E17612"/>
    <w:rsid w:val="00E23084"/>
    <w:rsid w:val="00E27C9A"/>
    <w:rsid w:val="00E333A0"/>
    <w:rsid w:val="00E34346"/>
    <w:rsid w:val="00E355F4"/>
    <w:rsid w:val="00E5204F"/>
    <w:rsid w:val="00E619C0"/>
    <w:rsid w:val="00E64C27"/>
    <w:rsid w:val="00E718BA"/>
    <w:rsid w:val="00E7441F"/>
    <w:rsid w:val="00E76AD2"/>
    <w:rsid w:val="00E776D4"/>
    <w:rsid w:val="00E82FE3"/>
    <w:rsid w:val="00E85F57"/>
    <w:rsid w:val="00E929A2"/>
    <w:rsid w:val="00E92A44"/>
    <w:rsid w:val="00E94A27"/>
    <w:rsid w:val="00E94E02"/>
    <w:rsid w:val="00E96232"/>
    <w:rsid w:val="00E96F90"/>
    <w:rsid w:val="00EA0E4A"/>
    <w:rsid w:val="00EA1872"/>
    <w:rsid w:val="00EA189C"/>
    <w:rsid w:val="00EA79B1"/>
    <w:rsid w:val="00EB474B"/>
    <w:rsid w:val="00EB72EC"/>
    <w:rsid w:val="00EC2210"/>
    <w:rsid w:val="00EC6534"/>
    <w:rsid w:val="00EC684A"/>
    <w:rsid w:val="00ED56A8"/>
    <w:rsid w:val="00EE2794"/>
    <w:rsid w:val="00EE464E"/>
    <w:rsid w:val="00EE6020"/>
    <w:rsid w:val="00EF0B67"/>
    <w:rsid w:val="00EF2441"/>
    <w:rsid w:val="00EF285C"/>
    <w:rsid w:val="00EF463F"/>
    <w:rsid w:val="00EF6807"/>
    <w:rsid w:val="00F03AAC"/>
    <w:rsid w:val="00F14B56"/>
    <w:rsid w:val="00F15AE6"/>
    <w:rsid w:val="00F1697D"/>
    <w:rsid w:val="00F2390D"/>
    <w:rsid w:val="00F23D77"/>
    <w:rsid w:val="00F25927"/>
    <w:rsid w:val="00F32AD7"/>
    <w:rsid w:val="00F34B7F"/>
    <w:rsid w:val="00F365C5"/>
    <w:rsid w:val="00F37D2A"/>
    <w:rsid w:val="00F562EA"/>
    <w:rsid w:val="00F5632B"/>
    <w:rsid w:val="00F62A73"/>
    <w:rsid w:val="00F66D75"/>
    <w:rsid w:val="00F67388"/>
    <w:rsid w:val="00F7046A"/>
    <w:rsid w:val="00F704D7"/>
    <w:rsid w:val="00F72C90"/>
    <w:rsid w:val="00F73837"/>
    <w:rsid w:val="00F73C3E"/>
    <w:rsid w:val="00F7585C"/>
    <w:rsid w:val="00F82B02"/>
    <w:rsid w:val="00F83A3C"/>
    <w:rsid w:val="00F845A4"/>
    <w:rsid w:val="00F84ECA"/>
    <w:rsid w:val="00F86EFE"/>
    <w:rsid w:val="00F90599"/>
    <w:rsid w:val="00F94F65"/>
    <w:rsid w:val="00FA3CAB"/>
    <w:rsid w:val="00FA3FD7"/>
    <w:rsid w:val="00FB0E62"/>
    <w:rsid w:val="00FB4FC8"/>
    <w:rsid w:val="00FB58E2"/>
    <w:rsid w:val="00FB5A47"/>
    <w:rsid w:val="00FC10F4"/>
    <w:rsid w:val="00FC5A7A"/>
    <w:rsid w:val="00FD72C3"/>
    <w:rsid w:val="00FE5E00"/>
    <w:rsid w:val="00FE7DB8"/>
    <w:rsid w:val="00FF0874"/>
    <w:rsid w:val="00FF6D06"/>
    <w:rsid w:val="00FF6EFE"/>
    <w:rsid w:val="00FF78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fillcolor="none"/>
    </o:shapedefaults>
    <o:shapelayout v:ext="edit">
      <o:idmap v:ext="edit" data="1"/>
    </o:shapelayout>
  </w:shapeDefaults>
  <w:decimalSymbol w:val="."/>
  <w:listSeparator w:val=","/>
  <w14:docId w14:val="105E904D"/>
  <w15:chartTrackingRefBased/>
  <w15:docId w15:val="{1A5303DA-15CC-46D3-A683-67C689344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08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15">
    <w:name w:val="norm 1.5"/>
    <w:basedOn w:val="Normal"/>
    <w:qFormat/>
    <w:rsid w:val="00C007B4"/>
    <w:pPr>
      <w:spacing w:line="360" w:lineRule="auto"/>
    </w:pPr>
  </w:style>
  <w:style w:type="character" w:styleId="Hyperlink">
    <w:name w:val="Hyperlink"/>
    <w:basedOn w:val="DefaultParagraphFont"/>
    <w:uiPriority w:val="99"/>
    <w:unhideWhenUsed/>
    <w:rsid w:val="002508FD"/>
    <w:rPr>
      <w:color w:val="0000FF"/>
      <w:u w:val="single"/>
    </w:rPr>
  </w:style>
  <w:style w:type="paragraph" w:styleId="CommentText">
    <w:name w:val="annotation text"/>
    <w:basedOn w:val="Normal"/>
    <w:link w:val="CommentTextChar"/>
    <w:uiPriority w:val="99"/>
    <w:semiHidden/>
    <w:unhideWhenUsed/>
    <w:rsid w:val="002508FD"/>
    <w:rPr>
      <w:sz w:val="20"/>
      <w:szCs w:val="20"/>
    </w:rPr>
  </w:style>
  <w:style w:type="character" w:customStyle="1" w:styleId="CommentTextChar">
    <w:name w:val="Comment Text Char"/>
    <w:basedOn w:val="DefaultParagraphFont"/>
    <w:link w:val="CommentText"/>
    <w:uiPriority w:val="99"/>
    <w:semiHidden/>
    <w:rsid w:val="002508FD"/>
    <w:rPr>
      <w:sz w:val="20"/>
      <w:szCs w:val="20"/>
    </w:rPr>
  </w:style>
  <w:style w:type="paragraph" w:styleId="ListParagraph">
    <w:name w:val="List Paragraph"/>
    <w:basedOn w:val="Normal"/>
    <w:uiPriority w:val="34"/>
    <w:qFormat/>
    <w:rsid w:val="002508FD"/>
    <w:pPr>
      <w:ind w:left="720"/>
      <w:contextualSpacing/>
    </w:pPr>
  </w:style>
  <w:style w:type="character" w:styleId="CommentReference">
    <w:name w:val="annotation reference"/>
    <w:basedOn w:val="DefaultParagraphFont"/>
    <w:uiPriority w:val="99"/>
    <w:semiHidden/>
    <w:unhideWhenUsed/>
    <w:rsid w:val="002508FD"/>
    <w:rPr>
      <w:sz w:val="16"/>
      <w:szCs w:val="16"/>
    </w:rPr>
  </w:style>
  <w:style w:type="paragraph" w:styleId="BalloonText">
    <w:name w:val="Balloon Text"/>
    <w:basedOn w:val="Normal"/>
    <w:link w:val="BalloonTextChar"/>
    <w:uiPriority w:val="99"/>
    <w:semiHidden/>
    <w:unhideWhenUsed/>
    <w:rsid w:val="002508F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08FD"/>
    <w:rPr>
      <w:rFonts w:ascii="Segoe UI" w:hAnsi="Segoe UI" w:cs="Segoe UI"/>
      <w:sz w:val="18"/>
      <w:szCs w:val="18"/>
    </w:rPr>
  </w:style>
  <w:style w:type="character" w:styleId="Strong">
    <w:name w:val="Strong"/>
    <w:basedOn w:val="DefaultParagraphFont"/>
    <w:uiPriority w:val="22"/>
    <w:qFormat/>
    <w:rsid w:val="002508FD"/>
    <w:rPr>
      <w:b/>
      <w:bCs/>
    </w:rPr>
  </w:style>
  <w:style w:type="paragraph" w:styleId="Header">
    <w:name w:val="header"/>
    <w:basedOn w:val="Normal"/>
    <w:link w:val="HeaderChar"/>
    <w:uiPriority w:val="99"/>
    <w:unhideWhenUsed/>
    <w:rsid w:val="00155F3A"/>
    <w:pPr>
      <w:tabs>
        <w:tab w:val="center" w:pos="4680"/>
        <w:tab w:val="right" w:pos="9360"/>
      </w:tabs>
    </w:pPr>
  </w:style>
  <w:style w:type="character" w:customStyle="1" w:styleId="HeaderChar">
    <w:name w:val="Header Char"/>
    <w:basedOn w:val="DefaultParagraphFont"/>
    <w:link w:val="Header"/>
    <w:uiPriority w:val="99"/>
    <w:rsid w:val="00155F3A"/>
  </w:style>
  <w:style w:type="paragraph" w:styleId="Footer">
    <w:name w:val="footer"/>
    <w:basedOn w:val="Normal"/>
    <w:link w:val="FooterChar"/>
    <w:uiPriority w:val="99"/>
    <w:unhideWhenUsed/>
    <w:rsid w:val="00155F3A"/>
    <w:pPr>
      <w:tabs>
        <w:tab w:val="center" w:pos="4680"/>
        <w:tab w:val="right" w:pos="9360"/>
      </w:tabs>
    </w:pPr>
  </w:style>
  <w:style w:type="character" w:customStyle="1" w:styleId="FooterChar">
    <w:name w:val="Footer Char"/>
    <w:basedOn w:val="DefaultParagraphFont"/>
    <w:link w:val="Footer"/>
    <w:uiPriority w:val="99"/>
    <w:rsid w:val="00155F3A"/>
  </w:style>
  <w:style w:type="paragraph" w:styleId="FootnoteText">
    <w:name w:val="footnote text"/>
    <w:basedOn w:val="Normal"/>
    <w:link w:val="FootnoteTextChar"/>
    <w:uiPriority w:val="99"/>
    <w:semiHidden/>
    <w:unhideWhenUsed/>
    <w:rsid w:val="001130D7"/>
    <w:rPr>
      <w:sz w:val="20"/>
      <w:szCs w:val="20"/>
    </w:rPr>
  </w:style>
  <w:style w:type="character" w:customStyle="1" w:styleId="FootnoteTextChar">
    <w:name w:val="Footnote Text Char"/>
    <w:basedOn w:val="DefaultParagraphFont"/>
    <w:link w:val="FootnoteText"/>
    <w:uiPriority w:val="99"/>
    <w:semiHidden/>
    <w:rsid w:val="001130D7"/>
    <w:rPr>
      <w:sz w:val="20"/>
      <w:szCs w:val="20"/>
    </w:rPr>
  </w:style>
  <w:style w:type="character" w:styleId="FootnoteReference">
    <w:name w:val="footnote reference"/>
    <w:basedOn w:val="DefaultParagraphFont"/>
    <w:uiPriority w:val="99"/>
    <w:semiHidden/>
    <w:unhideWhenUsed/>
    <w:rsid w:val="001130D7"/>
    <w:rPr>
      <w:vertAlign w:val="superscript"/>
    </w:rPr>
  </w:style>
  <w:style w:type="character" w:styleId="UnresolvedMention">
    <w:name w:val="Unresolved Mention"/>
    <w:basedOn w:val="DefaultParagraphFont"/>
    <w:uiPriority w:val="99"/>
    <w:semiHidden/>
    <w:unhideWhenUsed/>
    <w:rsid w:val="007136EA"/>
    <w:rPr>
      <w:color w:val="605E5C"/>
      <w:shd w:val="clear" w:color="auto" w:fill="E1DFDD"/>
    </w:rPr>
  </w:style>
  <w:style w:type="character" w:styleId="FollowedHyperlink">
    <w:name w:val="FollowedHyperlink"/>
    <w:basedOn w:val="DefaultParagraphFont"/>
    <w:uiPriority w:val="99"/>
    <w:semiHidden/>
    <w:unhideWhenUsed/>
    <w:rsid w:val="008B175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8905450">
      <w:bodyDiv w:val="1"/>
      <w:marLeft w:val="0"/>
      <w:marRight w:val="0"/>
      <w:marTop w:val="0"/>
      <w:marBottom w:val="0"/>
      <w:divBdr>
        <w:top w:val="none" w:sz="0" w:space="0" w:color="auto"/>
        <w:left w:val="none" w:sz="0" w:space="0" w:color="auto"/>
        <w:bottom w:val="none" w:sz="0" w:space="0" w:color="auto"/>
        <w:right w:val="none" w:sz="0" w:space="0" w:color="auto"/>
      </w:divBdr>
    </w:div>
    <w:div w:id="496460659">
      <w:bodyDiv w:val="1"/>
      <w:marLeft w:val="0"/>
      <w:marRight w:val="0"/>
      <w:marTop w:val="0"/>
      <w:marBottom w:val="0"/>
      <w:divBdr>
        <w:top w:val="none" w:sz="0" w:space="0" w:color="auto"/>
        <w:left w:val="none" w:sz="0" w:space="0" w:color="auto"/>
        <w:bottom w:val="none" w:sz="0" w:space="0" w:color="auto"/>
        <w:right w:val="none" w:sz="0" w:space="0" w:color="auto"/>
      </w:divBdr>
    </w:div>
    <w:div w:id="626282295">
      <w:bodyDiv w:val="1"/>
      <w:marLeft w:val="0"/>
      <w:marRight w:val="0"/>
      <w:marTop w:val="0"/>
      <w:marBottom w:val="0"/>
      <w:divBdr>
        <w:top w:val="none" w:sz="0" w:space="0" w:color="auto"/>
        <w:left w:val="none" w:sz="0" w:space="0" w:color="auto"/>
        <w:bottom w:val="none" w:sz="0" w:space="0" w:color="auto"/>
        <w:right w:val="none" w:sz="0" w:space="0" w:color="auto"/>
      </w:divBdr>
    </w:div>
    <w:div w:id="749693841">
      <w:bodyDiv w:val="1"/>
      <w:marLeft w:val="0"/>
      <w:marRight w:val="0"/>
      <w:marTop w:val="0"/>
      <w:marBottom w:val="0"/>
      <w:divBdr>
        <w:top w:val="none" w:sz="0" w:space="0" w:color="auto"/>
        <w:left w:val="none" w:sz="0" w:space="0" w:color="auto"/>
        <w:bottom w:val="none" w:sz="0" w:space="0" w:color="auto"/>
        <w:right w:val="none" w:sz="0" w:space="0" w:color="auto"/>
      </w:divBdr>
    </w:div>
    <w:div w:id="769468953">
      <w:bodyDiv w:val="1"/>
      <w:marLeft w:val="0"/>
      <w:marRight w:val="0"/>
      <w:marTop w:val="0"/>
      <w:marBottom w:val="0"/>
      <w:divBdr>
        <w:top w:val="none" w:sz="0" w:space="0" w:color="auto"/>
        <w:left w:val="none" w:sz="0" w:space="0" w:color="auto"/>
        <w:bottom w:val="none" w:sz="0" w:space="0" w:color="auto"/>
        <w:right w:val="none" w:sz="0" w:space="0" w:color="auto"/>
      </w:divBdr>
    </w:div>
    <w:div w:id="785926195">
      <w:bodyDiv w:val="1"/>
      <w:marLeft w:val="0"/>
      <w:marRight w:val="0"/>
      <w:marTop w:val="0"/>
      <w:marBottom w:val="0"/>
      <w:divBdr>
        <w:top w:val="none" w:sz="0" w:space="0" w:color="auto"/>
        <w:left w:val="none" w:sz="0" w:space="0" w:color="auto"/>
        <w:bottom w:val="none" w:sz="0" w:space="0" w:color="auto"/>
        <w:right w:val="none" w:sz="0" w:space="0" w:color="auto"/>
      </w:divBdr>
    </w:div>
    <w:div w:id="932471404">
      <w:bodyDiv w:val="1"/>
      <w:marLeft w:val="0"/>
      <w:marRight w:val="0"/>
      <w:marTop w:val="0"/>
      <w:marBottom w:val="0"/>
      <w:divBdr>
        <w:top w:val="none" w:sz="0" w:space="0" w:color="auto"/>
        <w:left w:val="none" w:sz="0" w:space="0" w:color="auto"/>
        <w:bottom w:val="none" w:sz="0" w:space="0" w:color="auto"/>
        <w:right w:val="none" w:sz="0" w:space="0" w:color="auto"/>
      </w:divBdr>
    </w:div>
    <w:div w:id="1011222121">
      <w:bodyDiv w:val="1"/>
      <w:marLeft w:val="0"/>
      <w:marRight w:val="0"/>
      <w:marTop w:val="0"/>
      <w:marBottom w:val="0"/>
      <w:divBdr>
        <w:top w:val="none" w:sz="0" w:space="0" w:color="auto"/>
        <w:left w:val="none" w:sz="0" w:space="0" w:color="auto"/>
        <w:bottom w:val="none" w:sz="0" w:space="0" w:color="auto"/>
        <w:right w:val="none" w:sz="0" w:space="0" w:color="auto"/>
      </w:divBdr>
    </w:div>
    <w:div w:id="1054474623">
      <w:bodyDiv w:val="1"/>
      <w:marLeft w:val="0"/>
      <w:marRight w:val="0"/>
      <w:marTop w:val="0"/>
      <w:marBottom w:val="0"/>
      <w:divBdr>
        <w:top w:val="none" w:sz="0" w:space="0" w:color="auto"/>
        <w:left w:val="none" w:sz="0" w:space="0" w:color="auto"/>
        <w:bottom w:val="none" w:sz="0" w:space="0" w:color="auto"/>
        <w:right w:val="none" w:sz="0" w:space="0" w:color="auto"/>
      </w:divBdr>
    </w:div>
    <w:div w:id="1130829448">
      <w:bodyDiv w:val="1"/>
      <w:marLeft w:val="0"/>
      <w:marRight w:val="0"/>
      <w:marTop w:val="0"/>
      <w:marBottom w:val="0"/>
      <w:divBdr>
        <w:top w:val="none" w:sz="0" w:space="0" w:color="auto"/>
        <w:left w:val="none" w:sz="0" w:space="0" w:color="auto"/>
        <w:bottom w:val="none" w:sz="0" w:space="0" w:color="auto"/>
        <w:right w:val="none" w:sz="0" w:space="0" w:color="auto"/>
      </w:divBdr>
    </w:div>
    <w:div w:id="1429228844">
      <w:bodyDiv w:val="1"/>
      <w:marLeft w:val="0"/>
      <w:marRight w:val="0"/>
      <w:marTop w:val="0"/>
      <w:marBottom w:val="0"/>
      <w:divBdr>
        <w:top w:val="none" w:sz="0" w:space="0" w:color="auto"/>
        <w:left w:val="none" w:sz="0" w:space="0" w:color="auto"/>
        <w:bottom w:val="none" w:sz="0" w:space="0" w:color="auto"/>
        <w:right w:val="none" w:sz="0" w:space="0" w:color="auto"/>
      </w:divBdr>
    </w:div>
    <w:div w:id="1492987607">
      <w:bodyDiv w:val="1"/>
      <w:marLeft w:val="0"/>
      <w:marRight w:val="0"/>
      <w:marTop w:val="0"/>
      <w:marBottom w:val="0"/>
      <w:divBdr>
        <w:top w:val="none" w:sz="0" w:space="0" w:color="auto"/>
        <w:left w:val="none" w:sz="0" w:space="0" w:color="auto"/>
        <w:bottom w:val="none" w:sz="0" w:space="0" w:color="auto"/>
        <w:right w:val="none" w:sz="0" w:space="0" w:color="auto"/>
      </w:divBdr>
    </w:div>
    <w:div w:id="1616403140">
      <w:bodyDiv w:val="1"/>
      <w:marLeft w:val="0"/>
      <w:marRight w:val="0"/>
      <w:marTop w:val="0"/>
      <w:marBottom w:val="0"/>
      <w:divBdr>
        <w:top w:val="none" w:sz="0" w:space="0" w:color="auto"/>
        <w:left w:val="none" w:sz="0" w:space="0" w:color="auto"/>
        <w:bottom w:val="none" w:sz="0" w:space="0" w:color="auto"/>
        <w:right w:val="none" w:sz="0" w:space="0" w:color="auto"/>
      </w:divBdr>
    </w:div>
    <w:div w:id="1802461540">
      <w:bodyDiv w:val="1"/>
      <w:marLeft w:val="0"/>
      <w:marRight w:val="0"/>
      <w:marTop w:val="0"/>
      <w:marBottom w:val="0"/>
      <w:divBdr>
        <w:top w:val="none" w:sz="0" w:space="0" w:color="auto"/>
        <w:left w:val="none" w:sz="0" w:space="0" w:color="auto"/>
        <w:bottom w:val="none" w:sz="0" w:space="0" w:color="auto"/>
        <w:right w:val="none" w:sz="0" w:space="0" w:color="auto"/>
      </w:divBdr>
    </w:div>
    <w:div w:id="1834442445">
      <w:bodyDiv w:val="1"/>
      <w:marLeft w:val="0"/>
      <w:marRight w:val="0"/>
      <w:marTop w:val="0"/>
      <w:marBottom w:val="0"/>
      <w:divBdr>
        <w:top w:val="none" w:sz="0" w:space="0" w:color="auto"/>
        <w:left w:val="none" w:sz="0" w:space="0" w:color="auto"/>
        <w:bottom w:val="none" w:sz="0" w:space="0" w:color="auto"/>
        <w:right w:val="none" w:sz="0" w:space="0" w:color="auto"/>
      </w:divBdr>
    </w:div>
    <w:div w:id="1856070125">
      <w:bodyDiv w:val="1"/>
      <w:marLeft w:val="0"/>
      <w:marRight w:val="0"/>
      <w:marTop w:val="0"/>
      <w:marBottom w:val="0"/>
      <w:divBdr>
        <w:top w:val="none" w:sz="0" w:space="0" w:color="auto"/>
        <w:left w:val="none" w:sz="0" w:space="0" w:color="auto"/>
        <w:bottom w:val="none" w:sz="0" w:space="0" w:color="auto"/>
        <w:right w:val="none" w:sz="0" w:space="0" w:color="auto"/>
      </w:divBdr>
    </w:div>
    <w:div w:id="1883905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3" Type="http://schemas.openxmlformats.org/officeDocument/2006/relationships/hyperlink" Target="https://www.ncsl.org/research/health/state-quarantine-and-isolation-statutes.aspx" TargetMode="External"/><Relationship Id="rId18" Type="http://schemas.openxmlformats.org/officeDocument/2006/relationships/hyperlink" Target="https://crsreports.congress.gov/product/pdf/LSB/LSB10415" TargetMode="External"/><Relationship Id="rId26" Type="http://schemas.openxmlformats.org/officeDocument/2006/relationships/hyperlink" Target="https://www.cdc.gov/phlp/docs/ph-emergencies.pdf" TargetMode="External"/><Relationship Id="rId39" Type="http://schemas.openxmlformats.org/officeDocument/2006/relationships/hyperlink" Target="https://www.dhs.gov/presidential-policy-directive-8-national-preparedness" TargetMode="External"/><Relationship Id="rId3" Type="http://schemas.openxmlformats.org/officeDocument/2006/relationships/hyperlink" Target="https://www.networkforphl.org/wp-content/uploads/2020/08/Western-Region-Primer-COVID-7-31-2020.pdf" TargetMode="External"/><Relationship Id="rId21" Type="http://schemas.openxmlformats.org/officeDocument/2006/relationships/hyperlink" Target="https://www.astho.org/COVID-19/" TargetMode="External"/><Relationship Id="rId34" Type="http://schemas.openxmlformats.org/officeDocument/2006/relationships/hyperlink" Target="https://crsreports.congress.gov/product/pdf/LSB/LSB10415" TargetMode="External"/><Relationship Id="rId42" Type="http://schemas.openxmlformats.org/officeDocument/2006/relationships/hyperlink" Target="https://www.fema.gov/glossary/whole-community" TargetMode="External"/><Relationship Id="rId47" Type="http://schemas.openxmlformats.org/officeDocument/2006/relationships/hyperlink" Target="https://www.fema.gov/media-library-data/1582825590194-2f000855d442fc3c9f18547d1468990d/NRF_FINALApproved_508_2011028v1040.pdf" TargetMode="External"/><Relationship Id="rId50" Type="http://schemas.openxmlformats.org/officeDocument/2006/relationships/hyperlink" Target="https://www.cdc.gov/flu/pandemic-resources/national-strategy/index.html" TargetMode="External"/><Relationship Id="rId7" Type="http://schemas.openxmlformats.org/officeDocument/2006/relationships/hyperlink" Target="https://www.nga.org/state-covid-19-emergency-orders/" TargetMode="External"/><Relationship Id="rId12" Type="http://schemas.openxmlformats.org/officeDocument/2006/relationships/hyperlink" Target="https://www.cdc.gov/quarantine/aboutlawsregulationsquarantineisolation.html" TargetMode="External"/><Relationship Id="rId17" Type="http://schemas.openxmlformats.org/officeDocument/2006/relationships/hyperlink" Target="https://www.lawfareblog.com/quarantine-and-isolation-authorities-states-affected-covid-19" TargetMode="External"/><Relationship Id="rId25" Type="http://schemas.openxmlformats.org/officeDocument/2006/relationships/hyperlink" Target="https://www.cdc.gov/phlp/docs/ph-emergencies.pdf" TargetMode="External"/><Relationship Id="rId33" Type="http://schemas.openxmlformats.org/officeDocument/2006/relationships/hyperlink" Target="https://www.phe.gov/emergency/news/healthactions/section1135/Pages/default.aspx" TargetMode="External"/><Relationship Id="rId38" Type="http://schemas.openxmlformats.org/officeDocument/2006/relationships/hyperlink" Target="https://fas.org/sgp/crs/misc/98-611.pdf" TargetMode="External"/><Relationship Id="rId46" Type="http://schemas.openxmlformats.org/officeDocument/2006/relationships/hyperlink" Target="https://www.fema.gov/national-preparedness-system" TargetMode="External"/><Relationship Id="rId2" Type="http://schemas.openxmlformats.org/officeDocument/2006/relationships/hyperlink" Target="https://www.networkforphl.org/wp-content/uploads/2020/01/Emergency-Declaration-Authorities.pdf" TargetMode="External"/><Relationship Id="rId16" Type="http://schemas.openxmlformats.org/officeDocument/2006/relationships/hyperlink" Target="https://www.nejm.org/doi/full/10.1056/NEJMp2004211" TargetMode="External"/><Relationship Id="rId20" Type="http://schemas.openxmlformats.org/officeDocument/2006/relationships/hyperlink" Target="https://www.ncsl.org/research/health/ncsl-coronavirus-covid-19-resources.aspx" TargetMode="External"/><Relationship Id="rId29" Type="http://schemas.openxmlformats.org/officeDocument/2006/relationships/hyperlink" Target="https://www.phe.gov/Preparedness/legal/prepact/Pages/default.aspx" TargetMode="External"/><Relationship Id="rId41" Type="http://schemas.openxmlformats.org/officeDocument/2006/relationships/hyperlink" Target="https://www.fema.gov/national-preparedness-goal" TargetMode="External"/><Relationship Id="rId1" Type="http://schemas.openxmlformats.org/officeDocument/2006/relationships/hyperlink" Target="https://www.ncbi.nlm.nih.gov/pmc/articles/PMC4703113/" TargetMode="External"/><Relationship Id="rId6" Type="http://schemas.openxmlformats.org/officeDocument/2006/relationships/hyperlink" Target="https://www.astho.org/StatePublicHealth/State-Emergency-Declarations-and-COVID-19/03-05-20/" TargetMode="External"/><Relationship Id="rId11" Type="http://schemas.openxmlformats.org/officeDocument/2006/relationships/hyperlink" Target="https://www.cdc.gov/quarantine/aboutlawsregulationsquarantineisolation.html" TargetMode="External"/><Relationship Id="rId24" Type="http://schemas.openxmlformats.org/officeDocument/2006/relationships/hyperlink" Target="https://www.networkforphl.org/wp-content/uploads/2020/08/Western-Region-Primer-COVID-7-31-2020.pdf" TargetMode="External"/><Relationship Id="rId32" Type="http://schemas.openxmlformats.org/officeDocument/2006/relationships/hyperlink" Target="https://www.whitehouse.gov/presidential-actions/executive-order-prioritizing-allocating-health-medical-resources-respond-spread-covid-19/" TargetMode="External"/><Relationship Id="rId37" Type="http://schemas.openxmlformats.org/officeDocument/2006/relationships/hyperlink" Target="https://www.astho.org/Preparedness/DPHP_HPP_ResourceGuide_V2_Oct2015/" TargetMode="External"/><Relationship Id="rId40" Type="http://schemas.openxmlformats.org/officeDocument/2006/relationships/hyperlink" Target="https://www.dhs.gov/presidential-policy-directive-8-national-preparedness" TargetMode="External"/><Relationship Id="rId45" Type="http://schemas.openxmlformats.org/officeDocument/2006/relationships/hyperlink" Target="https://www.fema.gov/national-preparedness-system" TargetMode="External"/><Relationship Id="rId5" Type="http://schemas.openxmlformats.org/officeDocument/2006/relationships/hyperlink" Target="https://www.nga.org/state-covid-19-emergency-orders/" TargetMode="External"/><Relationship Id="rId15" Type="http://schemas.openxmlformats.org/officeDocument/2006/relationships/hyperlink" Target="https://www.networkforphl.org/wp-content/uploads/2020/08/Western-Region-Primer-COVID-7-31-2020.pdf" TargetMode="External"/><Relationship Id="rId23" Type="http://schemas.openxmlformats.org/officeDocument/2006/relationships/hyperlink" Target="https://www.networkforphl.org/wp-content/uploads/2020/08/Western-Region-Primer-COVID-7-31-2020.pdf" TargetMode="External"/><Relationship Id="rId28" Type="http://schemas.openxmlformats.org/officeDocument/2006/relationships/hyperlink" Target="https://www.phe.gov/emergency/news/healthactions/phe/Pages/default.aspx" TargetMode="External"/><Relationship Id="rId36" Type="http://schemas.openxmlformats.org/officeDocument/2006/relationships/hyperlink" Target="https://www.cdc.gov/quarantine/aboutlawsregulationsquarantineisolation.html" TargetMode="External"/><Relationship Id="rId49" Type="http://schemas.openxmlformats.org/officeDocument/2006/relationships/hyperlink" Target="https://www.phe.gov/Preparedness/planning/authority/nhss/Pages/default.aspx" TargetMode="External"/><Relationship Id="rId10" Type="http://schemas.openxmlformats.org/officeDocument/2006/relationships/hyperlink" Target="https://www.ncsl.org/research/about-state-legislatures/legislative-oversight-of-executive-orders.aspx" TargetMode="External"/><Relationship Id="rId19" Type="http://schemas.openxmlformats.org/officeDocument/2006/relationships/hyperlink" Target="https://www.networkforphl.org/wp-content/uploads/2020/08/Western-Region-Primer-COVID-7-31-2020.pdf" TargetMode="External"/><Relationship Id="rId31" Type="http://schemas.openxmlformats.org/officeDocument/2006/relationships/hyperlink" Target="https://www.whitehouse.gov/presidential-actions/proclamation-declaring-national-emergency-concerning-novel-coronavirus-disease-covid-19-outbreak/" TargetMode="External"/><Relationship Id="rId44" Type="http://schemas.openxmlformats.org/officeDocument/2006/relationships/hyperlink" Target="https://www.fema.gov/national-preparedness-system" TargetMode="External"/><Relationship Id="rId52" Type="http://schemas.openxmlformats.org/officeDocument/2006/relationships/hyperlink" Target="https://www.fema.gov/nims-doctrine-supporting-guides-tools" TargetMode="External"/><Relationship Id="rId4" Type="http://schemas.openxmlformats.org/officeDocument/2006/relationships/hyperlink" Target="https://www.nga.org/state-covid-19-emergency-orders/" TargetMode="External"/><Relationship Id="rId9" Type="http://schemas.openxmlformats.org/officeDocument/2006/relationships/hyperlink" Target="https://www.networkforphl.org/wp-content/uploads/2020/08/Western-Region-Primer-COVID-7-31-2020.pdf" TargetMode="External"/><Relationship Id="rId14" Type="http://schemas.openxmlformats.org/officeDocument/2006/relationships/hyperlink" Target="https://www.nejm.org/doi/full/10.1056/NEJMp2004211" TargetMode="External"/><Relationship Id="rId22" Type="http://schemas.openxmlformats.org/officeDocument/2006/relationships/hyperlink" Target="http://dx.doi.org/10.15585/mmwr.mm6924e1" TargetMode="External"/><Relationship Id="rId27" Type="http://schemas.openxmlformats.org/officeDocument/2006/relationships/hyperlink" Target="https://www.cdc.gov/phlp/docs/ph-emergencies.pdf" TargetMode="External"/><Relationship Id="rId30" Type="http://schemas.openxmlformats.org/officeDocument/2006/relationships/hyperlink" Target="https://www.whitehouse.gov/briefings-statements/letter-president-donald-j-trump-emergency-determination-stafford-act/" TargetMode="External"/><Relationship Id="rId35" Type="http://schemas.openxmlformats.org/officeDocument/2006/relationships/hyperlink" Target="https://crsreports.congress.gov/product/pdf/LSB/LSB10415" TargetMode="External"/><Relationship Id="rId43" Type="http://schemas.openxmlformats.org/officeDocument/2006/relationships/hyperlink" Target="https://www.dhs.gov/presidential-policy-directive-8-national-preparedness" TargetMode="External"/><Relationship Id="rId48" Type="http://schemas.openxmlformats.org/officeDocument/2006/relationships/hyperlink" Target="https://www.fema.gov/media-library-data/1582825590194-2f000855d442fc3c9f18547d1468990d/NRF_FINALApproved_508_2011028v1040.pdf" TargetMode="External"/><Relationship Id="rId8" Type="http://schemas.openxmlformats.org/officeDocument/2006/relationships/hyperlink" Target="https://www.networkforphl.org/wp-content/uploads/2020/08/Western-Region-Primer-COVID-7-31-2020.pdf" TargetMode="External"/><Relationship Id="rId51" Type="http://schemas.openxmlformats.org/officeDocument/2006/relationships/hyperlink" Target="https://www.fema.gov/media-library-data/1508151197225-ced8c60378c3936adb92c1a3ee6f6564/FINAL_NIMS_201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0C77BA-1D03-4E07-883F-9DEF5798BD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1249</TotalTime>
  <Pages>13</Pages>
  <Words>3171</Words>
  <Characters>18079</Characters>
  <Application>Microsoft Office Word</Application>
  <DocSecurity>0</DocSecurity>
  <Lines>150</Lines>
  <Paragraphs>42</Paragraphs>
  <ScaleCrop>false</ScaleCrop>
  <Company/>
  <LinksUpToDate>false</LinksUpToDate>
  <CharactersWithSpaces>21208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420</cp:revision>
  <dcterms:created xsi:type="dcterms:W3CDTF">2020-08-03T21:06:00Z</dcterms:created>
  <dcterms:modified xsi:type="dcterms:W3CDTF">2020-08-28T01:10:00Z</dcterms:modified>
</cp:coreProperties>
</file>