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0DB1071" w14:textId="77777777" w:rsidR="0090260B" w:rsidRDefault="0090260B" w:rsidP="0090260B">
      <w:pPr>
        <w:spacing w:line="360" w:lineRule="auto"/>
        <w:jc w:val="center"/>
        <w:rPr>
          <w:rFonts w:eastAsia="Times New Roman" w:cs="Calibri"/>
          <w:b/>
          <w:bCs/>
          <w:color w:val="333333"/>
          <w:spacing w:val="15"/>
          <w:kern w:val="36"/>
          <w:sz w:val="24"/>
          <w:szCs w:val="24"/>
        </w:rPr>
      </w:pPr>
      <w:r>
        <w:rPr>
          <w:rFonts w:eastAsia="Times New Roman" w:cs="Calibri"/>
          <w:b/>
          <w:bCs/>
          <w:color w:val="333333"/>
          <w:spacing w:val="15"/>
          <w:kern w:val="36"/>
          <w:sz w:val="24"/>
          <w:szCs w:val="24"/>
        </w:rPr>
        <w:t>CSTE Legal Barriers Toolkit Project</w:t>
      </w:r>
    </w:p>
    <w:p w14:paraId="30D2569B" w14:textId="4A43FD2F" w:rsidR="00865882" w:rsidRDefault="00DB5E24" w:rsidP="00865882">
      <w:pPr>
        <w:spacing w:after="120"/>
        <w:jc w:val="center"/>
        <w:rPr>
          <w:rFonts w:asciiTheme="minorHAnsi" w:eastAsiaTheme="minorHAnsi" w:hAnsiTheme="minorHAnsi" w:cstheme="minorBidi"/>
          <w:b/>
          <w:bCs/>
          <w:sz w:val="24"/>
          <w:szCs w:val="24"/>
        </w:rPr>
      </w:pPr>
      <w:r w:rsidRPr="00DB5E24">
        <w:rPr>
          <w:rFonts w:asciiTheme="minorHAnsi" w:hAnsiTheme="minorHAnsi" w:cstheme="minorHAnsi"/>
          <w:b/>
          <w:sz w:val="24"/>
          <w:szCs w:val="24"/>
        </w:rPr>
        <w:t>PUBLIC HEALTH COLLECTION, USE, SHARING AND PROTECTION OF INFORMATION</w:t>
      </w:r>
    </w:p>
    <w:p w14:paraId="10514D6E" w14:textId="77777777" w:rsidR="00865882" w:rsidRPr="00052A34" w:rsidRDefault="00865882" w:rsidP="00865882">
      <w:pPr>
        <w:jc w:val="center"/>
        <w:rPr>
          <w:rFonts w:asciiTheme="minorHAnsi" w:eastAsiaTheme="minorHAnsi" w:hAnsiTheme="minorHAnsi" w:cstheme="minorBidi"/>
          <w:b/>
          <w:bCs/>
          <w:sz w:val="24"/>
          <w:szCs w:val="24"/>
        </w:rPr>
      </w:pPr>
      <w:r w:rsidRPr="00052A34">
        <w:rPr>
          <w:rFonts w:asciiTheme="minorHAnsi" w:eastAsiaTheme="minorHAnsi" w:hAnsiTheme="minorHAnsi" w:cstheme="minorBidi"/>
          <w:b/>
          <w:bCs/>
          <w:sz w:val="24"/>
          <w:szCs w:val="24"/>
        </w:rPr>
        <w:t>PRACTICE GUIDE</w:t>
      </w:r>
    </w:p>
    <w:p w14:paraId="1A1435A0" w14:textId="54C5E8E8" w:rsidR="00865882" w:rsidRDefault="00865882" w:rsidP="00865882">
      <w:pPr>
        <w:rPr>
          <w:rFonts w:asciiTheme="minorHAnsi" w:eastAsiaTheme="minorHAnsi" w:hAnsiTheme="minorHAnsi" w:cstheme="minorBidi"/>
        </w:rPr>
      </w:pPr>
    </w:p>
    <w:p w14:paraId="795A639A" w14:textId="77777777" w:rsidR="00CC5424" w:rsidRDefault="00CC5424" w:rsidP="00CC5424">
      <w:pPr>
        <w:rPr>
          <w:rFonts w:asciiTheme="minorHAnsi" w:eastAsiaTheme="minorHAnsi" w:hAnsiTheme="minorHAnsi" w:cstheme="minorBidi"/>
          <w:b/>
          <w:bCs/>
          <w:i/>
          <w:iCs/>
          <w:highlight w:val="yellow"/>
        </w:rPr>
      </w:pPr>
    </w:p>
    <w:p w14:paraId="6F06D313" w14:textId="01F73501" w:rsidR="00CC5424" w:rsidRPr="00A826B0" w:rsidRDefault="00CC5424" w:rsidP="00CC5424">
      <w:pPr>
        <w:rPr>
          <w:rFonts w:asciiTheme="minorHAnsi" w:eastAsiaTheme="minorHAnsi" w:hAnsiTheme="minorHAnsi" w:cstheme="minorBidi"/>
          <w:i/>
          <w:iCs/>
        </w:rPr>
      </w:pPr>
      <w:r w:rsidRPr="00A826B0">
        <w:rPr>
          <w:rFonts w:asciiTheme="minorHAnsi" w:eastAsiaTheme="minorHAnsi" w:hAnsiTheme="minorHAnsi" w:cstheme="minorBidi"/>
          <w:b/>
          <w:bCs/>
          <w:i/>
          <w:iCs/>
          <w:highlight w:val="yellow"/>
        </w:rPr>
        <w:t>Note to reviewers:</w:t>
      </w:r>
      <w:r w:rsidRPr="00A826B0">
        <w:rPr>
          <w:rFonts w:asciiTheme="minorHAnsi" w:eastAsiaTheme="minorHAnsi" w:hAnsiTheme="minorHAnsi" w:cstheme="minorBidi"/>
          <w:i/>
          <w:iCs/>
          <w:highlight w:val="yellow"/>
        </w:rPr>
        <w:t xml:space="preserve"> This draft has minimal formatting at this point. Once we have further developed the contents, we will refine the presentation</w:t>
      </w:r>
      <w:r w:rsidR="00DC660D">
        <w:rPr>
          <w:rFonts w:asciiTheme="minorHAnsi" w:eastAsiaTheme="minorHAnsi" w:hAnsiTheme="minorHAnsi" w:cstheme="minorBidi"/>
          <w:i/>
          <w:iCs/>
          <w:highlight w:val="yellow"/>
        </w:rPr>
        <w:t xml:space="preserve"> and identify additional resources</w:t>
      </w:r>
      <w:r w:rsidRPr="00A826B0">
        <w:rPr>
          <w:rFonts w:asciiTheme="minorHAnsi" w:eastAsiaTheme="minorHAnsi" w:hAnsiTheme="minorHAnsi" w:cstheme="minorBidi"/>
          <w:i/>
          <w:iCs/>
          <w:highlight w:val="yellow"/>
        </w:rPr>
        <w:t>.</w:t>
      </w:r>
      <w:r w:rsidR="00702BCE">
        <w:rPr>
          <w:rFonts w:asciiTheme="minorHAnsi" w:eastAsiaTheme="minorHAnsi" w:hAnsiTheme="minorHAnsi" w:cstheme="minorBidi"/>
          <w:i/>
          <w:iCs/>
        </w:rPr>
        <w:t xml:space="preserve"> </w:t>
      </w:r>
    </w:p>
    <w:p w14:paraId="4784F9D4" w14:textId="537102EC" w:rsidR="004859FF" w:rsidRDefault="004859FF" w:rsidP="00865882">
      <w:pPr>
        <w:rPr>
          <w:rFonts w:asciiTheme="minorHAnsi" w:eastAsiaTheme="minorHAnsi" w:hAnsiTheme="minorHAnsi" w:cstheme="minorBidi"/>
        </w:rPr>
      </w:pPr>
    </w:p>
    <w:p w14:paraId="145A0B9A" w14:textId="77777777" w:rsidR="00865882" w:rsidRPr="00052A34" w:rsidRDefault="00865882" w:rsidP="00865882">
      <w:pPr>
        <w:rPr>
          <w:rFonts w:asciiTheme="minorHAnsi" w:eastAsiaTheme="minorHAnsi" w:hAnsiTheme="minorHAnsi" w:cstheme="minorBidi"/>
        </w:rPr>
      </w:pPr>
    </w:p>
    <w:p w14:paraId="5D7BC991" w14:textId="77777777" w:rsidR="00865882" w:rsidRPr="00052A34" w:rsidRDefault="00865882" w:rsidP="00865882">
      <w:pPr>
        <w:spacing w:after="120"/>
        <w:rPr>
          <w:rFonts w:asciiTheme="minorHAnsi" w:eastAsiaTheme="minorHAnsi" w:hAnsiTheme="minorHAnsi" w:cstheme="minorBidi"/>
        </w:rPr>
      </w:pPr>
      <w:r w:rsidRPr="00052A34">
        <w:rPr>
          <w:rFonts w:asciiTheme="minorHAnsi" w:eastAsiaTheme="minorHAnsi" w:hAnsiTheme="minorHAnsi" w:cstheme="minorBidi"/>
        </w:rPr>
        <w:t>This Practice Guide is intended to:</w:t>
      </w:r>
    </w:p>
    <w:p w14:paraId="70F0A979" w14:textId="77777777" w:rsidR="00865882" w:rsidRPr="00DB5E24" w:rsidRDefault="00865882" w:rsidP="00865882">
      <w:pPr>
        <w:numPr>
          <w:ilvl w:val="0"/>
          <w:numId w:val="1"/>
        </w:numPr>
        <w:spacing w:after="120"/>
        <w:rPr>
          <w:rFonts w:asciiTheme="minorHAnsi" w:eastAsiaTheme="minorHAnsi" w:hAnsiTheme="minorHAnsi" w:cstheme="minorBidi"/>
        </w:rPr>
      </w:pPr>
      <w:r w:rsidRPr="00DB5E24">
        <w:rPr>
          <w:rFonts w:asciiTheme="minorHAnsi" w:eastAsiaTheme="minorHAnsi" w:hAnsiTheme="minorHAnsi" w:cstheme="minorBidi"/>
        </w:rPr>
        <w:t>Provide practice notes and tips gathered from public health emergency preparedness professionals in state, tribal, local, and territorial (STLT) governments and their legal counsel</w:t>
      </w:r>
    </w:p>
    <w:p w14:paraId="5BA27314" w14:textId="667AED2F" w:rsidR="00865882" w:rsidRPr="00DB5E24" w:rsidRDefault="00865882" w:rsidP="00865882">
      <w:pPr>
        <w:numPr>
          <w:ilvl w:val="0"/>
          <w:numId w:val="1"/>
        </w:numPr>
        <w:spacing w:after="120"/>
        <w:rPr>
          <w:rFonts w:asciiTheme="minorHAnsi" w:eastAsiaTheme="minorHAnsi" w:hAnsiTheme="minorHAnsi" w:cstheme="minorBidi"/>
        </w:rPr>
      </w:pPr>
      <w:r w:rsidRPr="00DB5E24">
        <w:rPr>
          <w:rFonts w:asciiTheme="minorHAnsi" w:eastAsiaTheme="minorHAnsi" w:hAnsiTheme="minorHAnsi" w:cstheme="minorBidi"/>
        </w:rPr>
        <w:t xml:space="preserve">Assist STLT health agency staff and legal counsel to identify and analyze their jurisdiction’s laws, rules, policies, and implementation plans </w:t>
      </w:r>
      <w:r w:rsidR="000A0320">
        <w:rPr>
          <w:rFonts w:asciiTheme="minorHAnsi" w:eastAsiaTheme="minorHAnsi" w:hAnsiTheme="minorHAnsi" w:cstheme="minorBidi"/>
        </w:rPr>
        <w:t>regarding</w:t>
      </w:r>
      <w:r w:rsidRPr="00DB5E24">
        <w:rPr>
          <w:rFonts w:asciiTheme="minorHAnsi" w:eastAsiaTheme="minorHAnsi" w:hAnsiTheme="minorHAnsi" w:cstheme="minorBidi"/>
        </w:rPr>
        <w:t xml:space="preserve"> </w:t>
      </w:r>
      <w:r w:rsidR="00DB5E24" w:rsidRPr="00DB5E24">
        <w:rPr>
          <w:rFonts w:asciiTheme="minorHAnsi" w:hAnsiTheme="minorHAnsi" w:cs="Arial"/>
        </w:rPr>
        <w:t>the public health collection, use, sharing, and protection of information for emergency preparedness and response</w:t>
      </w:r>
    </w:p>
    <w:p w14:paraId="0225A44E" w14:textId="77777777" w:rsidR="00865882" w:rsidRPr="00DB5E24" w:rsidRDefault="00865882" w:rsidP="00865882">
      <w:pPr>
        <w:numPr>
          <w:ilvl w:val="0"/>
          <w:numId w:val="1"/>
        </w:numPr>
        <w:contextualSpacing/>
        <w:rPr>
          <w:rFonts w:asciiTheme="minorHAnsi" w:eastAsiaTheme="minorHAnsi" w:hAnsiTheme="minorHAnsi" w:cstheme="minorBidi"/>
        </w:rPr>
      </w:pPr>
      <w:r w:rsidRPr="00DB5E24">
        <w:rPr>
          <w:rFonts w:asciiTheme="minorHAnsi" w:eastAsiaTheme="minorHAnsi" w:hAnsiTheme="minorHAnsi" w:cstheme="minorBidi"/>
        </w:rPr>
        <w:t>Highlight examples and templates from other jurisdictions</w:t>
      </w:r>
    </w:p>
    <w:p w14:paraId="791CF63C" w14:textId="77777777" w:rsidR="00865882" w:rsidRPr="00052A34" w:rsidRDefault="00865882" w:rsidP="00865882">
      <w:pPr>
        <w:rPr>
          <w:rFonts w:asciiTheme="minorHAnsi" w:eastAsiaTheme="minorHAnsi" w:hAnsiTheme="minorHAnsi" w:cstheme="minorBidi"/>
        </w:rPr>
      </w:pPr>
    </w:p>
    <w:p w14:paraId="671F5AF3" w14:textId="0C74DC8E" w:rsidR="00865882" w:rsidRPr="00052A34" w:rsidRDefault="00865882" w:rsidP="00865882">
      <w:pPr>
        <w:spacing w:after="120"/>
        <w:rPr>
          <w:rFonts w:asciiTheme="minorHAnsi" w:eastAsiaTheme="minorHAnsi" w:hAnsiTheme="minorHAnsi" w:cstheme="minorBidi"/>
        </w:rPr>
      </w:pPr>
      <w:r w:rsidRPr="00052A34">
        <w:rPr>
          <w:rFonts w:asciiTheme="minorHAnsi" w:eastAsiaTheme="minorHAnsi" w:hAnsiTheme="minorHAnsi" w:cstheme="minorBidi"/>
        </w:rPr>
        <w:t>It</w:t>
      </w:r>
      <w:r w:rsidRPr="008A343A">
        <w:rPr>
          <w:rFonts w:asciiTheme="minorHAnsi" w:eastAsiaTheme="minorHAnsi" w:hAnsiTheme="minorHAnsi" w:cstheme="minorBidi"/>
        </w:rPr>
        <w:t xml:space="preserve"> includes checklists in </w:t>
      </w:r>
      <w:r w:rsidR="007D6CAD">
        <w:rPr>
          <w:rFonts w:asciiTheme="minorHAnsi" w:eastAsiaTheme="minorHAnsi" w:hAnsiTheme="minorHAnsi" w:cstheme="minorBidi"/>
        </w:rPr>
        <w:t>four</w:t>
      </w:r>
      <w:r w:rsidRPr="008A343A">
        <w:rPr>
          <w:rFonts w:asciiTheme="minorHAnsi" w:eastAsiaTheme="minorHAnsi" w:hAnsiTheme="minorHAnsi" w:cstheme="minorBidi"/>
        </w:rPr>
        <w:t xml:space="preserve"> areas</w:t>
      </w:r>
      <w:r w:rsidRPr="00052A34">
        <w:rPr>
          <w:rFonts w:asciiTheme="minorHAnsi" w:eastAsiaTheme="minorHAnsi" w:hAnsiTheme="minorHAnsi" w:cstheme="minorBidi"/>
        </w:rPr>
        <w:t>:</w:t>
      </w:r>
    </w:p>
    <w:p w14:paraId="38F1167C" w14:textId="2705979D" w:rsidR="00865882" w:rsidRPr="007D6CAD" w:rsidRDefault="00BB2B02" w:rsidP="00865882">
      <w:pPr>
        <w:numPr>
          <w:ilvl w:val="0"/>
          <w:numId w:val="2"/>
        </w:numPr>
        <w:spacing w:after="120"/>
        <w:rPr>
          <w:rFonts w:asciiTheme="minorHAnsi" w:eastAsiaTheme="minorHAnsi" w:hAnsiTheme="minorHAnsi" w:cstheme="minorBidi"/>
        </w:rPr>
      </w:pPr>
      <w:r w:rsidRPr="007D6CAD">
        <w:rPr>
          <w:rFonts w:asciiTheme="minorHAnsi" w:eastAsiaTheme="minorHAnsi" w:hAnsiTheme="minorHAnsi" w:cstheme="minorBidi"/>
        </w:rPr>
        <w:t>Collection and use of information</w:t>
      </w:r>
    </w:p>
    <w:p w14:paraId="13F876B4" w14:textId="7451283C" w:rsidR="00865882" w:rsidRPr="007D6CAD" w:rsidRDefault="00BB2B02" w:rsidP="00865882">
      <w:pPr>
        <w:numPr>
          <w:ilvl w:val="0"/>
          <w:numId w:val="2"/>
        </w:numPr>
        <w:spacing w:after="120"/>
        <w:rPr>
          <w:rFonts w:asciiTheme="minorHAnsi" w:eastAsiaTheme="minorHAnsi" w:hAnsiTheme="minorHAnsi" w:cstheme="minorBidi"/>
        </w:rPr>
      </w:pPr>
      <w:r w:rsidRPr="007D6CAD">
        <w:rPr>
          <w:rFonts w:asciiTheme="minorHAnsi" w:eastAsiaTheme="minorHAnsi" w:hAnsiTheme="minorHAnsi" w:cstheme="minorBidi"/>
        </w:rPr>
        <w:t>Sharing information</w:t>
      </w:r>
    </w:p>
    <w:p w14:paraId="3DEEA132" w14:textId="39052B8C" w:rsidR="00865882" w:rsidRPr="007D6CAD" w:rsidRDefault="007D6CAD" w:rsidP="007D6CAD">
      <w:pPr>
        <w:numPr>
          <w:ilvl w:val="0"/>
          <w:numId w:val="2"/>
        </w:numPr>
        <w:spacing w:after="120"/>
        <w:rPr>
          <w:rFonts w:asciiTheme="minorHAnsi" w:eastAsiaTheme="minorHAnsi" w:hAnsiTheme="minorHAnsi" w:cstheme="minorBidi"/>
        </w:rPr>
      </w:pPr>
      <w:r w:rsidRPr="007D6CAD">
        <w:rPr>
          <w:rFonts w:asciiTheme="minorHAnsi" w:eastAsiaTheme="minorHAnsi" w:hAnsiTheme="minorHAnsi" w:cstheme="minorBidi"/>
        </w:rPr>
        <w:t>Emergency declarations</w:t>
      </w:r>
    </w:p>
    <w:p w14:paraId="1A27A782" w14:textId="65B02737" w:rsidR="007D6CAD" w:rsidRPr="007D6CAD" w:rsidRDefault="007D6CAD" w:rsidP="00865882">
      <w:pPr>
        <w:numPr>
          <w:ilvl w:val="0"/>
          <w:numId w:val="2"/>
        </w:numPr>
        <w:contextualSpacing/>
        <w:rPr>
          <w:rFonts w:asciiTheme="minorHAnsi" w:eastAsiaTheme="minorHAnsi" w:hAnsiTheme="minorHAnsi" w:cstheme="minorBidi"/>
        </w:rPr>
      </w:pPr>
      <w:r w:rsidRPr="007D6CAD">
        <w:rPr>
          <w:rFonts w:asciiTheme="minorHAnsi" w:eastAsiaTheme="minorHAnsi" w:hAnsiTheme="minorHAnsi" w:cstheme="minorBidi"/>
        </w:rPr>
        <w:t>Protection of information</w:t>
      </w:r>
    </w:p>
    <w:p w14:paraId="06AAD1C9" w14:textId="77777777" w:rsidR="00865882" w:rsidRPr="00052A34" w:rsidRDefault="00865882" w:rsidP="00865882">
      <w:pPr>
        <w:rPr>
          <w:rFonts w:asciiTheme="minorHAnsi" w:eastAsiaTheme="minorHAnsi" w:hAnsiTheme="minorHAnsi" w:cstheme="minorBidi"/>
        </w:rPr>
      </w:pPr>
    </w:p>
    <w:p w14:paraId="623EBE98" w14:textId="77777777" w:rsidR="00865882" w:rsidRPr="00052A34" w:rsidRDefault="00865882" w:rsidP="00865882">
      <w:pPr>
        <w:rPr>
          <w:rFonts w:asciiTheme="minorHAnsi" w:eastAsiaTheme="minorHAnsi" w:hAnsiTheme="minorHAnsi" w:cstheme="minorBidi"/>
        </w:rPr>
      </w:pPr>
      <w:r w:rsidRPr="00052A34">
        <w:rPr>
          <w:rFonts w:asciiTheme="minorHAnsi" w:eastAsiaTheme="minorHAnsi" w:hAnsiTheme="minorHAnsi" w:cstheme="minorBidi"/>
        </w:rPr>
        <w:t xml:space="preserve">Because each jurisdiction’s law is unique, this guide may not identify all issues that arise in the course of analyzing a law. In all instances the language and requirements of the specific jurisdiction’s laws, regulations, treaties, ordinances, rules, policies, guidance, case law, and other sources of legal authority overrule this general analysis guide. </w:t>
      </w:r>
    </w:p>
    <w:p w14:paraId="1C22BE5D" w14:textId="77777777" w:rsidR="00865882" w:rsidRPr="00052A34" w:rsidRDefault="00865882" w:rsidP="00865882">
      <w:pPr>
        <w:rPr>
          <w:rFonts w:asciiTheme="minorHAnsi" w:eastAsiaTheme="minorHAnsi" w:hAnsiTheme="minorHAnsi" w:cstheme="minorBidi"/>
        </w:rPr>
      </w:pPr>
    </w:p>
    <w:p w14:paraId="7BEDB3E6" w14:textId="77777777" w:rsidR="00865882" w:rsidRPr="00052A34" w:rsidRDefault="00865882" w:rsidP="00865882">
      <w:pPr>
        <w:rPr>
          <w:rFonts w:asciiTheme="minorHAnsi" w:eastAsiaTheme="minorHAnsi" w:hAnsiTheme="minorHAnsi" w:cstheme="minorBidi"/>
          <w:b/>
          <w:bCs/>
        </w:rPr>
      </w:pPr>
      <w:r w:rsidRPr="00052A34">
        <w:rPr>
          <w:rFonts w:asciiTheme="minorHAnsi" w:eastAsiaTheme="minorHAnsi" w:hAnsiTheme="minorHAnsi" w:cstheme="minorBidi"/>
          <w:b/>
          <w:bCs/>
        </w:rPr>
        <w:t>This resource is for informational purposes only and is not intended as a substitute for professional legal or other advice.</w:t>
      </w:r>
    </w:p>
    <w:p w14:paraId="691B6EA5" w14:textId="6387E86F" w:rsidR="00865882" w:rsidRDefault="00865882" w:rsidP="00865882">
      <w:pPr>
        <w:rPr>
          <w:rFonts w:asciiTheme="minorHAnsi" w:eastAsiaTheme="minorHAnsi" w:hAnsiTheme="minorHAnsi" w:cstheme="minorBidi"/>
        </w:rPr>
      </w:pPr>
    </w:p>
    <w:p w14:paraId="6FECE940" w14:textId="6EBD30E9" w:rsidR="00242BEA" w:rsidRDefault="00242BEA" w:rsidP="00242BEA">
      <w:pPr>
        <w:jc w:val="center"/>
        <w:rPr>
          <w:rFonts w:asciiTheme="minorHAnsi" w:eastAsiaTheme="minorHAnsi" w:hAnsiTheme="minorHAnsi" w:cstheme="minorBidi"/>
        </w:rPr>
      </w:pPr>
      <w:r>
        <w:rPr>
          <w:rFonts w:asciiTheme="minorHAnsi" w:eastAsiaTheme="minorHAnsi" w:hAnsiTheme="minorHAnsi" w:cstheme="minorBidi"/>
        </w:rPr>
        <w:t>_____________________________________________________________________________</w:t>
      </w:r>
    </w:p>
    <w:p w14:paraId="5C70A5F4" w14:textId="77777777" w:rsidR="00865882" w:rsidRDefault="00865882" w:rsidP="00865882">
      <w:pPr>
        <w:rPr>
          <w:rFonts w:asciiTheme="minorHAnsi" w:eastAsiaTheme="minorHAnsi" w:hAnsiTheme="minorHAnsi" w:cstheme="minorBidi"/>
        </w:rPr>
      </w:pPr>
    </w:p>
    <w:p w14:paraId="0CF1493F" w14:textId="77777777" w:rsidR="00BD20D1" w:rsidRPr="00BD20D1" w:rsidRDefault="00865882" w:rsidP="00BD20D1">
      <w:pPr>
        <w:spacing w:after="120"/>
        <w:rPr>
          <w:rFonts w:asciiTheme="minorHAnsi" w:hAnsiTheme="minorHAnsi" w:cstheme="minorHAnsi"/>
          <w:b/>
          <w:bCs/>
          <w:sz w:val="24"/>
          <w:szCs w:val="24"/>
        </w:rPr>
      </w:pPr>
      <w:r w:rsidRPr="00E50B89">
        <w:rPr>
          <w:rFonts w:asciiTheme="minorHAnsi" w:eastAsiaTheme="minorHAnsi" w:hAnsiTheme="minorHAnsi" w:cstheme="minorBidi"/>
          <w:b/>
          <w:sz w:val="24"/>
          <w:szCs w:val="24"/>
        </w:rPr>
        <w:t>Checklist</w:t>
      </w:r>
      <w:r w:rsidRPr="00E50B89">
        <w:rPr>
          <w:rFonts w:asciiTheme="minorHAnsi" w:eastAsia="Times New Roman" w:hAnsiTheme="minorHAnsi" w:cs="Arial"/>
          <w:b/>
          <w:color w:val="3C3030"/>
          <w:sz w:val="24"/>
          <w:szCs w:val="24"/>
        </w:rPr>
        <w:t xml:space="preserve"> – </w:t>
      </w:r>
      <w:r w:rsidR="00BD20D1" w:rsidRPr="00BD20D1">
        <w:rPr>
          <w:rFonts w:asciiTheme="minorHAnsi" w:hAnsiTheme="minorHAnsi" w:cstheme="minorHAnsi"/>
          <w:b/>
          <w:bCs/>
          <w:sz w:val="24"/>
          <w:szCs w:val="24"/>
        </w:rPr>
        <w:t>Collection and Use of Information</w:t>
      </w:r>
    </w:p>
    <w:p w14:paraId="2637B6BB" w14:textId="6CCA428C" w:rsidR="001D61BF" w:rsidRDefault="001D61BF" w:rsidP="00BD20D1">
      <w:pPr>
        <w:pStyle w:val="ListParagraph"/>
        <w:numPr>
          <w:ilvl w:val="0"/>
          <w:numId w:val="4"/>
        </w:numPr>
        <w:spacing w:after="120"/>
        <w:contextualSpacing w:val="0"/>
      </w:pPr>
      <w:r>
        <w:t xml:space="preserve">Identify </w:t>
      </w:r>
      <w:r w:rsidR="00C73668">
        <w:t xml:space="preserve">legal </w:t>
      </w:r>
      <w:r>
        <w:t>authorit</w:t>
      </w:r>
      <w:r w:rsidR="00C73668">
        <w:t>ies</w:t>
      </w:r>
      <w:r>
        <w:t xml:space="preserve"> for collection and use of information; for each area identify any prerequisites, conditions, or limitations:</w:t>
      </w:r>
    </w:p>
    <w:p w14:paraId="4269E7BE" w14:textId="5B093039" w:rsidR="001D61BF" w:rsidRDefault="001D61BF" w:rsidP="00BD20D1">
      <w:pPr>
        <w:pStyle w:val="ListParagraph"/>
        <w:numPr>
          <w:ilvl w:val="0"/>
          <w:numId w:val="5"/>
        </w:numPr>
        <w:spacing w:after="120"/>
        <w:contextualSpacing w:val="0"/>
      </w:pPr>
      <w:r>
        <w:t>General authority</w:t>
      </w:r>
    </w:p>
    <w:p w14:paraId="73EC4C9F" w14:textId="319C6E13" w:rsidR="001D61BF" w:rsidRDefault="001D61BF" w:rsidP="00BD20D1">
      <w:pPr>
        <w:pStyle w:val="ListParagraph"/>
        <w:numPr>
          <w:ilvl w:val="0"/>
          <w:numId w:val="5"/>
        </w:numPr>
        <w:spacing w:after="120"/>
        <w:contextualSpacing w:val="0"/>
      </w:pPr>
      <w:r>
        <w:t>Disease specific</w:t>
      </w:r>
    </w:p>
    <w:p w14:paraId="4B445F7B" w14:textId="4703B630" w:rsidR="001D61BF" w:rsidRDefault="001D61BF" w:rsidP="00BD20D1">
      <w:pPr>
        <w:pStyle w:val="ListParagraph"/>
        <w:numPr>
          <w:ilvl w:val="0"/>
          <w:numId w:val="5"/>
        </w:numPr>
        <w:spacing w:after="120"/>
        <w:contextualSpacing w:val="0"/>
      </w:pPr>
      <w:r>
        <w:t>Other conditions (e.g., poisonings, radiologic events, suspected acts of bioterrorism)</w:t>
      </w:r>
    </w:p>
    <w:p w14:paraId="190FC4EE" w14:textId="33A581D6" w:rsidR="001D61BF" w:rsidRDefault="001D61BF" w:rsidP="00BD20D1">
      <w:pPr>
        <w:pStyle w:val="ListParagraph"/>
        <w:numPr>
          <w:ilvl w:val="0"/>
          <w:numId w:val="5"/>
        </w:numPr>
        <w:spacing w:after="120"/>
        <w:contextualSpacing w:val="0"/>
      </w:pPr>
      <w:r>
        <w:t>Catch-all (e.g., unusual occurrence of a disease, infection, or condition)</w:t>
      </w:r>
    </w:p>
    <w:p w14:paraId="0D02B0BC" w14:textId="222C864D" w:rsidR="001D61BF" w:rsidRDefault="001D61BF" w:rsidP="00BD20D1">
      <w:pPr>
        <w:pStyle w:val="ListParagraph"/>
        <w:numPr>
          <w:ilvl w:val="0"/>
          <w:numId w:val="5"/>
        </w:numPr>
        <w:spacing w:after="120"/>
        <w:contextualSpacing w:val="0"/>
      </w:pPr>
      <w:r>
        <w:lastRenderedPageBreak/>
        <w:t>Syndromic surveillance</w:t>
      </w:r>
    </w:p>
    <w:p w14:paraId="3B42E0B5" w14:textId="3E38BA45" w:rsidR="001D61BF" w:rsidRDefault="001D61BF" w:rsidP="00BD20D1">
      <w:pPr>
        <w:pStyle w:val="ListParagraph"/>
        <w:numPr>
          <w:ilvl w:val="0"/>
          <w:numId w:val="5"/>
        </w:numPr>
        <w:spacing w:after="120"/>
        <w:contextualSpacing w:val="0"/>
      </w:pPr>
      <w:r>
        <w:t>Public health workforce</w:t>
      </w:r>
    </w:p>
    <w:p w14:paraId="0FB35361" w14:textId="675E3B84" w:rsidR="001D61BF" w:rsidRDefault="001D61BF" w:rsidP="00BD20D1">
      <w:pPr>
        <w:pStyle w:val="ListParagraph"/>
        <w:numPr>
          <w:ilvl w:val="0"/>
          <w:numId w:val="5"/>
        </w:numPr>
      </w:pPr>
      <w:r>
        <w:t>Other</w:t>
      </w:r>
    </w:p>
    <w:p w14:paraId="3A64A044" w14:textId="77777777" w:rsidR="00BD20D1" w:rsidRDefault="00BD20D1" w:rsidP="001D61BF"/>
    <w:p w14:paraId="6D92589F" w14:textId="1B8DC70C" w:rsidR="001D61BF" w:rsidRDefault="001D61BF" w:rsidP="00BD20D1">
      <w:pPr>
        <w:pStyle w:val="ListParagraph"/>
        <w:numPr>
          <w:ilvl w:val="0"/>
          <w:numId w:val="4"/>
        </w:numPr>
      </w:pPr>
      <w:r>
        <w:t>Identify authority and procedures to conduct investigations and collect evidence; identify any prerequisites, conditions, or limitations.</w:t>
      </w:r>
    </w:p>
    <w:p w14:paraId="225EC84B" w14:textId="41651364" w:rsidR="001D61BF" w:rsidRDefault="001D61BF" w:rsidP="001D61BF"/>
    <w:p w14:paraId="5DA5B021" w14:textId="50796E44" w:rsidR="00BD20D1" w:rsidRDefault="00242BEA" w:rsidP="00242BEA">
      <w:pPr>
        <w:jc w:val="center"/>
      </w:pPr>
      <w:r>
        <w:rPr>
          <w:rFonts w:asciiTheme="minorHAnsi" w:eastAsiaTheme="minorHAnsi" w:hAnsiTheme="minorHAnsi" w:cstheme="minorBidi"/>
        </w:rPr>
        <w:t>_____________________________________________________________________________</w:t>
      </w:r>
    </w:p>
    <w:p w14:paraId="405181F4" w14:textId="77777777" w:rsidR="00BC6D69" w:rsidRDefault="00BC6D69" w:rsidP="001D61BF"/>
    <w:p w14:paraId="02F82E23" w14:textId="55A6062E" w:rsidR="00CF4724" w:rsidRPr="00BD20D1" w:rsidRDefault="00CF4724" w:rsidP="00CF4724">
      <w:pPr>
        <w:spacing w:after="120"/>
        <w:rPr>
          <w:rFonts w:asciiTheme="minorHAnsi" w:hAnsiTheme="minorHAnsi" w:cstheme="minorHAnsi"/>
          <w:b/>
          <w:bCs/>
          <w:sz w:val="24"/>
          <w:szCs w:val="24"/>
        </w:rPr>
      </w:pPr>
      <w:r w:rsidRPr="00E50B89">
        <w:rPr>
          <w:rFonts w:asciiTheme="minorHAnsi" w:eastAsiaTheme="minorHAnsi" w:hAnsiTheme="minorHAnsi" w:cstheme="minorBidi"/>
          <w:b/>
          <w:sz w:val="24"/>
          <w:szCs w:val="24"/>
        </w:rPr>
        <w:t>Checklist</w:t>
      </w:r>
      <w:r w:rsidRPr="00E50B89">
        <w:rPr>
          <w:rFonts w:asciiTheme="minorHAnsi" w:eastAsia="Times New Roman" w:hAnsiTheme="minorHAnsi" w:cs="Arial"/>
          <w:b/>
          <w:color w:val="3C3030"/>
          <w:sz w:val="24"/>
          <w:szCs w:val="24"/>
        </w:rPr>
        <w:t xml:space="preserve"> – </w:t>
      </w:r>
      <w:r>
        <w:rPr>
          <w:rFonts w:asciiTheme="minorHAnsi" w:hAnsiTheme="minorHAnsi" w:cstheme="minorHAnsi"/>
          <w:b/>
          <w:bCs/>
          <w:sz w:val="24"/>
          <w:szCs w:val="24"/>
        </w:rPr>
        <w:t>Sharing</w:t>
      </w:r>
      <w:r w:rsidRPr="00BD20D1">
        <w:rPr>
          <w:rFonts w:asciiTheme="minorHAnsi" w:hAnsiTheme="minorHAnsi" w:cstheme="minorHAnsi"/>
          <w:b/>
          <w:bCs/>
          <w:sz w:val="24"/>
          <w:szCs w:val="24"/>
        </w:rPr>
        <w:t xml:space="preserve"> Information</w:t>
      </w:r>
    </w:p>
    <w:p w14:paraId="33AC87E8" w14:textId="033B9FD9" w:rsidR="001D61BF" w:rsidRDefault="001D61BF" w:rsidP="00A72800">
      <w:pPr>
        <w:pStyle w:val="ListParagraph"/>
        <w:numPr>
          <w:ilvl w:val="0"/>
          <w:numId w:val="4"/>
        </w:numPr>
        <w:spacing w:after="120"/>
        <w:contextualSpacing w:val="0"/>
      </w:pPr>
      <w:r>
        <w:t xml:space="preserve">Identify </w:t>
      </w:r>
      <w:r w:rsidR="009C2D1C">
        <w:t xml:space="preserve">legal </w:t>
      </w:r>
      <w:r>
        <w:t>authorit</w:t>
      </w:r>
      <w:r w:rsidR="009C2D1C">
        <w:t>ies</w:t>
      </w:r>
      <w:r>
        <w:t xml:space="preserve"> that allow, require, or limit sharing of information by public health agencies</w:t>
      </w:r>
      <w:r w:rsidR="009C2D1C">
        <w:t>:</w:t>
      </w:r>
    </w:p>
    <w:p w14:paraId="7CE6A944" w14:textId="5EB88681" w:rsidR="001D61BF" w:rsidRDefault="001D61BF" w:rsidP="00A72800">
      <w:pPr>
        <w:pStyle w:val="ListParagraph"/>
        <w:numPr>
          <w:ilvl w:val="0"/>
          <w:numId w:val="6"/>
        </w:numPr>
        <w:spacing w:after="120"/>
        <w:contextualSpacing w:val="0"/>
      </w:pPr>
      <w:r>
        <w:t>General authority</w:t>
      </w:r>
    </w:p>
    <w:p w14:paraId="37F89BAD" w14:textId="5161ACB7" w:rsidR="001D61BF" w:rsidRDefault="001D61BF" w:rsidP="00A72800">
      <w:pPr>
        <w:pStyle w:val="ListParagraph"/>
        <w:numPr>
          <w:ilvl w:val="0"/>
          <w:numId w:val="6"/>
        </w:numPr>
        <w:spacing w:after="120"/>
        <w:contextualSpacing w:val="0"/>
      </w:pPr>
      <w:r>
        <w:t>Data practices laws</w:t>
      </w:r>
    </w:p>
    <w:p w14:paraId="57790CFE" w14:textId="4B0F3B56" w:rsidR="001D61BF" w:rsidRDefault="001D61BF" w:rsidP="00A72800">
      <w:pPr>
        <w:pStyle w:val="ListParagraph"/>
        <w:numPr>
          <w:ilvl w:val="0"/>
          <w:numId w:val="6"/>
        </w:numPr>
        <w:spacing w:after="120"/>
        <w:contextualSpacing w:val="0"/>
      </w:pPr>
      <w:r>
        <w:t>Health information privacy laws</w:t>
      </w:r>
    </w:p>
    <w:p w14:paraId="59F4619C" w14:textId="79A56028" w:rsidR="001D61BF" w:rsidRDefault="001D61BF" w:rsidP="00A72800">
      <w:pPr>
        <w:pStyle w:val="ListParagraph"/>
        <w:numPr>
          <w:ilvl w:val="0"/>
          <w:numId w:val="6"/>
        </w:numPr>
        <w:spacing w:after="120"/>
        <w:contextualSpacing w:val="0"/>
      </w:pPr>
      <w:r>
        <w:t>Right to privacy statutory or common law</w:t>
      </w:r>
    </w:p>
    <w:p w14:paraId="0F5188BF" w14:textId="7DFFDE17" w:rsidR="001D61BF" w:rsidRDefault="001D61BF" w:rsidP="00A72800">
      <w:pPr>
        <w:pStyle w:val="ListParagraph"/>
        <w:numPr>
          <w:ilvl w:val="0"/>
          <w:numId w:val="6"/>
        </w:numPr>
        <w:spacing w:after="120"/>
        <w:contextualSpacing w:val="0"/>
      </w:pPr>
      <w:r>
        <w:t>With other public health agencies (federal, state, local)</w:t>
      </w:r>
    </w:p>
    <w:p w14:paraId="45F7D084" w14:textId="1D546A69" w:rsidR="001D61BF" w:rsidRDefault="001D61BF" w:rsidP="00A72800">
      <w:pPr>
        <w:pStyle w:val="ListParagraph"/>
        <w:numPr>
          <w:ilvl w:val="0"/>
          <w:numId w:val="6"/>
        </w:numPr>
        <w:spacing w:after="120"/>
        <w:contextualSpacing w:val="0"/>
      </w:pPr>
      <w:r>
        <w:t>With law enforcement</w:t>
      </w:r>
      <w:r w:rsidR="009C2D1C">
        <w:t>*</w:t>
      </w:r>
    </w:p>
    <w:p w14:paraId="4F073C95" w14:textId="1D902605" w:rsidR="001D61BF" w:rsidRDefault="001D61BF" w:rsidP="00A72800">
      <w:pPr>
        <w:pStyle w:val="ListParagraph"/>
        <w:numPr>
          <w:ilvl w:val="0"/>
          <w:numId w:val="6"/>
        </w:numPr>
        <w:spacing w:after="120"/>
        <w:contextualSpacing w:val="0"/>
      </w:pPr>
      <w:r>
        <w:t>With public</w:t>
      </w:r>
    </w:p>
    <w:p w14:paraId="63ABF7CB" w14:textId="6E2B3F2B" w:rsidR="001D61BF" w:rsidRDefault="001D61BF" w:rsidP="009C2D1C">
      <w:pPr>
        <w:pStyle w:val="ListParagraph"/>
        <w:numPr>
          <w:ilvl w:val="0"/>
          <w:numId w:val="6"/>
        </w:numPr>
      </w:pPr>
      <w:r>
        <w:t>Other</w:t>
      </w:r>
    </w:p>
    <w:p w14:paraId="301292CF" w14:textId="77777777" w:rsidR="009C2D1C" w:rsidRDefault="009C2D1C" w:rsidP="001D61BF"/>
    <w:p w14:paraId="574E1484" w14:textId="030C56E0" w:rsidR="001D61BF" w:rsidRDefault="001D61BF" w:rsidP="009C2D1C">
      <w:pPr>
        <w:pStyle w:val="ListParagraph"/>
        <w:numPr>
          <w:ilvl w:val="0"/>
          <w:numId w:val="4"/>
        </w:numPr>
      </w:pPr>
      <w:r>
        <w:t xml:space="preserve">If </w:t>
      </w:r>
      <w:r w:rsidR="00A72800">
        <w:t>STLT</w:t>
      </w:r>
      <w:r>
        <w:t xml:space="preserve"> law does not sufficiently allow information to be shared when necessary to protect the public, identify options to address rare but compelling circumstances where disclosure is indicated.</w:t>
      </w:r>
    </w:p>
    <w:p w14:paraId="6975E9C3" w14:textId="0C234DEF" w:rsidR="001D61BF" w:rsidRDefault="001D61BF" w:rsidP="001D61BF"/>
    <w:p w14:paraId="3A53BF79" w14:textId="1076B63C" w:rsidR="009C2D1C" w:rsidRPr="005E3334" w:rsidRDefault="00506769" w:rsidP="00DE004F">
      <w:pPr>
        <w:rPr>
          <w:i/>
          <w:iCs/>
        </w:rPr>
      </w:pPr>
      <w:r w:rsidRPr="005E3334">
        <w:rPr>
          <w:i/>
          <w:iCs/>
        </w:rPr>
        <w:t xml:space="preserve">*Also see the Practice Guide: </w:t>
      </w:r>
      <w:r w:rsidR="009C2D1C" w:rsidRPr="005E3334">
        <w:rPr>
          <w:i/>
          <w:iCs/>
        </w:rPr>
        <w:t xml:space="preserve">Sharing Information between Public Health and Law Enforcement </w:t>
      </w:r>
      <w:r w:rsidRPr="005E3334">
        <w:rPr>
          <w:i/>
          <w:iCs/>
        </w:rPr>
        <w:t xml:space="preserve">document in this </w:t>
      </w:r>
      <w:r w:rsidR="00663699">
        <w:rPr>
          <w:i/>
          <w:iCs/>
        </w:rPr>
        <w:t>toolkit</w:t>
      </w:r>
      <w:r w:rsidRPr="005E3334">
        <w:rPr>
          <w:i/>
          <w:iCs/>
        </w:rPr>
        <w:t>.</w:t>
      </w:r>
    </w:p>
    <w:p w14:paraId="4171804C" w14:textId="2BE806AB" w:rsidR="009C2D1C" w:rsidRDefault="009C2D1C" w:rsidP="001D61BF"/>
    <w:p w14:paraId="69A0495F" w14:textId="77777777" w:rsidR="00242BEA" w:rsidRDefault="00242BEA" w:rsidP="00242BEA">
      <w:pPr>
        <w:jc w:val="center"/>
      </w:pPr>
      <w:r>
        <w:rPr>
          <w:rFonts w:asciiTheme="minorHAnsi" w:eastAsiaTheme="minorHAnsi" w:hAnsiTheme="minorHAnsi" w:cstheme="minorBidi"/>
        </w:rPr>
        <w:t>_____________________________________________________________________________</w:t>
      </w:r>
    </w:p>
    <w:p w14:paraId="7F548C88" w14:textId="77777777" w:rsidR="00242BEA" w:rsidRDefault="00242BEA" w:rsidP="001D61BF"/>
    <w:p w14:paraId="47F6020B" w14:textId="77777777" w:rsidR="009C7E1E" w:rsidRPr="009C7E1E" w:rsidRDefault="009362A8" w:rsidP="009C7E1E">
      <w:pPr>
        <w:spacing w:after="120"/>
        <w:rPr>
          <w:rFonts w:asciiTheme="minorHAnsi" w:hAnsiTheme="minorHAnsi" w:cstheme="minorHAnsi"/>
          <w:b/>
          <w:bCs/>
          <w:sz w:val="24"/>
          <w:szCs w:val="24"/>
        </w:rPr>
      </w:pPr>
      <w:r w:rsidRPr="00E50B89">
        <w:rPr>
          <w:rFonts w:asciiTheme="minorHAnsi" w:eastAsiaTheme="minorHAnsi" w:hAnsiTheme="minorHAnsi" w:cstheme="minorBidi"/>
          <w:b/>
          <w:sz w:val="24"/>
          <w:szCs w:val="24"/>
        </w:rPr>
        <w:t>Checklist</w:t>
      </w:r>
      <w:r w:rsidRPr="00E50B89">
        <w:rPr>
          <w:rFonts w:asciiTheme="minorHAnsi" w:eastAsia="Times New Roman" w:hAnsiTheme="minorHAnsi" w:cs="Arial"/>
          <w:b/>
          <w:color w:val="3C3030"/>
          <w:sz w:val="24"/>
          <w:szCs w:val="24"/>
        </w:rPr>
        <w:t xml:space="preserve"> – </w:t>
      </w:r>
      <w:r w:rsidR="009C7E1E" w:rsidRPr="009C7E1E">
        <w:rPr>
          <w:rFonts w:asciiTheme="minorHAnsi" w:hAnsiTheme="minorHAnsi" w:cstheme="minorHAnsi"/>
          <w:b/>
          <w:bCs/>
          <w:sz w:val="24"/>
          <w:szCs w:val="24"/>
        </w:rPr>
        <w:t>Emergency Declarations</w:t>
      </w:r>
    </w:p>
    <w:p w14:paraId="6B3D4F37" w14:textId="77777777" w:rsidR="009C7E1E" w:rsidRDefault="001D61BF" w:rsidP="00963C3E">
      <w:pPr>
        <w:pStyle w:val="ListParagraph"/>
        <w:numPr>
          <w:ilvl w:val="0"/>
          <w:numId w:val="4"/>
        </w:numPr>
        <w:spacing w:after="120"/>
        <w:contextualSpacing w:val="0"/>
      </w:pPr>
      <w:r>
        <w:t xml:space="preserve">Identify the </w:t>
      </w:r>
      <w:r w:rsidR="009C7E1E">
        <w:t>jurisdiction</w:t>
      </w:r>
      <w:r>
        <w:t xml:space="preserve">'s statute(s) regarding emergency declarations and powers. </w:t>
      </w:r>
    </w:p>
    <w:p w14:paraId="6C15C477" w14:textId="64AD5387" w:rsidR="001D61BF" w:rsidRDefault="001D61BF" w:rsidP="00AB5B0A">
      <w:pPr>
        <w:pStyle w:val="ListParagraph"/>
        <w:numPr>
          <w:ilvl w:val="0"/>
          <w:numId w:val="4"/>
        </w:numPr>
        <w:spacing w:after="120"/>
        <w:contextualSpacing w:val="0"/>
      </w:pPr>
      <w:r>
        <w:t>Identify any provisions that apply to authority to share information or might be used to allow sharing as necessary to respond to an emergency</w:t>
      </w:r>
      <w:r w:rsidR="00963C3E">
        <w:t>.</w:t>
      </w:r>
    </w:p>
    <w:p w14:paraId="5CB32632" w14:textId="43D26C1F" w:rsidR="00AB5B0A" w:rsidRDefault="00AB5B0A" w:rsidP="005C3CB8">
      <w:pPr>
        <w:pStyle w:val="ListParagraph"/>
        <w:numPr>
          <w:ilvl w:val="0"/>
          <w:numId w:val="4"/>
        </w:numPr>
        <w:spacing w:after="120"/>
      </w:pPr>
      <w:r>
        <w:t>If currently operating under an emergency declaration</w:t>
      </w:r>
      <w:r w:rsidR="00344706">
        <w:t xml:space="preserve">, identify </w:t>
      </w:r>
      <w:r w:rsidR="005C3CB8">
        <w:t>if and how information collection, use, and sharing requirements have changed and for how long.</w:t>
      </w:r>
    </w:p>
    <w:p w14:paraId="1A1EEB77" w14:textId="6BFA4335" w:rsidR="001D61BF" w:rsidRDefault="001D61BF" w:rsidP="001D61BF"/>
    <w:p w14:paraId="33D17F7B" w14:textId="77777777" w:rsidR="00242BEA" w:rsidRDefault="00242BEA" w:rsidP="00242BEA">
      <w:pPr>
        <w:jc w:val="center"/>
      </w:pPr>
      <w:r>
        <w:rPr>
          <w:rFonts w:asciiTheme="minorHAnsi" w:eastAsiaTheme="minorHAnsi" w:hAnsiTheme="minorHAnsi" w:cstheme="minorBidi"/>
        </w:rPr>
        <w:t>_____________________________________________________________________________</w:t>
      </w:r>
    </w:p>
    <w:p w14:paraId="7AF12ED4" w14:textId="452BA70A" w:rsidR="00963C3E" w:rsidRDefault="00963C3E" w:rsidP="001D61BF"/>
    <w:p w14:paraId="36B40931" w14:textId="77777777" w:rsidR="00242BEA" w:rsidRDefault="00242BEA" w:rsidP="001D61BF"/>
    <w:p w14:paraId="2CCE585E" w14:textId="77777777" w:rsidR="00436B49" w:rsidRPr="00436B49" w:rsidRDefault="00436B49" w:rsidP="005E02DA">
      <w:pPr>
        <w:keepNext/>
        <w:keepLines/>
        <w:spacing w:after="120"/>
        <w:rPr>
          <w:rFonts w:asciiTheme="minorHAnsi" w:hAnsiTheme="minorHAnsi" w:cstheme="minorHAnsi"/>
          <w:b/>
          <w:bCs/>
          <w:sz w:val="24"/>
          <w:szCs w:val="24"/>
        </w:rPr>
      </w:pPr>
      <w:r w:rsidRPr="00E50B89">
        <w:rPr>
          <w:rFonts w:asciiTheme="minorHAnsi" w:eastAsiaTheme="minorHAnsi" w:hAnsiTheme="minorHAnsi" w:cstheme="minorBidi"/>
          <w:b/>
          <w:sz w:val="24"/>
          <w:szCs w:val="24"/>
        </w:rPr>
        <w:lastRenderedPageBreak/>
        <w:t>Checklist</w:t>
      </w:r>
      <w:r w:rsidRPr="00E50B89">
        <w:rPr>
          <w:rFonts w:asciiTheme="minorHAnsi" w:eastAsia="Times New Roman" w:hAnsiTheme="minorHAnsi" w:cs="Arial"/>
          <w:b/>
          <w:color w:val="3C3030"/>
          <w:sz w:val="24"/>
          <w:szCs w:val="24"/>
        </w:rPr>
        <w:t xml:space="preserve"> – </w:t>
      </w:r>
      <w:r w:rsidRPr="00436B49">
        <w:rPr>
          <w:rFonts w:asciiTheme="minorHAnsi" w:hAnsiTheme="minorHAnsi" w:cstheme="minorHAnsi"/>
          <w:b/>
          <w:bCs/>
          <w:sz w:val="24"/>
          <w:szCs w:val="24"/>
        </w:rPr>
        <w:t>Protection of Information</w:t>
      </w:r>
    </w:p>
    <w:p w14:paraId="28F853A2" w14:textId="088DAEEF" w:rsidR="001D61BF" w:rsidRDefault="001D61BF" w:rsidP="00083C9D">
      <w:pPr>
        <w:pStyle w:val="ListParagraph"/>
        <w:numPr>
          <w:ilvl w:val="0"/>
          <w:numId w:val="7"/>
        </w:numPr>
        <w:spacing w:after="120"/>
        <w:contextualSpacing w:val="0"/>
      </w:pPr>
      <w:r>
        <w:t xml:space="preserve">Identify </w:t>
      </w:r>
      <w:r w:rsidR="00436B49">
        <w:t>legal</w:t>
      </w:r>
      <w:r>
        <w:t xml:space="preserve"> authorit</w:t>
      </w:r>
      <w:r w:rsidR="00436B49">
        <w:t>ies</w:t>
      </w:r>
      <w:r>
        <w:t xml:space="preserve"> for protecting information</w:t>
      </w:r>
      <w:r w:rsidR="00436B49">
        <w:t xml:space="preserve">. </w:t>
      </w:r>
      <w:r w:rsidR="006767BC">
        <w:t>F</w:t>
      </w:r>
      <w:r>
        <w:t>or each area identify any perquisites, conditions, or limitations:</w:t>
      </w:r>
      <w:r>
        <w:tab/>
      </w:r>
    </w:p>
    <w:p w14:paraId="59AD3B8D" w14:textId="092ADF66" w:rsidR="001D61BF" w:rsidRDefault="001D61BF" w:rsidP="00083C9D">
      <w:pPr>
        <w:pStyle w:val="ListParagraph"/>
        <w:numPr>
          <w:ilvl w:val="0"/>
          <w:numId w:val="8"/>
        </w:numPr>
        <w:spacing w:after="120"/>
        <w:contextualSpacing w:val="0"/>
      </w:pPr>
      <w:r>
        <w:t>Freedom of information laws</w:t>
      </w:r>
    </w:p>
    <w:p w14:paraId="65D277EC" w14:textId="3B874D6A" w:rsidR="001D61BF" w:rsidRDefault="001D61BF" w:rsidP="00083C9D">
      <w:pPr>
        <w:pStyle w:val="ListParagraph"/>
        <w:numPr>
          <w:ilvl w:val="1"/>
          <w:numId w:val="8"/>
        </w:numPr>
        <w:spacing w:after="120"/>
        <w:contextualSpacing w:val="0"/>
      </w:pPr>
      <w:r>
        <w:t xml:space="preserve">Information excluded from </w:t>
      </w:r>
      <w:r w:rsidR="00083C9D">
        <w:t xml:space="preserve">the </w:t>
      </w:r>
      <w:r>
        <w:t>definition of public records</w:t>
      </w:r>
    </w:p>
    <w:p w14:paraId="564F818F" w14:textId="33F1C627" w:rsidR="001D61BF" w:rsidRDefault="001D61BF" w:rsidP="00083C9D">
      <w:pPr>
        <w:pStyle w:val="ListParagraph"/>
        <w:numPr>
          <w:ilvl w:val="1"/>
          <w:numId w:val="8"/>
        </w:numPr>
        <w:spacing w:after="120"/>
        <w:contextualSpacing w:val="0"/>
      </w:pPr>
      <w:r>
        <w:t>Permitted exceptions to disclosure</w:t>
      </w:r>
      <w:r w:rsidR="00532398">
        <w:t>:</w:t>
      </w:r>
    </w:p>
    <w:p w14:paraId="432A2936" w14:textId="369FDCEC" w:rsidR="001D61BF" w:rsidRDefault="001D61BF" w:rsidP="00083C9D">
      <w:pPr>
        <w:pStyle w:val="ListParagraph"/>
        <w:numPr>
          <w:ilvl w:val="2"/>
          <w:numId w:val="8"/>
        </w:numPr>
        <w:spacing w:after="120"/>
        <w:contextualSpacing w:val="0"/>
      </w:pPr>
      <w:r>
        <w:t>Information not subject to disclosure under another law</w:t>
      </w:r>
    </w:p>
    <w:p w14:paraId="437BC36D" w14:textId="2CF4FBCA" w:rsidR="001D61BF" w:rsidRDefault="001D61BF" w:rsidP="00083C9D">
      <w:pPr>
        <w:pStyle w:val="ListParagraph"/>
        <w:numPr>
          <w:ilvl w:val="2"/>
          <w:numId w:val="8"/>
        </w:numPr>
        <w:spacing w:after="120"/>
        <w:contextualSpacing w:val="0"/>
      </w:pPr>
      <w:r>
        <w:t>Personal privacy</w:t>
      </w:r>
    </w:p>
    <w:p w14:paraId="7E04F905" w14:textId="4AF6E0F0" w:rsidR="001D61BF" w:rsidRDefault="001D61BF" w:rsidP="00083C9D">
      <w:pPr>
        <w:pStyle w:val="ListParagraph"/>
        <w:numPr>
          <w:ilvl w:val="2"/>
          <w:numId w:val="8"/>
        </w:numPr>
        <w:spacing w:after="120"/>
        <w:contextualSpacing w:val="0"/>
      </w:pPr>
      <w:r>
        <w:t>Investigatory records</w:t>
      </w:r>
    </w:p>
    <w:p w14:paraId="1FD23F83" w14:textId="781181B7" w:rsidR="001D61BF" w:rsidRDefault="001D61BF" w:rsidP="00083C9D">
      <w:pPr>
        <w:pStyle w:val="ListParagraph"/>
        <w:numPr>
          <w:ilvl w:val="2"/>
          <w:numId w:val="8"/>
        </w:numPr>
        <w:spacing w:after="120"/>
        <w:contextualSpacing w:val="0"/>
      </w:pPr>
      <w:r>
        <w:t>Health information or medical records</w:t>
      </w:r>
    </w:p>
    <w:p w14:paraId="5FDB4075" w14:textId="68022587" w:rsidR="001D61BF" w:rsidRDefault="001D61BF" w:rsidP="00083C9D">
      <w:pPr>
        <w:pStyle w:val="ListParagraph"/>
        <w:numPr>
          <w:ilvl w:val="2"/>
          <w:numId w:val="8"/>
        </w:numPr>
        <w:spacing w:after="120"/>
        <w:contextualSpacing w:val="0"/>
      </w:pPr>
      <w:r>
        <w:t>Business information</w:t>
      </w:r>
    </w:p>
    <w:p w14:paraId="7944A75C" w14:textId="6A42E5BA" w:rsidR="001D61BF" w:rsidRDefault="001D61BF" w:rsidP="00083C9D">
      <w:pPr>
        <w:pStyle w:val="ListParagraph"/>
        <w:numPr>
          <w:ilvl w:val="2"/>
          <w:numId w:val="8"/>
        </w:numPr>
        <w:spacing w:after="120"/>
        <w:contextualSpacing w:val="0"/>
      </w:pPr>
      <w:r>
        <w:t>National</w:t>
      </w:r>
      <w:r w:rsidR="0058722E">
        <w:t xml:space="preserve">, </w:t>
      </w:r>
      <w:r>
        <w:t>state</w:t>
      </w:r>
      <w:r w:rsidR="0058722E">
        <w:t>, tribal or territorial</w:t>
      </w:r>
      <w:r>
        <w:t xml:space="preserve"> security</w:t>
      </w:r>
    </w:p>
    <w:p w14:paraId="59D572F9" w14:textId="350800DF" w:rsidR="001D61BF" w:rsidRDefault="001D61BF" w:rsidP="00083C9D">
      <w:pPr>
        <w:pStyle w:val="ListParagraph"/>
        <w:numPr>
          <w:ilvl w:val="2"/>
          <w:numId w:val="8"/>
        </w:numPr>
        <w:spacing w:after="120"/>
        <w:contextualSpacing w:val="0"/>
      </w:pPr>
      <w:r>
        <w:t>Other</w:t>
      </w:r>
    </w:p>
    <w:p w14:paraId="2985D84C" w14:textId="64539141" w:rsidR="001D61BF" w:rsidRDefault="001D61BF" w:rsidP="00083C9D">
      <w:pPr>
        <w:pStyle w:val="ListParagraph"/>
        <w:numPr>
          <w:ilvl w:val="0"/>
          <w:numId w:val="8"/>
        </w:numPr>
      </w:pPr>
      <w:r>
        <w:t>Other laws</w:t>
      </w:r>
    </w:p>
    <w:p w14:paraId="200D0828" w14:textId="2EFEB369" w:rsidR="001D61BF" w:rsidRDefault="001D61BF" w:rsidP="001D61BF"/>
    <w:p w14:paraId="071473FE" w14:textId="77777777" w:rsidR="00242BEA" w:rsidRDefault="00242BEA" w:rsidP="00242BEA">
      <w:pPr>
        <w:jc w:val="center"/>
      </w:pPr>
      <w:r>
        <w:rPr>
          <w:rFonts w:asciiTheme="minorHAnsi" w:eastAsiaTheme="minorHAnsi" w:hAnsiTheme="minorHAnsi" w:cstheme="minorBidi"/>
        </w:rPr>
        <w:t>_____________________________________________________________________________</w:t>
      </w:r>
    </w:p>
    <w:p w14:paraId="7FBE8FC6" w14:textId="77777777" w:rsidR="00AA4368" w:rsidRDefault="00AA4368" w:rsidP="001D61BF"/>
    <w:p w14:paraId="177BFFF1" w14:textId="5F0A912E" w:rsidR="00DA32B6" w:rsidRPr="00FB252B" w:rsidRDefault="00DA32B6" w:rsidP="00BA45C9">
      <w:pPr>
        <w:spacing w:after="120"/>
        <w:rPr>
          <w:b/>
          <w:bCs/>
          <w:sz w:val="24"/>
          <w:szCs w:val="24"/>
        </w:rPr>
      </w:pPr>
      <w:r w:rsidRPr="00FB252B">
        <w:rPr>
          <w:b/>
          <w:bCs/>
          <w:sz w:val="24"/>
          <w:szCs w:val="24"/>
        </w:rPr>
        <w:t>Practice Notes</w:t>
      </w:r>
      <w:r w:rsidRPr="00FB252B">
        <w:rPr>
          <w:rFonts w:asciiTheme="minorHAnsi" w:eastAsia="Times New Roman" w:hAnsiTheme="minorHAnsi" w:cs="Arial"/>
          <w:b/>
          <w:color w:val="3C3030"/>
          <w:sz w:val="24"/>
          <w:szCs w:val="24"/>
        </w:rPr>
        <w:t xml:space="preserve"> – </w:t>
      </w:r>
      <w:r w:rsidR="00BA45C9">
        <w:rPr>
          <w:rFonts w:asciiTheme="minorHAnsi" w:eastAsia="Times New Roman" w:hAnsiTheme="minorHAnsi" w:cs="Arial"/>
          <w:b/>
          <w:color w:val="3C3030"/>
          <w:sz w:val="24"/>
          <w:szCs w:val="24"/>
        </w:rPr>
        <w:t xml:space="preserve">HIPAA </w:t>
      </w:r>
      <w:r w:rsidR="00E24923">
        <w:rPr>
          <w:rFonts w:asciiTheme="minorHAnsi" w:eastAsia="Times New Roman" w:hAnsiTheme="minorHAnsi" w:cs="Arial"/>
          <w:b/>
          <w:color w:val="3C3030"/>
          <w:sz w:val="24"/>
          <w:szCs w:val="24"/>
        </w:rPr>
        <w:t xml:space="preserve">and STLT </w:t>
      </w:r>
      <w:r w:rsidR="00BA45C9">
        <w:rPr>
          <w:rFonts w:asciiTheme="minorHAnsi" w:eastAsia="Times New Roman" w:hAnsiTheme="minorHAnsi" w:cs="Arial"/>
          <w:b/>
          <w:color w:val="3C3030"/>
          <w:sz w:val="24"/>
          <w:szCs w:val="24"/>
        </w:rPr>
        <w:t xml:space="preserve">Privacy </w:t>
      </w:r>
      <w:r w:rsidR="00E24923">
        <w:rPr>
          <w:rFonts w:asciiTheme="minorHAnsi" w:eastAsia="Times New Roman" w:hAnsiTheme="minorHAnsi" w:cs="Arial"/>
          <w:b/>
          <w:color w:val="3C3030"/>
          <w:sz w:val="24"/>
          <w:szCs w:val="24"/>
        </w:rPr>
        <w:t>Issues</w:t>
      </w:r>
    </w:p>
    <w:p w14:paraId="68349BAC" w14:textId="5C497973" w:rsidR="00BA45C9" w:rsidRPr="00BA45C9" w:rsidRDefault="00BA45C9" w:rsidP="00BA45C9">
      <w:pPr>
        <w:numPr>
          <w:ilvl w:val="0"/>
          <w:numId w:val="9"/>
        </w:numPr>
        <w:tabs>
          <w:tab w:val="num" w:pos="360"/>
        </w:tabs>
        <w:spacing w:after="120"/>
        <w:ind w:left="360"/>
        <w:textAlignment w:val="baseline"/>
        <w:rPr>
          <w:rFonts w:eastAsia="Times New Roman" w:cs="Calibri"/>
          <w:color w:val="000000" w:themeColor="text1"/>
          <w:szCs w:val="20"/>
        </w:rPr>
      </w:pPr>
      <w:r w:rsidRPr="00BA45C9">
        <w:rPr>
          <w:rFonts w:eastAsia="Times New Roman" w:cs="Calibri"/>
          <w:color w:val="000000" w:themeColor="text1"/>
          <w:szCs w:val="20"/>
        </w:rPr>
        <w:t xml:space="preserve">Identify the health data needed and if it involves </w:t>
      </w:r>
      <w:r>
        <w:rPr>
          <w:rFonts w:eastAsia="Times New Roman" w:cs="Calibri"/>
          <w:color w:val="000000" w:themeColor="text1"/>
          <w:szCs w:val="20"/>
        </w:rPr>
        <w:t>protected health information.</w:t>
      </w:r>
    </w:p>
    <w:p w14:paraId="45450294" w14:textId="384BF9D6" w:rsidR="00BA45C9" w:rsidRPr="00BA45C9" w:rsidRDefault="00BA45C9" w:rsidP="00BA45C9">
      <w:pPr>
        <w:numPr>
          <w:ilvl w:val="0"/>
          <w:numId w:val="9"/>
        </w:numPr>
        <w:tabs>
          <w:tab w:val="num" w:pos="360"/>
        </w:tabs>
        <w:spacing w:after="120"/>
        <w:ind w:left="360"/>
        <w:textAlignment w:val="baseline"/>
        <w:rPr>
          <w:rFonts w:eastAsia="Times New Roman" w:cs="Calibri"/>
          <w:color w:val="000000" w:themeColor="text1"/>
          <w:szCs w:val="20"/>
        </w:rPr>
      </w:pPr>
      <w:r w:rsidRPr="00BA45C9">
        <w:rPr>
          <w:rFonts w:eastAsia="Times New Roman" w:cs="Calibri"/>
          <w:color w:val="000000" w:themeColor="text1"/>
          <w:szCs w:val="20"/>
        </w:rPr>
        <w:t>Identify sources for the data</w:t>
      </w:r>
      <w:r w:rsidR="00705623">
        <w:rPr>
          <w:rFonts w:eastAsia="Times New Roman" w:cs="Calibri"/>
          <w:color w:val="000000" w:themeColor="text1"/>
          <w:szCs w:val="20"/>
        </w:rPr>
        <w:t>.</w:t>
      </w:r>
    </w:p>
    <w:p w14:paraId="0380D397" w14:textId="55E01D94" w:rsidR="00BA45C9" w:rsidRPr="00BA45C9" w:rsidRDefault="00BA45C9" w:rsidP="00BA45C9">
      <w:pPr>
        <w:numPr>
          <w:ilvl w:val="0"/>
          <w:numId w:val="9"/>
        </w:numPr>
        <w:tabs>
          <w:tab w:val="num" w:pos="360"/>
        </w:tabs>
        <w:spacing w:after="120"/>
        <w:ind w:left="360"/>
        <w:textAlignment w:val="baseline"/>
        <w:rPr>
          <w:rFonts w:eastAsia="Times New Roman" w:cs="Calibri"/>
          <w:color w:val="000000" w:themeColor="text1"/>
          <w:szCs w:val="20"/>
        </w:rPr>
      </w:pPr>
      <w:r w:rsidRPr="00BA45C9">
        <w:rPr>
          <w:rFonts w:eastAsia="Times New Roman" w:cs="Calibri"/>
          <w:color w:val="000000" w:themeColor="text1"/>
          <w:szCs w:val="20"/>
        </w:rPr>
        <w:t xml:space="preserve">Determine if the data is covered by HIPAA or other federal and </w:t>
      </w:r>
      <w:r w:rsidR="00C17BF2">
        <w:rPr>
          <w:rFonts w:eastAsia="Times New Roman" w:cs="Calibri"/>
          <w:color w:val="000000" w:themeColor="text1"/>
          <w:szCs w:val="20"/>
        </w:rPr>
        <w:t>STLT</w:t>
      </w:r>
      <w:r w:rsidRPr="00BA45C9">
        <w:rPr>
          <w:rFonts w:eastAsia="Times New Roman" w:cs="Calibri"/>
          <w:color w:val="000000" w:themeColor="text1"/>
          <w:szCs w:val="20"/>
        </w:rPr>
        <w:t xml:space="preserve"> privacy laws.</w:t>
      </w:r>
    </w:p>
    <w:p w14:paraId="004209F2" w14:textId="11DBAA4F" w:rsidR="00BA45C9" w:rsidRPr="00BA45C9" w:rsidRDefault="00BA45C9" w:rsidP="00BA45C9">
      <w:pPr>
        <w:numPr>
          <w:ilvl w:val="0"/>
          <w:numId w:val="9"/>
        </w:numPr>
        <w:tabs>
          <w:tab w:val="num" w:pos="360"/>
        </w:tabs>
        <w:spacing w:after="120"/>
        <w:ind w:left="360"/>
        <w:textAlignment w:val="baseline"/>
        <w:rPr>
          <w:rFonts w:eastAsia="Times New Roman" w:cs="Calibri"/>
          <w:color w:val="000000" w:themeColor="text1"/>
          <w:szCs w:val="20"/>
        </w:rPr>
      </w:pPr>
      <w:r w:rsidRPr="00BA45C9">
        <w:rPr>
          <w:rFonts w:eastAsia="Times New Roman" w:cs="Calibri"/>
          <w:color w:val="000000" w:themeColor="text1"/>
          <w:szCs w:val="20"/>
        </w:rPr>
        <w:t>If HIPAA or other laws apply, determine if any exception applies.</w:t>
      </w:r>
    </w:p>
    <w:p w14:paraId="00844456" w14:textId="77777777" w:rsidR="00BA45C9" w:rsidRPr="00BA45C9" w:rsidRDefault="00BA45C9" w:rsidP="00827F1D">
      <w:pPr>
        <w:numPr>
          <w:ilvl w:val="1"/>
          <w:numId w:val="9"/>
        </w:numPr>
        <w:tabs>
          <w:tab w:val="clear" w:pos="1440"/>
          <w:tab w:val="num" w:pos="1080"/>
        </w:tabs>
        <w:spacing w:after="120"/>
        <w:ind w:hanging="720"/>
        <w:textAlignment w:val="baseline"/>
        <w:rPr>
          <w:rFonts w:eastAsia="Times New Roman" w:cs="Calibri"/>
          <w:color w:val="000000" w:themeColor="text1"/>
          <w:szCs w:val="20"/>
        </w:rPr>
      </w:pPr>
      <w:r w:rsidRPr="00BA45C9">
        <w:rPr>
          <w:rFonts w:eastAsia="Times New Roman" w:cs="Calibri"/>
          <w:color w:val="000000" w:themeColor="text1"/>
          <w:szCs w:val="20"/>
        </w:rPr>
        <w:t>If not, identify and obtain required consents, or use limited data sets or de-identified data.</w:t>
      </w:r>
    </w:p>
    <w:p w14:paraId="5D59472D" w14:textId="450C75D8" w:rsidR="005475AF" w:rsidRDefault="005475AF" w:rsidP="005475AF"/>
    <w:p w14:paraId="36B296BD" w14:textId="77777777" w:rsidR="00242BEA" w:rsidRDefault="00242BEA" w:rsidP="00242BEA">
      <w:pPr>
        <w:jc w:val="center"/>
      </w:pPr>
      <w:r>
        <w:rPr>
          <w:rFonts w:asciiTheme="minorHAnsi" w:eastAsiaTheme="minorHAnsi" w:hAnsiTheme="minorHAnsi" w:cstheme="minorBidi"/>
        </w:rPr>
        <w:t>_____________________________________________________________________________</w:t>
      </w:r>
    </w:p>
    <w:p w14:paraId="12B2AE08" w14:textId="77777777" w:rsidR="005475AF" w:rsidRDefault="005475AF" w:rsidP="005475AF"/>
    <w:p w14:paraId="2B8113B8" w14:textId="77777777" w:rsidR="005475AF" w:rsidRPr="00FB252B" w:rsidRDefault="005475AF" w:rsidP="00242BEA">
      <w:pPr>
        <w:jc w:val="center"/>
        <w:rPr>
          <w:b/>
          <w:bCs/>
          <w:sz w:val="24"/>
          <w:szCs w:val="24"/>
        </w:rPr>
      </w:pPr>
      <w:r w:rsidRPr="00FB252B">
        <w:rPr>
          <w:b/>
          <w:bCs/>
          <w:sz w:val="24"/>
          <w:szCs w:val="24"/>
        </w:rPr>
        <w:t>Examples and Templates</w:t>
      </w:r>
    </w:p>
    <w:p w14:paraId="11DE3D22" w14:textId="19B46887" w:rsidR="005475AF" w:rsidRDefault="005475AF" w:rsidP="00242BEA">
      <w:bookmarkStart w:id="0" w:name="_Hlk34999048"/>
    </w:p>
    <w:p w14:paraId="388ECE6E" w14:textId="77777777" w:rsidR="00D31CBB" w:rsidRDefault="00D31CBB" w:rsidP="00D31CBB">
      <w:pPr>
        <w:rPr>
          <w:b/>
          <w:bCs/>
          <w:sz w:val="24"/>
          <w:szCs w:val="24"/>
        </w:rPr>
      </w:pPr>
      <w:r w:rsidRPr="00D31CBB">
        <w:rPr>
          <w:b/>
          <w:bCs/>
          <w:sz w:val="24"/>
          <w:szCs w:val="24"/>
        </w:rPr>
        <w:t>Laws and Regulations</w:t>
      </w:r>
    </w:p>
    <w:p w14:paraId="588CECED" w14:textId="77777777" w:rsidR="00D7365D" w:rsidRDefault="00D7365D" w:rsidP="00D31CBB"/>
    <w:p w14:paraId="56BB73C0" w14:textId="4EB03277" w:rsidR="00D31CBB" w:rsidRDefault="00D31CBB" w:rsidP="00D31CBB">
      <w:r w:rsidRPr="00076FC8">
        <w:t>American Health Information Management Association</w:t>
      </w:r>
      <w:r>
        <w:t xml:space="preserve">. </w:t>
      </w:r>
      <w:r w:rsidRPr="00D4230E">
        <w:t>Laws and Regulations Governing the Disclosure of Health Information</w:t>
      </w:r>
      <w:r>
        <w:t>.</w:t>
      </w:r>
      <w:r w:rsidRPr="00D4230E">
        <w:t xml:space="preserve"> 2014</w:t>
      </w:r>
      <w:r>
        <w:t xml:space="preserve">. Available at </w:t>
      </w:r>
      <w:hyperlink r:id="rId7" w:anchor=".XvT6UChKicC" w:history="1">
        <w:r w:rsidRPr="006F2A14">
          <w:rPr>
            <w:rStyle w:val="Hyperlink"/>
          </w:rPr>
          <w:t>http://bok.ahima.org/doc?oid=300245#.XvT6UChKicC</w:t>
        </w:r>
      </w:hyperlink>
      <w:r>
        <w:t>.</w:t>
      </w:r>
    </w:p>
    <w:p w14:paraId="391AC4E8" w14:textId="53BE478A" w:rsidR="00242BEA" w:rsidRDefault="00242BEA" w:rsidP="00242BEA"/>
    <w:p w14:paraId="45CB5A04" w14:textId="44E3AD5F" w:rsidR="00A54316" w:rsidRPr="00523D23" w:rsidRDefault="00523D23" w:rsidP="00242BEA">
      <w:pPr>
        <w:rPr>
          <w:b/>
          <w:bCs/>
          <w:sz w:val="24"/>
          <w:szCs w:val="24"/>
        </w:rPr>
      </w:pPr>
      <w:r w:rsidRPr="00523D23">
        <w:rPr>
          <w:b/>
          <w:bCs/>
          <w:sz w:val="24"/>
          <w:szCs w:val="24"/>
        </w:rPr>
        <w:t>Drafting Data Sharing Agreements</w:t>
      </w:r>
    </w:p>
    <w:p w14:paraId="48C7C3EF" w14:textId="77777777" w:rsidR="00D7365D" w:rsidRDefault="00D7365D" w:rsidP="00523D23">
      <w:pPr>
        <w:rPr>
          <w:rFonts w:asciiTheme="minorHAnsi" w:hAnsiTheme="minorHAnsi" w:cstheme="minorHAnsi"/>
        </w:rPr>
      </w:pPr>
    </w:p>
    <w:p w14:paraId="25F32B21" w14:textId="554164E0" w:rsidR="00523D23" w:rsidRDefault="00523D23" w:rsidP="00523D23">
      <w:pPr>
        <w:rPr>
          <w:rFonts w:asciiTheme="minorHAnsi" w:hAnsiTheme="minorHAnsi" w:cstheme="minorHAnsi"/>
        </w:rPr>
      </w:pPr>
      <w:r w:rsidRPr="00DD2836">
        <w:rPr>
          <w:rFonts w:asciiTheme="minorHAnsi" w:hAnsiTheme="minorHAnsi" w:cstheme="minorHAnsi"/>
        </w:rPr>
        <w:t>Matthew Penn and Rachel Hulkower. "How to Draft Successful Memorandums of Understanding and Data-Sharing Agreements."</w:t>
      </w:r>
      <w:r>
        <w:rPr>
          <w:rFonts w:asciiTheme="minorHAnsi" w:hAnsiTheme="minorHAnsi" w:cstheme="minorHAnsi"/>
        </w:rPr>
        <w:t xml:space="preserve"> Available at </w:t>
      </w:r>
      <w:hyperlink r:id="rId8" w:history="1">
        <w:r w:rsidRPr="00523D23">
          <w:rPr>
            <w:rStyle w:val="Hyperlink"/>
            <w:rFonts w:asciiTheme="minorHAnsi" w:hAnsiTheme="minorHAnsi" w:cstheme="minorHAnsi"/>
          </w:rPr>
          <w:t>https://www.practicalplaybook.org/page/how-draft-successful-memorandums-understanding-and-data-sharing-agreements</w:t>
        </w:r>
      </w:hyperlink>
      <w:r>
        <w:rPr>
          <w:rFonts w:asciiTheme="minorHAnsi" w:hAnsiTheme="minorHAnsi" w:cstheme="minorHAnsi"/>
        </w:rPr>
        <w:t>. Adapted from Chapter 22,</w:t>
      </w:r>
      <w:r w:rsidRPr="00DD2836">
        <w:rPr>
          <w:rFonts w:asciiTheme="minorHAnsi" w:hAnsiTheme="minorHAnsi" w:cstheme="minorHAnsi"/>
        </w:rPr>
        <w:t> </w:t>
      </w:r>
      <w:hyperlink r:id="rId9" w:tgtFrame="_blank" w:history="1">
        <w:r w:rsidRPr="00DD2836">
          <w:rPr>
            <w:rStyle w:val="Hyperlink"/>
            <w:rFonts w:asciiTheme="minorHAnsi" w:hAnsiTheme="minorHAnsi" w:cstheme="minorHAnsi"/>
          </w:rPr>
          <w:t>The Practical Playbook II: Building Multisector Partnerships That Work</w:t>
        </w:r>
      </w:hyperlink>
      <w:r w:rsidRPr="00DD2836">
        <w:rPr>
          <w:rFonts w:asciiTheme="minorHAnsi" w:hAnsiTheme="minorHAnsi" w:cstheme="minorHAnsi"/>
        </w:rPr>
        <w:t xml:space="preserve">, edited by J. Lloyd Michener, Brian C. Castrucci, </w:t>
      </w:r>
      <w:r w:rsidRPr="00DD2836">
        <w:rPr>
          <w:rFonts w:asciiTheme="minorHAnsi" w:hAnsiTheme="minorHAnsi" w:cstheme="minorHAnsi"/>
        </w:rPr>
        <w:lastRenderedPageBreak/>
        <w:t>Don W. Bradley, Edward L. Hunter, Craig W. Thomas, Catherine Patterson, and Elizabeth Corcoran, 191-204. New York: Oxford University Press, 2019.</w:t>
      </w:r>
    </w:p>
    <w:p w14:paraId="2CA07D72" w14:textId="32B48A82" w:rsidR="00696837" w:rsidRDefault="00696837" w:rsidP="00523D23">
      <w:pPr>
        <w:rPr>
          <w:rFonts w:asciiTheme="minorHAnsi" w:hAnsiTheme="minorHAnsi" w:cstheme="minorHAnsi"/>
        </w:rPr>
      </w:pPr>
    </w:p>
    <w:p w14:paraId="5332592B" w14:textId="77777777" w:rsidR="00D7365D" w:rsidRDefault="00D7365D" w:rsidP="00523D23">
      <w:pPr>
        <w:rPr>
          <w:rFonts w:asciiTheme="minorHAnsi" w:hAnsiTheme="minorHAnsi" w:cstheme="minorHAnsi"/>
        </w:rPr>
      </w:pPr>
    </w:p>
    <w:p w14:paraId="0D12BC58" w14:textId="134CF822" w:rsidR="00A514C9" w:rsidRPr="00A514C9" w:rsidRDefault="00A514C9" w:rsidP="00523D23">
      <w:pPr>
        <w:rPr>
          <w:rFonts w:asciiTheme="minorHAnsi" w:hAnsiTheme="minorHAnsi" w:cstheme="minorHAnsi"/>
          <w:b/>
          <w:bCs/>
          <w:sz w:val="24"/>
          <w:szCs w:val="24"/>
        </w:rPr>
      </w:pPr>
      <w:r w:rsidRPr="00A514C9">
        <w:rPr>
          <w:rFonts w:asciiTheme="minorHAnsi" w:hAnsiTheme="minorHAnsi" w:cstheme="minorHAnsi"/>
          <w:b/>
          <w:bCs/>
          <w:sz w:val="24"/>
          <w:szCs w:val="24"/>
        </w:rPr>
        <w:t>Information Disclosure</w:t>
      </w:r>
    </w:p>
    <w:p w14:paraId="12BBEE43" w14:textId="77777777" w:rsidR="00D7365D" w:rsidRDefault="00D7365D" w:rsidP="00523D23">
      <w:pPr>
        <w:rPr>
          <w:rFonts w:asciiTheme="minorHAnsi" w:hAnsiTheme="minorHAnsi" w:cstheme="minorHAnsi"/>
        </w:rPr>
      </w:pPr>
    </w:p>
    <w:p w14:paraId="2D2944E7" w14:textId="52228E5A" w:rsidR="00696837" w:rsidRDefault="00696837" w:rsidP="00523D23">
      <w:pPr>
        <w:rPr>
          <w:rFonts w:asciiTheme="minorHAnsi" w:hAnsiTheme="minorHAnsi" w:cstheme="minorHAnsi"/>
        </w:rPr>
      </w:pPr>
      <w:r>
        <w:rPr>
          <w:rFonts w:asciiTheme="minorHAnsi" w:hAnsiTheme="minorHAnsi" w:cstheme="minorHAnsi"/>
        </w:rPr>
        <w:t>HHS. H</w:t>
      </w:r>
      <w:r w:rsidRPr="00696837">
        <w:rPr>
          <w:rFonts w:asciiTheme="minorHAnsi" w:hAnsiTheme="minorHAnsi" w:cstheme="minorHAnsi"/>
        </w:rPr>
        <w:t>IPAA Privacy Rule: Disclosures for Emergency Preparedness - A Decision Tool</w:t>
      </w:r>
      <w:r>
        <w:rPr>
          <w:rFonts w:asciiTheme="minorHAnsi" w:hAnsiTheme="minorHAnsi" w:cstheme="minorHAnsi"/>
        </w:rPr>
        <w:t xml:space="preserve">. </w:t>
      </w:r>
      <w:r w:rsidR="003C6E99" w:rsidRPr="003C6E99">
        <w:rPr>
          <w:rFonts w:asciiTheme="minorHAnsi" w:hAnsiTheme="minorHAnsi" w:cstheme="minorHAnsi"/>
        </w:rPr>
        <w:t>2017</w:t>
      </w:r>
      <w:r w:rsidR="003C6E99">
        <w:rPr>
          <w:rFonts w:asciiTheme="minorHAnsi" w:hAnsiTheme="minorHAnsi" w:cstheme="minorHAnsi"/>
        </w:rPr>
        <w:t xml:space="preserve">. Available at </w:t>
      </w:r>
      <w:hyperlink r:id="rId10" w:history="1">
        <w:r w:rsidR="003C6E99" w:rsidRPr="003C6E99">
          <w:rPr>
            <w:rStyle w:val="Hyperlink"/>
            <w:rFonts w:asciiTheme="minorHAnsi" w:hAnsiTheme="minorHAnsi" w:cstheme="minorHAnsi"/>
          </w:rPr>
          <w:t>https://www.hhs.gov/hipaa/for-professionals/special-topics/emergency-preparedness/decision-tool-overview/index.html</w:t>
        </w:r>
      </w:hyperlink>
      <w:r w:rsidR="003C6E99">
        <w:rPr>
          <w:rFonts w:asciiTheme="minorHAnsi" w:hAnsiTheme="minorHAnsi" w:cstheme="minorHAnsi"/>
        </w:rPr>
        <w:t>.</w:t>
      </w:r>
      <w:r w:rsidR="00305FCB">
        <w:rPr>
          <w:rFonts w:asciiTheme="minorHAnsi" w:hAnsiTheme="minorHAnsi" w:cstheme="minorHAnsi"/>
        </w:rPr>
        <w:t xml:space="preserve"> </w:t>
      </w:r>
    </w:p>
    <w:p w14:paraId="17637C17" w14:textId="77777777" w:rsidR="00D4230E" w:rsidRDefault="00D4230E" w:rsidP="00242BEA"/>
    <w:p w14:paraId="10FC6386" w14:textId="77777777" w:rsidR="00242BEA" w:rsidRDefault="00242BEA" w:rsidP="00242BEA">
      <w:pPr>
        <w:jc w:val="center"/>
      </w:pPr>
      <w:r>
        <w:rPr>
          <w:rFonts w:asciiTheme="minorHAnsi" w:eastAsiaTheme="minorHAnsi" w:hAnsiTheme="minorHAnsi" w:cstheme="minorBidi"/>
        </w:rPr>
        <w:t>_____________________________________________________________________________</w:t>
      </w:r>
    </w:p>
    <w:p w14:paraId="02545B22" w14:textId="3D82C79F" w:rsidR="00242BEA" w:rsidRDefault="00242BEA" w:rsidP="00242BEA"/>
    <w:bookmarkEnd w:id="0"/>
    <w:p w14:paraId="5E1BD576" w14:textId="2EC80BA7" w:rsidR="00242BEA" w:rsidRPr="00FB252B" w:rsidRDefault="0014429E" w:rsidP="00242BEA">
      <w:pPr>
        <w:jc w:val="center"/>
        <w:rPr>
          <w:b/>
          <w:bCs/>
          <w:sz w:val="24"/>
          <w:szCs w:val="24"/>
        </w:rPr>
      </w:pPr>
      <w:r>
        <w:rPr>
          <w:b/>
          <w:bCs/>
          <w:sz w:val="24"/>
          <w:szCs w:val="24"/>
        </w:rPr>
        <w:t>Resources</w:t>
      </w:r>
    </w:p>
    <w:p w14:paraId="15DBF92D" w14:textId="4F1DB88C" w:rsidR="005475AF" w:rsidRDefault="005475AF" w:rsidP="005475AF">
      <w:pPr>
        <w:rPr>
          <w:rFonts w:asciiTheme="minorHAnsi" w:hAnsiTheme="minorHAnsi" w:cstheme="minorHAnsi"/>
        </w:rPr>
      </w:pPr>
    </w:p>
    <w:p w14:paraId="423DAECC" w14:textId="77777777" w:rsidR="00C17EC3" w:rsidRDefault="00C17EC3" w:rsidP="005475AF">
      <w:pPr>
        <w:rPr>
          <w:rFonts w:asciiTheme="minorHAnsi" w:hAnsiTheme="minorHAnsi" w:cstheme="minorHAnsi"/>
        </w:rPr>
      </w:pPr>
    </w:p>
    <w:p w14:paraId="34B76DE7" w14:textId="1F075B4C" w:rsidR="0014429E" w:rsidRPr="004F570E" w:rsidRDefault="004F570E" w:rsidP="005475AF">
      <w:pPr>
        <w:rPr>
          <w:rFonts w:asciiTheme="minorHAnsi" w:hAnsiTheme="minorHAnsi" w:cstheme="minorHAnsi"/>
          <w:b/>
          <w:bCs/>
          <w:sz w:val="24"/>
          <w:szCs w:val="24"/>
        </w:rPr>
      </w:pPr>
      <w:r w:rsidRPr="004F570E">
        <w:rPr>
          <w:rFonts w:asciiTheme="minorHAnsi" w:hAnsiTheme="minorHAnsi" w:cstheme="minorHAnsi"/>
          <w:b/>
          <w:bCs/>
          <w:sz w:val="24"/>
          <w:szCs w:val="24"/>
        </w:rPr>
        <w:t>Collection</w:t>
      </w:r>
      <w:r w:rsidR="001F69FC">
        <w:rPr>
          <w:rFonts w:asciiTheme="minorHAnsi" w:hAnsiTheme="minorHAnsi" w:cstheme="minorHAnsi"/>
          <w:b/>
          <w:bCs/>
          <w:sz w:val="24"/>
          <w:szCs w:val="24"/>
        </w:rPr>
        <w:t xml:space="preserve">, </w:t>
      </w:r>
      <w:r w:rsidRPr="004F570E">
        <w:rPr>
          <w:rFonts w:asciiTheme="minorHAnsi" w:hAnsiTheme="minorHAnsi" w:cstheme="minorHAnsi"/>
          <w:b/>
          <w:bCs/>
          <w:sz w:val="24"/>
          <w:szCs w:val="24"/>
        </w:rPr>
        <w:t>Use</w:t>
      </w:r>
      <w:r w:rsidR="001F69FC">
        <w:rPr>
          <w:rFonts w:asciiTheme="minorHAnsi" w:hAnsiTheme="minorHAnsi" w:cstheme="minorHAnsi"/>
          <w:b/>
          <w:bCs/>
          <w:sz w:val="24"/>
          <w:szCs w:val="24"/>
        </w:rPr>
        <w:t xml:space="preserve">, and Sharing </w:t>
      </w:r>
      <w:r w:rsidRPr="004F570E">
        <w:rPr>
          <w:rFonts w:asciiTheme="minorHAnsi" w:hAnsiTheme="minorHAnsi" w:cstheme="minorHAnsi"/>
          <w:b/>
          <w:bCs/>
          <w:sz w:val="24"/>
          <w:szCs w:val="24"/>
        </w:rPr>
        <w:t>Information</w:t>
      </w:r>
    </w:p>
    <w:p w14:paraId="1F0B9DE5" w14:textId="77777777" w:rsidR="004F570E" w:rsidRDefault="004F570E" w:rsidP="005475AF">
      <w:pPr>
        <w:rPr>
          <w:rFonts w:asciiTheme="minorHAnsi" w:hAnsiTheme="minorHAnsi" w:cstheme="minorHAnsi"/>
        </w:rPr>
      </w:pPr>
    </w:p>
    <w:p w14:paraId="15A318CA" w14:textId="17441B33" w:rsidR="00FF7600" w:rsidRDefault="00FF7600" w:rsidP="00E94DCD">
      <w:pPr>
        <w:rPr>
          <w:rFonts w:asciiTheme="minorHAnsi" w:hAnsiTheme="minorHAnsi" w:cstheme="minorHAnsi"/>
        </w:rPr>
      </w:pPr>
      <w:r w:rsidRPr="00FF7600">
        <w:rPr>
          <w:rFonts w:asciiTheme="minorHAnsi" w:hAnsiTheme="minorHAnsi" w:cstheme="minorHAnsi"/>
        </w:rPr>
        <w:t>Network for Public Health Law and Data Across Sectors for Health</w:t>
      </w:r>
      <w:r>
        <w:rPr>
          <w:rFonts w:asciiTheme="minorHAnsi" w:hAnsiTheme="minorHAnsi" w:cstheme="minorHAnsi"/>
        </w:rPr>
        <w:t xml:space="preserve">. </w:t>
      </w:r>
      <w:r w:rsidR="00602397" w:rsidRPr="00602397">
        <w:rPr>
          <w:rFonts w:asciiTheme="minorHAnsi" w:hAnsiTheme="minorHAnsi" w:cstheme="minorHAnsi"/>
        </w:rPr>
        <w:t>The Legal Bibliography</w:t>
      </w:r>
      <w:r w:rsidR="00602397">
        <w:rPr>
          <w:rFonts w:asciiTheme="minorHAnsi" w:hAnsiTheme="minorHAnsi" w:cstheme="minorHAnsi"/>
        </w:rPr>
        <w:t xml:space="preserve">. Available at </w:t>
      </w:r>
      <w:hyperlink r:id="rId11" w:history="1">
        <w:r w:rsidR="008241FC" w:rsidRPr="008241FC">
          <w:rPr>
            <w:rStyle w:val="Hyperlink"/>
            <w:rFonts w:asciiTheme="minorHAnsi" w:hAnsiTheme="minorHAnsi" w:cstheme="minorHAnsi"/>
          </w:rPr>
          <w:t>http://legalbib.communitycommons.org/</w:t>
        </w:r>
      </w:hyperlink>
      <w:r w:rsidR="008241FC">
        <w:rPr>
          <w:rFonts w:asciiTheme="minorHAnsi" w:hAnsiTheme="minorHAnsi" w:cstheme="minorHAnsi"/>
        </w:rPr>
        <w:t>.</w:t>
      </w:r>
    </w:p>
    <w:p w14:paraId="2A680230" w14:textId="77777777" w:rsidR="00FF7600" w:rsidRDefault="00FF7600" w:rsidP="00E94DCD">
      <w:pPr>
        <w:rPr>
          <w:rFonts w:asciiTheme="minorHAnsi" w:hAnsiTheme="minorHAnsi" w:cstheme="minorHAnsi"/>
        </w:rPr>
      </w:pPr>
    </w:p>
    <w:p w14:paraId="7E1F4FA7" w14:textId="77777777" w:rsidR="001F69FC" w:rsidRDefault="001F69FC" w:rsidP="001F69FC">
      <w:pPr>
        <w:rPr>
          <w:rFonts w:asciiTheme="minorHAnsi" w:hAnsiTheme="minorHAnsi" w:cstheme="minorHAnsi"/>
        </w:rPr>
      </w:pPr>
      <w:r w:rsidRPr="009D5E3E">
        <w:rPr>
          <w:rFonts w:cstheme="minorHAnsi"/>
        </w:rPr>
        <w:t xml:space="preserve">Reporters Committee for Freedom of the Press. Open Government Guide. Retrieved from </w:t>
      </w:r>
      <w:hyperlink r:id="rId12" w:history="1">
        <w:r w:rsidRPr="009D5E3E">
          <w:rPr>
            <w:rStyle w:val="Hyperlink"/>
            <w:rFonts w:cstheme="minorHAnsi"/>
          </w:rPr>
          <w:t>http://www.rcfp.org/open-government-guide</w:t>
        </w:r>
      </w:hyperlink>
      <w:r w:rsidRPr="009D5E3E">
        <w:rPr>
          <w:rFonts w:cstheme="minorHAnsi"/>
        </w:rPr>
        <w:t>.</w:t>
      </w:r>
    </w:p>
    <w:p w14:paraId="3D2CE378" w14:textId="77777777" w:rsidR="001F69FC" w:rsidRDefault="001F69FC" w:rsidP="00E94DCD">
      <w:pPr>
        <w:rPr>
          <w:rFonts w:asciiTheme="minorHAnsi" w:hAnsiTheme="minorHAnsi" w:cstheme="minorHAnsi"/>
        </w:rPr>
      </w:pPr>
    </w:p>
    <w:p w14:paraId="780FC83D" w14:textId="4650C868" w:rsidR="00C92181" w:rsidRPr="00C92181" w:rsidRDefault="00C92181" w:rsidP="00E94DCD">
      <w:pPr>
        <w:rPr>
          <w:rFonts w:asciiTheme="minorHAnsi" w:hAnsiTheme="minorHAnsi" w:cstheme="minorHAnsi"/>
        </w:rPr>
      </w:pPr>
      <w:r w:rsidRPr="00C92181">
        <w:rPr>
          <w:rFonts w:asciiTheme="minorHAnsi" w:hAnsiTheme="minorHAnsi" w:cstheme="minorHAnsi"/>
        </w:rPr>
        <w:t xml:space="preserve">CSTE. Legal Issues Concerning Identifiable Health Data Sharing Between State/Local Public Health Authorities and Tribal Epidemiology Centers in Selected U.S. Jurisdictions. Original Draft March 30, 2009; Revised as of November 8, 2011. </w:t>
      </w:r>
      <w:r w:rsidR="00446911">
        <w:rPr>
          <w:rFonts w:asciiTheme="minorHAnsi" w:hAnsiTheme="minorHAnsi" w:cstheme="minorHAnsi"/>
        </w:rPr>
        <w:t xml:space="preserve">Available at </w:t>
      </w:r>
      <w:r w:rsidRPr="00C92181">
        <w:rPr>
          <w:rFonts w:asciiTheme="minorHAnsi" w:hAnsiTheme="minorHAnsi" w:cstheme="minorHAnsi"/>
        </w:rPr>
        <w:t xml:space="preserve"> </w:t>
      </w:r>
      <w:hyperlink r:id="rId13" w:history="1">
        <w:r w:rsidRPr="00C92181">
          <w:rPr>
            <w:rStyle w:val="Hyperlink"/>
            <w:rFonts w:asciiTheme="minorHAnsi" w:hAnsiTheme="minorHAnsi" w:cstheme="minorHAnsi"/>
          </w:rPr>
          <w:t>https://cdn.ymaws.com/www.cste.org/resource/resmgr/PDFs/LegalIssuesTribalJuris.pdf</w:t>
        </w:r>
      </w:hyperlink>
      <w:r w:rsidRPr="00C92181">
        <w:rPr>
          <w:rFonts w:asciiTheme="minorHAnsi" w:hAnsiTheme="minorHAnsi" w:cstheme="minorHAnsi"/>
        </w:rPr>
        <w:t>.</w:t>
      </w:r>
    </w:p>
    <w:p w14:paraId="5CACB300" w14:textId="77777777" w:rsidR="00C92181" w:rsidRPr="00C92181" w:rsidRDefault="00C92181" w:rsidP="00E94DCD">
      <w:pPr>
        <w:rPr>
          <w:rFonts w:asciiTheme="minorHAnsi" w:hAnsiTheme="minorHAnsi" w:cstheme="minorHAnsi"/>
        </w:rPr>
      </w:pPr>
    </w:p>
    <w:p w14:paraId="72268E7A" w14:textId="77777777" w:rsidR="003A4446" w:rsidRPr="008E5D06" w:rsidRDefault="003A4446" w:rsidP="003A4446">
      <w:pPr>
        <w:rPr>
          <w:rFonts w:asciiTheme="minorHAnsi" w:hAnsiTheme="minorHAnsi" w:cstheme="minorHAnsi"/>
        </w:rPr>
      </w:pPr>
      <w:r>
        <w:rPr>
          <w:rFonts w:asciiTheme="minorHAnsi" w:hAnsiTheme="minorHAnsi" w:cstheme="minorHAnsi"/>
        </w:rPr>
        <w:t xml:space="preserve">Partnership for Public Health Law. </w:t>
      </w:r>
      <w:r w:rsidRPr="003443B2">
        <w:rPr>
          <w:rFonts w:asciiTheme="minorHAnsi" w:hAnsiTheme="minorHAnsi" w:cstheme="minorHAnsi"/>
        </w:rPr>
        <w:t>Legal Issues Related to Sharing of Clinical Health Data with Public</w:t>
      </w:r>
      <w:r>
        <w:rPr>
          <w:rFonts w:asciiTheme="minorHAnsi" w:hAnsiTheme="minorHAnsi" w:cstheme="minorHAnsi"/>
        </w:rPr>
        <w:t xml:space="preserve"> </w:t>
      </w:r>
      <w:r w:rsidRPr="003443B2">
        <w:rPr>
          <w:rFonts w:asciiTheme="minorHAnsi" w:hAnsiTheme="minorHAnsi" w:cstheme="minorHAnsi"/>
        </w:rPr>
        <w:t>Health Agencies</w:t>
      </w:r>
      <w:r>
        <w:rPr>
          <w:rFonts w:asciiTheme="minorHAnsi" w:hAnsiTheme="minorHAnsi" w:cstheme="minorHAnsi"/>
        </w:rPr>
        <w:t xml:space="preserve">. </w:t>
      </w:r>
      <w:r w:rsidRPr="003443B2">
        <w:rPr>
          <w:rFonts w:asciiTheme="minorHAnsi" w:hAnsiTheme="minorHAnsi" w:cstheme="minorHAnsi"/>
        </w:rPr>
        <w:t>April 2016</w:t>
      </w:r>
      <w:r>
        <w:rPr>
          <w:rFonts w:asciiTheme="minorHAnsi" w:hAnsiTheme="minorHAnsi" w:cstheme="minorHAnsi"/>
        </w:rPr>
        <w:t xml:space="preserve">. Available at </w:t>
      </w:r>
      <w:hyperlink r:id="rId14" w:history="1">
        <w:r w:rsidRPr="00922F9C">
          <w:rPr>
            <w:rStyle w:val="Hyperlink"/>
            <w:rFonts w:asciiTheme="minorHAnsi" w:hAnsiTheme="minorHAnsi" w:cstheme="minorHAnsi"/>
          </w:rPr>
          <w:t>https://www.astho.org/Public-Policy/Public-Health-Law/Legal-Issues-Related-to-sharing-Clinical-Health-Data-with-Public-Health-Agencies/</w:t>
        </w:r>
      </w:hyperlink>
      <w:r>
        <w:rPr>
          <w:rFonts w:asciiTheme="minorHAnsi" w:hAnsiTheme="minorHAnsi" w:cstheme="minorHAnsi"/>
        </w:rPr>
        <w:t>.</w:t>
      </w:r>
      <w:r w:rsidRPr="003443B2">
        <w:rPr>
          <w:rFonts w:asciiTheme="minorHAnsi" w:hAnsiTheme="minorHAnsi" w:cstheme="minorHAnsi"/>
        </w:rPr>
        <w:cr/>
      </w:r>
    </w:p>
    <w:p w14:paraId="27D049A6" w14:textId="36718812" w:rsidR="00C92181" w:rsidRPr="00C92181" w:rsidRDefault="00880E34" w:rsidP="00E94DCD">
      <w:pPr>
        <w:rPr>
          <w:rFonts w:asciiTheme="minorHAnsi" w:hAnsiTheme="minorHAnsi" w:cstheme="minorHAnsi"/>
        </w:rPr>
      </w:pPr>
      <w:r w:rsidRPr="00880E34">
        <w:rPr>
          <w:rFonts w:asciiTheme="minorHAnsi" w:hAnsiTheme="minorHAnsi" w:cstheme="minorHAnsi"/>
        </w:rPr>
        <w:t xml:space="preserve">Association of Health Care Journalists, Association of State and Territorial Health Officials, and National Association of County and City Health Officials. Guidance on the Release of Information Concerning Deaths, Epidemics or Emerging Diseases. October 2010.  </w:t>
      </w:r>
      <w:r w:rsidR="00446911">
        <w:rPr>
          <w:rFonts w:asciiTheme="minorHAnsi" w:hAnsiTheme="minorHAnsi" w:cstheme="minorHAnsi"/>
        </w:rPr>
        <w:t xml:space="preserve">Available at </w:t>
      </w:r>
      <w:hyperlink r:id="rId15" w:history="1">
        <w:r w:rsidRPr="00880E34">
          <w:rPr>
            <w:rStyle w:val="Hyperlink"/>
            <w:rFonts w:asciiTheme="minorHAnsi" w:hAnsiTheme="minorHAnsi" w:cstheme="minorHAnsi"/>
          </w:rPr>
          <w:t>http://healthjournalism.org/secondarypage-details.php?id=965</w:t>
        </w:r>
      </w:hyperlink>
      <w:r w:rsidR="00446911">
        <w:rPr>
          <w:rFonts w:asciiTheme="minorHAnsi" w:hAnsiTheme="minorHAnsi" w:cstheme="minorHAnsi"/>
        </w:rPr>
        <w:t>.</w:t>
      </w:r>
    </w:p>
    <w:p w14:paraId="1021E801" w14:textId="77777777" w:rsidR="00C92181" w:rsidRPr="00C92181" w:rsidRDefault="00C92181" w:rsidP="00E94DCD">
      <w:pPr>
        <w:rPr>
          <w:rFonts w:asciiTheme="minorHAnsi" w:hAnsiTheme="minorHAnsi" w:cstheme="minorHAnsi"/>
        </w:rPr>
      </w:pPr>
    </w:p>
    <w:p w14:paraId="24EAE0DD" w14:textId="4C012297" w:rsidR="009C479E" w:rsidRDefault="009C479E" w:rsidP="00E94DCD">
      <w:pPr>
        <w:rPr>
          <w:rFonts w:asciiTheme="minorHAnsi" w:hAnsiTheme="minorHAnsi" w:cstheme="minorHAnsi"/>
        </w:rPr>
      </w:pPr>
    </w:p>
    <w:p w14:paraId="4EE07202" w14:textId="243A90E7" w:rsidR="009C479E" w:rsidRPr="003A4446" w:rsidRDefault="003A4446" w:rsidP="00E94DCD">
      <w:pPr>
        <w:rPr>
          <w:rFonts w:asciiTheme="minorHAnsi" w:hAnsiTheme="minorHAnsi" w:cstheme="minorHAnsi"/>
          <w:b/>
          <w:bCs/>
          <w:sz w:val="24"/>
          <w:szCs w:val="24"/>
        </w:rPr>
      </w:pPr>
      <w:r w:rsidRPr="003A4446">
        <w:rPr>
          <w:rFonts w:asciiTheme="minorHAnsi" w:hAnsiTheme="minorHAnsi" w:cstheme="minorHAnsi"/>
          <w:b/>
          <w:bCs/>
          <w:sz w:val="24"/>
          <w:szCs w:val="24"/>
        </w:rPr>
        <w:t xml:space="preserve">HIPAA </w:t>
      </w:r>
      <w:r>
        <w:rPr>
          <w:rFonts w:asciiTheme="minorHAnsi" w:hAnsiTheme="minorHAnsi" w:cstheme="minorHAnsi"/>
          <w:b/>
          <w:bCs/>
          <w:sz w:val="24"/>
          <w:szCs w:val="24"/>
        </w:rPr>
        <w:t xml:space="preserve">and HIPAA </w:t>
      </w:r>
      <w:r w:rsidRPr="003A4446">
        <w:rPr>
          <w:rFonts w:asciiTheme="minorHAnsi" w:hAnsiTheme="minorHAnsi" w:cstheme="minorHAnsi"/>
          <w:b/>
          <w:bCs/>
          <w:sz w:val="24"/>
          <w:szCs w:val="24"/>
        </w:rPr>
        <w:t xml:space="preserve">Privacy Rule </w:t>
      </w:r>
    </w:p>
    <w:p w14:paraId="4901E15B" w14:textId="77777777" w:rsidR="00C17EC3" w:rsidRDefault="00C17EC3" w:rsidP="003A4446">
      <w:pPr>
        <w:rPr>
          <w:rFonts w:asciiTheme="minorHAnsi" w:hAnsiTheme="minorHAnsi" w:cstheme="minorHAnsi"/>
        </w:rPr>
      </w:pPr>
    </w:p>
    <w:p w14:paraId="71CD507C" w14:textId="53679D14" w:rsidR="003A4446" w:rsidRDefault="003A4446" w:rsidP="003A4446">
      <w:r>
        <w:rPr>
          <w:rFonts w:asciiTheme="minorHAnsi" w:hAnsiTheme="minorHAnsi" w:cstheme="minorHAnsi"/>
        </w:rPr>
        <w:t xml:space="preserve">HHS ASPR TRACIE. </w:t>
      </w:r>
      <w:r w:rsidRPr="000F4B2A">
        <w:rPr>
          <w:rFonts w:asciiTheme="minorHAnsi" w:hAnsiTheme="minorHAnsi" w:cstheme="minorHAnsi"/>
        </w:rPr>
        <w:t>HIPAA and Disasters: What Emergency Professionals Need to Know</w:t>
      </w:r>
      <w:r>
        <w:rPr>
          <w:rFonts w:asciiTheme="minorHAnsi" w:hAnsiTheme="minorHAnsi" w:cstheme="minorHAnsi"/>
        </w:rPr>
        <w:t xml:space="preserve">. </w:t>
      </w:r>
      <w:r>
        <w:t xml:space="preserve">September 11, 2017. Available at </w:t>
      </w:r>
      <w:hyperlink r:id="rId16" w:history="1">
        <w:r>
          <w:rPr>
            <w:rStyle w:val="Hyperlink"/>
          </w:rPr>
          <w:t>https://files.asprtracie.hhs.gov/documents/aspr-tracie-hipaa-emergency-fact-sheet.pdf</w:t>
        </w:r>
      </w:hyperlink>
      <w:r>
        <w:t>.</w:t>
      </w:r>
    </w:p>
    <w:p w14:paraId="108D2D6D" w14:textId="77777777" w:rsidR="00B14802" w:rsidRDefault="00B14802" w:rsidP="00E94DCD">
      <w:pPr>
        <w:rPr>
          <w:rFonts w:asciiTheme="minorHAnsi" w:hAnsiTheme="minorHAnsi" w:cstheme="minorHAnsi"/>
          <w:b/>
          <w:bCs/>
        </w:rPr>
      </w:pPr>
    </w:p>
    <w:p w14:paraId="0A8ECC19" w14:textId="19429EE4" w:rsidR="003A4446" w:rsidRDefault="003A4446" w:rsidP="003A4446">
      <w:pPr>
        <w:rPr>
          <w:rFonts w:asciiTheme="minorHAnsi" w:hAnsiTheme="minorHAnsi" w:cstheme="minorHAnsi"/>
        </w:rPr>
      </w:pPr>
      <w:r w:rsidRPr="00F1627B">
        <w:rPr>
          <w:rFonts w:asciiTheme="minorHAnsi" w:hAnsiTheme="minorHAnsi" w:cstheme="minorHAnsi"/>
        </w:rPr>
        <w:t xml:space="preserve">Association of State and Territorial Health Officers (ASTHO). Information Management for State Health Officials the Impact of the HIPAA Privacy Rule on Syndromic Surveillance. 2004. </w:t>
      </w:r>
      <w:r w:rsidR="00C17EC3">
        <w:rPr>
          <w:rFonts w:asciiTheme="minorHAnsi" w:hAnsiTheme="minorHAnsi" w:cstheme="minorHAnsi"/>
        </w:rPr>
        <w:t xml:space="preserve">Available at </w:t>
      </w:r>
      <w:hyperlink r:id="rId17" w:history="1">
        <w:r w:rsidRPr="00F1627B">
          <w:rPr>
            <w:rStyle w:val="Hyperlink"/>
            <w:rFonts w:asciiTheme="minorHAnsi" w:hAnsiTheme="minorHAnsi" w:cstheme="minorHAnsi"/>
          </w:rPr>
          <w:t>https://biotech.law.lsu.edu/cdc/astho/29724_ASTHO.pdf</w:t>
        </w:r>
      </w:hyperlink>
      <w:r w:rsidRPr="00F1627B">
        <w:rPr>
          <w:rFonts w:asciiTheme="minorHAnsi" w:hAnsiTheme="minorHAnsi" w:cstheme="minorHAnsi"/>
        </w:rPr>
        <w:t>.</w:t>
      </w:r>
    </w:p>
    <w:p w14:paraId="10090452" w14:textId="77777777" w:rsidR="00B14802" w:rsidRDefault="00B14802" w:rsidP="00E94DCD">
      <w:pPr>
        <w:rPr>
          <w:rFonts w:asciiTheme="minorHAnsi" w:hAnsiTheme="minorHAnsi" w:cstheme="minorHAnsi"/>
          <w:b/>
          <w:bCs/>
        </w:rPr>
      </w:pPr>
    </w:p>
    <w:p w14:paraId="6883B602" w14:textId="77777777" w:rsidR="00DD7E68" w:rsidRDefault="00DD7E68" w:rsidP="00E94DCD">
      <w:pPr>
        <w:rPr>
          <w:rFonts w:asciiTheme="minorHAnsi" w:hAnsiTheme="minorHAnsi" w:cstheme="minorHAnsi"/>
        </w:rPr>
      </w:pPr>
    </w:p>
    <w:p w14:paraId="21994146" w14:textId="6B48100D" w:rsidR="00DD7E68" w:rsidRDefault="00DD7E68" w:rsidP="00E94DCD">
      <w:pPr>
        <w:rPr>
          <w:rFonts w:asciiTheme="minorHAnsi" w:hAnsiTheme="minorHAnsi" w:cstheme="minorHAnsi"/>
        </w:rPr>
      </w:pPr>
    </w:p>
    <w:p w14:paraId="469CAA0C" w14:textId="640DF36B" w:rsidR="009B52B7" w:rsidRDefault="003A4446" w:rsidP="00C17EC3">
      <w:pPr>
        <w:keepNext/>
        <w:keepLines/>
        <w:rPr>
          <w:rFonts w:asciiTheme="minorHAnsi" w:hAnsiTheme="minorHAnsi" w:cstheme="minorHAnsi"/>
        </w:rPr>
      </w:pPr>
      <w:r w:rsidRPr="003A4446">
        <w:rPr>
          <w:rFonts w:asciiTheme="minorHAnsi" w:hAnsiTheme="minorHAnsi" w:cstheme="minorHAnsi"/>
          <w:b/>
          <w:bCs/>
          <w:sz w:val="24"/>
          <w:szCs w:val="24"/>
        </w:rPr>
        <w:t>FERPA</w:t>
      </w:r>
      <w:r>
        <w:rPr>
          <w:rFonts w:asciiTheme="minorHAnsi" w:hAnsiTheme="minorHAnsi" w:cstheme="minorHAnsi"/>
          <w:b/>
          <w:bCs/>
          <w:sz w:val="24"/>
          <w:szCs w:val="24"/>
        </w:rPr>
        <w:t xml:space="preserve"> and Use of School Data</w:t>
      </w:r>
    </w:p>
    <w:p w14:paraId="11AC2D46" w14:textId="77777777" w:rsidR="00C36B7A" w:rsidRDefault="00C36B7A" w:rsidP="00E94DCD">
      <w:pPr>
        <w:rPr>
          <w:rFonts w:asciiTheme="minorHAnsi" w:hAnsiTheme="minorHAnsi" w:cstheme="minorHAnsi"/>
        </w:rPr>
      </w:pPr>
    </w:p>
    <w:p w14:paraId="1B8E84F7" w14:textId="7A92A302" w:rsidR="003A4446" w:rsidRDefault="009B52B7" w:rsidP="00E94DCD">
      <w:pPr>
        <w:rPr>
          <w:rFonts w:asciiTheme="minorHAnsi" w:hAnsiTheme="minorHAnsi" w:cstheme="minorHAnsi"/>
        </w:rPr>
      </w:pPr>
      <w:r w:rsidRPr="009B52B7">
        <w:rPr>
          <w:rFonts w:asciiTheme="minorHAnsi" w:hAnsiTheme="minorHAnsi" w:cstheme="minorHAnsi"/>
        </w:rPr>
        <w:t xml:space="preserve">U.S. Dept. of Education. Family Educational Rights and Privacy Act (FERPA). Webpage last modified by ED March 1, 2018. </w:t>
      </w:r>
      <w:r w:rsidR="00C36B7A">
        <w:rPr>
          <w:rFonts w:asciiTheme="minorHAnsi" w:hAnsiTheme="minorHAnsi" w:cstheme="minorHAnsi"/>
        </w:rPr>
        <w:t xml:space="preserve">Available at </w:t>
      </w:r>
      <w:hyperlink r:id="rId18" w:history="1">
        <w:r w:rsidRPr="009B52B7">
          <w:rPr>
            <w:rStyle w:val="Hyperlink"/>
            <w:rFonts w:asciiTheme="minorHAnsi" w:hAnsiTheme="minorHAnsi" w:cstheme="minorHAnsi"/>
          </w:rPr>
          <w:t>https://www2.ed.gov/policy/gen/guid/fpco/ferpa/index.html</w:t>
        </w:r>
      </w:hyperlink>
      <w:r w:rsidRPr="009B52B7">
        <w:rPr>
          <w:rFonts w:asciiTheme="minorHAnsi" w:hAnsiTheme="minorHAnsi" w:cstheme="minorHAnsi"/>
        </w:rPr>
        <w:t>.</w:t>
      </w:r>
      <w:bookmarkStart w:id="1" w:name="_Hlk34673133"/>
    </w:p>
    <w:p w14:paraId="3645A3CB" w14:textId="77777777" w:rsidR="003A4446" w:rsidRDefault="003A4446" w:rsidP="00E94DCD">
      <w:pPr>
        <w:rPr>
          <w:rFonts w:asciiTheme="minorHAnsi" w:hAnsiTheme="minorHAnsi" w:cstheme="minorHAnsi"/>
        </w:rPr>
      </w:pPr>
    </w:p>
    <w:p w14:paraId="6385BE75" w14:textId="00F9A737" w:rsidR="00556BEC" w:rsidRPr="003A4446" w:rsidRDefault="00556BEC" w:rsidP="00E94DCD">
      <w:pPr>
        <w:rPr>
          <w:rFonts w:asciiTheme="minorHAnsi" w:hAnsiTheme="minorHAnsi" w:cstheme="minorHAnsi"/>
        </w:rPr>
      </w:pPr>
      <w:r w:rsidRPr="006E2FE1">
        <w:rPr>
          <w:rFonts w:cstheme="minorHAnsi"/>
        </w:rPr>
        <w:t xml:space="preserve">U.S. Dept. of Education and U.S. Dept. of Health and Human Services. “Joint Guidance on the Application of the Family Educational Rights and Privacy Act (FERPA) and the Health Insurance Portability and Accountability Act of 1996 (HIPAA) to Student Health Records.” December 2019. </w:t>
      </w:r>
      <w:r w:rsidR="00C36B7A">
        <w:rPr>
          <w:rFonts w:cstheme="minorHAnsi"/>
        </w:rPr>
        <w:t xml:space="preserve">Available at </w:t>
      </w:r>
      <w:hyperlink r:id="rId19" w:history="1">
        <w:r w:rsidRPr="006E2FE1">
          <w:rPr>
            <w:rStyle w:val="Hyperlink"/>
            <w:rFonts w:cstheme="minorHAnsi"/>
          </w:rPr>
          <w:t>https://studentprivacy.ed.gov/sites/default/files/resource_document/file/2019%20HIPAA%20FERPA%20Joint%20Guidance%20508.pdf</w:t>
        </w:r>
      </w:hyperlink>
      <w:r w:rsidRPr="006E2FE1">
        <w:rPr>
          <w:rFonts w:cstheme="minorHAnsi"/>
        </w:rPr>
        <w:t>.</w:t>
      </w:r>
      <w:bookmarkEnd w:id="1"/>
    </w:p>
    <w:p w14:paraId="63A95A8D" w14:textId="0490895A" w:rsidR="00E94DCD" w:rsidRDefault="00E94DCD" w:rsidP="00E94DCD"/>
    <w:p w14:paraId="37F20728" w14:textId="77777777" w:rsidR="00C36B7A" w:rsidRDefault="00C36B7A" w:rsidP="00E94DCD"/>
    <w:p w14:paraId="717D14AD" w14:textId="2A05C317" w:rsidR="00E94DCD" w:rsidRPr="00E94DCD" w:rsidRDefault="00E94DCD" w:rsidP="00E94DCD">
      <w:pPr>
        <w:rPr>
          <w:b/>
          <w:bCs/>
          <w:sz w:val="24"/>
          <w:szCs w:val="24"/>
        </w:rPr>
      </w:pPr>
      <w:r w:rsidRPr="00E94DCD">
        <w:rPr>
          <w:b/>
          <w:bCs/>
          <w:sz w:val="24"/>
          <w:szCs w:val="24"/>
        </w:rPr>
        <w:t xml:space="preserve">COVID-19 </w:t>
      </w:r>
    </w:p>
    <w:p w14:paraId="3A1A237F" w14:textId="17D08652" w:rsidR="00E94DCD" w:rsidRDefault="00E94DCD" w:rsidP="00E94DCD"/>
    <w:p w14:paraId="35BDC0B2" w14:textId="753349EE" w:rsidR="00E94DCD" w:rsidRDefault="00E94DCD" w:rsidP="00E94DCD">
      <w:pPr>
        <w:rPr>
          <w:rFonts w:cstheme="minorHAnsi"/>
        </w:rPr>
      </w:pPr>
      <w:r w:rsidRPr="009D5E3E">
        <w:rPr>
          <w:rFonts w:cstheme="minorHAnsi"/>
        </w:rPr>
        <w:t xml:space="preserve">Boufides, C. A., Chrysler, D. et al. Network for Public Health Law. FAQ: COVID-19 and Health Data Privacy. June 22, 2020. </w:t>
      </w:r>
      <w:r w:rsidR="00446911">
        <w:rPr>
          <w:rFonts w:cstheme="minorHAnsi"/>
        </w:rPr>
        <w:t>Available at</w:t>
      </w:r>
      <w:r w:rsidRPr="009D5E3E">
        <w:rPr>
          <w:rFonts w:cstheme="minorHAnsi"/>
        </w:rPr>
        <w:t xml:space="preserve"> </w:t>
      </w:r>
      <w:hyperlink r:id="rId20" w:anchor="privacy-rights" w:history="1">
        <w:r w:rsidRPr="009D5E3E">
          <w:rPr>
            <w:rStyle w:val="Hyperlink"/>
            <w:rFonts w:cstheme="minorHAnsi"/>
          </w:rPr>
          <w:t>https://www.networkforphl.org/resources/faqs-covid-19-and-health-data-privacy/#privacy-rights</w:t>
        </w:r>
      </w:hyperlink>
      <w:r w:rsidRPr="009D5E3E">
        <w:rPr>
          <w:rFonts w:cstheme="minorHAnsi"/>
        </w:rPr>
        <w:t>.</w:t>
      </w:r>
    </w:p>
    <w:p w14:paraId="50C4EEBC" w14:textId="3E8E3A85" w:rsidR="008B1920" w:rsidRDefault="008B1920" w:rsidP="00E94DCD">
      <w:pPr>
        <w:rPr>
          <w:rFonts w:cstheme="minorHAnsi"/>
        </w:rPr>
      </w:pPr>
    </w:p>
    <w:p w14:paraId="36F2902C" w14:textId="77777777" w:rsidR="00E672AF" w:rsidRPr="008E5D06" w:rsidRDefault="00E672AF" w:rsidP="00E672AF">
      <w:pPr>
        <w:rPr>
          <w:rFonts w:asciiTheme="minorHAnsi" w:hAnsiTheme="minorHAnsi" w:cstheme="minorHAnsi"/>
        </w:rPr>
      </w:pPr>
      <w:r w:rsidRPr="008E5D06">
        <w:rPr>
          <w:rFonts w:asciiTheme="minorHAnsi" w:hAnsiTheme="minorHAnsi" w:cstheme="minorHAnsi"/>
        </w:rPr>
        <w:t>Bernstein</w:t>
      </w:r>
      <w:r>
        <w:rPr>
          <w:rFonts w:asciiTheme="minorHAnsi" w:hAnsiTheme="minorHAnsi" w:cstheme="minorHAnsi"/>
        </w:rPr>
        <w:t xml:space="preserve">, J. and </w:t>
      </w:r>
      <w:r w:rsidRPr="00B14802">
        <w:rPr>
          <w:rFonts w:asciiTheme="minorHAnsi" w:hAnsiTheme="minorHAnsi" w:cstheme="minorHAnsi"/>
        </w:rPr>
        <w:t>Milam</w:t>
      </w:r>
      <w:r>
        <w:rPr>
          <w:rFonts w:asciiTheme="minorHAnsi" w:hAnsiTheme="minorHAnsi" w:cstheme="minorHAnsi"/>
        </w:rPr>
        <w:t xml:space="preserve">, S. Network for Public Health Law. </w:t>
      </w:r>
      <w:r w:rsidRPr="00C315CB">
        <w:rPr>
          <w:rFonts w:asciiTheme="minorHAnsi" w:hAnsiTheme="minorHAnsi" w:cstheme="minorHAnsi"/>
        </w:rPr>
        <w:t>COVID-19: Data Sharing for Public Health Surveillance, Investigation and Intervention</w:t>
      </w:r>
      <w:r>
        <w:rPr>
          <w:rFonts w:asciiTheme="minorHAnsi" w:hAnsiTheme="minorHAnsi" w:cstheme="minorHAnsi"/>
        </w:rPr>
        <w:t xml:space="preserve">. April 2, 2020. Webinar available at </w:t>
      </w:r>
      <w:hyperlink r:id="rId21" w:history="1">
        <w:r w:rsidRPr="00E672AF">
          <w:rPr>
            <w:rStyle w:val="Hyperlink"/>
            <w:rFonts w:asciiTheme="minorHAnsi" w:hAnsiTheme="minorHAnsi" w:cstheme="minorHAnsi"/>
          </w:rPr>
          <w:t>https://www.networkforphl.org/resources/covid-19-data-sharing-for-public-health-surveillance-investigation-and-intervention/</w:t>
        </w:r>
      </w:hyperlink>
      <w:r>
        <w:rPr>
          <w:rFonts w:asciiTheme="minorHAnsi" w:hAnsiTheme="minorHAnsi" w:cstheme="minorHAnsi"/>
        </w:rPr>
        <w:t>.</w:t>
      </w:r>
    </w:p>
    <w:p w14:paraId="60ED54EE" w14:textId="0BE027B3" w:rsidR="00E672AF" w:rsidRDefault="00E672AF" w:rsidP="00E94DCD">
      <w:pPr>
        <w:rPr>
          <w:rFonts w:cstheme="minorHAnsi"/>
        </w:rPr>
      </w:pPr>
    </w:p>
    <w:p w14:paraId="64C9A7CF" w14:textId="4BA82CE4" w:rsidR="00C64DF4" w:rsidRDefault="00C64DF4" w:rsidP="00E94DCD">
      <w:pPr>
        <w:rPr>
          <w:color w:val="0000FF"/>
          <w:u w:val="single"/>
        </w:rPr>
      </w:pPr>
      <w:r>
        <w:t xml:space="preserve">HHS </w:t>
      </w:r>
      <w:r w:rsidRPr="00196E22">
        <w:t>OCR</w:t>
      </w:r>
      <w:r w:rsidR="00446911">
        <w:t>.</w:t>
      </w:r>
      <w:r w:rsidRPr="00196E22">
        <w:t xml:space="preserve"> HIPAA Announcements Related to COVID-19</w:t>
      </w:r>
      <w:r>
        <w:t xml:space="preserve">. Available at </w:t>
      </w:r>
      <w:hyperlink r:id="rId22" w:history="1">
        <w:r w:rsidRPr="00244ED6">
          <w:rPr>
            <w:color w:val="0000FF"/>
            <w:u w:val="single"/>
          </w:rPr>
          <w:t>https://www.hhs.gov/hipaa/for-professionals/special-topics/hipaa-covid19/index.html</w:t>
        </w:r>
      </w:hyperlink>
      <w:r w:rsidR="00446911">
        <w:rPr>
          <w:color w:val="0000FF"/>
          <w:u w:val="single"/>
        </w:rPr>
        <w:t>.</w:t>
      </w:r>
    </w:p>
    <w:p w14:paraId="13931F85" w14:textId="0E2CF31B" w:rsidR="00436F22" w:rsidRDefault="00436F22" w:rsidP="00E94DCD">
      <w:pPr>
        <w:rPr>
          <w:color w:val="0000FF"/>
          <w:u w:val="single"/>
        </w:rPr>
      </w:pPr>
    </w:p>
    <w:p w14:paraId="3E912E3A" w14:textId="192905C8" w:rsidR="00317B4C" w:rsidRDefault="00317B4C" w:rsidP="00317B4C">
      <w:pPr>
        <w:rPr>
          <w:rFonts w:cstheme="minorHAnsi"/>
        </w:rPr>
      </w:pPr>
      <w:r w:rsidRPr="009D5E3E">
        <w:rPr>
          <w:rFonts w:cstheme="minorHAnsi"/>
        </w:rPr>
        <w:t xml:space="preserve">FERPA &amp; Coronavirus Disease 2019 (COVID-19) Frequently Asked Questions (FAQs). March 2020. </w:t>
      </w:r>
      <w:r w:rsidR="00B836E4">
        <w:rPr>
          <w:rFonts w:cstheme="minorHAnsi"/>
        </w:rPr>
        <w:t xml:space="preserve">Available at </w:t>
      </w:r>
      <w:hyperlink r:id="rId23" w:history="1">
        <w:r w:rsidRPr="009D5E3E">
          <w:rPr>
            <w:rStyle w:val="Hyperlink"/>
            <w:rFonts w:cstheme="minorHAnsi"/>
          </w:rPr>
          <w:t>https://studentprivacy.ed.gov/sites/default/files/resource_document/file/FERPA%20and%20Coronavirus%20Frequently%20Asked%20Questions.pdf</w:t>
        </w:r>
      </w:hyperlink>
      <w:r w:rsidRPr="009D5E3E">
        <w:rPr>
          <w:rFonts w:cstheme="minorHAnsi"/>
        </w:rPr>
        <w:t>.</w:t>
      </w:r>
    </w:p>
    <w:p w14:paraId="68166798" w14:textId="77777777" w:rsidR="00317B4C" w:rsidRDefault="00317B4C" w:rsidP="00E94DCD"/>
    <w:sectPr w:rsidR="00317B4C">
      <w:headerReference w:type="default" r:id="rId24"/>
      <w:footerReference w:type="default" r:id="rId2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56C7140" w14:textId="77777777" w:rsidR="007A4AB2" w:rsidRDefault="007A4AB2" w:rsidP="00E164F7">
      <w:r>
        <w:separator/>
      </w:r>
    </w:p>
  </w:endnote>
  <w:endnote w:type="continuationSeparator" w:id="0">
    <w:p w14:paraId="7419B1DB" w14:textId="77777777" w:rsidR="007A4AB2" w:rsidRDefault="007A4AB2" w:rsidP="00E164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936361397"/>
      <w:docPartObj>
        <w:docPartGallery w:val="Page Numbers (Bottom of Page)"/>
        <w:docPartUnique/>
      </w:docPartObj>
    </w:sdtPr>
    <w:sdtEndPr>
      <w:rPr>
        <w:noProof/>
      </w:rPr>
    </w:sdtEndPr>
    <w:sdtContent>
      <w:p w14:paraId="6C8954C2" w14:textId="76825B94" w:rsidR="00E164F7" w:rsidRDefault="00E164F7" w:rsidP="00E164F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F75EDFB" w14:textId="77777777" w:rsidR="007A4AB2" w:rsidRDefault="007A4AB2" w:rsidP="00E164F7">
      <w:r>
        <w:separator/>
      </w:r>
    </w:p>
  </w:footnote>
  <w:footnote w:type="continuationSeparator" w:id="0">
    <w:p w14:paraId="5393E5B5" w14:textId="77777777" w:rsidR="007A4AB2" w:rsidRDefault="007A4AB2" w:rsidP="00E164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BFDCDB4" w14:textId="7BDA8638" w:rsidR="00E164F7" w:rsidRPr="00A639E2" w:rsidRDefault="00DC660D" w:rsidP="00A639E2">
    <w:pPr>
      <w:tabs>
        <w:tab w:val="center" w:pos="4680"/>
        <w:tab w:val="right" w:pos="9360"/>
      </w:tabs>
      <w:jc w:val="center"/>
      <w:rPr>
        <w:rFonts w:asciiTheme="minorHAnsi" w:eastAsiaTheme="minorHAnsi" w:hAnsiTheme="minorHAnsi" w:cstheme="minorBidi"/>
      </w:rPr>
    </w:pPr>
    <w:r w:rsidRPr="000E2930">
      <w:rPr>
        <w:highlight w:val="yellow"/>
      </w:rPr>
      <w:t xml:space="preserve">DRAFT </w:t>
    </w:r>
    <w:r>
      <w:rPr>
        <w:highlight w:val="yellow"/>
      </w:rPr>
      <w:t xml:space="preserve">Pre-Federal Clearance – August 2020 – </w:t>
    </w:r>
    <w:r w:rsidRPr="000E2930">
      <w:rPr>
        <w:highlight w:val="yellow"/>
      </w:rPr>
      <w:t>DO NOT CITE OR CIRCULATE BEYOND CSTE REVIEWERS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7E85677"/>
    <w:multiLevelType w:val="hybridMultilevel"/>
    <w:tmpl w:val="D57C7AB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BD97864"/>
    <w:multiLevelType w:val="hybridMultilevel"/>
    <w:tmpl w:val="65C0F130"/>
    <w:lvl w:ilvl="0" w:tplc="7A963908">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381F3306"/>
    <w:multiLevelType w:val="hybridMultilevel"/>
    <w:tmpl w:val="39189E1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F05559E"/>
    <w:multiLevelType w:val="multilevel"/>
    <w:tmpl w:val="20E40F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F804E2B"/>
    <w:multiLevelType w:val="hybridMultilevel"/>
    <w:tmpl w:val="F508E6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BF122CC"/>
    <w:multiLevelType w:val="hybridMultilevel"/>
    <w:tmpl w:val="6436EE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5A377EB"/>
    <w:multiLevelType w:val="hybridMultilevel"/>
    <w:tmpl w:val="7B0E64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6603767"/>
    <w:multiLevelType w:val="hybridMultilevel"/>
    <w:tmpl w:val="69B82006"/>
    <w:lvl w:ilvl="0" w:tplc="7A963908">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710804D6"/>
    <w:multiLevelType w:val="multilevel"/>
    <w:tmpl w:val="6DA011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CAF1BD9"/>
    <w:multiLevelType w:val="hybridMultilevel"/>
    <w:tmpl w:val="14EA992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4"/>
  </w:num>
  <w:num w:numId="3">
    <w:abstractNumId w:val="6"/>
  </w:num>
  <w:num w:numId="4">
    <w:abstractNumId w:val="1"/>
  </w:num>
  <w:num w:numId="5">
    <w:abstractNumId w:val="9"/>
  </w:num>
  <w:num w:numId="6">
    <w:abstractNumId w:val="2"/>
  </w:num>
  <w:num w:numId="7">
    <w:abstractNumId w:val="7"/>
  </w:num>
  <w:num w:numId="8">
    <w:abstractNumId w:val="0"/>
  </w:num>
  <w:num w:numId="9">
    <w:abstractNumId w:val="3"/>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PersonalInformation/>
  <w:removeDateAndTime/>
  <w:displayBackgroundShape/>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61BF"/>
    <w:rsid w:val="00076FC8"/>
    <w:rsid w:val="00083C9D"/>
    <w:rsid w:val="000A0320"/>
    <w:rsid w:val="000F4B2A"/>
    <w:rsid w:val="0014429E"/>
    <w:rsid w:val="00151278"/>
    <w:rsid w:val="001D61BF"/>
    <w:rsid w:val="001F69FC"/>
    <w:rsid w:val="00242BEA"/>
    <w:rsid w:val="00287988"/>
    <w:rsid w:val="002A7421"/>
    <w:rsid w:val="002E0419"/>
    <w:rsid w:val="002E662C"/>
    <w:rsid w:val="00305FCB"/>
    <w:rsid w:val="00307EF4"/>
    <w:rsid w:val="00317B4C"/>
    <w:rsid w:val="003443B2"/>
    <w:rsid w:val="00344706"/>
    <w:rsid w:val="00354548"/>
    <w:rsid w:val="003A4446"/>
    <w:rsid w:val="003C6E99"/>
    <w:rsid w:val="004175A2"/>
    <w:rsid w:val="00436B49"/>
    <w:rsid w:val="00436F22"/>
    <w:rsid w:val="00446911"/>
    <w:rsid w:val="00466AE7"/>
    <w:rsid w:val="00476446"/>
    <w:rsid w:val="004859FF"/>
    <w:rsid w:val="004A4D10"/>
    <w:rsid w:val="004F570E"/>
    <w:rsid w:val="00506769"/>
    <w:rsid w:val="00523D23"/>
    <w:rsid w:val="00532398"/>
    <w:rsid w:val="005475AF"/>
    <w:rsid w:val="00556BEC"/>
    <w:rsid w:val="00571F74"/>
    <w:rsid w:val="0058722E"/>
    <w:rsid w:val="005C3CB8"/>
    <w:rsid w:val="005E02DA"/>
    <w:rsid w:val="005E3334"/>
    <w:rsid w:val="00602397"/>
    <w:rsid w:val="00626B02"/>
    <w:rsid w:val="00663699"/>
    <w:rsid w:val="006767BC"/>
    <w:rsid w:val="00696837"/>
    <w:rsid w:val="006F2A14"/>
    <w:rsid w:val="00702BCE"/>
    <w:rsid w:val="00705623"/>
    <w:rsid w:val="0074462E"/>
    <w:rsid w:val="007A4AB2"/>
    <w:rsid w:val="007B5B66"/>
    <w:rsid w:val="007D0F7F"/>
    <w:rsid w:val="007D6CAD"/>
    <w:rsid w:val="008241FC"/>
    <w:rsid w:val="00827F1D"/>
    <w:rsid w:val="00865882"/>
    <w:rsid w:val="00880E34"/>
    <w:rsid w:val="008B1920"/>
    <w:rsid w:val="008E5D06"/>
    <w:rsid w:val="0090260B"/>
    <w:rsid w:val="00922F9C"/>
    <w:rsid w:val="0092349B"/>
    <w:rsid w:val="009362A8"/>
    <w:rsid w:val="00963C3E"/>
    <w:rsid w:val="009B52B7"/>
    <w:rsid w:val="009C2D1C"/>
    <w:rsid w:val="009C479E"/>
    <w:rsid w:val="009C7E1E"/>
    <w:rsid w:val="009F2118"/>
    <w:rsid w:val="00A514C9"/>
    <w:rsid w:val="00A54316"/>
    <w:rsid w:val="00A639E2"/>
    <w:rsid w:val="00A72800"/>
    <w:rsid w:val="00AA4368"/>
    <w:rsid w:val="00AB5B0A"/>
    <w:rsid w:val="00B14802"/>
    <w:rsid w:val="00B66470"/>
    <w:rsid w:val="00B75B7F"/>
    <w:rsid w:val="00B836E4"/>
    <w:rsid w:val="00BA33B3"/>
    <w:rsid w:val="00BA45C9"/>
    <w:rsid w:val="00BB2B02"/>
    <w:rsid w:val="00BC6D69"/>
    <w:rsid w:val="00BD20D1"/>
    <w:rsid w:val="00C007B4"/>
    <w:rsid w:val="00C17BF2"/>
    <w:rsid w:val="00C17EC3"/>
    <w:rsid w:val="00C315CB"/>
    <w:rsid w:val="00C36B7A"/>
    <w:rsid w:val="00C64DF4"/>
    <w:rsid w:val="00C73668"/>
    <w:rsid w:val="00C92181"/>
    <w:rsid w:val="00CC5424"/>
    <w:rsid w:val="00CE4434"/>
    <w:rsid w:val="00CF4724"/>
    <w:rsid w:val="00D31CBB"/>
    <w:rsid w:val="00D4230E"/>
    <w:rsid w:val="00D7365D"/>
    <w:rsid w:val="00D766FB"/>
    <w:rsid w:val="00DA32B6"/>
    <w:rsid w:val="00DB5E24"/>
    <w:rsid w:val="00DC660D"/>
    <w:rsid w:val="00DD2836"/>
    <w:rsid w:val="00DD7E68"/>
    <w:rsid w:val="00DE004F"/>
    <w:rsid w:val="00DF293E"/>
    <w:rsid w:val="00DF6403"/>
    <w:rsid w:val="00E07E2D"/>
    <w:rsid w:val="00E164F7"/>
    <w:rsid w:val="00E24923"/>
    <w:rsid w:val="00E45F65"/>
    <w:rsid w:val="00E672AF"/>
    <w:rsid w:val="00E94DCD"/>
    <w:rsid w:val="00ED031C"/>
    <w:rsid w:val="00F1627B"/>
    <w:rsid w:val="00F87818"/>
    <w:rsid w:val="00F9740D"/>
    <w:rsid w:val="00FF76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1DA1AD4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D61BF"/>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15">
    <w:name w:val="norm 1.5"/>
    <w:basedOn w:val="Normal"/>
    <w:qFormat/>
    <w:rsid w:val="00C007B4"/>
    <w:pPr>
      <w:spacing w:line="360" w:lineRule="auto"/>
    </w:pPr>
    <w:rPr>
      <w:rFonts w:asciiTheme="minorHAnsi" w:eastAsiaTheme="minorHAnsi" w:hAnsiTheme="minorHAnsi" w:cstheme="minorBidi"/>
    </w:rPr>
  </w:style>
  <w:style w:type="paragraph" w:customStyle="1" w:styleId="15para">
    <w:name w:val="1.5 para"/>
    <w:basedOn w:val="Normal"/>
    <w:qFormat/>
    <w:rsid w:val="00D766FB"/>
    <w:pPr>
      <w:spacing w:line="360" w:lineRule="auto"/>
    </w:pPr>
    <w:rPr>
      <w:rFonts w:eastAsia="Times New Roman" w:cs="Calibri"/>
      <w:szCs w:val="20"/>
    </w:rPr>
  </w:style>
  <w:style w:type="paragraph" w:styleId="ListParagraph">
    <w:name w:val="List Paragraph"/>
    <w:basedOn w:val="Normal"/>
    <w:uiPriority w:val="34"/>
    <w:qFormat/>
    <w:rsid w:val="005475AF"/>
    <w:pPr>
      <w:ind w:left="720"/>
      <w:contextualSpacing/>
    </w:pPr>
    <w:rPr>
      <w:rFonts w:asciiTheme="minorHAnsi" w:eastAsiaTheme="minorHAnsi" w:hAnsiTheme="minorHAnsi" w:cstheme="minorBidi"/>
    </w:rPr>
  </w:style>
  <w:style w:type="paragraph" w:styleId="Header">
    <w:name w:val="header"/>
    <w:basedOn w:val="Normal"/>
    <w:link w:val="HeaderChar"/>
    <w:uiPriority w:val="99"/>
    <w:unhideWhenUsed/>
    <w:rsid w:val="00E164F7"/>
    <w:pPr>
      <w:tabs>
        <w:tab w:val="center" w:pos="4680"/>
        <w:tab w:val="right" w:pos="9360"/>
      </w:tabs>
    </w:pPr>
  </w:style>
  <w:style w:type="character" w:customStyle="1" w:styleId="HeaderChar">
    <w:name w:val="Header Char"/>
    <w:basedOn w:val="DefaultParagraphFont"/>
    <w:link w:val="Header"/>
    <w:uiPriority w:val="99"/>
    <w:rsid w:val="00E164F7"/>
    <w:rPr>
      <w:rFonts w:ascii="Calibri" w:eastAsia="Calibri" w:hAnsi="Calibri" w:cs="Times New Roman"/>
    </w:rPr>
  </w:style>
  <w:style w:type="paragraph" w:styleId="Footer">
    <w:name w:val="footer"/>
    <w:basedOn w:val="Normal"/>
    <w:link w:val="FooterChar"/>
    <w:uiPriority w:val="99"/>
    <w:unhideWhenUsed/>
    <w:rsid w:val="00E164F7"/>
    <w:pPr>
      <w:tabs>
        <w:tab w:val="center" w:pos="4680"/>
        <w:tab w:val="right" w:pos="9360"/>
      </w:tabs>
    </w:pPr>
  </w:style>
  <w:style w:type="character" w:customStyle="1" w:styleId="FooterChar">
    <w:name w:val="Footer Char"/>
    <w:basedOn w:val="DefaultParagraphFont"/>
    <w:link w:val="Footer"/>
    <w:uiPriority w:val="99"/>
    <w:rsid w:val="00E164F7"/>
    <w:rPr>
      <w:rFonts w:ascii="Calibri" w:eastAsia="Calibri" w:hAnsi="Calibri" w:cs="Times New Roman"/>
    </w:rPr>
  </w:style>
  <w:style w:type="character" w:styleId="Hyperlink">
    <w:name w:val="Hyperlink"/>
    <w:basedOn w:val="DefaultParagraphFont"/>
    <w:uiPriority w:val="99"/>
    <w:unhideWhenUsed/>
    <w:rsid w:val="00571F74"/>
    <w:rPr>
      <w:color w:val="0563C1" w:themeColor="hyperlink"/>
      <w:u w:val="single"/>
    </w:rPr>
  </w:style>
  <w:style w:type="character" w:styleId="UnresolvedMention">
    <w:name w:val="Unresolved Mention"/>
    <w:basedOn w:val="DefaultParagraphFont"/>
    <w:uiPriority w:val="99"/>
    <w:semiHidden/>
    <w:unhideWhenUsed/>
    <w:rsid w:val="00571F74"/>
    <w:rPr>
      <w:color w:val="605E5C"/>
      <w:shd w:val="clear" w:color="auto" w:fill="E1DFDD"/>
    </w:rPr>
  </w:style>
  <w:style w:type="character" w:styleId="FollowedHyperlink">
    <w:name w:val="FollowedHyperlink"/>
    <w:basedOn w:val="DefaultParagraphFont"/>
    <w:uiPriority w:val="99"/>
    <w:semiHidden/>
    <w:unhideWhenUsed/>
    <w:rsid w:val="00307EF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3556625">
      <w:bodyDiv w:val="1"/>
      <w:marLeft w:val="0"/>
      <w:marRight w:val="0"/>
      <w:marTop w:val="0"/>
      <w:marBottom w:val="0"/>
      <w:divBdr>
        <w:top w:val="none" w:sz="0" w:space="0" w:color="auto"/>
        <w:left w:val="none" w:sz="0" w:space="0" w:color="auto"/>
        <w:bottom w:val="none" w:sz="0" w:space="0" w:color="auto"/>
        <w:right w:val="none" w:sz="0" w:space="0" w:color="auto"/>
      </w:divBdr>
    </w:div>
    <w:div w:id="104080092">
      <w:bodyDiv w:val="1"/>
      <w:marLeft w:val="0"/>
      <w:marRight w:val="0"/>
      <w:marTop w:val="0"/>
      <w:marBottom w:val="0"/>
      <w:divBdr>
        <w:top w:val="none" w:sz="0" w:space="0" w:color="auto"/>
        <w:left w:val="none" w:sz="0" w:space="0" w:color="auto"/>
        <w:bottom w:val="none" w:sz="0" w:space="0" w:color="auto"/>
        <w:right w:val="none" w:sz="0" w:space="0" w:color="auto"/>
      </w:divBdr>
    </w:div>
    <w:div w:id="1142239085">
      <w:bodyDiv w:val="1"/>
      <w:marLeft w:val="0"/>
      <w:marRight w:val="0"/>
      <w:marTop w:val="0"/>
      <w:marBottom w:val="0"/>
      <w:divBdr>
        <w:top w:val="none" w:sz="0" w:space="0" w:color="auto"/>
        <w:left w:val="none" w:sz="0" w:space="0" w:color="auto"/>
        <w:bottom w:val="none" w:sz="0" w:space="0" w:color="auto"/>
        <w:right w:val="none" w:sz="0" w:space="0" w:color="auto"/>
      </w:divBdr>
    </w:div>
    <w:div w:id="1372998213">
      <w:bodyDiv w:val="1"/>
      <w:marLeft w:val="0"/>
      <w:marRight w:val="0"/>
      <w:marTop w:val="0"/>
      <w:marBottom w:val="0"/>
      <w:divBdr>
        <w:top w:val="none" w:sz="0" w:space="0" w:color="auto"/>
        <w:left w:val="none" w:sz="0" w:space="0" w:color="auto"/>
        <w:bottom w:val="none" w:sz="0" w:space="0" w:color="auto"/>
        <w:right w:val="none" w:sz="0" w:space="0" w:color="auto"/>
      </w:divBdr>
    </w:div>
    <w:div w:id="1654875214">
      <w:bodyDiv w:val="1"/>
      <w:marLeft w:val="0"/>
      <w:marRight w:val="0"/>
      <w:marTop w:val="0"/>
      <w:marBottom w:val="0"/>
      <w:divBdr>
        <w:top w:val="none" w:sz="0" w:space="0" w:color="auto"/>
        <w:left w:val="none" w:sz="0" w:space="0" w:color="auto"/>
        <w:bottom w:val="none" w:sz="0" w:space="0" w:color="auto"/>
        <w:right w:val="none" w:sz="0" w:space="0" w:color="auto"/>
      </w:divBdr>
    </w:div>
    <w:div w:id="17144971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racticalplaybook.org/page/how-draft-successful-memorandums-understanding-and-data-sharing-agreements" TargetMode="External"/><Relationship Id="rId13" Type="http://schemas.openxmlformats.org/officeDocument/2006/relationships/hyperlink" Target="https://cdn.ymaws.com/www.cste.org/resource/resmgr/PDFs/LegalIssuesTribalJuris.pdf" TargetMode="External"/><Relationship Id="rId18" Type="http://schemas.openxmlformats.org/officeDocument/2006/relationships/hyperlink" Target="https://www2.ed.gov/policy/gen/guid/fpco/ferpa/index.html"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https://www.networkforphl.org/resources/covid-19-data-sharing-for-public-health-surveillance-investigation-and-intervention/" TargetMode="External"/><Relationship Id="rId7" Type="http://schemas.openxmlformats.org/officeDocument/2006/relationships/hyperlink" Target="http://bok.ahima.org/doc?oid=300245" TargetMode="External"/><Relationship Id="rId12" Type="http://schemas.openxmlformats.org/officeDocument/2006/relationships/hyperlink" Target="http://www.rcfp.org/open-government-guide" TargetMode="External"/><Relationship Id="rId17" Type="http://schemas.openxmlformats.org/officeDocument/2006/relationships/hyperlink" Target="https://biotech.law.lsu.edu/cdc/astho/29724_ASTHO.pdf" TargetMode="External"/><Relationship Id="rId25"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https://files.asprtracie.hhs.gov/documents/aspr-tracie-hipaa-emergency-fact-sheet.pdf" TargetMode="External"/><Relationship Id="rId20" Type="http://schemas.openxmlformats.org/officeDocument/2006/relationships/hyperlink" Target="https://www.networkforphl.org/resources/faqs-covid-19-and-health-data-privacy/"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legalbib.communitycommons.org/" TargetMode="External"/><Relationship Id="rId24"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yperlink" Target="http://healthjournalism.org/secondarypage-details.php?id=965" TargetMode="External"/><Relationship Id="rId23" Type="http://schemas.openxmlformats.org/officeDocument/2006/relationships/hyperlink" Target="https://studentprivacy.ed.gov/sites/default/files/resource_document/file/FERPA%20and%20Coronavirus%20Frequently%20Asked%20Questions.pdf" TargetMode="External"/><Relationship Id="rId10" Type="http://schemas.openxmlformats.org/officeDocument/2006/relationships/hyperlink" Target="https://www.hhs.gov/hipaa/for-professionals/special-topics/emergency-preparedness/decision-tool-overview/index.html" TargetMode="External"/><Relationship Id="rId19" Type="http://schemas.openxmlformats.org/officeDocument/2006/relationships/hyperlink" Target="https://studentprivacy.ed.gov/sites/default/files/resource_document/file/2019%20HIPAA%20FERPA%20Joint%20Guidance%20508.pdf" TargetMode="External"/><Relationship Id="rId4" Type="http://schemas.openxmlformats.org/officeDocument/2006/relationships/webSettings" Target="webSettings.xml"/><Relationship Id="rId9" Type="http://schemas.openxmlformats.org/officeDocument/2006/relationships/hyperlink" Target="https://global.oup.com/academic/product/the-practical-playbook-ii-9780190936013" TargetMode="External"/><Relationship Id="rId14" Type="http://schemas.openxmlformats.org/officeDocument/2006/relationships/hyperlink" Target="https://www.astho.org/Public-Policy/Public-Health-Law/Legal-Issues-Related-to-sharing-Clinical-Health-Data-with-Public-Health-Agencies/" TargetMode="External"/><Relationship Id="rId22" Type="http://schemas.openxmlformats.org/officeDocument/2006/relationships/hyperlink" Target="https://www.hhs.gov/hipaa/for-professionals/special-topics/hipaa-covid19/index.html"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1608</Words>
  <Characters>9172</Characters>
  <Application>Microsoft Office Word</Application>
  <DocSecurity>0</DocSecurity>
  <Lines>76</Lines>
  <Paragraphs>21</Paragraphs>
  <ScaleCrop>false</ScaleCrop>
  <Company/>
  <LinksUpToDate>false</LinksUpToDate>
  <CharactersWithSpaces>10759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2020-06-25T20:21:00Z</dcterms:created>
  <dcterms:modified xsi:type="dcterms:W3CDTF">2020-08-28T02:46:00Z</dcterms:modified>
</cp:coreProperties>
</file>