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F23FC" w14:textId="77777777" w:rsidR="00E7537E" w:rsidRPr="00E7537E" w:rsidRDefault="00E7537E" w:rsidP="00E7537E">
      <w:pPr>
        <w:spacing w:line="360" w:lineRule="auto"/>
        <w:jc w:val="center"/>
        <w:rPr>
          <w:rFonts w:ascii="Calibri" w:eastAsia="Times New Roman" w:hAnsi="Calibri" w:cs="Calibri"/>
          <w:b/>
          <w:bCs/>
          <w:color w:val="333333"/>
          <w:spacing w:val="15"/>
          <w:kern w:val="36"/>
        </w:rPr>
      </w:pPr>
      <w:r w:rsidRPr="00E7537E">
        <w:rPr>
          <w:rFonts w:ascii="Calibri" w:eastAsia="Times New Roman" w:hAnsi="Calibri" w:cs="Calibri"/>
          <w:b/>
          <w:bCs/>
          <w:color w:val="333333"/>
          <w:spacing w:val="15"/>
          <w:kern w:val="36"/>
        </w:rPr>
        <w:t>CSTE Legal Barriers Toolkit Project</w:t>
      </w:r>
    </w:p>
    <w:p w14:paraId="58FA072C" w14:textId="49871FE9" w:rsidR="00B75B7F" w:rsidRPr="00240175" w:rsidRDefault="006528A7" w:rsidP="00240175">
      <w:pPr>
        <w:pStyle w:val="norm15"/>
        <w:jc w:val="center"/>
        <w:rPr>
          <w:b/>
          <w:bCs/>
          <w:sz w:val="24"/>
          <w:szCs w:val="24"/>
        </w:rPr>
      </w:pPr>
      <w:r w:rsidRPr="00240175">
        <w:rPr>
          <w:b/>
          <w:bCs/>
          <w:sz w:val="24"/>
          <w:szCs w:val="24"/>
        </w:rPr>
        <w:t>PUBLIC HEALTH AND SCHOOLS EMERGENCY PREPAREDNESS AND RESPONSE</w:t>
      </w:r>
    </w:p>
    <w:p w14:paraId="6F5BB128" w14:textId="77777777" w:rsidR="007D0B01" w:rsidRDefault="007D0B01" w:rsidP="007D0B01">
      <w:pPr>
        <w:spacing w:line="360" w:lineRule="auto"/>
        <w:ind w:left="576"/>
        <w:rPr>
          <w:b/>
          <w:bCs/>
          <w:i/>
          <w:iCs/>
        </w:rPr>
      </w:pPr>
    </w:p>
    <w:p w14:paraId="10B80C64" w14:textId="7D5DD2F3" w:rsidR="007D0B01" w:rsidRDefault="007D0B01" w:rsidP="007D0B01">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4B063E">
        <w:rPr>
          <w:i/>
          <w:iCs/>
        </w:rPr>
        <w:t>July 2020.</w:t>
      </w:r>
      <w:r w:rsidR="00B81484">
        <w:rPr>
          <w:i/>
          <w:iCs/>
        </w:rPr>
        <w:t xml:space="preserve"> </w:t>
      </w:r>
    </w:p>
    <w:p w14:paraId="7CED17D7" w14:textId="77777777" w:rsidR="00884533" w:rsidRDefault="00884533" w:rsidP="006528A7">
      <w:pPr>
        <w:pStyle w:val="norm15"/>
      </w:pPr>
    </w:p>
    <w:p w14:paraId="6046C53B" w14:textId="77777777" w:rsidR="006528A7" w:rsidRPr="00240175" w:rsidRDefault="006528A7" w:rsidP="006528A7">
      <w:pPr>
        <w:pStyle w:val="norm15"/>
        <w:rPr>
          <w:rFonts w:ascii="Calibri" w:eastAsia="Times New Roman" w:hAnsi="Calibri" w:cs="Calibri"/>
          <w:b/>
          <w:bCs/>
          <w:color w:val="3C3030"/>
          <w:sz w:val="24"/>
          <w:szCs w:val="24"/>
        </w:rPr>
      </w:pPr>
      <w:r w:rsidRPr="00240175">
        <w:rPr>
          <w:rFonts w:ascii="Calibri" w:eastAsia="Times New Roman" w:hAnsi="Calibri" w:cs="Calibri"/>
          <w:b/>
          <w:bCs/>
          <w:color w:val="3C3030"/>
          <w:sz w:val="24"/>
          <w:szCs w:val="24"/>
        </w:rPr>
        <w:t>Overview</w:t>
      </w:r>
    </w:p>
    <w:p w14:paraId="3F8D8E48" w14:textId="4A4BEE98" w:rsidR="003E5DDC" w:rsidRPr="00842BAE" w:rsidRDefault="00A33708" w:rsidP="00916DC2">
      <w:pPr>
        <w:pStyle w:val="norm15"/>
        <w:rPr>
          <w:rFonts w:ascii="Calibri" w:eastAsia="Times New Roman" w:hAnsi="Calibri" w:cs="Calibri"/>
          <w:color w:val="737373"/>
          <w:szCs w:val="20"/>
        </w:rPr>
      </w:pPr>
      <w:r>
        <w:rPr>
          <w:noProof/>
        </w:rPr>
        <mc:AlternateContent>
          <mc:Choice Requires="wps">
            <w:drawing>
              <wp:anchor distT="45720" distB="45720" distL="114300" distR="114300" simplePos="0" relativeHeight="251659264" behindDoc="0" locked="0" layoutInCell="1" allowOverlap="1" wp14:anchorId="2935EE88" wp14:editId="5E0D07D9">
                <wp:simplePos x="0" y="0"/>
                <wp:positionH relativeFrom="margin">
                  <wp:align>center</wp:align>
                </wp:positionH>
                <wp:positionV relativeFrom="paragraph">
                  <wp:posOffset>1641475</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4973AA52" w14:textId="77777777" w:rsidR="00A33708" w:rsidRPr="00CA76E9" w:rsidRDefault="00A33708" w:rsidP="00A33708">
                            <w:pPr>
                              <w:spacing w:after="120"/>
                              <w:jc w:val="center"/>
                              <w:rPr>
                                <w:i/>
                                <w:iCs/>
                              </w:rPr>
                            </w:pPr>
                            <w:r w:rsidRPr="00CA76E9">
                              <w:rPr>
                                <w:i/>
                                <w:iCs/>
                              </w:rPr>
                              <w:t xml:space="preserve">[Call out </w:t>
                            </w:r>
                            <w:r>
                              <w:rPr>
                                <w:i/>
                                <w:iCs/>
                              </w:rPr>
                              <w:t xml:space="preserve">box </w:t>
                            </w:r>
                            <w:r w:rsidRPr="00CA76E9">
                              <w:rPr>
                                <w:i/>
                                <w:iCs/>
                              </w:rPr>
                              <w:t>for first page of document]</w:t>
                            </w:r>
                          </w:p>
                          <w:p w14:paraId="7559F702" w14:textId="77777777" w:rsidR="00A33708" w:rsidRDefault="00A33708" w:rsidP="00A33708">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5EE88" id="_x0000_t202" coordsize="21600,21600" o:spt="202" path="m,l,21600r21600,l21600,xe">
                <v:stroke joinstyle="miter"/>
                <v:path gradientshapeok="t" o:connecttype="rect"/>
              </v:shapetype>
              <v:shape id="Text Box 2" o:spid="_x0000_s1026" type="#_x0000_t202" style="position:absolute;margin-left:0;margin-top:129.2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">
                <v:textbox>
                  <w:txbxContent>
                    <w:p w14:paraId="4973AA52" w14:textId="77777777" w:rsidR="00A33708" w:rsidRPr="00CA76E9" w:rsidRDefault="00A33708" w:rsidP="00A33708">
                      <w:pPr>
                        <w:spacing w:after="120"/>
                        <w:jc w:val="center"/>
                        <w:rPr>
                          <w:i/>
                          <w:iCs/>
                        </w:rPr>
                      </w:pPr>
                      <w:r w:rsidRPr="00CA76E9">
                        <w:rPr>
                          <w:i/>
                          <w:iCs/>
                        </w:rPr>
                        <w:t xml:space="preserve">[Call out </w:t>
                      </w:r>
                      <w:r>
                        <w:rPr>
                          <w:i/>
                          <w:iCs/>
                        </w:rPr>
                        <w:t xml:space="preserve">box </w:t>
                      </w:r>
                      <w:r w:rsidRPr="00CA76E9">
                        <w:rPr>
                          <w:i/>
                          <w:iCs/>
                        </w:rPr>
                        <w:t>for first page of document]</w:t>
                      </w:r>
                    </w:p>
                    <w:p w14:paraId="7559F702" w14:textId="77777777" w:rsidR="00A33708" w:rsidRDefault="00A33708" w:rsidP="00A33708">
                      <w:r>
                        <w:t>Please see the Practice Guide accompanying this toolkit for access to practice notices, legal analysis tools, examples, and templates.</w:t>
                      </w:r>
                    </w:p>
                  </w:txbxContent>
                </v:textbox>
                <w10:wrap type="topAndBottom" anchorx="margin"/>
              </v:shape>
            </w:pict>
          </mc:Fallback>
        </mc:AlternateContent>
      </w:r>
      <w:r w:rsidR="000463E0" w:rsidRPr="00AE7C97">
        <w:rPr>
          <w:rFonts w:ascii="Calibri" w:eastAsia="Times New Roman" w:hAnsi="Calibri" w:cs="Calibri"/>
          <w:color w:val="000000" w:themeColor="text1"/>
          <w:szCs w:val="20"/>
        </w:rPr>
        <w:t xml:space="preserve">This </w:t>
      </w:r>
      <w:r w:rsidR="0089511A" w:rsidRPr="00AE7C97">
        <w:rPr>
          <w:rFonts w:ascii="Calibri" w:eastAsia="Times New Roman" w:hAnsi="Calibri" w:cs="Calibri"/>
          <w:color w:val="000000" w:themeColor="text1"/>
          <w:szCs w:val="20"/>
        </w:rPr>
        <w:t>document</w:t>
      </w:r>
      <w:r w:rsidR="000463E0" w:rsidRPr="00AE7C97">
        <w:rPr>
          <w:rFonts w:ascii="Calibri" w:eastAsia="Times New Roman" w:hAnsi="Calibri" w:cs="Calibri"/>
          <w:color w:val="000000" w:themeColor="text1"/>
          <w:szCs w:val="20"/>
        </w:rPr>
        <w:t xml:space="preserve"> highlights the legal and policy issues that arise </w:t>
      </w:r>
      <w:r w:rsidR="002737E6">
        <w:rPr>
          <w:rFonts w:ascii="Calibri" w:eastAsia="Times New Roman" w:hAnsi="Calibri" w:cs="Calibri"/>
          <w:color w:val="000000" w:themeColor="text1"/>
          <w:szCs w:val="20"/>
        </w:rPr>
        <w:t>in</w:t>
      </w:r>
      <w:r w:rsidR="001E19EE" w:rsidRPr="00AE7C97">
        <w:rPr>
          <w:rFonts w:ascii="Calibri" w:eastAsia="Times New Roman" w:hAnsi="Calibri" w:cs="Calibri"/>
          <w:color w:val="000000" w:themeColor="text1"/>
          <w:szCs w:val="20"/>
        </w:rPr>
        <w:t xml:space="preserve"> the interaction of public health </w:t>
      </w:r>
      <w:r w:rsidR="002737E6">
        <w:rPr>
          <w:rFonts w:ascii="Calibri" w:eastAsia="Times New Roman" w:hAnsi="Calibri" w:cs="Calibri"/>
          <w:color w:val="000000" w:themeColor="text1"/>
          <w:szCs w:val="20"/>
        </w:rPr>
        <w:t xml:space="preserve">agencies </w:t>
      </w:r>
      <w:r w:rsidR="001E19EE" w:rsidRPr="00AE7C97">
        <w:rPr>
          <w:rFonts w:ascii="Calibri" w:eastAsia="Times New Roman" w:hAnsi="Calibri" w:cs="Calibri"/>
          <w:color w:val="000000" w:themeColor="text1"/>
          <w:szCs w:val="20"/>
        </w:rPr>
        <w:t xml:space="preserve">and schools </w:t>
      </w:r>
      <w:r w:rsidR="00D366A6" w:rsidRPr="00AE7C97">
        <w:rPr>
          <w:rFonts w:ascii="Calibri" w:eastAsia="Times New Roman" w:hAnsi="Calibri" w:cs="Calibri"/>
          <w:color w:val="000000" w:themeColor="text1"/>
          <w:szCs w:val="20"/>
        </w:rPr>
        <w:t xml:space="preserve">in emergency preparedness and response activities. </w:t>
      </w:r>
      <w:r w:rsidR="00000F62">
        <w:rPr>
          <w:rFonts w:ascii="Calibri" w:eastAsia="Times New Roman" w:hAnsi="Calibri" w:cs="Calibri"/>
          <w:color w:val="000000" w:themeColor="text1"/>
          <w:szCs w:val="20"/>
        </w:rPr>
        <w:t xml:space="preserve">It reviews the </w:t>
      </w:r>
      <w:r w:rsidR="00216BAF">
        <w:rPr>
          <w:rFonts w:ascii="Calibri" w:eastAsia="Times New Roman" w:hAnsi="Calibri" w:cs="Calibri"/>
          <w:color w:val="000000" w:themeColor="text1"/>
          <w:szCs w:val="20"/>
        </w:rPr>
        <w:t xml:space="preserve">range of </w:t>
      </w:r>
      <w:r w:rsidR="00B37451">
        <w:rPr>
          <w:rFonts w:ascii="Calibri" w:eastAsia="Times New Roman" w:hAnsi="Calibri" w:cs="Calibri"/>
          <w:color w:val="000000" w:themeColor="text1"/>
          <w:szCs w:val="20"/>
        </w:rPr>
        <w:t xml:space="preserve">legal authorities of </w:t>
      </w:r>
      <w:r w:rsidR="000463E0" w:rsidRPr="00AE7C97">
        <w:rPr>
          <w:rFonts w:ascii="Calibri" w:eastAsia="Times New Roman" w:hAnsi="Calibri" w:cs="Calibri"/>
          <w:color w:val="000000" w:themeColor="text1"/>
          <w:szCs w:val="20"/>
        </w:rPr>
        <w:t>public health officials</w:t>
      </w:r>
      <w:r w:rsidR="00B37451">
        <w:rPr>
          <w:rFonts w:ascii="Calibri" w:eastAsia="Times New Roman" w:hAnsi="Calibri" w:cs="Calibri"/>
          <w:color w:val="000000" w:themeColor="text1"/>
          <w:szCs w:val="20"/>
        </w:rPr>
        <w:t xml:space="preserve"> </w:t>
      </w:r>
      <w:r w:rsidR="0071225D">
        <w:rPr>
          <w:rFonts w:ascii="Calibri" w:eastAsia="Times New Roman" w:hAnsi="Calibri" w:cs="Calibri"/>
          <w:color w:val="000000" w:themeColor="text1"/>
          <w:szCs w:val="20"/>
        </w:rPr>
        <w:t>over schools</w:t>
      </w:r>
      <w:r w:rsidR="00216BAF">
        <w:rPr>
          <w:rFonts w:ascii="Calibri" w:eastAsia="Times New Roman" w:hAnsi="Calibri" w:cs="Calibri"/>
          <w:color w:val="000000" w:themeColor="text1"/>
          <w:szCs w:val="20"/>
        </w:rPr>
        <w:t xml:space="preserve">. This includes the authority </w:t>
      </w:r>
      <w:r w:rsidR="005B2890">
        <w:rPr>
          <w:rFonts w:ascii="Calibri" w:eastAsia="Times New Roman" w:hAnsi="Calibri" w:cs="Calibri"/>
          <w:color w:val="000000" w:themeColor="text1"/>
          <w:szCs w:val="20"/>
        </w:rPr>
        <w:t xml:space="preserve">to </w:t>
      </w:r>
      <w:r w:rsidR="00216BAF">
        <w:rPr>
          <w:rFonts w:ascii="Calibri" w:eastAsia="Times New Roman" w:hAnsi="Calibri" w:cs="Calibri"/>
          <w:color w:val="000000" w:themeColor="text1"/>
          <w:szCs w:val="20"/>
        </w:rPr>
        <w:t>require</w:t>
      </w:r>
      <w:r w:rsidR="005B2890">
        <w:rPr>
          <w:rFonts w:ascii="Calibri" w:eastAsia="Times New Roman" w:hAnsi="Calibri" w:cs="Calibri"/>
          <w:color w:val="000000" w:themeColor="text1"/>
          <w:szCs w:val="20"/>
        </w:rPr>
        <w:t xml:space="preserve"> school closure and other social distancing measures</w:t>
      </w:r>
      <w:r w:rsidR="00EC3B3D">
        <w:rPr>
          <w:rFonts w:ascii="Calibri" w:eastAsia="Times New Roman" w:hAnsi="Calibri" w:cs="Calibri"/>
          <w:color w:val="000000" w:themeColor="text1"/>
          <w:szCs w:val="20"/>
        </w:rPr>
        <w:t xml:space="preserve"> or </w:t>
      </w:r>
      <w:r w:rsidR="00533199">
        <w:rPr>
          <w:rFonts w:ascii="Calibri" w:eastAsia="Times New Roman" w:hAnsi="Calibri" w:cs="Calibri"/>
          <w:color w:val="000000" w:themeColor="text1"/>
          <w:szCs w:val="20"/>
        </w:rPr>
        <w:t>the need to plan for shelter-in-</w:t>
      </w:r>
      <w:r w:rsidR="00EC3B3D">
        <w:rPr>
          <w:rFonts w:ascii="Calibri" w:eastAsia="Times New Roman" w:hAnsi="Calibri" w:cs="Calibri"/>
          <w:color w:val="000000" w:themeColor="text1"/>
          <w:szCs w:val="20"/>
        </w:rPr>
        <w:t xml:space="preserve">place emergency scenarios. The document also </w:t>
      </w:r>
      <w:r w:rsidR="006E0773">
        <w:rPr>
          <w:rFonts w:ascii="Calibri" w:eastAsia="Times New Roman" w:hAnsi="Calibri" w:cs="Calibri"/>
          <w:color w:val="000000" w:themeColor="text1"/>
          <w:szCs w:val="20"/>
        </w:rPr>
        <w:t>reviews</w:t>
      </w:r>
      <w:r w:rsidR="00EC3B3D">
        <w:rPr>
          <w:rFonts w:ascii="Calibri" w:eastAsia="Times New Roman" w:hAnsi="Calibri" w:cs="Calibri"/>
          <w:color w:val="000000" w:themeColor="text1"/>
          <w:szCs w:val="20"/>
        </w:rPr>
        <w:t xml:space="preserve"> </w:t>
      </w:r>
      <w:r w:rsidR="003E5DDC" w:rsidRPr="00782E45">
        <w:rPr>
          <w:rFonts w:ascii="Calibri" w:eastAsia="Times New Roman" w:hAnsi="Calibri" w:cs="Calibri"/>
          <w:color w:val="000000" w:themeColor="text1"/>
          <w:szCs w:val="20"/>
        </w:rPr>
        <w:t xml:space="preserve">the legal and policy considerations that commonly arise with </w:t>
      </w:r>
      <w:r w:rsidR="00EC23CB">
        <w:rPr>
          <w:rFonts w:ascii="Calibri" w:eastAsia="Times New Roman" w:hAnsi="Calibri" w:cs="Calibri"/>
          <w:color w:val="000000" w:themeColor="text1"/>
          <w:szCs w:val="20"/>
        </w:rPr>
        <w:t xml:space="preserve">point of dispensing (POD) </w:t>
      </w:r>
      <w:r w:rsidR="00BE6F23">
        <w:rPr>
          <w:rFonts w:ascii="Calibri" w:eastAsia="Times New Roman" w:hAnsi="Calibri" w:cs="Calibri"/>
          <w:color w:val="000000" w:themeColor="text1"/>
          <w:szCs w:val="20"/>
        </w:rPr>
        <w:t xml:space="preserve">site to </w:t>
      </w:r>
      <w:r w:rsidR="00916DC2">
        <w:rPr>
          <w:rFonts w:ascii="Calibri" w:eastAsia="Times New Roman" w:hAnsi="Calibri" w:cs="Calibri"/>
          <w:color w:val="000000" w:themeColor="text1"/>
          <w:szCs w:val="20"/>
        </w:rPr>
        <w:t xml:space="preserve">administer medical countermeasures or vaccinations in an emergency. </w:t>
      </w:r>
    </w:p>
    <w:p w14:paraId="0A2F2C29" w14:textId="138401F6" w:rsidR="006F31E9" w:rsidRDefault="006F31E9" w:rsidP="006528A7">
      <w:pPr>
        <w:pStyle w:val="norm15"/>
        <w:rPr>
          <w:rFonts w:ascii="Calibri" w:eastAsia="Times New Roman" w:hAnsi="Calibri" w:cs="Calibri"/>
          <w:color w:val="000000" w:themeColor="text1"/>
          <w:szCs w:val="20"/>
        </w:rPr>
      </w:pPr>
    </w:p>
    <w:p w14:paraId="2E2050AE" w14:textId="6EF8E894" w:rsidR="001F77FD" w:rsidRPr="00D17935" w:rsidRDefault="001F77FD" w:rsidP="006528A7">
      <w:pPr>
        <w:pStyle w:val="norm15"/>
        <w:rPr>
          <w:rFonts w:ascii="Calibri" w:eastAsia="Times New Roman" w:hAnsi="Calibri" w:cs="Calibri"/>
          <w:b/>
          <w:bCs/>
          <w:color w:val="000000" w:themeColor="text1"/>
          <w:sz w:val="24"/>
        </w:rPr>
      </w:pPr>
      <w:r w:rsidRPr="00D17935">
        <w:rPr>
          <w:rFonts w:ascii="Calibri" w:eastAsia="Times New Roman" w:hAnsi="Calibri" w:cs="Calibri"/>
          <w:b/>
          <w:bCs/>
          <w:color w:val="000000" w:themeColor="text1"/>
          <w:sz w:val="24"/>
        </w:rPr>
        <w:t>Public Health</w:t>
      </w:r>
      <w:r w:rsidR="00530FF0" w:rsidRPr="00D17935">
        <w:rPr>
          <w:rFonts w:ascii="Calibri" w:eastAsia="Times New Roman" w:hAnsi="Calibri" w:cs="Calibri"/>
          <w:b/>
          <w:bCs/>
          <w:color w:val="000000" w:themeColor="text1"/>
          <w:sz w:val="24"/>
        </w:rPr>
        <w:t xml:space="preserve"> and Education </w:t>
      </w:r>
      <w:r w:rsidRPr="00D17935">
        <w:rPr>
          <w:rFonts w:ascii="Calibri" w:eastAsia="Times New Roman" w:hAnsi="Calibri" w:cs="Calibri"/>
          <w:b/>
          <w:bCs/>
          <w:color w:val="000000" w:themeColor="text1"/>
          <w:sz w:val="24"/>
        </w:rPr>
        <w:t xml:space="preserve">Legal Authorities </w:t>
      </w:r>
      <w:r w:rsidR="00530FF0" w:rsidRPr="00D17935">
        <w:rPr>
          <w:rFonts w:ascii="Calibri" w:eastAsia="Times New Roman" w:hAnsi="Calibri" w:cs="Calibri"/>
          <w:b/>
          <w:bCs/>
          <w:color w:val="000000" w:themeColor="text1"/>
          <w:sz w:val="24"/>
        </w:rPr>
        <w:t>in</w:t>
      </w:r>
      <w:r w:rsidRPr="00D17935">
        <w:rPr>
          <w:rFonts w:ascii="Calibri" w:eastAsia="Times New Roman" w:hAnsi="Calibri" w:cs="Calibri"/>
          <w:b/>
          <w:bCs/>
          <w:color w:val="000000" w:themeColor="text1"/>
          <w:sz w:val="24"/>
        </w:rPr>
        <w:t xml:space="preserve"> Schools</w:t>
      </w:r>
    </w:p>
    <w:p w14:paraId="376C3F24" w14:textId="77777777"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legal relationships and authorities between health agencies and schools, school districts, school boards, and state education agencies vary by state and even by locality. State laws differ as to which agency or agencies have the authority to initiate school closure and other public health measures in schools, the conditions under which the authority may be exercised, and the scope of authorities permitted.</w:t>
      </w:r>
    </w:p>
    <w:p w14:paraId="6064279E" w14:textId="77777777" w:rsidR="00D17935" w:rsidRDefault="00D17935" w:rsidP="003948E0">
      <w:pPr>
        <w:pStyle w:val="norm15"/>
        <w:rPr>
          <w:rFonts w:ascii="Calibri" w:eastAsia="Times New Roman" w:hAnsi="Calibri" w:cs="Calibri"/>
          <w:color w:val="000000" w:themeColor="text1"/>
          <w:szCs w:val="20"/>
          <w:bdr w:val="none" w:sz="0" w:space="0" w:color="auto" w:frame="1"/>
        </w:rPr>
      </w:pPr>
    </w:p>
    <w:p w14:paraId="785E81E5" w14:textId="77777777" w:rsidR="00350C27" w:rsidRDefault="003948E0" w:rsidP="003948E0">
      <w:pPr>
        <w:pStyle w:val="norm15"/>
        <w:rPr>
          <w:rFonts w:ascii="Calibri" w:eastAsia="Times New Roman" w:hAnsi="Calibri" w:cs="Calibri"/>
          <w:b/>
          <w:bCs/>
          <w:color w:val="000000" w:themeColor="text1"/>
          <w:szCs w:val="20"/>
          <w:bdr w:val="none" w:sz="0" w:space="0" w:color="auto" w:frame="1"/>
        </w:rPr>
      </w:pPr>
      <w:r w:rsidRPr="00350C27">
        <w:rPr>
          <w:rFonts w:ascii="Calibri" w:eastAsia="Times New Roman" w:hAnsi="Calibri" w:cs="Calibri"/>
          <w:b/>
          <w:bCs/>
          <w:color w:val="000000" w:themeColor="text1"/>
          <w:szCs w:val="20"/>
          <w:bdr w:val="none" w:sz="0" w:space="0" w:color="auto" w:frame="1"/>
        </w:rPr>
        <w:t>Conditions of Authority</w:t>
      </w:r>
    </w:p>
    <w:p w14:paraId="4EBF12B5" w14:textId="21669B3F"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authority of a public health official to institute public health measures in schools and the types of authorities permitted can depend on whether an emergency has been declared.</w:t>
      </w:r>
    </w:p>
    <w:p w14:paraId="1EA6A685" w14:textId="77777777" w:rsidR="00E36D41" w:rsidRPr="0089511A" w:rsidRDefault="00E36D41" w:rsidP="00E36D41">
      <w:pPr>
        <w:pStyle w:val="norm15"/>
        <w:rPr>
          <w:rFonts w:ascii="Calibri" w:eastAsia="Times New Roman" w:hAnsi="Calibri" w:cs="Calibri"/>
          <w:color w:val="000000" w:themeColor="text1"/>
          <w:szCs w:val="20"/>
          <w:bdr w:val="none" w:sz="0" w:space="0" w:color="auto" w:frame="1"/>
        </w:rPr>
      </w:pPr>
    </w:p>
    <w:p w14:paraId="2D0CB128" w14:textId="77777777" w:rsidR="00AF1120" w:rsidRDefault="003948E0" w:rsidP="00A33708">
      <w:pPr>
        <w:pStyle w:val="norm15"/>
        <w:keepNext/>
        <w:keepLines/>
        <w:rPr>
          <w:rFonts w:ascii="Calibri" w:eastAsia="Times New Roman" w:hAnsi="Calibri" w:cs="Calibri"/>
          <w:b/>
          <w:bCs/>
          <w:i/>
          <w:iCs/>
          <w:color w:val="000000" w:themeColor="text1"/>
          <w:szCs w:val="20"/>
          <w:bdr w:val="none" w:sz="0" w:space="0" w:color="auto" w:frame="1"/>
        </w:rPr>
      </w:pPr>
      <w:r w:rsidRPr="00E36D41">
        <w:rPr>
          <w:rFonts w:ascii="Calibri" w:eastAsia="Times New Roman" w:hAnsi="Calibri" w:cs="Calibri"/>
          <w:b/>
          <w:bCs/>
          <w:i/>
          <w:iCs/>
          <w:color w:val="000000" w:themeColor="text1"/>
          <w:szCs w:val="20"/>
          <w:bdr w:val="none" w:sz="0" w:space="0" w:color="auto" w:frame="1"/>
        </w:rPr>
        <w:lastRenderedPageBreak/>
        <w:t>Existing Authorities Without an Emergency Declaration</w:t>
      </w:r>
    </w:p>
    <w:p w14:paraId="396FB595" w14:textId="71ED3CFE" w:rsidR="003948E0" w:rsidRPr="00DE6532" w:rsidRDefault="003948E0" w:rsidP="00E36D41">
      <w:pPr>
        <w:pStyle w:val="norm15"/>
        <w:rPr>
          <w:rFonts w:ascii="Calibri" w:eastAsia="Times New Roman" w:hAnsi="Calibri" w:cs="Calibri"/>
          <w:color w:val="000000" w:themeColor="text1"/>
          <w:szCs w:val="20"/>
          <w:bdr w:val="none" w:sz="0" w:space="0" w:color="auto" w:frame="1"/>
        </w:rPr>
      </w:pPr>
      <w:r w:rsidRPr="006528A7">
        <w:rPr>
          <w:rFonts w:ascii="Calibri" w:eastAsia="Times New Roman" w:hAnsi="Calibri" w:cs="Calibri"/>
          <w:color w:val="000000" w:themeColor="text1"/>
          <w:szCs w:val="20"/>
        </w:rPr>
        <w:t>State officials generally have existing broad powers to address emergency situations by virtue of the statutory authorities granted to their position without having to formally declare a state of emergency. A health officer's existing authorities generally include a broad grant of authority</w:t>
      </w:r>
      <w:r w:rsidR="00A97BBF">
        <w:rPr>
          <w:rFonts w:ascii="Calibri" w:eastAsia="Times New Roman" w:hAnsi="Calibri" w:cs="Calibri"/>
          <w:color w:val="000000" w:themeColor="text1"/>
          <w:szCs w:val="20"/>
        </w:rPr>
        <w:t>.</w:t>
      </w:r>
      <w:r w:rsidRPr="006528A7">
        <w:rPr>
          <w:rFonts w:ascii="Calibri" w:eastAsia="Times New Roman" w:hAnsi="Calibri" w:cs="Calibri"/>
          <w:color w:val="000000" w:themeColor="text1"/>
          <w:szCs w:val="20"/>
        </w:rPr>
        <w:t xml:space="preserve"> The determination to declare or not to declare an emergency has implications for the legal authorities and operational resources available to respond to an event.</w:t>
      </w:r>
    </w:p>
    <w:p w14:paraId="0D95E408" w14:textId="77777777" w:rsidR="003948E0" w:rsidRPr="006528A7" w:rsidRDefault="003948E0" w:rsidP="003948E0">
      <w:pPr>
        <w:pStyle w:val="norm15"/>
        <w:rPr>
          <w:rFonts w:ascii="Calibri" w:eastAsia="Times New Roman" w:hAnsi="Calibri" w:cs="Calibri"/>
          <w:color w:val="000000" w:themeColor="text1"/>
          <w:szCs w:val="20"/>
        </w:rPr>
      </w:pPr>
    </w:p>
    <w:p w14:paraId="3239F08B" w14:textId="73CDE4B4" w:rsidR="00AF1120" w:rsidRDefault="003948E0" w:rsidP="003948E0">
      <w:pPr>
        <w:pStyle w:val="norm15"/>
        <w:rPr>
          <w:rFonts w:ascii="Calibri" w:eastAsia="Times New Roman" w:hAnsi="Calibri" w:cs="Calibri"/>
          <w:b/>
          <w:bCs/>
          <w:i/>
          <w:iCs/>
          <w:color w:val="000000" w:themeColor="text1"/>
          <w:szCs w:val="20"/>
          <w:bdr w:val="none" w:sz="0" w:space="0" w:color="auto" w:frame="1"/>
        </w:rPr>
      </w:pPr>
      <w:r w:rsidRPr="00B90E15">
        <w:rPr>
          <w:rFonts w:ascii="Calibri" w:eastAsia="Times New Roman" w:hAnsi="Calibri" w:cs="Calibri"/>
          <w:b/>
          <w:bCs/>
          <w:i/>
          <w:iCs/>
          <w:color w:val="000000" w:themeColor="text1"/>
          <w:szCs w:val="20"/>
          <w:bdr w:val="none" w:sz="0" w:space="0" w:color="auto" w:frame="1"/>
        </w:rPr>
        <w:t>Emergency Authoritie</w:t>
      </w:r>
      <w:r w:rsidR="00AF1120">
        <w:rPr>
          <w:rFonts w:ascii="Calibri" w:eastAsia="Times New Roman" w:hAnsi="Calibri" w:cs="Calibri"/>
          <w:b/>
          <w:bCs/>
          <w:i/>
          <w:iCs/>
          <w:color w:val="000000" w:themeColor="text1"/>
          <w:szCs w:val="20"/>
          <w:bdr w:val="none" w:sz="0" w:space="0" w:color="auto" w:frame="1"/>
        </w:rPr>
        <w:t>s</w:t>
      </w:r>
    </w:p>
    <w:p w14:paraId="4A59C4A6" w14:textId="3E2F021D" w:rsidR="003948E0" w:rsidRPr="00AF1120" w:rsidRDefault="003948E0" w:rsidP="003948E0">
      <w:pPr>
        <w:pStyle w:val="norm15"/>
        <w:rPr>
          <w:rFonts w:ascii="Calibri" w:eastAsia="Times New Roman" w:hAnsi="Calibri" w:cs="Calibri"/>
          <w:b/>
          <w:bCs/>
          <w:i/>
          <w:iCs/>
          <w:color w:val="000000" w:themeColor="text1"/>
          <w:szCs w:val="20"/>
          <w:bdr w:val="none" w:sz="0" w:space="0" w:color="auto" w:frame="1"/>
        </w:rPr>
      </w:pPr>
      <w:r w:rsidRPr="006528A7">
        <w:rPr>
          <w:rFonts w:ascii="Calibri" w:eastAsia="Times New Roman" w:hAnsi="Calibri" w:cs="Calibri"/>
          <w:color w:val="000000" w:themeColor="text1"/>
          <w:szCs w:val="20"/>
        </w:rPr>
        <w:t xml:space="preserve">An emergency declaration allows certain governmental officials to temporarily suspend </w:t>
      </w:r>
      <w:r w:rsidR="0031028D">
        <w:rPr>
          <w:rFonts w:ascii="Calibri" w:eastAsia="Times New Roman" w:hAnsi="Calibri" w:cs="Calibri"/>
          <w:color w:val="000000" w:themeColor="text1"/>
          <w:szCs w:val="20"/>
        </w:rPr>
        <w:t xml:space="preserve">normal </w:t>
      </w:r>
      <w:r w:rsidRPr="006528A7">
        <w:rPr>
          <w:rFonts w:ascii="Calibri" w:eastAsia="Times New Roman" w:hAnsi="Calibri" w:cs="Calibri"/>
          <w:color w:val="000000" w:themeColor="text1"/>
          <w:szCs w:val="20"/>
        </w:rPr>
        <w:t>governmental operations and implement response activities to address the emergency circumstances. The authority to declare an emergency is determined by law and reserved for a chief executive officer (e.g., a governor) and key senior governmental officials (e.g., a state health officer, state education director). In some states, local officials may be able to declare local emergencies. While unique to each state, generally the governor (or other official) may declare an emergency by issuing an executive order or other declaration that outlines the conditions giving rise to the emergency, the effective date and duration of the declaration, and the agency leading the response. Gubernatorial and other declarations may require legislative approval within a given time period or upon seeking renewal of the declaration.</w:t>
      </w:r>
      <w:r w:rsidR="00885999">
        <w:rPr>
          <w:rFonts w:ascii="Calibri" w:eastAsia="Times New Roman" w:hAnsi="Calibri" w:cs="Calibri"/>
          <w:color w:val="000000" w:themeColor="text1"/>
          <w:szCs w:val="20"/>
        </w:rPr>
        <w:t xml:space="preserve"> The COVID-19 pandemic saw the widespread </w:t>
      </w:r>
      <w:r w:rsidR="00F5571B">
        <w:rPr>
          <w:rFonts w:ascii="Calibri" w:eastAsia="Times New Roman" w:hAnsi="Calibri" w:cs="Calibri"/>
          <w:color w:val="000000" w:themeColor="text1"/>
          <w:szCs w:val="20"/>
        </w:rPr>
        <w:t xml:space="preserve">implementation of </w:t>
      </w:r>
      <w:r w:rsidR="009A5C21">
        <w:rPr>
          <w:rFonts w:ascii="Calibri" w:eastAsia="Times New Roman" w:hAnsi="Calibri" w:cs="Calibri"/>
          <w:color w:val="000000" w:themeColor="text1"/>
          <w:szCs w:val="20"/>
        </w:rPr>
        <w:t>governmental</w:t>
      </w:r>
      <w:r w:rsidR="0022491C">
        <w:rPr>
          <w:rFonts w:ascii="Calibri" w:eastAsia="Times New Roman" w:hAnsi="Calibri" w:cs="Calibri"/>
          <w:color w:val="000000" w:themeColor="text1"/>
          <w:szCs w:val="20"/>
        </w:rPr>
        <w:t xml:space="preserve"> emergency declarations affecting a range of </w:t>
      </w:r>
      <w:r w:rsidR="00344352">
        <w:rPr>
          <w:rFonts w:ascii="Calibri" w:eastAsia="Times New Roman" w:hAnsi="Calibri" w:cs="Calibri"/>
          <w:color w:val="000000" w:themeColor="text1"/>
          <w:szCs w:val="20"/>
        </w:rPr>
        <w:t xml:space="preserve">public and private activities, including the </w:t>
      </w:r>
      <w:r w:rsidR="005337F1">
        <w:rPr>
          <w:rFonts w:ascii="Calibri" w:eastAsia="Times New Roman" w:hAnsi="Calibri" w:cs="Calibri"/>
          <w:color w:val="000000" w:themeColor="text1"/>
          <w:szCs w:val="20"/>
        </w:rPr>
        <w:t xml:space="preserve">school </w:t>
      </w:r>
      <w:r w:rsidR="00344352">
        <w:rPr>
          <w:rFonts w:ascii="Calibri" w:eastAsia="Times New Roman" w:hAnsi="Calibri" w:cs="Calibri"/>
          <w:color w:val="000000" w:themeColor="text1"/>
          <w:szCs w:val="20"/>
        </w:rPr>
        <w:t>clo</w:t>
      </w:r>
      <w:r w:rsidR="005337F1">
        <w:rPr>
          <w:rFonts w:ascii="Calibri" w:eastAsia="Times New Roman" w:hAnsi="Calibri" w:cs="Calibri"/>
          <w:color w:val="000000" w:themeColor="text1"/>
          <w:szCs w:val="20"/>
        </w:rPr>
        <w:t xml:space="preserve">sures, </w:t>
      </w:r>
      <w:r w:rsidR="00344352">
        <w:rPr>
          <w:rFonts w:ascii="Calibri" w:eastAsia="Times New Roman" w:hAnsi="Calibri" w:cs="Calibri"/>
          <w:color w:val="000000" w:themeColor="text1"/>
          <w:szCs w:val="20"/>
        </w:rPr>
        <w:t xml:space="preserve">modification of school </w:t>
      </w:r>
      <w:r w:rsidR="00FE3D0C">
        <w:rPr>
          <w:rFonts w:ascii="Calibri" w:eastAsia="Times New Roman" w:hAnsi="Calibri" w:cs="Calibri"/>
          <w:color w:val="000000" w:themeColor="text1"/>
          <w:szCs w:val="20"/>
        </w:rPr>
        <w:t>schedules</w:t>
      </w:r>
      <w:r w:rsidR="005337F1">
        <w:rPr>
          <w:rFonts w:ascii="Calibri" w:eastAsia="Times New Roman" w:hAnsi="Calibri" w:cs="Calibri"/>
          <w:color w:val="000000" w:themeColor="text1"/>
          <w:szCs w:val="20"/>
        </w:rPr>
        <w:t xml:space="preserve"> and services</w:t>
      </w:r>
      <w:r w:rsidR="009A5C21">
        <w:rPr>
          <w:rFonts w:ascii="Calibri" w:eastAsia="Times New Roman" w:hAnsi="Calibri" w:cs="Calibri"/>
          <w:color w:val="000000" w:themeColor="text1"/>
          <w:szCs w:val="20"/>
        </w:rPr>
        <w:t>, and school re-opening</w:t>
      </w:r>
      <w:r w:rsidR="005337F1">
        <w:rPr>
          <w:rFonts w:ascii="Calibri" w:eastAsia="Times New Roman" w:hAnsi="Calibri" w:cs="Calibri"/>
          <w:color w:val="000000" w:themeColor="text1"/>
          <w:szCs w:val="20"/>
        </w:rPr>
        <w:t>s</w:t>
      </w:r>
      <w:r w:rsidR="00FE3D0C">
        <w:rPr>
          <w:rFonts w:ascii="Calibri" w:eastAsia="Times New Roman" w:hAnsi="Calibri" w:cs="Calibri"/>
          <w:color w:val="000000" w:themeColor="text1"/>
          <w:szCs w:val="20"/>
        </w:rPr>
        <w:t>.</w:t>
      </w:r>
      <w:r w:rsidR="00FE3D0C">
        <w:rPr>
          <w:rStyle w:val="FootnoteReference"/>
          <w:rFonts w:ascii="Calibri" w:eastAsia="Times New Roman" w:hAnsi="Calibri" w:cs="Calibri"/>
          <w:color w:val="000000" w:themeColor="text1"/>
          <w:szCs w:val="20"/>
        </w:rPr>
        <w:footnoteReference w:id="1"/>
      </w:r>
    </w:p>
    <w:p w14:paraId="70D9E18E" w14:textId="77777777" w:rsidR="003948E0" w:rsidRPr="006528A7" w:rsidRDefault="003948E0" w:rsidP="003948E0">
      <w:pPr>
        <w:pStyle w:val="norm15"/>
        <w:rPr>
          <w:rFonts w:ascii="Calibri" w:eastAsia="Times New Roman" w:hAnsi="Calibri" w:cs="Calibri"/>
          <w:color w:val="000000" w:themeColor="text1"/>
          <w:szCs w:val="20"/>
        </w:rPr>
      </w:pPr>
    </w:p>
    <w:p w14:paraId="71AEE8D6" w14:textId="259C8F2B"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 xml:space="preserve">State emergency declarations activate emergency authorities designed to facilitate the response and recovery to the emergency event. A state emergency declaration </w:t>
      </w:r>
      <w:r w:rsidR="00530DA3">
        <w:rPr>
          <w:rFonts w:ascii="Calibri" w:eastAsia="Times New Roman" w:hAnsi="Calibri" w:cs="Calibri"/>
          <w:color w:val="000000" w:themeColor="text1"/>
          <w:szCs w:val="20"/>
        </w:rPr>
        <w:t>activates</w:t>
      </w:r>
      <w:r w:rsidRPr="006528A7">
        <w:rPr>
          <w:rFonts w:ascii="Calibri" w:eastAsia="Times New Roman" w:hAnsi="Calibri" w:cs="Calibri"/>
          <w:color w:val="000000" w:themeColor="text1"/>
          <w:szCs w:val="20"/>
        </w:rPr>
        <w:t xml:space="preserve"> a number of authorities and actions by state and/or local governments, such as: (1) activation of state emergency response plans and mutual aid agreements; (2) activation of state incident command systems and emergency operation centers; (3) deployment of personnel, equipment, supplies, and stockpiles; (4) activation of statutory immunities and liability protections for responders; and (5) suspension or waiver of rules, regulations, </w:t>
      </w:r>
      <w:r w:rsidRPr="006528A7">
        <w:rPr>
          <w:rFonts w:ascii="Calibri" w:eastAsia="Times New Roman" w:hAnsi="Calibri" w:cs="Calibri"/>
          <w:color w:val="000000" w:themeColor="text1"/>
          <w:szCs w:val="20"/>
        </w:rPr>
        <w:lastRenderedPageBreak/>
        <w:t>and administrative procedures. In some states, an emergency declaration authorizes the waiver of specified statutory requirements.</w:t>
      </w:r>
    </w:p>
    <w:p w14:paraId="5E275B71" w14:textId="77777777" w:rsidR="003948E0" w:rsidRPr="006528A7" w:rsidRDefault="003948E0" w:rsidP="003948E0">
      <w:pPr>
        <w:pStyle w:val="norm15"/>
        <w:rPr>
          <w:rFonts w:ascii="Calibri" w:eastAsia="Times New Roman" w:hAnsi="Calibri" w:cs="Calibri"/>
          <w:color w:val="000000" w:themeColor="text1"/>
          <w:szCs w:val="20"/>
        </w:rPr>
      </w:pPr>
    </w:p>
    <w:p w14:paraId="26EBE813" w14:textId="77777777" w:rsidR="003948E0" w:rsidRPr="00B868DF" w:rsidRDefault="003948E0" w:rsidP="003948E0">
      <w:pPr>
        <w:pStyle w:val="norm15"/>
        <w:rPr>
          <w:rFonts w:ascii="Calibri" w:eastAsia="Times New Roman" w:hAnsi="Calibri" w:cs="Calibri"/>
          <w:b/>
          <w:bCs/>
          <w:color w:val="3C3030"/>
        </w:rPr>
      </w:pPr>
      <w:r w:rsidRPr="00B868DF">
        <w:rPr>
          <w:rFonts w:ascii="Calibri" w:eastAsia="Times New Roman" w:hAnsi="Calibri" w:cs="Calibri"/>
          <w:b/>
          <w:bCs/>
          <w:color w:val="3C3030"/>
        </w:rPr>
        <w:t>Agencies Authorized to Act</w:t>
      </w:r>
    </w:p>
    <w:p w14:paraId="4332FB91" w14:textId="071ED0BA"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Depending on the state or locality, several agencies generally have exclusive or shared authority to institute various public health measures in schools. The agency authorized to act can change depending on whether or not an emergency has been declared. State or local public agencies are generally vested with broad authority to protect the public's health and to control communicable diseases. Depending on a state’s laws, these authorities can be used to institute public health measures such as requiring sick persons to stay home or canceling school assemblies and activities without an emergency declaration. During emergencies, public health officials typically gain additional authorities, including the ability to close schools and enforce other social distancing measures. Some state public health laws may permit closure and quarantine absent an emergency declaration.</w:t>
      </w:r>
    </w:p>
    <w:p w14:paraId="1BF8CF98" w14:textId="77777777" w:rsidR="00530DA3" w:rsidRDefault="00530DA3" w:rsidP="003948E0">
      <w:pPr>
        <w:pStyle w:val="norm15"/>
        <w:rPr>
          <w:rFonts w:ascii="Calibri" w:eastAsia="Times New Roman" w:hAnsi="Calibri" w:cs="Calibri"/>
          <w:color w:val="000000" w:themeColor="text1"/>
          <w:szCs w:val="20"/>
        </w:rPr>
      </w:pPr>
    </w:p>
    <w:p w14:paraId="15E9BB47" w14:textId="5A20F98A" w:rsidR="003948E0" w:rsidRPr="006912D3"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When it comes to express authority to close schools outside of declared emergencies, most commonly it is vested exclusively in state or local health agencies. However, in some states closure authority resides exclusively with state or local education authorities.</w:t>
      </w:r>
      <w:r w:rsidR="00A9512B">
        <w:rPr>
          <w:rStyle w:val="FootnoteReference"/>
          <w:rFonts w:ascii="Calibri" w:eastAsia="Times New Roman" w:hAnsi="Calibri" w:cs="Calibri"/>
          <w:color w:val="000000" w:themeColor="text1"/>
          <w:szCs w:val="20"/>
        </w:rPr>
        <w:footnoteReference w:id="2"/>
      </w:r>
      <w:r w:rsidR="00A9512B">
        <w:rPr>
          <w:rFonts w:ascii="Calibri" w:eastAsia="Times New Roman" w:hAnsi="Calibri" w:cs="Calibri"/>
          <w:color w:val="000000" w:themeColor="text1"/>
          <w:szCs w:val="20"/>
          <w:bdr w:val="none" w:sz="0" w:space="0" w:color="auto" w:frame="1"/>
        </w:rPr>
        <w:t xml:space="preserve"> </w:t>
      </w:r>
      <w:r w:rsidRPr="006528A7">
        <w:rPr>
          <w:rFonts w:ascii="Calibri" w:eastAsia="Times New Roman" w:hAnsi="Calibri" w:cs="Calibri"/>
          <w:color w:val="000000" w:themeColor="text1"/>
          <w:szCs w:val="20"/>
        </w:rPr>
        <w:t>In a few states, closure is vested in both health and education authorities.</w:t>
      </w:r>
      <w:r w:rsidR="00A9512B">
        <w:rPr>
          <w:rStyle w:val="FootnoteReference"/>
          <w:rFonts w:ascii="Calibri" w:eastAsia="Times New Roman" w:hAnsi="Calibri" w:cs="Calibri"/>
          <w:color w:val="000000" w:themeColor="text1"/>
          <w:szCs w:val="20"/>
        </w:rPr>
        <w:footnoteReference w:id="3"/>
      </w:r>
      <w:r w:rsidR="00A9512B">
        <w:rPr>
          <w:rFonts w:ascii="Calibri" w:eastAsia="Times New Roman" w:hAnsi="Calibri" w:cs="Calibri"/>
          <w:color w:val="000000" w:themeColor="text1"/>
          <w:sz w:val="16"/>
          <w:szCs w:val="14"/>
          <w:bdr w:val="none" w:sz="0" w:space="0" w:color="auto" w:frame="1"/>
        </w:rPr>
        <w:t xml:space="preserve"> </w:t>
      </w:r>
      <w:r w:rsidRPr="006528A7">
        <w:rPr>
          <w:rFonts w:ascii="Calibri" w:eastAsia="Times New Roman" w:hAnsi="Calibri" w:cs="Calibri"/>
          <w:color w:val="000000" w:themeColor="text1"/>
          <w:szCs w:val="20"/>
        </w:rPr>
        <w:t>Once an emergency is declared, state emergency management agencies—as the agency in charge of state’s emergency response to a declared emergency—may gain the exclusive authority to close schools.</w:t>
      </w:r>
      <w:r w:rsidR="00700E56">
        <w:rPr>
          <w:rStyle w:val="FootnoteReference"/>
          <w:rFonts w:ascii="Calibri" w:eastAsia="Times New Roman" w:hAnsi="Calibri" w:cs="Calibri"/>
          <w:color w:val="000000" w:themeColor="text1"/>
          <w:szCs w:val="20"/>
        </w:rPr>
        <w:footnoteReference w:id="4"/>
      </w:r>
      <w:r w:rsidR="006912D3">
        <w:rPr>
          <w:rFonts w:ascii="Calibri" w:eastAsia="Times New Roman" w:hAnsi="Calibri" w:cs="Calibri"/>
          <w:color w:val="000000" w:themeColor="text1"/>
          <w:szCs w:val="20"/>
        </w:rPr>
        <w:t xml:space="preserve"> </w:t>
      </w:r>
      <w:r w:rsidRPr="006528A7">
        <w:rPr>
          <w:rFonts w:ascii="Calibri" w:eastAsia="Times New Roman" w:hAnsi="Calibri" w:cs="Calibri"/>
          <w:color w:val="000000" w:themeColor="text1"/>
          <w:szCs w:val="20"/>
        </w:rPr>
        <w:t>In other states, state health or state education agencies have the authority to close schools in emergencies.</w:t>
      </w:r>
      <w:r w:rsidR="006912D3">
        <w:rPr>
          <w:rStyle w:val="FootnoteReference"/>
          <w:rFonts w:ascii="Calibri" w:eastAsia="Times New Roman" w:hAnsi="Calibri" w:cs="Calibri"/>
          <w:color w:val="000000" w:themeColor="text1"/>
          <w:szCs w:val="20"/>
        </w:rPr>
        <w:footnoteReference w:id="5"/>
      </w:r>
    </w:p>
    <w:p w14:paraId="42C23EDA" w14:textId="77777777" w:rsidR="003948E0" w:rsidRPr="006528A7" w:rsidRDefault="003948E0" w:rsidP="003948E0">
      <w:pPr>
        <w:pStyle w:val="norm15"/>
        <w:rPr>
          <w:rFonts w:ascii="Calibri" w:eastAsia="Times New Roman" w:hAnsi="Calibri" w:cs="Calibri"/>
        </w:rPr>
      </w:pPr>
    </w:p>
    <w:p w14:paraId="30F2038B" w14:textId="77777777" w:rsidR="003948E0" w:rsidRPr="00530DA3" w:rsidRDefault="003948E0" w:rsidP="00047E63">
      <w:pPr>
        <w:pStyle w:val="norm15"/>
        <w:keepNext/>
        <w:keepLines/>
        <w:rPr>
          <w:rFonts w:ascii="Calibri" w:eastAsia="Times New Roman" w:hAnsi="Calibri" w:cs="Calibri"/>
          <w:b/>
          <w:bCs/>
          <w:color w:val="3C3030"/>
        </w:rPr>
      </w:pPr>
      <w:r w:rsidRPr="00530DA3">
        <w:rPr>
          <w:rFonts w:ascii="Calibri" w:eastAsia="Times New Roman" w:hAnsi="Calibri" w:cs="Calibri"/>
          <w:b/>
          <w:bCs/>
          <w:color w:val="3C3030"/>
        </w:rPr>
        <w:t>Scope of Authority</w:t>
      </w:r>
    </w:p>
    <w:p w14:paraId="4F7EB6E0" w14:textId="77777777" w:rsidR="003948E0" w:rsidRPr="006528A7" w:rsidRDefault="003948E0" w:rsidP="00025C8F">
      <w:pPr>
        <w:pStyle w:val="norm15"/>
        <w:spacing w:after="120"/>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types of legal authorities that, depending on the jurisdiction, could be used to initiate public health measures in schools include, but are not limited to:</w:t>
      </w:r>
    </w:p>
    <w:p w14:paraId="4B3A7EE0" w14:textId="5F91777A" w:rsidR="003948E0" w:rsidRPr="006528A7" w:rsidRDefault="003948E0" w:rsidP="00025C8F">
      <w:pPr>
        <w:pStyle w:val="norm15"/>
        <w:numPr>
          <w:ilvl w:val="0"/>
          <w:numId w:val="8"/>
        </w:numPr>
        <w:spacing w:after="120"/>
        <w:rPr>
          <w:rFonts w:ascii="Calibri" w:eastAsia="Times New Roman" w:hAnsi="Calibri" w:cs="Calibri"/>
          <w:color w:val="000000" w:themeColor="text1"/>
          <w:szCs w:val="20"/>
        </w:rPr>
      </w:pPr>
      <w:r w:rsidRPr="00142191">
        <w:rPr>
          <w:rFonts w:ascii="Calibri" w:eastAsia="Times New Roman" w:hAnsi="Calibri" w:cs="Calibri"/>
          <w:b/>
          <w:bCs/>
          <w:color w:val="000000" w:themeColor="text1"/>
          <w:szCs w:val="20"/>
          <w:bdr w:val="none" w:sz="0" w:space="0" w:color="auto" w:frame="1"/>
        </w:rPr>
        <w:t>Protect</w:t>
      </w:r>
      <w:r w:rsidR="00142191">
        <w:rPr>
          <w:rFonts w:ascii="Calibri" w:eastAsia="Times New Roman" w:hAnsi="Calibri" w:cs="Calibri"/>
          <w:b/>
          <w:bCs/>
          <w:color w:val="000000" w:themeColor="text1"/>
          <w:szCs w:val="20"/>
          <w:bdr w:val="none" w:sz="0" w:space="0" w:color="auto" w:frame="1"/>
        </w:rPr>
        <w:t xml:space="preserve">ing </w:t>
      </w:r>
      <w:r w:rsidR="007A65E7" w:rsidRPr="00142191">
        <w:rPr>
          <w:rFonts w:ascii="Calibri" w:eastAsia="Times New Roman" w:hAnsi="Calibri" w:cs="Calibri"/>
          <w:b/>
          <w:bCs/>
          <w:color w:val="000000" w:themeColor="text1"/>
          <w:szCs w:val="20"/>
          <w:bdr w:val="none" w:sz="0" w:space="0" w:color="auto" w:frame="1"/>
        </w:rPr>
        <w:t>public health and safety</w:t>
      </w:r>
      <w:r w:rsidR="009F3331">
        <w:rPr>
          <w:rFonts w:ascii="Calibri" w:eastAsia="Times New Roman" w:hAnsi="Calibri" w:cs="Calibri"/>
          <w:color w:val="000000" w:themeColor="text1"/>
          <w:szCs w:val="20"/>
        </w:rPr>
        <w:t>–</w:t>
      </w:r>
      <w:r w:rsidRPr="006528A7">
        <w:rPr>
          <w:rFonts w:ascii="Calibri" w:eastAsia="Times New Roman" w:hAnsi="Calibri" w:cs="Calibri"/>
          <w:color w:val="000000" w:themeColor="text1"/>
          <w:szCs w:val="20"/>
        </w:rPr>
        <w:t>This is a broad grant of authority that generally rests with the health agency, board of health, or the chief public health official that can be exercised absent an emergency declaration.</w:t>
      </w:r>
    </w:p>
    <w:p w14:paraId="1E222680" w14:textId="7660670D" w:rsidR="003948E0" w:rsidRPr="006528A7" w:rsidRDefault="00142191" w:rsidP="00025C8F">
      <w:pPr>
        <w:pStyle w:val="norm15"/>
        <w:numPr>
          <w:ilvl w:val="0"/>
          <w:numId w:val="8"/>
        </w:numPr>
        <w:spacing w:after="120"/>
        <w:rPr>
          <w:rFonts w:ascii="Calibri" w:eastAsia="Times New Roman" w:hAnsi="Calibri" w:cs="Calibri"/>
          <w:color w:val="000000" w:themeColor="text1"/>
          <w:szCs w:val="20"/>
        </w:rPr>
      </w:pPr>
      <w:r w:rsidRPr="00142191">
        <w:rPr>
          <w:rFonts w:ascii="Calibri" w:eastAsia="Times New Roman" w:hAnsi="Calibri" w:cs="Calibri"/>
          <w:b/>
          <w:bCs/>
          <w:color w:val="000000" w:themeColor="text1"/>
          <w:szCs w:val="20"/>
          <w:bdr w:val="none" w:sz="0" w:space="0" w:color="auto" w:frame="1"/>
        </w:rPr>
        <w:t>Control</w:t>
      </w:r>
      <w:r>
        <w:rPr>
          <w:rFonts w:ascii="Calibri" w:eastAsia="Times New Roman" w:hAnsi="Calibri" w:cs="Calibri"/>
          <w:b/>
          <w:bCs/>
          <w:color w:val="000000" w:themeColor="text1"/>
          <w:szCs w:val="20"/>
          <w:bdr w:val="none" w:sz="0" w:space="0" w:color="auto" w:frame="1"/>
        </w:rPr>
        <w:t>ling</w:t>
      </w:r>
      <w:r w:rsidR="003948E0" w:rsidRPr="00142191">
        <w:rPr>
          <w:rFonts w:ascii="Calibri" w:eastAsia="Times New Roman" w:hAnsi="Calibri" w:cs="Calibri"/>
          <w:b/>
          <w:bCs/>
          <w:color w:val="000000" w:themeColor="text1"/>
          <w:szCs w:val="20"/>
          <w:bdr w:val="none" w:sz="0" w:space="0" w:color="auto" w:frame="1"/>
        </w:rPr>
        <w:t xml:space="preserve"> and </w:t>
      </w:r>
      <w:r w:rsidR="007A65E7" w:rsidRPr="00142191">
        <w:rPr>
          <w:rFonts w:ascii="Calibri" w:eastAsia="Times New Roman" w:hAnsi="Calibri" w:cs="Calibri"/>
          <w:b/>
          <w:bCs/>
          <w:color w:val="000000" w:themeColor="text1"/>
          <w:szCs w:val="20"/>
          <w:bdr w:val="none" w:sz="0" w:space="0" w:color="auto" w:frame="1"/>
        </w:rPr>
        <w:t>prevent</w:t>
      </w:r>
      <w:r w:rsidR="007A65E7">
        <w:rPr>
          <w:rFonts w:ascii="Calibri" w:eastAsia="Times New Roman" w:hAnsi="Calibri" w:cs="Calibri"/>
          <w:b/>
          <w:bCs/>
          <w:color w:val="000000" w:themeColor="text1"/>
          <w:szCs w:val="20"/>
          <w:bdr w:val="none" w:sz="0" w:space="0" w:color="auto" w:frame="1"/>
        </w:rPr>
        <w:t>ing</w:t>
      </w:r>
      <w:r w:rsidR="007A65E7" w:rsidRPr="00142191">
        <w:rPr>
          <w:rFonts w:ascii="Calibri" w:eastAsia="Times New Roman" w:hAnsi="Calibri" w:cs="Calibri"/>
          <w:b/>
          <w:bCs/>
          <w:color w:val="000000" w:themeColor="text1"/>
          <w:szCs w:val="20"/>
          <w:bdr w:val="none" w:sz="0" w:space="0" w:color="auto" w:frame="1"/>
        </w:rPr>
        <w:t xml:space="preserve"> the spread of communicable diseases</w:t>
      </w:r>
      <w:r w:rsidR="007A65E7">
        <w:rPr>
          <w:rFonts w:ascii="Calibri" w:eastAsia="Times New Roman" w:hAnsi="Calibri" w:cs="Calibri"/>
          <w:color w:val="000000" w:themeColor="text1"/>
          <w:szCs w:val="20"/>
        </w:rPr>
        <w:t>–</w:t>
      </w:r>
      <w:r w:rsidR="003948E0" w:rsidRPr="006528A7">
        <w:rPr>
          <w:rFonts w:ascii="Calibri" w:eastAsia="Times New Roman" w:hAnsi="Calibri" w:cs="Calibri"/>
          <w:color w:val="000000" w:themeColor="text1"/>
          <w:szCs w:val="20"/>
        </w:rPr>
        <w:t>This is another broad grant of existing authority to health agency officials that typically allows for disease surveillance, investigation, and control activities. Control activities may be specified, such as permitting the quarantine of persons and facilities.</w:t>
      </w:r>
    </w:p>
    <w:p w14:paraId="1F2BCF26" w14:textId="6459625B" w:rsidR="003948E0" w:rsidRPr="006528A7" w:rsidRDefault="003948E0" w:rsidP="00025C8F">
      <w:pPr>
        <w:pStyle w:val="norm15"/>
        <w:numPr>
          <w:ilvl w:val="0"/>
          <w:numId w:val="8"/>
        </w:numPr>
        <w:spacing w:after="120"/>
        <w:rPr>
          <w:rFonts w:ascii="Calibri" w:eastAsia="Times New Roman" w:hAnsi="Calibri" w:cs="Calibri"/>
          <w:color w:val="000000" w:themeColor="text1"/>
          <w:szCs w:val="20"/>
        </w:rPr>
      </w:pPr>
      <w:r w:rsidRPr="00142191">
        <w:rPr>
          <w:rFonts w:ascii="Calibri" w:eastAsia="Times New Roman" w:hAnsi="Calibri" w:cs="Calibri"/>
          <w:b/>
          <w:bCs/>
          <w:color w:val="000000" w:themeColor="text1"/>
          <w:szCs w:val="20"/>
          <w:bdr w:val="none" w:sz="0" w:space="0" w:color="auto" w:frame="1"/>
        </w:rPr>
        <w:t>Institut</w:t>
      </w:r>
      <w:r w:rsidR="00142191" w:rsidRPr="00142191">
        <w:rPr>
          <w:rFonts w:ascii="Calibri" w:eastAsia="Times New Roman" w:hAnsi="Calibri" w:cs="Calibri"/>
          <w:b/>
          <w:bCs/>
          <w:color w:val="000000" w:themeColor="text1"/>
          <w:szCs w:val="20"/>
          <w:bdr w:val="none" w:sz="0" w:space="0" w:color="auto" w:frame="1"/>
        </w:rPr>
        <w:t>ing</w:t>
      </w:r>
      <w:r w:rsidRPr="00142191">
        <w:rPr>
          <w:rFonts w:ascii="Calibri" w:eastAsia="Times New Roman" w:hAnsi="Calibri" w:cs="Calibri"/>
          <w:b/>
          <w:bCs/>
          <w:color w:val="000000" w:themeColor="text1"/>
          <w:szCs w:val="20"/>
          <w:bdr w:val="none" w:sz="0" w:space="0" w:color="auto" w:frame="1"/>
        </w:rPr>
        <w:t xml:space="preserve"> </w:t>
      </w:r>
      <w:r w:rsidR="007A65E7" w:rsidRPr="00142191">
        <w:rPr>
          <w:rFonts w:ascii="Calibri" w:eastAsia="Times New Roman" w:hAnsi="Calibri" w:cs="Calibri"/>
          <w:b/>
          <w:bCs/>
          <w:color w:val="000000" w:themeColor="text1"/>
          <w:szCs w:val="20"/>
          <w:bdr w:val="none" w:sz="0" w:space="0" w:color="auto" w:frame="1"/>
        </w:rPr>
        <w:t>quarantine and isolation measures</w:t>
      </w:r>
      <w:r w:rsidR="007A65E7">
        <w:rPr>
          <w:rFonts w:ascii="Calibri" w:eastAsia="Times New Roman" w:hAnsi="Calibri" w:cs="Calibri"/>
          <w:b/>
          <w:bCs/>
          <w:color w:val="000000" w:themeColor="text1"/>
          <w:szCs w:val="20"/>
          <w:bdr w:val="none" w:sz="0" w:space="0" w:color="auto" w:frame="1"/>
        </w:rPr>
        <w:t>–</w:t>
      </w:r>
      <w:r w:rsidRPr="006528A7">
        <w:rPr>
          <w:rFonts w:ascii="Calibri" w:eastAsia="Times New Roman" w:hAnsi="Calibri" w:cs="Calibri"/>
          <w:color w:val="000000" w:themeColor="text1"/>
          <w:szCs w:val="20"/>
        </w:rPr>
        <w:t xml:space="preserve">All states have some form of authority to institute quarantine and isolation measures. </w:t>
      </w:r>
      <w:r w:rsidR="00635413">
        <w:rPr>
          <w:rFonts w:ascii="Calibri" w:eastAsia="Times New Roman" w:hAnsi="Calibri" w:cs="Calibri"/>
          <w:color w:val="000000" w:themeColor="text1"/>
          <w:szCs w:val="20"/>
        </w:rPr>
        <w:t>During normal opera</w:t>
      </w:r>
      <w:r w:rsidR="00843D5F">
        <w:rPr>
          <w:rFonts w:ascii="Calibri" w:eastAsia="Times New Roman" w:hAnsi="Calibri" w:cs="Calibri"/>
          <w:color w:val="000000" w:themeColor="text1"/>
          <w:szCs w:val="20"/>
        </w:rPr>
        <w:t>tions, t</w:t>
      </w:r>
      <w:r w:rsidRPr="006528A7">
        <w:rPr>
          <w:rFonts w:ascii="Calibri" w:eastAsia="Times New Roman" w:hAnsi="Calibri" w:cs="Calibri"/>
          <w:color w:val="000000" w:themeColor="text1"/>
          <w:szCs w:val="20"/>
        </w:rPr>
        <w:t>hese authorities may be limited to certain conditions (e.g., TB) or may be broadly defined and generally include due process and other rights for persons being controlled. Quarantine and isolation authorities may become more robust during a declared emergency or may contain modified due process provisions that delay, but do not deny, rights to notice and review of detainment orders.</w:t>
      </w:r>
    </w:p>
    <w:p w14:paraId="6EB6A5B1" w14:textId="1B465ED6" w:rsidR="003948E0" w:rsidRPr="006528A7" w:rsidRDefault="003948E0" w:rsidP="00025C8F">
      <w:pPr>
        <w:pStyle w:val="norm15"/>
        <w:numPr>
          <w:ilvl w:val="0"/>
          <w:numId w:val="8"/>
        </w:numPr>
        <w:spacing w:after="120"/>
        <w:rPr>
          <w:rFonts w:ascii="Calibri" w:eastAsia="Times New Roman" w:hAnsi="Calibri" w:cs="Calibri"/>
          <w:color w:val="000000" w:themeColor="text1"/>
          <w:szCs w:val="20"/>
        </w:rPr>
      </w:pPr>
      <w:r w:rsidRPr="00866ABE">
        <w:rPr>
          <w:rFonts w:ascii="Calibri" w:eastAsia="Times New Roman" w:hAnsi="Calibri" w:cs="Calibri"/>
          <w:b/>
          <w:bCs/>
          <w:color w:val="000000" w:themeColor="text1"/>
          <w:szCs w:val="20"/>
          <w:bdr w:val="none" w:sz="0" w:space="0" w:color="auto" w:frame="1"/>
        </w:rPr>
        <w:t>Cance</w:t>
      </w:r>
      <w:r w:rsidR="00866ABE" w:rsidRPr="00866ABE">
        <w:rPr>
          <w:rFonts w:ascii="Calibri" w:eastAsia="Times New Roman" w:hAnsi="Calibri" w:cs="Calibri"/>
          <w:b/>
          <w:bCs/>
          <w:color w:val="000000" w:themeColor="text1"/>
          <w:szCs w:val="20"/>
          <w:bdr w:val="none" w:sz="0" w:space="0" w:color="auto" w:frame="1"/>
        </w:rPr>
        <w:t>l</w:t>
      </w:r>
      <w:r w:rsidRPr="00866ABE">
        <w:rPr>
          <w:rFonts w:ascii="Calibri" w:eastAsia="Times New Roman" w:hAnsi="Calibri" w:cs="Calibri"/>
          <w:b/>
          <w:bCs/>
          <w:color w:val="000000" w:themeColor="text1"/>
          <w:szCs w:val="20"/>
          <w:bdr w:val="none" w:sz="0" w:space="0" w:color="auto" w:frame="1"/>
        </w:rPr>
        <w:t>l</w:t>
      </w:r>
      <w:r w:rsidR="00866ABE" w:rsidRPr="00866ABE">
        <w:rPr>
          <w:rFonts w:ascii="Calibri" w:eastAsia="Times New Roman" w:hAnsi="Calibri" w:cs="Calibri"/>
          <w:b/>
          <w:bCs/>
          <w:color w:val="000000" w:themeColor="text1"/>
          <w:szCs w:val="20"/>
          <w:bdr w:val="none" w:sz="0" w:space="0" w:color="auto" w:frame="1"/>
        </w:rPr>
        <w:t>ing</w:t>
      </w:r>
      <w:r w:rsidRPr="00866ABE">
        <w:rPr>
          <w:rFonts w:ascii="Calibri" w:eastAsia="Times New Roman" w:hAnsi="Calibri" w:cs="Calibri"/>
          <w:b/>
          <w:bCs/>
          <w:color w:val="000000" w:themeColor="text1"/>
          <w:szCs w:val="20"/>
          <w:bdr w:val="none" w:sz="0" w:space="0" w:color="auto" w:frame="1"/>
        </w:rPr>
        <w:t xml:space="preserve"> </w:t>
      </w:r>
      <w:r w:rsidR="00965869" w:rsidRPr="00866ABE">
        <w:rPr>
          <w:rFonts w:ascii="Calibri" w:eastAsia="Times New Roman" w:hAnsi="Calibri" w:cs="Calibri"/>
          <w:b/>
          <w:bCs/>
          <w:color w:val="000000" w:themeColor="text1"/>
          <w:szCs w:val="20"/>
          <w:bdr w:val="none" w:sz="0" w:space="0" w:color="auto" w:frame="1"/>
        </w:rPr>
        <w:t>school activities and institut</w:t>
      </w:r>
      <w:r w:rsidR="00965869">
        <w:rPr>
          <w:rFonts w:ascii="Calibri" w:eastAsia="Times New Roman" w:hAnsi="Calibri" w:cs="Calibri"/>
          <w:b/>
          <w:bCs/>
          <w:color w:val="000000" w:themeColor="text1"/>
          <w:szCs w:val="20"/>
          <w:bdr w:val="none" w:sz="0" w:space="0" w:color="auto" w:frame="1"/>
        </w:rPr>
        <w:t>ing</w:t>
      </w:r>
      <w:r w:rsidR="00965869" w:rsidRPr="00866ABE">
        <w:rPr>
          <w:rFonts w:ascii="Calibri" w:eastAsia="Times New Roman" w:hAnsi="Calibri" w:cs="Calibri"/>
          <w:b/>
          <w:bCs/>
          <w:color w:val="000000" w:themeColor="text1"/>
          <w:szCs w:val="20"/>
          <w:bdr w:val="none" w:sz="0" w:space="0" w:color="auto" w:frame="1"/>
        </w:rPr>
        <w:t xml:space="preserve"> school closures</w:t>
      </w:r>
      <w:r w:rsidR="00965869">
        <w:rPr>
          <w:rFonts w:ascii="Calibri" w:eastAsia="Times New Roman" w:hAnsi="Calibri" w:cs="Calibri"/>
          <w:color w:val="000000" w:themeColor="text1"/>
          <w:szCs w:val="20"/>
        </w:rPr>
        <w:t>–</w:t>
      </w:r>
      <w:r w:rsidRPr="006528A7">
        <w:rPr>
          <w:rFonts w:ascii="Calibri" w:eastAsia="Times New Roman" w:hAnsi="Calibri" w:cs="Calibri"/>
          <w:color w:val="000000" w:themeColor="text1"/>
          <w:szCs w:val="20"/>
        </w:rPr>
        <w:t>Some states have laws that specifically grant the authority of health officials, education officials, or other officials to cancel school activities or close schools under specified circumstances.</w:t>
      </w:r>
      <w:r w:rsidR="00866ABE">
        <w:rPr>
          <w:rFonts w:ascii="Calibri" w:eastAsia="Times New Roman" w:hAnsi="Calibri" w:cs="Calibri"/>
          <w:color w:val="000000" w:themeColor="text1"/>
          <w:szCs w:val="20"/>
        </w:rPr>
        <w:t xml:space="preserve"> In other jurisdictions, it may be reserved for the governor of a state </w:t>
      </w:r>
      <w:r w:rsidR="00C22389">
        <w:rPr>
          <w:rFonts w:ascii="Calibri" w:eastAsia="Times New Roman" w:hAnsi="Calibri" w:cs="Calibri"/>
          <w:color w:val="000000" w:themeColor="text1"/>
          <w:szCs w:val="20"/>
        </w:rPr>
        <w:t>or a mayor of a jurisdiction.</w:t>
      </w:r>
      <w:r w:rsidR="00EA289E">
        <w:rPr>
          <w:rFonts w:ascii="Calibri" w:eastAsia="Times New Roman" w:hAnsi="Calibri" w:cs="Calibri"/>
          <w:color w:val="000000" w:themeColor="text1"/>
          <w:szCs w:val="20"/>
        </w:rPr>
        <w:t xml:space="preserve"> </w:t>
      </w:r>
    </w:p>
    <w:p w14:paraId="6FFF5CAD" w14:textId="0F8116D7" w:rsidR="003948E0" w:rsidRPr="006528A7" w:rsidRDefault="00C22389" w:rsidP="00530DA3">
      <w:pPr>
        <w:pStyle w:val="norm15"/>
        <w:numPr>
          <w:ilvl w:val="0"/>
          <w:numId w:val="8"/>
        </w:numPr>
        <w:rPr>
          <w:rFonts w:ascii="Calibri" w:eastAsia="Times New Roman" w:hAnsi="Calibri" w:cs="Calibri"/>
          <w:color w:val="000000" w:themeColor="text1"/>
          <w:szCs w:val="20"/>
        </w:rPr>
      </w:pPr>
      <w:r w:rsidRPr="00C22389">
        <w:rPr>
          <w:rFonts w:ascii="Calibri" w:eastAsia="Times New Roman" w:hAnsi="Calibri" w:cs="Calibri"/>
          <w:b/>
          <w:bCs/>
          <w:color w:val="000000" w:themeColor="text1"/>
          <w:szCs w:val="20"/>
          <w:bdr w:val="none" w:sz="0" w:space="0" w:color="auto" w:frame="1"/>
        </w:rPr>
        <w:t xml:space="preserve">Exercising </w:t>
      </w:r>
      <w:r w:rsidR="002B3636" w:rsidRPr="00C22389">
        <w:rPr>
          <w:rFonts w:ascii="Calibri" w:eastAsia="Times New Roman" w:hAnsi="Calibri" w:cs="Calibri"/>
          <w:b/>
          <w:bCs/>
          <w:color w:val="000000" w:themeColor="text1"/>
          <w:szCs w:val="20"/>
          <w:bdr w:val="none" w:sz="0" w:space="0" w:color="auto" w:frame="1"/>
        </w:rPr>
        <w:t>emergency authorities</w:t>
      </w:r>
      <w:r w:rsidR="00C63EE5">
        <w:rPr>
          <w:rFonts w:ascii="Calibri" w:eastAsia="Times New Roman" w:hAnsi="Calibri" w:cs="Calibri"/>
          <w:b/>
          <w:bCs/>
          <w:color w:val="000000" w:themeColor="text1"/>
          <w:szCs w:val="20"/>
          <w:bdr w:val="none" w:sz="0" w:space="0" w:color="auto" w:frame="1"/>
        </w:rPr>
        <w:t>–</w:t>
      </w:r>
      <w:r w:rsidR="003948E0" w:rsidRPr="006528A7">
        <w:rPr>
          <w:rFonts w:ascii="Calibri" w:eastAsia="Times New Roman" w:hAnsi="Calibri" w:cs="Calibri"/>
          <w:color w:val="000000" w:themeColor="text1"/>
          <w:szCs w:val="20"/>
        </w:rPr>
        <w:t>State disaster and emergency laws provide the governor (or other specified officials) with additional authorities during declared emergencies. These emergency authorities may enhance already existing authorities by permitting the broader application of these authorities.</w:t>
      </w:r>
    </w:p>
    <w:p w14:paraId="32934FE9" w14:textId="4C541B98" w:rsidR="003948E0" w:rsidRDefault="003948E0" w:rsidP="003948E0">
      <w:pPr>
        <w:pStyle w:val="norm15"/>
        <w:rPr>
          <w:rFonts w:ascii="Calibri" w:eastAsia="Times New Roman" w:hAnsi="Calibri" w:cs="Calibri"/>
          <w:color w:val="000000" w:themeColor="text1"/>
          <w:szCs w:val="20"/>
          <w:bdr w:val="none" w:sz="0" w:space="0" w:color="auto" w:frame="1"/>
        </w:rPr>
      </w:pPr>
    </w:p>
    <w:p w14:paraId="35C84743" w14:textId="3188BACD" w:rsidR="00E94EFF" w:rsidRPr="00264672" w:rsidRDefault="00E94EFF" w:rsidP="006528A7">
      <w:pPr>
        <w:pStyle w:val="norm15"/>
        <w:rPr>
          <w:rFonts w:ascii="Calibri" w:eastAsia="Times New Roman" w:hAnsi="Calibri" w:cs="Calibri"/>
          <w:b/>
          <w:bCs/>
          <w:color w:val="000000" w:themeColor="text1"/>
          <w:sz w:val="24"/>
        </w:rPr>
      </w:pPr>
      <w:r w:rsidRPr="00264672">
        <w:rPr>
          <w:rFonts w:ascii="Calibri" w:eastAsia="Times New Roman" w:hAnsi="Calibri" w:cs="Calibri"/>
          <w:b/>
          <w:bCs/>
          <w:color w:val="000000" w:themeColor="text1"/>
          <w:sz w:val="24"/>
        </w:rPr>
        <w:t>Social Distan</w:t>
      </w:r>
      <w:r w:rsidR="00221A5A" w:rsidRPr="00264672">
        <w:rPr>
          <w:rFonts w:ascii="Calibri" w:eastAsia="Times New Roman" w:hAnsi="Calibri" w:cs="Calibri"/>
          <w:b/>
          <w:bCs/>
          <w:color w:val="000000" w:themeColor="text1"/>
          <w:sz w:val="24"/>
        </w:rPr>
        <w:t>cing</w:t>
      </w:r>
      <w:r w:rsidR="00264672">
        <w:rPr>
          <w:rFonts w:ascii="Calibri" w:eastAsia="Times New Roman" w:hAnsi="Calibri" w:cs="Calibri"/>
          <w:b/>
          <w:bCs/>
          <w:color w:val="000000" w:themeColor="text1"/>
          <w:sz w:val="24"/>
        </w:rPr>
        <w:t xml:space="preserve"> </w:t>
      </w:r>
      <w:r w:rsidR="00877CBA">
        <w:rPr>
          <w:rFonts w:ascii="Calibri" w:eastAsia="Times New Roman" w:hAnsi="Calibri" w:cs="Calibri"/>
          <w:b/>
          <w:bCs/>
          <w:color w:val="000000" w:themeColor="text1"/>
          <w:sz w:val="24"/>
        </w:rPr>
        <w:t>and School Closure</w:t>
      </w:r>
    </w:p>
    <w:p w14:paraId="3DE185AB" w14:textId="6E77D512" w:rsidR="00530FF0" w:rsidRDefault="006528A7" w:rsidP="006528A7">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 xml:space="preserve">Closing schools is just one type of social distancing practice </w:t>
      </w:r>
      <w:r w:rsidR="002356B5">
        <w:rPr>
          <w:rFonts w:ascii="Calibri" w:eastAsia="Times New Roman" w:hAnsi="Calibri" w:cs="Calibri"/>
          <w:color w:val="000000" w:themeColor="text1"/>
          <w:szCs w:val="20"/>
        </w:rPr>
        <w:t>identified</w:t>
      </w:r>
      <w:r w:rsidRPr="006528A7">
        <w:rPr>
          <w:rFonts w:ascii="Calibri" w:eastAsia="Times New Roman" w:hAnsi="Calibri" w:cs="Calibri"/>
          <w:color w:val="000000" w:themeColor="text1"/>
          <w:szCs w:val="20"/>
        </w:rPr>
        <w:t xml:space="preserve"> in state pandemic and other emergency response plans that public health officials </w:t>
      </w:r>
      <w:r w:rsidR="00D61B73">
        <w:rPr>
          <w:rFonts w:ascii="Calibri" w:eastAsia="Times New Roman" w:hAnsi="Calibri" w:cs="Calibri"/>
          <w:color w:val="000000" w:themeColor="text1"/>
          <w:szCs w:val="20"/>
        </w:rPr>
        <w:t xml:space="preserve">could </w:t>
      </w:r>
      <w:r w:rsidR="00203B68">
        <w:rPr>
          <w:rFonts w:ascii="Calibri" w:eastAsia="Times New Roman" w:hAnsi="Calibri" w:cs="Calibri"/>
          <w:color w:val="000000" w:themeColor="text1"/>
          <w:szCs w:val="20"/>
        </w:rPr>
        <w:t>employ</w:t>
      </w:r>
      <w:r w:rsidR="00D61B73">
        <w:rPr>
          <w:rFonts w:ascii="Calibri" w:eastAsia="Times New Roman" w:hAnsi="Calibri" w:cs="Calibri"/>
          <w:color w:val="000000" w:themeColor="text1"/>
          <w:szCs w:val="20"/>
        </w:rPr>
        <w:t xml:space="preserve"> </w:t>
      </w:r>
      <w:r w:rsidRPr="006528A7">
        <w:rPr>
          <w:rFonts w:ascii="Calibri" w:eastAsia="Times New Roman" w:hAnsi="Calibri" w:cs="Calibri"/>
          <w:color w:val="000000" w:themeColor="text1"/>
          <w:szCs w:val="20"/>
        </w:rPr>
        <w:t>during infectious disease outbreaks</w:t>
      </w:r>
      <w:r w:rsidR="00D61B73">
        <w:rPr>
          <w:rFonts w:ascii="Calibri" w:eastAsia="Times New Roman" w:hAnsi="Calibri" w:cs="Calibri"/>
          <w:color w:val="000000" w:themeColor="text1"/>
          <w:szCs w:val="20"/>
        </w:rPr>
        <w:t xml:space="preserve">; the COVID-19 </w:t>
      </w:r>
      <w:r w:rsidR="00203B68">
        <w:rPr>
          <w:rFonts w:ascii="Calibri" w:eastAsia="Times New Roman" w:hAnsi="Calibri" w:cs="Calibri"/>
          <w:color w:val="000000" w:themeColor="text1"/>
          <w:szCs w:val="20"/>
        </w:rPr>
        <w:t xml:space="preserve">pandemic has seen the widespread implementation of school closure as a social </w:t>
      </w:r>
      <w:r w:rsidR="00203B68">
        <w:rPr>
          <w:rFonts w:ascii="Calibri" w:eastAsia="Times New Roman" w:hAnsi="Calibri" w:cs="Calibri"/>
          <w:color w:val="000000" w:themeColor="text1"/>
          <w:szCs w:val="20"/>
        </w:rPr>
        <w:lastRenderedPageBreak/>
        <w:t xml:space="preserve">distancing </w:t>
      </w:r>
      <w:r w:rsidR="002356B5">
        <w:rPr>
          <w:rFonts w:ascii="Calibri" w:eastAsia="Times New Roman" w:hAnsi="Calibri" w:cs="Calibri"/>
          <w:color w:val="000000" w:themeColor="text1"/>
          <w:szCs w:val="20"/>
        </w:rPr>
        <w:t>strategy</w:t>
      </w:r>
      <w:r w:rsidRPr="006528A7">
        <w:rPr>
          <w:rFonts w:ascii="Calibri" w:eastAsia="Times New Roman" w:hAnsi="Calibri" w:cs="Calibri"/>
          <w:color w:val="000000" w:themeColor="text1"/>
          <w:szCs w:val="20"/>
        </w:rPr>
        <w:t>.</w:t>
      </w:r>
      <w:r w:rsidR="00C50101">
        <w:rPr>
          <w:rFonts w:ascii="Calibri" w:eastAsia="Times New Roman" w:hAnsi="Calibri" w:cs="Calibri"/>
          <w:color w:val="000000" w:themeColor="text1"/>
          <w:szCs w:val="20"/>
        </w:rPr>
        <w:t xml:space="preserve"> </w:t>
      </w:r>
      <w:r w:rsidR="00273555">
        <w:rPr>
          <w:rFonts w:ascii="Calibri" w:eastAsia="Times New Roman" w:hAnsi="Calibri" w:cs="Calibri"/>
          <w:color w:val="000000" w:themeColor="text1"/>
          <w:szCs w:val="20"/>
        </w:rPr>
        <w:t xml:space="preserve">Pandemic plans and school </w:t>
      </w:r>
      <w:r w:rsidR="00FF0A8F">
        <w:rPr>
          <w:rFonts w:ascii="Calibri" w:eastAsia="Times New Roman" w:hAnsi="Calibri" w:cs="Calibri"/>
          <w:color w:val="000000" w:themeColor="text1"/>
          <w:szCs w:val="20"/>
        </w:rPr>
        <w:t xml:space="preserve">pandemic </w:t>
      </w:r>
      <w:r w:rsidR="00ED314C">
        <w:rPr>
          <w:rFonts w:ascii="Calibri" w:eastAsia="Times New Roman" w:hAnsi="Calibri" w:cs="Calibri"/>
          <w:color w:val="000000" w:themeColor="text1"/>
          <w:szCs w:val="20"/>
        </w:rPr>
        <w:t>guidanc</w:t>
      </w:r>
      <w:r w:rsidR="00FF0A8F">
        <w:rPr>
          <w:rFonts w:ascii="Calibri" w:eastAsia="Times New Roman" w:hAnsi="Calibri" w:cs="Calibri"/>
          <w:color w:val="000000" w:themeColor="text1"/>
          <w:szCs w:val="20"/>
        </w:rPr>
        <w:t>es</w:t>
      </w:r>
      <w:r w:rsidR="00273555">
        <w:rPr>
          <w:rFonts w:ascii="Calibri" w:eastAsia="Times New Roman" w:hAnsi="Calibri" w:cs="Calibri"/>
          <w:color w:val="000000" w:themeColor="text1"/>
          <w:szCs w:val="20"/>
        </w:rPr>
        <w:t xml:space="preserve"> </w:t>
      </w:r>
      <w:r w:rsidR="00FF0A8F">
        <w:rPr>
          <w:rFonts w:ascii="Calibri" w:eastAsia="Times New Roman" w:hAnsi="Calibri" w:cs="Calibri"/>
          <w:color w:val="000000" w:themeColor="text1"/>
          <w:szCs w:val="20"/>
        </w:rPr>
        <w:t xml:space="preserve">have also identified </w:t>
      </w:r>
      <w:r w:rsidRPr="006528A7">
        <w:rPr>
          <w:rFonts w:ascii="Calibri" w:eastAsia="Times New Roman" w:hAnsi="Calibri" w:cs="Calibri"/>
          <w:color w:val="000000" w:themeColor="text1"/>
          <w:szCs w:val="20"/>
        </w:rPr>
        <w:t>the challenges of implementing such a practice broadly where rates of infection, legal authorities, and social and economic factors can vary greatly by state and community.</w:t>
      </w:r>
      <w:r w:rsidR="00200D06">
        <w:rPr>
          <w:rStyle w:val="FootnoteReference"/>
          <w:rFonts w:ascii="Calibri" w:eastAsia="Times New Roman" w:hAnsi="Calibri" w:cs="Calibri"/>
          <w:color w:val="000000" w:themeColor="text1"/>
          <w:szCs w:val="20"/>
        </w:rPr>
        <w:footnoteReference w:id="6"/>
      </w:r>
      <w:r w:rsidRPr="006528A7">
        <w:rPr>
          <w:rFonts w:ascii="Calibri" w:eastAsia="Times New Roman" w:hAnsi="Calibri" w:cs="Calibri"/>
          <w:color w:val="000000" w:themeColor="text1"/>
          <w:szCs w:val="20"/>
        </w:rPr>
        <w:t xml:space="preserve"> </w:t>
      </w:r>
    </w:p>
    <w:p w14:paraId="519C0C55" w14:textId="77777777" w:rsidR="00134F23" w:rsidRDefault="00134F23" w:rsidP="006528A7">
      <w:pPr>
        <w:pStyle w:val="norm15"/>
        <w:rPr>
          <w:rFonts w:ascii="Calibri" w:eastAsia="Times New Roman" w:hAnsi="Calibri" w:cs="Calibri"/>
          <w:color w:val="000000" w:themeColor="text1"/>
          <w:szCs w:val="20"/>
        </w:rPr>
      </w:pPr>
    </w:p>
    <w:p w14:paraId="5060E8E2" w14:textId="77777777" w:rsidR="00FC4CBE" w:rsidRDefault="003948E0" w:rsidP="003948E0">
      <w:pPr>
        <w:pStyle w:val="norm15"/>
        <w:rPr>
          <w:rFonts w:ascii="Calibri" w:eastAsia="Times New Roman" w:hAnsi="Calibri" w:cs="Calibri"/>
          <w:b/>
          <w:bCs/>
          <w:color w:val="000000" w:themeColor="text1"/>
          <w:szCs w:val="20"/>
          <w:bdr w:val="none" w:sz="0" w:space="0" w:color="auto" w:frame="1"/>
        </w:rPr>
      </w:pPr>
      <w:r w:rsidRPr="00FC4CBE">
        <w:rPr>
          <w:rFonts w:ascii="Calibri" w:eastAsia="Times New Roman" w:hAnsi="Calibri" w:cs="Calibri"/>
          <w:b/>
          <w:bCs/>
          <w:color w:val="000000" w:themeColor="text1"/>
          <w:szCs w:val="20"/>
          <w:bdr w:val="none" w:sz="0" w:space="0" w:color="auto" w:frame="1"/>
        </w:rPr>
        <w:t>Implications of School Closures</w:t>
      </w:r>
    </w:p>
    <w:p w14:paraId="562A2FEF" w14:textId="409C1A0A" w:rsidR="003948E0"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 xml:space="preserve">Beyond questions about the legal authority to close schools, </w:t>
      </w:r>
      <w:r w:rsidR="00B26735">
        <w:rPr>
          <w:rFonts w:ascii="Calibri" w:eastAsia="Times New Roman" w:hAnsi="Calibri" w:cs="Calibri"/>
          <w:color w:val="000000" w:themeColor="text1"/>
          <w:szCs w:val="20"/>
        </w:rPr>
        <w:t xml:space="preserve">school closures due to </w:t>
      </w:r>
      <w:r w:rsidR="00DB3668">
        <w:rPr>
          <w:rFonts w:ascii="Calibri" w:eastAsia="Times New Roman" w:hAnsi="Calibri" w:cs="Calibri"/>
          <w:color w:val="000000" w:themeColor="text1"/>
          <w:szCs w:val="20"/>
        </w:rPr>
        <w:t>the COVID-19 pandemic</w:t>
      </w:r>
      <w:r w:rsidRPr="006528A7">
        <w:rPr>
          <w:rFonts w:ascii="Calibri" w:eastAsia="Times New Roman" w:hAnsi="Calibri" w:cs="Calibri"/>
          <w:color w:val="000000" w:themeColor="text1"/>
          <w:szCs w:val="20"/>
        </w:rPr>
        <w:t xml:space="preserve"> also brought to the fore social and economic factors that must be considered when making closure decisions. First, schools play important roles in the delivery of other public health and social service programs such as school breakfast and lunch programs and after-school day care. Alternative mechanisms to provide these services to students and parents who rely on them must be identified if schools are closed for extended periods. Next, schools derive their funding, in part, based on formulas driven by attendance, student activity fees, and reimbursement for federal school breakfast and lunch programs. Prolonged school closures can potentially reduce schools' budgets. Finally, working parents must find alternative </w:t>
      </w:r>
      <w:r w:rsidR="00045490" w:rsidRPr="006528A7">
        <w:rPr>
          <w:rFonts w:ascii="Calibri" w:eastAsia="Times New Roman" w:hAnsi="Calibri" w:cs="Calibri"/>
          <w:color w:val="000000" w:themeColor="text1"/>
          <w:szCs w:val="20"/>
        </w:rPr>
        <w:t>childcare</w:t>
      </w:r>
      <w:r w:rsidRPr="006528A7">
        <w:rPr>
          <w:rFonts w:ascii="Calibri" w:eastAsia="Times New Roman" w:hAnsi="Calibri" w:cs="Calibri"/>
          <w:color w:val="000000" w:themeColor="text1"/>
          <w:szCs w:val="20"/>
        </w:rPr>
        <w:t xml:space="preserve"> services for the period a school is closed or take vacation or sick leave to be home with the child. For many working parents, these are not feasible options. While state and local health officials may have the exclusive (or shared) legal authority to close schools or otherwise enforce public health laws in the school setting, in practice, the use of these authorities has to be exercised and implemented in cooperation with school personnel</w:t>
      </w:r>
      <w:r w:rsidR="00465C56">
        <w:rPr>
          <w:rFonts w:ascii="Calibri" w:eastAsia="Times New Roman" w:hAnsi="Calibri" w:cs="Calibri"/>
          <w:color w:val="000000" w:themeColor="text1"/>
          <w:szCs w:val="20"/>
        </w:rPr>
        <w:t xml:space="preserve">, </w:t>
      </w:r>
      <w:r w:rsidRPr="006528A7">
        <w:rPr>
          <w:rFonts w:ascii="Calibri" w:eastAsia="Times New Roman" w:hAnsi="Calibri" w:cs="Calibri"/>
          <w:color w:val="000000" w:themeColor="text1"/>
          <w:szCs w:val="20"/>
        </w:rPr>
        <w:t>state or local education officials</w:t>
      </w:r>
      <w:r w:rsidR="00465C56">
        <w:rPr>
          <w:rFonts w:ascii="Calibri" w:eastAsia="Times New Roman" w:hAnsi="Calibri" w:cs="Calibri"/>
          <w:color w:val="000000" w:themeColor="text1"/>
          <w:szCs w:val="20"/>
        </w:rPr>
        <w:t xml:space="preserve">, and </w:t>
      </w:r>
      <w:r w:rsidR="009F4F9D">
        <w:rPr>
          <w:rFonts w:ascii="Calibri" w:eastAsia="Times New Roman" w:hAnsi="Calibri" w:cs="Calibri"/>
          <w:color w:val="000000" w:themeColor="text1"/>
          <w:szCs w:val="20"/>
        </w:rPr>
        <w:t>other agencies and organizations in the affected area</w:t>
      </w:r>
      <w:r w:rsidRPr="006528A7">
        <w:rPr>
          <w:rFonts w:ascii="Calibri" w:eastAsia="Times New Roman" w:hAnsi="Calibri" w:cs="Calibri"/>
          <w:color w:val="000000" w:themeColor="text1"/>
          <w:szCs w:val="20"/>
        </w:rPr>
        <w:t>.</w:t>
      </w:r>
    </w:p>
    <w:p w14:paraId="65B6F27A" w14:textId="0DCC774F" w:rsidR="0054690F" w:rsidRDefault="0054690F" w:rsidP="003948E0">
      <w:pPr>
        <w:pStyle w:val="norm15"/>
        <w:rPr>
          <w:rFonts w:ascii="Calibri" w:eastAsia="Times New Roman" w:hAnsi="Calibri" w:cs="Calibri"/>
          <w:color w:val="000000" w:themeColor="text1"/>
          <w:szCs w:val="20"/>
        </w:rPr>
      </w:pPr>
    </w:p>
    <w:p w14:paraId="7809C9E4" w14:textId="3C93C723" w:rsidR="00B15032" w:rsidRPr="00B15032" w:rsidRDefault="00B15032" w:rsidP="003948E0">
      <w:pPr>
        <w:pStyle w:val="norm15"/>
        <w:rPr>
          <w:rFonts w:ascii="Calibri" w:eastAsia="Times New Roman" w:hAnsi="Calibri" w:cs="Calibri"/>
          <w:b/>
          <w:bCs/>
          <w:color w:val="000000" w:themeColor="text1"/>
          <w:szCs w:val="20"/>
        </w:rPr>
      </w:pPr>
      <w:r w:rsidRPr="00B15032">
        <w:rPr>
          <w:rFonts w:ascii="Calibri" w:eastAsia="Times New Roman" w:hAnsi="Calibri" w:cs="Calibri"/>
          <w:b/>
          <w:bCs/>
          <w:color w:val="000000" w:themeColor="text1"/>
          <w:szCs w:val="20"/>
        </w:rPr>
        <w:t>School Re-opening</w:t>
      </w:r>
    </w:p>
    <w:p w14:paraId="0C4B4C08" w14:textId="5BB04125" w:rsidR="00B15032" w:rsidRDefault="00B15032" w:rsidP="003948E0">
      <w:pPr>
        <w:pStyle w:val="norm15"/>
        <w:rPr>
          <w:rFonts w:ascii="Calibri" w:eastAsia="Times New Roman" w:hAnsi="Calibri" w:cs="Calibri"/>
          <w:color w:val="000000" w:themeColor="text1"/>
          <w:szCs w:val="20"/>
        </w:rPr>
      </w:pPr>
      <w:r>
        <w:rPr>
          <w:rFonts w:ascii="Calibri" w:eastAsia="Times New Roman" w:hAnsi="Calibri" w:cs="Calibri"/>
          <w:color w:val="000000" w:themeColor="text1"/>
          <w:szCs w:val="20"/>
        </w:rPr>
        <w:t>The COVID-19 pandemic was the first instance in recent generations that nationwide school closures were implemented in the U.S.</w:t>
      </w:r>
      <w:r w:rsidR="00C316FF">
        <w:rPr>
          <w:rFonts w:ascii="Calibri" w:eastAsia="Times New Roman" w:hAnsi="Calibri" w:cs="Calibri"/>
          <w:color w:val="000000" w:themeColor="text1"/>
          <w:szCs w:val="20"/>
        </w:rPr>
        <w:t xml:space="preserve"> in response to a public health emergency.</w:t>
      </w:r>
      <w:r>
        <w:rPr>
          <w:rStyle w:val="FootnoteReference"/>
          <w:rFonts w:ascii="Calibri" w:eastAsia="Times New Roman" w:hAnsi="Calibri" w:cs="Calibri"/>
          <w:color w:val="000000" w:themeColor="text1"/>
          <w:szCs w:val="20"/>
        </w:rPr>
        <w:footnoteReference w:id="7"/>
      </w:r>
      <w:r w:rsidR="00C316FF">
        <w:rPr>
          <w:rFonts w:ascii="Calibri" w:eastAsia="Times New Roman" w:hAnsi="Calibri" w:cs="Calibri"/>
          <w:color w:val="000000" w:themeColor="text1"/>
          <w:szCs w:val="20"/>
        </w:rPr>
        <w:t xml:space="preserve"> </w:t>
      </w:r>
      <w:r>
        <w:rPr>
          <w:rFonts w:ascii="Calibri" w:eastAsia="Times New Roman" w:hAnsi="Calibri" w:cs="Calibri"/>
          <w:color w:val="000000" w:themeColor="text1"/>
          <w:szCs w:val="20"/>
        </w:rPr>
        <w:t>The authority to order the re-opening of schools—or to continue their closure—is another issue in which state laws vary and in how these laws are interpreted.</w:t>
      </w:r>
      <w:r>
        <w:rPr>
          <w:rStyle w:val="FootnoteReference"/>
          <w:rFonts w:ascii="Calibri" w:eastAsia="Times New Roman" w:hAnsi="Calibri" w:cs="Calibri"/>
          <w:color w:val="000000" w:themeColor="text1"/>
          <w:szCs w:val="20"/>
        </w:rPr>
        <w:footnoteReference w:id="8"/>
      </w:r>
      <w:r w:rsidR="00C316FF">
        <w:rPr>
          <w:rFonts w:ascii="Calibri" w:eastAsia="Times New Roman" w:hAnsi="Calibri" w:cs="Calibri"/>
          <w:color w:val="000000" w:themeColor="text1"/>
          <w:szCs w:val="20"/>
        </w:rPr>
        <w:t xml:space="preserve"> In making a decision to re-open, health and school officials have to balance the available data on the status of the outbreak in their community/jurisdiction with directives to re-</w:t>
      </w:r>
      <w:r w:rsidR="00C316FF">
        <w:rPr>
          <w:rFonts w:ascii="Calibri" w:eastAsia="Times New Roman" w:hAnsi="Calibri" w:cs="Calibri"/>
          <w:color w:val="000000" w:themeColor="text1"/>
          <w:szCs w:val="20"/>
        </w:rPr>
        <w:lastRenderedPageBreak/>
        <w:t>open, and with the effects on students and staff of in-person and virtual learning environments. Health and school officials must also consider how to test, screen, and assure the safety of students and staff when the decision is made to re-open.</w:t>
      </w:r>
      <w:r w:rsidR="00C316FF">
        <w:rPr>
          <w:rStyle w:val="FootnoteReference"/>
          <w:rFonts w:ascii="Calibri" w:eastAsia="Times New Roman" w:hAnsi="Calibri" w:cs="Calibri"/>
          <w:color w:val="000000" w:themeColor="text1"/>
          <w:szCs w:val="20"/>
        </w:rPr>
        <w:footnoteReference w:id="9"/>
      </w:r>
      <w:r w:rsidR="00C316FF">
        <w:rPr>
          <w:rFonts w:ascii="Calibri" w:eastAsia="Times New Roman" w:hAnsi="Calibri" w:cs="Calibri"/>
          <w:color w:val="000000" w:themeColor="text1"/>
          <w:szCs w:val="20"/>
        </w:rPr>
        <w:t xml:space="preserve"> </w:t>
      </w:r>
      <w:r w:rsidR="004061F0">
        <w:rPr>
          <w:rFonts w:ascii="Calibri" w:eastAsia="Times New Roman" w:hAnsi="Calibri" w:cs="Calibri"/>
          <w:color w:val="000000" w:themeColor="text1"/>
          <w:szCs w:val="20"/>
        </w:rPr>
        <w:t>Liability issues and other legal considerations must also be evaluated.</w:t>
      </w:r>
      <w:r w:rsidR="004061F0">
        <w:rPr>
          <w:rStyle w:val="FootnoteReference"/>
          <w:rFonts w:ascii="Calibri" w:eastAsia="Times New Roman" w:hAnsi="Calibri" w:cs="Calibri"/>
          <w:color w:val="000000" w:themeColor="text1"/>
          <w:szCs w:val="20"/>
        </w:rPr>
        <w:footnoteReference w:id="10"/>
      </w:r>
    </w:p>
    <w:p w14:paraId="6CF9A564" w14:textId="77777777" w:rsidR="00B15032" w:rsidRPr="006528A7" w:rsidRDefault="00B15032" w:rsidP="003948E0">
      <w:pPr>
        <w:pStyle w:val="norm15"/>
        <w:rPr>
          <w:rFonts w:ascii="Calibri" w:eastAsia="Times New Roman" w:hAnsi="Calibri" w:cs="Calibri"/>
          <w:color w:val="000000" w:themeColor="text1"/>
          <w:szCs w:val="20"/>
        </w:rPr>
      </w:pPr>
    </w:p>
    <w:p w14:paraId="39837995" w14:textId="4653B2FC" w:rsidR="00530FF0" w:rsidRPr="007D3A4B" w:rsidRDefault="00530FF0" w:rsidP="0054690F">
      <w:pPr>
        <w:pStyle w:val="norm15"/>
        <w:keepNext/>
        <w:rPr>
          <w:rFonts w:ascii="Calibri" w:eastAsia="Times New Roman" w:hAnsi="Calibri" w:cs="Calibri"/>
          <w:b/>
          <w:bCs/>
          <w:color w:val="000000" w:themeColor="text1"/>
        </w:rPr>
      </w:pPr>
      <w:r w:rsidRPr="007D3A4B">
        <w:rPr>
          <w:rFonts w:ascii="Calibri" w:eastAsia="Times New Roman" w:hAnsi="Calibri" w:cs="Calibri"/>
          <w:b/>
          <w:bCs/>
          <w:color w:val="000000" w:themeColor="text1"/>
          <w:sz w:val="24"/>
        </w:rPr>
        <w:t>Shelter</w:t>
      </w:r>
      <w:r w:rsidR="00C479B0">
        <w:rPr>
          <w:rFonts w:ascii="Calibri" w:eastAsia="Times New Roman" w:hAnsi="Calibri" w:cs="Calibri"/>
          <w:b/>
          <w:bCs/>
          <w:color w:val="000000" w:themeColor="text1"/>
          <w:sz w:val="24"/>
        </w:rPr>
        <w:t>-</w:t>
      </w:r>
      <w:r w:rsidRPr="007D3A4B">
        <w:rPr>
          <w:rFonts w:ascii="Calibri" w:eastAsia="Times New Roman" w:hAnsi="Calibri" w:cs="Calibri"/>
          <w:b/>
          <w:bCs/>
          <w:color w:val="000000" w:themeColor="text1"/>
          <w:sz w:val="24"/>
        </w:rPr>
        <w:t>in</w:t>
      </w:r>
      <w:r w:rsidR="00C479B0">
        <w:rPr>
          <w:rFonts w:ascii="Calibri" w:eastAsia="Times New Roman" w:hAnsi="Calibri" w:cs="Calibri"/>
          <w:b/>
          <w:bCs/>
          <w:color w:val="000000" w:themeColor="text1"/>
          <w:sz w:val="24"/>
        </w:rPr>
        <w:t>-</w:t>
      </w:r>
      <w:r w:rsidRPr="007D3A4B">
        <w:rPr>
          <w:rFonts w:ascii="Calibri" w:eastAsia="Times New Roman" w:hAnsi="Calibri" w:cs="Calibri"/>
          <w:b/>
          <w:bCs/>
          <w:color w:val="000000" w:themeColor="text1"/>
          <w:sz w:val="24"/>
        </w:rPr>
        <w:t>Place</w:t>
      </w:r>
    </w:p>
    <w:p w14:paraId="6E5713E9" w14:textId="028F72B0" w:rsidR="00F53E23" w:rsidRDefault="00826E8F" w:rsidP="006528A7">
      <w:pPr>
        <w:pStyle w:val="norm15"/>
        <w:rPr>
          <w:rFonts w:ascii="Calibri" w:eastAsia="Times New Roman" w:hAnsi="Calibri" w:cs="Calibri"/>
          <w:color w:val="3C3030"/>
        </w:rPr>
      </w:pPr>
      <w:r>
        <w:rPr>
          <w:rFonts w:ascii="Calibri" w:eastAsia="Times New Roman" w:hAnsi="Calibri" w:cs="Calibri"/>
          <w:color w:val="3C3030"/>
        </w:rPr>
        <w:t xml:space="preserve">In contrast to </w:t>
      </w:r>
      <w:r w:rsidR="005F3215">
        <w:rPr>
          <w:rFonts w:ascii="Calibri" w:eastAsia="Times New Roman" w:hAnsi="Calibri" w:cs="Calibri"/>
          <w:color w:val="3C3030"/>
        </w:rPr>
        <w:t>s</w:t>
      </w:r>
      <w:r w:rsidR="00C677D6">
        <w:rPr>
          <w:rFonts w:ascii="Calibri" w:eastAsia="Times New Roman" w:hAnsi="Calibri" w:cs="Calibri"/>
          <w:color w:val="3C3030"/>
        </w:rPr>
        <w:t>c</w:t>
      </w:r>
      <w:r w:rsidR="00A455B9">
        <w:rPr>
          <w:rFonts w:ascii="Calibri" w:eastAsia="Times New Roman" w:hAnsi="Calibri" w:cs="Calibri"/>
          <w:color w:val="3C3030"/>
        </w:rPr>
        <w:t>h</w:t>
      </w:r>
      <w:r w:rsidR="00C677D6">
        <w:rPr>
          <w:rFonts w:ascii="Calibri" w:eastAsia="Times New Roman" w:hAnsi="Calibri" w:cs="Calibri"/>
          <w:color w:val="3C3030"/>
        </w:rPr>
        <w:t xml:space="preserve">ool closures and other social distancing </w:t>
      </w:r>
      <w:r w:rsidR="00D363FF">
        <w:rPr>
          <w:rFonts w:ascii="Calibri" w:eastAsia="Times New Roman" w:hAnsi="Calibri" w:cs="Calibri"/>
          <w:color w:val="3C3030"/>
        </w:rPr>
        <w:t>measures</w:t>
      </w:r>
      <w:r w:rsidR="005F3215">
        <w:rPr>
          <w:rFonts w:ascii="Calibri" w:eastAsia="Times New Roman" w:hAnsi="Calibri" w:cs="Calibri"/>
          <w:color w:val="3C3030"/>
        </w:rPr>
        <w:t xml:space="preserve">, schools may </w:t>
      </w:r>
      <w:r w:rsidR="00AD7370">
        <w:rPr>
          <w:rFonts w:ascii="Calibri" w:eastAsia="Times New Roman" w:hAnsi="Calibri" w:cs="Calibri"/>
          <w:color w:val="3C3030"/>
        </w:rPr>
        <w:t xml:space="preserve">be required to </w:t>
      </w:r>
      <w:r w:rsidR="008D32E1">
        <w:rPr>
          <w:rFonts w:ascii="Calibri" w:eastAsia="Times New Roman" w:hAnsi="Calibri" w:cs="Calibri"/>
          <w:color w:val="3C3030"/>
        </w:rPr>
        <w:t>shelter</w:t>
      </w:r>
      <w:r w:rsidR="006F1C96">
        <w:rPr>
          <w:rFonts w:ascii="Calibri" w:eastAsia="Times New Roman" w:hAnsi="Calibri" w:cs="Calibri"/>
          <w:color w:val="3C3030"/>
        </w:rPr>
        <w:t xml:space="preserve"> </w:t>
      </w:r>
      <w:r w:rsidR="000F0F4B">
        <w:rPr>
          <w:rFonts w:ascii="Calibri" w:eastAsia="Times New Roman" w:hAnsi="Calibri" w:cs="Calibri"/>
          <w:color w:val="3C3030"/>
        </w:rPr>
        <w:t>students</w:t>
      </w:r>
      <w:r w:rsidR="00A455B9">
        <w:rPr>
          <w:rFonts w:ascii="Calibri" w:eastAsia="Times New Roman" w:hAnsi="Calibri" w:cs="Calibri"/>
          <w:color w:val="3C3030"/>
        </w:rPr>
        <w:t xml:space="preserve"> and staff </w:t>
      </w:r>
      <w:r w:rsidR="006F1C96">
        <w:rPr>
          <w:rFonts w:ascii="Calibri" w:eastAsia="Times New Roman" w:hAnsi="Calibri" w:cs="Calibri"/>
          <w:color w:val="3C3030"/>
        </w:rPr>
        <w:t xml:space="preserve">at the school </w:t>
      </w:r>
      <w:r w:rsidR="00A455B9">
        <w:rPr>
          <w:rFonts w:ascii="Calibri" w:eastAsia="Times New Roman" w:hAnsi="Calibri" w:cs="Calibri"/>
          <w:color w:val="3C3030"/>
        </w:rPr>
        <w:t xml:space="preserve">during and immediately </w:t>
      </w:r>
      <w:r w:rsidR="007B6D98">
        <w:rPr>
          <w:rFonts w:ascii="Calibri" w:eastAsia="Times New Roman" w:hAnsi="Calibri" w:cs="Calibri"/>
          <w:color w:val="3C3030"/>
        </w:rPr>
        <w:t xml:space="preserve">after </w:t>
      </w:r>
      <w:r w:rsidR="00A455B9">
        <w:rPr>
          <w:rFonts w:ascii="Calibri" w:eastAsia="Times New Roman" w:hAnsi="Calibri" w:cs="Calibri"/>
          <w:color w:val="3C3030"/>
        </w:rPr>
        <w:t xml:space="preserve">an </w:t>
      </w:r>
      <w:r w:rsidR="007B6D98">
        <w:rPr>
          <w:rFonts w:ascii="Calibri" w:eastAsia="Times New Roman" w:hAnsi="Calibri" w:cs="Calibri"/>
          <w:color w:val="3C3030"/>
        </w:rPr>
        <w:t xml:space="preserve">emergency </w:t>
      </w:r>
      <w:r w:rsidR="00A455B9">
        <w:rPr>
          <w:rFonts w:ascii="Calibri" w:eastAsia="Times New Roman" w:hAnsi="Calibri" w:cs="Calibri"/>
          <w:color w:val="3C3030"/>
        </w:rPr>
        <w:t>event.</w:t>
      </w:r>
      <w:r w:rsidR="006F2E42">
        <w:rPr>
          <w:rFonts w:ascii="Calibri" w:eastAsia="Times New Roman" w:hAnsi="Calibri" w:cs="Calibri"/>
          <w:color w:val="3C3030"/>
        </w:rPr>
        <w:t xml:space="preserve"> </w:t>
      </w:r>
      <w:r w:rsidR="008901DB">
        <w:rPr>
          <w:rFonts w:ascii="Calibri" w:eastAsia="Times New Roman" w:hAnsi="Calibri" w:cs="Calibri"/>
          <w:color w:val="3C3030"/>
        </w:rPr>
        <w:t>Natural disasters with little advance warning such as tornadoes and eart</w:t>
      </w:r>
      <w:r w:rsidR="0084217B">
        <w:rPr>
          <w:rFonts w:ascii="Calibri" w:eastAsia="Times New Roman" w:hAnsi="Calibri" w:cs="Calibri"/>
          <w:color w:val="3C3030"/>
        </w:rPr>
        <w:t>h</w:t>
      </w:r>
      <w:r w:rsidR="008901DB">
        <w:rPr>
          <w:rFonts w:ascii="Calibri" w:eastAsia="Times New Roman" w:hAnsi="Calibri" w:cs="Calibri"/>
          <w:color w:val="3C3030"/>
        </w:rPr>
        <w:t xml:space="preserve">quakes </w:t>
      </w:r>
      <w:r w:rsidR="0084217B">
        <w:rPr>
          <w:rFonts w:ascii="Calibri" w:eastAsia="Times New Roman" w:hAnsi="Calibri" w:cs="Calibri"/>
          <w:color w:val="3C3030"/>
        </w:rPr>
        <w:t>may require persons in the school to take</w:t>
      </w:r>
      <w:r w:rsidR="005D5F4F">
        <w:rPr>
          <w:rFonts w:ascii="Calibri" w:eastAsia="Times New Roman" w:hAnsi="Calibri" w:cs="Calibri"/>
          <w:color w:val="3C3030"/>
        </w:rPr>
        <w:t xml:space="preserve"> shelter in designated areas or in classrooms and potentially remain at the school facility until cleared to leave by emergency response personnel. </w:t>
      </w:r>
      <w:r w:rsidR="00430C72">
        <w:rPr>
          <w:rFonts w:ascii="Calibri" w:eastAsia="Times New Roman" w:hAnsi="Calibri" w:cs="Calibri"/>
          <w:color w:val="3C3030"/>
        </w:rPr>
        <w:t xml:space="preserve">Similarly, active shooter </w:t>
      </w:r>
      <w:r w:rsidR="003A49E2">
        <w:rPr>
          <w:rFonts w:ascii="Calibri" w:eastAsia="Times New Roman" w:hAnsi="Calibri" w:cs="Calibri"/>
          <w:color w:val="3C3030"/>
        </w:rPr>
        <w:t xml:space="preserve">emergencies necessitate sheltering-in-place and remaining until </w:t>
      </w:r>
      <w:r w:rsidR="001F2479">
        <w:rPr>
          <w:rFonts w:ascii="Calibri" w:eastAsia="Times New Roman" w:hAnsi="Calibri" w:cs="Calibri"/>
          <w:color w:val="3C3030"/>
        </w:rPr>
        <w:t>school property and buildings are cleared by law enforcement.</w:t>
      </w:r>
      <w:r w:rsidR="007D0F8D">
        <w:rPr>
          <w:rFonts w:ascii="Calibri" w:eastAsia="Times New Roman" w:hAnsi="Calibri" w:cs="Calibri"/>
          <w:color w:val="3C3030"/>
        </w:rPr>
        <w:t xml:space="preserve"> </w:t>
      </w:r>
      <w:r w:rsidR="007D53E5">
        <w:rPr>
          <w:rFonts w:ascii="Calibri" w:eastAsia="Times New Roman" w:hAnsi="Calibri" w:cs="Calibri"/>
          <w:color w:val="3C3030"/>
        </w:rPr>
        <w:t>School officials, p</w:t>
      </w:r>
      <w:r w:rsidR="007D0F8D">
        <w:rPr>
          <w:rFonts w:ascii="Calibri" w:eastAsia="Times New Roman" w:hAnsi="Calibri" w:cs="Calibri"/>
          <w:color w:val="3C3030"/>
        </w:rPr>
        <w:t>ublic health agencies, emergency m</w:t>
      </w:r>
      <w:r w:rsidR="007D53E5">
        <w:rPr>
          <w:rFonts w:ascii="Calibri" w:eastAsia="Times New Roman" w:hAnsi="Calibri" w:cs="Calibri"/>
          <w:color w:val="3C3030"/>
        </w:rPr>
        <w:t>anagers</w:t>
      </w:r>
      <w:r w:rsidR="003F670F">
        <w:rPr>
          <w:rFonts w:ascii="Calibri" w:eastAsia="Times New Roman" w:hAnsi="Calibri" w:cs="Calibri"/>
          <w:color w:val="3C3030"/>
        </w:rPr>
        <w:t xml:space="preserve">, and law </w:t>
      </w:r>
      <w:r w:rsidR="003B5814">
        <w:rPr>
          <w:rFonts w:ascii="Calibri" w:eastAsia="Times New Roman" w:hAnsi="Calibri" w:cs="Calibri"/>
          <w:color w:val="3C3030"/>
        </w:rPr>
        <w:t>enforcement</w:t>
      </w:r>
      <w:r w:rsidR="007D53E5">
        <w:rPr>
          <w:rFonts w:ascii="Calibri" w:eastAsia="Times New Roman" w:hAnsi="Calibri" w:cs="Calibri"/>
          <w:color w:val="3C3030"/>
        </w:rPr>
        <w:t xml:space="preserve"> must all plan for and </w:t>
      </w:r>
      <w:r w:rsidR="00591041">
        <w:rPr>
          <w:rFonts w:ascii="Calibri" w:eastAsia="Times New Roman" w:hAnsi="Calibri" w:cs="Calibri"/>
          <w:color w:val="3C3030"/>
        </w:rPr>
        <w:t xml:space="preserve">undertake practice drills with students, staff, and governmental agency staff. </w:t>
      </w:r>
      <w:r w:rsidR="008F2C15">
        <w:rPr>
          <w:rFonts w:ascii="Calibri" w:eastAsia="Times New Roman" w:hAnsi="Calibri" w:cs="Calibri"/>
          <w:color w:val="3C3030"/>
        </w:rPr>
        <w:t>These plans and drills should also ide</w:t>
      </w:r>
      <w:r w:rsidR="005E2DA9">
        <w:rPr>
          <w:rFonts w:ascii="Calibri" w:eastAsia="Times New Roman" w:hAnsi="Calibri" w:cs="Calibri"/>
          <w:color w:val="3C3030"/>
        </w:rPr>
        <w:t xml:space="preserve">ntify the </w:t>
      </w:r>
      <w:r w:rsidR="002B6802">
        <w:rPr>
          <w:rFonts w:ascii="Calibri" w:eastAsia="Times New Roman" w:hAnsi="Calibri" w:cs="Calibri"/>
          <w:color w:val="3C3030"/>
        </w:rPr>
        <w:t xml:space="preserve">response steps required and </w:t>
      </w:r>
      <w:r w:rsidR="00E56B2B">
        <w:rPr>
          <w:rFonts w:ascii="Calibri" w:eastAsia="Times New Roman" w:hAnsi="Calibri" w:cs="Calibri"/>
          <w:color w:val="3C3030"/>
        </w:rPr>
        <w:t>any potential legal issues</w:t>
      </w:r>
      <w:r w:rsidR="000F619F">
        <w:rPr>
          <w:rFonts w:ascii="Calibri" w:eastAsia="Times New Roman" w:hAnsi="Calibri" w:cs="Calibri"/>
          <w:color w:val="3C3030"/>
        </w:rPr>
        <w:t xml:space="preserve"> that could arise in the situation. </w:t>
      </w:r>
      <w:r w:rsidR="004D254B">
        <w:rPr>
          <w:rFonts w:ascii="Calibri" w:eastAsia="Times New Roman" w:hAnsi="Calibri" w:cs="Calibri"/>
          <w:color w:val="3C3030"/>
        </w:rPr>
        <w:t>Anticipating pote</w:t>
      </w:r>
      <w:r w:rsidR="00D93320">
        <w:rPr>
          <w:rFonts w:ascii="Calibri" w:eastAsia="Times New Roman" w:hAnsi="Calibri" w:cs="Calibri"/>
          <w:color w:val="3C3030"/>
        </w:rPr>
        <w:t>ntial legal problems and identifying solutions in advance will help expedite the response.</w:t>
      </w:r>
    </w:p>
    <w:p w14:paraId="31403D5F" w14:textId="77777777" w:rsidR="00F53E23" w:rsidRDefault="00F53E23" w:rsidP="006528A7">
      <w:pPr>
        <w:pStyle w:val="norm15"/>
        <w:rPr>
          <w:rFonts w:ascii="Calibri" w:eastAsia="Times New Roman" w:hAnsi="Calibri" w:cs="Calibri"/>
          <w:color w:val="3C3030"/>
        </w:rPr>
      </w:pPr>
    </w:p>
    <w:p w14:paraId="5DBCE6BE" w14:textId="4AB5B100" w:rsidR="00A17F9C" w:rsidRDefault="00F53E23" w:rsidP="007F120D">
      <w:pPr>
        <w:pStyle w:val="15para"/>
      </w:pPr>
      <w:r>
        <w:rPr>
          <w:color w:val="3C3030"/>
        </w:rPr>
        <w:t xml:space="preserve">Another </w:t>
      </w:r>
      <w:r w:rsidR="00D70C8B">
        <w:rPr>
          <w:color w:val="3C3030"/>
        </w:rPr>
        <w:t>scenario in which sheltering in pla</w:t>
      </w:r>
      <w:r w:rsidR="00F70931">
        <w:rPr>
          <w:color w:val="3C3030"/>
        </w:rPr>
        <w:t>ce will be necessary is in the e</w:t>
      </w:r>
      <w:r w:rsidR="00377B33">
        <w:rPr>
          <w:color w:val="3C3030"/>
        </w:rPr>
        <w:t xml:space="preserve">vent </w:t>
      </w:r>
      <w:r w:rsidR="00F70931">
        <w:rPr>
          <w:color w:val="3C3030"/>
        </w:rPr>
        <w:t xml:space="preserve">of </w:t>
      </w:r>
      <w:r w:rsidR="00377B33">
        <w:rPr>
          <w:color w:val="3C3030"/>
        </w:rPr>
        <w:t xml:space="preserve">accidental or </w:t>
      </w:r>
      <w:r w:rsidR="00790CFF">
        <w:rPr>
          <w:color w:val="3C3030"/>
        </w:rPr>
        <w:t xml:space="preserve">intentional </w:t>
      </w:r>
      <w:r w:rsidR="00F81F98">
        <w:rPr>
          <w:color w:val="3C3030"/>
        </w:rPr>
        <w:t>detonation</w:t>
      </w:r>
      <w:r w:rsidR="0052684F">
        <w:rPr>
          <w:color w:val="3C3030"/>
        </w:rPr>
        <w:t xml:space="preserve"> or </w:t>
      </w:r>
      <w:r w:rsidR="006F324A">
        <w:rPr>
          <w:color w:val="3C3030"/>
        </w:rPr>
        <w:t xml:space="preserve">release of </w:t>
      </w:r>
      <w:r w:rsidR="00790CFF">
        <w:rPr>
          <w:color w:val="3C3030"/>
        </w:rPr>
        <w:t xml:space="preserve">radiological </w:t>
      </w:r>
      <w:r w:rsidR="006F324A">
        <w:rPr>
          <w:color w:val="3C3030"/>
        </w:rPr>
        <w:t xml:space="preserve">materials </w:t>
      </w:r>
      <w:r w:rsidR="002B6C5E">
        <w:rPr>
          <w:color w:val="3C3030"/>
        </w:rPr>
        <w:t xml:space="preserve">or </w:t>
      </w:r>
      <w:r w:rsidR="00A17F9C">
        <w:rPr>
          <w:color w:val="3C3030"/>
        </w:rPr>
        <w:t xml:space="preserve">biological agents </w:t>
      </w:r>
      <w:r w:rsidR="00487D58">
        <w:rPr>
          <w:color w:val="3C3030"/>
        </w:rPr>
        <w:t xml:space="preserve">within </w:t>
      </w:r>
      <w:r w:rsidR="007C7250">
        <w:rPr>
          <w:color w:val="3C3030"/>
        </w:rPr>
        <w:t>a specified vicinity of a school</w:t>
      </w:r>
      <w:r w:rsidR="00A17F9C">
        <w:rPr>
          <w:color w:val="3C3030"/>
        </w:rPr>
        <w:t>.</w:t>
      </w:r>
      <w:r w:rsidR="00BE5FF0">
        <w:t xml:space="preserve"> </w:t>
      </w:r>
      <w:r w:rsidR="006C5227">
        <w:t>Depending on the nature of the release</w:t>
      </w:r>
      <w:r w:rsidR="0052684F">
        <w:t xml:space="preserve"> or detonation, </w:t>
      </w:r>
      <w:r w:rsidR="003B615D">
        <w:t xml:space="preserve">physical </w:t>
      </w:r>
      <w:r w:rsidR="007A03FC">
        <w:t>and communications infrastructure</w:t>
      </w:r>
      <w:r w:rsidR="00B178B8">
        <w:t xml:space="preserve">s may </w:t>
      </w:r>
      <w:r w:rsidR="00B178B8" w:rsidRPr="007F120D">
        <w:t xml:space="preserve">be damaged. Thus, </w:t>
      </w:r>
      <w:r w:rsidR="009B53E5" w:rsidRPr="007F120D">
        <w:t>a community may be isolated</w:t>
      </w:r>
      <w:r w:rsidR="00C652F2" w:rsidRPr="007F120D">
        <w:t xml:space="preserve"> in their response. Similarly, </w:t>
      </w:r>
      <w:r w:rsidR="00E04F79" w:rsidRPr="007F120D">
        <w:t xml:space="preserve">in the hours </w:t>
      </w:r>
      <w:r w:rsidR="007F120D">
        <w:t>i</w:t>
      </w:r>
      <w:r w:rsidR="00E04F79" w:rsidRPr="007F120D">
        <w:t xml:space="preserve">mmediately after a radiation or biological agent </w:t>
      </w:r>
      <w:r w:rsidR="00CB748A" w:rsidRPr="007F120D">
        <w:t>event</w:t>
      </w:r>
      <w:r w:rsidR="00E04F79" w:rsidRPr="007F120D">
        <w:t>, emergency responders may not be able to respond to every emergency call</w:t>
      </w:r>
      <w:r w:rsidR="00CB748A" w:rsidRPr="007F120D">
        <w:t xml:space="preserve">, </w:t>
      </w:r>
      <w:r w:rsidR="008553BE" w:rsidRPr="007F120D">
        <w:t>necessitating that</w:t>
      </w:r>
      <w:r w:rsidR="00F03028" w:rsidRPr="007F120D">
        <w:t xml:space="preserve"> school officials manage the </w:t>
      </w:r>
      <w:r w:rsidR="00FA6517" w:rsidRPr="007F120D">
        <w:t>initial r</w:t>
      </w:r>
      <w:r w:rsidR="00F03028" w:rsidRPr="007F120D">
        <w:t xml:space="preserve">esponse themselves within their schools. If the radiological emergency is a nuclear detonation, the school’s protection of students’ and </w:t>
      </w:r>
      <w:r w:rsidR="00F03028" w:rsidRPr="007F120D">
        <w:lastRenderedPageBreak/>
        <w:t xml:space="preserve">staff members’ health during the radioactive fallout stage is </w:t>
      </w:r>
      <w:r w:rsidR="00334E2B" w:rsidRPr="007F120D">
        <w:t>crucial</w:t>
      </w:r>
      <w:r w:rsidR="00F03028" w:rsidRPr="007F120D">
        <w:t>.</w:t>
      </w:r>
      <w:r w:rsidR="00334E2B" w:rsidRPr="003A6FBE">
        <w:rPr>
          <w:vertAlign w:val="superscript"/>
        </w:rPr>
        <w:footnoteReference w:id="11"/>
      </w:r>
      <w:r w:rsidR="00F03028" w:rsidRPr="007F120D">
        <w:t xml:space="preserve"> </w:t>
      </w:r>
      <w:r w:rsidR="00474195" w:rsidRPr="007F120D">
        <w:t xml:space="preserve">For schools situated in the </w:t>
      </w:r>
      <w:r w:rsidR="00F03028" w:rsidRPr="007F120D">
        <w:t>fallout zone, it m</w:t>
      </w:r>
      <w:r w:rsidR="00474195" w:rsidRPr="007F120D">
        <w:t xml:space="preserve">ay </w:t>
      </w:r>
      <w:r w:rsidR="00F03028" w:rsidRPr="007F120D">
        <w:t xml:space="preserve">be necessary to </w:t>
      </w:r>
      <w:r w:rsidR="00581067" w:rsidRPr="007F120D">
        <w:t xml:space="preserve">shelter in place </w:t>
      </w:r>
      <w:r w:rsidR="004C557D" w:rsidRPr="007F120D">
        <w:t xml:space="preserve">in the </w:t>
      </w:r>
      <w:r w:rsidR="00F03028" w:rsidRPr="007F120D">
        <w:t>school for up to 72 hours.</w:t>
      </w:r>
      <w:r w:rsidR="004C557D" w:rsidRPr="003A6FBE">
        <w:rPr>
          <w:vertAlign w:val="superscript"/>
        </w:rPr>
        <w:footnoteReference w:id="12"/>
      </w:r>
      <w:r w:rsidR="00F03028" w:rsidRPr="007F120D">
        <w:t xml:space="preserve"> </w:t>
      </w:r>
    </w:p>
    <w:p w14:paraId="692E5F3F" w14:textId="2F397410" w:rsidR="00530FF0" w:rsidRDefault="00530FF0" w:rsidP="006528A7">
      <w:pPr>
        <w:pStyle w:val="norm15"/>
        <w:rPr>
          <w:rFonts w:ascii="Calibri" w:eastAsia="Times New Roman" w:hAnsi="Calibri" w:cs="Calibri"/>
          <w:color w:val="3C3030"/>
        </w:rPr>
      </w:pPr>
    </w:p>
    <w:p w14:paraId="37A1E306" w14:textId="0526E485" w:rsidR="00042A7F" w:rsidRPr="002B02B7" w:rsidRDefault="00042A7F" w:rsidP="002B02B7">
      <w:pPr>
        <w:pStyle w:val="norm15"/>
        <w:rPr>
          <w:b/>
          <w:bCs/>
          <w:sz w:val="24"/>
          <w:szCs w:val="24"/>
        </w:rPr>
      </w:pPr>
      <w:r w:rsidRPr="002B02B7">
        <w:rPr>
          <w:b/>
          <w:bCs/>
          <w:sz w:val="24"/>
          <w:szCs w:val="24"/>
        </w:rPr>
        <w:t>Using Schools as Sites for Emergency Points of Dispensing</w:t>
      </w:r>
      <w:r w:rsidR="005B6802" w:rsidRPr="002B02B7">
        <w:rPr>
          <w:b/>
          <w:bCs/>
          <w:sz w:val="24"/>
          <w:szCs w:val="24"/>
        </w:rPr>
        <w:t xml:space="preserve"> and Vaccination</w:t>
      </w:r>
    </w:p>
    <w:p w14:paraId="67E3A2D3" w14:textId="5EAC2CBB" w:rsidR="003E5DDC" w:rsidRPr="0067225C" w:rsidRDefault="00887A02" w:rsidP="002B02B7">
      <w:pPr>
        <w:pStyle w:val="norm15"/>
        <w:rPr>
          <w:color w:val="000000" w:themeColor="text1"/>
        </w:rPr>
      </w:pPr>
      <w:r>
        <w:rPr>
          <w:color w:val="000000" w:themeColor="text1"/>
        </w:rPr>
        <w:t>Aside from a shelter</w:t>
      </w:r>
      <w:r w:rsidR="004F137E">
        <w:rPr>
          <w:color w:val="000000" w:themeColor="text1"/>
        </w:rPr>
        <w:t>-in-place scenario, school facilities are frequently identified as potential location</w:t>
      </w:r>
      <w:r w:rsidR="00D40A26">
        <w:rPr>
          <w:color w:val="000000" w:themeColor="text1"/>
        </w:rPr>
        <w:t>s</w:t>
      </w:r>
      <w:r w:rsidR="004F137E">
        <w:rPr>
          <w:color w:val="000000" w:themeColor="text1"/>
        </w:rPr>
        <w:t xml:space="preserve"> </w:t>
      </w:r>
      <w:r w:rsidR="001F116C" w:rsidRPr="00782E45">
        <w:rPr>
          <w:color w:val="000000" w:themeColor="text1"/>
        </w:rPr>
        <w:t xml:space="preserve">for </w:t>
      </w:r>
      <w:r w:rsidR="005B6802">
        <w:rPr>
          <w:color w:val="000000" w:themeColor="text1"/>
        </w:rPr>
        <w:t>emergency</w:t>
      </w:r>
      <w:r w:rsidR="004B216C">
        <w:rPr>
          <w:color w:val="000000" w:themeColor="text1"/>
        </w:rPr>
        <w:t xml:space="preserve"> </w:t>
      </w:r>
      <w:r w:rsidR="00C002E5">
        <w:rPr>
          <w:color w:val="000000" w:themeColor="text1"/>
        </w:rPr>
        <w:t xml:space="preserve">points of dispensing (PODs) for </w:t>
      </w:r>
      <w:r w:rsidR="00C07D3B">
        <w:rPr>
          <w:color w:val="000000" w:themeColor="text1"/>
        </w:rPr>
        <w:t xml:space="preserve">medical countermeasures </w:t>
      </w:r>
      <w:r w:rsidR="009A0B1C">
        <w:rPr>
          <w:color w:val="000000" w:themeColor="text1"/>
        </w:rPr>
        <w:t xml:space="preserve">and vaccination </w:t>
      </w:r>
      <w:r w:rsidR="00420FA2">
        <w:rPr>
          <w:color w:val="000000" w:themeColor="text1"/>
        </w:rPr>
        <w:t>during or in the aftermath of an</w:t>
      </w:r>
      <w:r w:rsidR="001F116C" w:rsidRPr="00782E45">
        <w:rPr>
          <w:color w:val="000000" w:themeColor="text1"/>
        </w:rPr>
        <w:t xml:space="preserve"> emergency events.</w:t>
      </w:r>
      <w:r w:rsidR="003E5DDC">
        <w:rPr>
          <w:color w:val="000000" w:themeColor="text1"/>
        </w:rPr>
        <w:t xml:space="preserve"> </w:t>
      </w:r>
      <w:r w:rsidR="003E5DDC" w:rsidRPr="00782E45">
        <w:rPr>
          <w:color w:val="000000" w:themeColor="text1"/>
        </w:rPr>
        <w:t xml:space="preserve">School facilities are the largest gathering space in some communities and therefore frequently used for </w:t>
      </w:r>
      <w:r w:rsidR="003E5DDC" w:rsidRPr="009B5E53">
        <w:rPr>
          <w:color w:val="000000" w:themeColor="text1"/>
        </w:rPr>
        <w:t>vaccination</w:t>
      </w:r>
      <w:r w:rsidR="003E5DDC" w:rsidRPr="00782E45">
        <w:rPr>
          <w:color w:val="000000" w:themeColor="text1"/>
        </w:rPr>
        <w:t xml:space="preserve"> clinics and other emergency response activities</w:t>
      </w:r>
      <w:r w:rsidR="009B5E53">
        <w:rPr>
          <w:color w:val="000000" w:themeColor="text1"/>
        </w:rPr>
        <w:t>.</w:t>
      </w:r>
      <w:r w:rsidR="009B5E53">
        <w:rPr>
          <w:rStyle w:val="FootnoteReference"/>
          <w:color w:val="000000" w:themeColor="text1"/>
        </w:rPr>
        <w:footnoteReference w:id="13"/>
      </w:r>
      <w:r w:rsidR="009B5E53">
        <w:rPr>
          <w:color w:val="000000" w:themeColor="text1"/>
        </w:rPr>
        <w:t xml:space="preserve"> </w:t>
      </w:r>
      <w:r w:rsidR="003E5DDC" w:rsidRPr="00782E45">
        <w:rPr>
          <w:color w:val="000000" w:themeColor="text1"/>
        </w:rPr>
        <w:t xml:space="preserve">The shared goal of public health and education authorities is to protect children and their communities from health threats. Yet, because of the unique nature of each state’s and locality’s laws governing health and education authorities, the legal requirements governing the issues discussed here will be different in each jurisdiction. Many, if not all, of these issues have been addressed in state and local emergency response or pandemic response plans and subsequent amendments. </w:t>
      </w:r>
    </w:p>
    <w:p w14:paraId="44DCF496" w14:textId="77777777" w:rsidR="001F116C" w:rsidRPr="00EC3ACD" w:rsidRDefault="001F116C" w:rsidP="002B02B7">
      <w:pPr>
        <w:pStyle w:val="norm15"/>
        <w:rPr>
          <w:color w:val="000000" w:themeColor="text1"/>
        </w:rPr>
      </w:pPr>
    </w:p>
    <w:p w14:paraId="6B9FF33C" w14:textId="2CA2118A" w:rsidR="001F116C" w:rsidRPr="00C479B0" w:rsidRDefault="001F116C" w:rsidP="002B02B7">
      <w:pPr>
        <w:pStyle w:val="norm15"/>
        <w:rPr>
          <w:b/>
          <w:bCs/>
        </w:rPr>
      </w:pPr>
      <w:r w:rsidRPr="00C479B0">
        <w:rPr>
          <w:b/>
          <w:bCs/>
        </w:rPr>
        <w:t>Us</w:t>
      </w:r>
      <w:r w:rsidR="00C479B0">
        <w:rPr>
          <w:b/>
          <w:bCs/>
        </w:rPr>
        <w:t xml:space="preserve">e of </w:t>
      </w:r>
      <w:r w:rsidRPr="00C479B0">
        <w:rPr>
          <w:b/>
          <w:bCs/>
        </w:rPr>
        <w:t>a School Site</w:t>
      </w:r>
    </w:p>
    <w:p w14:paraId="72432F58" w14:textId="53B615E1" w:rsidR="001F116C" w:rsidRPr="007030A0" w:rsidRDefault="001F116C" w:rsidP="002B02B7">
      <w:pPr>
        <w:pStyle w:val="norm15"/>
        <w:rPr>
          <w:color w:val="000000" w:themeColor="text1"/>
          <w:vertAlign w:val="superscript"/>
        </w:rPr>
      </w:pPr>
      <w:r w:rsidRPr="00782E45">
        <w:rPr>
          <w:color w:val="000000" w:themeColor="text1"/>
        </w:rPr>
        <w:t>The decision to use a school as a site involves a number of considerations, including the legal authority and permissions required to use the site and liability and immunity concerns. Logistical considerations such as the suitability of the site to host the intended event are also important planning factors but beyond the scope of this document.</w:t>
      </w:r>
      <w:r w:rsidR="003A6B4F">
        <w:rPr>
          <w:rStyle w:val="FootnoteReference"/>
          <w:color w:val="000000" w:themeColor="text1"/>
        </w:rPr>
        <w:footnoteReference w:id="14"/>
      </w:r>
    </w:p>
    <w:p w14:paraId="167C2833" w14:textId="77777777" w:rsidR="001F116C" w:rsidRPr="0067225C" w:rsidRDefault="001F116C" w:rsidP="002B02B7">
      <w:pPr>
        <w:pStyle w:val="norm15"/>
        <w:rPr>
          <w:color w:val="000000" w:themeColor="text1"/>
        </w:rPr>
      </w:pPr>
    </w:p>
    <w:p w14:paraId="341EEF4A" w14:textId="77777777" w:rsidR="001F116C" w:rsidRPr="00692ACC" w:rsidRDefault="001F116C" w:rsidP="00BE78C8">
      <w:pPr>
        <w:pStyle w:val="norm15"/>
        <w:keepNext/>
        <w:keepLines/>
        <w:rPr>
          <w:b/>
          <w:bCs/>
          <w:color w:val="000000" w:themeColor="text1"/>
        </w:rPr>
      </w:pPr>
      <w:r w:rsidRPr="00692ACC">
        <w:rPr>
          <w:b/>
          <w:bCs/>
          <w:color w:val="000000" w:themeColor="text1"/>
        </w:rPr>
        <w:lastRenderedPageBreak/>
        <w:t>Legal Authority</w:t>
      </w:r>
    </w:p>
    <w:p w14:paraId="134E8C5B" w14:textId="5319A043" w:rsidR="001F116C" w:rsidRPr="00782E45" w:rsidRDefault="001F116C" w:rsidP="002B02B7">
      <w:pPr>
        <w:pStyle w:val="norm15"/>
        <w:rPr>
          <w:color w:val="000000" w:themeColor="text1"/>
        </w:rPr>
      </w:pPr>
      <w:r w:rsidRPr="00782E45">
        <w:rPr>
          <w:color w:val="000000" w:themeColor="text1"/>
        </w:rPr>
        <w:t xml:space="preserve">The planning decision to conduct </w:t>
      </w:r>
      <w:r w:rsidR="00EF4715">
        <w:rPr>
          <w:color w:val="000000" w:themeColor="text1"/>
        </w:rPr>
        <w:t xml:space="preserve">POD or </w:t>
      </w:r>
      <w:r w:rsidR="00731ED8">
        <w:rPr>
          <w:color w:val="000000" w:themeColor="text1"/>
        </w:rPr>
        <w:t xml:space="preserve">emergency </w:t>
      </w:r>
      <w:r w:rsidR="00EF4715">
        <w:rPr>
          <w:color w:val="000000" w:themeColor="text1"/>
        </w:rPr>
        <w:t>vaccination</w:t>
      </w:r>
      <w:r w:rsidRPr="00782E45">
        <w:rPr>
          <w:color w:val="000000" w:themeColor="text1"/>
        </w:rPr>
        <w:t xml:space="preserve"> activities at a school is generally a joint one between school and health officials; the legal and operational details to accomplish the plan must also be factored into the decision-making process. The nature of the school as publicly or privately owned affects the authority to use the site. In public schools, questions about the authority to use the school are fairly straightforward. However, depending on state and local laws, authority to locate a </w:t>
      </w:r>
      <w:r w:rsidR="00731ED8">
        <w:rPr>
          <w:color w:val="000000" w:themeColor="text1"/>
        </w:rPr>
        <w:t xml:space="preserve">POD or emergency </w:t>
      </w:r>
      <w:r w:rsidRPr="00782E45">
        <w:rPr>
          <w:color w:val="000000" w:themeColor="text1"/>
        </w:rPr>
        <w:t>vaccination clinic at a school may rest with state or local education authorities or boards of education rather than health officials</w:t>
      </w:r>
      <w:r w:rsidR="00516A31">
        <w:rPr>
          <w:color w:val="000000" w:themeColor="text1"/>
        </w:rPr>
        <w:t>.</w:t>
      </w:r>
      <w:r w:rsidRPr="00782E45">
        <w:rPr>
          <w:color w:val="000000" w:themeColor="text1"/>
        </w:rPr>
        <w:t xml:space="preserve"> Staffing and the scope of persons served at the </w:t>
      </w:r>
      <w:r w:rsidR="00587D6B">
        <w:rPr>
          <w:color w:val="000000" w:themeColor="text1"/>
        </w:rPr>
        <w:t>site</w:t>
      </w:r>
      <w:r w:rsidRPr="00782E45">
        <w:rPr>
          <w:color w:val="000000" w:themeColor="text1"/>
        </w:rPr>
        <w:t xml:space="preserve"> (discussed below) are additional factors that influence the legal analysis.</w:t>
      </w:r>
      <w:r w:rsidR="00C76328">
        <w:rPr>
          <w:color w:val="000000" w:themeColor="text1"/>
        </w:rPr>
        <w:t xml:space="preserve"> </w:t>
      </w:r>
      <w:r w:rsidRPr="00782E45">
        <w:rPr>
          <w:color w:val="000000" w:themeColor="text1"/>
        </w:rPr>
        <w:t>Where a school is privately owned, the decision rests with the school administration or the school’s board; a public health agency may or may not be involved with the</w:t>
      </w:r>
      <w:r w:rsidR="00C76328">
        <w:rPr>
          <w:color w:val="000000" w:themeColor="text1"/>
        </w:rPr>
        <w:t xml:space="preserve"> site’s activities</w:t>
      </w:r>
      <w:r w:rsidRPr="00782E45">
        <w:rPr>
          <w:color w:val="000000" w:themeColor="text1"/>
        </w:rPr>
        <w:t xml:space="preserve">. As with public schools, factors influencing the legal analysis of authority and liability issues for </w:t>
      </w:r>
      <w:r w:rsidR="00DF2646">
        <w:rPr>
          <w:color w:val="000000" w:themeColor="text1"/>
        </w:rPr>
        <w:t>sites</w:t>
      </w:r>
      <w:r w:rsidRPr="00782E45">
        <w:rPr>
          <w:color w:val="000000" w:themeColor="text1"/>
        </w:rPr>
        <w:t xml:space="preserve"> at private schools include who staffs the </w:t>
      </w:r>
      <w:r w:rsidR="00DF2646">
        <w:rPr>
          <w:color w:val="000000" w:themeColor="text1"/>
        </w:rPr>
        <w:t>site</w:t>
      </w:r>
      <w:r w:rsidRPr="00782E45">
        <w:rPr>
          <w:color w:val="000000" w:themeColor="text1"/>
        </w:rPr>
        <w:t xml:space="preserve"> and the scope of persons served</w:t>
      </w:r>
      <w:r w:rsidR="00DF2646">
        <w:rPr>
          <w:color w:val="000000" w:themeColor="text1"/>
        </w:rPr>
        <w:t xml:space="preserve"> (i.e., students/staff</w:t>
      </w:r>
      <w:r w:rsidR="00B62626">
        <w:rPr>
          <w:color w:val="000000" w:themeColor="text1"/>
        </w:rPr>
        <w:t xml:space="preserve"> only or community at large).</w:t>
      </w:r>
    </w:p>
    <w:p w14:paraId="4FA916E9" w14:textId="77777777" w:rsidR="00587D6B" w:rsidRDefault="00587D6B" w:rsidP="002B02B7">
      <w:pPr>
        <w:pStyle w:val="norm15"/>
        <w:rPr>
          <w:color w:val="000000" w:themeColor="text1"/>
        </w:rPr>
      </w:pPr>
    </w:p>
    <w:p w14:paraId="476B4CFC" w14:textId="395C8FF3" w:rsidR="001F116C" w:rsidRPr="00782E45" w:rsidRDefault="001F116C" w:rsidP="002B02B7">
      <w:pPr>
        <w:pStyle w:val="norm15"/>
        <w:rPr>
          <w:color w:val="000000" w:themeColor="text1"/>
        </w:rPr>
      </w:pPr>
      <w:r w:rsidRPr="00782E45">
        <w:rPr>
          <w:color w:val="000000" w:themeColor="text1"/>
        </w:rPr>
        <w:t xml:space="preserve">A state or local declaration of emergency can also affect the legal authorities related to the siting (and other aspects) of a school-based </w:t>
      </w:r>
      <w:r w:rsidR="00B62626">
        <w:rPr>
          <w:color w:val="000000" w:themeColor="text1"/>
        </w:rPr>
        <w:t xml:space="preserve">POD or emergency </w:t>
      </w:r>
      <w:r w:rsidRPr="00782E45">
        <w:rPr>
          <w:color w:val="000000" w:themeColor="text1"/>
        </w:rPr>
        <w:t xml:space="preserve">vaccination clinic. An emergency declaration by a governor/mayor can provide public health officials with additional authorities as well as activate emergency response or pandemic plans. Thus, emergency plans could designate school facilities as vaccination and medication sites or mass care facilities and activate predetermined staffing and operations plans. Again, depending on a jurisdiction’s laws, emergency declarations may or may not authorize health officials to make decisions regarding education facilities; this authority may continue to reside with education officials or revert to the chief executive (e.g., governor, mayor). </w:t>
      </w:r>
    </w:p>
    <w:p w14:paraId="7A7535C9" w14:textId="77777777" w:rsidR="001F116C" w:rsidRPr="0067225C" w:rsidRDefault="001F116C" w:rsidP="002B02B7">
      <w:pPr>
        <w:pStyle w:val="norm15"/>
        <w:rPr>
          <w:color w:val="000000" w:themeColor="text1"/>
        </w:rPr>
      </w:pPr>
    </w:p>
    <w:p w14:paraId="7D9D62D7" w14:textId="77777777" w:rsidR="001F116C" w:rsidRPr="001208FC" w:rsidRDefault="001F116C" w:rsidP="002B02B7">
      <w:pPr>
        <w:pStyle w:val="norm15"/>
        <w:rPr>
          <w:b/>
          <w:bCs/>
          <w:color w:val="000000" w:themeColor="text1"/>
        </w:rPr>
      </w:pPr>
      <w:r w:rsidRPr="001208FC">
        <w:rPr>
          <w:b/>
          <w:bCs/>
          <w:color w:val="000000" w:themeColor="text1"/>
        </w:rPr>
        <w:t>Site Liability and Immunity Issues</w:t>
      </w:r>
    </w:p>
    <w:p w14:paraId="19E5D801" w14:textId="2845252C" w:rsidR="001F116C" w:rsidRDefault="001F116C" w:rsidP="002B02B7">
      <w:pPr>
        <w:pStyle w:val="norm15"/>
        <w:rPr>
          <w:color w:val="000000" w:themeColor="text1"/>
        </w:rPr>
      </w:pPr>
      <w:r w:rsidRPr="00782E45">
        <w:rPr>
          <w:color w:val="000000" w:themeColor="text1"/>
        </w:rPr>
        <w:t xml:space="preserve">The school hosting a </w:t>
      </w:r>
      <w:r w:rsidR="001208FC">
        <w:rPr>
          <w:color w:val="000000" w:themeColor="text1"/>
        </w:rPr>
        <w:t xml:space="preserve">POD or emergency </w:t>
      </w:r>
      <w:r w:rsidRPr="00782E45">
        <w:rPr>
          <w:color w:val="000000" w:themeColor="text1"/>
        </w:rPr>
        <w:t>vaccination clinic on site is subject to potential liabilities and may be eligible for certain immunities, depending on the nature of the facility (public vs. private), the scope of persons served (students only vs. general public), the persons staffing the clinic (public employees, school employees, volunteers, etc.), and whether or not an emergency declaration is in place.</w:t>
      </w:r>
    </w:p>
    <w:p w14:paraId="219C689F" w14:textId="77777777" w:rsidR="001F116C" w:rsidRPr="00782E45" w:rsidRDefault="001F116C" w:rsidP="002B02B7">
      <w:pPr>
        <w:pStyle w:val="norm15"/>
        <w:rPr>
          <w:color w:val="000000" w:themeColor="text1"/>
        </w:rPr>
      </w:pPr>
    </w:p>
    <w:p w14:paraId="08664F77" w14:textId="3DC23E45" w:rsidR="001F116C" w:rsidRPr="00C479B0" w:rsidRDefault="001F116C" w:rsidP="00C479B0">
      <w:pPr>
        <w:pStyle w:val="norm15"/>
        <w:keepNext/>
        <w:keepLines/>
        <w:rPr>
          <w:b/>
          <w:bCs/>
        </w:rPr>
      </w:pPr>
      <w:r w:rsidRPr="00C479B0">
        <w:rPr>
          <w:b/>
          <w:bCs/>
        </w:rPr>
        <w:lastRenderedPageBreak/>
        <w:t>Staffing the Site</w:t>
      </w:r>
    </w:p>
    <w:p w14:paraId="58034871" w14:textId="51152083" w:rsidR="001F116C" w:rsidRPr="003B5359" w:rsidRDefault="001F116C" w:rsidP="002B02B7">
      <w:pPr>
        <w:pStyle w:val="norm15"/>
        <w:rPr>
          <w:color w:val="000000" w:themeColor="text1"/>
        </w:rPr>
      </w:pPr>
      <w:r w:rsidRPr="00782E45">
        <w:rPr>
          <w:color w:val="000000" w:themeColor="text1"/>
        </w:rPr>
        <w:t xml:space="preserve">Determining the staffing requirements for </w:t>
      </w:r>
      <w:r w:rsidR="005E6AA0">
        <w:rPr>
          <w:color w:val="000000" w:themeColor="text1"/>
        </w:rPr>
        <w:t>site</w:t>
      </w:r>
      <w:r w:rsidRPr="00782E45">
        <w:rPr>
          <w:color w:val="000000" w:themeColor="text1"/>
        </w:rPr>
        <w:t xml:space="preserve"> activities will depend on the number and types of persons to be served</w:t>
      </w:r>
      <w:r w:rsidR="005E6AA0">
        <w:rPr>
          <w:color w:val="000000" w:themeColor="text1"/>
        </w:rPr>
        <w:t xml:space="preserve"> in the location</w:t>
      </w:r>
      <w:r w:rsidRPr="00782E45">
        <w:rPr>
          <w:color w:val="000000" w:themeColor="text1"/>
        </w:rPr>
        <w:t xml:space="preserve">. Depending on the size of the </w:t>
      </w:r>
      <w:r w:rsidR="00AB3E2F">
        <w:rPr>
          <w:color w:val="000000" w:themeColor="text1"/>
        </w:rPr>
        <w:t>school site</w:t>
      </w:r>
      <w:r w:rsidRPr="00782E45">
        <w:rPr>
          <w:color w:val="000000" w:themeColor="text1"/>
        </w:rPr>
        <w:t xml:space="preserve">, staffing </w:t>
      </w:r>
      <w:r w:rsidR="00AB3E2F">
        <w:rPr>
          <w:color w:val="000000" w:themeColor="text1"/>
        </w:rPr>
        <w:t>can</w:t>
      </w:r>
      <w:r w:rsidRPr="00782E45">
        <w:rPr>
          <w:color w:val="000000" w:themeColor="text1"/>
        </w:rPr>
        <w:t xml:space="preserve"> involve a mix of medical and nonmedical personnel from the individual school, school district, and public health agencies, as well as contractors and volunteers. These personnel will perform a variety of functions including greeting, registering, educating, and screening </w:t>
      </w:r>
      <w:r w:rsidR="00CB7897">
        <w:rPr>
          <w:color w:val="000000" w:themeColor="text1"/>
        </w:rPr>
        <w:t>attendees</w:t>
      </w:r>
      <w:r w:rsidRPr="00782E45">
        <w:rPr>
          <w:color w:val="000000" w:themeColor="text1"/>
        </w:rPr>
        <w:t>, administering</w:t>
      </w:r>
      <w:r w:rsidR="00CB7897">
        <w:rPr>
          <w:color w:val="000000" w:themeColor="text1"/>
        </w:rPr>
        <w:t xml:space="preserve"> c</w:t>
      </w:r>
      <w:r w:rsidR="007654D7">
        <w:rPr>
          <w:color w:val="000000" w:themeColor="text1"/>
        </w:rPr>
        <w:t xml:space="preserve">ountermeasure or </w:t>
      </w:r>
      <w:r w:rsidRPr="00782E45">
        <w:rPr>
          <w:color w:val="000000" w:themeColor="text1"/>
        </w:rPr>
        <w:t>vaccines, and providing security and emergency medical services as needed.</w:t>
      </w:r>
      <w:r w:rsidR="003B5359">
        <w:rPr>
          <w:rStyle w:val="FootnoteReference"/>
          <w:color w:val="000000" w:themeColor="text1"/>
        </w:rPr>
        <w:footnoteReference w:id="15"/>
      </w:r>
      <w:r w:rsidR="007654D7">
        <w:rPr>
          <w:color w:val="000000" w:themeColor="text1"/>
        </w:rPr>
        <w:t xml:space="preserve"> </w:t>
      </w:r>
      <w:r w:rsidRPr="00782E45">
        <w:rPr>
          <w:color w:val="000000" w:themeColor="text1"/>
        </w:rPr>
        <w:t>Clinics may also have staff who can act as translators for persons who are not fluent in English. Some schools or districts require by law or by policy that school personnel, contractors, volunteers, and other persons working on site undergo background checks.</w:t>
      </w:r>
      <w:r w:rsidR="003B5359">
        <w:rPr>
          <w:rStyle w:val="FootnoteReference"/>
          <w:color w:val="000000" w:themeColor="text1"/>
        </w:rPr>
        <w:footnoteReference w:id="16"/>
      </w:r>
      <w:r w:rsidR="003B5359">
        <w:rPr>
          <w:color w:val="000000" w:themeColor="text1"/>
          <w:bdr w:val="none" w:sz="0" w:space="0" w:color="auto" w:frame="1"/>
        </w:rPr>
        <w:t xml:space="preserve"> </w:t>
      </w:r>
      <w:r w:rsidRPr="00782E45">
        <w:rPr>
          <w:color w:val="000000" w:themeColor="text1"/>
        </w:rPr>
        <w:t xml:space="preserve">Finally, </w:t>
      </w:r>
      <w:r w:rsidR="00580A0A">
        <w:rPr>
          <w:color w:val="000000" w:themeColor="text1"/>
        </w:rPr>
        <w:t xml:space="preserve">a </w:t>
      </w:r>
      <w:r w:rsidR="007654D7">
        <w:rPr>
          <w:color w:val="000000" w:themeColor="text1"/>
        </w:rPr>
        <w:t>site</w:t>
      </w:r>
      <w:r w:rsidRPr="00782E45">
        <w:rPr>
          <w:color w:val="000000" w:themeColor="text1"/>
        </w:rPr>
        <w:t xml:space="preserve"> </w:t>
      </w:r>
      <w:r w:rsidR="00DC2BF5">
        <w:rPr>
          <w:color w:val="000000" w:themeColor="text1"/>
        </w:rPr>
        <w:t xml:space="preserve">should review </w:t>
      </w:r>
      <w:r w:rsidRPr="00782E45">
        <w:rPr>
          <w:color w:val="000000" w:themeColor="text1"/>
        </w:rPr>
        <w:t xml:space="preserve">collective bargaining agreements of staff represented by unions. Changes in workers’ duties or the timing of the </w:t>
      </w:r>
      <w:r w:rsidR="007654D7">
        <w:rPr>
          <w:color w:val="000000" w:themeColor="text1"/>
        </w:rPr>
        <w:t>event</w:t>
      </w:r>
      <w:r w:rsidRPr="00782E45">
        <w:rPr>
          <w:color w:val="000000" w:themeColor="text1"/>
        </w:rPr>
        <w:t xml:space="preserve"> either during school hours or before or after school hours may affect work rules, compensation, or benefits.</w:t>
      </w:r>
      <w:r w:rsidR="003B5359">
        <w:rPr>
          <w:rStyle w:val="FootnoteReference"/>
          <w:color w:val="000000" w:themeColor="text1"/>
        </w:rPr>
        <w:footnoteReference w:id="17"/>
      </w:r>
    </w:p>
    <w:p w14:paraId="10FF0A72" w14:textId="77777777" w:rsidR="001F116C" w:rsidRPr="0067225C" w:rsidRDefault="001F116C" w:rsidP="002B02B7">
      <w:pPr>
        <w:pStyle w:val="norm15"/>
        <w:rPr>
          <w:color w:val="000000" w:themeColor="text1"/>
        </w:rPr>
      </w:pPr>
    </w:p>
    <w:p w14:paraId="23406067" w14:textId="77777777" w:rsidR="001F116C" w:rsidRPr="00C479B0" w:rsidRDefault="001F116C" w:rsidP="00DC2BF5">
      <w:pPr>
        <w:pStyle w:val="norm15"/>
        <w:keepNext/>
        <w:keepLines/>
        <w:rPr>
          <w:b/>
          <w:bCs/>
          <w:color w:val="000000" w:themeColor="text1"/>
        </w:rPr>
      </w:pPr>
      <w:r w:rsidRPr="00C479B0">
        <w:rPr>
          <w:b/>
          <w:bCs/>
          <w:color w:val="000000" w:themeColor="text1"/>
        </w:rPr>
        <w:t>Scope of Practice and Licensing</w:t>
      </w:r>
    </w:p>
    <w:p w14:paraId="77BF109A" w14:textId="5039F45C" w:rsidR="001F116C" w:rsidRPr="0067225C" w:rsidRDefault="001F116C" w:rsidP="002B02B7">
      <w:pPr>
        <w:pStyle w:val="norm15"/>
        <w:rPr>
          <w:color w:val="000000" w:themeColor="text1"/>
        </w:rPr>
      </w:pPr>
      <w:r w:rsidRPr="00782E45">
        <w:rPr>
          <w:color w:val="000000" w:themeColor="text1"/>
        </w:rPr>
        <w:t xml:space="preserve">Those staffing the </w:t>
      </w:r>
      <w:r w:rsidR="00CC294B">
        <w:rPr>
          <w:color w:val="000000" w:themeColor="text1"/>
        </w:rPr>
        <w:t>site</w:t>
      </w:r>
      <w:r w:rsidRPr="00782E45">
        <w:rPr>
          <w:color w:val="000000" w:themeColor="text1"/>
        </w:rPr>
        <w:t xml:space="preserve"> who are licensed healthcare professionals are subject to scope of practice requirements that govern the types of tasks they are permitted to perform during the clinic. If healthcare personnel engage in activities beyond those permitted to their profession (e.g., EMT, nurse, etc.), then they expose themselves to possible malpractice claims. Scope of practice issues are especially of concern during public health and other emergency events when the numbers of skilled health personnel may be in short supply relative to the demands of the event. Many states and localities have expanded the scope of practice during emergencies for some licensed health professions to bolster the number of health personnel available to respond. Where volunteers or contractors are licensed in another state, there may be differences in the allowed scope of practice; mutual aid agreements and contracts (discussed below) can be used to recognize and specify the scope of practice permitted to volunteers.</w:t>
      </w:r>
    </w:p>
    <w:p w14:paraId="77ECE532" w14:textId="77777777" w:rsidR="001F116C" w:rsidRPr="00782E45" w:rsidRDefault="001F116C" w:rsidP="002B02B7">
      <w:pPr>
        <w:pStyle w:val="norm15"/>
        <w:rPr>
          <w:color w:val="000000" w:themeColor="text1"/>
        </w:rPr>
      </w:pPr>
    </w:p>
    <w:p w14:paraId="562195BD" w14:textId="77777777" w:rsidR="001F116C" w:rsidRPr="00C479B0" w:rsidRDefault="001F116C" w:rsidP="002B02B7">
      <w:pPr>
        <w:pStyle w:val="norm15"/>
        <w:rPr>
          <w:b/>
          <w:bCs/>
          <w:color w:val="000000" w:themeColor="text1"/>
        </w:rPr>
      </w:pPr>
      <w:r w:rsidRPr="00C479B0">
        <w:rPr>
          <w:b/>
          <w:bCs/>
          <w:color w:val="000000" w:themeColor="text1"/>
        </w:rPr>
        <w:lastRenderedPageBreak/>
        <w:t>Staffing Liability and Immunity Issues</w:t>
      </w:r>
    </w:p>
    <w:p w14:paraId="617A671F" w14:textId="5108D22E" w:rsidR="001F116C" w:rsidRPr="00782E45" w:rsidRDefault="001F116C" w:rsidP="002B02B7">
      <w:pPr>
        <w:pStyle w:val="norm15"/>
        <w:rPr>
          <w:color w:val="000000" w:themeColor="text1"/>
        </w:rPr>
      </w:pPr>
      <w:r w:rsidRPr="00782E45">
        <w:rPr>
          <w:color w:val="000000" w:themeColor="text1"/>
        </w:rPr>
        <w:t>Persons staffing</w:t>
      </w:r>
      <w:r w:rsidR="00B8662F">
        <w:rPr>
          <w:color w:val="000000" w:themeColor="text1"/>
        </w:rPr>
        <w:t xml:space="preserve"> POD sites and emergency</w:t>
      </w:r>
      <w:r w:rsidRPr="00782E45">
        <w:rPr>
          <w:color w:val="000000" w:themeColor="text1"/>
        </w:rPr>
        <w:t xml:space="preserve"> vaccination clinics or otherwise involved in emergency response activities frequently voice concerns about potential liabilities for them and their organizations arising from their participation in an event or response. Potential liabilities include, among others, malpractice, negligence, premise liability, and other forms of tort liability. However, many liability concerns have </w:t>
      </w:r>
      <w:r w:rsidR="003D2D91">
        <w:rPr>
          <w:color w:val="000000" w:themeColor="text1"/>
        </w:rPr>
        <w:t xml:space="preserve">now </w:t>
      </w:r>
      <w:r w:rsidRPr="00782E45">
        <w:rPr>
          <w:color w:val="000000" w:themeColor="text1"/>
        </w:rPr>
        <w:t xml:space="preserve">been addressed in a range of state and federal laws. These laws provide liability protections to reflect the nature of emergency response activities, including, but not limited to, the use of volunteers and persons responding across state lines. An emergency declaration by a governor may activate additional legal protections for persons involved in responding to an emergency event. The following list highlights some of the liability protections </w:t>
      </w:r>
      <w:r w:rsidR="00BB6358" w:rsidRPr="00782E45">
        <w:rPr>
          <w:color w:val="000000" w:themeColor="text1"/>
        </w:rPr>
        <w:t>available but</w:t>
      </w:r>
      <w:r w:rsidRPr="00782E45">
        <w:rPr>
          <w:color w:val="000000" w:themeColor="text1"/>
        </w:rPr>
        <w:t xml:space="preserve"> is not an exhaustive list.</w:t>
      </w:r>
    </w:p>
    <w:p w14:paraId="3289C31A" w14:textId="77777777" w:rsidR="00BB6358" w:rsidRDefault="00BB6358" w:rsidP="002B02B7">
      <w:pPr>
        <w:pStyle w:val="norm15"/>
        <w:rPr>
          <w:i/>
          <w:iCs/>
          <w:color w:val="000000" w:themeColor="text1"/>
          <w:bdr w:val="none" w:sz="0" w:space="0" w:color="auto" w:frame="1"/>
        </w:rPr>
      </w:pPr>
    </w:p>
    <w:p w14:paraId="2FD30CF2" w14:textId="5A741656"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Governmental Immunity</w:t>
      </w:r>
    </w:p>
    <w:p w14:paraId="4EA45CFB" w14:textId="6A0E7876" w:rsidR="001F116C" w:rsidRDefault="001F116C" w:rsidP="002B02B7">
      <w:pPr>
        <w:pStyle w:val="norm15"/>
        <w:rPr>
          <w:color w:val="000000" w:themeColor="text1"/>
        </w:rPr>
      </w:pPr>
      <w:r w:rsidRPr="00782E45">
        <w:rPr>
          <w:color w:val="000000" w:themeColor="text1"/>
        </w:rPr>
        <w:t>Governmental or sovereign immunity is a traditional legal theory of immunity that holds that a government or its employees cannot be sued for injuries to others that occurred in the course of official duties. Governments can waive governmental immunity through tort claims acts to allow injured parties to seek compensation in certain circumstances, such as when the government is acting like a private citizen or when an employee engages in willful, wanton, or criminal behavior. Governmental immunity laws can vary by state and locality as to the types of protections available and the persons and activities covered. Public school, health agency staff, and other public employees, as well as contractors and volunteers made temporary government employees, may be covered under a theory of governmental immunity absent any disqualifying activity like gross or willful negligence.</w:t>
      </w:r>
    </w:p>
    <w:p w14:paraId="483033AA" w14:textId="77777777" w:rsidR="00BB6358" w:rsidRPr="00782E45" w:rsidRDefault="00BB6358" w:rsidP="002B02B7">
      <w:pPr>
        <w:pStyle w:val="norm15"/>
        <w:rPr>
          <w:color w:val="000000" w:themeColor="text1"/>
        </w:rPr>
      </w:pPr>
    </w:p>
    <w:p w14:paraId="128FE473" w14:textId="77777777"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Volunteer Protection Laws</w:t>
      </w:r>
    </w:p>
    <w:p w14:paraId="353BCC65" w14:textId="39528AD0" w:rsidR="001F116C" w:rsidRPr="00F031A4" w:rsidRDefault="001F116C" w:rsidP="002B02B7">
      <w:pPr>
        <w:pStyle w:val="norm15"/>
        <w:rPr>
          <w:color w:val="000000" w:themeColor="text1"/>
        </w:rPr>
      </w:pPr>
      <w:r w:rsidRPr="00782E45">
        <w:rPr>
          <w:color w:val="000000" w:themeColor="text1"/>
        </w:rPr>
        <w:t>Federal and state laws can provide immunity protections for volunteers, yet these laws can differ as to the scope of persons and activities covered. The Federal Volunteer Protection Act (VPA) provides immunity from ordinary negligence to volunteers of nonprofit organizations or governmental entities.</w:t>
      </w:r>
      <w:r w:rsidR="003B5359">
        <w:rPr>
          <w:rStyle w:val="FootnoteReference"/>
          <w:color w:val="000000" w:themeColor="text1"/>
        </w:rPr>
        <w:footnoteReference w:id="18"/>
      </w:r>
      <w:r w:rsidR="00EA1B5A">
        <w:rPr>
          <w:color w:val="000000" w:themeColor="text1"/>
          <w:sz w:val="16"/>
          <w:szCs w:val="14"/>
          <w:bdr w:val="none" w:sz="0" w:space="0" w:color="auto" w:frame="1"/>
        </w:rPr>
        <w:t xml:space="preserve"> </w:t>
      </w:r>
      <w:r w:rsidRPr="00782E45">
        <w:rPr>
          <w:color w:val="000000" w:themeColor="text1"/>
        </w:rPr>
        <w:t>It does not cover gross negligence, willful misconduct, recklessness, or acts committed by the volunteer while intoxicated or operating a motor vehicle. It does not cover organizational entities of any type or persons volunteering at private businesses. The VPA does not require a declared emergency for its protections to apply.</w:t>
      </w:r>
    </w:p>
    <w:p w14:paraId="521D1682" w14:textId="77777777" w:rsidR="001F116C" w:rsidRPr="00782E45" w:rsidRDefault="001F116C" w:rsidP="002B02B7">
      <w:pPr>
        <w:pStyle w:val="norm15"/>
        <w:rPr>
          <w:color w:val="000000" w:themeColor="text1"/>
        </w:rPr>
      </w:pPr>
    </w:p>
    <w:p w14:paraId="40F54E92" w14:textId="77777777"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Mutual Aid Agreements</w:t>
      </w:r>
    </w:p>
    <w:p w14:paraId="1DD40C9C" w14:textId="2A83FAF1" w:rsidR="001F116C" w:rsidRPr="007550D4" w:rsidRDefault="001F116C" w:rsidP="002B02B7">
      <w:pPr>
        <w:pStyle w:val="norm15"/>
        <w:rPr>
          <w:color w:val="000000" w:themeColor="text1"/>
          <w:szCs w:val="20"/>
          <w:bdr w:val="none" w:sz="0" w:space="0" w:color="auto" w:frame="1"/>
        </w:rPr>
      </w:pPr>
      <w:r w:rsidRPr="00782E45">
        <w:rPr>
          <w:color w:val="000000" w:themeColor="text1"/>
        </w:rPr>
        <w:t>Mutual aid agreements provide an efficient mechanism by which localities, states, tribes, and the federal government provide personnel and aid before, during, and after an emergency event. Mutual aid agreements expedite response by establishing protocols for requesting and providing assistance and determining policies and procedures for reimbursement and compensation in advance, thereby eliminating or lessening the extent to which these issues must be negotiated with each new event. The</w:t>
      </w:r>
      <w:r w:rsidR="008E6887">
        <w:rPr>
          <w:color w:val="000000" w:themeColor="text1"/>
        </w:rPr>
        <w:t xml:space="preserve"> </w:t>
      </w:r>
      <w:r w:rsidRPr="008E6887">
        <w:rPr>
          <w:color w:val="000000" w:themeColor="text1"/>
          <w:bdr w:val="none" w:sz="0" w:space="0" w:color="auto" w:frame="1"/>
        </w:rPr>
        <w:t>Emergency Management Assistance Compact (EMAC)</w:t>
      </w:r>
      <w:r w:rsidR="008E6887" w:rsidRPr="008E6887">
        <w:rPr>
          <w:color w:val="000000" w:themeColor="text1"/>
          <w:bdr w:val="none" w:sz="0" w:space="0" w:color="auto" w:frame="1"/>
        </w:rPr>
        <w:t xml:space="preserve"> </w:t>
      </w:r>
      <w:r w:rsidRPr="008E6887">
        <w:rPr>
          <w:color w:val="000000" w:themeColor="text1"/>
        </w:rPr>
        <w:t xml:space="preserve">is </w:t>
      </w:r>
      <w:r w:rsidRPr="00782E45">
        <w:rPr>
          <w:color w:val="000000" w:themeColor="text1"/>
        </w:rPr>
        <w:t>a type of interstate mutual aid agreement that provides an organized structure through which a state can request aid.</w:t>
      </w:r>
      <w:r w:rsidR="00FB1FC3">
        <w:rPr>
          <w:rStyle w:val="FootnoteReference"/>
          <w:color w:val="000000" w:themeColor="text1"/>
        </w:rPr>
        <w:footnoteReference w:id="19"/>
      </w:r>
      <w:r w:rsidR="00FB1FC3">
        <w:rPr>
          <w:color w:val="000000" w:themeColor="text1"/>
          <w:sz w:val="16"/>
          <w:szCs w:val="14"/>
          <w:bdr w:val="none" w:sz="0" w:space="0" w:color="auto" w:frame="1"/>
        </w:rPr>
        <w:t xml:space="preserve"> </w:t>
      </w:r>
      <w:r w:rsidRPr="00782E45">
        <w:rPr>
          <w:color w:val="000000" w:themeColor="text1"/>
        </w:rPr>
        <w:t>It establishes that the requesting state is responsible for reimbursing the assisting state for any expenses incurred and addresses liability, compensation, and licensing issues for personnel deployed pursuant to an EMAC request. EMAC is the most widely adopted mutual aid arrangement in the United States; it has been adopted by all states, the District of Columbia, and some territories.</w:t>
      </w:r>
      <w:r w:rsidR="007550D4">
        <w:rPr>
          <w:rStyle w:val="FootnoteReference"/>
          <w:color w:val="000000" w:themeColor="text1"/>
        </w:rPr>
        <w:footnoteReference w:id="20"/>
      </w:r>
    </w:p>
    <w:p w14:paraId="6AF480C8" w14:textId="77777777" w:rsidR="001F116C" w:rsidRPr="00782E45" w:rsidRDefault="001F116C" w:rsidP="002B02B7">
      <w:pPr>
        <w:pStyle w:val="norm15"/>
        <w:rPr>
          <w:color w:val="000000" w:themeColor="text1"/>
        </w:rPr>
      </w:pPr>
    </w:p>
    <w:p w14:paraId="40FD56C4" w14:textId="77777777"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Public Readiness and Emergency Preparedness Act (PREP Act)</w:t>
      </w:r>
    </w:p>
    <w:p w14:paraId="51F67C70" w14:textId="36013202" w:rsidR="001F116C" w:rsidRPr="001E44CD" w:rsidRDefault="001F116C" w:rsidP="002B02B7">
      <w:pPr>
        <w:pStyle w:val="norm15"/>
        <w:rPr>
          <w:color w:val="000000" w:themeColor="text1"/>
          <w:bdr w:val="none" w:sz="0" w:space="0" w:color="auto" w:frame="1"/>
        </w:rPr>
      </w:pPr>
      <w:r w:rsidRPr="00782E45">
        <w:rPr>
          <w:color w:val="000000" w:themeColor="text1"/>
        </w:rPr>
        <w:t>The</w:t>
      </w:r>
      <w:r w:rsidR="009F3DA6">
        <w:rPr>
          <w:color w:val="000000" w:themeColor="text1"/>
        </w:rPr>
        <w:t xml:space="preserve"> </w:t>
      </w:r>
      <w:r w:rsidRPr="009F3DA6">
        <w:rPr>
          <w:color w:val="000000" w:themeColor="text1"/>
          <w:bdr w:val="none" w:sz="0" w:space="0" w:color="auto" w:frame="1"/>
        </w:rPr>
        <w:t>PREP Act</w:t>
      </w:r>
      <w:r w:rsidR="009F3DA6">
        <w:rPr>
          <w:color w:val="000000" w:themeColor="text1"/>
        </w:rPr>
        <w:t xml:space="preserve"> </w:t>
      </w:r>
      <w:r w:rsidRPr="009F3DA6">
        <w:rPr>
          <w:color w:val="000000" w:themeColor="text1"/>
        </w:rPr>
        <w:t xml:space="preserve">authorizes </w:t>
      </w:r>
      <w:r w:rsidRPr="00782E45">
        <w:rPr>
          <w:color w:val="000000" w:themeColor="text1"/>
        </w:rPr>
        <w:t>the U.S. Secretary of Health and Human Services to issue a declaration that provides immunity from tort liability for claims of loss caused by countermeasures against diseases or other threats of public health emergencies.</w:t>
      </w:r>
      <w:r w:rsidR="00A410C7">
        <w:rPr>
          <w:rStyle w:val="FootnoteReference"/>
          <w:color w:val="000000" w:themeColor="text1"/>
        </w:rPr>
        <w:footnoteReference w:id="21"/>
      </w:r>
      <w:r w:rsidR="00A410C7">
        <w:rPr>
          <w:color w:val="000000" w:themeColor="text1"/>
          <w:bdr w:val="none" w:sz="0" w:space="0" w:color="auto" w:frame="1"/>
        </w:rPr>
        <w:t xml:space="preserve"> </w:t>
      </w:r>
      <w:r w:rsidRPr="00782E45">
        <w:rPr>
          <w:color w:val="000000" w:themeColor="text1"/>
        </w:rPr>
        <w:t>The act covers persons and entities involved in the manufacture, testing, distribution, administration, and use of covered countermeasures.</w:t>
      </w:r>
      <w:r w:rsidR="001E44CD">
        <w:rPr>
          <w:rStyle w:val="FootnoteReference"/>
          <w:color w:val="000000" w:themeColor="text1"/>
        </w:rPr>
        <w:footnoteReference w:id="22"/>
      </w:r>
      <w:r w:rsidR="001E44CD">
        <w:rPr>
          <w:color w:val="000000" w:themeColor="text1"/>
        </w:rPr>
        <w:t xml:space="preserve"> </w:t>
      </w:r>
      <w:r w:rsidRPr="00782E45">
        <w:rPr>
          <w:color w:val="000000" w:themeColor="text1"/>
        </w:rPr>
        <w:t xml:space="preserve">PREP Act coverage is only available where there has been a declaration by the HHS Secretary; if such a declaration has not been issued, then activities at </w:t>
      </w:r>
      <w:r w:rsidR="00F405A6">
        <w:rPr>
          <w:color w:val="000000" w:themeColor="text1"/>
        </w:rPr>
        <w:t xml:space="preserve">POD/emergency vaccination </w:t>
      </w:r>
      <w:r w:rsidRPr="00782E45">
        <w:rPr>
          <w:color w:val="000000" w:themeColor="text1"/>
        </w:rPr>
        <w:t xml:space="preserve">site would not be covered by the PREP Act, although other state or federal liability protections may still apply. The PREP Act </w:t>
      </w:r>
      <w:r w:rsidR="005F05D3">
        <w:rPr>
          <w:color w:val="000000" w:themeColor="text1"/>
        </w:rPr>
        <w:t xml:space="preserve">has been used to provide liability protections during the COVID-19 pandemic and for prior </w:t>
      </w:r>
      <w:r w:rsidR="006D3119">
        <w:rPr>
          <w:color w:val="000000" w:themeColor="text1"/>
        </w:rPr>
        <w:t xml:space="preserve">public health </w:t>
      </w:r>
      <w:r w:rsidR="006D3119">
        <w:rPr>
          <w:color w:val="000000" w:themeColor="text1"/>
        </w:rPr>
        <w:lastRenderedPageBreak/>
        <w:t>emergencies.</w:t>
      </w:r>
      <w:r w:rsidR="006D3119" w:rsidRPr="006D3119">
        <w:rPr>
          <w:rStyle w:val="FootnoteReference"/>
          <w:color w:val="000000" w:themeColor="text1"/>
        </w:rPr>
        <w:t xml:space="preserve"> </w:t>
      </w:r>
      <w:r w:rsidR="006D3119">
        <w:rPr>
          <w:rStyle w:val="FootnoteReference"/>
          <w:color w:val="000000" w:themeColor="text1"/>
        </w:rPr>
        <w:footnoteReference w:id="23"/>
      </w:r>
      <w:r w:rsidR="006D3119">
        <w:rPr>
          <w:color w:val="000000" w:themeColor="text1"/>
        </w:rPr>
        <w:t xml:space="preserve"> S</w:t>
      </w:r>
      <w:r w:rsidRPr="00782E45">
        <w:rPr>
          <w:color w:val="000000" w:themeColor="text1"/>
        </w:rPr>
        <w:t xml:space="preserve">taff involved in the planning and implementation </w:t>
      </w:r>
      <w:r w:rsidR="00F1498F">
        <w:rPr>
          <w:color w:val="000000" w:themeColor="text1"/>
        </w:rPr>
        <w:t xml:space="preserve">these types of </w:t>
      </w:r>
      <w:r w:rsidRPr="00782E45">
        <w:rPr>
          <w:color w:val="000000" w:themeColor="text1"/>
        </w:rPr>
        <w:t>activities for covered countermeasures would likely be covered under the PREP Act.</w:t>
      </w:r>
      <w:r w:rsidR="001E44CD">
        <w:rPr>
          <w:rStyle w:val="FootnoteReference"/>
          <w:color w:val="000000" w:themeColor="text1"/>
        </w:rPr>
        <w:footnoteReference w:id="24"/>
      </w:r>
    </w:p>
    <w:p w14:paraId="7810A95A" w14:textId="77777777" w:rsidR="001F116C" w:rsidRPr="00782E45" w:rsidRDefault="001F116C" w:rsidP="002B02B7">
      <w:pPr>
        <w:pStyle w:val="norm15"/>
        <w:rPr>
          <w:color w:val="000000" w:themeColor="text1"/>
        </w:rPr>
      </w:pPr>
    </w:p>
    <w:p w14:paraId="323DEBA4" w14:textId="26EC4FE1" w:rsidR="001F116C" w:rsidRPr="00782E45" w:rsidRDefault="001F116C" w:rsidP="002B02B7">
      <w:pPr>
        <w:pStyle w:val="norm15"/>
        <w:rPr>
          <w:color w:val="000000" w:themeColor="text1"/>
        </w:rPr>
      </w:pPr>
      <w:r w:rsidRPr="00782E45">
        <w:rPr>
          <w:color w:val="000000" w:themeColor="text1"/>
        </w:rPr>
        <w:t xml:space="preserve">Most states have </w:t>
      </w:r>
      <w:r w:rsidR="00D97CB0">
        <w:rPr>
          <w:color w:val="000000" w:themeColor="text1"/>
        </w:rPr>
        <w:t>legal</w:t>
      </w:r>
      <w:r w:rsidRPr="00782E45">
        <w:rPr>
          <w:color w:val="000000" w:themeColor="text1"/>
        </w:rPr>
        <w:t xml:space="preserve"> protections for persons volunteering or otherwise involved in emergency preparation or response activities. Taken together, state and federal liability protections can help to assure staff involved in </w:t>
      </w:r>
      <w:r w:rsidR="009E660C">
        <w:rPr>
          <w:color w:val="000000" w:themeColor="text1"/>
        </w:rPr>
        <w:t xml:space="preserve">PODS and emergency </w:t>
      </w:r>
      <w:r w:rsidRPr="00782E45">
        <w:rPr>
          <w:color w:val="000000" w:themeColor="text1"/>
        </w:rPr>
        <w:t>vaccination clinics that their participation should not give rise to liability as long as they meet the conditions for protection outlined in the laws. Liability protections can depend on the nature of the services provided by the person (volunteer vs. paid employee), whether a federal or state emergency declaration has been issued, and the extent of protections provided by any applicable laws or programs.</w:t>
      </w:r>
    </w:p>
    <w:p w14:paraId="0C85B57E" w14:textId="77777777" w:rsidR="001F116C" w:rsidRDefault="001F116C" w:rsidP="002B02B7">
      <w:pPr>
        <w:pStyle w:val="norm15"/>
        <w:rPr>
          <w:color w:val="000000" w:themeColor="text1"/>
        </w:rPr>
      </w:pPr>
    </w:p>
    <w:p w14:paraId="00905E1F" w14:textId="77777777" w:rsidR="001F116C" w:rsidRPr="00C479B0" w:rsidRDefault="001F116C" w:rsidP="002B02B7">
      <w:pPr>
        <w:pStyle w:val="norm15"/>
        <w:rPr>
          <w:b/>
          <w:bCs/>
        </w:rPr>
      </w:pPr>
      <w:r w:rsidRPr="00C479B0">
        <w:rPr>
          <w:b/>
          <w:bCs/>
        </w:rPr>
        <w:t>Persons Served at the Site</w:t>
      </w:r>
    </w:p>
    <w:p w14:paraId="4A8E9AE8" w14:textId="0FA2454C" w:rsidR="001F116C" w:rsidRDefault="001F116C" w:rsidP="002B02B7">
      <w:pPr>
        <w:pStyle w:val="norm15"/>
        <w:rPr>
          <w:color w:val="000000" w:themeColor="text1"/>
        </w:rPr>
      </w:pPr>
      <w:r w:rsidRPr="00782E45">
        <w:rPr>
          <w:color w:val="000000" w:themeColor="text1"/>
        </w:rPr>
        <w:t xml:space="preserve">The scope of persons to be served at the </w:t>
      </w:r>
      <w:r w:rsidR="00BD12B9">
        <w:rPr>
          <w:color w:val="000000" w:themeColor="text1"/>
        </w:rPr>
        <w:t>POD/</w:t>
      </w:r>
      <w:r w:rsidR="009504BE">
        <w:rPr>
          <w:color w:val="000000" w:themeColor="text1"/>
        </w:rPr>
        <w:t>emergency vaccination</w:t>
      </w:r>
      <w:r w:rsidRPr="00782E45">
        <w:rPr>
          <w:color w:val="000000" w:themeColor="text1"/>
        </w:rPr>
        <w:t xml:space="preserve"> site poses a range of differing legal and logistical issues. The school site may be used to </w:t>
      </w:r>
      <w:r w:rsidR="009504BE">
        <w:rPr>
          <w:color w:val="000000" w:themeColor="text1"/>
        </w:rPr>
        <w:t>serv</w:t>
      </w:r>
      <w:r w:rsidR="005C7F70">
        <w:rPr>
          <w:color w:val="000000" w:themeColor="text1"/>
        </w:rPr>
        <w:t>e</w:t>
      </w:r>
      <w:r w:rsidRPr="00782E45">
        <w:rPr>
          <w:color w:val="000000" w:themeColor="text1"/>
        </w:rPr>
        <w:t xml:space="preserve"> only the students in attendance at that school. Additionally, the site could also serve students at neighboring schools, home-schooled children, school staff, students’ younger siblings and other family members, and other members of the community, regardless of age.</w:t>
      </w:r>
      <w:r w:rsidR="001E44CD">
        <w:rPr>
          <w:rStyle w:val="FootnoteReference"/>
          <w:color w:val="000000" w:themeColor="text1"/>
        </w:rPr>
        <w:footnoteReference w:id="25"/>
      </w:r>
      <w:r w:rsidR="001E44CD">
        <w:rPr>
          <w:color w:val="000000" w:themeColor="text1"/>
          <w:bdr w:val="none" w:sz="0" w:space="0" w:color="auto" w:frame="1"/>
        </w:rPr>
        <w:t xml:space="preserve"> </w:t>
      </w:r>
      <w:r w:rsidRPr="00782E45">
        <w:rPr>
          <w:color w:val="000000" w:themeColor="text1"/>
        </w:rPr>
        <w:t>Expanding the scope of persons served at a site broadens the number and types of persons to whom the school, health agency, and others staffing the event are potentially liable, although the grounds for liability—such as malpractice, negligence, or premises liability—will generally be the same regardless of the scope of persons served. As discussed in the Staffing section above, the site and persons involved may be covered under governmental immunity, volunteer protection, or other state and federal laws.</w:t>
      </w:r>
    </w:p>
    <w:p w14:paraId="5BD988B3" w14:textId="77777777" w:rsidR="001F116C" w:rsidRDefault="001F116C" w:rsidP="002B02B7">
      <w:pPr>
        <w:pStyle w:val="norm15"/>
        <w:rPr>
          <w:color w:val="000000" w:themeColor="text1"/>
        </w:rPr>
      </w:pPr>
    </w:p>
    <w:p w14:paraId="0FF3A50B" w14:textId="20104C34" w:rsidR="001F116C" w:rsidRPr="00C479B0" w:rsidRDefault="001F116C" w:rsidP="002B02B7">
      <w:pPr>
        <w:pStyle w:val="norm15"/>
        <w:rPr>
          <w:b/>
          <w:bCs/>
        </w:rPr>
      </w:pPr>
      <w:r w:rsidRPr="00C479B0">
        <w:rPr>
          <w:b/>
          <w:bCs/>
        </w:rPr>
        <w:t>Consent</w:t>
      </w:r>
    </w:p>
    <w:p w14:paraId="002345F8" w14:textId="1D2B23B3" w:rsidR="001F116C" w:rsidRDefault="001F116C" w:rsidP="002B02B7">
      <w:pPr>
        <w:pStyle w:val="norm15"/>
        <w:rPr>
          <w:color w:val="000000" w:themeColor="text1"/>
        </w:rPr>
      </w:pPr>
      <w:r w:rsidRPr="00782E45">
        <w:rPr>
          <w:color w:val="000000" w:themeColor="text1"/>
        </w:rPr>
        <w:t xml:space="preserve">Generally, parents or guardians provide written consent to vaccinate </w:t>
      </w:r>
      <w:r w:rsidR="006368B5">
        <w:rPr>
          <w:color w:val="000000" w:themeColor="text1"/>
        </w:rPr>
        <w:t xml:space="preserve">or </w:t>
      </w:r>
      <w:r w:rsidR="00982A03">
        <w:rPr>
          <w:color w:val="000000" w:themeColor="text1"/>
        </w:rPr>
        <w:t xml:space="preserve">to administer drugs to </w:t>
      </w:r>
      <w:r w:rsidRPr="00782E45">
        <w:rPr>
          <w:color w:val="000000" w:themeColor="text1"/>
        </w:rPr>
        <w:t xml:space="preserve">a minor student, although some jurisdictions allow certain circumstances in which minor children can consent to </w:t>
      </w:r>
      <w:r w:rsidRPr="00782E45">
        <w:rPr>
          <w:color w:val="000000" w:themeColor="text1"/>
        </w:rPr>
        <w:lastRenderedPageBreak/>
        <w:t>themselves.</w:t>
      </w:r>
      <w:r w:rsidR="001E44CD">
        <w:rPr>
          <w:rStyle w:val="FootnoteReference"/>
          <w:color w:val="000000" w:themeColor="text1"/>
        </w:rPr>
        <w:footnoteReference w:id="26"/>
      </w:r>
      <w:r w:rsidR="001E44CD">
        <w:rPr>
          <w:color w:val="000000" w:themeColor="text1"/>
          <w:szCs w:val="20"/>
          <w:bdr w:val="none" w:sz="0" w:space="0" w:color="auto" w:frame="1"/>
        </w:rPr>
        <w:t xml:space="preserve"> </w:t>
      </w:r>
      <w:r w:rsidRPr="00782E45">
        <w:rPr>
          <w:color w:val="000000" w:themeColor="text1"/>
        </w:rPr>
        <w:t>Students who are 18 years or older and all adults must also provide written consent to be vaccinated</w:t>
      </w:r>
      <w:r w:rsidR="00982A03">
        <w:rPr>
          <w:color w:val="000000" w:themeColor="text1"/>
        </w:rPr>
        <w:t xml:space="preserve"> or </w:t>
      </w:r>
      <w:r w:rsidR="00852440">
        <w:rPr>
          <w:color w:val="000000" w:themeColor="text1"/>
        </w:rPr>
        <w:t>receive medical countermeasures</w:t>
      </w:r>
      <w:r w:rsidRPr="00782E45">
        <w:rPr>
          <w:color w:val="000000" w:themeColor="text1"/>
        </w:rPr>
        <w:t>.</w:t>
      </w:r>
      <w:r w:rsidR="00616F09">
        <w:rPr>
          <w:color w:val="000000" w:themeColor="text1"/>
        </w:rPr>
        <w:t xml:space="preserve"> </w:t>
      </w:r>
      <w:r w:rsidR="00122035">
        <w:rPr>
          <w:color w:val="000000" w:themeColor="text1"/>
        </w:rPr>
        <w:t>In emergency situations, such as in</w:t>
      </w:r>
      <w:r w:rsidR="0056359C">
        <w:rPr>
          <w:color w:val="000000" w:themeColor="text1"/>
        </w:rPr>
        <w:t xml:space="preserve"> the </w:t>
      </w:r>
      <w:r w:rsidR="00684843">
        <w:rPr>
          <w:color w:val="000000" w:themeColor="text1"/>
        </w:rPr>
        <w:t xml:space="preserve">immediate </w:t>
      </w:r>
      <w:r w:rsidR="0056359C">
        <w:rPr>
          <w:color w:val="000000" w:themeColor="text1"/>
        </w:rPr>
        <w:t xml:space="preserve">aftermath of a radiological event in which the timely administration of </w:t>
      </w:r>
      <w:r w:rsidR="00684843">
        <w:rPr>
          <w:color w:val="000000" w:themeColor="text1"/>
        </w:rPr>
        <w:t>p</w:t>
      </w:r>
      <w:r w:rsidR="00684843" w:rsidRPr="00684843">
        <w:rPr>
          <w:color w:val="000000" w:themeColor="text1"/>
        </w:rPr>
        <w:t>otassium iodide (KI)</w:t>
      </w:r>
      <w:r w:rsidR="00684843">
        <w:rPr>
          <w:color w:val="000000" w:themeColor="text1"/>
        </w:rPr>
        <w:t xml:space="preserve"> protects</w:t>
      </w:r>
      <w:r w:rsidR="004B628F">
        <w:rPr>
          <w:color w:val="000000" w:themeColor="text1"/>
        </w:rPr>
        <w:t xml:space="preserve"> against the absorption of </w:t>
      </w:r>
      <w:r w:rsidR="007E464C">
        <w:rPr>
          <w:color w:val="000000" w:themeColor="text1"/>
        </w:rPr>
        <w:t>radiation into the thyroid</w:t>
      </w:r>
      <w:r w:rsidR="00FC4617">
        <w:rPr>
          <w:color w:val="000000" w:themeColor="text1"/>
        </w:rPr>
        <w:t>, school staff may be required to make a decision to administer the</w:t>
      </w:r>
      <w:r w:rsidR="00A27DD1">
        <w:rPr>
          <w:color w:val="000000" w:themeColor="text1"/>
        </w:rPr>
        <w:t xml:space="preserve"> drug without prior consent</w:t>
      </w:r>
      <w:r w:rsidR="007A12E8">
        <w:rPr>
          <w:color w:val="000000" w:themeColor="text1"/>
        </w:rPr>
        <w:t xml:space="preserve"> in order to protect the health of the child.</w:t>
      </w:r>
      <w:r w:rsidR="00DB0AEF">
        <w:rPr>
          <w:color w:val="000000" w:themeColor="text1"/>
        </w:rPr>
        <w:t xml:space="preserve"> While </w:t>
      </w:r>
      <w:r w:rsidR="004F5BBD">
        <w:rPr>
          <w:color w:val="000000" w:themeColor="text1"/>
        </w:rPr>
        <w:t xml:space="preserve">seeking </w:t>
      </w:r>
      <w:r w:rsidR="00DB0AEF">
        <w:rPr>
          <w:color w:val="000000" w:themeColor="text1"/>
        </w:rPr>
        <w:t xml:space="preserve">written consent or specifically requiring </w:t>
      </w:r>
      <w:r w:rsidR="007A454D">
        <w:rPr>
          <w:color w:val="000000" w:themeColor="text1"/>
        </w:rPr>
        <w:t xml:space="preserve">parents to opt out of KI administration </w:t>
      </w:r>
      <w:r w:rsidR="004F5BBD">
        <w:rPr>
          <w:color w:val="000000" w:themeColor="text1"/>
        </w:rPr>
        <w:t xml:space="preserve">in advance </w:t>
      </w:r>
      <w:r w:rsidR="004F31BA">
        <w:rPr>
          <w:color w:val="000000" w:themeColor="text1"/>
        </w:rPr>
        <w:t xml:space="preserve">of an event </w:t>
      </w:r>
      <w:r w:rsidR="004F5BBD">
        <w:rPr>
          <w:color w:val="000000" w:themeColor="text1"/>
        </w:rPr>
        <w:t xml:space="preserve">is </w:t>
      </w:r>
      <w:r w:rsidR="003C5404">
        <w:rPr>
          <w:color w:val="000000" w:themeColor="text1"/>
        </w:rPr>
        <w:t>the common practice in potentially effected schools</w:t>
      </w:r>
      <w:r w:rsidR="004F31BA">
        <w:rPr>
          <w:color w:val="000000" w:themeColor="text1"/>
        </w:rPr>
        <w:t xml:space="preserve">, </w:t>
      </w:r>
      <w:r w:rsidR="00D76486">
        <w:rPr>
          <w:color w:val="000000" w:themeColor="text1"/>
        </w:rPr>
        <w:t xml:space="preserve">state law may also provide legal authority to </w:t>
      </w:r>
      <w:r w:rsidR="0057634B">
        <w:rPr>
          <w:color w:val="000000" w:themeColor="text1"/>
        </w:rPr>
        <w:t xml:space="preserve">school staff to </w:t>
      </w:r>
      <w:r w:rsidR="00D76486">
        <w:rPr>
          <w:color w:val="000000" w:themeColor="text1"/>
        </w:rPr>
        <w:t>administer life</w:t>
      </w:r>
      <w:r w:rsidR="0057634B">
        <w:rPr>
          <w:color w:val="000000" w:themeColor="text1"/>
        </w:rPr>
        <w:t>-</w:t>
      </w:r>
      <w:r w:rsidR="00D76486">
        <w:rPr>
          <w:color w:val="000000" w:themeColor="text1"/>
        </w:rPr>
        <w:t>saving treatment and drug</w:t>
      </w:r>
      <w:r w:rsidR="0057634B">
        <w:rPr>
          <w:color w:val="000000" w:themeColor="text1"/>
        </w:rPr>
        <w:t>s</w:t>
      </w:r>
      <w:r w:rsidR="00BA497E">
        <w:rPr>
          <w:color w:val="000000" w:themeColor="text1"/>
        </w:rPr>
        <w:t xml:space="preserve"> in an emergency without a parent’s consent.</w:t>
      </w:r>
    </w:p>
    <w:p w14:paraId="462CFC1D" w14:textId="0DFD91A5" w:rsidR="004337CB" w:rsidRDefault="004337CB" w:rsidP="002B02B7">
      <w:pPr>
        <w:pStyle w:val="norm15"/>
        <w:rPr>
          <w:color w:val="000000" w:themeColor="text1"/>
        </w:rPr>
      </w:pPr>
    </w:p>
    <w:p w14:paraId="50F07CE0" w14:textId="53C91638" w:rsidR="004337CB" w:rsidRPr="00F031A4" w:rsidRDefault="002A083B" w:rsidP="002B02B7">
      <w:pPr>
        <w:pStyle w:val="norm15"/>
        <w:rPr>
          <w:color w:val="000000" w:themeColor="text1"/>
        </w:rPr>
      </w:pPr>
      <w:r>
        <w:rPr>
          <w:noProof/>
        </w:rPr>
        <mc:AlternateContent>
          <mc:Choice Requires="wps">
            <w:drawing>
              <wp:anchor distT="45720" distB="45720" distL="114300" distR="114300" simplePos="0" relativeHeight="251661312" behindDoc="0" locked="0" layoutInCell="1" allowOverlap="1" wp14:anchorId="6679FFA3" wp14:editId="79623383">
                <wp:simplePos x="0" y="0"/>
                <wp:positionH relativeFrom="margin">
                  <wp:align>center</wp:align>
                </wp:positionH>
                <wp:positionV relativeFrom="paragraph">
                  <wp:posOffset>4387850</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34F37438" w14:textId="77777777" w:rsidR="004337CB" w:rsidRPr="004C64AD" w:rsidRDefault="004337CB" w:rsidP="004337C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79FFA3" id="_x0000_s1027" type="#_x0000_t202" style="position:absolute;margin-left:0;margin-top:345.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">
                <v:textbox style="mso-fit-shape-to-text:t">
                  <w:txbxContent>
                    <w:p w14:paraId="34F37438" w14:textId="77777777" w:rsidR="004337CB" w:rsidRPr="004C64AD" w:rsidRDefault="004337CB" w:rsidP="004337C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4337CB" w:rsidRPr="00F031A4" w:rsidSect="00454DAC">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186B44" w14:textId="77777777" w:rsidR="00435257" w:rsidRDefault="00435257" w:rsidP="006528A7">
      <w:r>
        <w:separator/>
      </w:r>
    </w:p>
  </w:endnote>
  <w:endnote w:type="continuationSeparator" w:id="0">
    <w:p w14:paraId="6312A99E" w14:textId="77777777" w:rsidR="00435257" w:rsidRDefault="00435257" w:rsidP="0065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7194653"/>
      <w:docPartObj>
        <w:docPartGallery w:val="Page Numbers (Bottom of Page)"/>
        <w:docPartUnique/>
      </w:docPartObj>
    </w:sdtPr>
    <w:sdtEndPr>
      <w:rPr>
        <w:noProof/>
      </w:rPr>
    </w:sdtEndPr>
    <w:sdtContent>
      <w:p w14:paraId="693176C4" w14:textId="7C2F733F" w:rsidR="006528A7" w:rsidRDefault="006528A7" w:rsidP="006528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D9A2E" w14:textId="77777777" w:rsidR="00884533" w:rsidRDefault="00884533" w:rsidP="00884533">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73AF528D" w14:textId="3241A318" w:rsidR="00454DAC" w:rsidRDefault="00884533" w:rsidP="00884533">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A6B781" w14:textId="77777777" w:rsidR="00435257" w:rsidRDefault="00435257" w:rsidP="006528A7">
      <w:r>
        <w:separator/>
      </w:r>
    </w:p>
  </w:footnote>
  <w:footnote w:type="continuationSeparator" w:id="0">
    <w:p w14:paraId="58DB8503" w14:textId="77777777" w:rsidR="00435257" w:rsidRDefault="00435257" w:rsidP="006528A7">
      <w:r>
        <w:continuationSeparator/>
      </w:r>
    </w:p>
  </w:footnote>
  <w:footnote w:id="1">
    <w:p w14:paraId="018DBB16" w14:textId="55B32168" w:rsidR="00C62411" w:rsidRDefault="00C62411">
      <w:pPr>
        <w:pStyle w:val="FootnoteText"/>
      </w:pPr>
      <w:r w:rsidRPr="00936311">
        <w:rPr>
          <w:b/>
          <w:bCs/>
          <w:highlight w:val="yellow"/>
        </w:rPr>
        <w:t>Footnotes will be streamlined and edited to style guide once text is finalized</w:t>
      </w:r>
    </w:p>
    <w:p w14:paraId="562B3C28" w14:textId="750F704C" w:rsidR="00FE3D0C" w:rsidRDefault="00FE3D0C">
      <w:pPr>
        <w:pStyle w:val="FootnoteText"/>
      </w:pPr>
      <w:r>
        <w:rPr>
          <w:rStyle w:val="FootnoteReference"/>
        </w:rPr>
        <w:footnoteRef/>
      </w:r>
      <w:r>
        <w:t xml:space="preserve"> </w:t>
      </w:r>
      <w:r w:rsidR="00D43D56" w:rsidRPr="00D43D56">
        <w:rPr>
          <w:i/>
          <w:iCs/>
        </w:rPr>
        <w:t>See</w:t>
      </w:r>
      <w:r w:rsidR="00D43D56">
        <w:t xml:space="preserve"> NGA. </w:t>
      </w:r>
      <w:r w:rsidR="00C62411" w:rsidRPr="00C62411">
        <w:t>Status of State Covid-19 Emergency Orders</w:t>
      </w:r>
      <w:r w:rsidR="00C62411">
        <w:t>.</w:t>
      </w:r>
      <w:r w:rsidR="000A0790">
        <w:t xml:space="preserve"> </w:t>
      </w:r>
      <w:r w:rsidR="003F4C0E">
        <w:t>Webpage l</w:t>
      </w:r>
      <w:r w:rsidR="003F4C0E" w:rsidRPr="003F4C0E">
        <w:t xml:space="preserve">ast </w:t>
      </w:r>
      <w:r w:rsidR="003F4C0E">
        <w:t>u</w:t>
      </w:r>
      <w:r w:rsidR="003F4C0E" w:rsidRPr="003F4C0E">
        <w:t>pdated</w:t>
      </w:r>
      <w:r w:rsidR="003F4C0E">
        <w:t xml:space="preserve"> </w:t>
      </w:r>
      <w:r w:rsidR="003F4C0E" w:rsidRPr="003F4C0E">
        <w:t>July 30</w:t>
      </w:r>
      <w:r w:rsidR="003F4C0E">
        <w:t>,</w:t>
      </w:r>
      <w:r w:rsidR="003F4C0E" w:rsidRPr="003F4C0E">
        <w:t xml:space="preserve"> 2020</w:t>
      </w:r>
      <w:r w:rsidR="003F4C0E">
        <w:t xml:space="preserve">. Retrieved from </w:t>
      </w:r>
      <w:hyperlink r:id="rId1" w:history="1">
        <w:r w:rsidR="00D36724">
          <w:rPr>
            <w:rStyle w:val="Hyperlink"/>
          </w:rPr>
          <w:t>https://www.nga.org/state-covid-19-emergency-orders/</w:t>
        </w:r>
      </w:hyperlink>
      <w:r w:rsidR="001C0BA6">
        <w:t xml:space="preserve">. Accessed August 7, 2020. </w:t>
      </w:r>
      <w:r w:rsidR="001C0BA6" w:rsidRPr="009A5C21">
        <w:rPr>
          <w:i/>
          <w:iCs/>
        </w:rPr>
        <w:t>See also</w:t>
      </w:r>
      <w:r w:rsidR="001C0BA6">
        <w:t xml:space="preserve"> NGA. </w:t>
      </w:r>
      <w:r w:rsidR="001C0BA6" w:rsidRPr="001C0BA6">
        <w:t>N</w:t>
      </w:r>
      <w:r w:rsidR="001C0BA6">
        <w:t>GA</w:t>
      </w:r>
      <w:r w:rsidR="001C0BA6" w:rsidRPr="001C0BA6">
        <w:t xml:space="preserve"> Education's State Reopening Tracking</w:t>
      </w:r>
      <w:r w:rsidR="001C0BA6">
        <w:t xml:space="preserve"> </w:t>
      </w:r>
      <w:r w:rsidR="00D36724">
        <w:t>Accessed</w:t>
      </w:r>
      <w:r w:rsidR="001C0BA6">
        <w:t>. Webpage last updated July 30, 2020. Retrieved from</w:t>
      </w:r>
      <w:r w:rsidR="007A0C10">
        <w:t xml:space="preserve"> </w:t>
      </w:r>
      <w:hyperlink r:id="rId2" w:anchor="section-statetable" w:history="1">
        <w:r w:rsidR="007A0C10">
          <w:rPr>
            <w:rStyle w:val="Hyperlink"/>
          </w:rPr>
          <w:t>https://education.nga.org/#section-statetable</w:t>
        </w:r>
      </w:hyperlink>
      <w:r w:rsidR="009A5C21">
        <w:t xml:space="preserve">. </w:t>
      </w:r>
      <w:r w:rsidR="001C0BA6">
        <w:t xml:space="preserve">Accessed </w:t>
      </w:r>
      <w:r w:rsidR="00D36724">
        <w:t>August 7, 2020.</w:t>
      </w:r>
      <w:r w:rsidR="002C56F7">
        <w:t xml:space="preserve"> </w:t>
      </w:r>
    </w:p>
  </w:footnote>
  <w:footnote w:id="2">
    <w:p w14:paraId="4EEC6F9A" w14:textId="2EEC5D98" w:rsidR="00A9512B" w:rsidRDefault="00A9512B">
      <w:pPr>
        <w:pStyle w:val="FootnoteText"/>
      </w:pPr>
      <w:r>
        <w:rPr>
          <w:rStyle w:val="FootnoteReference"/>
        </w:rPr>
        <w:footnoteRef/>
      </w:r>
      <w:r>
        <w:t xml:space="preserve"> </w:t>
      </w:r>
      <w:r w:rsidRPr="00A9512B">
        <w:t xml:space="preserve">Hodge J et al. Legal Preparedness for School Closures in Response to Pandemic Influenza and Other Emergencies. April 2008. </w:t>
      </w:r>
      <w:r w:rsidR="001B502A">
        <w:t xml:space="preserve">Retrieved from </w:t>
      </w:r>
      <w:hyperlink r:id="rId3" w:history="1">
        <w:r w:rsidR="00800767">
          <w:rPr>
            <w:rStyle w:val="Hyperlink"/>
          </w:rPr>
          <w:t>https://www.pps.net/cms/lib/OR01913224/Centricity/Domain/70/pandemic/schoolclosures.pdf</w:t>
        </w:r>
      </w:hyperlink>
      <w:r w:rsidRPr="00A9512B">
        <w:t>.</w:t>
      </w:r>
      <w:r w:rsidR="00D777C3">
        <w:t xml:space="preserve"> Accessed August 7, 2020</w:t>
      </w:r>
    </w:p>
  </w:footnote>
  <w:footnote w:id="3">
    <w:p w14:paraId="39FBDB6E" w14:textId="67A29CAD" w:rsidR="00A9512B" w:rsidRDefault="00A9512B">
      <w:pPr>
        <w:pStyle w:val="FootnoteText"/>
      </w:pPr>
      <w:r>
        <w:rPr>
          <w:rStyle w:val="FootnoteReference"/>
        </w:rPr>
        <w:footnoteRef/>
      </w:r>
      <w:r>
        <w:t xml:space="preserve"> </w:t>
      </w:r>
      <w:r w:rsidR="0054690F" w:rsidRPr="00A9512B">
        <w:t xml:space="preserve">Hodge J et al. Legal Preparedness for School Closures in Response to Pandemic Influenza and Other Emergencies. April 2008. </w:t>
      </w:r>
      <w:r w:rsidR="0054690F">
        <w:t xml:space="preserve">Retrieved from </w:t>
      </w:r>
      <w:hyperlink r:id="rId4" w:history="1">
        <w:r w:rsidR="0054690F">
          <w:rPr>
            <w:rStyle w:val="Hyperlink"/>
          </w:rPr>
          <w:t>https://www.pps.net/cms/lib/OR01913224/Centricity/Domain/70/pandemic/schoolclosures.pdf</w:t>
        </w:r>
      </w:hyperlink>
      <w:r w:rsidR="0054690F" w:rsidRPr="00A9512B">
        <w:t>.</w:t>
      </w:r>
      <w:r w:rsidR="00D777C3">
        <w:t xml:space="preserve"> Accessed August 7, 2020</w:t>
      </w:r>
    </w:p>
  </w:footnote>
  <w:footnote w:id="4">
    <w:p w14:paraId="7F1A5E1F" w14:textId="66445BFD" w:rsidR="00700E56" w:rsidRDefault="006912D3">
      <w:pPr>
        <w:pStyle w:val="FootnoteText"/>
      </w:pPr>
      <w:r>
        <w:rPr>
          <w:rStyle w:val="FootnoteReference"/>
        </w:rPr>
        <w:footnoteRef/>
      </w:r>
      <w:r w:rsidR="00700E56">
        <w:t xml:space="preserve"> </w:t>
      </w:r>
      <w:r w:rsidR="0054690F" w:rsidRPr="00A9512B">
        <w:t xml:space="preserve">Hodge J et al. Legal Preparedness for School Closures in Response to Pandemic Influenza and Other Emergencies. April 2008. </w:t>
      </w:r>
      <w:r w:rsidR="0054690F">
        <w:t xml:space="preserve">Retrieved from </w:t>
      </w:r>
      <w:hyperlink r:id="rId5" w:history="1">
        <w:r w:rsidR="0054690F">
          <w:rPr>
            <w:rStyle w:val="Hyperlink"/>
          </w:rPr>
          <w:t>https://www.pps.net/cms/lib/OR01913224/Centricity/Domain/70/pandemic/schoolclosures.pdf</w:t>
        </w:r>
      </w:hyperlink>
      <w:r w:rsidR="0054690F" w:rsidRPr="00A9512B">
        <w:t>.</w:t>
      </w:r>
      <w:r w:rsidR="00D777C3">
        <w:t xml:space="preserve"> Accessed August 7, 2020</w:t>
      </w:r>
    </w:p>
  </w:footnote>
  <w:footnote w:id="5">
    <w:p w14:paraId="3E12060A" w14:textId="32DAD73B" w:rsidR="006912D3" w:rsidRDefault="006912D3">
      <w:pPr>
        <w:pStyle w:val="FootnoteText"/>
      </w:pPr>
      <w:r>
        <w:rPr>
          <w:rStyle w:val="FootnoteReference"/>
        </w:rPr>
        <w:footnoteRef/>
      </w:r>
      <w:r>
        <w:t xml:space="preserve"> </w:t>
      </w:r>
      <w:r w:rsidR="0054690F" w:rsidRPr="00A9512B">
        <w:t xml:space="preserve">Hodge J et al. Legal Preparedness for School Closures in Response to Pandemic Influenza and Other Emergencies. April 2008. </w:t>
      </w:r>
      <w:r w:rsidR="0054690F">
        <w:t xml:space="preserve">Retrieved from </w:t>
      </w:r>
      <w:hyperlink r:id="rId6" w:history="1">
        <w:r w:rsidR="0054690F">
          <w:rPr>
            <w:rStyle w:val="Hyperlink"/>
          </w:rPr>
          <w:t>https://www.pps.net/cms/lib/OR01913224/Centricity/Domain/70/pandemic/schoolclosures.pdf</w:t>
        </w:r>
      </w:hyperlink>
      <w:r w:rsidR="0054690F" w:rsidRPr="00A9512B">
        <w:t>.</w:t>
      </w:r>
      <w:r w:rsidR="00D777C3">
        <w:t xml:space="preserve"> Accessed August 7, 2020</w:t>
      </w:r>
    </w:p>
  </w:footnote>
  <w:footnote w:id="6">
    <w:p w14:paraId="06360356" w14:textId="7F43A05B" w:rsidR="00200D06" w:rsidRDefault="00200D06">
      <w:pPr>
        <w:pStyle w:val="FootnoteText"/>
      </w:pPr>
      <w:r>
        <w:rPr>
          <w:rStyle w:val="FootnoteReference"/>
        </w:rPr>
        <w:footnoteRef/>
      </w:r>
      <w:r w:rsidR="00C57F16">
        <w:t xml:space="preserve"> </w:t>
      </w:r>
      <w:r w:rsidR="00C57F16" w:rsidRPr="005C2E34">
        <w:rPr>
          <w:i/>
          <w:iCs/>
        </w:rPr>
        <w:t xml:space="preserve">See </w:t>
      </w:r>
      <w:r w:rsidR="005C2E34" w:rsidRPr="005C2E34">
        <w:rPr>
          <w:i/>
          <w:iCs/>
        </w:rPr>
        <w:t>for example</w:t>
      </w:r>
      <w:r w:rsidR="005C2E34">
        <w:t xml:space="preserve"> </w:t>
      </w:r>
      <w:r w:rsidR="00D737A4" w:rsidRPr="00D737A4">
        <w:t>CDC</w:t>
      </w:r>
      <w:r w:rsidR="005C2E34">
        <w:t>.</w:t>
      </w:r>
      <w:r w:rsidR="00D737A4" w:rsidRPr="00D737A4">
        <w:t xml:space="preserve"> Guidance for State and Local Public Health Officials and School Administrators for School (K-12) Responses to Influenza during the 2009-2010 School Year</w:t>
      </w:r>
      <w:r w:rsidR="0066498C">
        <w:t xml:space="preserve">. </w:t>
      </w:r>
      <w:r w:rsidR="00431C1B">
        <w:t xml:space="preserve">Webpage updated </w:t>
      </w:r>
      <w:r w:rsidR="00431C1B" w:rsidRPr="00431C1B">
        <w:t>February 22, 2010</w:t>
      </w:r>
      <w:r w:rsidR="00A12B31">
        <w:t xml:space="preserve">. </w:t>
      </w:r>
      <w:r w:rsidR="00C57F16">
        <w:t xml:space="preserve">Retrieved from </w:t>
      </w:r>
      <w:hyperlink r:id="rId7" w:history="1">
        <w:r w:rsidR="008D446E">
          <w:rPr>
            <w:rStyle w:val="Hyperlink"/>
          </w:rPr>
          <w:t>https://www.cdc.gov/h1n1flu/schools/schoolguidance.htm</w:t>
        </w:r>
      </w:hyperlink>
      <w:r w:rsidR="00C57F16" w:rsidRPr="00C57F16">
        <w:t>. </w:t>
      </w:r>
      <w:r w:rsidR="008D446E">
        <w:t xml:space="preserve">Accessed </w:t>
      </w:r>
      <w:r w:rsidR="00072D78">
        <w:t>August 7, 2020.</w:t>
      </w:r>
      <w:r>
        <w:t xml:space="preserve"> </w:t>
      </w:r>
    </w:p>
  </w:footnote>
  <w:footnote w:id="7">
    <w:p w14:paraId="6CF1968E" w14:textId="444CFF20" w:rsidR="00B15032" w:rsidRDefault="00B15032">
      <w:pPr>
        <w:pStyle w:val="FootnoteText"/>
      </w:pPr>
      <w:r>
        <w:rPr>
          <w:rStyle w:val="FootnoteReference"/>
        </w:rPr>
        <w:footnoteRef/>
      </w:r>
      <w:r>
        <w:t xml:space="preserve"> While school closure was used as a strategy in response to the H1N1 influenza pandemic in 2009, its use was not as widespread as with COVID-19. </w:t>
      </w:r>
      <w:r w:rsidRPr="00B15032">
        <w:rPr>
          <w:i/>
          <w:iCs/>
        </w:rPr>
        <w:t>See</w:t>
      </w:r>
      <w:r>
        <w:t xml:space="preserve"> </w:t>
      </w:r>
      <w:r w:rsidRPr="00B15032">
        <w:t>Klaiman, T., Kraemer, J. D., &amp; Stoto, M. A. (2011). Variability in school closure decisions in response to 2009 H1N1: a qualitative systems improvement analysis. BMC public health, 11, 73.</w:t>
      </w:r>
      <w:r>
        <w:t xml:space="preserve"> Retrieved from</w:t>
      </w:r>
      <w:r w:rsidRPr="00B15032">
        <w:t xml:space="preserve"> </w:t>
      </w:r>
      <w:hyperlink r:id="rId8" w:history="1">
        <w:r w:rsidRPr="00330103">
          <w:rPr>
            <w:rStyle w:val="Hyperlink"/>
          </w:rPr>
          <w:t>https://doi.org/10.1186/1471-2458-11-73</w:t>
        </w:r>
      </w:hyperlink>
      <w:r>
        <w:t xml:space="preserve">. Accessed August 7, 2020.  </w:t>
      </w:r>
    </w:p>
  </w:footnote>
  <w:footnote w:id="8">
    <w:p w14:paraId="7019ABB2" w14:textId="77777777" w:rsidR="00B15032" w:rsidRDefault="00B15032" w:rsidP="00B15032">
      <w:pPr>
        <w:pStyle w:val="FootnoteText"/>
      </w:pPr>
      <w:r>
        <w:rPr>
          <w:rStyle w:val="FootnoteReference"/>
        </w:rPr>
        <w:footnoteRef/>
      </w:r>
      <w:r>
        <w:t xml:space="preserve"> </w:t>
      </w:r>
      <w:r w:rsidRPr="00C63EE5">
        <w:rPr>
          <w:i/>
          <w:iCs/>
        </w:rPr>
        <w:t>See</w:t>
      </w:r>
      <w:r>
        <w:t xml:space="preserve"> NGA. </w:t>
      </w:r>
      <w:r w:rsidRPr="001C0BA6">
        <w:t>N</w:t>
      </w:r>
      <w:r>
        <w:t>GA</w:t>
      </w:r>
      <w:r w:rsidRPr="001C0BA6">
        <w:t xml:space="preserve"> Education's State Reopening Tracking</w:t>
      </w:r>
      <w:r>
        <w:t xml:space="preserve"> Accessed. Webpage last updated July 30, 2020. Retrieved from </w:t>
      </w:r>
      <w:hyperlink r:id="rId9" w:anchor="section-statetable" w:history="1">
        <w:r>
          <w:rPr>
            <w:rStyle w:val="Hyperlink"/>
          </w:rPr>
          <w:t>https://education.nga.org/#section-statetable</w:t>
        </w:r>
      </w:hyperlink>
      <w:r>
        <w:t>. Accessed August 7, 2020.</w:t>
      </w:r>
    </w:p>
  </w:footnote>
  <w:footnote w:id="9">
    <w:p w14:paraId="04856F35" w14:textId="0ADFC895" w:rsidR="00C316FF" w:rsidRDefault="00C316FF">
      <w:pPr>
        <w:pStyle w:val="FootnoteText"/>
      </w:pPr>
      <w:r>
        <w:rPr>
          <w:rStyle w:val="FootnoteReference"/>
        </w:rPr>
        <w:footnoteRef/>
      </w:r>
      <w:r>
        <w:t xml:space="preserve"> </w:t>
      </w:r>
      <w:r w:rsidRPr="0041328C">
        <w:rPr>
          <w:i/>
          <w:iCs/>
        </w:rPr>
        <w:t>See</w:t>
      </w:r>
      <w:r>
        <w:t xml:space="preserve"> CDC. </w:t>
      </w:r>
      <w:r w:rsidR="0041328C">
        <w:t xml:space="preserve">COVID-19. </w:t>
      </w:r>
      <w:r w:rsidR="0041328C" w:rsidRPr="0041328C">
        <w:t>Schools and Childcare Programs​</w:t>
      </w:r>
      <w:r w:rsidR="0041328C">
        <w:t xml:space="preserve">. Webpage last updated July 24, 2020. Retrieved from </w:t>
      </w:r>
      <w:hyperlink r:id="rId10" w:history="1">
        <w:r w:rsidR="0041328C">
          <w:rPr>
            <w:rStyle w:val="Hyperlink"/>
          </w:rPr>
          <w:t>https://www.cdc.gov/coronavirus/2019-ncov/community/schools-childcare/index.html</w:t>
        </w:r>
      </w:hyperlink>
      <w:r w:rsidR="0041328C">
        <w:t>. Accessed August 7, 2020.</w:t>
      </w:r>
      <w:r w:rsidR="00715469">
        <w:t xml:space="preserve"> </w:t>
      </w:r>
      <w:r w:rsidR="00715469" w:rsidRPr="004061F0">
        <w:rPr>
          <w:i/>
          <w:iCs/>
        </w:rPr>
        <w:t>See also</w:t>
      </w:r>
      <w:r w:rsidR="00715469">
        <w:t xml:space="preserve"> U.S. Dept. of Educ. </w:t>
      </w:r>
      <w:r w:rsidR="00715469" w:rsidRPr="00715469">
        <w:t>COVID-19 ("Coronavirus") Information and Resources for Schools and School Personnel</w:t>
      </w:r>
      <w:r w:rsidR="00715469">
        <w:t xml:space="preserve">. Webpage. Retrieved from </w:t>
      </w:r>
      <w:hyperlink r:id="rId11" w:history="1">
        <w:r w:rsidR="00715469">
          <w:rPr>
            <w:rStyle w:val="Hyperlink"/>
          </w:rPr>
          <w:t>https://www.ed.gov/coronavirus</w:t>
        </w:r>
      </w:hyperlink>
      <w:r w:rsidR="00715469">
        <w:t xml:space="preserve">. Accessed August 7, 2020. </w:t>
      </w:r>
    </w:p>
  </w:footnote>
  <w:footnote w:id="10">
    <w:p w14:paraId="13C00A27" w14:textId="6DBFDDD1" w:rsidR="004061F0" w:rsidRDefault="004061F0">
      <w:pPr>
        <w:pStyle w:val="FootnoteText"/>
      </w:pPr>
      <w:r>
        <w:rPr>
          <w:rStyle w:val="FootnoteReference"/>
        </w:rPr>
        <w:footnoteRef/>
      </w:r>
      <w:r>
        <w:t xml:space="preserve"> </w:t>
      </w:r>
      <w:r w:rsidRPr="00BE78C8">
        <w:rPr>
          <w:i/>
          <w:iCs/>
        </w:rPr>
        <w:t>See</w:t>
      </w:r>
      <w:r>
        <w:t xml:space="preserve"> National School Boards Association. </w:t>
      </w:r>
      <w:r w:rsidRPr="004061F0">
        <w:t>Setting A New Course</w:t>
      </w:r>
      <w:r>
        <w:t>:</w:t>
      </w:r>
      <w:r w:rsidRPr="004061F0">
        <w:t xml:space="preserve"> A Legal Guide to Operating Schools in the Pandemic Era</w:t>
      </w:r>
      <w:r>
        <w:t xml:space="preserve">. July 2020. Retrieved from </w:t>
      </w:r>
      <w:hyperlink r:id="rId12" w:history="1">
        <w:r>
          <w:rPr>
            <w:rStyle w:val="Hyperlink"/>
          </w:rPr>
          <w:t>https://www.nsba.org/-/media/NSBA/File/legal-setting-a-new-course-operationg-schools-in-the-pandemic-era-guide-july-2020.pdf</w:t>
        </w:r>
      </w:hyperlink>
      <w:r>
        <w:t>. Accessed August 7, 2020.</w:t>
      </w:r>
    </w:p>
  </w:footnote>
  <w:footnote w:id="11">
    <w:p w14:paraId="36A665C5" w14:textId="4B1C8FFA" w:rsidR="00334E2B" w:rsidRDefault="00334E2B">
      <w:pPr>
        <w:pStyle w:val="FootnoteText"/>
      </w:pPr>
      <w:r>
        <w:rPr>
          <w:rStyle w:val="FootnoteReference"/>
        </w:rPr>
        <w:footnoteRef/>
      </w:r>
      <w:r>
        <w:t xml:space="preserve"> </w:t>
      </w:r>
      <w:r w:rsidR="00D545DD">
        <w:t xml:space="preserve">CDC. Public Health Law Program. Radiological Emergency Preparedness and Response: Educational Facilities Preparedness and Legal Study. </w:t>
      </w:r>
      <w:r w:rsidR="00AB0318" w:rsidRPr="00AB0318">
        <w:t>September 15, 2016</w:t>
      </w:r>
      <w:r w:rsidR="00734E55">
        <w:t xml:space="preserve">. Retrieved from </w:t>
      </w:r>
      <w:hyperlink r:id="rId13" w:history="1">
        <w:r w:rsidR="00BE1234">
          <w:rPr>
            <w:rStyle w:val="Hyperlink"/>
          </w:rPr>
          <w:t>https://www.cdc.gov/phlp/docs/emergency-radiological.pdf</w:t>
        </w:r>
      </w:hyperlink>
      <w:r w:rsidR="00BE1234">
        <w:t>.</w:t>
      </w:r>
      <w:r w:rsidR="00B74164">
        <w:t xml:space="preserve"> Accessed August 7, 2020.</w:t>
      </w:r>
    </w:p>
  </w:footnote>
  <w:footnote w:id="12">
    <w:p w14:paraId="28DD352C" w14:textId="5DECC577" w:rsidR="004C557D" w:rsidRDefault="004C557D">
      <w:pPr>
        <w:pStyle w:val="FootnoteText"/>
      </w:pPr>
      <w:r>
        <w:rPr>
          <w:rStyle w:val="FootnoteReference"/>
        </w:rPr>
        <w:footnoteRef/>
      </w:r>
      <w:r>
        <w:t xml:space="preserve"> </w:t>
      </w:r>
      <w:r w:rsidR="00BE1234">
        <w:t xml:space="preserve">CDC. Public Health Law Program. Radiological Emergency Preparedness and Response: Educational Facilities Preparedness and Legal Study. </w:t>
      </w:r>
      <w:r w:rsidR="00AB0318" w:rsidRPr="00AB0318">
        <w:t>September 15, 2016</w:t>
      </w:r>
      <w:r w:rsidR="00BE1234">
        <w:t xml:space="preserve">. Retrieved from </w:t>
      </w:r>
      <w:hyperlink r:id="rId14" w:history="1">
        <w:r w:rsidR="00BE1234">
          <w:rPr>
            <w:rStyle w:val="Hyperlink"/>
          </w:rPr>
          <w:t>https://www.cdc.gov/phlp/docs/emergency-radiological.pdf</w:t>
        </w:r>
      </w:hyperlink>
      <w:r w:rsidR="00BE1234">
        <w:t>.</w:t>
      </w:r>
      <w:r w:rsidR="00B74164">
        <w:t xml:space="preserve"> Accessed August 7, 2020.</w:t>
      </w:r>
    </w:p>
  </w:footnote>
  <w:footnote w:id="13">
    <w:p w14:paraId="0E3CF94C" w14:textId="1B690EF7" w:rsidR="009B5E53" w:rsidRDefault="009B5E53">
      <w:pPr>
        <w:pStyle w:val="FootnoteText"/>
      </w:pPr>
      <w:r>
        <w:rPr>
          <w:rStyle w:val="FootnoteReference"/>
        </w:rPr>
        <w:footnoteRef/>
      </w:r>
      <w:r>
        <w:t xml:space="preserve"> </w:t>
      </w:r>
      <w:r w:rsidR="007D2A42" w:rsidRPr="007D2A42">
        <w:rPr>
          <w:i/>
          <w:iCs/>
        </w:rPr>
        <w:t>See for example</w:t>
      </w:r>
      <w:r w:rsidR="007D2A42">
        <w:t xml:space="preserve"> CDC. </w:t>
      </w:r>
      <w:r w:rsidR="00473FE0" w:rsidRPr="00473FE0">
        <w:t xml:space="preserve">2009 H1N1 Influenza School-located Vaccination: Information for Planners. </w:t>
      </w:r>
      <w:r w:rsidR="008531BB">
        <w:t>Webpage</w:t>
      </w:r>
      <w:r w:rsidR="00B33BA7">
        <w:t xml:space="preserve"> last </w:t>
      </w:r>
      <w:r w:rsidR="008531BB">
        <w:t xml:space="preserve">updated </w:t>
      </w:r>
      <w:r w:rsidR="009C485D">
        <w:t>November 3, 2009</w:t>
      </w:r>
      <w:r w:rsidR="00473FE0" w:rsidRPr="00473FE0">
        <w:t xml:space="preserve">. </w:t>
      </w:r>
      <w:r w:rsidR="002A0416">
        <w:t xml:space="preserve">Retrieved from </w:t>
      </w:r>
      <w:hyperlink r:id="rId15" w:history="1">
        <w:r w:rsidR="002A0416">
          <w:rPr>
            <w:rStyle w:val="Hyperlink"/>
          </w:rPr>
          <w:t>https://www.cdc.gov/h1n1flu/vaccination/slv/planners.htm</w:t>
        </w:r>
      </w:hyperlink>
      <w:r w:rsidR="002A0416">
        <w:t>.</w:t>
      </w:r>
      <w:r w:rsidR="00C1400A">
        <w:t xml:space="preserve"> </w:t>
      </w:r>
      <w:r w:rsidR="00B33BA7">
        <w:t>Accessed August 7, 2020.</w:t>
      </w:r>
    </w:p>
  </w:footnote>
  <w:footnote w:id="14">
    <w:p w14:paraId="45789D2D" w14:textId="2300DF1C" w:rsidR="003A6B4F" w:rsidRDefault="003A6B4F">
      <w:pPr>
        <w:pStyle w:val="FootnoteText"/>
      </w:pPr>
      <w:r>
        <w:rPr>
          <w:rStyle w:val="FootnoteReference"/>
        </w:rPr>
        <w:footnoteRef/>
      </w:r>
      <w:r>
        <w:t xml:space="preserve"> </w:t>
      </w:r>
      <w:r w:rsidR="00F32A7C" w:rsidRPr="007D2A42">
        <w:rPr>
          <w:i/>
          <w:iCs/>
        </w:rPr>
        <w:t>See for example</w:t>
      </w:r>
      <w:r w:rsidR="00F32A7C">
        <w:t xml:space="preserve"> CDC. </w:t>
      </w:r>
      <w:r w:rsidR="00F32A7C" w:rsidRPr="00473FE0">
        <w:t xml:space="preserve">2009 H1N1 Influenza School-located Vaccination: Information for Planners. </w:t>
      </w:r>
      <w:r w:rsidR="00F32A7C">
        <w:t>Webpage last updated November 3, 2009</w:t>
      </w:r>
      <w:r w:rsidR="00F32A7C" w:rsidRPr="00473FE0">
        <w:t xml:space="preserve">. </w:t>
      </w:r>
      <w:r w:rsidR="00F32A7C">
        <w:t xml:space="preserve">Retrieved from </w:t>
      </w:r>
      <w:hyperlink r:id="rId16" w:history="1">
        <w:r w:rsidR="00F32A7C">
          <w:rPr>
            <w:rStyle w:val="Hyperlink"/>
          </w:rPr>
          <w:t>https://www.cdc.gov/h1n1flu/vaccination/slv/planners.htm</w:t>
        </w:r>
      </w:hyperlink>
      <w:r w:rsidR="00F32A7C">
        <w:t xml:space="preserve">. Accessed August 7, 2020. </w:t>
      </w:r>
      <w:r w:rsidR="00B87138" w:rsidRPr="00B87138">
        <w:rPr>
          <w:i/>
          <w:iCs/>
        </w:rPr>
        <w:t xml:space="preserve">See also </w:t>
      </w:r>
      <w:r w:rsidR="00B532E4" w:rsidRPr="00B532E4">
        <w:t>Guidance for Planning Vaccination Clinics Held at Satellite, Temporary, or Off-Site Locations</w:t>
      </w:r>
      <w:r w:rsidR="00E23125">
        <w:t>.</w:t>
      </w:r>
      <w:r w:rsidR="00B532E4">
        <w:t xml:space="preserve"> </w:t>
      </w:r>
      <w:r w:rsidR="00B87138" w:rsidRPr="00B87138">
        <w:t xml:space="preserve">Webpage updated </w:t>
      </w:r>
      <w:r w:rsidR="00E23125">
        <w:t>July 23, 2020.</w:t>
      </w:r>
      <w:r w:rsidR="00B87138" w:rsidRPr="00B87138">
        <w:t xml:space="preserve"> </w:t>
      </w:r>
      <w:r w:rsidR="00E5508A">
        <w:t xml:space="preserve">Retrieved from </w:t>
      </w:r>
      <w:hyperlink r:id="rId17" w:history="1">
        <w:r w:rsidR="00E5508A">
          <w:rPr>
            <w:rStyle w:val="Hyperlink"/>
          </w:rPr>
          <w:t>https://www.cdc.gov/flu/professionals/vaccination/vax_clinic.htm</w:t>
        </w:r>
      </w:hyperlink>
      <w:r w:rsidR="00ED44CF">
        <w:t xml:space="preserve">. </w:t>
      </w:r>
      <w:r w:rsidR="00E23125">
        <w:t xml:space="preserve">Accessed </w:t>
      </w:r>
      <w:r w:rsidR="00394699">
        <w:t xml:space="preserve">August 7, 2020. </w:t>
      </w:r>
    </w:p>
  </w:footnote>
  <w:footnote w:id="15">
    <w:p w14:paraId="5AE3CD93" w14:textId="114B599E" w:rsidR="003B5359" w:rsidRDefault="003B5359">
      <w:pPr>
        <w:pStyle w:val="FootnoteText"/>
      </w:pPr>
      <w:r>
        <w:rPr>
          <w:rStyle w:val="FootnoteReference"/>
        </w:rPr>
        <w:footnoteRef/>
      </w:r>
      <w:r>
        <w:t xml:space="preserve"> </w:t>
      </w:r>
      <w:r w:rsidR="00A93287" w:rsidRPr="007D2A42">
        <w:rPr>
          <w:i/>
          <w:iCs/>
        </w:rPr>
        <w:t>See for example</w:t>
      </w:r>
      <w:r w:rsidR="00A93287">
        <w:t xml:space="preserve"> CDC. </w:t>
      </w:r>
      <w:r w:rsidR="00A93287" w:rsidRPr="00473FE0">
        <w:t xml:space="preserve">2009 H1N1 Influenza School-located Vaccination: Information for Planners. </w:t>
      </w:r>
      <w:r w:rsidR="00A93287">
        <w:t>Webpage last updated November 3, 2009</w:t>
      </w:r>
      <w:r w:rsidR="00A93287" w:rsidRPr="00473FE0">
        <w:t xml:space="preserve">. </w:t>
      </w:r>
      <w:r w:rsidR="00A93287">
        <w:t xml:space="preserve">Retrieved from </w:t>
      </w:r>
      <w:hyperlink r:id="rId18" w:history="1">
        <w:r w:rsidR="00A93287">
          <w:rPr>
            <w:rStyle w:val="Hyperlink"/>
          </w:rPr>
          <w:t>https://www.cdc.gov/h1n1flu/vaccination/slv/planners.htm</w:t>
        </w:r>
      </w:hyperlink>
      <w:r w:rsidR="00A93287">
        <w:t>. Accessed August 7, 2020.</w:t>
      </w:r>
    </w:p>
  </w:footnote>
  <w:footnote w:id="16">
    <w:p w14:paraId="38746742" w14:textId="777F14EB" w:rsidR="003B5359" w:rsidRDefault="003B5359">
      <w:pPr>
        <w:pStyle w:val="FootnoteText"/>
      </w:pPr>
      <w:r>
        <w:rPr>
          <w:rStyle w:val="FootnoteReference"/>
        </w:rPr>
        <w:footnoteRef/>
      </w:r>
      <w:r>
        <w:t xml:space="preserve"> </w:t>
      </w:r>
      <w:r w:rsidR="00A93287" w:rsidRPr="007D2A42">
        <w:rPr>
          <w:i/>
          <w:iCs/>
        </w:rPr>
        <w:t>See for example</w:t>
      </w:r>
      <w:r w:rsidR="00A93287">
        <w:t xml:space="preserve"> CDC. </w:t>
      </w:r>
      <w:r w:rsidR="00A93287" w:rsidRPr="00473FE0">
        <w:t xml:space="preserve">2009 H1N1 Influenza School-located Vaccination: Information for Planners. </w:t>
      </w:r>
      <w:r w:rsidR="00A93287">
        <w:t>Webpage last updated November 3, 2009</w:t>
      </w:r>
      <w:r w:rsidR="00A93287" w:rsidRPr="00473FE0">
        <w:t xml:space="preserve">. </w:t>
      </w:r>
      <w:r w:rsidR="00A93287">
        <w:t xml:space="preserve">Retrieved from </w:t>
      </w:r>
      <w:hyperlink r:id="rId19" w:history="1">
        <w:r w:rsidR="00A93287">
          <w:rPr>
            <w:rStyle w:val="Hyperlink"/>
          </w:rPr>
          <w:t>https://www.cdc.gov/h1n1flu/vaccination/slv/planners.htm</w:t>
        </w:r>
      </w:hyperlink>
      <w:r w:rsidR="00A93287">
        <w:t>. Accessed August 7, 2020.</w:t>
      </w:r>
    </w:p>
  </w:footnote>
  <w:footnote w:id="17">
    <w:p w14:paraId="400DAAA5" w14:textId="00B7E406" w:rsidR="003B5359" w:rsidRDefault="003B5359">
      <w:pPr>
        <w:pStyle w:val="FootnoteText"/>
      </w:pPr>
      <w:r>
        <w:rPr>
          <w:rStyle w:val="FootnoteReference"/>
        </w:rPr>
        <w:footnoteRef/>
      </w:r>
      <w:r>
        <w:t xml:space="preserve"> </w:t>
      </w:r>
      <w:r w:rsidR="00A93287" w:rsidRPr="007D2A42">
        <w:rPr>
          <w:i/>
          <w:iCs/>
        </w:rPr>
        <w:t>See for example</w:t>
      </w:r>
      <w:r w:rsidR="00A93287">
        <w:t xml:space="preserve"> CDC. </w:t>
      </w:r>
      <w:r w:rsidR="00A93287" w:rsidRPr="00473FE0">
        <w:t xml:space="preserve">2009 H1N1 Influenza School-located Vaccination: Information for Planners. </w:t>
      </w:r>
      <w:r w:rsidR="00A93287">
        <w:t>Webpage last updated November 3, 2009</w:t>
      </w:r>
      <w:r w:rsidR="00A93287" w:rsidRPr="00473FE0">
        <w:t xml:space="preserve">. </w:t>
      </w:r>
      <w:r w:rsidR="00A93287">
        <w:t xml:space="preserve">Retrieved from </w:t>
      </w:r>
      <w:hyperlink r:id="rId20" w:history="1">
        <w:r w:rsidR="00A93287">
          <w:rPr>
            <w:rStyle w:val="Hyperlink"/>
          </w:rPr>
          <w:t>https://www.cdc.gov/h1n1flu/vaccination/slv/planners.htm</w:t>
        </w:r>
      </w:hyperlink>
      <w:r w:rsidR="00A93287">
        <w:t>. Accessed August 7, 2020.</w:t>
      </w:r>
    </w:p>
  </w:footnote>
  <w:footnote w:id="18">
    <w:p w14:paraId="3DDB2F52" w14:textId="70CF27DF" w:rsidR="003B5359" w:rsidRDefault="003B5359">
      <w:pPr>
        <w:pStyle w:val="FootnoteText"/>
      </w:pPr>
      <w:r>
        <w:rPr>
          <w:rStyle w:val="FootnoteReference"/>
        </w:rPr>
        <w:footnoteRef/>
      </w:r>
      <w:r>
        <w:t xml:space="preserve"> </w:t>
      </w:r>
      <w:r w:rsidRPr="003B5359">
        <w:t>Volunteer Protection Act of 1997. Pub. L. 105-19. Codified at 42 U.S.C. 14501-05.</w:t>
      </w:r>
    </w:p>
  </w:footnote>
  <w:footnote w:id="19">
    <w:p w14:paraId="4456C0BF" w14:textId="09B7879E" w:rsidR="00FB1FC3" w:rsidRDefault="00FB1FC3">
      <w:pPr>
        <w:pStyle w:val="FootnoteText"/>
      </w:pPr>
      <w:r>
        <w:rPr>
          <w:rStyle w:val="FootnoteReference"/>
        </w:rPr>
        <w:footnoteRef/>
      </w:r>
      <w:r>
        <w:t xml:space="preserve"> </w:t>
      </w:r>
      <w:r w:rsidRPr="00FB1FC3">
        <w:t>Emergency Management Assistance Compact</w:t>
      </w:r>
      <w:r w:rsidR="0007256C">
        <w:t xml:space="preserve">. </w:t>
      </w:r>
      <w:r w:rsidR="00671F12" w:rsidRPr="00671F12">
        <w:t>Emergency Management Assistance Compact</w:t>
      </w:r>
      <w:r w:rsidR="00671F12">
        <w:t xml:space="preserve">: </w:t>
      </w:r>
      <w:r w:rsidR="00671F12" w:rsidRPr="00671F12">
        <w:t>The All Hazards National Mutual Aid System</w:t>
      </w:r>
      <w:r w:rsidR="00671F12">
        <w:t xml:space="preserve">. Webpage. </w:t>
      </w:r>
      <w:r w:rsidR="00D15704">
        <w:t xml:space="preserve">Retrieved from </w:t>
      </w:r>
      <w:hyperlink r:id="rId21" w:history="1">
        <w:r w:rsidR="00CD568A" w:rsidRPr="00421B62">
          <w:rPr>
            <w:rStyle w:val="Hyperlink"/>
          </w:rPr>
          <w:t>www.emacweb.org</w:t>
        </w:r>
      </w:hyperlink>
      <w:r w:rsidRPr="00FB1FC3">
        <w:t>.</w:t>
      </w:r>
      <w:r w:rsidR="00671F12">
        <w:t xml:space="preserve"> Accessed August 7, 2020.</w:t>
      </w:r>
    </w:p>
  </w:footnote>
  <w:footnote w:id="20">
    <w:p w14:paraId="243EC7BE" w14:textId="21F6A73F" w:rsidR="007550D4" w:rsidRDefault="007550D4">
      <w:pPr>
        <w:pStyle w:val="FootnoteText"/>
      </w:pPr>
      <w:r>
        <w:rPr>
          <w:rStyle w:val="FootnoteReference"/>
        </w:rPr>
        <w:footnoteRef/>
      </w:r>
      <w:r>
        <w:t xml:space="preserve"> </w:t>
      </w:r>
      <w:r w:rsidR="00671F12" w:rsidRPr="00FB1FC3">
        <w:t>Emergency Management Assistance Compact</w:t>
      </w:r>
      <w:r w:rsidR="00671F12">
        <w:t xml:space="preserve">. </w:t>
      </w:r>
      <w:r w:rsidR="00671F12" w:rsidRPr="00671F12">
        <w:t>Emergency Management Assistance Compact</w:t>
      </w:r>
      <w:r w:rsidR="00671F12">
        <w:t xml:space="preserve">: </w:t>
      </w:r>
      <w:r w:rsidR="00671F12" w:rsidRPr="00671F12">
        <w:t>The All Hazards National Mutual Aid System</w:t>
      </w:r>
      <w:r w:rsidR="00671F12">
        <w:t xml:space="preserve">. Webpage. Retrieved from </w:t>
      </w:r>
      <w:hyperlink r:id="rId22" w:history="1">
        <w:r w:rsidR="00671F12" w:rsidRPr="00421B62">
          <w:rPr>
            <w:rStyle w:val="Hyperlink"/>
          </w:rPr>
          <w:t>www.emacweb.org</w:t>
        </w:r>
      </w:hyperlink>
      <w:r w:rsidR="00671F12" w:rsidRPr="00FB1FC3">
        <w:t>.</w:t>
      </w:r>
      <w:r w:rsidR="00671F12">
        <w:t xml:space="preserve"> Accessed August 7, 2020.</w:t>
      </w:r>
    </w:p>
  </w:footnote>
  <w:footnote w:id="21">
    <w:p w14:paraId="59C5511D" w14:textId="28CE186D" w:rsidR="00A410C7" w:rsidRDefault="00A410C7">
      <w:pPr>
        <w:pStyle w:val="FootnoteText"/>
      </w:pPr>
      <w:r>
        <w:rPr>
          <w:rStyle w:val="FootnoteReference"/>
        </w:rPr>
        <w:footnoteRef/>
      </w:r>
      <w:r>
        <w:t xml:space="preserve"> </w:t>
      </w:r>
      <w:r w:rsidRPr="00A410C7">
        <w:t>Project BioShield Act of 2004. Pub. L. No. 108-276.</w:t>
      </w:r>
      <w:r>
        <w:t xml:space="preserve"> </w:t>
      </w:r>
      <w:r w:rsidR="001E44CD" w:rsidRPr="001E44CD">
        <w:rPr>
          <w:i/>
          <w:iCs/>
        </w:rPr>
        <w:t>See also</w:t>
      </w:r>
      <w:r w:rsidR="001E44CD">
        <w:t xml:space="preserve"> </w:t>
      </w:r>
      <w:r w:rsidR="001E44CD" w:rsidRPr="00782E45">
        <w:rPr>
          <w:color w:val="000000" w:themeColor="text1"/>
        </w:rPr>
        <w:t>Public Readiness and Emergency Preparedness Response Act of 2005. Pub. L. No. 109-148. Codified in the Public Health Service Act at 42 U.S.C. §§ 247d-6d, 247d-6e.</w:t>
      </w:r>
    </w:p>
  </w:footnote>
  <w:footnote w:id="22">
    <w:p w14:paraId="20A802F4" w14:textId="2C4C0704" w:rsidR="001E44CD" w:rsidRDefault="001E44CD">
      <w:pPr>
        <w:pStyle w:val="FootnoteText"/>
      </w:pPr>
      <w:r>
        <w:rPr>
          <w:rStyle w:val="FootnoteReference"/>
        </w:rPr>
        <w:footnoteRef/>
      </w:r>
      <w:r>
        <w:t xml:space="preserve"> </w:t>
      </w:r>
      <w:r w:rsidRPr="001E44CD">
        <w:t>Public Readiness and Emergency Preparedness Response Act of 2005. Pub. L. No. 109-148. Codified in the Public Health Service Act at 42 U.S.C. §§ 247d-6d, 247d-6e.</w:t>
      </w:r>
    </w:p>
  </w:footnote>
  <w:footnote w:id="23">
    <w:p w14:paraId="0AE04F91" w14:textId="6026A3AF" w:rsidR="006D3119" w:rsidRDefault="006D3119" w:rsidP="006D3119">
      <w:pPr>
        <w:pStyle w:val="FootnoteText"/>
      </w:pPr>
      <w:r>
        <w:rPr>
          <w:rStyle w:val="FootnoteReference"/>
        </w:rPr>
        <w:footnoteRef/>
      </w:r>
      <w:r>
        <w:t xml:space="preserve"> HHS ASPR. </w:t>
      </w:r>
      <w:r w:rsidRPr="005F05D3">
        <w:t>Public Readiness and Emergency Preparedness Act</w:t>
      </w:r>
      <w:r>
        <w:t xml:space="preserve">. Webpage last reviewed by HHS June 9, 2020. Retrieved from </w:t>
      </w:r>
      <w:hyperlink r:id="rId23" w:history="1">
        <w:r>
          <w:rPr>
            <w:rStyle w:val="Hyperlink"/>
          </w:rPr>
          <w:t>https://www.phe.gov/Preparedness/legal/prepact/Pages/default.aspx</w:t>
        </w:r>
      </w:hyperlink>
      <w:r>
        <w:t>. Accessed August 7, 2020.</w:t>
      </w:r>
    </w:p>
  </w:footnote>
  <w:footnote w:id="24">
    <w:p w14:paraId="70A88B59" w14:textId="0BC61440" w:rsidR="001E44CD" w:rsidRDefault="001E44CD">
      <w:pPr>
        <w:pStyle w:val="FootnoteText"/>
      </w:pPr>
      <w:r>
        <w:rPr>
          <w:rStyle w:val="FootnoteReference"/>
        </w:rPr>
        <w:footnoteRef/>
      </w:r>
      <w:r>
        <w:t xml:space="preserve"> </w:t>
      </w:r>
      <w:r w:rsidR="006D3119">
        <w:t xml:space="preserve">HHS ASPR. </w:t>
      </w:r>
      <w:r w:rsidR="006D3119" w:rsidRPr="006D3119">
        <w:t>PREP Act Q&amp;As</w:t>
      </w:r>
      <w:r w:rsidR="006D3119">
        <w:t xml:space="preserve">. Webpage last reviewed by HHS September 5, 2019. Retrieved from </w:t>
      </w:r>
      <w:hyperlink r:id="rId24" w:history="1">
        <w:r w:rsidR="006D3119">
          <w:rPr>
            <w:rStyle w:val="Hyperlink"/>
          </w:rPr>
          <w:t>https://www.phe.gov/Preparedness/legal/prepact/Pages/prepqa.aspx</w:t>
        </w:r>
      </w:hyperlink>
      <w:r w:rsidR="006D3119">
        <w:t>. Accessed August 7, 2020.</w:t>
      </w:r>
    </w:p>
  </w:footnote>
  <w:footnote w:id="25">
    <w:p w14:paraId="5F493725" w14:textId="5FBCF4A0" w:rsidR="001E44CD" w:rsidRDefault="001E44CD">
      <w:pPr>
        <w:pStyle w:val="FootnoteText"/>
      </w:pPr>
      <w:r>
        <w:rPr>
          <w:rStyle w:val="FootnoteReference"/>
        </w:rPr>
        <w:footnoteRef/>
      </w:r>
      <w:r>
        <w:t xml:space="preserve"> </w:t>
      </w:r>
      <w:r w:rsidR="005618E7" w:rsidRPr="007D2A42">
        <w:rPr>
          <w:i/>
          <w:iCs/>
        </w:rPr>
        <w:t>See for example</w:t>
      </w:r>
      <w:r w:rsidR="005618E7">
        <w:t xml:space="preserve"> CDC. </w:t>
      </w:r>
      <w:r w:rsidR="005618E7" w:rsidRPr="00473FE0">
        <w:t xml:space="preserve">2009 H1N1 Influenza School-located Vaccination: Information for Planners. </w:t>
      </w:r>
      <w:r w:rsidR="005618E7">
        <w:t>Webpage last updated November 3, 2009</w:t>
      </w:r>
      <w:r w:rsidR="005618E7" w:rsidRPr="00473FE0">
        <w:t xml:space="preserve">. </w:t>
      </w:r>
      <w:r w:rsidR="005618E7">
        <w:t xml:space="preserve">Retrieved from </w:t>
      </w:r>
      <w:hyperlink r:id="rId25" w:history="1">
        <w:r w:rsidR="005618E7">
          <w:rPr>
            <w:rStyle w:val="Hyperlink"/>
          </w:rPr>
          <w:t>https://www.cdc.gov/h1n1flu/vaccination/slv/planners.htm</w:t>
        </w:r>
      </w:hyperlink>
      <w:r w:rsidR="005618E7">
        <w:t>. Accessed August 7, 2020.</w:t>
      </w:r>
    </w:p>
  </w:footnote>
  <w:footnote w:id="26">
    <w:p w14:paraId="7BC022A1" w14:textId="3B61703E" w:rsidR="001E44CD" w:rsidRDefault="001E44CD">
      <w:pPr>
        <w:pStyle w:val="FootnoteText"/>
      </w:pPr>
      <w:r>
        <w:rPr>
          <w:rStyle w:val="FootnoteReference"/>
        </w:rPr>
        <w:footnoteRef/>
      </w:r>
      <w:r>
        <w:t xml:space="preserve"> </w:t>
      </w:r>
      <w:r w:rsidR="004337CB" w:rsidRPr="007D2A42">
        <w:rPr>
          <w:i/>
          <w:iCs/>
        </w:rPr>
        <w:t>See for example</w:t>
      </w:r>
      <w:r w:rsidR="004337CB">
        <w:t xml:space="preserve"> CDC. </w:t>
      </w:r>
      <w:r w:rsidR="004337CB" w:rsidRPr="00473FE0">
        <w:t xml:space="preserve">2009 H1N1 Influenza School-located Vaccination: Information for Planners. </w:t>
      </w:r>
      <w:r w:rsidR="004337CB">
        <w:t>Webpage last updated November 3, 2009</w:t>
      </w:r>
      <w:r w:rsidR="004337CB" w:rsidRPr="00473FE0">
        <w:t xml:space="preserve">. </w:t>
      </w:r>
      <w:r w:rsidR="004337CB">
        <w:t xml:space="preserve">Retrieved from </w:t>
      </w:r>
      <w:hyperlink r:id="rId26" w:history="1">
        <w:r w:rsidR="004337CB">
          <w:rPr>
            <w:rStyle w:val="Hyperlink"/>
          </w:rPr>
          <w:t>https://www.cdc.gov/h1n1flu/vaccination/slv/planners.htm</w:t>
        </w:r>
      </w:hyperlink>
      <w:r w:rsidR="004337CB">
        <w:t>. Accessed August 7,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DD21F" w14:textId="305CBB99" w:rsidR="006528A7" w:rsidRPr="00FB34DE" w:rsidRDefault="00A54045" w:rsidP="00FB34DE">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6680" w14:textId="65E1086B" w:rsidR="00454DAC" w:rsidRDefault="00A54045" w:rsidP="00454DAC">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0C229F"/>
    <w:multiLevelType w:val="hybridMultilevel"/>
    <w:tmpl w:val="D5301A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12D6858"/>
    <w:multiLevelType w:val="hybridMultilevel"/>
    <w:tmpl w:val="A530BD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3340563F"/>
    <w:multiLevelType w:val="hybridMultilevel"/>
    <w:tmpl w:val="1DC8D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2E20A8C"/>
    <w:multiLevelType w:val="hybridMultilevel"/>
    <w:tmpl w:val="B9628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B421FC"/>
    <w:multiLevelType w:val="hybridMultilevel"/>
    <w:tmpl w:val="E1FC37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6BA13DDD"/>
    <w:multiLevelType w:val="hybridMultilevel"/>
    <w:tmpl w:val="1A72F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C72F3B"/>
    <w:multiLevelType w:val="multilevel"/>
    <w:tmpl w:val="668210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A7"/>
    <w:rsid w:val="00000F62"/>
    <w:rsid w:val="00003CBD"/>
    <w:rsid w:val="00025C8F"/>
    <w:rsid w:val="00042A7F"/>
    <w:rsid w:val="00045490"/>
    <w:rsid w:val="000463E0"/>
    <w:rsid w:val="00047E63"/>
    <w:rsid w:val="0007256C"/>
    <w:rsid w:val="00072D78"/>
    <w:rsid w:val="000A0790"/>
    <w:rsid w:val="000B0759"/>
    <w:rsid w:val="000B511B"/>
    <w:rsid w:val="000F0F4B"/>
    <w:rsid w:val="000F619F"/>
    <w:rsid w:val="001208FC"/>
    <w:rsid w:val="00122035"/>
    <w:rsid w:val="00134F23"/>
    <w:rsid w:val="00142191"/>
    <w:rsid w:val="00151278"/>
    <w:rsid w:val="001B502A"/>
    <w:rsid w:val="001B681B"/>
    <w:rsid w:val="001C0BA6"/>
    <w:rsid w:val="001D7AA0"/>
    <w:rsid w:val="001E19EE"/>
    <w:rsid w:val="001E44CD"/>
    <w:rsid w:val="001F116C"/>
    <w:rsid w:val="001F2479"/>
    <w:rsid w:val="001F4F6A"/>
    <w:rsid w:val="001F77FD"/>
    <w:rsid w:val="00200D06"/>
    <w:rsid w:val="00203B68"/>
    <w:rsid w:val="00211351"/>
    <w:rsid w:val="00216BAF"/>
    <w:rsid w:val="00221755"/>
    <w:rsid w:val="00221A5A"/>
    <w:rsid w:val="0022491C"/>
    <w:rsid w:val="002356B5"/>
    <w:rsid w:val="00240175"/>
    <w:rsid w:val="00263C56"/>
    <w:rsid w:val="00264672"/>
    <w:rsid w:val="00273555"/>
    <w:rsid w:val="002737E6"/>
    <w:rsid w:val="00287071"/>
    <w:rsid w:val="00293E01"/>
    <w:rsid w:val="0029472A"/>
    <w:rsid w:val="002A0416"/>
    <w:rsid w:val="002A083B"/>
    <w:rsid w:val="002B02B7"/>
    <w:rsid w:val="002B3636"/>
    <w:rsid w:val="002B6802"/>
    <w:rsid w:val="002B6C5E"/>
    <w:rsid w:val="002C1A10"/>
    <w:rsid w:val="002C56F7"/>
    <w:rsid w:val="002C5D46"/>
    <w:rsid w:val="002E7776"/>
    <w:rsid w:val="002F0BB8"/>
    <w:rsid w:val="002F607E"/>
    <w:rsid w:val="003010F3"/>
    <w:rsid w:val="00301617"/>
    <w:rsid w:val="0031028D"/>
    <w:rsid w:val="00334E2B"/>
    <w:rsid w:val="00341E4E"/>
    <w:rsid w:val="00342959"/>
    <w:rsid w:val="00344352"/>
    <w:rsid w:val="00350C27"/>
    <w:rsid w:val="003655F4"/>
    <w:rsid w:val="00377B33"/>
    <w:rsid w:val="00394699"/>
    <w:rsid w:val="003948E0"/>
    <w:rsid w:val="00395DDB"/>
    <w:rsid w:val="003A0611"/>
    <w:rsid w:val="003A49E2"/>
    <w:rsid w:val="003A6B4F"/>
    <w:rsid w:val="003A6FBE"/>
    <w:rsid w:val="003B5359"/>
    <w:rsid w:val="003B5814"/>
    <w:rsid w:val="003B602A"/>
    <w:rsid w:val="003B615D"/>
    <w:rsid w:val="003B66DE"/>
    <w:rsid w:val="003C5404"/>
    <w:rsid w:val="003D2D91"/>
    <w:rsid w:val="003E5DDC"/>
    <w:rsid w:val="003F4C0E"/>
    <w:rsid w:val="003F670F"/>
    <w:rsid w:val="004061F0"/>
    <w:rsid w:val="0041328C"/>
    <w:rsid w:val="00420FA2"/>
    <w:rsid w:val="00430C72"/>
    <w:rsid w:val="00431C1B"/>
    <w:rsid w:val="004337CB"/>
    <w:rsid w:val="00435257"/>
    <w:rsid w:val="00445D26"/>
    <w:rsid w:val="00454DAC"/>
    <w:rsid w:val="0045775B"/>
    <w:rsid w:val="004652EF"/>
    <w:rsid w:val="00465C56"/>
    <w:rsid w:val="00465E81"/>
    <w:rsid w:val="004707BA"/>
    <w:rsid w:val="00473FE0"/>
    <w:rsid w:val="00474195"/>
    <w:rsid w:val="00476446"/>
    <w:rsid w:val="00487D58"/>
    <w:rsid w:val="004A297F"/>
    <w:rsid w:val="004B063E"/>
    <w:rsid w:val="004B216C"/>
    <w:rsid w:val="004B628F"/>
    <w:rsid w:val="004C557D"/>
    <w:rsid w:val="004C7A6C"/>
    <w:rsid w:val="004D254B"/>
    <w:rsid w:val="004D5285"/>
    <w:rsid w:val="004F137E"/>
    <w:rsid w:val="004F31BA"/>
    <w:rsid w:val="004F5BBD"/>
    <w:rsid w:val="00516A31"/>
    <w:rsid w:val="0052230A"/>
    <w:rsid w:val="0052684F"/>
    <w:rsid w:val="00530DA3"/>
    <w:rsid w:val="00530FF0"/>
    <w:rsid w:val="00533199"/>
    <w:rsid w:val="005337F1"/>
    <w:rsid w:val="0054690F"/>
    <w:rsid w:val="00555BB8"/>
    <w:rsid w:val="005618E7"/>
    <w:rsid w:val="00562FA4"/>
    <w:rsid w:val="0056359C"/>
    <w:rsid w:val="0057634B"/>
    <w:rsid w:val="0058065B"/>
    <w:rsid w:val="00580A0A"/>
    <w:rsid w:val="00581067"/>
    <w:rsid w:val="00587D6B"/>
    <w:rsid w:val="00591041"/>
    <w:rsid w:val="005A210F"/>
    <w:rsid w:val="005B1540"/>
    <w:rsid w:val="005B2890"/>
    <w:rsid w:val="005B6802"/>
    <w:rsid w:val="005C1B6C"/>
    <w:rsid w:val="005C2E34"/>
    <w:rsid w:val="005C7F70"/>
    <w:rsid w:val="005D5F4F"/>
    <w:rsid w:val="005E2DA9"/>
    <w:rsid w:val="005E6AA0"/>
    <w:rsid w:val="005F05D3"/>
    <w:rsid w:val="005F20E2"/>
    <w:rsid w:val="005F3215"/>
    <w:rsid w:val="005F4299"/>
    <w:rsid w:val="005F7AEA"/>
    <w:rsid w:val="00610C58"/>
    <w:rsid w:val="00616F09"/>
    <w:rsid w:val="00635413"/>
    <w:rsid w:val="006368B5"/>
    <w:rsid w:val="006528A7"/>
    <w:rsid w:val="0066498C"/>
    <w:rsid w:val="00671F12"/>
    <w:rsid w:val="00684843"/>
    <w:rsid w:val="006912D3"/>
    <w:rsid w:val="00692ACC"/>
    <w:rsid w:val="006C5227"/>
    <w:rsid w:val="006D3119"/>
    <w:rsid w:val="006E0773"/>
    <w:rsid w:val="006F1C96"/>
    <w:rsid w:val="006F2E42"/>
    <w:rsid w:val="006F31E9"/>
    <w:rsid w:val="006F324A"/>
    <w:rsid w:val="00700E56"/>
    <w:rsid w:val="007030A0"/>
    <w:rsid w:val="0071225D"/>
    <w:rsid w:val="00715469"/>
    <w:rsid w:val="00731ED8"/>
    <w:rsid w:val="00734E55"/>
    <w:rsid w:val="007550D4"/>
    <w:rsid w:val="007654D7"/>
    <w:rsid w:val="0077218B"/>
    <w:rsid w:val="007763D7"/>
    <w:rsid w:val="00790CFF"/>
    <w:rsid w:val="007A03FC"/>
    <w:rsid w:val="007A0C10"/>
    <w:rsid w:val="007A0ECF"/>
    <w:rsid w:val="007A12E8"/>
    <w:rsid w:val="007A454D"/>
    <w:rsid w:val="007A65E7"/>
    <w:rsid w:val="007B6D98"/>
    <w:rsid w:val="007C7250"/>
    <w:rsid w:val="007D0B01"/>
    <w:rsid w:val="007D0F8D"/>
    <w:rsid w:val="007D2A42"/>
    <w:rsid w:val="007D3A4B"/>
    <w:rsid w:val="007D53E5"/>
    <w:rsid w:val="007E464C"/>
    <w:rsid w:val="007E4FEB"/>
    <w:rsid w:val="007F120D"/>
    <w:rsid w:val="00800767"/>
    <w:rsid w:val="00803CF7"/>
    <w:rsid w:val="008068C8"/>
    <w:rsid w:val="00815CD1"/>
    <w:rsid w:val="00826E8F"/>
    <w:rsid w:val="0084217B"/>
    <w:rsid w:val="00843D5F"/>
    <w:rsid w:val="00845A26"/>
    <w:rsid w:val="00852440"/>
    <w:rsid w:val="008531BB"/>
    <w:rsid w:val="008553BE"/>
    <w:rsid w:val="00857335"/>
    <w:rsid w:val="00866ABE"/>
    <w:rsid w:val="008776CD"/>
    <w:rsid w:val="00877CBA"/>
    <w:rsid w:val="00883CE9"/>
    <w:rsid w:val="00884533"/>
    <w:rsid w:val="00885999"/>
    <w:rsid w:val="00887A02"/>
    <w:rsid w:val="008901DB"/>
    <w:rsid w:val="008949A3"/>
    <w:rsid w:val="0089511A"/>
    <w:rsid w:val="008C37E6"/>
    <w:rsid w:val="008D32E1"/>
    <w:rsid w:val="008D446E"/>
    <w:rsid w:val="008D6CC9"/>
    <w:rsid w:val="008E1D0A"/>
    <w:rsid w:val="008E6887"/>
    <w:rsid w:val="008F2C15"/>
    <w:rsid w:val="00914E04"/>
    <w:rsid w:val="00916DC2"/>
    <w:rsid w:val="009301EB"/>
    <w:rsid w:val="00946FE5"/>
    <w:rsid w:val="009504BE"/>
    <w:rsid w:val="00965869"/>
    <w:rsid w:val="00982A03"/>
    <w:rsid w:val="009A093F"/>
    <w:rsid w:val="009A0B1C"/>
    <w:rsid w:val="009A4483"/>
    <w:rsid w:val="009A5C21"/>
    <w:rsid w:val="009B53E5"/>
    <w:rsid w:val="009B5E53"/>
    <w:rsid w:val="009C485D"/>
    <w:rsid w:val="009E660C"/>
    <w:rsid w:val="009E7712"/>
    <w:rsid w:val="009F3331"/>
    <w:rsid w:val="009F3DA6"/>
    <w:rsid w:val="009F4F9D"/>
    <w:rsid w:val="00A12B31"/>
    <w:rsid w:val="00A1496A"/>
    <w:rsid w:val="00A17F9C"/>
    <w:rsid w:val="00A27DD1"/>
    <w:rsid w:val="00A33708"/>
    <w:rsid w:val="00A36151"/>
    <w:rsid w:val="00A36DC8"/>
    <w:rsid w:val="00A3732B"/>
    <w:rsid w:val="00A410C7"/>
    <w:rsid w:val="00A455B9"/>
    <w:rsid w:val="00A54045"/>
    <w:rsid w:val="00A63BFA"/>
    <w:rsid w:val="00A65105"/>
    <w:rsid w:val="00A93287"/>
    <w:rsid w:val="00A9512B"/>
    <w:rsid w:val="00A97BBF"/>
    <w:rsid w:val="00AA3B7E"/>
    <w:rsid w:val="00AB0318"/>
    <w:rsid w:val="00AB3E2F"/>
    <w:rsid w:val="00AC09CF"/>
    <w:rsid w:val="00AD7370"/>
    <w:rsid w:val="00AD7C82"/>
    <w:rsid w:val="00AE7C97"/>
    <w:rsid w:val="00AF1120"/>
    <w:rsid w:val="00B0399C"/>
    <w:rsid w:val="00B03E87"/>
    <w:rsid w:val="00B05F01"/>
    <w:rsid w:val="00B15032"/>
    <w:rsid w:val="00B178B8"/>
    <w:rsid w:val="00B26735"/>
    <w:rsid w:val="00B33BA7"/>
    <w:rsid w:val="00B34577"/>
    <w:rsid w:val="00B35791"/>
    <w:rsid w:val="00B37451"/>
    <w:rsid w:val="00B46F75"/>
    <w:rsid w:val="00B532E4"/>
    <w:rsid w:val="00B62626"/>
    <w:rsid w:val="00B74164"/>
    <w:rsid w:val="00B75B7F"/>
    <w:rsid w:val="00B81484"/>
    <w:rsid w:val="00B8662F"/>
    <w:rsid w:val="00B868DF"/>
    <w:rsid w:val="00B87138"/>
    <w:rsid w:val="00B90E15"/>
    <w:rsid w:val="00BA4373"/>
    <w:rsid w:val="00BA497E"/>
    <w:rsid w:val="00BB6358"/>
    <w:rsid w:val="00BB6F62"/>
    <w:rsid w:val="00BD12B9"/>
    <w:rsid w:val="00BE1234"/>
    <w:rsid w:val="00BE5FF0"/>
    <w:rsid w:val="00BE6F23"/>
    <w:rsid w:val="00BE78C8"/>
    <w:rsid w:val="00BF229E"/>
    <w:rsid w:val="00BF5240"/>
    <w:rsid w:val="00C002E5"/>
    <w:rsid w:val="00C007B4"/>
    <w:rsid w:val="00C07D3B"/>
    <w:rsid w:val="00C1400A"/>
    <w:rsid w:val="00C22389"/>
    <w:rsid w:val="00C279C0"/>
    <w:rsid w:val="00C27F7D"/>
    <w:rsid w:val="00C316FF"/>
    <w:rsid w:val="00C4152E"/>
    <w:rsid w:val="00C479B0"/>
    <w:rsid w:val="00C50101"/>
    <w:rsid w:val="00C51FC9"/>
    <w:rsid w:val="00C53C9D"/>
    <w:rsid w:val="00C57E1A"/>
    <w:rsid w:val="00C57F16"/>
    <w:rsid w:val="00C62411"/>
    <w:rsid w:val="00C63EE5"/>
    <w:rsid w:val="00C652F2"/>
    <w:rsid w:val="00C6709D"/>
    <w:rsid w:val="00C677D6"/>
    <w:rsid w:val="00C76328"/>
    <w:rsid w:val="00C92CAE"/>
    <w:rsid w:val="00CB748A"/>
    <w:rsid w:val="00CB7897"/>
    <w:rsid w:val="00CC294B"/>
    <w:rsid w:val="00CD568A"/>
    <w:rsid w:val="00CF4DBE"/>
    <w:rsid w:val="00D15704"/>
    <w:rsid w:val="00D17935"/>
    <w:rsid w:val="00D22CC2"/>
    <w:rsid w:val="00D35C9B"/>
    <w:rsid w:val="00D363FF"/>
    <w:rsid w:val="00D366A6"/>
    <w:rsid w:val="00D36724"/>
    <w:rsid w:val="00D40A26"/>
    <w:rsid w:val="00D43D56"/>
    <w:rsid w:val="00D545DD"/>
    <w:rsid w:val="00D61B73"/>
    <w:rsid w:val="00D62395"/>
    <w:rsid w:val="00D70C8B"/>
    <w:rsid w:val="00D737A4"/>
    <w:rsid w:val="00D7389A"/>
    <w:rsid w:val="00D76486"/>
    <w:rsid w:val="00D766FB"/>
    <w:rsid w:val="00D777C3"/>
    <w:rsid w:val="00D80762"/>
    <w:rsid w:val="00D911CC"/>
    <w:rsid w:val="00D91E0D"/>
    <w:rsid w:val="00D93320"/>
    <w:rsid w:val="00D97CB0"/>
    <w:rsid w:val="00DB0AEF"/>
    <w:rsid w:val="00DB3668"/>
    <w:rsid w:val="00DC03F6"/>
    <w:rsid w:val="00DC2BF5"/>
    <w:rsid w:val="00DE6532"/>
    <w:rsid w:val="00DF2646"/>
    <w:rsid w:val="00E04F79"/>
    <w:rsid w:val="00E23125"/>
    <w:rsid w:val="00E36D41"/>
    <w:rsid w:val="00E5508A"/>
    <w:rsid w:val="00E56B2B"/>
    <w:rsid w:val="00E7537E"/>
    <w:rsid w:val="00E853EA"/>
    <w:rsid w:val="00E94EFF"/>
    <w:rsid w:val="00EA1B5A"/>
    <w:rsid w:val="00EA289E"/>
    <w:rsid w:val="00EC23CB"/>
    <w:rsid w:val="00EC3ACD"/>
    <w:rsid w:val="00EC3B3D"/>
    <w:rsid w:val="00ED314C"/>
    <w:rsid w:val="00ED44CF"/>
    <w:rsid w:val="00EE0363"/>
    <w:rsid w:val="00EE095D"/>
    <w:rsid w:val="00EF4715"/>
    <w:rsid w:val="00F03028"/>
    <w:rsid w:val="00F1498F"/>
    <w:rsid w:val="00F32A7C"/>
    <w:rsid w:val="00F405A6"/>
    <w:rsid w:val="00F47C7E"/>
    <w:rsid w:val="00F53E23"/>
    <w:rsid w:val="00F5571B"/>
    <w:rsid w:val="00F70931"/>
    <w:rsid w:val="00F81F98"/>
    <w:rsid w:val="00F82805"/>
    <w:rsid w:val="00F91388"/>
    <w:rsid w:val="00FA5E78"/>
    <w:rsid w:val="00FA6517"/>
    <w:rsid w:val="00FB1FC3"/>
    <w:rsid w:val="00FB34DE"/>
    <w:rsid w:val="00FB4457"/>
    <w:rsid w:val="00FC4617"/>
    <w:rsid w:val="00FC4CBE"/>
    <w:rsid w:val="00FE3D0C"/>
    <w:rsid w:val="00FF06EC"/>
    <w:rsid w:val="00FF0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F022A8"/>
  <w15:chartTrackingRefBased/>
  <w15:docId w15:val="{66885828-8279-466F-90BE-F5222144B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6528A7"/>
    <w:pPr>
      <w:tabs>
        <w:tab w:val="center" w:pos="4680"/>
        <w:tab w:val="right" w:pos="9360"/>
      </w:tabs>
    </w:pPr>
  </w:style>
  <w:style w:type="character" w:customStyle="1" w:styleId="HeaderChar">
    <w:name w:val="Header Char"/>
    <w:basedOn w:val="DefaultParagraphFont"/>
    <w:link w:val="Header"/>
    <w:uiPriority w:val="99"/>
    <w:rsid w:val="006528A7"/>
  </w:style>
  <w:style w:type="paragraph" w:styleId="Footer">
    <w:name w:val="footer"/>
    <w:basedOn w:val="Normal"/>
    <w:link w:val="FooterChar"/>
    <w:uiPriority w:val="99"/>
    <w:unhideWhenUsed/>
    <w:rsid w:val="006528A7"/>
    <w:pPr>
      <w:tabs>
        <w:tab w:val="center" w:pos="4680"/>
        <w:tab w:val="right" w:pos="9360"/>
      </w:tabs>
    </w:pPr>
  </w:style>
  <w:style w:type="character" w:customStyle="1" w:styleId="FooterChar">
    <w:name w:val="Footer Char"/>
    <w:basedOn w:val="DefaultParagraphFont"/>
    <w:link w:val="Footer"/>
    <w:uiPriority w:val="99"/>
    <w:rsid w:val="006528A7"/>
  </w:style>
  <w:style w:type="paragraph" w:styleId="ListParagraph">
    <w:name w:val="List Paragraph"/>
    <w:basedOn w:val="Normal"/>
    <w:uiPriority w:val="34"/>
    <w:qFormat/>
    <w:rsid w:val="001F116C"/>
    <w:pPr>
      <w:ind w:left="720"/>
      <w:contextualSpacing/>
    </w:pPr>
  </w:style>
  <w:style w:type="paragraph" w:styleId="FootnoteText">
    <w:name w:val="footnote text"/>
    <w:basedOn w:val="Normal"/>
    <w:link w:val="FootnoteTextChar"/>
    <w:uiPriority w:val="99"/>
    <w:semiHidden/>
    <w:unhideWhenUsed/>
    <w:rsid w:val="00334E2B"/>
    <w:rPr>
      <w:sz w:val="20"/>
      <w:szCs w:val="20"/>
    </w:rPr>
  </w:style>
  <w:style w:type="character" w:customStyle="1" w:styleId="FootnoteTextChar">
    <w:name w:val="Footnote Text Char"/>
    <w:basedOn w:val="DefaultParagraphFont"/>
    <w:link w:val="FootnoteText"/>
    <w:uiPriority w:val="99"/>
    <w:semiHidden/>
    <w:rsid w:val="00334E2B"/>
    <w:rPr>
      <w:sz w:val="20"/>
      <w:szCs w:val="20"/>
    </w:rPr>
  </w:style>
  <w:style w:type="character" w:styleId="FootnoteReference">
    <w:name w:val="footnote reference"/>
    <w:basedOn w:val="DefaultParagraphFont"/>
    <w:uiPriority w:val="99"/>
    <w:semiHidden/>
    <w:unhideWhenUsed/>
    <w:rsid w:val="00334E2B"/>
    <w:rPr>
      <w:vertAlign w:val="superscript"/>
    </w:rPr>
  </w:style>
  <w:style w:type="character" w:styleId="Hyperlink">
    <w:name w:val="Hyperlink"/>
    <w:basedOn w:val="DefaultParagraphFont"/>
    <w:uiPriority w:val="99"/>
    <w:unhideWhenUsed/>
    <w:rsid w:val="00BE1234"/>
    <w:rPr>
      <w:color w:val="0000FF"/>
      <w:u w:val="single"/>
    </w:rPr>
  </w:style>
  <w:style w:type="character" w:styleId="UnresolvedMention">
    <w:name w:val="Unresolved Mention"/>
    <w:basedOn w:val="DefaultParagraphFont"/>
    <w:uiPriority w:val="99"/>
    <w:semiHidden/>
    <w:unhideWhenUsed/>
    <w:rsid w:val="00AD7C82"/>
    <w:rPr>
      <w:color w:val="605E5C"/>
      <w:shd w:val="clear" w:color="auto" w:fill="E1DFDD"/>
    </w:rPr>
  </w:style>
  <w:style w:type="character" w:styleId="FollowedHyperlink">
    <w:name w:val="FollowedHyperlink"/>
    <w:basedOn w:val="DefaultParagraphFont"/>
    <w:uiPriority w:val="99"/>
    <w:semiHidden/>
    <w:unhideWhenUsed/>
    <w:rsid w:val="00AD7C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35914">
      <w:bodyDiv w:val="1"/>
      <w:marLeft w:val="0"/>
      <w:marRight w:val="0"/>
      <w:marTop w:val="0"/>
      <w:marBottom w:val="0"/>
      <w:divBdr>
        <w:top w:val="none" w:sz="0" w:space="0" w:color="auto"/>
        <w:left w:val="none" w:sz="0" w:space="0" w:color="auto"/>
        <w:bottom w:val="none" w:sz="0" w:space="0" w:color="auto"/>
        <w:right w:val="none" w:sz="0" w:space="0" w:color="auto"/>
      </w:divBdr>
    </w:div>
    <w:div w:id="431244837">
      <w:bodyDiv w:val="1"/>
      <w:marLeft w:val="0"/>
      <w:marRight w:val="0"/>
      <w:marTop w:val="0"/>
      <w:marBottom w:val="0"/>
      <w:divBdr>
        <w:top w:val="none" w:sz="0" w:space="0" w:color="auto"/>
        <w:left w:val="none" w:sz="0" w:space="0" w:color="auto"/>
        <w:bottom w:val="none" w:sz="0" w:space="0" w:color="auto"/>
        <w:right w:val="none" w:sz="0" w:space="0" w:color="auto"/>
      </w:divBdr>
    </w:div>
    <w:div w:id="771778192">
      <w:bodyDiv w:val="1"/>
      <w:marLeft w:val="0"/>
      <w:marRight w:val="0"/>
      <w:marTop w:val="0"/>
      <w:marBottom w:val="0"/>
      <w:divBdr>
        <w:top w:val="none" w:sz="0" w:space="0" w:color="auto"/>
        <w:left w:val="none" w:sz="0" w:space="0" w:color="auto"/>
        <w:bottom w:val="none" w:sz="0" w:space="0" w:color="auto"/>
        <w:right w:val="none" w:sz="0" w:space="0" w:color="auto"/>
      </w:divBdr>
    </w:div>
    <w:div w:id="783961299">
      <w:bodyDiv w:val="1"/>
      <w:marLeft w:val="0"/>
      <w:marRight w:val="0"/>
      <w:marTop w:val="0"/>
      <w:marBottom w:val="0"/>
      <w:divBdr>
        <w:top w:val="none" w:sz="0" w:space="0" w:color="auto"/>
        <w:left w:val="none" w:sz="0" w:space="0" w:color="auto"/>
        <w:bottom w:val="none" w:sz="0" w:space="0" w:color="auto"/>
        <w:right w:val="none" w:sz="0" w:space="0" w:color="auto"/>
      </w:divBdr>
    </w:div>
    <w:div w:id="1567490819">
      <w:bodyDiv w:val="1"/>
      <w:marLeft w:val="0"/>
      <w:marRight w:val="0"/>
      <w:marTop w:val="0"/>
      <w:marBottom w:val="0"/>
      <w:divBdr>
        <w:top w:val="none" w:sz="0" w:space="0" w:color="auto"/>
        <w:left w:val="none" w:sz="0" w:space="0" w:color="auto"/>
        <w:bottom w:val="none" w:sz="0" w:space="0" w:color="auto"/>
        <w:right w:val="none" w:sz="0" w:space="0" w:color="auto"/>
      </w:divBdr>
    </w:div>
    <w:div w:id="160533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86/1471-2458-11-73" TargetMode="External"/><Relationship Id="rId13" Type="http://schemas.openxmlformats.org/officeDocument/2006/relationships/hyperlink" Target="https://www.cdc.gov/phlp/docs/emergency-radiological.pdf" TargetMode="External"/><Relationship Id="rId18" Type="http://schemas.openxmlformats.org/officeDocument/2006/relationships/hyperlink" Target="https://www.cdc.gov/h1n1flu/vaccination/slv/planners.htm" TargetMode="External"/><Relationship Id="rId26" Type="http://schemas.openxmlformats.org/officeDocument/2006/relationships/hyperlink" Target="https://www.cdc.gov/h1n1flu/vaccination/slv/planners.htm" TargetMode="External"/><Relationship Id="rId3" Type="http://schemas.openxmlformats.org/officeDocument/2006/relationships/hyperlink" Target="https://www.pps.net/cms/lib/OR01913224/Centricity/Domain/70/pandemic/schoolclosures.pdf" TargetMode="External"/><Relationship Id="rId21" Type="http://schemas.openxmlformats.org/officeDocument/2006/relationships/hyperlink" Target="http://www.emacweb.org" TargetMode="External"/><Relationship Id="rId7" Type="http://schemas.openxmlformats.org/officeDocument/2006/relationships/hyperlink" Target="https://www.cdc.gov/h1n1flu/schools/schoolguidance.htm" TargetMode="External"/><Relationship Id="rId12" Type="http://schemas.openxmlformats.org/officeDocument/2006/relationships/hyperlink" Target="https://www.nsba.org/-/media/NSBA/File/legal-setting-a-new-course-operationg-schools-in-the-pandemic-era-guide-july-2020.pdf" TargetMode="External"/><Relationship Id="rId17" Type="http://schemas.openxmlformats.org/officeDocument/2006/relationships/hyperlink" Target="https://www.cdc.gov/flu/professionals/vaccination/vax_clinic.htm" TargetMode="External"/><Relationship Id="rId25" Type="http://schemas.openxmlformats.org/officeDocument/2006/relationships/hyperlink" Target="https://www.cdc.gov/h1n1flu/vaccination/slv/planners.htm" TargetMode="External"/><Relationship Id="rId2" Type="http://schemas.openxmlformats.org/officeDocument/2006/relationships/hyperlink" Target="https://education.nga.org/" TargetMode="External"/><Relationship Id="rId16" Type="http://schemas.openxmlformats.org/officeDocument/2006/relationships/hyperlink" Target="https://www.cdc.gov/h1n1flu/vaccination/slv/planners.htm" TargetMode="External"/><Relationship Id="rId20" Type="http://schemas.openxmlformats.org/officeDocument/2006/relationships/hyperlink" Target="https://www.cdc.gov/h1n1flu/vaccination/slv/planners.htm" TargetMode="External"/><Relationship Id="rId1" Type="http://schemas.openxmlformats.org/officeDocument/2006/relationships/hyperlink" Target="https://www.nga.org/state-covid-19-emergency-orders/" TargetMode="External"/><Relationship Id="rId6" Type="http://schemas.openxmlformats.org/officeDocument/2006/relationships/hyperlink" Target="https://www.pps.net/cms/lib/OR01913224/Centricity/Domain/70/pandemic/schoolclosures.pdf" TargetMode="External"/><Relationship Id="rId11" Type="http://schemas.openxmlformats.org/officeDocument/2006/relationships/hyperlink" Target="https://www.ed.gov/coronavirus" TargetMode="External"/><Relationship Id="rId24" Type="http://schemas.openxmlformats.org/officeDocument/2006/relationships/hyperlink" Target="https://www.phe.gov/Preparedness/legal/prepact/Pages/prepqa.aspx" TargetMode="External"/><Relationship Id="rId5" Type="http://schemas.openxmlformats.org/officeDocument/2006/relationships/hyperlink" Target="https://www.pps.net/cms/lib/OR01913224/Centricity/Domain/70/pandemic/schoolclosures.pdf" TargetMode="External"/><Relationship Id="rId15" Type="http://schemas.openxmlformats.org/officeDocument/2006/relationships/hyperlink" Target="https://www.cdc.gov/h1n1flu/vaccination/slv/planners.htm" TargetMode="External"/><Relationship Id="rId23" Type="http://schemas.openxmlformats.org/officeDocument/2006/relationships/hyperlink" Target="https://www.phe.gov/Preparedness/legal/prepact/Pages/default.aspx" TargetMode="External"/><Relationship Id="rId10" Type="http://schemas.openxmlformats.org/officeDocument/2006/relationships/hyperlink" Target="https://www.cdc.gov/coronavirus/2019-ncov/community/schools-childcare/index.html" TargetMode="External"/><Relationship Id="rId19" Type="http://schemas.openxmlformats.org/officeDocument/2006/relationships/hyperlink" Target="https://www.cdc.gov/h1n1flu/vaccination/slv/planners.htm" TargetMode="External"/><Relationship Id="rId4" Type="http://schemas.openxmlformats.org/officeDocument/2006/relationships/hyperlink" Target="https://www.pps.net/cms/lib/OR01913224/Centricity/Domain/70/pandemic/schoolclosures.pdf" TargetMode="External"/><Relationship Id="rId9" Type="http://schemas.openxmlformats.org/officeDocument/2006/relationships/hyperlink" Target="https://education.nga.org/" TargetMode="External"/><Relationship Id="rId14" Type="http://schemas.openxmlformats.org/officeDocument/2006/relationships/hyperlink" Target="https://www.cdc.gov/phlp/docs/emergency-radiological.pdf" TargetMode="External"/><Relationship Id="rId22" Type="http://schemas.openxmlformats.org/officeDocument/2006/relationships/hyperlink" Target="http://www.emacwe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70BA2-8F21-4475-A36C-1C7572D64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13</Pages>
  <Words>3861</Words>
  <Characters>22009</Characters>
  <Application>Microsoft Office Word</Application>
  <DocSecurity>0</DocSecurity>
  <Lines>183</Lines>
  <Paragraphs>51</Paragraphs>
  <ScaleCrop>false</ScaleCrop>
  <Company/>
  <LinksUpToDate>false</LinksUpToDate>
  <CharactersWithSpaces>25819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103</cp:revision>
  <dcterms:created xsi:type="dcterms:W3CDTF">2020-08-07T14:00:00Z</dcterms:created>
  <dcterms:modified xsi:type="dcterms:W3CDTF">2020-08-28T03:01:00Z</dcterms:modified>
</cp:coreProperties>
</file>