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E1F42" w14:textId="1721DBF0" w:rsidR="00602B7A" w:rsidRPr="00602B7A" w:rsidRDefault="00602B7A" w:rsidP="009F3A3F">
      <w:pPr>
        <w:spacing w:line="360" w:lineRule="auto"/>
        <w:jc w:val="center"/>
        <w:rPr>
          <w:rFonts w:eastAsia="Times New Roman" w:cstheme="minorHAnsi"/>
          <w:b/>
          <w:bCs/>
          <w:spacing w:val="15"/>
          <w:kern w:val="36"/>
        </w:rPr>
      </w:pPr>
      <w:r w:rsidRPr="00602B7A">
        <w:rPr>
          <w:rFonts w:eastAsia="Times New Roman" w:cstheme="minorHAnsi"/>
          <w:b/>
          <w:bCs/>
          <w:spacing w:val="15"/>
          <w:kern w:val="36"/>
        </w:rPr>
        <w:t>CSTE Legal Barriers Toolkit Series</w:t>
      </w:r>
    </w:p>
    <w:p w14:paraId="1401FF72" w14:textId="461608D8" w:rsidR="00B97EAE" w:rsidRPr="00A84293" w:rsidRDefault="00B97EAE" w:rsidP="009F3A3F">
      <w:pPr>
        <w:spacing w:line="360" w:lineRule="auto"/>
        <w:jc w:val="center"/>
        <w:rPr>
          <w:rFonts w:eastAsia="Times New Roman" w:cstheme="minorHAnsi"/>
          <w:b/>
          <w:bCs/>
          <w:spacing w:val="15"/>
          <w:kern w:val="36"/>
          <w:sz w:val="24"/>
          <w:szCs w:val="24"/>
        </w:rPr>
      </w:pPr>
      <w:r w:rsidRPr="00A84293">
        <w:rPr>
          <w:rFonts w:eastAsia="Times New Roman" w:cstheme="minorHAnsi"/>
          <w:b/>
          <w:bCs/>
          <w:spacing w:val="15"/>
          <w:kern w:val="36"/>
          <w:sz w:val="24"/>
          <w:szCs w:val="24"/>
        </w:rPr>
        <w:t>PUBLIC HEALTH &amp; INFORMATION SHARING TOOLKIT</w:t>
      </w:r>
    </w:p>
    <w:p w14:paraId="2BB171D0" w14:textId="77777777" w:rsidR="00B97EAE" w:rsidRPr="00A84293" w:rsidRDefault="00B97EAE" w:rsidP="009F3A3F">
      <w:pPr>
        <w:spacing w:line="360" w:lineRule="auto"/>
        <w:jc w:val="center"/>
        <w:rPr>
          <w:rFonts w:eastAsia="Times New Roman" w:cstheme="minorHAnsi"/>
          <w:b/>
          <w:bCs/>
          <w:sz w:val="24"/>
          <w:szCs w:val="24"/>
        </w:rPr>
      </w:pPr>
      <w:r w:rsidRPr="00A84293">
        <w:rPr>
          <w:rFonts w:eastAsia="Times New Roman" w:cstheme="minorHAnsi"/>
          <w:b/>
          <w:bCs/>
          <w:sz w:val="24"/>
          <w:szCs w:val="24"/>
        </w:rPr>
        <w:t>EXECUTIVE SUMMARY</w:t>
      </w:r>
    </w:p>
    <w:p w14:paraId="24FDBACF" w14:textId="77777777" w:rsidR="004A30FA" w:rsidRDefault="004A30FA" w:rsidP="004A30FA">
      <w:pPr>
        <w:spacing w:line="360" w:lineRule="auto"/>
        <w:ind w:left="720" w:right="720"/>
        <w:jc w:val="both"/>
        <w:rPr>
          <w:b/>
          <w:bCs/>
          <w:i/>
          <w:iCs/>
        </w:rPr>
      </w:pPr>
    </w:p>
    <w:p w14:paraId="3BE53159" w14:textId="3B3CC27B" w:rsidR="004A30FA" w:rsidRPr="0050127B" w:rsidRDefault="004A30FA" w:rsidP="004A30FA">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59471949" w14:textId="77777777" w:rsidR="004A30FA" w:rsidRDefault="004A30FA" w:rsidP="009F3A3F">
      <w:pPr>
        <w:spacing w:line="360" w:lineRule="auto"/>
        <w:jc w:val="center"/>
        <w:rPr>
          <w:b/>
          <w:bCs/>
          <w:sz w:val="24"/>
          <w:szCs w:val="24"/>
        </w:rPr>
      </w:pPr>
    </w:p>
    <w:p w14:paraId="2B829F5D" w14:textId="0EB7198C" w:rsidR="009F3A3F" w:rsidRPr="00A80E54" w:rsidRDefault="0013227C" w:rsidP="009F3A3F">
      <w:pPr>
        <w:spacing w:line="360" w:lineRule="auto"/>
        <w:rPr>
          <w:b/>
          <w:bCs/>
          <w:sz w:val="24"/>
          <w:szCs w:val="24"/>
        </w:rPr>
      </w:pPr>
      <w:r>
        <w:rPr>
          <w:b/>
          <w:bCs/>
          <w:sz w:val="24"/>
          <w:szCs w:val="24"/>
        </w:rPr>
        <w:t>Overview</w:t>
      </w:r>
    </w:p>
    <w:p w14:paraId="0CE5A54F" w14:textId="60B02F70" w:rsidR="00EB2703" w:rsidRDefault="00A43CCF" w:rsidP="00EB2703">
      <w:pPr>
        <w:spacing w:after="120" w:line="360" w:lineRule="auto"/>
        <w:textAlignment w:val="baseline"/>
        <w:rPr>
          <w:rFonts w:eastAsia="Times New Roman" w:cstheme="minorHAnsi"/>
        </w:rPr>
      </w:pPr>
      <w:r w:rsidRPr="000B749C">
        <w:rPr>
          <w:rFonts w:eastAsia="Times New Roman" w:cstheme="minorHAnsi"/>
          <w:color w:val="000000" w:themeColor="text1"/>
          <w:szCs w:val="20"/>
        </w:rPr>
        <w:t>Public health agencies must collect, use</w:t>
      </w:r>
      <w:r w:rsidR="0095538B">
        <w:rPr>
          <w:rFonts w:eastAsia="Times New Roman" w:cstheme="minorHAnsi"/>
          <w:color w:val="000000" w:themeColor="text1"/>
          <w:szCs w:val="20"/>
        </w:rPr>
        <w:t>,</w:t>
      </w:r>
      <w:r w:rsidRPr="000B749C">
        <w:rPr>
          <w:rFonts w:eastAsia="Times New Roman" w:cstheme="minorHAnsi"/>
          <w:color w:val="000000" w:themeColor="text1"/>
          <w:szCs w:val="20"/>
        </w:rPr>
        <w:t xml:space="preserve"> and share information to prevent disease and injury, as well as protect the public against natural, accidental, and intentional health threats</w:t>
      </w:r>
      <w:r w:rsidR="00624410">
        <w:rPr>
          <w:rFonts w:eastAsia="Times New Roman" w:cstheme="minorHAnsi"/>
          <w:color w:val="000000" w:themeColor="text1"/>
          <w:szCs w:val="20"/>
        </w:rPr>
        <w:t xml:space="preserve"> to accomplish its mi</w:t>
      </w:r>
      <w:r w:rsidR="00F2164F">
        <w:rPr>
          <w:rFonts w:eastAsia="Times New Roman" w:cstheme="minorHAnsi"/>
          <w:color w:val="000000" w:themeColor="text1"/>
          <w:szCs w:val="20"/>
        </w:rPr>
        <w:t xml:space="preserve">ssion </w:t>
      </w:r>
      <w:r w:rsidR="00206110">
        <w:rPr>
          <w:rFonts w:eastAsia="Times New Roman" w:cstheme="minorHAnsi"/>
          <w:color w:val="000000" w:themeColor="text1"/>
          <w:szCs w:val="20"/>
        </w:rPr>
        <w:t>to protect the public’s health</w:t>
      </w:r>
      <w:r w:rsidRPr="000B749C">
        <w:rPr>
          <w:rFonts w:eastAsia="Times New Roman" w:cstheme="minorHAnsi"/>
          <w:color w:val="000000" w:themeColor="text1"/>
          <w:szCs w:val="20"/>
        </w:rPr>
        <w:t>.</w:t>
      </w:r>
      <w:r w:rsidR="00EB2703">
        <w:rPr>
          <w:rFonts w:eastAsia="Times New Roman" w:cstheme="minorHAnsi"/>
          <w:color w:val="000000" w:themeColor="text1"/>
          <w:szCs w:val="20"/>
        </w:rPr>
        <w:t xml:space="preserve"> </w:t>
      </w:r>
      <w:r w:rsidR="00EB2703" w:rsidRPr="00D95B5F">
        <w:rPr>
          <w:rFonts w:eastAsia="Times New Roman" w:cstheme="minorHAnsi"/>
        </w:rPr>
        <w:t xml:space="preserve">Often, </w:t>
      </w:r>
      <w:r w:rsidR="00945887">
        <w:rPr>
          <w:rFonts w:eastAsia="Times New Roman" w:cstheme="minorHAnsi"/>
        </w:rPr>
        <w:t xml:space="preserve">this </w:t>
      </w:r>
      <w:r w:rsidR="0074245F">
        <w:rPr>
          <w:rFonts w:eastAsia="Times New Roman" w:cstheme="minorHAnsi"/>
        </w:rPr>
        <w:t xml:space="preserve">work </w:t>
      </w:r>
      <w:r w:rsidR="00945887">
        <w:rPr>
          <w:rFonts w:eastAsia="Times New Roman" w:cstheme="minorHAnsi"/>
        </w:rPr>
        <w:t>involves</w:t>
      </w:r>
      <w:r w:rsidR="00EB2703" w:rsidRPr="00D95B5F">
        <w:rPr>
          <w:rFonts w:eastAsia="Times New Roman" w:cstheme="minorHAnsi"/>
        </w:rPr>
        <w:t xml:space="preserve"> personal and health information that identify individuals. </w:t>
      </w:r>
      <w:r w:rsidR="00086980">
        <w:rPr>
          <w:rFonts w:eastAsia="Times New Roman" w:cstheme="minorHAnsi"/>
        </w:rPr>
        <w:t>T</w:t>
      </w:r>
      <w:r w:rsidR="00EB2703" w:rsidRPr="00D95B5F">
        <w:rPr>
          <w:rFonts w:eastAsia="Times New Roman" w:cstheme="minorHAnsi"/>
        </w:rPr>
        <w:t xml:space="preserve">o prevent and manage a public health emergency, </w:t>
      </w:r>
      <w:r w:rsidR="00962F72">
        <w:rPr>
          <w:rFonts w:eastAsia="Times New Roman" w:cstheme="minorHAnsi"/>
        </w:rPr>
        <w:t xml:space="preserve">public health </w:t>
      </w:r>
      <w:r w:rsidR="00EB2703" w:rsidRPr="00D95B5F">
        <w:rPr>
          <w:rFonts w:eastAsia="Times New Roman" w:cstheme="minorHAnsi"/>
        </w:rPr>
        <w:t xml:space="preserve">agencies must understand federal and </w:t>
      </w:r>
      <w:r w:rsidR="00C5047C">
        <w:rPr>
          <w:rFonts w:eastAsia="Times New Roman" w:cstheme="minorHAnsi"/>
        </w:rPr>
        <w:t>STLT</w:t>
      </w:r>
      <w:r w:rsidR="00EB2703" w:rsidRPr="00D95B5F">
        <w:rPr>
          <w:rFonts w:eastAsia="Times New Roman" w:cstheme="minorHAnsi"/>
        </w:rPr>
        <w:t xml:space="preserve"> laws that apply to this information</w:t>
      </w:r>
      <w:r w:rsidR="00086980">
        <w:rPr>
          <w:rFonts w:eastAsia="Times New Roman" w:cstheme="minorHAnsi"/>
        </w:rPr>
        <w:t xml:space="preserve">, including </w:t>
      </w:r>
      <w:r w:rsidR="00CA461B">
        <w:rPr>
          <w:rFonts w:eastAsia="Times New Roman" w:cstheme="minorHAnsi"/>
        </w:rPr>
        <w:t xml:space="preserve">requirements and limitations on sharing </w:t>
      </w:r>
      <w:r w:rsidR="00C50534">
        <w:rPr>
          <w:rFonts w:eastAsia="Times New Roman" w:cstheme="minorHAnsi"/>
        </w:rPr>
        <w:t>information</w:t>
      </w:r>
      <w:r w:rsidR="00F947A5">
        <w:rPr>
          <w:rFonts w:eastAsia="Times New Roman" w:cstheme="minorHAnsi"/>
        </w:rPr>
        <w:t xml:space="preserve"> with other agencies, including law enforcement</w:t>
      </w:r>
      <w:r w:rsidR="00C50534">
        <w:rPr>
          <w:rFonts w:eastAsia="Times New Roman" w:cstheme="minorHAnsi"/>
        </w:rPr>
        <w:t>.</w:t>
      </w:r>
      <w:r w:rsidR="00C220D1">
        <w:rPr>
          <w:rFonts w:eastAsia="Times New Roman" w:cstheme="minorHAnsi"/>
        </w:rPr>
        <w:t xml:space="preserve"> </w:t>
      </w:r>
      <w:r w:rsidR="00C50534">
        <w:rPr>
          <w:rFonts w:eastAsia="Times New Roman" w:cstheme="minorHAnsi"/>
        </w:rPr>
        <w:t>Further, h</w:t>
      </w:r>
      <w:r w:rsidR="00C220D1">
        <w:rPr>
          <w:rFonts w:eastAsia="Times New Roman" w:cstheme="minorHAnsi"/>
        </w:rPr>
        <w:t>ealth agencies are also employers and</w:t>
      </w:r>
      <w:r w:rsidR="00FE2B68">
        <w:rPr>
          <w:rFonts w:eastAsia="Times New Roman" w:cstheme="minorHAnsi"/>
        </w:rPr>
        <w:t xml:space="preserve"> as such</w:t>
      </w:r>
      <w:r w:rsidR="00C220D1">
        <w:rPr>
          <w:rFonts w:eastAsia="Times New Roman" w:cstheme="minorHAnsi"/>
        </w:rPr>
        <w:t xml:space="preserve"> are governed by </w:t>
      </w:r>
      <w:r w:rsidR="00FE2B68">
        <w:rPr>
          <w:rFonts w:eastAsia="Times New Roman" w:cstheme="minorHAnsi"/>
        </w:rPr>
        <w:t>the same rules as other employers with regard to collecting, using</w:t>
      </w:r>
      <w:r w:rsidR="003831ED">
        <w:rPr>
          <w:rFonts w:eastAsia="Times New Roman" w:cstheme="minorHAnsi"/>
        </w:rPr>
        <w:t>,</w:t>
      </w:r>
      <w:r w:rsidR="00FE2B68">
        <w:rPr>
          <w:rFonts w:eastAsia="Times New Roman" w:cstheme="minorHAnsi"/>
        </w:rPr>
        <w:t xml:space="preserve"> and sharing personal and health information about </w:t>
      </w:r>
      <w:r w:rsidR="004615EC">
        <w:rPr>
          <w:rFonts w:eastAsia="Times New Roman" w:cstheme="minorHAnsi"/>
        </w:rPr>
        <w:t>employees</w:t>
      </w:r>
      <w:r w:rsidR="00DB23A7">
        <w:rPr>
          <w:rFonts w:eastAsia="Times New Roman" w:cstheme="minorHAnsi"/>
        </w:rPr>
        <w:t>. Thus</w:t>
      </w:r>
      <w:r w:rsidR="003A132E">
        <w:rPr>
          <w:rFonts w:eastAsia="Times New Roman" w:cstheme="minorHAnsi"/>
        </w:rPr>
        <w:t>, w</w:t>
      </w:r>
      <w:r w:rsidR="00EB2703" w:rsidRPr="00D95B5F">
        <w:rPr>
          <w:rFonts w:eastAsia="Times New Roman" w:cstheme="minorHAnsi"/>
        </w:rPr>
        <w:t xml:space="preserve">hen </w:t>
      </w:r>
      <w:r w:rsidR="003A132E">
        <w:rPr>
          <w:rFonts w:eastAsia="Times New Roman" w:cstheme="minorHAnsi"/>
        </w:rPr>
        <w:t>preparing for or r</w:t>
      </w:r>
      <w:r w:rsidR="00EB2703" w:rsidRPr="00D95B5F">
        <w:rPr>
          <w:rFonts w:eastAsia="Times New Roman" w:cstheme="minorHAnsi"/>
        </w:rPr>
        <w:t>esponding to a</w:t>
      </w:r>
      <w:r w:rsidR="008A38B5">
        <w:rPr>
          <w:rFonts w:eastAsia="Times New Roman" w:cstheme="minorHAnsi"/>
        </w:rPr>
        <w:t>n</w:t>
      </w:r>
      <w:r w:rsidR="00EB2703" w:rsidRPr="00D95B5F">
        <w:rPr>
          <w:rFonts w:eastAsia="Times New Roman" w:cstheme="minorHAnsi"/>
        </w:rPr>
        <w:t xml:space="preserve"> </w:t>
      </w:r>
      <w:r w:rsidR="003A132E">
        <w:rPr>
          <w:rFonts w:eastAsia="Times New Roman" w:cstheme="minorHAnsi"/>
        </w:rPr>
        <w:t>emergency</w:t>
      </w:r>
      <w:r w:rsidR="00EB2703" w:rsidRPr="00D95B5F">
        <w:rPr>
          <w:rFonts w:eastAsia="Times New Roman" w:cstheme="minorHAnsi"/>
        </w:rPr>
        <w:t>, public health officials must understand both their authority and their responsibilities</w:t>
      </w:r>
      <w:r w:rsidR="00326F6A">
        <w:rPr>
          <w:rFonts w:eastAsia="Times New Roman" w:cstheme="minorHAnsi"/>
        </w:rPr>
        <w:t xml:space="preserve"> with respect to each of these roles</w:t>
      </w:r>
      <w:r w:rsidR="00EB2703" w:rsidRPr="00D95B5F">
        <w:rPr>
          <w:rFonts w:eastAsia="Times New Roman" w:cstheme="minorHAnsi"/>
        </w:rPr>
        <w:t xml:space="preserve">. </w:t>
      </w:r>
    </w:p>
    <w:p w14:paraId="6481AF86" w14:textId="6B947A41" w:rsidR="00A43CCF" w:rsidRDefault="00A43CCF" w:rsidP="009F3A3F">
      <w:pPr>
        <w:spacing w:line="360" w:lineRule="auto"/>
      </w:pPr>
    </w:p>
    <w:p w14:paraId="3A2308A0" w14:textId="39F33B95" w:rsidR="000F7C4A" w:rsidRPr="00291452" w:rsidRDefault="000F7C4A" w:rsidP="009F3A3F">
      <w:pPr>
        <w:spacing w:line="360" w:lineRule="auto"/>
        <w:rPr>
          <w:b/>
          <w:bCs/>
          <w:sz w:val="24"/>
          <w:szCs w:val="24"/>
        </w:rPr>
      </w:pPr>
      <w:r w:rsidRPr="00291452">
        <w:rPr>
          <w:b/>
          <w:bCs/>
          <w:sz w:val="24"/>
          <w:szCs w:val="24"/>
        </w:rPr>
        <w:t>Collection</w:t>
      </w:r>
      <w:r w:rsidR="00F518A9">
        <w:rPr>
          <w:b/>
          <w:bCs/>
          <w:sz w:val="24"/>
          <w:szCs w:val="24"/>
        </w:rPr>
        <w:t xml:space="preserve">, </w:t>
      </w:r>
      <w:r w:rsidRPr="00291452">
        <w:rPr>
          <w:b/>
          <w:bCs/>
          <w:sz w:val="24"/>
          <w:szCs w:val="24"/>
        </w:rPr>
        <w:t>U</w:t>
      </w:r>
      <w:r w:rsidR="00874BDE" w:rsidRPr="00291452">
        <w:rPr>
          <w:b/>
          <w:bCs/>
          <w:sz w:val="24"/>
          <w:szCs w:val="24"/>
        </w:rPr>
        <w:t>s</w:t>
      </w:r>
      <w:r w:rsidRPr="00291452">
        <w:rPr>
          <w:b/>
          <w:bCs/>
          <w:sz w:val="24"/>
          <w:szCs w:val="24"/>
        </w:rPr>
        <w:t>e</w:t>
      </w:r>
      <w:r w:rsidR="0062440C">
        <w:rPr>
          <w:b/>
          <w:bCs/>
          <w:sz w:val="24"/>
          <w:szCs w:val="24"/>
        </w:rPr>
        <w:t>,</w:t>
      </w:r>
      <w:r w:rsidR="00F518A9">
        <w:rPr>
          <w:b/>
          <w:bCs/>
          <w:sz w:val="24"/>
          <w:szCs w:val="24"/>
        </w:rPr>
        <w:t xml:space="preserve"> and Sharing Data to Protect Public Health</w:t>
      </w:r>
    </w:p>
    <w:p w14:paraId="44B38003" w14:textId="0ED9BA9B" w:rsidR="00874BDE" w:rsidRDefault="00923CC2" w:rsidP="00EF4C62">
      <w:pPr>
        <w:spacing w:line="360" w:lineRule="auto"/>
        <w:textAlignment w:val="baseline"/>
        <w:rPr>
          <w:rFonts w:eastAsia="Times New Roman" w:cstheme="minorHAnsi"/>
        </w:rPr>
      </w:pPr>
      <w:r>
        <w:rPr>
          <w:rFonts w:eastAsia="Times New Roman" w:cstheme="minorHAnsi"/>
        </w:rPr>
        <w:t>Under the</w:t>
      </w:r>
      <w:r w:rsidR="00F315BC">
        <w:rPr>
          <w:rFonts w:eastAsia="Times New Roman" w:cstheme="minorHAnsi"/>
        </w:rPr>
        <w:t xml:space="preserve"> Tenth Amendment to the</w:t>
      </w:r>
      <w:r w:rsidR="001D605F">
        <w:rPr>
          <w:rFonts w:eastAsia="Times New Roman" w:cstheme="minorHAnsi"/>
        </w:rPr>
        <w:t xml:space="preserve"> U.S. Constitution, s</w:t>
      </w:r>
      <w:r w:rsidR="003A6044" w:rsidRPr="009123A6">
        <w:rPr>
          <w:rFonts w:eastAsia="Times New Roman" w:cstheme="minorHAnsi"/>
        </w:rPr>
        <w:t>tates may exercise police powers to protect the public's health</w:t>
      </w:r>
      <w:r w:rsidR="00FD7254">
        <w:rPr>
          <w:rFonts w:eastAsia="Times New Roman" w:cstheme="minorHAnsi"/>
        </w:rPr>
        <w:t xml:space="preserve">, </w:t>
      </w:r>
      <w:r w:rsidR="003A6044" w:rsidRPr="009123A6">
        <w:rPr>
          <w:rFonts w:eastAsia="Times New Roman" w:cstheme="minorHAnsi"/>
        </w:rPr>
        <w:t>safety</w:t>
      </w:r>
      <w:r w:rsidR="00FD7254">
        <w:rPr>
          <w:rFonts w:eastAsia="Times New Roman" w:cstheme="minorHAnsi"/>
        </w:rPr>
        <w:t>, and welfare</w:t>
      </w:r>
      <w:r w:rsidR="003A6044" w:rsidRPr="009123A6">
        <w:rPr>
          <w:rFonts w:eastAsia="Times New Roman" w:cstheme="minorHAnsi"/>
        </w:rPr>
        <w:t>.</w:t>
      </w:r>
      <w:r>
        <w:rPr>
          <w:rFonts w:eastAsia="Times New Roman" w:cstheme="minorHAnsi"/>
        </w:rPr>
        <w:t xml:space="preserve"> This police power has been </w:t>
      </w:r>
      <w:r w:rsidR="00304AFF">
        <w:rPr>
          <w:rFonts w:eastAsia="Times New Roman" w:cstheme="minorHAnsi"/>
        </w:rPr>
        <w:t xml:space="preserve">used to </w:t>
      </w:r>
      <w:r>
        <w:rPr>
          <w:rFonts w:eastAsia="Times New Roman" w:cstheme="minorHAnsi"/>
        </w:rPr>
        <w:t xml:space="preserve">authorize states </w:t>
      </w:r>
      <w:r w:rsidR="00A3037A">
        <w:rPr>
          <w:rFonts w:eastAsia="Times New Roman" w:cstheme="minorHAnsi"/>
        </w:rPr>
        <w:t xml:space="preserve">to enact a variety of </w:t>
      </w:r>
      <w:r w:rsidRPr="009123A6">
        <w:rPr>
          <w:rFonts w:eastAsia="Times New Roman" w:cstheme="minorHAnsi"/>
        </w:rPr>
        <w:t xml:space="preserve">laws </w:t>
      </w:r>
      <w:r w:rsidR="00490B14">
        <w:rPr>
          <w:rFonts w:eastAsia="Times New Roman" w:cstheme="minorHAnsi"/>
        </w:rPr>
        <w:t xml:space="preserve">that support disease surveillance activities, </w:t>
      </w:r>
      <w:r w:rsidR="00B535C3">
        <w:rPr>
          <w:rFonts w:eastAsia="Times New Roman" w:cstheme="minorHAnsi"/>
        </w:rPr>
        <w:t xml:space="preserve">such as </w:t>
      </w:r>
      <w:r w:rsidR="004011F7">
        <w:rPr>
          <w:rFonts w:eastAsia="Times New Roman" w:cstheme="minorHAnsi"/>
        </w:rPr>
        <w:t xml:space="preserve">authority to </w:t>
      </w:r>
      <w:r w:rsidRPr="009123A6">
        <w:rPr>
          <w:rFonts w:eastAsia="Times New Roman" w:cstheme="minorHAnsi"/>
        </w:rPr>
        <w:t xml:space="preserve">require reporting of private health data, </w:t>
      </w:r>
      <w:r w:rsidR="009E7773">
        <w:rPr>
          <w:rFonts w:eastAsia="Times New Roman" w:cstheme="minorHAnsi"/>
        </w:rPr>
        <w:t xml:space="preserve">to </w:t>
      </w:r>
      <w:r w:rsidRPr="009123A6">
        <w:rPr>
          <w:rFonts w:eastAsia="Times New Roman" w:cstheme="minorHAnsi"/>
        </w:rPr>
        <w:t xml:space="preserve">search medical and hospital records to locate information about the source and spread of communicable disease, </w:t>
      </w:r>
      <w:r w:rsidR="009E7773">
        <w:rPr>
          <w:rFonts w:eastAsia="Times New Roman" w:cstheme="minorHAnsi"/>
        </w:rPr>
        <w:t xml:space="preserve">to </w:t>
      </w:r>
      <w:r w:rsidRPr="009123A6">
        <w:rPr>
          <w:rFonts w:eastAsia="Times New Roman" w:cstheme="minorHAnsi"/>
        </w:rPr>
        <w:t xml:space="preserve">collect and test specimens, and </w:t>
      </w:r>
      <w:r w:rsidR="009E7773">
        <w:rPr>
          <w:rFonts w:eastAsia="Times New Roman" w:cstheme="minorHAnsi"/>
        </w:rPr>
        <w:t xml:space="preserve">to </w:t>
      </w:r>
      <w:r w:rsidRPr="009123A6">
        <w:rPr>
          <w:rFonts w:eastAsia="Times New Roman" w:cstheme="minorHAnsi"/>
        </w:rPr>
        <w:t>disclose information to the extent necessary to protect the public from communicable diseases and other public health threats.</w:t>
      </w:r>
      <w:r w:rsidR="00795AF7">
        <w:rPr>
          <w:rFonts w:eastAsia="Times New Roman" w:cstheme="minorHAnsi"/>
        </w:rPr>
        <w:t xml:space="preserve"> </w:t>
      </w:r>
      <w:r w:rsidR="00800E77">
        <w:rPr>
          <w:rFonts w:eastAsia="Times New Roman" w:cstheme="minorHAnsi"/>
        </w:rPr>
        <w:t xml:space="preserve">While courts </w:t>
      </w:r>
      <w:r w:rsidR="00481BB3">
        <w:rPr>
          <w:rFonts w:eastAsia="Times New Roman" w:cstheme="minorHAnsi"/>
        </w:rPr>
        <w:t xml:space="preserve">have upheld the authority of public health agencies to </w:t>
      </w:r>
      <w:r w:rsidR="005725BB" w:rsidRPr="00D95B5F">
        <w:rPr>
          <w:rFonts w:eastAsia="Times New Roman" w:cstheme="minorHAnsi"/>
        </w:rPr>
        <w:t>protect the public and inform it of public health threats</w:t>
      </w:r>
      <w:r w:rsidR="00481BB3">
        <w:rPr>
          <w:rFonts w:eastAsia="Times New Roman" w:cstheme="minorHAnsi"/>
        </w:rPr>
        <w:t>, it m</w:t>
      </w:r>
      <w:r w:rsidR="005725BB">
        <w:rPr>
          <w:rFonts w:eastAsia="Times New Roman" w:cstheme="minorHAnsi"/>
        </w:rPr>
        <w:t>ust be balanced with the responsibility to protect the privacy of individuals</w:t>
      </w:r>
      <w:r w:rsidR="005725BB" w:rsidRPr="00D95B5F">
        <w:rPr>
          <w:rFonts w:eastAsia="Times New Roman" w:cstheme="minorHAnsi"/>
        </w:rPr>
        <w:t>.</w:t>
      </w:r>
      <w:r w:rsidR="005725BB">
        <w:rPr>
          <w:rFonts w:eastAsia="Times New Roman" w:cstheme="minorHAnsi"/>
        </w:rPr>
        <w:t xml:space="preserve"> </w:t>
      </w:r>
      <w:r w:rsidR="005725BB">
        <w:rPr>
          <w:rFonts w:eastAsia="Times New Roman" w:cstheme="minorHAnsi"/>
        </w:rPr>
        <w:lastRenderedPageBreak/>
        <w:t>Public health a</w:t>
      </w:r>
      <w:r w:rsidR="005725BB" w:rsidRPr="00D95B5F">
        <w:rPr>
          <w:rFonts w:eastAsia="Times New Roman" w:cstheme="minorHAnsi"/>
        </w:rPr>
        <w:t xml:space="preserve">gencies must </w:t>
      </w:r>
      <w:r w:rsidR="00481BB3">
        <w:rPr>
          <w:rFonts w:eastAsia="Times New Roman" w:cstheme="minorHAnsi"/>
        </w:rPr>
        <w:t>therefore u</w:t>
      </w:r>
      <w:r w:rsidR="005725BB" w:rsidRPr="00D95B5F">
        <w:rPr>
          <w:rFonts w:eastAsia="Times New Roman" w:cstheme="minorHAnsi"/>
        </w:rPr>
        <w:t>nderstand laws that define the public's right to information held by government and exemptions that might apply to protect sensitive or private information from public disclosure.</w:t>
      </w:r>
    </w:p>
    <w:p w14:paraId="40084B29" w14:textId="77777777" w:rsidR="007C1890" w:rsidRDefault="007C1890" w:rsidP="00EF4C62">
      <w:pPr>
        <w:spacing w:line="360" w:lineRule="auto"/>
        <w:textAlignment w:val="baseline"/>
      </w:pPr>
    </w:p>
    <w:p w14:paraId="0227D431" w14:textId="74663012" w:rsidR="00481BB3" w:rsidRDefault="009504E4" w:rsidP="009F3A3F">
      <w:pPr>
        <w:pStyle w:val="ListParagraph"/>
        <w:numPr>
          <w:ilvl w:val="0"/>
          <w:numId w:val="5"/>
        </w:numPr>
        <w:spacing w:line="360" w:lineRule="auto"/>
        <w:rPr>
          <w:rFonts w:eastAsia="Times New Roman" w:cstheme="minorHAnsi"/>
        </w:rPr>
      </w:pPr>
      <w:r w:rsidRPr="00EC0770">
        <w:rPr>
          <w:b/>
          <w:bCs/>
        </w:rPr>
        <w:t xml:space="preserve">Public Health </w:t>
      </w:r>
      <w:r w:rsidR="0033028B" w:rsidRPr="00EC0770">
        <w:rPr>
          <w:b/>
          <w:bCs/>
        </w:rPr>
        <w:t>Investigations</w:t>
      </w:r>
      <w:r w:rsidR="00EC0770" w:rsidRPr="00EC0770">
        <w:rPr>
          <w:b/>
          <w:bCs/>
        </w:rPr>
        <w:t>—</w:t>
      </w:r>
      <w:r w:rsidR="006F70FC" w:rsidRPr="00EC0770">
        <w:rPr>
          <w:rFonts w:eastAsia="Times New Roman" w:cstheme="minorHAnsi"/>
        </w:rPr>
        <w:t xml:space="preserve">When </w:t>
      </w:r>
      <w:r w:rsidR="00052F46" w:rsidRPr="00EC0770">
        <w:rPr>
          <w:rFonts w:eastAsia="Times New Roman" w:cstheme="minorHAnsi"/>
        </w:rPr>
        <w:t xml:space="preserve">disease </w:t>
      </w:r>
      <w:r w:rsidR="006F70FC" w:rsidRPr="00EC0770">
        <w:rPr>
          <w:rFonts w:eastAsia="Times New Roman" w:cstheme="minorHAnsi"/>
        </w:rPr>
        <w:t xml:space="preserve">surveillance systems detect cases or clusters of </w:t>
      </w:r>
      <w:r w:rsidR="00CC3820">
        <w:rPr>
          <w:rFonts w:eastAsia="Times New Roman" w:cstheme="minorHAnsi"/>
        </w:rPr>
        <w:t>un</w:t>
      </w:r>
      <w:r w:rsidR="006F70FC" w:rsidRPr="00EC0770">
        <w:rPr>
          <w:rFonts w:eastAsia="Times New Roman" w:cstheme="minorHAnsi"/>
        </w:rPr>
        <w:t xml:space="preserve">usual disease or other potential health threats, a public health investigation may be initiated. </w:t>
      </w:r>
      <w:r w:rsidR="00BD4488" w:rsidRPr="00EC0770">
        <w:rPr>
          <w:rFonts w:eastAsia="Times New Roman" w:cstheme="minorHAnsi"/>
        </w:rPr>
        <w:t>State laws provide general legal authority to public health agencies to investigate the causes of disease, illness, disability, or other conditions.</w:t>
      </w:r>
      <w:r w:rsidR="00BD5FBA" w:rsidRPr="00EC0770">
        <w:rPr>
          <w:rFonts w:eastAsia="Times New Roman" w:cstheme="minorHAnsi"/>
        </w:rPr>
        <w:t xml:space="preserve"> During an investigation, public health investigators may need to enter and search the premises of an individual or business, copy records, take biological specimens or environmental samples for testing, and remove evidence that might be relevant to the public health concern. </w:t>
      </w:r>
      <w:r w:rsidR="00E35B88" w:rsidRPr="00EC0770">
        <w:rPr>
          <w:rFonts w:eastAsia="Times New Roman" w:cstheme="minorHAnsi"/>
        </w:rPr>
        <w:t xml:space="preserve">If </w:t>
      </w:r>
      <w:r w:rsidR="00BD5FBA" w:rsidRPr="00EC0770">
        <w:rPr>
          <w:rFonts w:eastAsia="Times New Roman" w:cstheme="minorHAnsi"/>
        </w:rPr>
        <w:t>consent</w:t>
      </w:r>
      <w:r w:rsidR="00276017" w:rsidRPr="00EC0770">
        <w:rPr>
          <w:rFonts w:eastAsia="Times New Roman" w:cstheme="minorHAnsi"/>
        </w:rPr>
        <w:t xml:space="preserve"> is not given to</w:t>
      </w:r>
      <w:r w:rsidR="007F7D6F" w:rsidRPr="00EC0770">
        <w:rPr>
          <w:rFonts w:eastAsia="Times New Roman" w:cstheme="minorHAnsi"/>
        </w:rPr>
        <w:t xml:space="preserve"> take samples</w:t>
      </w:r>
      <w:r w:rsidR="00BD5FBA" w:rsidRPr="00EC0770">
        <w:rPr>
          <w:rFonts w:eastAsia="Times New Roman" w:cstheme="minorHAnsi"/>
        </w:rPr>
        <w:t xml:space="preserve">, public health officials may need to obtain an administrative warrant to search premises and obtain evidence. </w:t>
      </w:r>
    </w:p>
    <w:p w14:paraId="2FED66EB" w14:textId="77777777" w:rsidR="00481BB3" w:rsidRDefault="00481BB3" w:rsidP="00481BB3">
      <w:pPr>
        <w:pStyle w:val="ListParagraph"/>
        <w:spacing w:line="360" w:lineRule="auto"/>
        <w:ind w:left="360"/>
        <w:rPr>
          <w:rFonts w:eastAsia="Times New Roman" w:cstheme="minorHAnsi"/>
        </w:rPr>
      </w:pPr>
    </w:p>
    <w:p w14:paraId="36581244" w14:textId="16F197EB" w:rsidR="00E02A0C" w:rsidRDefault="002A3A71" w:rsidP="009F3A3F">
      <w:pPr>
        <w:pStyle w:val="ListParagraph"/>
        <w:numPr>
          <w:ilvl w:val="0"/>
          <w:numId w:val="5"/>
        </w:numPr>
        <w:spacing w:line="360" w:lineRule="auto"/>
        <w:rPr>
          <w:rFonts w:eastAsia="Times New Roman" w:cstheme="minorHAnsi"/>
        </w:rPr>
      </w:pPr>
      <w:r w:rsidRPr="005D2913">
        <w:rPr>
          <w:b/>
          <w:bCs/>
        </w:rPr>
        <w:t>Sharing Information</w:t>
      </w:r>
      <w:r w:rsidR="00481BB3" w:rsidRPr="005D2913">
        <w:rPr>
          <w:b/>
          <w:bCs/>
        </w:rPr>
        <w:t>—</w:t>
      </w:r>
      <w:r w:rsidR="004C4F18" w:rsidRPr="005D2913">
        <w:rPr>
          <w:rFonts w:eastAsia="Times New Roman" w:cstheme="minorHAnsi"/>
        </w:rPr>
        <w:t>Public health agencies must</w:t>
      </w:r>
      <w:r w:rsidR="00E63960" w:rsidRPr="005D2913">
        <w:rPr>
          <w:rFonts w:eastAsia="Times New Roman" w:cstheme="minorHAnsi"/>
        </w:rPr>
        <w:t xml:space="preserve"> also </w:t>
      </w:r>
      <w:r w:rsidR="004C4F18" w:rsidRPr="005D2913">
        <w:rPr>
          <w:rFonts w:eastAsia="Times New Roman" w:cstheme="minorHAnsi"/>
        </w:rPr>
        <w:t>decide what information, if any, to share outside the public health agency. They may face competing interests when trying to protect individual privacy, protect the public, and inform the public</w:t>
      </w:r>
      <w:r w:rsidR="00873627" w:rsidRPr="005D2913">
        <w:rPr>
          <w:rFonts w:eastAsia="Times New Roman" w:cstheme="minorHAnsi"/>
        </w:rPr>
        <w:t xml:space="preserve">. </w:t>
      </w:r>
      <w:r w:rsidR="00ED7E23" w:rsidRPr="005D2913">
        <w:rPr>
          <w:rFonts w:eastAsia="Times New Roman" w:cstheme="minorHAnsi"/>
        </w:rPr>
        <w:t xml:space="preserve">Public health agencies must often decide whether to share identifiable information with other entities in the public and private sector that have a role in protecting the public's health, safety, and welfare. </w:t>
      </w:r>
      <w:r w:rsidR="00873627" w:rsidRPr="005D2913">
        <w:rPr>
          <w:rFonts w:eastAsia="Times New Roman" w:cstheme="minorHAnsi"/>
        </w:rPr>
        <w:t>Some states have statutory language recognizing the need to share information to investigate and respond to a threat; other states may rely on their general authority to support such sharing. When identifiable information is not necessary, public health agencies might be able to avoid legal questions by simply providing de-identified information.</w:t>
      </w:r>
      <w:r w:rsidR="00283591" w:rsidRPr="005D2913">
        <w:rPr>
          <w:rFonts w:eastAsia="Times New Roman" w:cstheme="minorHAnsi"/>
        </w:rPr>
        <w:t xml:space="preserve"> </w:t>
      </w:r>
      <w:r w:rsidR="00A34432" w:rsidRPr="005D2913">
        <w:rPr>
          <w:rFonts w:eastAsia="Times New Roman" w:cstheme="minorHAnsi"/>
        </w:rPr>
        <w:t>A</w:t>
      </w:r>
      <w:r w:rsidR="00283591" w:rsidRPr="005D2913">
        <w:rPr>
          <w:rFonts w:eastAsia="Times New Roman" w:cstheme="minorHAnsi"/>
        </w:rPr>
        <w:t>gencies must also decide what information to share with the public and the media</w:t>
      </w:r>
      <w:r w:rsidR="00A34432" w:rsidRPr="005D2913">
        <w:rPr>
          <w:rFonts w:eastAsia="Times New Roman" w:cstheme="minorHAnsi"/>
        </w:rPr>
        <w:t>,</w:t>
      </w:r>
      <w:r w:rsidR="00283591" w:rsidRPr="005D2913">
        <w:rPr>
          <w:rFonts w:eastAsia="Times New Roman" w:cstheme="minorHAnsi"/>
        </w:rPr>
        <w:t xml:space="preserve"> and the timing of such disclosures</w:t>
      </w:r>
      <w:r w:rsidR="00A34432" w:rsidRPr="005D2913">
        <w:rPr>
          <w:rFonts w:eastAsia="Times New Roman" w:cstheme="minorHAnsi"/>
        </w:rPr>
        <w:t>,</w:t>
      </w:r>
      <w:r w:rsidR="0014644F" w:rsidRPr="005D2913">
        <w:rPr>
          <w:rFonts w:eastAsia="Times New Roman" w:cstheme="minorHAnsi"/>
        </w:rPr>
        <w:t xml:space="preserve"> </w:t>
      </w:r>
      <w:r w:rsidR="00D10D8D" w:rsidRPr="005D2913">
        <w:rPr>
          <w:rFonts w:eastAsia="Times New Roman" w:cstheme="minorHAnsi"/>
        </w:rPr>
        <w:t xml:space="preserve">during non-emergencies and in </w:t>
      </w:r>
      <w:r w:rsidR="0014644F" w:rsidRPr="005D2913">
        <w:rPr>
          <w:rFonts w:eastAsia="Times New Roman" w:cstheme="minorHAnsi"/>
        </w:rPr>
        <w:t>emergenc</w:t>
      </w:r>
      <w:r w:rsidR="00D10D8D" w:rsidRPr="005D2913">
        <w:rPr>
          <w:rFonts w:eastAsia="Times New Roman" w:cstheme="minorHAnsi"/>
        </w:rPr>
        <w:t>ies</w:t>
      </w:r>
      <w:r w:rsidR="00283591" w:rsidRPr="005D2913">
        <w:rPr>
          <w:rFonts w:eastAsia="Times New Roman" w:cstheme="minorHAnsi"/>
        </w:rPr>
        <w:t>, especially when information is preliminary or incomplete.</w:t>
      </w:r>
      <w:r w:rsidR="00AD4E44" w:rsidRPr="005D2913">
        <w:rPr>
          <w:rFonts w:eastAsia="Times New Roman" w:cstheme="minorHAnsi"/>
        </w:rPr>
        <w:t xml:space="preserve"> </w:t>
      </w:r>
      <w:r w:rsidR="005D2913">
        <w:rPr>
          <w:rFonts w:eastAsia="Times New Roman" w:cstheme="minorHAnsi"/>
        </w:rPr>
        <w:t>P</w:t>
      </w:r>
      <w:r w:rsidR="00283591" w:rsidRPr="005D2913">
        <w:rPr>
          <w:rFonts w:eastAsia="Times New Roman" w:cstheme="minorHAnsi"/>
        </w:rPr>
        <w:t>ublic health agencies</w:t>
      </w:r>
      <w:r w:rsidR="00FD05AB" w:rsidRPr="005D2913">
        <w:rPr>
          <w:rFonts w:eastAsia="Times New Roman" w:cstheme="minorHAnsi"/>
        </w:rPr>
        <w:t xml:space="preserve"> </w:t>
      </w:r>
      <w:r w:rsidR="00283591" w:rsidRPr="005D2913">
        <w:rPr>
          <w:rFonts w:eastAsia="Times New Roman" w:cstheme="minorHAnsi"/>
        </w:rPr>
        <w:t>must comply with Freedom of Information laws</w:t>
      </w:r>
      <w:r w:rsidR="000C61A6" w:rsidRPr="005D2913">
        <w:rPr>
          <w:rFonts w:eastAsia="Times New Roman" w:cstheme="minorHAnsi"/>
        </w:rPr>
        <w:t xml:space="preserve"> in their </w:t>
      </w:r>
      <w:r w:rsidR="00FF0ECA" w:rsidRPr="005D2913">
        <w:rPr>
          <w:rFonts w:eastAsia="Times New Roman" w:cstheme="minorHAnsi"/>
        </w:rPr>
        <w:t>jurisdictions</w:t>
      </w:r>
      <w:r w:rsidR="00D4387A">
        <w:rPr>
          <w:rFonts w:eastAsia="Times New Roman" w:cstheme="minorHAnsi"/>
        </w:rPr>
        <w:t xml:space="preserve">. </w:t>
      </w:r>
    </w:p>
    <w:p w14:paraId="7BE8301D" w14:textId="77777777" w:rsidR="00E02A0C" w:rsidRDefault="00E02A0C" w:rsidP="00E02A0C">
      <w:pPr>
        <w:pStyle w:val="ListParagraph"/>
        <w:spacing w:line="360" w:lineRule="auto"/>
        <w:ind w:left="360"/>
        <w:rPr>
          <w:rFonts w:eastAsia="Times New Roman" w:cstheme="minorHAnsi"/>
        </w:rPr>
      </w:pPr>
    </w:p>
    <w:p w14:paraId="3744FF8A" w14:textId="1EB71532" w:rsidR="00400E4D" w:rsidRPr="00E02A0C" w:rsidRDefault="00236B77" w:rsidP="00337FF7">
      <w:pPr>
        <w:pStyle w:val="ListParagraph"/>
        <w:numPr>
          <w:ilvl w:val="0"/>
          <w:numId w:val="5"/>
        </w:numPr>
        <w:spacing w:after="120" w:line="360" w:lineRule="auto"/>
        <w:contextualSpacing w:val="0"/>
        <w:rPr>
          <w:rFonts w:eastAsia="Times New Roman" w:cstheme="minorHAnsi"/>
          <w:b/>
          <w:bCs/>
        </w:rPr>
      </w:pPr>
      <w:r w:rsidRPr="00E02A0C">
        <w:rPr>
          <w:rFonts w:eastAsia="Times New Roman" w:cstheme="minorHAnsi"/>
          <w:b/>
          <w:bCs/>
        </w:rPr>
        <w:t xml:space="preserve">Federal </w:t>
      </w:r>
      <w:r w:rsidR="002874D8" w:rsidRPr="00E02A0C">
        <w:rPr>
          <w:rFonts w:eastAsia="Times New Roman" w:cstheme="minorHAnsi"/>
          <w:b/>
          <w:bCs/>
        </w:rPr>
        <w:t>Disease Surveillance and Privacy</w:t>
      </w:r>
      <w:r w:rsidR="00E02A0C" w:rsidRPr="00E02A0C">
        <w:rPr>
          <w:rFonts w:eastAsia="Times New Roman" w:cstheme="minorHAnsi"/>
          <w:b/>
          <w:bCs/>
        </w:rPr>
        <w:t>—</w:t>
      </w:r>
      <w:r w:rsidR="00F12E1E" w:rsidRPr="00E02A0C">
        <w:rPr>
          <w:rFonts w:eastAsia="Times New Roman" w:cstheme="minorHAnsi"/>
        </w:rPr>
        <w:t>Several laws authorize the federal government to establish surveillance systems and collect surveillance data provided by state and local health departments.</w:t>
      </w:r>
      <w:r w:rsidR="00B43579" w:rsidRPr="00E02A0C">
        <w:rPr>
          <w:rFonts w:eastAsia="Times New Roman" w:cstheme="minorHAnsi"/>
        </w:rPr>
        <w:t xml:space="preserve"> For example, in the </w:t>
      </w:r>
      <w:r w:rsidR="00B43579" w:rsidRPr="00866D4B">
        <w:t>Pandemic and All-Hazards Preparedness and Advancing Innovation Act of 2019</w:t>
      </w:r>
      <w:r w:rsidR="00B43579">
        <w:rPr>
          <w:rStyle w:val="FootnoteReference"/>
          <w:rFonts w:eastAsia="Times New Roman" w:cstheme="minorHAnsi"/>
        </w:rPr>
        <w:footnoteReference w:id="1"/>
      </w:r>
      <w:r w:rsidR="00F44B7D">
        <w:t xml:space="preserve"> renewed federal programs to</w:t>
      </w:r>
      <w:r w:rsidR="001A6FEC" w:rsidRPr="001A6FEC">
        <w:t xml:space="preserve"> improve public health surveillance and </w:t>
      </w:r>
      <w:r w:rsidR="001A6FEC" w:rsidRPr="001A6FEC">
        <w:lastRenderedPageBreak/>
        <w:t>reporting at the state and local level and to integrate federal, state, and local systems</w:t>
      </w:r>
      <w:r w:rsidR="001A6FEC">
        <w:t>.</w:t>
      </w:r>
      <w:r w:rsidR="004108D3">
        <w:t xml:space="preserve"> </w:t>
      </w:r>
      <w:r w:rsidR="0016012B">
        <w:t>G</w:t>
      </w:r>
      <w:r w:rsidR="004108D3" w:rsidRPr="00E02A0C">
        <w:rPr>
          <w:rFonts w:eastAsia="Times New Roman" w:cstheme="minorHAnsi"/>
        </w:rPr>
        <w:t>enerally</w:t>
      </w:r>
      <w:r w:rsidR="0016012B" w:rsidRPr="00E02A0C">
        <w:rPr>
          <w:rFonts w:eastAsia="Times New Roman" w:cstheme="minorHAnsi"/>
        </w:rPr>
        <w:t xml:space="preserve">, STLT </w:t>
      </w:r>
      <w:r w:rsidR="004108D3" w:rsidRPr="00E02A0C">
        <w:rPr>
          <w:rFonts w:eastAsia="Times New Roman" w:cstheme="minorHAnsi"/>
        </w:rPr>
        <w:t xml:space="preserve">reporting is voluntary and information is provided consistent with a </w:t>
      </w:r>
      <w:r w:rsidR="00696CD7" w:rsidRPr="00E02A0C">
        <w:rPr>
          <w:rFonts w:eastAsia="Times New Roman" w:cstheme="minorHAnsi"/>
        </w:rPr>
        <w:t>jurisdiction’s</w:t>
      </w:r>
      <w:r w:rsidR="004108D3" w:rsidRPr="00E02A0C">
        <w:rPr>
          <w:rFonts w:eastAsia="Times New Roman" w:cstheme="minorHAnsi"/>
        </w:rPr>
        <w:t xml:space="preserve"> law. </w:t>
      </w:r>
      <w:r w:rsidR="00BD6537" w:rsidRPr="00E02A0C">
        <w:rPr>
          <w:rFonts w:eastAsia="Times New Roman" w:cstheme="minorHAnsi"/>
        </w:rPr>
        <w:t xml:space="preserve">The federal government may </w:t>
      </w:r>
      <w:r w:rsidR="000B3A1B" w:rsidRPr="00E02A0C">
        <w:rPr>
          <w:rFonts w:eastAsia="Times New Roman" w:cstheme="minorHAnsi"/>
        </w:rPr>
        <w:t xml:space="preserve">fund </w:t>
      </w:r>
      <w:r w:rsidR="004108D3" w:rsidRPr="00E02A0C">
        <w:rPr>
          <w:rFonts w:eastAsia="Times New Roman" w:cstheme="minorHAnsi"/>
        </w:rPr>
        <w:t>state and local governments to improve public health surveillance or engage in other activities to protect the public</w:t>
      </w:r>
      <w:r w:rsidR="00E02A0C">
        <w:rPr>
          <w:rFonts w:eastAsia="Times New Roman" w:cstheme="minorHAnsi"/>
        </w:rPr>
        <w:t xml:space="preserve">. </w:t>
      </w:r>
      <w:r w:rsidR="00972AC4" w:rsidRPr="00E02A0C">
        <w:rPr>
          <w:rFonts w:eastAsia="Times New Roman" w:cstheme="minorHAnsi"/>
        </w:rPr>
        <w:t xml:space="preserve">Federal laws may </w:t>
      </w:r>
      <w:r w:rsidR="00E02A0C">
        <w:rPr>
          <w:rFonts w:eastAsia="Times New Roman" w:cstheme="minorHAnsi"/>
        </w:rPr>
        <w:t xml:space="preserve">also </w:t>
      </w:r>
      <w:r w:rsidR="00972AC4" w:rsidRPr="00E02A0C">
        <w:rPr>
          <w:rFonts w:eastAsia="Times New Roman" w:cstheme="minorHAnsi"/>
        </w:rPr>
        <w:t>require that federal, state, and local agencies keep information confidential</w:t>
      </w:r>
      <w:r w:rsidR="00596B8A" w:rsidRPr="00E02A0C">
        <w:rPr>
          <w:rFonts w:eastAsia="Times New Roman" w:cstheme="minorHAnsi"/>
        </w:rPr>
        <w:t xml:space="preserve"> (e.g., location of vaccine and </w:t>
      </w:r>
      <w:r w:rsidR="0095706F" w:rsidRPr="00E02A0C">
        <w:rPr>
          <w:rFonts w:eastAsia="Times New Roman" w:cstheme="minorHAnsi"/>
        </w:rPr>
        <w:t>medical supply stockpiles)</w:t>
      </w:r>
      <w:r w:rsidR="00972AC4" w:rsidRPr="00E02A0C">
        <w:rPr>
          <w:rFonts w:eastAsia="Times New Roman" w:cstheme="minorHAnsi"/>
        </w:rPr>
        <w:t>.</w:t>
      </w:r>
      <w:r w:rsidR="00972AC4">
        <w:rPr>
          <w:rStyle w:val="FootnoteReference"/>
          <w:rFonts w:eastAsia="Times New Roman" w:cstheme="minorHAnsi"/>
        </w:rPr>
        <w:footnoteReference w:id="2"/>
      </w:r>
      <w:r w:rsidR="00972AC4" w:rsidRPr="00E02A0C">
        <w:rPr>
          <w:rFonts w:eastAsia="Times New Roman" w:cstheme="minorHAnsi"/>
          <w:bdr w:val="none" w:sz="0" w:space="0" w:color="auto" w:frame="1"/>
        </w:rPr>
        <w:t xml:space="preserve"> </w:t>
      </w:r>
      <w:r w:rsidR="00A94B6F" w:rsidRPr="00E02A0C">
        <w:rPr>
          <w:rFonts w:eastAsia="Times New Roman" w:cstheme="minorHAnsi"/>
          <w:bdr w:val="none" w:sz="0" w:space="0" w:color="auto" w:frame="1"/>
        </w:rPr>
        <w:t xml:space="preserve">Two </w:t>
      </w:r>
      <w:r w:rsidR="003110A2">
        <w:rPr>
          <w:rFonts w:eastAsia="Times New Roman" w:cstheme="minorHAnsi"/>
          <w:bdr w:val="none" w:sz="0" w:space="0" w:color="auto" w:frame="1"/>
        </w:rPr>
        <w:t xml:space="preserve">other </w:t>
      </w:r>
      <w:r w:rsidR="00A94B6F" w:rsidRPr="00E02A0C">
        <w:rPr>
          <w:rFonts w:eastAsia="Times New Roman" w:cstheme="minorHAnsi"/>
          <w:bdr w:val="none" w:sz="0" w:space="0" w:color="auto" w:frame="1"/>
        </w:rPr>
        <w:t>notable federal laws</w:t>
      </w:r>
      <w:r w:rsidR="00400E4D" w:rsidRPr="00E02A0C">
        <w:rPr>
          <w:rFonts w:eastAsia="Times New Roman" w:cstheme="minorHAnsi"/>
        </w:rPr>
        <w:t xml:space="preserve"> also impact public health agencies' collection, use, sharing, and protection of personal and health information</w:t>
      </w:r>
      <w:r w:rsidR="00585FF7" w:rsidRPr="00E02A0C">
        <w:rPr>
          <w:rFonts w:eastAsia="Times New Roman" w:cstheme="minorHAnsi"/>
        </w:rPr>
        <w:t>:</w:t>
      </w:r>
    </w:p>
    <w:p w14:paraId="62AC1C3E" w14:textId="33338256" w:rsidR="00F12E1E" w:rsidRPr="006266E5" w:rsidRDefault="0077680E" w:rsidP="006266E5">
      <w:pPr>
        <w:pStyle w:val="ListParagraph"/>
        <w:numPr>
          <w:ilvl w:val="0"/>
          <w:numId w:val="4"/>
        </w:numPr>
        <w:spacing w:after="120" w:line="360" w:lineRule="auto"/>
        <w:contextualSpacing w:val="0"/>
        <w:rPr>
          <w:rFonts w:eastAsia="Times New Roman" w:cstheme="minorHAnsi"/>
        </w:rPr>
      </w:pPr>
      <w:r w:rsidRPr="00EE1E6B">
        <w:rPr>
          <w:rFonts w:eastAsia="Times New Roman" w:cstheme="minorHAnsi"/>
          <w:b/>
          <w:bCs/>
        </w:rPr>
        <w:t>Health Insurance Portability and Accountability Act (HIPAA)</w:t>
      </w:r>
      <w:r w:rsidRPr="00C13DCB">
        <w:rPr>
          <w:vertAlign w:val="superscript"/>
        </w:rPr>
        <w:footnoteReference w:id="3"/>
      </w:r>
      <w:r w:rsidR="008B623B" w:rsidRPr="00EE1E6B">
        <w:rPr>
          <w:rFonts w:eastAsia="Times New Roman" w:cstheme="minorHAnsi"/>
          <w:b/>
          <w:bCs/>
        </w:rPr>
        <w:t xml:space="preserve"> – </w:t>
      </w:r>
      <w:r w:rsidR="00C7340E" w:rsidRPr="00EE1E6B">
        <w:rPr>
          <w:rFonts w:eastAsia="Times New Roman" w:cstheme="minorHAnsi"/>
          <w:b/>
          <w:bCs/>
        </w:rPr>
        <w:t>Privacy Rule</w:t>
      </w:r>
      <w:r w:rsidR="00C7340E" w:rsidRPr="00C13DCB">
        <w:rPr>
          <w:vertAlign w:val="superscript"/>
        </w:rPr>
        <w:footnoteReference w:id="4"/>
      </w:r>
      <w:r w:rsidR="00EE1E6B">
        <w:rPr>
          <w:rFonts w:eastAsia="Times New Roman" w:cstheme="minorHAnsi"/>
        </w:rPr>
        <w:t xml:space="preserve"> </w:t>
      </w:r>
      <w:r w:rsidR="006266E5">
        <w:rPr>
          <w:rFonts w:eastAsia="Times New Roman" w:cstheme="minorHAnsi"/>
        </w:rPr>
        <w:t>—</w:t>
      </w:r>
      <w:r w:rsidR="00C7340E" w:rsidRPr="006266E5">
        <w:rPr>
          <w:rFonts w:eastAsia="Times New Roman" w:cstheme="minorHAnsi"/>
        </w:rPr>
        <w:t xml:space="preserve"> </w:t>
      </w:r>
      <w:r w:rsidR="008B623B" w:rsidRPr="006266E5">
        <w:rPr>
          <w:rFonts w:eastAsia="Times New Roman" w:cstheme="minorHAnsi"/>
        </w:rPr>
        <w:t>E</w:t>
      </w:r>
      <w:r w:rsidR="00C7340E" w:rsidRPr="006266E5">
        <w:rPr>
          <w:rFonts w:eastAsia="Times New Roman" w:cstheme="minorHAnsi"/>
        </w:rPr>
        <w:t xml:space="preserve">stablished national privacy protections for </w:t>
      </w:r>
      <w:r w:rsidR="00CE2CA0">
        <w:rPr>
          <w:rFonts w:eastAsia="Times New Roman" w:cstheme="minorHAnsi"/>
        </w:rPr>
        <w:t xml:space="preserve">protected </w:t>
      </w:r>
      <w:r w:rsidR="00C7340E" w:rsidRPr="006266E5">
        <w:rPr>
          <w:rFonts w:eastAsia="Times New Roman" w:cstheme="minorHAnsi"/>
        </w:rPr>
        <w:t>health information</w:t>
      </w:r>
      <w:r w:rsidR="00CE2CA0">
        <w:rPr>
          <w:rFonts w:eastAsia="Times New Roman" w:cstheme="minorHAnsi"/>
        </w:rPr>
        <w:t xml:space="preserve"> (PHI)</w:t>
      </w:r>
      <w:r w:rsidR="00C7340E" w:rsidRPr="006266E5">
        <w:rPr>
          <w:rFonts w:eastAsia="Times New Roman" w:cstheme="minorHAnsi"/>
        </w:rPr>
        <w:t xml:space="preserve">. Depending on a public health agency's organization, the Privacy Rule may apply to a public health agency when it discloses individually identifiable information. The Privacy Rule is not intended to interfere with public health functions and contains provisions that allow public health agencies to collect identifiable health information and disclose it, including to law enforcement, when authorized by law or when necessary to protect the public from an imminent threat. </w:t>
      </w:r>
    </w:p>
    <w:p w14:paraId="6FF61462" w14:textId="4BFCAE46" w:rsidR="00104716" w:rsidRPr="00104716" w:rsidRDefault="00EE1E6B" w:rsidP="007303EF">
      <w:pPr>
        <w:pStyle w:val="ListParagraph"/>
        <w:numPr>
          <w:ilvl w:val="0"/>
          <w:numId w:val="4"/>
        </w:numPr>
        <w:spacing w:line="360" w:lineRule="auto"/>
        <w:rPr>
          <w:rFonts w:eastAsia="Times New Roman" w:cstheme="minorHAnsi"/>
        </w:rPr>
      </w:pPr>
      <w:r w:rsidRPr="00C13DCB">
        <w:rPr>
          <w:rFonts w:eastAsia="Times New Roman" w:cstheme="minorHAnsi"/>
          <w:b/>
          <w:bCs/>
        </w:rPr>
        <w:t>Family Educational Rights and Privacy Act (FERPA)</w:t>
      </w:r>
      <w:r w:rsidRPr="00C13DCB">
        <w:rPr>
          <w:rFonts w:eastAsia="Times New Roman" w:cstheme="minorHAnsi"/>
          <w:vertAlign w:val="superscript"/>
        </w:rPr>
        <w:footnoteReference w:id="5"/>
      </w:r>
      <w:r w:rsidR="00C13DCB">
        <w:rPr>
          <w:rFonts w:eastAsia="Times New Roman" w:cstheme="minorHAnsi"/>
        </w:rPr>
        <w:t xml:space="preserve"> – </w:t>
      </w:r>
      <w:r w:rsidR="004F4863" w:rsidRPr="004F4863">
        <w:rPr>
          <w:rFonts w:eastAsia="Times New Roman" w:cstheme="minorHAnsi"/>
        </w:rPr>
        <w:t xml:space="preserve">Privacy protections established by FERPA limit information that schools may provide to public health agencies about students. However, exceptions allow schools to provide certain directory information, such as student name and contact information, and </w:t>
      </w:r>
      <w:r w:rsidR="009D07A3">
        <w:rPr>
          <w:rFonts w:eastAsia="Times New Roman" w:cstheme="minorHAnsi"/>
        </w:rPr>
        <w:t xml:space="preserve">other </w:t>
      </w:r>
      <w:r w:rsidR="004F4863" w:rsidRPr="004F4863">
        <w:rPr>
          <w:rFonts w:eastAsia="Times New Roman" w:cstheme="minorHAnsi"/>
        </w:rPr>
        <w:t>necessary information to appropriate officials in cases of health and safety emergencies.</w:t>
      </w:r>
      <w:r w:rsidR="004F4863" w:rsidRPr="004F4863">
        <w:rPr>
          <w:rFonts w:eastAsia="Times New Roman" w:cstheme="minorHAnsi"/>
          <w:vertAlign w:val="superscript"/>
        </w:rPr>
        <w:footnoteReference w:id="6"/>
      </w:r>
    </w:p>
    <w:p w14:paraId="70A124DF" w14:textId="77777777" w:rsidR="00600C93" w:rsidRDefault="00600C93" w:rsidP="009F3A3F">
      <w:pPr>
        <w:spacing w:line="360" w:lineRule="auto"/>
      </w:pPr>
    </w:p>
    <w:p w14:paraId="014B5C33" w14:textId="7116C460" w:rsidR="000C2995" w:rsidRPr="00291452" w:rsidRDefault="000C2995" w:rsidP="000C2995">
      <w:pPr>
        <w:spacing w:line="360" w:lineRule="auto"/>
        <w:rPr>
          <w:b/>
          <w:bCs/>
          <w:sz w:val="24"/>
          <w:szCs w:val="24"/>
        </w:rPr>
      </w:pPr>
      <w:r>
        <w:rPr>
          <w:b/>
          <w:bCs/>
          <w:sz w:val="24"/>
          <w:szCs w:val="24"/>
        </w:rPr>
        <w:t>Public Health Information Sharing with Law Enforcement</w:t>
      </w:r>
    </w:p>
    <w:p w14:paraId="605BF47A" w14:textId="35A6EFC5" w:rsidR="00AC3FF8" w:rsidRDefault="00467F2F" w:rsidP="00CD3D8B">
      <w:pPr>
        <w:spacing w:line="360" w:lineRule="auto"/>
        <w:rPr>
          <w:rFonts w:ascii="Calibri" w:eastAsia="Times New Roman" w:hAnsi="Calibri" w:cs="Calibri"/>
        </w:rPr>
      </w:pPr>
      <w:r>
        <w:rPr>
          <w:rFonts w:ascii="Calibri" w:eastAsia="Times New Roman" w:hAnsi="Calibri" w:cs="Calibri"/>
        </w:rPr>
        <w:t xml:space="preserve">Public health and law enforcement have different roles: </w:t>
      </w:r>
      <w:r w:rsidR="00AC3FF8" w:rsidRPr="0006474F">
        <w:rPr>
          <w:rFonts w:ascii="Calibri" w:eastAsia="Times New Roman" w:hAnsi="Calibri" w:cs="Calibri"/>
        </w:rPr>
        <w:t>Public health is responsible for protecting and promoting the health of communities through prevention, policy development, and population health surveillance. Law enforcement is responsible for identifying and apprehending people who have committed crimes or pose a threat to others.</w:t>
      </w:r>
      <w:r w:rsidR="0019111A">
        <w:rPr>
          <w:rFonts w:ascii="Calibri" w:eastAsia="Times New Roman" w:hAnsi="Calibri" w:cs="Calibri"/>
        </w:rPr>
        <w:t xml:space="preserve"> </w:t>
      </w:r>
      <w:r w:rsidR="00CD3D8B">
        <w:rPr>
          <w:rFonts w:ascii="Calibri" w:eastAsia="Times New Roman" w:hAnsi="Calibri" w:cs="Calibri"/>
        </w:rPr>
        <w:t>However, p</w:t>
      </w:r>
      <w:r w:rsidR="00C43FFB" w:rsidRPr="006C2493">
        <w:rPr>
          <w:rFonts w:ascii="Calibri" w:eastAsia="Times New Roman" w:hAnsi="Calibri" w:cs="Calibri"/>
        </w:rPr>
        <w:t xml:space="preserve">ublic health agencies and law enforcement share responsibility for protecting the public and promoting its welfare. Their cooperation and </w:t>
      </w:r>
      <w:r w:rsidR="00C43FFB" w:rsidRPr="006C2493">
        <w:rPr>
          <w:rFonts w:ascii="Calibri" w:eastAsia="Times New Roman" w:hAnsi="Calibri" w:cs="Calibri"/>
        </w:rPr>
        <w:lastRenderedPageBreak/>
        <w:t xml:space="preserve">collaboration are crucial to all </w:t>
      </w:r>
      <w:r w:rsidR="00C43FFB">
        <w:rPr>
          <w:rFonts w:ascii="Calibri" w:eastAsia="Times New Roman" w:hAnsi="Calibri" w:cs="Calibri"/>
        </w:rPr>
        <w:t xml:space="preserve">aspects </w:t>
      </w:r>
      <w:r w:rsidR="00C43FFB" w:rsidRPr="006C2493">
        <w:rPr>
          <w:rFonts w:ascii="Calibri" w:eastAsia="Times New Roman" w:hAnsi="Calibri" w:cs="Calibri"/>
        </w:rPr>
        <w:t>of emergency management: preparedness, mitigation, response, and recovery. Whether a public health emergency is caused by natural, accidental, or intentional means, data about the emergency and its impacts are crucial for both public health and law enforcement to carry out their respective functions.</w:t>
      </w:r>
      <w:r w:rsidR="00B21583">
        <w:rPr>
          <w:rFonts w:ascii="Calibri" w:eastAsia="Times New Roman" w:hAnsi="Calibri" w:cs="Calibri"/>
        </w:rPr>
        <w:t xml:space="preserve"> </w:t>
      </w:r>
      <w:r w:rsidR="00B21583" w:rsidRPr="006C2493">
        <w:rPr>
          <w:rFonts w:ascii="Calibri" w:eastAsia="Times New Roman" w:hAnsi="Calibri" w:cs="Calibri"/>
        </w:rPr>
        <w:t xml:space="preserve">Public health officials must understand their legal authority and limitations in providing information to law enforcement. </w:t>
      </w:r>
      <w:r w:rsidR="00936865" w:rsidRPr="006C2493">
        <w:rPr>
          <w:rFonts w:ascii="Calibri" w:eastAsia="Times New Roman" w:hAnsi="Calibri" w:cs="Calibri"/>
        </w:rPr>
        <w:t>Public</w:t>
      </w:r>
      <w:r w:rsidR="00B21583" w:rsidRPr="006C2493">
        <w:rPr>
          <w:rFonts w:ascii="Calibri" w:eastAsia="Times New Roman" w:hAnsi="Calibri" w:cs="Calibri"/>
        </w:rPr>
        <w:t xml:space="preserve"> health agencies are subject to laws that provide for confidentiality of individually identifiable information</w:t>
      </w:r>
      <w:r w:rsidR="00B21583">
        <w:rPr>
          <w:rFonts w:ascii="Calibri" w:eastAsia="Times New Roman" w:hAnsi="Calibri" w:cs="Calibri"/>
        </w:rPr>
        <w:t>.</w:t>
      </w:r>
      <w:r w:rsidR="00AC3FF8">
        <w:rPr>
          <w:rFonts w:ascii="Calibri" w:eastAsia="Times New Roman" w:hAnsi="Calibri" w:cs="Calibri"/>
        </w:rPr>
        <w:t xml:space="preserve"> </w:t>
      </w:r>
      <w:r w:rsidR="00936865">
        <w:rPr>
          <w:rFonts w:ascii="Calibri" w:eastAsia="Times New Roman" w:hAnsi="Calibri" w:cs="Calibri"/>
        </w:rPr>
        <w:t>F</w:t>
      </w:r>
      <w:r w:rsidR="00AC3FF8" w:rsidRPr="00D96E95">
        <w:rPr>
          <w:rFonts w:ascii="Calibri" w:eastAsia="Times New Roman" w:hAnsi="Calibri" w:cs="Calibri"/>
        </w:rPr>
        <w:t>or some purposes, public health agencies may need to provide identifiable personal, epidemiological, or medical information about patients or other members of the public to enable law enforcement staff to do their job and protect themselves from potentially harmful exposure or carrying contaminants from a scene.</w:t>
      </w:r>
    </w:p>
    <w:p w14:paraId="226CA1C9" w14:textId="77777777" w:rsidR="001541C8" w:rsidRDefault="001541C8" w:rsidP="00CD3D8B">
      <w:pPr>
        <w:spacing w:line="360" w:lineRule="auto"/>
        <w:rPr>
          <w:rFonts w:ascii="Calibri" w:eastAsia="Times New Roman" w:hAnsi="Calibri" w:cs="Calibri"/>
        </w:rPr>
      </w:pPr>
    </w:p>
    <w:p w14:paraId="1A825A85" w14:textId="13284689" w:rsidR="00451E74" w:rsidRDefault="00B8108F" w:rsidP="0059604C">
      <w:pPr>
        <w:pStyle w:val="ListParagraph"/>
        <w:numPr>
          <w:ilvl w:val="0"/>
          <w:numId w:val="6"/>
        </w:numPr>
        <w:spacing w:line="360" w:lineRule="auto"/>
        <w:textAlignment w:val="baseline"/>
        <w:rPr>
          <w:rFonts w:ascii="Calibri" w:eastAsia="Times New Roman" w:hAnsi="Calibri" w:cs="Calibri"/>
        </w:rPr>
      </w:pPr>
      <w:r w:rsidRPr="007416A2">
        <w:rPr>
          <w:rFonts w:ascii="Calibri" w:eastAsia="Times New Roman" w:hAnsi="Calibri" w:cs="Calibri"/>
          <w:b/>
          <w:bCs/>
        </w:rPr>
        <w:t>Joint Investigations</w:t>
      </w:r>
      <w:r w:rsidR="001541C8" w:rsidRPr="007416A2">
        <w:rPr>
          <w:rFonts w:ascii="Calibri" w:eastAsia="Times New Roman" w:hAnsi="Calibri" w:cs="Calibri"/>
          <w:b/>
          <w:bCs/>
        </w:rPr>
        <w:t>—</w:t>
      </w:r>
      <w:r w:rsidR="0007257B" w:rsidRPr="007416A2">
        <w:rPr>
          <w:rFonts w:ascii="Calibri" w:eastAsia="Times New Roman" w:hAnsi="Calibri" w:cs="Calibri"/>
        </w:rPr>
        <w:t xml:space="preserve">Public health agencies and law enforcement may share information and conduct joint investigations </w:t>
      </w:r>
      <w:r w:rsidR="002074BD" w:rsidRPr="007416A2">
        <w:rPr>
          <w:rFonts w:ascii="Calibri" w:eastAsia="Times New Roman" w:hAnsi="Calibri" w:cs="Calibri"/>
        </w:rPr>
        <w:t>that</w:t>
      </w:r>
      <w:r w:rsidR="00CB588F" w:rsidRPr="007416A2">
        <w:rPr>
          <w:rFonts w:ascii="Calibri" w:eastAsia="Times New Roman" w:hAnsi="Calibri" w:cs="Calibri"/>
        </w:rPr>
        <w:t xml:space="preserve"> may benefit both public health and law enforcement as they carry out their respective roles in protecting the public. Law enforcement may benefit from assistance and information from disease investigation experts. Law enforcement's information may help public health to prevent further spread of a disease or decrease the impact of future threats. </w:t>
      </w:r>
      <w:r w:rsidR="00495A98" w:rsidRPr="007416A2">
        <w:rPr>
          <w:rFonts w:ascii="Calibri" w:eastAsia="Times New Roman" w:hAnsi="Calibri" w:cs="Calibri"/>
        </w:rPr>
        <w:t xml:space="preserve">Taking advantage of both law enforcement and public health perspectives, joint investigations may be more thorough and cover issues that may have been overlooked during separate investigations. </w:t>
      </w:r>
      <w:r w:rsidR="00BB76DA" w:rsidRPr="007416A2">
        <w:rPr>
          <w:rFonts w:ascii="Calibri" w:eastAsia="Times New Roman" w:hAnsi="Calibri" w:cs="Calibri"/>
        </w:rPr>
        <w:t>While valuable, joint public health and criminal investigations also present risks and challenges. Community trust is essential to carry out public health's mission. Underserved communities that are traditionally in greatest need of public health services may be suspicious of collaboration between public health and law enforcement.</w:t>
      </w:r>
      <w:r w:rsidR="00BB76DA" w:rsidRPr="007416A2">
        <w:rPr>
          <w:rFonts w:ascii="Calibri" w:eastAsia="Times New Roman" w:hAnsi="Calibri" w:cs="Calibri"/>
          <w:bdr w:val="none" w:sz="0" w:space="0" w:color="auto" w:frame="1"/>
        </w:rPr>
        <w:t xml:space="preserve"> </w:t>
      </w:r>
      <w:r w:rsidR="00BB76DA" w:rsidRPr="007416A2">
        <w:rPr>
          <w:rFonts w:ascii="Calibri" w:eastAsia="Times New Roman" w:hAnsi="Calibri" w:cs="Calibri"/>
        </w:rPr>
        <w:t xml:space="preserve">Issues may also arise due to tensions between public health's interest in protecting the population's health and law enforcement's interest in collecting evidence that will be admissible in criminal investigations. </w:t>
      </w:r>
      <w:r w:rsidR="00253510" w:rsidRPr="007416A2">
        <w:rPr>
          <w:rFonts w:ascii="Calibri" w:eastAsia="Times New Roman" w:hAnsi="Calibri" w:cs="Calibri"/>
        </w:rPr>
        <w:t xml:space="preserve">Joint investigations also raise </w:t>
      </w:r>
      <w:r w:rsidR="007416A2">
        <w:rPr>
          <w:rFonts w:ascii="Calibri" w:eastAsia="Times New Roman" w:hAnsi="Calibri" w:cs="Calibri"/>
        </w:rPr>
        <w:t xml:space="preserve">potential </w:t>
      </w:r>
      <w:r w:rsidR="00253510" w:rsidRPr="007416A2">
        <w:rPr>
          <w:rFonts w:ascii="Calibri" w:eastAsia="Times New Roman" w:hAnsi="Calibri" w:cs="Calibri"/>
        </w:rPr>
        <w:t xml:space="preserve">legal challenges, because legal constraints for public health and criminal investigations differ. </w:t>
      </w:r>
      <w:r w:rsidR="005B11CC">
        <w:rPr>
          <w:rFonts w:ascii="Calibri" w:eastAsia="Times New Roman" w:hAnsi="Calibri" w:cs="Calibri"/>
        </w:rPr>
        <w:t xml:space="preserve">Courts have </w:t>
      </w:r>
      <w:r w:rsidR="00253510" w:rsidRPr="007416A2">
        <w:rPr>
          <w:rFonts w:ascii="Calibri" w:eastAsia="Times New Roman" w:hAnsi="Calibri" w:cs="Calibri"/>
        </w:rPr>
        <w:t>steadfastly upheld the broad powers of the state to protect its citizens from threats to public health</w:t>
      </w:r>
      <w:r w:rsidR="005B11CC">
        <w:rPr>
          <w:rFonts w:ascii="Calibri" w:eastAsia="Times New Roman" w:hAnsi="Calibri" w:cs="Calibri"/>
        </w:rPr>
        <w:t>, while</w:t>
      </w:r>
      <w:r w:rsidR="0059604C" w:rsidRPr="007416A2">
        <w:rPr>
          <w:rFonts w:ascii="Calibri" w:eastAsia="Times New Roman" w:hAnsi="Calibri" w:cs="Calibri"/>
        </w:rPr>
        <w:t xml:space="preserve"> law enforcement is subject to </w:t>
      </w:r>
      <w:r w:rsidR="005B11CC">
        <w:rPr>
          <w:rFonts w:ascii="Calibri" w:eastAsia="Times New Roman" w:hAnsi="Calibri" w:cs="Calibri"/>
        </w:rPr>
        <w:t>C</w:t>
      </w:r>
      <w:r w:rsidR="0059604C" w:rsidRPr="007416A2">
        <w:rPr>
          <w:rFonts w:ascii="Calibri" w:eastAsia="Times New Roman" w:hAnsi="Calibri" w:cs="Calibri"/>
        </w:rPr>
        <w:t>onstitutional constraints that limit the state's powers to prosecute and punish individuals for crimes.</w:t>
      </w:r>
      <w:r w:rsidR="005B11CC">
        <w:rPr>
          <w:rFonts w:ascii="Calibri" w:eastAsia="Times New Roman" w:hAnsi="Calibri" w:cs="Calibri"/>
        </w:rPr>
        <w:t xml:space="preserve"> </w:t>
      </w:r>
    </w:p>
    <w:p w14:paraId="2329E9FE" w14:textId="77777777" w:rsidR="006D2B39" w:rsidRDefault="006D2B39" w:rsidP="006D2B39">
      <w:pPr>
        <w:pStyle w:val="ListParagraph"/>
        <w:spacing w:line="360" w:lineRule="auto"/>
        <w:ind w:left="360"/>
        <w:textAlignment w:val="baseline"/>
        <w:rPr>
          <w:rFonts w:ascii="Calibri" w:eastAsia="Times New Roman" w:hAnsi="Calibri" w:cs="Calibri"/>
        </w:rPr>
      </w:pPr>
    </w:p>
    <w:p w14:paraId="1BF57D44" w14:textId="0569FDA6" w:rsidR="007911EE" w:rsidRPr="00CE2CA0" w:rsidRDefault="006F5987" w:rsidP="00CE2CA0">
      <w:pPr>
        <w:pStyle w:val="ListParagraph"/>
        <w:numPr>
          <w:ilvl w:val="0"/>
          <w:numId w:val="6"/>
        </w:numPr>
        <w:spacing w:line="360" w:lineRule="auto"/>
        <w:textAlignment w:val="baseline"/>
        <w:rPr>
          <w:rFonts w:ascii="Calibri" w:eastAsia="Times New Roman" w:hAnsi="Calibri" w:cs="Calibri"/>
          <w:b/>
          <w:bCs/>
        </w:rPr>
      </w:pPr>
      <w:r w:rsidRPr="006D2B39">
        <w:rPr>
          <w:rFonts w:ascii="Calibri" w:eastAsia="Times New Roman" w:hAnsi="Calibri" w:cs="Calibri"/>
          <w:b/>
          <w:bCs/>
        </w:rPr>
        <w:t>Laws Governing Sharing and Privacy</w:t>
      </w:r>
      <w:r w:rsidR="006D2B39" w:rsidRPr="006D2B39">
        <w:rPr>
          <w:rFonts w:ascii="Calibri" w:eastAsia="Times New Roman" w:hAnsi="Calibri" w:cs="Calibri"/>
          <w:b/>
          <w:bCs/>
        </w:rPr>
        <w:t>—</w:t>
      </w:r>
      <w:r w:rsidR="003D21C3" w:rsidRPr="006D2B39">
        <w:rPr>
          <w:rFonts w:ascii="Calibri" w:eastAsia="Times New Roman" w:hAnsi="Calibri" w:cs="Calibri"/>
        </w:rPr>
        <w:t xml:space="preserve">Public health agencies may be compelled to provide identifiable information to law enforcement, for example, by an FBI administrative order issued </w:t>
      </w:r>
      <w:r w:rsidR="003D21C3" w:rsidRPr="006D2B39">
        <w:rPr>
          <w:rFonts w:ascii="Calibri" w:eastAsia="Times New Roman" w:hAnsi="Calibri" w:cs="Calibri"/>
        </w:rPr>
        <w:lastRenderedPageBreak/>
        <w:t>under the Patriot Act,</w:t>
      </w:r>
      <w:r w:rsidR="003D21C3" w:rsidRPr="003D21C3">
        <w:rPr>
          <w:rFonts w:ascii="Calibri" w:eastAsia="Times New Roman" w:hAnsi="Calibri" w:cs="Calibri"/>
          <w:vertAlign w:val="superscript"/>
        </w:rPr>
        <w:footnoteReference w:id="7"/>
      </w:r>
      <w:r w:rsidR="003D21C3" w:rsidRPr="006D2B39">
        <w:rPr>
          <w:rFonts w:ascii="Calibri" w:eastAsia="Times New Roman" w:hAnsi="Calibri" w:cs="Calibri"/>
          <w:bdr w:val="none" w:sz="0" w:space="0" w:color="auto" w:frame="1"/>
        </w:rPr>
        <w:t xml:space="preserve"> </w:t>
      </w:r>
      <w:r w:rsidR="003D21C3" w:rsidRPr="006D2B39">
        <w:rPr>
          <w:rFonts w:ascii="Calibri" w:eastAsia="Times New Roman" w:hAnsi="Calibri" w:cs="Calibri"/>
        </w:rPr>
        <w:t>federal subpoena, or other legal process.</w:t>
      </w:r>
      <w:r w:rsidR="005A33BF" w:rsidRPr="006D2B39">
        <w:rPr>
          <w:rFonts w:ascii="Calibri" w:eastAsia="Times New Roman" w:hAnsi="Calibri" w:cs="Calibri"/>
        </w:rPr>
        <w:t xml:space="preserve"> </w:t>
      </w:r>
      <w:r w:rsidR="004038C6" w:rsidRPr="006D2B39">
        <w:rPr>
          <w:rFonts w:ascii="Calibri" w:eastAsia="Times New Roman" w:hAnsi="Calibri" w:cs="Calibri"/>
        </w:rPr>
        <w:t xml:space="preserve">The </w:t>
      </w:r>
      <w:r w:rsidR="00CE2CA0">
        <w:rPr>
          <w:rFonts w:ascii="Calibri" w:eastAsia="Times New Roman" w:hAnsi="Calibri" w:cs="Calibri"/>
        </w:rPr>
        <w:t xml:space="preserve">HIPAA </w:t>
      </w:r>
      <w:r w:rsidR="004038C6" w:rsidRPr="00CE2CA0">
        <w:rPr>
          <w:rFonts w:ascii="Calibri" w:eastAsia="Times New Roman" w:hAnsi="Calibri" w:cs="Calibri"/>
        </w:rPr>
        <w:t>Privacy Rule</w:t>
      </w:r>
      <w:r w:rsidR="004038C6" w:rsidRPr="00CE2CA0">
        <w:rPr>
          <w:rFonts w:ascii="Calibri" w:eastAsia="Times New Roman" w:hAnsi="Calibri" w:cs="Calibri"/>
          <w:bdr w:val="none" w:sz="0" w:space="0" w:color="auto" w:frame="1"/>
        </w:rPr>
        <w:t xml:space="preserve"> </w:t>
      </w:r>
      <w:r w:rsidR="004038C6" w:rsidRPr="00CE2CA0">
        <w:rPr>
          <w:rFonts w:ascii="Calibri" w:eastAsia="Times New Roman" w:hAnsi="Calibri" w:cs="Calibri"/>
        </w:rPr>
        <w:t>established national minimum standards to protect PHI and gives patients an array of rights with respect to that information.</w:t>
      </w:r>
      <w:r w:rsidR="005A33BF" w:rsidRPr="00CE2CA0">
        <w:rPr>
          <w:rFonts w:ascii="Calibri" w:eastAsia="Times New Roman" w:hAnsi="Calibri" w:cs="Calibri"/>
        </w:rPr>
        <w:t xml:space="preserve"> </w:t>
      </w:r>
      <w:r w:rsidR="006B6C37" w:rsidRPr="00CE2CA0">
        <w:rPr>
          <w:rFonts w:ascii="Calibri" w:eastAsia="Times New Roman" w:hAnsi="Calibri" w:cs="Calibri"/>
        </w:rPr>
        <w:t>Some public health agencies, or programs or services within public health agencies, are covered by the federal Privacy Rule.</w:t>
      </w:r>
      <w:r w:rsidR="006B6C37" w:rsidRPr="006B6C37">
        <w:rPr>
          <w:vertAlign w:val="superscript"/>
        </w:rPr>
        <w:footnoteReference w:id="8"/>
      </w:r>
      <w:r w:rsidR="006B6C37" w:rsidRPr="00CE2CA0">
        <w:rPr>
          <w:rFonts w:ascii="Calibri" w:eastAsia="Times New Roman" w:hAnsi="Calibri" w:cs="Calibri"/>
          <w:bdr w:val="none" w:sz="0" w:space="0" w:color="auto" w:frame="1"/>
        </w:rPr>
        <w:t xml:space="preserve"> </w:t>
      </w:r>
      <w:r w:rsidR="005A33BF" w:rsidRPr="00CE2CA0">
        <w:rPr>
          <w:rFonts w:ascii="Calibri" w:eastAsia="Times New Roman" w:hAnsi="Calibri" w:cs="Calibri"/>
        </w:rPr>
        <w:t xml:space="preserve">To the extent that the Privacy Rule applies, it should allow public health agencies to disclose information to law enforcement in many situations that involve disease control, bioterrorism, or other public health threats. In this regard, the Privacy Rule is balanced to protect an individual's privacy while allowing important law enforcement functions to continue. </w:t>
      </w:r>
      <w:r w:rsidR="00CE2CA0">
        <w:rPr>
          <w:rFonts w:ascii="Calibri" w:eastAsia="Times New Roman" w:hAnsi="Calibri" w:cs="Calibri"/>
        </w:rPr>
        <w:t>Additionally,</w:t>
      </w:r>
      <w:r w:rsidR="007911EE" w:rsidRPr="00CE2CA0">
        <w:rPr>
          <w:rFonts w:ascii="Calibri" w:eastAsia="Times New Roman" w:hAnsi="Calibri" w:cs="Calibri"/>
        </w:rPr>
        <w:t xml:space="preserve"> STLT law establishes the authority for reporting, collecting, using, and disclosing information for emergency preparedness and response. Before sharing information, STLT law must be reviewed with regard to each type of information that is proposed to be shared. In addition to</w:t>
      </w:r>
      <w:r w:rsidR="000435C7" w:rsidRPr="00CE2CA0">
        <w:rPr>
          <w:rFonts w:ascii="Calibri" w:eastAsia="Times New Roman" w:hAnsi="Calibri" w:cs="Calibri"/>
        </w:rPr>
        <w:t>—</w:t>
      </w:r>
      <w:r w:rsidR="007911EE" w:rsidRPr="00CE2CA0">
        <w:rPr>
          <w:rFonts w:ascii="Calibri" w:eastAsia="Times New Roman" w:hAnsi="Calibri" w:cs="Calibri"/>
        </w:rPr>
        <w:t>or in lieu of</w:t>
      </w:r>
      <w:r w:rsidR="000435C7" w:rsidRPr="00CE2CA0">
        <w:rPr>
          <w:rFonts w:ascii="Calibri" w:eastAsia="Times New Roman" w:hAnsi="Calibri" w:cs="Calibri"/>
        </w:rPr>
        <w:t>—</w:t>
      </w:r>
      <w:r w:rsidR="007911EE" w:rsidRPr="00CE2CA0">
        <w:rPr>
          <w:rFonts w:ascii="Calibri" w:eastAsia="Times New Roman" w:hAnsi="Calibri" w:cs="Calibri"/>
        </w:rPr>
        <w:t>laws specific to certain types of data, laws that cover public health powers and responsibilities, health information, and privacy might also apply or provide context for data-specific laws.</w:t>
      </w:r>
    </w:p>
    <w:p w14:paraId="3BC7CD0A" w14:textId="33D358F2" w:rsidR="005A33BF" w:rsidRDefault="005A33BF" w:rsidP="005A33BF">
      <w:pPr>
        <w:spacing w:line="360" w:lineRule="auto"/>
        <w:rPr>
          <w:rFonts w:ascii="Calibri" w:eastAsia="Times New Roman" w:hAnsi="Calibri" w:cs="Calibri"/>
          <w:b/>
          <w:bCs/>
        </w:rPr>
      </w:pPr>
    </w:p>
    <w:p w14:paraId="544F35FD" w14:textId="6CC95797" w:rsidR="00046AE4" w:rsidRPr="00291452" w:rsidRDefault="00C50823" w:rsidP="00046AE4">
      <w:pPr>
        <w:spacing w:line="360" w:lineRule="auto"/>
        <w:rPr>
          <w:b/>
          <w:bCs/>
          <w:sz w:val="24"/>
          <w:szCs w:val="24"/>
        </w:rPr>
      </w:pPr>
      <w:bookmarkStart w:id="0" w:name="_Hlk35094193"/>
      <w:r>
        <w:rPr>
          <w:b/>
          <w:bCs/>
          <w:sz w:val="24"/>
          <w:szCs w:val="24"/>
        </w:rPr>
        <w:t xml:space="preserve">Information and the </w:t>
      </w:r>
      <w:r w:rsidR="00046AE4">
        <w:rPr>
          <w:b/>
          <w:bCs/>
          <w:sz w:val="24"/>
          <w:szCs w:val="24"/>
        </w:rPr>
        <w:t>Public Health Agency as</w:t>
      </w:r>
      <w:r>
        <w:rPr>
          <w:b/>
          <w:bCs/>
          <w:sz w:val="24"/>
          <w:szCs w:val="24"/>
        </w:rPr>
        <w:t xml:space="preserve"> an Employer</w:t>
      </w:r>
    </w:p>
    <w:bookmarkEnd w:id="0"/>
    <w:p w14:paraId="2677D655" w14:textId="57C697EC" w:rsidR="00E23346" w:rsidRDefault="00855018" w:rsidP="006266F1">
      <w:pPr>
        <w:pStyle w:val="15para"/>
        <w:spacing w:after="120"/>
      </w:pPr>
      <w:r>
        <w:t>C</w:t>
      </w:r>
      <w:r w:rsidR="00CC04B3">
        <w:t>ollecting and using c</w:t>
      </w:r>
      <w:r>
        <w:t xml:space="preserve">ertain personal and health information about employees helps public health agencies and other employers prepare and respond to public health emergencies. </w:t>
      </w:r>
      <w:r w:rsidR="00A23610">
        <w:t xml:space="preserve">Such information helps </w:t>
      </w:r>
      <w:r w:rsidR="00E51295">
        <w:t xml:space="preserve">provide employees with </w:t>
      </w:r>
      <w:r w:rsidR="009B1CDE">
        <w:t>a safe and healthy work environment</w:t>
      </w:r>
      <w:r w:rsidR="00CA0951">
        <w:t xml:space="preserve"> as required under state laws and federal</w:t>
      </w:r>
      <w:r w:rsidR="009B08D1">
        <w:t xml:space="preserve"> requirements in the Occupational </w:t>
      </w:r>
      <w:r w:rsidR="00BE6F22">
        <w:t xml:space="preserve">Safety and Health Act (OSH Act). </w:t>
      </w:r>
      <w:r w:rsidR="0072762C">
        <w:t xml:space="preserve">However, when employers seek or obtain information about employees' health or illness, they must use care to ensure that their actions are </w:t>
      </w:r>
      <w:r w:rsidR="00ED748C">
        <w:t xml:space="preserve">also </w:t>
      </w:r>
      <w:r w:rsidR="0072762C">
        <w:t>consistent with laws that protect employees from discrimination based on disability</w:t>
      </w:r>
      <w:r w:rsidR="004343F4">
        <w:t>.</w:t>
      </w:r>
      <w:r w:rsidR="00CC2276">
        <w:t xml:space="preserve"> </w:t>
      </w:r>
      <w:r w:rsidR="00D7626D">
        <w:t>In particular, public health agencies must understand information practices that are limited by the Americans with Disabilities Act of 1990 (ADA) and other federal or state laws that protect employees' health information.</w:t>
      </w:r>
      <w:r w:rsidR="00C15424">
        <w:t xml:space="preserve"> </w:t>
      </w:r>
    </w:p>
    <w:p w14:paraId="4388319A" w14:textId="33BA5808" w:rsidR="00BC1E7F" w:rsidRDefault="00BC1E7F" w:rsidP="00BC1E7F">
      <w:pPr>
        <w:pStyle w:val="15para"/>
        <w:numPr>
          <w:ilvl w:val="0"/>
          <w:numId w:val="2"/>
        </w:numPr>
        <w:spacing w:after="120"/>
      </w:pPr>
      <w:r>
        <w:rPr>
          <w:b/>
          <w:bCs/>
          <w:bdr w:val="none" w:sz="0" w:space="0" w:color="auto" w:frame="1"/>
        </w:rPr>
        <w:t>Occupational Safety and Health Act</w:t>
      </w:r>
      <w:r>
        <w:t xml:space="preserve"> - The OHS Act requires employers to provide employees with a safe and healthful workplace by setting and enforcing standards.</w:t>
      </w:r>
      <w:r>
        <w:rPr>
          <w:rStyle w:val="FootnoteReference"/>
        </w:rPr>
        <w:footnoteReference w:id="9"/>
      </w:r>
      <w:r w:rsidR="00E4212C">
        <w:t xml:space="preserve"> </w:t>
      </w:r>
      <w:r w:rsidR="00E4212C" w:rsidRPr="006D5DF2">
        <w:t>The OSH Act covers most employees in the private sector;</w:t>
      </w:r>
      <w:r w:rsidR="00E4212C" w:rsidRPr="006D5DF2">
        <w:rPr>
          <w:vertAlign w:val="superscript"/>
        </w:rPr>
        <w:footnoteReference w:id="10"/>
      </w:r>
      <w:r w:rsidR="00E4212C" w:rsidRPr="006D5DF2">
        <w:t xml:space="preserve"> state and local government workers are excluded from federal </w:t>
      </w:r>
      <w:r w:rsidR="00E4212C" w:rsidRPr="006D5DF2">
        <w:lastRenderedPageBreak/>
        <w:t>coverage under the OSH Act</w:t>
      </w:r>
      <w:r w:rsidR="00E4212C" w:rsidRPr="006D5DF2">
        <w:rPr>
          <w:vertAlign w:val="superscript"/>
        </w:rPr>
        <w:footnoteReference w:id="11"/>
      </w:r>
      <w:r w:rsidR="004E0E67">
        <w:t xml:space="preserve">, but </w:t>
      </w:r>
      <w:r w:rsidR="00E30483">
        <w:t xml:space="preserve">they may be covered through an </w:t>
      </w:r>
      <w:r w:rsidR="00E4212C" w:rsidRPr="00E4212C">
        <w:t xml:space="preserve">state plan </w:t>
      </w:r>
      <w:r w:rsidR="000A2574">
        <w:t xml:space="preserve">approved by the </w:t>
      </w:r>
      <w:r w:rsidR="00FA6FAF">
        <w:t xml:space="preserve">Occupational </w:t>
      </w:r>
      <w:r w:rsidR="00675C5D">
        <w:t>Safety</w:t>
      </w:r>
      <w:r w:rsidR="00FA6FAF">
        <w:t xml:space="preserve"> and Health Administration (</w:t>
      </w:r>
      <w:r w:rsidR="00675C5D">
        <w:t>OSHA )</w:t>
      </w:r>
      <w:r w:rsidR="00E4212C" w:rsidRPr="00E4212C">
        <w:t>that covers private and state/local government workplaces</w:t>
      </w:r>
      <w:r w:rsidR="00E30483">
        <w:t xml:space="preserve"> or an </w:t>
      </w:r>
      <w:r w:rsidR="00E4212C" w:rsidRPr="00E4212C">
        <w:t>OSHA-approved state plan that covers state/local government workplaces only</w:t>
      </w:r>
      <w:r w:rsidR="00E464B1">
        <w:t xml:space="preserve">. </w:t>
      </w:r>
      <w:r w:rsidR="000712C4">
        <w:t xml:space="preserve">In states that are only covered by the federal </w:t>
      </w:r>
      <w:r w:rsidR="00E4212C" w:rsidRPr="00E4212C">
        <w:t>OSHA program</w:t>
      </w:r>
      <w:r w:rsidR="00276CD4">
        <w:t xml:space="preserve"> (</w:t>
      </w:r>
      <w:r w:rsidR="00DC5B77">
        <w:t xml:space="preserve">which </w:t>
      </w:r>
      <w:r w:rsidR="00E4212C" w:rsidRPr="00E4212C">
        <w:t>covers private workplaces only</w:t>
      </w:r>
      <w:r w:rsidR="00276CD4">
        <w:t>)</w:t>
      </w:r>
      <w:r w:rsidR="00DC5B77">
        <w:t xml:space="preserve">, </w:t>
      </w:r>
      <w:r w:rsidR="00E4212C" w:rsidRPr="00E4212C">
        <w:t>state</w:t>
      </w:r>
      <w:r w:rsidR="00DC5B77">
        <w:t>/</w:t>
      </w:r>
      <w:r w:rsidR="00E4212C" w:rsidRPr="00E4212C">
        <w:t>local government employees are generally covered by health and safety programs found in state statutes, regulations, and policies</w:t>
      </w:r>
      <w:r w:rsidR="00DC5B77">
        <w:t>.</w:t>
      </w:r>
      <w:r w:rsidR="001F7721">
        <w:t xml:space="preserve"> </w:t>
      </w:r>
      <w:r w:rsidR="001F7721" w:rsidRPr="00DD004D">
        <w:t>Employers operating under the federal program or a</w:t>
      </w:r>
      <w:r w:rsidR="00B0342A">
        <w:t>n</w:t>
      </w:r>
      <w:r w:rsidR="001F7721" w:rsidRPr="00DD004D">
        <w:t xml:space="preserve"> OSHA-approved state plan must comply with the OSH Act's general duty clause, which requires employers to keep their workplace free of serious recognized hazards</w:t>
      </w:r>
      <w:r w:rsidR="00B0342A">
        <w:t xml:space="preserve">, as well as specific standards </w:t>
      </w:r>
      <w:r w:rsidR="001F7721" w:rsidRPr="000B72C2">
        <w:t xml:space="preserve">such as hazardous material and blood-borne pathogen exposures. </w:t>
      </w:r>
      <w:r w:rsidR="0017275C" w:rsidRPr="000B72C2">
        <w:t>Depending on the nature of an employee's duties, employers may be required to conduct medical screening and surveillance programs to monitor employee health and workplace exposure levels.</w:t>
      </w:r>
      <w:r w:rsidR="0017275C">
        <w:t xml:space="preserve"> An employer must take care to protect its workforce from emergencies and other serious health threats, as well as exposure to specific hazards that might be encountered while protecting the public's health. </w:t>
      </w:r>
    </w:p>
    <w:p w14:paraId="0ECFE727" w14:textId="77777777" w:rsidR="007C33C9" w:rsidRDefault="007C33C9" w:rsidP="007C33C9">
      <w:pPr>
        <w:pStyle w:val="15para"/>
        <w:spacing w:after="120"/>
        <w:ind w:left="360"/>
      </w:pPr>
    </w:p>
    <w:p w14:paraId="7C25E944" w14:textId="1CF2517C" w:rsidR="00FD5590" w:rsidRDefault="00647D78" w:rsidP="00FD5590">
      <w:pPr>
        <w:pStyle w:val="15para"/>
        <w:numPr>
          <w:ilvl w:val="0"/>
          <w:numId w:val="2"/>
        </w:numPr>
        <w:spacing w:after="120"/>
        <w:rPr>
          <w:bdr w:val="none" w:sz="0" w:space="0" w:color="auto" w:frame="1"/>
        </w:rPr>
      </w:pPr>
      <w:r w:rsidRPr="00E950DC">
        <w:rPr>
          <w:b/>
          <w:bCs/>
          <w:bdr w:val="none" w:sz="0" w:space="0" w:color="auto" w:frame="1"/>
        </w:rPr>
        <w:t>Americans with Disabilities Act</w:t>
      </w:r>
      <w:r w:rsidR="007C33C9" w:rsidRPr="007C33C9">
        <w:rPr>
          <w:b/>
          <w:bCs/>
          <w:bdr w:val="none" w:sz="0" w:space="0" w:color="auto" w:frame="1"/>
        </w:rPr>
        <w:t>—</w:t>
      </w:r>
      <w:r>
        <w:t>ADA is a broad civil rights law that prohibits discrimination based on disability.</w:t>
      </w:r>
      <w:r>
        <w:rPr>
          <w:rStyle w:val="FootnoteReference"/>
        </w:rPr>
        <w:footnoteReference w:id="12"/>
      </w:r>
      <w:r>
        <w:t xml:space="preserve"> </w:t>
      </w:r>
      <w:r w:rsidRPr="00D101F1">
        <w:t>Although the</w:t>
      </w:r>
      <w:r w:rsidR="00D720A1">
        <w:t xml:space="preserve"> HIPAA</w:t>
      </w:r>
      <w:r w:rsidRPr="00D101F1">
        <w:t xml:space="preserve"> Privacy Rule</w:t>
      </w:r>
      <w:r w:rsidR="00D720A1">
        <w:t xml:space="preserve"> </w:t>
      </w:r>
      <w:r w:rsidRPr="00D101F1">
        <w:t>sets national standards to protect identifiable health information, the rule does not protect information that is included in employment records held by a covered entity in its role as employer.</w:t>
      </w:r>
      <w:r w:rsidRPr="00D101F1">
        <w:rPr>
          <w:vertAlign w:val="superscript"/>
        </w:rPr>
        <w:footnoteReference w:id="13"/>
      </w:r>
      <w:r w:rsidR="00074B64">
        <w:t xml:space="preserve"> </w:t>
      </w:r>
      <w:r>
        <w:t>The ADA makes it unlawful to discriminate in employment against a qualified individual with a disability.</w:t>
      </w:r>
      <w:r w:rsidRPr="00E950DC">
        <w:rPr>
          <w:vertAlign w:val="superscript"/>
        </w:rPr>
        <w:t xml:space="preserve">3 </w:t>
      </w:r>
      <w:r>
        <w:t>ADA’s prohibition on disability discrimination in employment applies to most private employers (Title I) and to all state and local government agencies (Title II).</w:t>
      </w:r>
      <w:r w:rsidRPr="00E950DC">
        <w:rPr>
          <w:vertAlign w:val="superscript"/>
        </w:rPr>
        <w:t xml:space="preserve">2 </w:t>
      </w:r>
      <w:r>
        <w:t>To protect job applicants and employees from discrimination, ADA restricts questions that an employer may ask individuals about medical problems or disabilities, and restricts requests for medical examinations.</w:t>
      </w:r>
      <w:r w:rsidRPr="00E950DC">
        <w:rPr>
          <w:vertAlign w:val="superscript"/>
        </w:rPr>
        <w:t>5</w:t>
      </w:r>
      <w:r w:rsidR="00E14B26">
        <w:t xml:space="preserve"> </w:t>
      </w:r>
      <w:r>
        <w:t xml:space="preserve">These restrictions affect information that public health </w:t>
      </w:r>
      <w:proofErr w:type="spellStart"/>
      <w:r>
        <w:t>a</w:t>
      </w:r>
      <w:r w:rsidR="00CD52C2">
        <w:t>fo</w:t>
      </w:r>
      <w:r>
        <w:t>gencies</w:t>
      </w:r>
      <w:proofErr w:type="spellEnd"/>
      <w:r>
        <w:t xml:space="preserve"> and other employers may obtain related to their workforce when preparing for a public health emergency to ensure continuity of operations and effective response. </w:t>
      </w:r>
      <w:r w:rsidRPr="00967C71">
        <w:t>ADA does not prevent employers from collecting and appropriately using information necessary for a comprehensive emergency evacuation plan. An employer may ask employees whether they will require assistance in the event of an evacuation and, if so, what type of assistance they would need.</w:t>
      </w:r>
      <w:r>
        <w:t xml:space="preserve"> ADA requires that employers reasonably accommodate an otherwise qualified applicant or employee's known physical </w:t>
      </w:r>
      <w:r>
        <w:lastRenderedPageBreak/>
        <w:t xml:space="preserve">or mental limitations unless doing so would impose an undue hardship on the operation of the employer's business. </w:t>
      </w:r>
      <w:r w:rsidR="00C62CED">
        <w:t xml:space="preserve">Depending on the nature of an emergency event, </w:t>
      </w:r>
      <w:r>
        <w:t>reasonable accommodation may include, but is not limited to, telework, altered work schedules, and infection control strategies.</w:t>
      </w:r>
      <w:r>
        <w:rPr>
          <w:rStyle w:val="FootnoteReference"/>
        </w:rPr>
        <w:footnoteReference w:id="14"/>
      </w:r>
      <w:r>
        <w:t xml:space="preserve"> </w:t>
      </w:r>
    </w:p>
    <w:p w14:paraId="25E96E25" w14:textId="77777777" w:rsidR="00FD5590" w:rsidRPr="00FD5590" w:rsidRDefault="00FD5590" w:rsidP="00FD5590">
      <w:pPr>
        <w:pStyle w:val="15para"/>
        <w:spacing w:after="120"/>
        <w:ind w:left="360"/>
        <w:rPr>
          <w:bdr w:val="none" w:sz="0" w:space="0" w:color="auto" w:frame="1"/>
        </w:rPr>
      </w:pPr>
    </w:p>
    <w:p w14:paraId="53BD2427" w14:textId="3988F4CC" w:rsidR="009E4ABF" w:rsidRPr="009E4ABF" w:rsidRDefault="001A40AB" w:rsidP="00824CD7">
      <w:pPr>
        <w:pStyle w:val="15para"/>
        <w:numPr>
          <w:ilvl w:val="0"/>
          <w:numId w:val="2"/>
        </w:numPr>
        <w:rPr>
          <w:bdr w:val="none" w:sz="0" w:space="0" w:color="auto" w:frame="1"/>
        </w:rPr>
      </w:pPr>
      <w:r w:rsidRPr="00AC5173">
        <w:rPr>
          <w:b/>
          <w:bCs/>
          <w:bdr w:val="none" w:sz="0" w:space="0" w:color="auto" w:frame="1"/>
        </w:rPr>
        <w:t>Jurisdicti</w:t>
      </w:r>
      <w:r w:rsidR="00B22364" w:rsidRPr="00AC5173">
        <w:rPr>
          <w:b/>
          <w:bCs/>
          <w:bdr w:val="none" w:sz="0" w:space="0" w:color="auto" w:frame="1"/>
        </w:rPr>
        <w:t xml:space="preserve">on-specific </w:t>
      </w:r>
      <w:r w:rsidR="00DF1E35">
        <w:rPr>
          <w:b/>
          <w:bCs/>
          <w:bdr w:val="none" w:sz="0" w:space="0" w:color="auto" w:frame="1"/>
        </w:rPr>
        <w:t>L</w:t>
      </w:r>
      <w:r w:rsidR="00B22364" w:rsidRPr="00AC5173">
        <w:rPr>
          <w:b/>
          <w:bCs/>
          <w:bdr w:val="none" w:sz="0" w:space="0" w:color="auto" w:frame="1"/>
        </w:rPr>
        <w:t>aws</w:t>
      </w:r>
      <w:r w:rsidR="00866D0C">
        <w:rPr>
          <w:b/>
          <w:bCs/>
          <w:bdr w:val="none" w:sz="0" w:space="0" w:color="auto" w:frame="1"/>
        </w:rPr>
        <w:t>—</w:t>
      </w:r>
      <w:r w:rsidR="009E4ABF" w:rsidRPr="00AC5173">
        <w:rPr>
          <w:bdr w:val="none" w:sz="0" w:space="0" w:color="auto" w:frame="1"/>
        </w:rPr>
        <w:t xml:space="preserve">A public health agency must </w:t>
      </w:r>
      <w:r w:rsidR="000C7EFA">
        <w:rPr>
          <w:bdr w:val="none" w:sz="0" w:space="0" w:color="auto" w:frame="1"/>
        </w:rPr>
        <w:t xml:space="preserve">also </w:t>
      </w:r>
      <w:r w:rsidR="009E4ABF" w:rsidRPr="00AC5173">
        <w:rPr>
          <w:bdr w:val="none" w:sz="0" w:space="0" w:color="auto" w:frame="1"/>
        </w:rPr>
        <w:t xml:space="preserve">identify, understand, and comply with all </w:t>
      </w:r>
      <w:r w:rsidR="00F7758A" w:rsidRPr="00AC5173">
        <w:rPr>
          <w:bdr w:val="none" w:sz="0" w:space="0" w:color="auto" w:frame="1"/>
        </w:rPr>
        <w:t xml:space="preserve">relevant </w:t>
      </w:r>
      <w:r w:rsidR="000C7EFA">
        <w:rPr>
          <w:bdr w:val="none" w:sz="0" w:space="0" w:color="auto" w:frame="1"/>
        </w:rPr>
        <w:t xml:space="preserve">STLT </w:t>
      </w:r>
      <w:r w:rsidR="00F7758A" w:rsidRPr="00AC5173">
        <w:rPr>
          <w:bdr w:val="none" w:sz="0" w:space="0" w:color="auto" w:frame="1"/>
        </w:rPr>
        <w:t>laws</w:t>
      </w:r>
      <w:r w:rsidR="009E4ABF" w:rsidRPr="00AC5173">
        <w:rPr>
          <w:bdr w:val="none" w:sz="0" w:space="0" w:color="auto" w:frame="1"/>
        </w:rPr>
        <w:t xml:space="preserve"> that govern the collection, use, disclosure, and protection of employee health information</w:t>
      </w:r>
      <w:r w:rsidR="00736F0B" w:rsidRPr="00AC5173">
        <w:rPr>
          <w:bdr w:val="none" w:sz="0" w:space="0" w:color="auto" w:frame="1"/>
        </w:rPr>
        <w:t>, inc</w:t>
      </w:r>
      <w:r w:rsidR="0091266E" w:rsidRPr="00AC5173">
        <w:rPr>
          <w:bdr w:val="none" w:sz="0" w:space="0" w:color="auto" w:frame="1"/>
        </w:rPr>
        <w:t>luding</w:t>
      </w:r>
      <w:r w:rsidR="000B6807" w:rsidRPr="00AC5173">
        <w:rPr>
          <w:bdr w:val="none" w:sz="0" w:space="0" w:color="auto" w:frame="1"/>
        </w:rPr>
        <w:t>: (1) laws g</w:t>
      </w:r>
      <w:r w:rsidR="009E4ABF" w:rsidRPr="009E4ABF">
        <w:rPr>
          <w:bdr w:val="none" w:sz="0" w:space="0" w:color="auto" w:frame="1"/>
        </w:rPr>
        <w:t>overning public health agencies</w:t>
      </w:r>
      <w:r w:rsidR="000B6807" w:rsidRPr="00AC5173">
        <w:rPr>
          <w:bdr w:val="none" w:sz="0" w:space="0" w:color="auto" w:frame="1"/>
        </w:rPr>
        <w:t xml:space="preserve"> and health facilities; (2) </w:t>
      </w:r>
      <w:r w:rsidR="009E4ABF" w:rsidRPr="009E4ABF">
        <w:rPr>
          <w:bdr w:val="none" w:sz="0" w:space="0" w:color="auto" w:frame="1"/>
        </w:rPr>
        <w:t>privacy and health information privacy laws</w:t>
      </w:r>
      <w:r w:rsidR="004A084C" w:rsidRPr="00AC5173">
        <w:rPr>
          <w:bdr w:val="none" w:sz="0" w:space="0" w:color="auto" w:frame="1"/>
        </w:rPr>
        <w:t xml:space="preserve">; </w:t>
      </w:r>
      <w:r w:rsidR="00D632EB" w:rsidRPr="00AC5173">
        <w:rPr>
          <w:bdr w:val="none" w:sz="0" w:space="0" w:color="auto" w:frame="1"/>
        </w:rPr>
        <w:t xml:space="preserve">(3) </w:t>
      </w:r>
      <w:r w:rsidR="004A084C" w:rsidRPr="00AC5173">
        <w:rPr>
          <w:bdr w:val="none" w:sz="0" w:space="0" w:color="auto" w:frame="1"/>
        </w:rPr>
        <w:t>d</w:t>
      </w:r>
      <w:r w:rsidR="009E4ABF" w:rsidRPr="009E4ABF">
        <w:rPr>
          <w:bdr w:val="none" w:sz="0" w:space="0" w:color="auto" w:frame="1"/>
        </w:rPr>
        <w:t>ata collection and management laws, including laws that apply to electronic information</w:t>
      </w:r>
      <w:r w:rsidR="004A084C" w:rsidRPr="00AC5173">
        <w:rPr>
          <w:bdr w:val="none" w:sz="0" w:space="0" w:color="auto" w:frame="1"/>
        </w:rPr>
        <w:t xml:space="preserve">; </w:t>
      </w:r>
      <w:r w:rsidR="00D632EB" w:rsidRPr="00AC5173">
        <w:rPr>
          <w:bdr w:val="none" w:sz="0" w:space="0" w:color="auto" w:frame="1"/>
        </w:rPr>
        <w:t xml:space="preserve">(4) </w:t>
      </w:r>
      <w:r w:rsidR="004A084C" w:rsidRPr="00AC5173">
        <w:rPr>
          <w:bdr w:val="none" w:sz="0" w:space="0" w:color="auto" w:frame="1"/>
        </w:rPr>
        <w:t>f</w:t>
      </w:r>
      <w:r w:rsidR="009E4ABF" w:rsidRPr="009E4ABF">
        <w:rPr>
          <w:bdr w:val="none" w:sz="0" w:space="0" w:color="auto" w:frame="1"/>
        </w:rPr>
        <w:t>reedom of information laws</w:t>
      </w:r>
      <w:r w:rsidR="004A084C" w:rsidRPr="00AC5173">
        <w:rPr>
          <w:bdr w:val="none" w:sz="0" w:space="0" w:color="auto" w:frame="1"/>
        </w:rPr>
        <w:t xml:space="preserve">; </w:t>
      </w:r>
      <w:r w:rsidR="00D632EB" w:rsidRPr="00AC5173">
        <w:rPr>
          <w:bdr w:val="none" w:sz="0" w:space="0" w:color="auto" w:frame="1"/>
        </w:rPr>
        <w:t xml:space="preserve">(5) </w:t>
      </w:r>
      <w:r w:rsidR="004A084C" w:rsidRPr="00AC5173">
        <w:rPr>
          <w:bdr w:val="none" w:sz="0" w:space="0" w:color="auto" w:frame="1"/>
        </w:rPr>
        <w:t>e</w:t>
      </w:r>
      <w:r w:rsidR="009E4ABF" w:rsidRPr="009E4ABF">
        <w:rPr>
          <w:bdr w:val="none" w:sz="0" w:space="0" w:color="auto" w:frame="1"/>
        </w:rPr>
        <w:t>mergency preparedness laws</w:t>
      </w:r>
      <w:r w:rsidR="00D632EB" w:rsidRPr="00AC5173">
        <w:rPr>
          <w:bdr w:val="none" w:sz="0" w:space="0" w:color="auto" w:frame="1"/>
        </w:rPr>
        <w:t>;</w:t>
      </w:r>
      <w:r w:rsidR="00AC5173" w:rsidRPr="00AC5173">
        <w:rPr>
          <w:bdr w:val="none" w:sz="0" w:space="0" w:color="auto" w:frame="1"/>
        </w:rPr>
        <w:t xml:space="preserve"> </w:t>
      </w:r>
      <w:r w:rsidR="009E4ABF" w:rsidRPr="009E4ABF">
        <w:rPr>
          <w:bdr w:val="none" w:sz="0" w:space="0" w:color="auto" w:frame="1"/>
        </w:rPr>
        <w:t>occupational safety and health laws</w:t>
      </w:r>
      <w:r w:rsidR="00AC5173" w:rsidRPr="00AC5173">
        <w:rPr>
          <w:bdr w:val="none" w:sz="0" w:space="0" w:color="auto" w:frame="1"/>
        </w:rPr>
        <w:t xml:space="preserve">; and (6) </w:t>
      </w:r>
      <w:r w:rsidR="009E4ABF" w:rsidRPr="009E4ABF">
        <w:rPr>
          <w:bdr w:val="none" w:sz="0" w:space="0" w:color="auto" w:frame="1"/>
        </w:rPr>
        <w:t>common law (i.e. law developed through court opinions).</w:t>
      </w:r>
    </w:p>
    <w:p w14:paraId="59A34708" w14:textId="77777777" w:rsidR="00F418CC" w:rsidRDefault="00F418CC" w:rsidP="00152333">
      <w:pPr>
        <w:pStyle w:val="15para"/>
      </w:pPr>
    </w:p>
    <w:p w14:paraId="134736F6" w14:textId="533E9304" w:rsidR="002F2000" w:rsidRDefault="00170927" w:rsidP="00152333">
      <w:pPr>
        <w:pStyle w:val="15para"/>
      </w:pPr>
      <w:r>
        <w:rPr>
          <w:noProof/>
        </w:rPr>
        <mc:AlternateContent>
          <mc:Choice Requires="wps">
            <w:drawing>
              <wp:anchor distT="45720" distB="45720" distL="114300" distR="114300" simplePos="0" relativeHeight="251659264" behindDoc="0" locked="0" layoutInCell="1" allowOverlap="1" wp14:anchorId="229AD6C6" wp14:editId="7C46184F">
                <wp:simplePos x="0" y="0"/>
                <wp:positionH relativeFrom="margin">
                  <wp:align>center</wp:align>
                </wp:positionH>
                <wp:positionV relativeFrom="paragraph">
                  <wp:posOffset>3188970</wp:posOffset>
                </wp:positionV>
                <wp:extent cx="5513832"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832" cy="1404620"/>
                        </a:xfrm>
                        <a:prstGeom prst="rect">
                          <a:avLst/>
                        </a:prstGeom>
                        <a:solidFill>
                          <a:srgbClr val="FFFFFF"/>
                        </a:solidFill>
                        <a:ln w="9525">
                          <a:solidFill>
                            <a:srgbClr val="000000"/>
                          </a:solidFill>
                          <a:miter lim="800000"/>
                          <a:headEnd/>
                          <a:tailEnd/>
                        </a:ln>
                      </wps:spPr>
                      <wps:txbx>
                        <w:txbxContent>
                          <w:p w14:paraId="6A6DC4E5" w14:textId="68A0BD10" w:rsidR="00170927" w:rsidRPr="004C64AD" w:rsidRDefault="00170927" w:rsidP="00170927">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sidR="00465187">
                              <w:rPr>
                                <w:sz w:val="20"/>
                                <w:szCs w:val="20"/>
                              </w:rPr>
                              <w:t xml:space="preserve">originally </w:t>
                            </w:r>
                            <w:r w:rsidRPr="004C64AD">
                              <w:rPr>
                                <w:sz w:val="20"/>
                                <w:szCs w:val="20"/>
                              </w:rPr>
                              <w:t xml:space="preserve">authored </w:t>
                            </w:r>
                            <w:r w:rsidR="00465187">
                              <w:rPr>
                                <w:sz w:val="20"/>
                                <w:szCs w:val="20"/>
                              </w:rPr>
                              <w:t xml:space="preserve">by the </w:t>
                            </w:r>
                            <w:r w:rsidR="00465187" w:rsidRPr="00465187">
                              <w:rPr>
                                <w:sz w:val="20"/>
                                <w:szCs w:val="20"/>
                              </w:rPr>
                              <w:t>University of Michigan School of Public Health, Network for Public Health Law</w:t>
                            </w:r>
                            <w:r w:rsidR="0038734F">
                              <w:rPr>
                                <w:sz w:val="20"/>
                                <w:szCs w:val="20"/>
                              </w:rPr>
                              <w:t>—</w:t>
                            </w:r>
                            <w:r w:rsidR="00465187" w:rsidRPr="00465187">
                              <w:rPr>
                                <w:sz w:val="20"/>
                                <w:szCs w:val="20"/>
                              </w:rPr>
                              <w:t>Mid-States Region</w:t>
                            </w:r>
                            <w:r w:rsidR="00465187">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AD6C6" id="_x0000_t202" coordsize="21600,21600" o:spt="202" path="m,l,21600r21600,l21600,xe">
                <v:stroke joinstyle="miter"/>
                <v:path gradientshapeok="t" o:connecttype="rect"/>
              </v:shapetype>
              <v:shape id="Text Box 2" o:spid="_x0000_s1026" type="#_x0000_t202" style="position:absolute;margin-left:0;margin-top:251.1pt;width:434.1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">
                <v:textbox style="mso-fit-shape-to-text:t">
                  <w:txbxContent>
                    <w:p w14:paraId="6A6DC4E5" w14:textId="68A0BD10" w:rsidR="00170927" w:rsidRPr="004C64AD" w:rsidRDefault="00170927" w:rsidP="00170927">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sidR="00465187">
                        <w:rPr>
                          <w:sz w:val="20"/>
                          <w:szCs w:val="20"/>
                        </w:rPr>
                        <w:t xml:space="preserve">originally </w:t>
                      </w:r>
                      <w:r w:rsidRPr="004C64AD">
                        <w:rPr>
                          <w:sz w:val="20"/>
                          <w:szCs w:val="20"/>
                        </w:rPr>
                        <w:t xml:space="preserve">authored </w:t>
                      </w:r>
                      <w:r w:rsidR="00465187">
                        <w:rPr>
                          <w:sz w:val="20"/>
                          <w:szCs w:val="20"/>
                        </w:rPr>
                        <w:t xml:space="preserve">by the </w:t>
                      </w:r>
                      <w:r w:rsidR="00465187" w:rsidRPr="00465187">
                        <w:rPr>
                          <w:sz w:val="20"/>
                          <w:szCs w:val="20"/>
                        </w:rPr>
                        <w:t>University of Michigan School of Public Health, Network for Public Health Law</w:t>
                      </w:r>
                      <w:r w:rsidR="0038734F">
                        <w:rPr>
                          <w:sz w:val="20"/>
                          <w:szCs w:val="20"/>
                        </w:rPr>
                        <w:t>—</w:t>
                      </w:r>
                      <w:r w:rsidR="00465187" w:rsidRPr="00465187">
                        <w:rPr>
                          <w:sz w:val="20"/>
                          <w:szCs w:val="20"/>
                        </w:rPr>
                        <w:t>Mid-States Region</w:t>
                      </w:r>
                      <w:r w:rsidR="00465187">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2F2000" w:rsidSect="00CD7ED1">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7FE1A3" w14:textId="77777777" w:rsidR="00E138F3" w:rsidRDefault="00E138F3" w:rsidP="00B90EB6">
      <w:r>
        <w:separator/>
      </w:r>
    </w:p>
  </w:endnote>
  <w:endnote w:type="continuationSeparator" w:id="0">
    <w:p w14:paraId="6A9496AE" w14:textId="77777777" w:rsidR="00E138F3" w:rsidRDefault="00E138F3" w:rsidP="00B9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3870913"/>
      <w:docPartObj>
        <w:docPartGallery w:val="Page Numbers (Bottom of Page)"/>
        <w:docPartUnique/>
      </w:docPartObj>
    </w:sdtPr>
    <w:sdtEndPr>
      <w:rPr>
        <w:noProof/>
      </w:rPr>
    </w:sdtEndPr>
    <w:sdtContent>
      <w:p w14:paraId="421B3114" w14:textId="61442FF6" w:rsidR="00DF0C0C" w:rsidRDefault="00DF0C0C" w:rsidP="00DF0C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845A7" w14:textId="77777777" w:rsidR="00CD7ED1" w:rsidRPr="00583912" w:rsidRDefault="00CD7ED1" w:rsidP="00CD7ED1">
    <w:pPr>
      <w:ind w:left="720"/>
      <w:jc w:val="center"/>
      <w:rPr>
        <w:i/>
        <w:iCs/>
        <w:sz w:val="20"/>
        <w:szCs w:val="20"/>
      </w:rPr>
    </w:pPr>
    <w:r w:rsidRPr="00583912">
      <w:rPr>
        <w:i/>
        <w:iCs/>
        <w:sz w:val="20"/>
        <w:szCs w:val="20"/>
      </w:rPr>
      <w:t xml:space="preserve">NOTICE: This resource is for informational purposes only. It is not intended as a </w:t>
    </w:r>
  </w:p>
  <w:p w14:paraId="0D14F2A3" w14:textId="501DFCCB" w:rsidR="00CD7ED1" w:rsidRDefault="00CD7ED1" w:rsidP="00CD7ED1">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EDD3B" w14:textId="77777777" w:rsidR="00E138F3" w:rsidRDefault="00E138F3" w:rsidP="00B90EB6">
      <w:r>
        <w:separator/>
      </w:r>
    </w:p>
  </w:footnote>
  <w:footnote w:type="continuationSeparator" w:id="0">
    <w:p w14:paraId="6BEE5E71" w14:textId="77777777" w:rsidR="00E138F3" w:rsidRDefault="00E138F3" w:rsidP="00B90EB6">
      <w:r>
        <w:continuationSeparator/>
      </w:r>
    </w:p>
  </w:footnote>
  <w:footnote w:id="1">
    <w:p w14:paraId="4BB86DB0" w14:textId="76C64A62" w:rsidR="003110A2" w:rsidRPr="00CE2CA0" w:rsidRDefault="003110A2" w:rsidP="00B43579">
      <w:pPr>
        <w:pStyle w:val="FootnoteText"/>
        <w:rPr>
          <w:rFonts w:cstheme="minorHAnsi"/>
        </w:rPr>
      </w:pPr>
      <w:r w:rsidRPr="00CE2CA0">
        <w:rPr>
          <w:rFonts w:cstheme="minorHAnsi"/>
          <w:b/>
          <w:bCs/>
          <w:highlight w:val="yellow"/>
        </w:rPr>
        <w:t>Footnotes will be streamlined and edited to style guide once text is finalized</w:t>
      </w:r>
    </w:p>
    <w:p w14:paraId="44851F40" w14:textId="3BC33AED" w:rsidR="00B43579" w:rsidRPr="00CE2CA0" w:rsidRDefault="00B43579" w:rsidP="00B43579">
      <w:pPr>
        <w:pStyle w:val="FootnoteText"/>
      </w:pPr>
      <w:r w:rsidRPr="00CE2CA0">
        <w:rPr>
          <w:rStyle w:val="FootnoteReference"/>
        </w:rPr>
        <w:footnoteRef/>
      </w:r>
      <w:r w:rsidRPr="00CE2CA0">
        <w:t xml:space="preserve"> Pandemic and All-Hazards Preparedness and Advancing Innovation Act of 2019, Pub. L. No. 116-22.</w:t>
      </w:r>
    </w:p>
  </w:footnote>
  <w:footnote w:id="2">
    <w:p w14:paraId="79E5B7C0" w14:textId="22429CC0" w:rsidR="00972AC4" w:rsidRPr="00CE2CA0" w:rsidRDefault="00972AC4" w:rsidP="00972AC4">
      <w:pPr>
        <w:pStyle w:val="FootnoteText"/>
      </w:pPr>
      <w:r w:rsidRPr="00CE2CA0">
        <w:rPr>
          <w:rStyle w:val="FootnoteReference"/>
        </w:rPr>
        <w:footnoteRef/>
      </w:r>
      <w:r w:rsidRPr="00CE2CA0">
        <w:t xml:space="preserve"> Homefront Confidential. "Prepared by How the War on Terrorism Affects Access to Information and the Public's Right to Know." September 2005. p 73. Retrieved from </w:t>
      </w:r>
      <w:hyperlink r:id="rId1" w:history="1">
        <w:r w:rsidRPr="00CE2CA0">
          <w:rPr>
            <w:rStyle w:val="Hyperlink"/>
          </w:rPr>
          <w:t>http://www.rcfp.org/sites/default/files/homefront-confidential.pdf</w:t>
        </w:r>
      </w:hyperlink>
      <w:r w:rsidRPr="00CE2CA0">
        <w:t>.</w:t>
      </w:r>
      <w:r w:rsidR="003110A2" w:rsidRPr="00CE2CA0">
        <w:t xml:space="preserve"> Accessed June 2020.</w:t>
      </w:r>
    </w:p>
  </w:footnote>
  <w:footnote w:id="3">
    <w:p w14:paraId="6B7825B3" w14:textId="77777777" w:rsidR="0077680E" w:rsidRPr="00CE2CA0" w:rsidRDefault="0077680E" w:rsidP="0077680E">
      <w:pPr>
        <w:pStyle w:val="FootnoteText"/>
      </w:pPr>
      <w:r w:rsidRPr="00CE2CA0">
        <w:rPr>
          <w:rStyle w:val="FootnoteReference"/>
        </w:rPr>
        <w:footnoteRef/>
      </w:r>
      <w:r w:rsidRPr="00CE2CA0">
        <w:t xml:space="preserve"> Pub. L. 104-191, 42 U.S.C. § 300gg et seq.</w:t>
      </w:r>
    </w:p>
  </w:footnote>
  <w:footnote w:id="4">
    <w:p w14:paraId="1E57874F" w14:textId="77777777" w:rsidR="00C7340E" w:rsidRPr="00CE2CA0" w:rsidRDefault="00C7340E" w:rsidP="00C7340E">
      <w:pPr>
        <w:pStyle w:val="FootnoteText"/>
      </w:pPr>
      <w:r w:rsidRPr="00CE2CA0">
        <w:rPr>
          <w:rStyle w:val="FootnoteReference"/>
        </w:rPr>
        <w:footnoteRef/>
      </w:r>
      <w:r w:rsidRPr="00CE2CA0">
        <w:t xml:space="preserve"> </w:t>
      </w:r>
      <w:r w:rsidRPr="00CE2CA0">
        <w:rPr>
          <w:rFonts w:eastAsia="Times New Roman" w:cstheme="minorHAnsi"/>
        </w:rPr>
        <w:t>45 C.F.R. Parts 160 and 164.</w:t>
      </w:r>
    </w:p>
  </w:footnote>
  <w:footnote w:id="5">
    <w:p w14:paraId="4E3B79D7" w14:textId="77777777" w:rsidR="00EE1E6B" w:rsidRPr="00CE2CA0" w:rsidRDefault="00EE1E6B" w:rsidP="00EE1E6B">
      <w:pPr>
        <w:pStyle w:val="FootnoteText"/>
      </w:pPr>
      <w:r w:rsidRPr="00CE2CA0">
        <w:rPr>
          <w:rStyle w:val="FootnoteReference"/>
        </w:rPr>
        <w:footnoteRef/>
      </w:r>
      <w:r w:rsidRPr="00CE2CA0">
        <w:t xml:space="preserve"> Pub. L. 93-380, 20 U.S.C. § 1232g, implemented by 34 C.F.R. Part 99.</w:t>
      </w:r>
    </w:p>
  </w:footnote>
  <w:footnote w:id="6">
    <w:p w14:paraId="7E6EA051" w14:textId="77777777" w:rsidR="004F4863" w:rsidRPr="00CE2CA0" w:rsidRDefault="004F4863" w:rsidP="004F4863">
      <w:pPr>
        <w:pStyle w:val="FootnoteText"/>
      </w:pPr>
      <w:r w:rsidRPr="00CE2CA0">
        <w:rPr>
          <w:rStyle w:val="FootnoteReference"/>
        </w:rPr>
        <w:footnoteRef/>
      </w:r>
      <w:r w:rsidRPr="00CE2CA0">
        <w:t xml:space="preserve"> 34 C.F.R. § 99.31.</w:t>
      </w:r>
    </w:p>
  </w:footnote>
  <w:footnote w:id="7">
    <w:p w14:paraId="47EC64BC" w14:textId="77777777" w:rsidR="003D21C3" w:rsidRPr="00CE2CA0" w:rsidRDefault="003D21C3" w:rsidP="003D21C3">
      <w:pPr>
        <w:pStyle w:val="FootnoteText"/>
      </w:pPr>
      <w:r w:rsidRPr="00CE2CA0">
        <w:rPr>
          <w:rStyle w:val="FootnoteReference"/>
        </w:rPr>
        <w:footnoteRef/>
      </w:r>
      <w:r w:rsidRPr="00CE2CA0">
        <w:t xml:space="preserve"> USA Patriot Act (P.L. 107-56).</w:t>
      </w:r>
    </w:p>
  </w:footnote>
  <w:footnote w:id="8">
    <w:p w14:paraId="45CF4F76" w14:textId="77777777" w:rsidR="006B6C37" w:rsidRPr="00CE2CA0" w:rsidRDefault="006B6C37" w:rsidP="006B6C37">
      <w:pPr>
        <w:pStyle w:val="FootnoteText"/>
      </w:pPr>
      <w:r w:rsidRPr="00CE2CA0">
        <w:rPr>
          <w:rStyle w:val="FootnoteReference"/>
        </w:rPr>
        <w:footnoteRef/>
      </w:r>
      <w:r w:rsidRPr="00CE2CA0">
        <w:t xml:space="preserve"> 45 C.F.R. Parts 160, 164.</w:t>
      </w:r>
    </w:p>
  </w:footnote>
  <w:footnote w:id="9">
    <w:p w14:paraId="5AE3B709" w14:textId="77777777" w:rsidR="00BC1E7F" w:rsidRPr="00CE2CA0" w:rsidRDefault="00BC1E7F" w:rsidP="00BC1E7F">
      <w:pPr>
        <w:rPr>
          <w:rFonts w:ascii="Calibri" w:eastAsia="Times New Roman" w:hAnsi="Calibri" w:cs="Calibri"/>
          <w:sz w:val="20"/>
          <w:szCs w:val="20"/>
        </w:rPr>
      </w:pPr>
      <w:r w:rsidRPr="00CE2CA0">
        <w:rPr>
          <w:rStyle w:val="FootnoteReference"/>
          <w:sz w:val="20"/>
          <w:szCs w:val="20"/>
        </w:rPr>
        <w:footnoteRef/>
      </w:r>
      <w:r w:rsidRPr="00CE2CA0">
        <w:rPr>
          <w:sz w:val="20"/>
          <w:szCs w:val="20"/>
        </w:rPr>
        <w:t xml:space="preserve"> </w:t>
      </w:r>
      <w:r w:rsidRPr="00CE2CA0">
        <w:rPr>
          <w:rFonts w:ascii="Calibri" w:eastAsia="Times New Roman" w:hAnsi="Calibri" w:cs="Calibri"/>
          <w:sz w:val="20"/>
          <w:szCs w:val="20"/>
        </w:rPr>
        <w:t xml:space="preserve">29 U.S.C. § 651 </w:t>
      </w:r>
      <w:r w:rsidRPr="00CE2CA0">
        <w:rPr>
          <w:rFonts w:ascii="Calibri" w:eastAsia="Times New Roman" w:hAnsi="Calibri" w:cs="Calibri"/>
          <w:sz w:val="20"/>
          <w:szCs w:val="20"/>
          <w:bdr w:val="none" w:sz="0" w:space="0" w:color="auto" w:frame="1"/>
        </w:rPr>
        <w:t>et seq</w:t>
      </w:r>
      <w:r w:rsidRPr="00CE2CA0">
        <w:rPr>
          <w:rFonts w:ascii="Calibri" w:eastAsia="Times New Roman" w:hAnsi="Calibri" w:cs="Calibri"/>
          <w:sz w:val="20"/>
          <w:szCs w:val="20"/>
        </w:rPr>
        <w:t>.</w:t>
      </w:r>
    </w:p>
  </w:footnote>
  <w:footnote w:id="10">
    <w:p w14:paraId="4D39A2E6" w14:textId="346F98D8" w:rsidR="00E4212C" w:rsidRPr="00CE2CA0" w:rsidRDefault="00E4212C" w:rsidP="00E4212C">
      <w:pPr>
        <w:pStyle w:val="FootnoteText"/>
      </w:pPr>
      <w:r w:rsidRPr="00CE2CA0">
        <w:rPr>
          <w:rStyle w:val="FootnoteReference"/>
        </w:rPr>
        <w:footnoteRef/>
      </w:r>
      <w:r w:rsidRPr="00CE2CA0">
        <w:t xml:space="preserve"> U.S. Department of Labor Occupational Safety </w:t>
      </w:r>
      <w:r w:rsidR="00675C5D" w:rsidRPr="00CE2CA0">
        <w:t>and</w:t>
      </w:r>
      <w:r w:rsidRPr="00CE2CA0">
        <w:t xml:space="preserve"> Health Administration. Information about OSHA for Workers. Retrieved from </w:t>
      </w:r>
      <w:hyperlink r:id="rId2" w:history="1">
        <w:r w:rsidRPr="00CE2CA0">
          <w:rPr>
            <w:rStyle w:val="Hyperlink"/>
          </w:rPr>
          <w:t>http://www.osha.gov/workers.html</w:t>
        </w:r>
      </w:hyperlink>
      <w:r w:rsidRPr="00CE2CA0">
        <w:t xml:space="preserve">. </w:t>
      </w:r>
      <w:r w:rsidR="00060A6B" w:rsidRPr="00CE2CA0">
        <w:t xml:space="preserve">Accessed June 2020. </w:t>
      </w:r>
    </w:p>
  </w:footnote>
  <w:footnote w:id="11">
    <w:p w14:paraId="372B3D4D" w14:textId="77777777" w:rsidR="00E4212C" w:rsidRPr="00CE2CA0" w:rsidRDefault="00E4212C" w:rsidP="00E4212C">
      <w:pPr>
        <w:pStyle w:val="FootnoteText"/>
      </w:pPr>
      <w:r w:rsidRPr="00CE2CA0">
        <w:rPr>
          <w:rStyle w:val="FootnoteReference"/>
        </w:rPr>
        <w:footnoteRef/>
      </w:r>
      <w:r w:rsidRPr="00CE2CA0">
        <w:t xml:space="preserve"> 29 U.S.C. § 652.</w:t>
      </w:r>
    </w:p>
  </w:footnote>
  <w:footnote w:id="12">
    <w:p w14:paraId="1AF3FFF1" w14:textId="77777777" w:rsidR="00647D78" w:rsidRPr="00CE2CA0" w:rsidRDefault="00647D78" w:rsidP="00647D78">
      <w:pPr>
        <w:pStyle w:val="FootnoteText"/>
      </w:pPr>
      <w:r w:rsidRPr="00CE2CA0">
        <w:rPr>
          <w:rStyle w:val="FootnoteReference"/>
        </w:rPr>
        <w:footnoteRef/>
      </w:r>
      <w:r w:rsidRPr="00CE2CA0">
        <w:t xml:space="preserve"> 42 U.S.C. § 12101 et seq.</w:t>
      </w:r>
    </w:p>
  </w:footnote>
  <w:footnote w:id="13">
    <w:p w14:paraId="627E251F" w14:textId="77777777" w:rsidR="00647D78" w:rsidRPr="00CE2CA0" w:rsidRDefault="00647D78" w:rsidP="00647D78">
      <w:pPr>
        <w:pStyle w:val="FootnoteText"/>
      </w:pPr>
      <w:r w:rsidRPr="00CE2CA0">
        <w:rPr>
          <w:rStyle w:val="FootnoteReference"/>
        </w:rPr>
        <w:footnoteRef/>
      </w:r>
      <w:r w:rsidRPr="00CE2CA0">
        <w:t xml:space="preserve"> 45 C.F.R. § 160.103, definition of protected health information.</w:t>
      </w:r>
    </w:p>
  </w:footnote>
  <w:footnote w:id="14">
    <w:p w14:paraId="30314300" w14:textId="0F6C9509" w:rsidR="00647D78" w:rsidRPr="00CE2CA0" w:rsidRDefault="00647D78" w:rsidP="00647D78">
      <w:pPr>
        <w:pStyle w:val="FootnoteText"/>
      </w:pPr>
      <w:r w:rsidRPr="00CE2CA0">
        <w:rPr>
          <w:rStyle w:val="FootnoteReference"/>
        </w:rPr>
        <w:footnoteRef/>
      </w:r>
      <w:r w:rsidRPr="00CE2CA0">
        <w:t xml:space="preserve"> U.S. Equal Employment Opportunity Commission. Pandemic Preparedness in the Workplace and the Americans with Disabilities Act. Retrieved from </w:t>
      </w:r>
      <w:hyperlink r:id="rId3" w:history="1">
        <w:r w:rsidRPr="00CE2CA0">
          <w:rPr>
            <w:rStyle w:val="Hyperlink"/>
          </w:rPr>
          <w:t>http://www.eeoc.gov/facts/pandemic_flu.html</w:t>
        </w:r>
      </w:hyperlink>
      <w:r w:rsidRPr="00CE2CA0">
        <w:t>.</w:t>
      </w:r>
      <w:r w:rsidR="00060A6B" w:rsidRPr="00CE2CA0">
        <w:t xml:space="preserve"> Accessed June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3DE39" w14:textId="167F662C" w:rsidR="00B90EB6" w:rsidRPr="00FC456F" w:rsidRDefault="0084577F" w:rsidP="00FC456F">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37938" w14:textId="7EAD6ADB" w:rsidR="00CD7ED1" w:rsidRDefault="0084577F" w:rsidP="00CD7ED1">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676742"/>
    <w:multiLevelType w:val="hybridMultilevel"/>
    <w:tmpl w:val="39FE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C792C"/>
    <w:multiLevelType w:val="hybridMultilevel"/>
    <w:tmpl w:val="A69090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900BD3"/>
    <w:multiLevelType w:val="hybridMultilevel"/>
    <w:tmpl w:val="86641A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452E38FB"/>
    <w:multiLevelType w:val="hybridMultilevel"/>
    <w:tmpl w:val="53BE1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A98619D"/>
    <w:multiLevelType w:val="hybridMultilevel"/>
    <w:tmpl w:val="278ED0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EAE"/>
    <w:rsid w:val="0001684D"/>
    <w:rsid w:val="00020BBB"/>
    <w:rsid w:val="000258D1"/>
    <w:rsid w:val="000406D2"/>
    <w:rsid w:val="000435C7"/>
    <w:rsid w:val="00046AE4"/>
    <w:rsid w:val="00047002"/>
    <w:rsid w:val="00052F46"/>
    <w:rsid w:val="00060A6B"/>
    <w:rsid w:val="0006474F"/>
    <w:rsid w:val="000704EB"/>
    <w:rsid w:val="00070CDD"/>
    <w:rsid w:val="000712C4"/>
    <w:rsid w:val="0007257B"/>
    <w:rsid w:val="00072CC1"/>
    <w:rsid w:val="00074B64"/>
    <w:rsid w:val="00076301"/>
    <w:rsid w:val="00086980"/>
    <w:rsid w:val="0009436B"/>
    <w:rsid w:val="000A05E4"/>
    <w:rsid w:val="000A2574"/>
    <w:rsid w:val="000B3A1B"/>
    <w:rsid w:val="000B6807"/>
    <w:rsid w:val="000B72C2"/>
    <w:rsid w:val="000C2995"/>
    <w:rsid w:val="000C61A6"/>
    <w:rsid w:val="000C7EFA"/>
    <w:rsid w:val="000D1871"/>
    <w:rsid w:val="000D5953"/>
    <w:rsid w:val="000F0B78"/>
    <w:rsid w:val="000F4A66"/>
    <w:rsid w:val="000F7C4A"/>
    <w:rsid w:val="00104716"/>
    <w:rsid w:val="00111446"/>
    <w:rsid w:val="0013227C"/>
    <w:rsid w:val="00134CB8"/>
    <w:rsid w:val="00144E5E"/>
    <w:rsid w:val="00145638"/>
    <w:rsid w:val="0014644F"/>
    <w:rsid w:val="00151278"/>
    <w:rsid w:val="00152333"/>
    <w:rsid w:val="001541C8"/>
    <w:rsid w:val="0016012B"/>
    <w:rsid w:val="001646D5"/>
    <w:rsid w:val="00167CC3"/>
    <w:rsid w:val="00170927"/>
    <w:rsid w:val="0017275C"/>
    <w:rsid w:val="00187C50"/>
    <w:rsid w:val="0019111A"/>
    <w:rsid w:val="001A40AB"/>
    <w:rsid w:val="001A6FEC"/>
    <w:rsid w:val="001A7E1F"/>
    <w:rsid w:val="001C198B"/>
    <w:rsid w:val="001D4DD8"/>
    <w:rsid w:val="001D605F"/>
    <w:rsid w:val="001F626D"/>
    <w:rsid w:val="001F7721"/>
    <w:rsid w:val="00206110"/>
    <w:rsid w:val="002074BD"/>
    <w:rsid w:val="00236B77"/>
    <w:rsid w:val="00253510"/>
    <w:rsid w:val="00254A6E"/>
    <w:rsid w:val="00262FF8"/>
    <w:rsid w:val="002651B9"/>
    <w:rsid w:val="0027185A"/>
    <w:rsid w:val="00276017"/>
    <w:rsid w:val="00276CD4"/>
    <w:rsid w:val="002800DC"/>
    <w:rsid w:val="00283591"/>
    <w:rsid w:val="002874D8"/>
    <w:rsid w:val="00291452"/>
    <w:rsid w:val="002A3A71"/>
    <w:rsid w:val="002B0E19"/>
    <w:rsid w:val="002F2000"/>
    <w:rsid w:val="002F43C8"/>
    <w:rsid w:val="00304AFF"/>
    <w:rsid w:val="003110A2"/>
    <w:rsid w:val="00323FB6"/>
    <w:rsid w:val="00326F6A"/>
    <w:rsid w:val="0033028B"/>
    <w:rsid w:val="00334838"/>
    <w:rsid w:val="00354D9F"/>
    <w:rsid w:val="00355CFC"/>
    <w:rsid w:val="0037233C"/>
    <w:rsid w:val="003831ED"/>
    <w:rsid w:val="0038734F"/>
    <w:rsid w:val="003A132E"/>
    <w:rsid w:val="003A6044"/>
    <w:rsid w:val="003B6194"/>
    <w:rsid w:val="003C0F91"/>
    <w:rsid w:val="003D21C3"/>
    <w:rsid w:val="003E2471"/>
    <w:rsid w:val="00400E4D"/>
    <w:rsid w:val="004011F7"/>
    <w:rsid w:val="004038C6"/>
    <w:rsid w:val="004044CD"/>
    <w:rsid w:val="004108D3"/>
    <w:rsid w:val="00426FA1"/>
    <w:rsid w:val="004343F4"/>
    <w:rsid w:val="00451E74"/>
    <w:rsid w:val="004615EC"/>
    <w:rsid w:val="00465187"/>
    <w:rsid w:val="00467F2F"/>
    <w:rsid w:val="00476446"/>
    <w:rsid w:val="00481BB3"/>
    <w:rsid w:val="00490B14"/>
    <w:rsid w:val="00495A98"/>
    <w:rsid w:val="0049788A"/>
    <w:rsid w:val="004A084C"/>
    <w:rsid w:val="004A30FA"/>
    <w:rsid w:val="004B3511"/>
    <w:rsid w:val="004C4F18"/>
    <w:rsid w:val="004E0D36"/>
    <w:rsid w:val="004E0E67"/>
    <w:rsid w:val="004F1219"/>
    <w:rsid w:val="004F4863"/>
    <w:rsid w:val="00510BCB"/>
    <w:rsid w:val="00512CA1"/>
    <w:rsid w:val="00526E16"/>
    <w:rsid w:val="00542C36"/>
    <w:rsid w:val="00550228"/>
    <w:rsid w:val="00554E72"/>
    <w:rsid w:val="00556976"/>
    <w:rsid w:val="0056785D"/>
    <w:rsid w:val="005725BB"/>
    <w:rsid w:val="0057431E"/>
    <w:rsid w:val="00577B8E"/>
    <w:rsid w:val="00585FF7"/>
    <w:rsid w:val="0059604C"/>
    <w:rsid w:val="00596B8A"/>
    <w:rsid w:val="005A33BF"/>
    <w:rsid w:val="005B11CC"/>
    <w:rsid w:val="005B3FAF"/>
    <w:rsid w:val="005D2913"/>
    <w:rsid w:val="005F29B1"/>
    <w:rsid w:val="00600C93"/>
    <w:rsid w:val="00602B7A"/>
    <w:rsid w:val="00623AA1"/>
    <w:rsid w:val="0062440C"/>
    <w:rsid w:val="00624410"/>
    <w:rsid w:val="006266E5"/>
    <w:rsid w:val="006266F1"/>
    <w:rsid w:val="00644876"/>
    <w:rsid w:val="00647D78"/>
    <w:rsid w:val="006518BA"/>
    <w:rsid w:val="0067318C"/>
    <w:rsid w:val="00675C5D"/>
    <w:rsid w:val="00686037"/>
    <w:rsid w:val="00686B2E"/>
    <w:rsid w:val="00696CD7"/>
    <w:rsid w:val="006A1A4C"/>
    <w:rsid w:val="006A4535"/>
    <w:rsid w:val="006B2C8E"/>
    <w:rsid w:val="006B6C37"/>
    <w:rsid w:val="006D2B39"/>
    <w:rsid w:val="006D5DF2"/>
    <w:rsid w:val="006F20E8"/>
    <w:rsid w:val="006F5987"/>
    <w:rsid w:val="006F70FC"/>
    <w:rsid w:val="00702714"/>
    <w:rsid w:val="00704ABE"/>
    <w:rsid w:val="0071328B"/>
    <w:rsid w:val="007261B4"/>
    <w:rsid w:val="0072762C"/>
    <w:rsid w:val="00730658"/>
    <w:rsid w:val="00736F0B"/>
    <w:rsid w:val="007416A2"/>
    <w:rsid w:val="0074245F"/>
    <w:rsid w:val="0074253A"/>
    <w:rsid w:val="007448F6"/>
    <w:rsid w:val="00766433"/>
    <w:rsid w:val="0077680E"/>
    <w:rsid w:val="007911EE"/>
    <w:rsid w:val="00795AF7"/>
    <w:rsid w:val="007A72E6"/>
    <w:rsid w:val="007B191D"/>
    <w:rsid w:val="007C1890"/>
    <w:rsid w:val="007C33C9"/>
    <w:rsid w:val="007D35C1"/>
    <w:rsid w:val="007F0F72"/>
    <w:rsid w:val="007F7D6F"/>
    <w:rsid w:val="00800E77"/>
    <w:rsid w:val="0081780C"/>
    <w:rsid w:val="00824CD7"/>
    <w:rsid w:val="0084577F"/>
    <w:rsid w:val="008543D2"/>
    <w:rsid w:val="00855018"/>
    <w:rsid w:val="008557BE"/>
    <w:rsid w:val="00866D0C"/>
    <w:rsid w:val="00873627"/>
    <w:rsid w:val="00874188"/>
    <w:rsid w:val="00874BDE"/>
    <w:rsid w:val="00891857"/>
    <w:rsid w:val="008A1EB4"/>
    <w:rsid w:val="008A22C8"/>
    <w:rsid w:val="008A38B5"/>
    <w:rsid w:val="008B623B"/>
    <w:rsid w:val="008F7F11"/>
    <w:rsid w:val="00911F0A"/>
    <w:rsid w:val="0091266E"/>
    <w:rsid w:val="00923CC2"/>
    <w:rsid w:val="00936865"/>
    <w:rsid w:val="0093722D"/>
    <w:rsid w:val="0094237C"/>
    <w:rsid w:val="00945887"/>
    <w:rsid w:val="009465CA"/>
    <w:rsid w:val="009504E4"/>
    <w:rsid w:val="0095538B"/>
    <w:rsid w:val="0095706F"/>
    <w:rsid w:val="00962F72"/>
    <w:rsid w:val="009654C8"/>
    <w:rsid w:val="00967C71"/>
    <w:rsid w:val="00972AC4"/>
    <w:rsid w:val="00987AA7"/>
    <w:rsid w:val="00991703"/>
    <w:rsid w:val="009B08D1"/>
    <w:rsid w:val="009B1CDE"/>
    <w:rsid w:val="009C3C60"/>
    <w:rsid w:val="009D07A3"/>
    <w:rsid w:val="009D77B9"/>
    <w:rsid w:val="009E40AE"/>
    <w:rsid w:val="009E4ABF"/>
    <w:rsid w:val="009E7773"/>
    <w:rsid w:val="009F1345"/>
    <w:rsid w:val="009F3A3F"/>
    <w:rsid w:val="009F564A"/>
    <w:rsid w:val="00A016DD"/>
    <w:rsid w:val="00A23610"/>
    <w:rsid w:val="00A3037A"/>
    <w:rsid w:val="00A34432"/>
    <w:rsid w:val="00A43CCF"/>
    <w:rsid w:val="00A60E4A"/>
    <w:rsid w:val="00A6735B"/>
    <w:rsid w:val="00A756A9"/>
    <w:rsid w:val="00A80E54"/>
    <w:rsid w:val="00A81F2C"/>
    <w:rsid w:val="00A84293"/>
    <w:rsid w:val="00A94B6F"/>
    <w:rsid w:val="00AA1C89"/>
    <w:rsid w:val="00AA217B"/>
    <w:rsid w:val="00AA2EBA"/>
    <w:rsid w:val="00AC3FF8"/>
    <w:rsid w:val="00AC5173"/>
    <w:rsid w:val="00AD4741"/>
    <w:rsid w:val="00AD4E44"/>
    <w:rsid w:val="00AD6257"/>
    <w:rsid w:val="00AD736C"/>
    <w:rsid w:val="00AE1F78"/>
    <w:rsid w:val="00AE7BD8"/>
    <w:rsid w:val="00B00BC4"/>
    <w:rsid w:val="00B0342A"/>
    <w:rsid w:val="00B039ED"/>
    <w:rsid w:val="00B03FFB"/>
    <w:rsid w:val="00B21583"/>
    <w:rsid w:val="00B22364"/>
    <w:rsid w:val="00B23013"/>
    <w:rsid w:val="00B24BF1"/>
    <w:rsid w:val="00B3601A"/>
    <w:rsid w:val="00B43579"/>
    <w:rsid w:val="00B46F3E"/>
    <w:rsid w:val="00B535C3"/>
    <w:rsid w:val="00B55249"/>
    <w:rsid w:val="00B75B7F"/>
    <w:rsid w:val="00B7777D"/>
    <w:rsid w:val="00B8108F"/>
    <w:rsid w:val="00B814DC"/>
    <w:rsid w:val="00B82E71"/>
    <w:rsid w:val="00B85375"/>
    <w:rsid w:val="00B87F56"/>
    <w:rsid w:val="00B90EB6"/>
    <w:rsid w:val="00B91C05"/>
    <w:rsid w:val="00B97167"/>
    <w:rsid w:val="00B97EAE"/>
    <w:rsid w:val="00BB2418"/>
    <w:rsid w:val="00BB5BD9"/>
    <w:rsid w:val="00BB73B6"/>
    <w:rsid w:val="00BB7615"/>
    <w:rsid w:val="00BB76DA"/>
    <w:rsid w:val="00BC1E7F"/>
    <w:rsid w:val="00BC27DD"/>
    <w:rsid w:val="00BD4488"/>
    <w:rsid w:val="00BD5FBA"/>
    <w:rsid w:val="00BD6537"/>
    <w:rsid w:val="00BE6F22"/>
    <w:rsid w:val="00C007B4"/>
    <w:rsid w:val="00C03E5C"/>
    <w:rsid w:val="00C06601"/>
    <w:rsid w:val="00C13DCB"/>
    <w:rsid w:val="00C15424"/>
    <w:rsid w:val="00C220D1"/>
    <w:rsid w:val="00C23C67"/>
    <w:rsid w:val="00C43FFB"/>
    <w:rsid w:val="00C5047C"/>
    <w:rsid w:val="00C50534"/>
    <w:rsid w:val="00C50823"/>
    <w:rsid w:val="00C50EB3"/>
    <w:rsid w:val="00C56E59"/>
    <w:rsid w:val="00C62CED"/>
    <w:rsid w:val="00C7340E"/>
    <w:rsid w:val="00C91AE3"/>
    <w:rsid w:val="00CA0951"/>
    <w:rsid w:val="00CA1E6C"/>
    <w:rsid w:val="00CA461B"/>
    <w:rsid w:val="00CB588F"/>
    <w:rsid w:val="00CC04B3"/>
    <w:rsid w:val="00CC2276"/>
    <w:rsid w:val="00CC3820"/>
    <w:rsid w:val="00CD0E2B"/>
    <w:rsid w:val="00CD3D8B"/>
    <w:rsid w:val="00CD52C2"/>
    <w:rsid w:val="00CD7ED1"/>
    <w:rsid w:val="00CE2CA0"/>
    <w:rsid w:val="00CF6996"/>
    <w:rsid w:val="00D01558"/>
    <w:rsid w:val="00D101F1"/>
    <w:rsid w:val="00D10D8D"/>
    <w:rsid w:val="00D25BFA"/>
    <w:rsid w:val="00D37702"/>
    <w:rsid w:val="00D41C53"/>
    <w:rsid w:val="00D4387A"/>
    <w:rsid w:val="00D5301E"/>
    <w:rsid w:val="00D57DFD"/>
    <w:rsid w:val="00D632EB"/>
    <w:rsid w:val="00D6653C"/>
    <w:rsid w:val="00D71927"/>
    <w:rsid w:val="00D720A1"/>
    <w:rsid w:val="00D740C5"/>
    <w:rsid w:val="00D75CF9"/>
    <w:rsid w:val="00D76028"/>
    <w:rsid w:val="00D7626D"/>
    <w:rsid w:val="00D766FB"/>
    <w:rsid w:val="00D8612E"/>
    <w:rsid w:val="00D923B0"/>
    <w:rsid w:val="00D971E8"/>
    <w:rsid w:val="00DA5893"/>
    <w:rsid w:val="00DB23A7"/>
    <w:rsid w:val="00DC3B27"/>
    <w:rsid w:val="00DC5B77"/>
    <w:rsid w:val="00DD004D"/>
    <w:rsid w:val="00DF0C0C"/>
    <w:rsid w:val="00DF1E35"/>
    <w:rsid w:val="00E02A0C"/>
    <w:rsid w:val="00E03085"/>
    <w:rsid w:val="00E138F3"/>
    <w:rsid w:val="00E14B26"/>
    <w:rsid w:val="00E16585"/>
    <w:rsid w:val="00E23346"/>
    <w:rsid w:val="00E30483"/>
    <w:rsid w:val="00E35B88"/>
    <w:rsid w:val="00E4212C"/>
    <w:rsid w:val="00E438D3"/>
    <w:rsid w:val="00E464B1"/>
    <w:rsid w:val="00E51295"/>
    <w:rsid w:val="00E63960"/>
    <w:rsid w:val="00E950DC"/>
    <w:rsid w:val="00EB152C"/>
    <w:rsid w:val="00EB2703"/>
    <w:rsid w:val="00EC0770"/>
    <w:rsid w:val="00EC5828"/>
    <w:rsid w:val="00ED748C"/>
    <w:rsid w:val="00ED7E23"/>
    <w:rsid w:val="00EE1E6B"/>
    <w:rsid w:val="00EF303C"/>
    <w:rsid w:val="00EF4C62"/>
    <w:rsid w:val="00EF7D29"/>
    <w:rsid w:val="00F12E1E"/>
    <w:rsid w:val="00F13981"/>
    <w:rsid w:val="00F2164F"/>
    <w:rsid w:val="00F315BC"/>
    <w:rsid w:val="00F418CC"/>
    <w:rsid w:val="00F44B7D"/>
    <w:rsid w:val="00F518A9"/>
    <w:rsid w:val="00F54561"/>
    <w:rsid w:val="00F61F13"/>
    <w:rsid w:val="00F7758A"/>
    <w:rsid w:val="00F947A5"/>
    <w:rsid w:val="00FA6FAF"/>
    <w:rsid w:val="00FC456F"/>
    <w:rsid w:val="00FC6193"/>
    <w:rsid w:val="00FD05AB"/>
    <w:rsid w:val="00FD5590"/>
    <w:rsid w:val="00FD7254"/>
    <w:rsid w:val="00FD78E4"/>
    <w:rsid w:val="00FE2B68"/>
    <w:rsid w:val="00FF0ECA"/>
    <w:rsid w:val="00FF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4BB4C"/>
  <w15:chartTrackingRefBased/>
  <w15:docId w15:val="{C093D6E1-5A36-4267-89A7-D5A6D0EE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B97EAE"/>
    <w:pPr>
      <w:ind w:left="720"/>
      <w:contextualSpacing/>
    </w:pPr>
  </w:style>
  <w:style w:type="paragraph" w:styleId="Header">
    <w:name w:val="header"/>
    <w:basedOn w:val="Normal"/>
    <w:link w:val="HeaderChar"/>
    <w:uiPriority w:val="99"/>
    <w:unhideWhenUsed/>
    <w:rsid w:val="00B90EB6"/>
    <w:pPr>
      <w:tabs>
        <w:tab w:val="center" w:pos="4680"/>
        <w:tab w:val="right" w:pos="9360"/>
      </w:tabs>
    </w:pPr>
  </w:style>
  <w:style w:type="character" w:customStyle="1" w:styleId="HeaderChar">
    <w:name w:val="Header Char"/>
    <w:basedOn w:val="DefaultParagraphFont"/>
    <w:link w:val="Header"/>
    <w:uiPriority w:val="99"/>
    <w:rsid w:val="00B90EB6"/>
  </w:style>
  <w:style w:type="paragraph" w:styleId="Footer">
    <w:name w:val="footer"/>
    <w:basedOn w:val="Normal"/>
    <w:link w:val="FooterChar"/>
    <w:uiPriority w:val="99"/>
    <w:unhideWhenUsed/>
    <w:rsid w:val="00B90EB6"/>
    <w:pPr>
      <w:tabs>
        <w:tab w:val="center" w:pos="4680"/>
        <w:tab w:val="right" w:pos="9360"/>
      </w:tabs>
    </w:pPr>
  </w:style>
  <w:style w:type="character" w:customStyle="1" w:styleId="FooterChar">
    <w:name w:val="Footer Char"/>
    <w:basedOn w:val="DefaultParagraphFont"/>
    <w:link w:val="Footer"/>
    <w:uiPriority w:val="99"/>
    <w:rsid w:val="00B90EB6"/>
  </w:style>
  <w:style w:type="paragraph" w:styleId="FootnoteText">
    <w:name w:val="footnote text"/>
    <w:basedOn w:val="Normal"/>
    <w:link w:val="FootnoteTextChar"/>
    <w:uiPriority w:val="99"/>
    <w:unhideWhenUsed/>
    <w:rsid w:val="000A05E4"/>
    <w:rPr>
      <w:sz w:val="20"/>
      <w:szCs w:val="20"/>
    </w:rPr>
  </w:style>
  <w:style w:type="character" w:customStyle="1" w:styleId="FootnoteTextChar">
    <w:name w:val="Footnote Text Char"/>
    <w:basedOn w:val="DefaultParagraphFont"/>
    <w:link w:val="FootnoteText"/>
    <w:uiPriority w:val="99"/>
    <w:rsid w:val="000A05E4"/>
    <w:rPr>
      <w:sz w:val="20"/>
      <w:szCs w:val="20"/>
    </w:rPr>
  </w:style>
  <w:style w:type="character" w:styleId="FootnoteReference">
    <w:name w:val="footnote reference"/>
    <w:basedOn w:val="DefaultParagraphFont"/>
    <w:uiPriority w:val="99"/>
    <w:semiHidden/>
    <w:unhideWhenUsed/>
    <w:rsid w:val="000A05E4"/>
    <w:rPr>
      <w:vertAlign w:val="superscript"/>
    </w:rPr>
  </w:style>
  <w:style w:type="character" w:styleId="Hyperlink">
    <w:name w:val="Hyperlink"/>
    <w:basedOn w:val="DefaultParagraphFont"/>
    <w:uiPriority w:val="99"/>
    <w:unhideWhenUsed/>
    <w:rsid w:val="00BB7615"/>
    <w:rPr>
      <w:color w:val="0000FF"/>
      <w:u w:val="single"/>
    </w:rPr>
  </w:style>
  <w:style w:type="character" w:styleId="FollowedHyperlink">
    <w:name w:val="FollowedHyperlink"/>
    <w:basedOn w:val="DefaultParagraphFont"/>
    <w:uiPriority w:val="99"/>
    <w:semiHidden/>
    <w:unhideWhenUsed/>
    <w:rsid w:val="003110A2"/>
    <w:rPr>
      <w:color w:val="954F72" w:themeColor="followedHyperlink"/>
      <w:u w:val="single"/>
    </w:rPr>
  </w:style>
  <w:style w:type="paragraph" w:styleId="BalloonText">
    <w:name w:val="Balloon Text"/>
    <w:basedOn w:val="Normal"/>
    <w:link w:val="BalloonTextChar"/>
    <w:uiPriority w:val="99"/>
    <w:semiHidden/>
    <w:unhideWhenUsed/>
    <w:rsid w:val="00CC38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8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393524">
      <w:bodyDiv w:val="1"/>
      <w:marLeft w:val="0"/>
      <w:marRight w:val="0"/>
      <w:marTop w:val="0"/>
      <w:marBottom w:val="0"/>
      <w:divBdr>
        <w:top w:val="none" w:sz="0" w:space="0" w:color="auto"/>
        <w:left w:val="none" w:sz="0" w:space="0" w:color="auto"/>
        <w:bottom w:val="none" w:sz="0" w:space="0" w:color="auto"/>
        <w:right w:val="none" w:sz="0" w:space="0" w:color="auto"/>
      </w:divBdr>
    </w:div>
    <w:div w:id="329218813">
      <w:bodyDiv w:val="1"/>
      <w:marLeft w:val="0"/>
      <w:marRight w:val="0"/>
      <w:marTop w:val="0"/>
      <w:marBottom w:val="0"/>
      <w:divBdr>
        <w:top w:val="none" w:sz="0" w:space="0" w:color="auto"/>
        <w:left w:val="none" w:sz="0" w:space="0" w:color="auto"/>
        <w:bottom w:val="none" w:sz="0" w:space="0" w:color="auto"/>
        <w:right w:val="none" w:sz="0" w:space="0" w:color="auto"/>
      </w:divBdr>
    </w:div>
    <w:div w:id="368535448">
      <w:bodyDiv w:val="1"/>
      <w:marLeft w:val="0"/>
      <w:marRight w:val="0"/>
      <w:marTop w:val="0"/>
      <w:marBottom w:val="0"/>
      <w:divBdr>
        <w:top w:val="none" w:sz="0" w:space="0" w:color="auto"/>
        <w:left w:val="none" w:sz="0" w:space="0" w:color="auto"/>
        <w:bottom w:val="none" w:sz="0" w:space="0" w:color="auto"/>
        <w:right w:val="none" w:sz="0" w:space="0" w:color="auto"/>
      </w:divBdr>
    </w:div>
    <w:div w:id="414673113">
      <w:bodyDiv w:val="1"/>
      <w:marLeft w:val="0"/>
      <w:marRight w:val="0"/>
      <w:marTop w:val="0"/>
      <w:marBottom w:val="0"/>
      <w:divBdr>
        <w:top w:val="none" w:sz="0" w:space="0" w:color="auto"/>
        <w:left w:val="none" w:sz="0" w:space="0" w:color="auto"/>
        <w:bottom w:val="none" w:sz="0" w:space="0" w:color="auto"/>
        <w:right w:val="none" w:sz="0" w:space="0" w:color="auto"/>
      </w:divBdr>
    </w:div>
    <w:div w:id="559365651">
      <w:bodyDiv w:val="1"/>
      <w:marLeft w:val="0"/>
      <w:marRight w:val="0"/>
      <w:marTop w:val="0"/>
      <w:marBottom w:val="0"/>
      <w:divBdr>
        <w:top w:val="none" w:sz="0" w:space="0" w:color="auto"/>
        <w:left w:val="none" w:sz="0" w:space="0" w:color="auto"/>
        <w:bottom w:val="none" w:sz="0" w:space="0" w:color="auto"/>
        <w:right w:val="none" w:sz="0" w:space="0" w:color="auto"/>
      </w:divBdr>
    </w:div>
    <w:div w:id="691147931">
      <w:bodyDiv w:val="1"/>
      <w:marLeft w:val="0"/>
      <w:marRight w:val="0"/>
      <w:marTop w:val="0"/>
      <w:marBottom w:val="0"/>
      <w:divBdr>
        <w:top w:val="none" w:sz="0" w:space="0" w:color="auto"/>
        <w:left w:val="none" w:sz="0" w:space="0" w:color="auto"/>
        <w:bottom w:val="none" w:sz="0" w:space="0" w:color="auto"/>
        <w:right w:val="none" w:sz="0" w:space="0" w:color="auto"/>
      </w:divBdr>
    </w:div>
    <w:div w:id="1056465232">
      <w:bodyDiv w:val="1"/>
      <w:marLeft w:val="0"/>
      <w:marRight w:val="0"/>
      <w:marTop w:val="0"/>
      <w:marBottom w:val="0"/>
      <w:divBdr>
        <w:top w:val="none" w:sz="0" w:space="0" w:color="auto"/>
        <w:left w:val="none" w:sz="0" w:space="0" w:color="auto"/>
        <w:bottom w:val="none" w:sz="0" w:space="0" w:color="auto"/>
        <w:right w:val="none" w:sz="0" w:space="0" w:color="auto"/>
      </w:divBdr>
    </w:div>
    <w:div w:id="1146508639">
      <w:bodyDiv w:val="1"/>
      <w:marLeft w:val="0"/>
      <w:marRight w:val="0"/>
      <w:marTop w:val="0"/>
      <w:marBottom w:val="0"/>
      <w:divBdr>
        <w:top w:val="none" w:sz="0" w:space="0" w:color="auto"/>
        <w:left w:val="none" w:sz="0" w:space="0" w:color="auto"/>
        <w:bottom w:val="none" w:sz="0" w:space="0" w:color="auto"/>
        <w:right w:val="none" w:sz="0" w:space="0" w:color="auto"/>
      </w:divBdr>
    </w:div>
    <w:div w:id="1256208997">
      <w:bodyDiv w:val="1"/>
      <w:marLeft w:val="0"/>
      <w:marRight w:val="0"/>
      <w:marTop w:val="0"/>
      <w:marBottom w:val="0"/>
      <w:divBdr>
        <w:top w:val="none" w:sz="0" w:space="0" w:color="auto"/>
        <w:left w:val="none" w:sz="0" w:space="0" w:color="auto"/>
        <w:bottom w:val="none" w:sz="0" w:space="0" w:color="auto"/>
        <w:right w:val="none" w:sz="0" w:space="0" w:color="auto"/>
      </w:divBdr>
    </w:div>
    <w:div w:id="1447196709">
      <w:bodyDiv w:val="1"/>
      <w:marLeft w:val="0"/>
      <w:marRight w:val="0"/>
      <w:marTop w:val="0"/>
      <w:marBottom w:val="0"/>
      <w:divBdr>
        <w:top w:val="none" w:sz="0" w:space="0" w:color="auto"/>
        <w:left w:val="none" w:sz="0" w:space="0" w:color="auto"/>
        <w:bottom w:val="none" w:sz="0" w:space="0" w:color="auto"/>
        <w:right w:val="none" w:sz="0" w:space="0" w:color="auto"/>
      </w:divBdr>
    </w:div>
    <w:div w:id="1561480802">
      <w:bodyDiv w:val="1"/>
      <w:marLeft w:val="0"/>
      <w:marRight w:val="0"/>
      <w:marTop w:val="0"/>
      <w:marBottom w:val="0"/>
      <w:divBdr>
        <w:top w:val="none" w:sz="0" w:space="0" w:color="auto"/>
        <w:left w:val="none" w:sz="0" w:space="0" w:color="auto"/>
        <w:bottom w:val="none" w:sz="0" w:space="0" w:color="auto"/>
        <w:right w:val="none" w:sz="0" w:space="0" w:color="auto"/>
      </w:divBdr>
    </w:div>
    <w:div w:id="1630358122">
      <w:bodyDiv w:val="1"/>
      <w:marLeft w:val="0"/>
      <w:marRight w:val="0"/>
      <w:marTop w:val="0"/>
      <w:marBottom w:val="0"/>
      <w:divBdr>
        <w:top w:val="none" w:sz="0" w:space="0" w:color="auto"/>
        <w:left w:val="none" w:sz="0" w:space="0" w:color="auto"/>
        <w:bottom w:val="none" w:sz="0" w:space="0" w:color="auto"/>
        <w:right w:val="none" w:sz="0" w:space="0" w:color="auto"/>
      </w:divBdr>
    </w:div>
    <w:div w:id="1759668626">
      <w:bodyDiv w:val="1"/>
      <w:marLeft w:val="0"/>
      <w:marRight w:val="0"/>
      <w:marTop w:val="0"/>
      <w:marBottom w:val="0"/>
      <w:divBdr>
        <w:top w:val="none" w:sz="0" w:space="0" w:color="auto"/>
        <w:left w:val="none" w:sz="0" w:space="0" w:color="auto"/>
        <w:bottom w:val="none" w:sz="0" w:space="0" w:color="auto"/>
        <w:right w:val="none" w:sz="0" w:space="0" w:color="auto"/>
      </w:divBdr>
    </w:div>
    <w:div w:id="18384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eeoc.gov/facts/pandemic_flu.html" TargetMode="External"/><Relationship Id="rId2" Type="http://schemas.openxmlformats.org/officeDocument/2006/relationships/hyperlink" Target="http://www.osha.gov/workers.html" TargetMode="External"/><Relationship Id="rId1" Type="http://schemas.openxmlformats.org/officeDocument/2006/relationships/hyperlink" Target="http://www.rcfp.org/sites/default/files/homefront-confidenti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7</Pages>
  <Words>2343</Words>
  <Characters>13356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64</cp:revision>
  <dcterms:created xsi:type="dcterms:W3CDTF">2020-08-07T20:30:00Z</dcterms:created>
  <dcterms:modified xsi:type="dcterms:W3CDTF">2020-08-28T16:15:00Z</dcterms:modified>
</cp:coreProperties>
</file>