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69492" w14:textId="77777777" w:rsidR="00ED6F32" w:rsidRPr="00ED6F32" w:rsidRDefault="00ED6F32" w:rsidP="00E26561">
      <w:pPr>
        <w:spacing w:line="480" w:lineRule="auto"/>
        <w:rPr>
          <w:rFonts w:ascii="Calibri" w:eastAsia="Times New Roman" w:hAnsi="Calibri" w:cs="Calibri"/>
          <w:b/>
          <w:bCs/>
          <w:color w:val="333333"/>
          <w:spacing w:val="15"/>
          <w:kern w:val="36"/>
          <w:sz w:val="28"/>
          <w:szCs w:val="28"/>
        </w:rPr>
      </w:pPr>
      <w:r w:rsidRPr="00ED6F32">
        <w:rPr>
          <w:rFonts w:ascii="Calibri" w:eastAsia="Times New Roman" w:hAnsi="Calibri" w:cs="Calibri"/>
          <w:b/>
          <w:bCs/>
          <w:color w:val="333333"/>
          <w:spacing w:val="15"/>
          <w:kern w:val="36"/>
          <w:sz w:val="28"/>
          <w:szCs w:val="28"/>
        </w:rPr>
        <w:t>Section 564 of the Federal Food, Drug, and Cosmetic Act</w:t>
      </w:r>
    </w:p>
    <w:p w14:paraId="116EA04D" w14:textId="64062AA2" w:rsidR="00ED6F32" w:rsidRPr="00ED6F32" w:rsidRDefault="00ED6F32" w:rsidP="00E26561">
      <w:pPr>
        <w:spacing w:line="480" w:lineRule="auto"/>
        <w:rPr>
          <w:rFonts w:ascii="Calibri" w:eastAsia="Times New Roman" w:hAnsi="Calibri" w:cs="Calibri"/>
          <w:b/>
          <w:bCs/>
          <w:color w:val="3C3030"/>
          <w:sz w:val="24"/>
          <w:szCs w:val="24"/>
        </w:rPr>
      </w:pPr>
      <w:r w:rsidRPr="00ED6F32">
        <w:rPr>
          <w:rFonts w:ascii="Calibri" w:eastAsia="Times New Roman" w:hAnsi="Calibri" w:cs="Calibri"/>
          <w:b/>
          <w:bCs/>
          <w:color w:val="3C3030"/>
          <w:sz w:val="24"/>
          <w:szCs w:val="24"/>
        </w:rPr>
        <w:t>Fact Sheet</w:t>
      </w:r>
    </w:p>
    <w:p w14:paraId="15919D33" w14:textId="77777777" w:rsidR="002F7045" w:rsidRDefault="002F7045" w:rsidP="00E26561">
      <w:pPr>
        <w:spacing w:line="480" w:lineRule="auto"/>
        <w:rPr>
          <w:rFonts w:ascii="Calibri" w:eastAsia="Times New Roman" w:hAnsi="Calibri" w:cs="Calibri"/>
          <w:b/>
          <w:bCs/>
          <w:color w:val="3C3030"/>
          <w:sz w:val="24"/>
          <w:szCs w:val="24"/>
        </w:rPr>
      </w:pPr>
    </w:p>
    <w:p w14:paraId="5C0855BB" w14:textId="6876185D" w:rsidR="00ED6F32" w:rsidRPr="00ED6F32" w:rsidRDefault="00ED6F32" w:rsidP="00E26561">
      <w:pPr>
        <w:spacing w:line="480" w:lineRule="auto"/>
        <w:rPr>
          <w:rFonts w:ascii="Calibri" w:eastAsia="Times New Roman" w:hAnsi="Calibri" w:cs="Calibri"/>
          <w:b/>
          <w:bCs/>
          <w:sz w:val="24"/>
          <w:szCs w:val="24"/>
        </w:rPr>
      </w:pPr>
      <w:r w:rsidRPr="00ED6F32">
        <w:rPr>
          <w:rFonts w:ascii="Calibri" w:eastAsia="Times New Roman" w:hAnsi="Calibri" w:cs="Calibri"/>
          <w:b/>
          <w:bCs/>
          <w:color w:val="3C3030"/>
          <w:sz w:val="24"/>
          <w:szCs w:val="24"/>
        </w:rPr>
        <w:t>Overview</w:t>
      </w:r>
    </w:p>
    <w:p w14:paraId="46CDC3C5" w14:textId="77777777"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An </w:t>
      </w:r>
      <w:hyperlink r:id="rId7" w:anchor="Emergency-Use" w:tooltip="Emergency Use Authorization (EUA)" w:history="1">
        <w:r w:rsidRPr="00ED6F32">
          <w:rPr>
            <w:rFonts w:ascii="Calibri" w:eastAsia="Times New Roman" w:hAnsi="Calibri" w:cs="Calibri"/>
            <w:color w:val="0F88B8"/>
            <w:bdr w:val="none" w:sz="0" w:space="0" w:color="auto" w:frame="1"/>
          </w:rPr>
          <w:t>Emergency Use Authorization (EUA)</w:t>
        </w:r>
      </w:hyperlink>
      <w:r w:rsidRPr="00ED6F32">
        <w:rPr>
          <w:rFonts w:ascii="Calibri" w:eastAsia="Times New Roman" w:hAnsi="Calibri" w:cs="Calibri"/>
          <w:color w:val="737373"/>
        </w:rPr>
        <w:t> </w:t>
      </w:r>
      <w:r w:rsidRPr="00ED6F32">
        <w:rPr>
          <w:rFonts w:ascii="Calibri" w:eastAsia="Times New Roman" w:hAnsi="Calibri" w:cs="Calibri"/>
        </w:rPr>
        <w:t>under Section 564 of the Federal Food, Drug, and Cosmetic Act (FD&amp;C Act)</w:t>
      </w:r>
      <w:r w:rsidRPr="00ED6F32">
        <w:rPr>
          <w:rFonts w:ascii="Calibri" w:eastAsia="Times New Roman" w:hAnsi="Calibri" w:cs="Calibri"/>
          <w:bdr w:val="none" w:sz="0" w:space="0" w:color="auto" w:frame="1"/>
          <w:vertAlign w:val="superscript"/>
        </w:rPr>
        <w:t>1</w:t>
      </w:r>
      <w:r w:rsidRPr="00ED6F32">
        <w:rPr>
          <w:rFonts w:ascii="Calibri" w:eastAsia="Times New Roman" w:hAnsi="Calibri" w:cs="Calibri"/>
        </w:rPr>
        <w:t> allows for the special use of drugs and other medical products during certain types of emergencies.</w:t>
      </w:r>
      <w:r w:rsidRPr="00ED6F32">
        <w:rPr>
          <w:rFonts w:ascii="Calibri" w:eastAsia="Times New Roman" w:hAnsi="Calibri" w:cs="Calibri"/>
          <w:bdr w:val="none" w:sz="0" w:space="0" w:color="auto" w:frame="1"/>
          <w:vertAlign w:val="superscript"/>
        </w:rPr>
        <w:t>2</w:t>
      </w:r>
      <w:r w:rsidRPr="00ED6F32">
        <w:rPr>
          <w:rFonts w:ascii="Calibri" w:eastAsia="Times New Roman" w:hAnsi="Calibri" w:cs="Calibri"/>
        </w:rPr>
        <w:t> The EUA authority was added by the </w:t>
      </w:r>
      <w:hyperlink r:id="rId8" w:anchor="Project-BioShield" w:tooltip="Project BioShield Act of 2004" w:history="1">
        <w:r w:rsidRPr="00ED6F32">
          <w:rPr>
            <w:rFonts w:ascii="Calibri" w:eastAsia="Times New Roman" w:hAnsi="Calibri" w:cs="Calibri"/>
            <w:color w:val="0F88B8"/>
            <w:bdr w:val="none" w:sz="0" w:space="0" w:color="auto" w:frame="1"/>
          </w:rPr>
          <w:t xml:space="preserve">Project </w:t>
        </w:r>
        <w:proofErr w:type="spellStart"/>
        <w:r w:rsidRPr="00ED6F32">
          <w:rPr>
            <w:rFonts w:ascii="Calibri" w:eastAsia="Times New Roman" w:hAnsi="Calibri" w:cs="Calibri"/>
            <w:color w:val="0F88B8"/>
            <w:bdr w:val="none" w:sz="0" w:space="0" w:color="auto" w:frame="1"/>
          </w:rPr>
          <w:t>BioShield</w:t>
        </w:r>
        <w:proofErr w:type="spellEnd"/>
        <w:r w:rsidRPr="00ED6F32">
          <w:rPr>
            <w:rFonts w:ascii="Calibri" w:eastAsia="Times New Roman" w:hAnsi="Calibri" w:cs="Calibri"/>
            <w:color w:val="0F88B8"/>
            <w:bdr w:val="none" w:sz="0" w:space="0" w:color="auto" w:frame="1"/>
          </w:rPr>
          <w:t xml:space="preserve"> Act of 2004</w:t>
        </w:r>
      </w:hyperlink>
      <w:r w:rsidRPr="00ED6F32">
        <w:rPr>
          <w:rFonts w:ascii="Calibri" w:eastAsia="Times New Roman" w:hAnsi="Calibri" w:cs="Calibri"/>
          <w:color w:val="737373"/>
        </w:rPr>
        <w:t xml:space="preserve">, </w:t>
      </w:r>
      <w:r w:rsidRPr="00ED6F32">
        <w:rPr>
          <w:rFonts w:ascii="Calibri" w:eastAsia="Times New Roman" w:hAnsi="Calibri" w:cs="Calibri"/>
        </w:rPr>
        <w:t>which amended the FD&amp;C Act, among other things.</w:t>
      </w:r>
      <w:r w:rsidRPr="00ED6F32">
        <w:rPr>
          <w:rFonts w:ascii="Calibri" w:eastAsia="Times New Roman" w:hAnsi="Calibri" w:cs="Calibri"/>
          <w:bdr w:val="none" w:sz="0" w:space="0" w:color="auto" w:frame="1"/>
          <w:vertAlign w:val="superscript"/>
        </w:rPr>
        <w:t>3</w:t>
      </w:r>
      <w:r w:rsidRPr="00ED6F32">
        <w:rPr>
          <w:rFonts w:ascii="Calibri" w:eastAsia="Times New Roman" w:hAnsi="Calibri" w:cs="Calibri"/>
        </w:rPr>
        <w:t>  </w:t>
      </w:r>
    </w:p>
    <w:p w14:paraId="3A197F86" w14:textId="77777777" w:rsidR="002F7045" w:rsidRPr="00E26561" w:rsidRDefault="002F7045" w:rsidP="00E26561">
      <w:pPr>
        <w:shd w:val="clear" w:color="auto" w:fill="FFFFFF"/>
        <w:spacing w:line="480" w:lineRule="auto"/>
        <w:textAlignment w:val="baseline"/>
        <w:rPr>
          <w:rFonts w:ascii="Calibri" w:eastAsia="Times New Roman" w:hAnsi="Calibri" w:cs="Calibri"/>
        </w:rPr>
      </w:pPr>
    </w:p>
    <w:p w14:paraId="5EDC386D" w14:textId="0486180D" w:rsidR="00ED6F32" w:rsidRPr="00ED6F32" w:rsidRDefault="00ED6F32" w:rsidP="00E26561">
      <w:pPr>
        <w:shd w:val="clear" w:color="auto" w:fill="FFFFFF"/>
        <w:spacing w:line="480" w:lineRule="auto"/>
        <w:textAlignment w:val="baseline"/>
        <w:rPr>
          <w:rFonts w:ascii="Calibri" w:eastAsia="Times New Roman" w:hAnsi="Calibri" w:cs="Calibri"/>
          <w:color w:val="737373"/>
        </w:rPr>
      </w:pPr>
      <w:r w:rsidRPr="00ED6F32">
        <w:rPr>
          <w:rFonts w:ascii="Calibri" w:eastAsia="Times New Roman" w:hAnsi="Calibri" w:cs="Calibri"/>
        </w:rPr>
        <w:t>As of March 2012, Congress is in the process of reauthorizing the </w:t>
      </w:r>
      <w:hyperlink r:id="rId9" w:anchor="Pandemic-And" w:tooltip="Pandemic and All-Hazards Preparedness Act (PAHPA)" w:history="1">
        <w:r w:rsidRPr="00ED6F32">
          <w:rPr>
            <w:rFonts w:ascii="Calibri" w:eastAsia="Times New Roman" w:hAnsi="Calibri" w:cs="Calibri"/>
            <w:color w:val="0F88B8"/>
            <w:bdr w:val="none" w:sz="0" w:space="0" w:color="auto" w:frame="1"/>
          </w:rPr>
          <w:t>Pandemic and All-Hazards Preparedness Act (PAHPA)</w:t>
        </w:r>
      </w:hyperlink>
      <w:r w:rsidRPr="00ED6F32">
        <w:rPr>
          <w:rFonts w:ascii="Calibri" w:eastAsia="Times New Roman" w:hAnsi="Calibri" w:cs="Calibri"/>
          <w:color w:val="737373"/>
        </w:rPr>
        <w:t xml:space="preserve">. </w:t>
      </w:r>
      <w:r w:rsidRPr="00ED6F32">
        <w:rPr>
          <w:rFonts w:ascii="Calibri" w:eastAsia="Times New Roman" w:hAnsi="Calibri" w:cs="Calibri"/>
        </w:rPr>
        <w:t>The U.S. House and Senate have adopted their own versions of reauthorizing legislation, both of which provide greater flexibility for HHS and FDA to approve the use of medical products in emergencies but differ in some specific provisions. Congress is likely to convene a conference committee to reconcile the differences between the bills. The legislation ultimately passed may affect Section 564 and other provisions of the FD&amp;C Act as described below. Please see </w:t>
      </w:r>
      <w:hyperlink r:id="rId10" w:tooltip="ASTHO EUA Current Issues Winter 2012" w:history="1">
        <w:r w:rsidRPr="00ED6F32">
          <w:rPr>
            <w:rFonts w:ascii="Calibri" w:eastAsia="Times New Roman" w:hAnsi="Calibri" w:cs="Calibri"/>
            <w:color w:val="0F88B8"/>
            <w:bdr w:val="none" w:sz="0" w:space="0" w:color="auto" w:frame="1"/>
          </w:rPr>
          <w:t>ASTHO EUA Current Issues Winter 2012</w:t>
        </w:r>
      </w:hyperlink>
      <w:r w:rsidRPr="00ED6F32">
        <w:rPr>
          <w:rFonts w:ascii="Calibri" w:eastAsia="Times New Roman" w:hAnsi="Calibri" w:cs="Calibri"/>
          <w:color w:val="737373"/>
        </w:rPr>
        <w:t> </w:t>
      </w:r>
      <w:r w:rsidRPr="00ED6F32">
        <w:rPr>
          <w:rFonts w:ascii="Calibri" w:eastAsia="Times New Roman" w:hAnsi="Calibri" w:cs="Calibri"/>
        </w:rPr>
        <w:t xml:space="preserve">for more information about reauthorization and its potential impact on EUAs and related issues. </w:t>
      </w:r>
    </w:p>
    <w:p w14:paraId="0D5EAB44" w14:textId="77777777" w:rsidR="002F7045" w:rsidRPr="002F7045" w:rsidRDefault="002F7045" w:rsidP="00E26561">
      <w:pPr>
        <w:spacing w:line="480" w:lineRule="auto"/>
        <w:rPr>
          <w:rFonts w:ascii="Calibri" w:eastAsia="Times New Roman" w:hAnsi="Calibri" w:cs="Calibri"/>
          <w:b/>
          <w:bCs/>
          <w:color w:val="3C3030"/>
        </w:rPr>
      </w:pPr>
    </w:p>
    <w:p w14:paraId="416DA1F6" w14:textId="0E487935" w:rsidR="00ED6F32" w:rsidRPr="00ED6F32" w:rsidRDefault="00ED6F32" w:rsidP="00E26561">
      <w:pPr>
        <w:spacing w:line="480" w:lineRule="auto"/>
        <w:rPr>
          <w:rFonts w:ascii="Calibri" w:eastAsia="Times New Roman" w:hAnsi="Calibri" w:cs="Calibri"/>
          <w:b/>
          <w:bCs/>
          <w:color w:val="3C3030"/>
          <w:sz w:val="24"/>
          <w:szCs w:val="24"/>
        </w:rPr>
      </w:pPr>
      <w:r w:rsidRPr="00ED6F32">
        <w:rPr>
          <w:rFonts w:ascii="Calibri" w:eastAsia="Times New Roman" w:hAnsi="Calibri" w:cs="Calibri"/>
          <w:b/>
          <w:bCs/>
          <w:color w:val="3C3030"/>
          <w:sz w:val="24"/>
          <w:szCs w:val="24"/>
        </w:rPr>
        <w:t>What the Law Does</w:t>
      </w:r>
    </w:p>
    <w:p w14:paraId="25EB3794" w14:textId="77777777"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An EUA permits the use of unapproved medical products (drugs, biologics [e.g., vaccines], and devices [e.g., diagnostics]) or the use of approved medical products in unapproved ways to diagnose, treat, or prevent serious diseases or conditions caused by chemical, biological, radiological, or nuclear (CBRN) agents if certain criteria contained in FD&amp;C Act §564 are met.</w:t>
      </w:r>
      <w:r w:rsidRPr="00ED6F32">
        <w:rPr>
          <w:rFonts w:ascii="Calibri" w:eastAsia="Times New Roman" w:hAnsi="Calibri" w:cs="Calibri"/>
          <w:bdr w:val="none" w:sz="0" w:space="0" w:color="auto" w:frame="1"/>
          <w:vertAlign w:val="superscript"/>
        </w:rPr>
        <w:t>3</w:t>
      </w:r>
      <w:r w:rsidRPr="00ED6F32">
        <w:rPr>
          <w:rFonts w:ascii="Calibri" w:eastAsia="Times New Roman" w:hAnsi="Calibri" w:cs="Calibri"/>
        </w:rPr>
        <w:t xml:space="preserve"> Under the FD&amp;C Act, drugs, biologics </w:t>
      </w:r>
      <w:r w:rsidRPr="00ED6F32">
        <w:rPr>
          <w:rFonts w:ascii="Calibri" w:eastAsia="Times New Roman" w:hAnsi="Calibri" w:cs="Calibri"/>
        </w:rPr>
        <w:lastRenderedPageBreak/>
        <w:t>(e.g., vaccines), and devices are required to meet certain requirements for safety and efficacy before they are approved by the Food and Drug Administration (FDA) to treat particular diseases or conditions in specified ways.</w:t>
      </w:r>
    </w:p>
    <w:p w14:paraId="464EE9B6" w14:textId="77777777" w:rsidR="002F7045" w:rsidRPr="001F1327" w:rsidRDefault="002F7045" w:rsidP="00E26561">
      <w:pPr>
        <w:shd w:val="clear" w:color="auto" w:fill="FFFFFF"/>
        <w:spacing w:line="480" w:lineRule="auto"/>
        <w:textAlignment w:val="baseline"/>
        <w:rPr>
          <w:rFonts w:ascii="Calibri" w:eastAsia="Times New Roman" w:hAnsi="Calibri" w:cs="Calibri"/>
        </w:rPr>
      </w:pPr>
    </w:p>
    <w:p w14:paraId="4BC0011B" w14:textId="7E02A3B2"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Traditionally, there are three phases for the development of drugs under the FD&amp;C Act: pre-investigational new drug (pre-IND); investigational new drug (IND); and a new drug application (NDA).</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Each of these stages has statutory and regulatory requirements that must be satisfied. An EUA is not part of this traditional development pathway; it is a separate process used only during emergencies and is not part of the regular drug approval process.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It is not required that a drug proposed for an EUA be at a specific point on the drug development pathway.</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w:t>
      </w:r>
    </w:p>
    <w:p w14:paraId="527C1A1D" w14:textId="77777777" w:rsidR="002F7045" w:rsidRPr="001F1327" w:rsidRDefault="002F7045" w:rsidP="00E26561">
      <w:pPr>
        <w:shd w:val="clear" w:color="auto" w:fill="FFFFFF"/>
        <w:spacing w:line="480" w:lineRule="auto"/>
        <w:textAlignment w:val="baseline"/>
        <w:rPr>
          <w:rFonts w:ascii="Calibri" w:eastAsia="Times New Roman" w:hAnsi="Calibri" w:cs="Calibri"/>
        </w:rPr>
      </w:pPr>
    </w:p>
    <w:p w14:paraId="1FF74892" w14:textId="03DD0E59"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The FDA has criteria it must follow under the FD&amp;C Act when it decides whether to issue an EUA. The FDA places conditions on the authorization that must be followed when using a product under an EUA. If a product has been approved by the FDA and is being used according to the FDA label requirements, the product does not require that an EUA be issued.</w:t>
      </w:r>
      <w:r w:rsidRPr="00ED6F32">
        <w:rPr>
          <w:rFonts w:ascii="Calibri" w:eastAsia="Times New Roman" w:hAnsi="Calibri" w:cs="Calibri"/>
          <w:bdr w:val="none" w:sz="0" w:space="0" w:color="auto" w:frame="1"/>
          <w:vertAlign w:val="superscript"/>
        </w:rPr>
        <w:t>5</w:t>
      </w:r>
      <w:r w:rsidRPr="00ED6F32">
        <w:rPr>
          <w:rFonts w:ascii="Calibri" w:eastAsia="Times New Roman" w:hAnsi="Calibri" w:cs="Calibri"/>
        </w:rPr>
        <w:t>  </w:t>
      </w:r>
    </w:p>
    <w:p w14:paraId="077897EE" w14:textId="77777777" w:rsidR="002F7045" w:rsidRPr="001F1327" w:rsidRDefault="002F7045" w:rsidP="00E26561">
      <w:pPr>
        <w:spacing w:line="480" w:lineRule="auto"/>
        <w:rPr>
          <w:rFonts w:ascii="Calibri" w:eastAsia="Times New Roman" w:hAnsi="Calibri" w:cs="Calibri"/>
          <w:b/>
          <w:bCs/>
        </w:rPr>
      </w:pPr>
    </w:p>
    <w:p w14:paraId="6CA7C1C2" w14:textId="7F3DF8A4" w:rsidR="00ED6F32" w:rsidRPr="00ED6F32" w:rsidRDefault="00ED6F32" w:rsidP="00E26561">
      <w:pPr>
        <w:spacing w:line="480" w:lineRule="auto"/>
        <w:rPr>
          <w:rFonts w:ascii="Calibri" w:eastAsia="Times New Roman" w:hAnsi="Calibri" w:cs="Calibri"/>
          <w:b/>
          <w:bCs/>
        </w:rPr>
      </w:pPr>
      <w:r w:rsidRPr="00ED6F32">
        <w:rPr>
          <w:rFonts w:ascii="Calibri" w:eastAsia="Times New Roman" w:hAnsi="Calibri" w:cs="Calibri"/>
          <w:b/>
          <w:bCs/>
        </w:rPr>
        <w:t>Liability Protections</w:t>
      </w:r>
    </w:p>
    <w:p w14:paraId="7AC11C92" w14:textId="77777777" w:rsidR="00ED6F32" w:rsidRPr="00ED6F32" w:rsidRDefault="00ED6F32" w:rsidP="00E26561">
      <w:pPr>
        <w:shd w:val="clear" w:color="auto" w:fill="FFFFFF"/>
        <w:spacing w:line="480" w:lineRule="auto"/>
        <w:textAlignment w:val="baseline"/>
        <w:rPr>
          <w:rFonts w:ascii="Calibri" w:eastAsia="Times New Roman" w:hAnsi="Calibri" w:cs="Calibri"/>
          <w:color w:val="737373"/>
        </w:rPr>
      </w:pPr>
      <w:r w:rsidRPr="00ED6F32">
        <w:rPr>
          <w:rFonts w:ascii="Calibri" w:eastAsia="Times New Roman" w:hAnsi="Calibri" w:cs="Calibri"/>
        </w:rPr>
        <w:t>An EUA authorization under FD&amp;C Act §564 does not contain or confer any tort liability protections by itself.</w:t>
      </w:r>
      <w:r w:rsidRPr="00ED6F32">
        <w:rPr>
          <w:rFonts w:ascii="Calibri" w:eastAsia="Times New Roman" w:hAnsi="Calibri" w:cs="Calibri"/>
          <w:bdr w:val="none" w:sz="0" w:space="0" w:color="auto" w:frame="1"/>
          <w:vertAlign w:val="superscript"/>
        </w:rPr>
        <w:t>6</w:t>
      </w:r>
      <w:r w:rsidRPr="00ED6F32">
        <w:rPr>
          <w:rFonts w:ascii="Calibri" w:eastAsia="Times New Roman" w:hAnsi="Calibri" w:cs="Calibri"/>
        </w:rPr>
        <w:t> However, medical products authorized under an EUA qualify as countermeasures (e.g., vaccines, drugs, devices) covered under the </w:t>
      </w:r>
      <w:hyperlink r:id="rId11" w:anchor="Public-Readiness" w:tooltip="Public Readiness and Emergency Preparedness (PREP) Act" w:history="1">
        <w:r w:rsidRPr="00ED6F32">
          <w:rPr>
            <w:rFonts w:ascii="Calibri" w:eastAsia="Times New Roman" w:hAnsi="Calibri" w:cs="Calibri"/>
            <w:color w:val="0F88B8"/>
            <w:bdr w:val="none" w:sz="0" w:space="0" w:color="auto" w:frame="1"/>
          </w:rPr>
          <w:t>Public Readiness and Emergency Preparedness (PREP) Act</w:t>
        </w:r>
      </w:hyperlink>
      <w:r w:rsidRPr="00ED6F32">
        <w:rPr>
          <w:rFonts w:ascii="Calibri" w:eastAsia="Times New Roman" w:hAnsi="Calibri" w:cs="Calibri"/>
          <w:color w:val="737373"/>
        </w:rPr>
        <w:t xml:space="preserve">, </w:t>
      </w:r>
      <w:r w:rsidRPr="00ED6F32">
        <w:rPr>
          <w:rFonts w:ascii="Calibri" w:eastAsia="Times New Roman" w:hAnsi="Calibri" w:cs="Calibri"/>
        </w:rPr>
        <w:t>which provides immunity from tort liability, if the medical products are specified in the PREP Act declaration.</w:t>
      </w:r>
      <w:r w:rsidRPr="00ED6F32">
        <w:rPr>
          <w:rFonts w:ascii="Calibri" w:eastAsia="Times New Roman" w:hAnsi="Calibri" w:cs="Calibri"/>
          <w:bdr w:val="none" w:sz="0" w:space="0" w:color="auto" w:frame="1"/>
          <w:vertAlign w:val="superscript"/>
        </w:rPr>
        <w:t>7</w:t>
      </w:r>
      <w:r w:rsidRPr="00ED6F32">
        <w:rPr>
          <w:rFonts w:ascii="Calibri" w:eastAsia="Times New Roman" w:hAnsi="Calibri" w:cs="Calibri"/>
        </w:rPr>
        <w:t> Medical products used pursuant to an EUA must be used and administered according to the terms of the EUA and included in the PREP Act declaration for PREP Act coverage to arise. (See </w:t>
      </w:r>
      <w:hyperlink r:id="rId12" w:tooltip="ASTHO PREP Act Fact Sheet" w:history="1">
        <w:r w:rsidRPr="00ED6F32">
          <w:rPr>
            <w:rFonts w:ascii="Calibri" w:eastAsia="Times New Roman" w:hAnsi="Calibri" w:cs="Calibri"/>
            <w:color w:val="0F88B8"/>
            <w:bdr w:val="none" w:sz="0" w:space="0" w:color="auto" w:frame="1"/>
          </w:rPr>
          <w:t>ASTHO PREP Act Fact Sheet</w:t>
        </w:r>
      </w:hyperlink>
      <w:r w:rsidRPr="00ED6F32">
        <w:rPr>
          <w:rFonts w:ascii="Calibri" w:eastAsia="Times New Roman" w:hAnsi="Calibri" w:cs="Calibri"/>
          <w:color w:val="737373"/>
        </w:rPr>
        <w:t>.</w:t>
      </w:r>
      <w:r w:rsidRPr="00ED6F32">
        <w:rPr>
          <w:rFonts w:ascii="Calibri" w:eastAsia="Times New Roman" w:hAnsi="Calibri" w:cs="Calibri"/>
        </w:rPr>
        <w:t xml:space="preserve">) Other federal statutes and programs including but not limited to </w:t>
      </w:r>
      <w:r w:rsidRPr="00ED6F32">
        <w:rPr>
          <w:rFonts w:ascii="Calibri" w:eastAsia="Times New Roman" w:hAnsi="Calibri" w:cs="Calibri"/>
        </w:rPr>
        <w:lastRenderedPageBreak/>
        <w:t>the </w:t>
      </w:r>
      <w:hyperlink r:id="rId13" w:anchor="Federal-Tort" w:tooltip="Federal Tort Claims Act" w:history="1">
        <w:r w:rsidRPr="00ED6F32">
          <w:rPr>
            <w:rFonts w:ascii="Calibri" w:eastAsia="Times New Roman" w:hAnsi="Calibri" w:cs="Calibri"/>
            <w:bdr w:val="none" w:sz="0" w:space="0" w:color="auto" w:frame="1"/>
          </w:rPr>
          <w:t>Federal Tort Claims Act</w:t>
        </w:r>
      </w:hyperlink>
      <w:r w:rsidRPr="00ED6F32">
        <w:rPr>
          <w:rFonts w:ascii="Calibri" w:eastAsia="Times New Roman" w:hAnsi="Calibri" w:cs="Calibri"/>
          <w:bdr w:val="none" w:sz="0" w:space="0" w:color="auto" w:frame="1"/>
          <w:vertAlign w:val="superscript"/>
        </w:rPr>
        <w:t>8</w:t>
      </w:r>
      <w:r w:rsidRPr="00ED6F32">
        <w:rPr>
          <w:rFonts w:ascii="Calibri" w:eastAsia="Times New Roman" w:hAnsi="Calibri" w:cs="Calibri"/>
        </w:rPr>
        <w:t> and the </w:t>
      </w:r>
      <w:hyperlink r:id="rId14" w:anchor="Vaccine-Injury" w:tooltip="National Vaccine Injury Compensation Program" w:history="1">
        <w:r w:rsidRPr="00ED6F32">
          <w:rPr>
            <w:rFonts w:ascii="Calibri" w:eastAsia="Times New Roman" w:hAnsi="Calibri" w:cs="Calibri"/>
            <w:color w:val="0F88B8"/>
            <w:bdr w:val="none" w:sz="0" w:space="0" w:color="auto" w:frame="1"/>
          </w:rPr>
          <w:t>National Vaccine Injury Compensation Program</w:t>
        </w:r>
      </w:hyperlink>
      <w:r w:rsidRPr="00ED6F32">
        <w:rPr>
          <w:rFonts w:ascii="Calibri" w:eastAsia="Times New Roman" w:hAnsi="Calibri" w:cs="Calibri"/>
          <w:bdr w:val="none" w:sz="0" w:space="0" w:color="auto" w:frame="1"/>
          <w:vertAlign w:val="superscript"/>
        </w:rPr>
        <w:t>9</w:t>
      </w:r>
      <w:r w:rsidRPr="00ED6F32">
        <w:rPr>
          <w:rFonts w:ascii="Calibri" w:eastAsia="Times New Roman" w:hAnsi="Calibri" w:cs="Calibri"/>
        </w:rPr>
        <w:t> may also provide liability protections depending on the particular circumstances of an event.</w:t>
      </w:r>
      <w:r w:rsidRPr="00ED6F32">
        <w:rPr>
          <w:rFonts w:ascii="Calibri" w:eastAsia="Times New Roman" w:hAnsi="Calibri" w:cs="Calibri"/>
          <w:bdr w:val="none" w:sz="0" w:space="0" w:color="auto" w:frame="1"/>
          <w:vertAlign w:val="superscript"/>
        </w:rPr>
        <w:t>6</w:t>
      </w:r>
      <w:r w:rsidRPr="00ED6F32">
        <w:rPr>
          <w:rFonts w:ascii="Calibri" w:eastAsia="Times New Roman" w:hAnsi="Calibri" w:cs="Calibri"/>
        </w:rPr>
        <w:t> </w:t>
      </w:r>
    </w:p>
    <w:p w14:paraId="35C0379F" w14:textId="77777777" w:rsidR="002F7045" w:rsidRPr="001F1327" w:rsidRDefault="002F7045" w:rsidP="00E26561">
      <w:pPr>
        <w:spacing w:line="480" w:lineRule="auto"/>
        <w:rPr>
          <w:rFonts w:ascii="Calibri" w:eastAsia="Times New Roman" w:hAnsi="Calibri" w:cs="Calibri"/>
          <w:b/>
          <w:bCs/>
          <w:color w:val="3C3030"/>
        </w:rPr>
      </w:pPr>
    </w:p>
    <w:p w14:paraId="5D71F8DC" w14:textId="38692BC0" w:rsidR="00ED6F32" w:rsidRPr="00ED6F32" w:rsidRDefault="00ED6F32" w:rsidP="00E26561">
      <w:pPr>
        <w:spacing w:line="480" w:lineRule="auto"/>
        <w:rPr>
          <w:rFonts w:ascii="Calibri" w:eastAsia="Times New Roman" w:hAnsi="Calibri" w:cs="Calibri"/>
          <w:b/>
          <w:bCs/>
          <w:color w:val="3C3030"/>
          <w:sz w:val="24"/>
          <w:szCs w:val="24"/>
        </w:rPr>
      </w:pPr>
      <w:r w:rsidRPr="00ED6F32">
        <w:rPr>
          <w:rFonts w:ascii="Calibri" w:eastAsia="Times New Roman" w:hAnsi="Calibri" w:cs="Calibri"/>
          <w:b/>
          <w:bCs/>
          <w:color w:val="3C3030"/>
          <w:sz w:val="24"/>
          <w:szCs w:val="24"/>
        </w:rPr>
        <w:t>How the Law Works</w:t>
      </w:r>
    </w:p>
    <w:p w14:paraId="7864F872" w14:textId="77777777" w:rsidR="00ED6F32" w:rsidRPr="00ED6F32" w:rsidRDefault="00ED6F32" w:rsidP="00E26561">
      <w:pPr>
        <w:shd w:val="clear" w:color="auto" w:fill="FFFFFF"/>
        <w:spacing w:after="225" w:line="480" w:lineRule="auto"/>
        <w:textAlignment w:val="baseline"/>
        <w:rPr>
          <w:rFonts w:ascii="Calibri" w:eastAsia="Times New Roman" w:hAnsi="Calibri" w:cs="Calibri"/>
        </w:rPr>
      </w:pPr>
      <w:r w:rsidRPr="00ED6F32">
        <w:rPr>
          <w:rFonts w:ascii="Calibri" w:eastAsia="Times New Roman" w:hAnsi="Calibri" w:cs="Calibri"/>
        </w:rPr>
        <w:t>FD&amp;C Act §564 establishes requirements for issuing an EUA: (1) the determination that an emergency exists; (2) the declaration of an emergency; and (3) a finding by the FDA that specified criteria have been met.</w:t>
      </w:r>
    </w:p>
    <w:p w14:paraId="549C162A" w14:textId="77777777" w:rsidR="00ED6F32" w:rsidRPr="00ED6F32" w:rsidRDefault="00ED6F32" w:rsidP="00E26561">
      <w:pPr>
        <w:spacing w:line="480" w:lineRule="auto"/>
        <w:rPr>
          <w:rFonts w:ascii="Calibri" w:eastAsia="Times New Roman" w:hAnsi="Calibri" w:cs="Calibri"/>
          <w:b/>
          <w:bCs/>
        </w:rPr>
      </w:pPr>
      <w:r w:rsidRPr="00ED6F32">
        <w:rPr>
          <w:rFonts w:ascii="Calibri" w:eastAsia="Times New Roman" w:hAnsi="Calibri" w:cs="Calibri"/>
          <w:b/>
          <w:bCs/>
        </w:rPr>
        <w:t>Determination that an Emergency Exists</w:t>
      </w:r>
    </w:p>
    <w:p w14:paraId="030B20B4" w14:textId="77777777" w:rsidR="00ED6F32" w:rsidRPr="00ED6F32" w:rsidRDefault="00ED6F32" w:rsidP="00E26561">
      <w:pPr>
        <w:shd w:val="clear" w:color="auto" w:fill="FFFFFF"/>
        <w:spacing w:after="225" w:line="480" w:lineRule="auto"/>
        <w:textAlignment w:val="baseline"/>
        <w:rPr>
          <w:rFonts w:ascii="Calibri" w:eastAsia="Times New Roman" w:hAnsi="Calibri" w:cs="Calibri"/>
        </w:rPr>
      </w:pPr>
      <w:r w:rsidRPr="00ED6F32">
        <w:rPr>
          <w:rFonts w:ascii="Calibri" w:eastAsia="Times New Roman" w:hAnsi="Calibri" w:cs="Calibri"/>
        </w:rPr>
        <w:t xml:space="preserve">The FD&amp;C Act requires that one of the following three cabinet secretaries </w:t>
      </w:r>
      <w:proofErr w:type="gramStart"/>
      <w:r w:rsidRPr="00ED6F32">
        <w:rPr>
          <w:rFonts w:ascii="Calibri" w:eastAsia="Times New Roman" w:hAnsi="Calibri" w:cs="Calibri"/>
        </w:rPr>
        <w:t>makes a determination</w:t>
      </w:r>
      <w:proofErr w:type="gramEnd"/>
      <w:r w:rsidRPr="00ED6F32">
        <w:rPr>
          <w:rFonts w:ascii="Calibri" w:eastAsia="Times New Roman" w:hAnsi="Calibri" w:cs="Calibri"/>
        </w:rPr>
        <w:t xml:space="preserve"> that an emergency exists before an EUA is authorized:</w:t>
      </w:r>
    </w:p>
    <w:p w14:paraId="5CF24BE4" w14:textId="77777777" w:rsidR="00ED6F32" w:rsidRPr="00E26561" w:rsidRDefault="00ED6F32" w:rsidP="00E26561">
      <w:pPr>
        <w:pStyle w:val="ListParagraph"/>
        <w:numPr>
          <w:ilvl w:val="0"/>
          <w:numId w:val="7"/>
        </w:numPr>
        <w:spacing w:line="480" w:lineRule="auto"/>
        <w:textAlignment w:val="baseline"/>
        <w:rPr>
          <w:rFonts w:ascii="Calibri" w:eastAsia="Times New Roman" w:hAnsi="Calibri" w:cs="Calibri"/>
        </w:rPr>
      </w:pPr>
      <w:r w:rsidRPr="00E26561">
        <w:rPr>
          <w:rFonts w:ascii="Calibri" w:eastAsia="Times New Roman" w:hAnsi="Calibri" w:cs="Calibri"/>
        </w:rPr>
        <w:t>If the secretary of the Department of Homeland Security determines that there currently exists, or is significant potential for, a domestic emergency involving a heightened risk of attack using specified CBRN agents.</w:t>
      </w:r>
      <w:r w:rsidRPr="00E26561">
        <w:rPr>
          <w:rFonts w:ascii="Calibri" w:eastAsia="Times New Roman" w:hAnsi="Calibri" w:cs="Calibri"/>
          <w:bdr w:val="none" w:sz="0" w:space="0" w:color="auto" w:frame="1"/>
          <w:vertAlign w:val="superscript"/>
        </w:rPr>
        <w:t>1</w:t>
      </w:r>
      <w:r w:rsidRPr="00E26561">
        <w:rPr>
          <w:rFonts w:ascii="Calibri" w:eastAsia="Times New Roman" w:hAnsi="Calibri" w:cs="Calibri"/>
        </w:rPr>
        <w:t> </w:t>
      </w:r>
    </w:p>
    <w:p w14:paraId="56565401" w14:textId="77777777" w:rsidR="00ED6F32" w:rsidRPr="00E26561" w:rsidRDefault="00ED6F32" w:rsidP="00E26561">
      <w:pPr>
        <w:pStyle w:val="ListParagraph"/>
        <w:numPr>
          <w:ilvl w:val="0"/>
          <w:numId w:val="7"/>
        </w:numPr>
        <w:spacing w:line="480" w:lineRule="auto"/>
        <w:textAlignment w:val="baseline"/>
        <w:rPr>
          <w:rFonts w:ascii="Calibri" w:eastAsia="Times New Roman" w:hAnsi="Calibri" w:cs="Calibri"/>
        </w:rPr>
      </w:pPr>
      <w:r w:rsidRPr="00E26561">
        <w:rPr>
          <w:rFonts w:ascii="Calibri" w:eastAsia="Times New Roman" w:hAnsi="Calibri" w:cs="Calibri"/>
        </w:rPr>
        <w:t>If the secretary of the Department of Defense (DoD) determines that there currently exists, or is significant potential for, a military emergency involving a heightened risk to U.S. military forces of attack using specified CBRN agents.</w:t>
      </w:r>
      <w:r w:rsidRPr="00E26561">
        <w:rPr>
          <w:rFonts w:ascii="Calibri" w:eastAsia="Times New Roman" w:hAnsi="Calibri" w:cs="Calibri"/>
          <w:bdr w:val="none" w:sz="0" w:space="0" w:color="auto" w:frame="1"/>
          <w:vertAlign w:val="superscript"/>
        </w:rPr>
        <w:t>1</w:t>
      </w:r>
      <w:r w:rsidRPr="00E26561">
        <w:rPr>
          <w:rFonts w:ascii="Calibri" w:eastAsia="Times New Roman" w:hAnsi="Calibri" w:cs="Calibri"/>
        </w:rPr>
        <w:t>  </w:t>
      </w:r>
    </w:p>
    <w:p w14:paraId="48E1839A" w14:textId="77777777" w:rsidR="00ED6F32" w:rsidRPr="00E26561" w:rsidRDefault="00ED6F32" w:rsidP="00E26561">
      <w:pPr>
        <w:pStyle w:val="ListParagraph"/>
        <w:numPr>
          <w:ilvl w:val="0"/>
          <w:numId w:val="7"/>
        </w:numPr>
        <w:spacing w:line="480" w:lineRule="auto"/>
        <w:textAlignment w:val="baseline"/>
        <w:rPr>
          <w:rFonts w:ascii="Calibri" w:eastAsia="Times New Roman" w:hAnsi="Calibri" w:cs="Calibri"/>
          <w:color w:val="737373"/>
        </w:rPr>
      </w:pPr>
      <w:r w:rsidRPr="00E26561">
        <w:rPr>
          <w:rFonts w:ascii="Calibri" w:eastAsia="Times New Roman" w:hAnsi="Calibri" w:cs="Calibri"/>
        </w:rPr>
        <w:t>If the secretary of the Department of Health and Human Services (HHS) determines that there is a public health emergency under the </w:t>
      </w:r>
      <w:hyperlink r:id="rId15" w:anchor="Public-Health-Service" w:tooltip="Public Health Service Act (PHS Act) §319" w:history="1">
        <w:r w:rsidRPr="00E26561">
          <w:rPr>
            <w:rFonts w:ascii="Calibri" w:eastAsia="Times New Roman" w:hAnsi="Calibri" w:cs="Calibri"/>
            <w:color w:val="0F88B8"/>
            <w:bdr w:val="none" w:sz="0" w:space="0" w:color="auto" w:frame="1"/>
          </w:rPr>
          <w:t>Public Health Service Act (PHS Act) §319</w:t>
        </w:r>
      </w:hyperlink>
      <w:r w:rsidRPr="00E26561">
        <w:rPr>
          <w:rFonts w:ascii="Calibri" w:eastAsia="Times New Roman" w:hAnsi="Calibri" w:cs="Calibri"/>
          <w:bdr w:val="none" w:sz="0" w:space="0" w:color="auto" w:frame="1"/>
          <w:vertAlign w:val="superscript"/>
        </w:rPr>
        <w:t>10</w:t>
      </w:r>
      <w:r w:rsidRPr="00E26561">
        <w:rPr>
          <w:rFonts w:ascii="Calibri" w:eastAsia="Times New Roman" w:hAnsi="Calibri" w:cs="Calibri"/>
          <w:color w:val="737373"/>
        </w:rPr>
        <w:t> </w:t>
      </w:r>
      <w:r w:rsidRPr="00E26561">
        <w:rPr>
          <w:rFonts w:ascii="Calibri" w:eastAsia="Times New Roman" w:hAnsi="Calibri" w:cs="Calibri"/>
        </w:rPr>
        <w:t>that affects, or has significant potential to affect, national security and involves specified CBRN agents and diseases or conditions attributable to such agents.</w:t>
      </w:r>
      <w:r w:rsidRPr="00E26561">
        <w:rPr>
          <w:rFonts w:ascii="Calibri" w:eastAsia="Times New Roman" w:hAnsi="Calibri" w:cs="Calibri"/>
          <w:bdr w:val="none" w:sz="0" w:space="0" w:color="auto" w:frame="1"/>
          <w:vertAlign w:val="superscript"/>
        </w:rPr>
        <w:t>1</w:t>
      </w:r>
      <w:r w:rsidRPr="00E26561">
        <w:rPr>
          <w:rFonts w:ascii="Calibri" w:eastAsia="Times New Roman" w:hAnsi="Calibri" w:cs="Calibri"/>
        </w:rPr>
        <w:t>  </w:t>
      </w:r>
    </w:p>
    <w:p w14:paraId="0E0FB49B" w14:textId="77777777" w:rsidR="002F7045" w:rsidRPr="000F0D7A" w:rsidRDefault="002F7045" w:rsidP="00E26561">
      <w:pPr>
        <w:spacing w:line="480" w:lineRule="auto"/>
        <w:rPr>
          <w:rFonts w:ascii="Calibri" w:eastAsia="Times New Roman" w:hAnsi="Calibri" w:cs="Calibri"/>
          <w:b/>
          <w:bCs/>
        </w:rPr>
      </w:pPr>
    </w:p>
    <w:p w14:paraId="0E82919A" w14:textId="2A22A48E" w:rsidR="00ED6F32" w:rsidRPr="00ED6F32" w:rsidRDefault="00ED6F32" w:rsidP="00E26561">
      <w:pPr>
        <w:keepNext/>
        <w:spacing w:line="480" w:lineRule="auto"/>
        <w:rPr>
          <w:rFonts w:ascii="Calibri" w:eastAsia="Times New Roman" w:hAnsi="Calibri" w:cs="Calibri"/>
          <w:b/>
          <w:bCs/>
        </w:rPr>
      </w:pPr>
      <w:r w:rsidRPr="00ED6F32">
        <w:rPr>
          <w:rFonts w:ascii="Calibri" w:eastAsia="Times New Roman" w:hAnsi="Calibri" w:cs="Calibri"/>
          <w:b/>
          <w:bCs/>
        </w:rPr>
        <w:lastRenderedPageBreak/>
        <w:t>Declaration of an Emergency</w:t>
      </w:r>
    </w:p>
    <w:p w14:paraId="42186E94" w14:textId="77777777"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If an emergency has been determined to exist, the HHS secretary can declare an emergency justifying the authorization of an EUA under FD&amp;C Act §564.</w:t>
      </w:r>
      <w:r w:rsidRPr="00ED6F32">
        <w:rPr>
          <w:rFonts w:ascii="Calibri" w:eastAsia="Times New Roman" w:hAnsi="Calibri" w:cs="Calibri"/>
          <w:bdr w:val="none" w:sz="0" w:space="0" w:color="auto" w:frame="1"/>
          <w:vertAlign w:val="superscript"/>
        </w:rPr>
        <w:t>1,6</w:t>
      </w:r>
      <w:r w:rsidRPr="00ED6F32">
        <w:rPr>
          <w:rFonts w:ascii="Calibri" w:eastAsia="Times New Roman" w:hAnsi="Calibri" w:cs="Calibri"/>
        </w:rPr>
        <w:t>The §564 declaration of emergency is different from a determination of public health emergency under PHS Act §319 and a declaration of a public health emergency under the PREP Act. The HHS secretary’s declaration of an emergency triggering an EUA specifies the CBRN agents and the products covered under the EUA.</w:t>
      </w:r>
      <w:r w:rsidRPr="00ED6F32">
        <w:rPr>
          <w:rFonts w:ascii="Calibri" w:eastAsia="Times New Roman" w:hAnsi="Calibri" w:cs="Calibri"/>
          <w:bdr w:val="none" w:sz="0" w:space="0" w:color="auto" w:frame="1"/>
          <w:vertAlign w:val="superscript"/>
        </w:rPr>
        <w:t>11</w:t>
      </w:r>
      <w:r w:rsidRPr="00ED6F32">
        <w:rPr>
          <w:rFonts w:ascii="Calibri" w:eastAsia="Times New Roman" w:hAnsi="Calibri" w:cs="Calibri"/>
        </w:rPr>
        <w:t> The FDA is required to publish notice of each EUA in the Federal Register. In making the decision to declare an emergency justifying an EUA, the HHS secretary reviews information submitted in support of the EUA and may consult an EUA work group of federal officials.</w:t>
      </w:r>
      <w:r w:rsidRPr="00ED6F32">
        <w:rPr>
          <w:rFonts w:ascii="Calibri" w:eastAsia="Times New Roman" w:hAnsi="Calibri" w:cs="Calibri"/>
          <w:bdr w:val="none" w:sz="0" w:space="0" w:color="auto" w:frame="1"/>
          <w:vertAlign w:val="superscript"/>
        </w:rPr>
        <w:t>6</w:t>
      </w:r>
      <w:r w:rsidRPr="00ED6F32">
        <w:rPr>
          <w:rFonts w:ascii="Calibri" w:eastAsia="Times New Roman" w:hAnsi="Calibri" w:cs="Calibri"/>
        </w:rPr>
        <w:t> One emergency declaration can support multiple EUAs.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w:t>
      </w:r>
    </w:p>
    <w:p w14:paraId="3967EBA9" w14:textId="77777777" w:rsidR="002F7045" w:rsidRPr="000F0D7A" w:rsidRDefault="002F7045" w:rsidP="00E26561">
      <w:pPr>
        <w:spacing w:line="480" w:lineRule="auto"/>
        <w:rPr>
          <w:rFonts w:ascii="Calibri" w:eastAsia="Times New Roman" w:hAnsi="Calibri" w:cs="Calibri"/>
          <w:b/>
          <w:bCs/>
        </w:rPr>
      </w:pPr>
    </w:p>
    <w:p w14:paraId="3E56EEFE" w14:textId="0B9049B2" w:rsidR="00ED6F32" w:rsidRPr="00ED6F32" w:rsidRDefault="00ED6F32" w:rsidP="00E26561">
      <w:pPr>
        <w:spacing w:line="480" w:lineRule="auto"/>
        <w:rPr>
          <w:rFonts w:ascii="Calibri" w:eastAsia="Times New Roman" w:hAnsi="Calibri" w:cs="Calibri"/>
          <w:b/>
          <w:bCs/>
        </w:rPr>
      </w:pPr>
      <w:r w:rsidRPr="00ED6F32">
        <w:rPr>
          <w:rFonts w:ascii="Calibri" w:eastAsia="Times New Roman" w:hAnsi="Calibri" w:cs="Calibri"/>
          <w:b/>
          <w:bCs/>
        </w:rPr>
        <w:t>Issuance of the EUA</w:t>
      </w:r>
    </w:p>
    <w:p w14:paraId="281B6E33" w14:textId="77777777" w:rsidR="00ED6F32" w:rsidRPr="00ED6F32" w:rsidRDefault="00ED6F32" w:rsidP="00E26561">
      <w:pPr>
        <w:shd w:val="clear" w:color="auto" w:fill="FFFFFF"/>
        <w:spacing w:after="225" w:line="480" w:lineRule="auto"/>
        <w:textAlignment w:val="baseline"/>
        <w:rPr>
          <w:rFonts w:ascii="Calibri" w:eastAsia="Times New Roman" w:hAnsi="Calibri" w:cs="Calibri"/>
        </w:rPr>
      </w:pPr>
      <w:r w:rsidRPr="00ED6F32">
        <w:rPr>
          <w:rFonts w:ascii="Calibri" w:eastAsia="Times New Roman" w:hAnsi="Calibri" w:cs="Calibri"/>
        </w:rPr>
        <w:t>Once the HHS secretary has declared an emergency justifying the EUA, the FDA commissioner may issue the EUA after consultation with the National Institutes of Health (NIH) and the Centers for Disease Control and Prevention (CDC) (if feasible and appropriate given the emergency) and upon meeting statutory and other criteria.</w:t>
      </w:r>
    </w:p>
    <w:p w14:paraId="3F5F71E5" w14:textId="77777777"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b/>
          <w:bCs/>
          <w:bdr w:val="none" w:sz="0" w:space="0" w:color="auto" w:frame="1"/>
        </w:rPr>
        <w:t>Requests for EUA—</w:t>
      </w:r>
      <w:r w:rsidRPr="00ED6F32">
        <w:rPr>
          <w:rFonts w:ascii="Calibri" w:eastAsia="Times New Roman" w:hAnsi="Calibri" w:cs="Calibri"/>
        </w:rPr>
        <w:t>FD&amp;C Act §564 does not address the precise processes and data requirements for requesting and reviewing an EUA for specific products. In a guidance document, the FDA anticipates EUA requests will be submitted by government agencies (e.g., CDC, DoD) or private entities (e.g., medical product manufacturers).</w:t>
      </w:r>
      <w:r w:rsidRPr="00ED6F32">
        <w:rPr>
          <w:rFonts w:ascii="Calibri" w:eastAsia="Times New Roman" w:hAnsi="Calibri" w:cs="Calibri"/>
          <w:bdr w:val="none" w:sz="0" w:space="0" w:color="auto" w:frame="1"/>
          <w:vertAlign w:val="superscript"/>
        </w:rPr>
        <w:t>2,6</w:t>
      </w:r>
      <w:r w:rsidRPr="00ED6F32">
        <w:rPr>
          <w:rFonts w:ascii="Calibri" w:eastAsia="Times New Roman" w:hAnsi="Calibri" w:cs="Calibri"/>
        </w:rPr>
        <w:t> The type and amount of information needed to support an EUA request depends on the nature of the declared emergency and the proposed product for which the EUA is requested.</w:t>
      </w:r>
      <w:r w:rsidRPr="00ED6F32">
        <w:rPr>
          <w:rFonts w:ascii="Calibri" w:eastAsia="Times New Roman" w:hAnsi="Calibri" w:cs="Calibri"/>
          <w:bdr w:val="none" w:sz="0" w:space="0" w:color="auto" w:frame="1"/>
          <w:vertAlign w:val="superscript"/>
        </w:rPr>
        <w:t>2,6</w:t>
      </w:r>
      <w:r w:rsidRPr="00ED6F32">
        <w:rPr>
          <w:rFonts w:ascii="Calibri" w:eastAsia="Times New Roman" w:hAnsi="Calibri" w:cs="Calibri"/>
        </w:rPr>
        <w:t xml:space="preserve"> Types of information the FDA recommends to support an EUA request include, but are not limited to, a description of the product and its intended uses, rationale behind the product’s use under an EUA, available safety and efficacy data, and proposed labeling and instructions for the product’s </w:t>
      </w:r>
      <w:r w:rsidRPr="00ED6F32">
        <w:rPr>
          <w:rFonts w:ascii="Calibri" w:eastAsia="Times New Roman" w:hAnsi="Calibri" w:cs="Calibri"/>
        </w:rPr>
        <w:lastRenderedPageBreak/>
        <w:t>use.</w:t>
      </w:r>
      <w:r w:rsidRPr="00ED6F32">
        <w:rPr>
          <w:rFonts w:ascii="Calibri" w:eastAsia="Times New Roman" w:hAnsi="Calibri" w:cs="Calibri"/>
          <w:bdr w:val="none" w:sz="0" w:space="0" w:color="auto" w:frame="1"/>
          <w:vertAlign w:val="superscript"/>
        </w:rPr>
        <w:t>2,6</w:t>
      </w:r>
      <w:r w:rsidRPr="00ED6F32">
        <w:rPr>
          <w:rFonts w:ascii="Calibri" w:eastAsia="Times New Roman" w:hAnsi="Calibri" w:cs="Calibri"/>
        </w:rPr>
        <w:t> The FDA reviews EUA requests on a case-by-case basis using the scientific data available at the time and the circumstances of the emergency.</w:t>
      </w:r>
      <w:r w:rsidRPr="00ED6F32">
        <w:rPr>
          <w:rFonts w:ascii="Calibri" w:eastAsia="Times New Roman" w:hAnsi="Calibri" w:cs="Calibri"/>
          <w:bdr w:val="none" w:sz="0" w:space="0" w:color="auto" w:frame="1"/>
          <w:vertAlign w:val="superscript"/>
        </w:rPr>
        <w:t>2,6</w:t>
      </w:r>
      <w:r w:rsidRPr="00ED6F32">
        <w:rPr>
          <w:rFonts w:ascii="Calibri" w:eastAsia="Times New Roman" w:hAnsi="Calibri" w:cs="Calibri"/>
        </w:rPr>
        <w:t> </w:t>
      </w:r>
    </w:p>
    <w:p w14:paraId="405D06A1" w14:textId="77777777" w:rsidR="002F7045" w:rsidRPr="000F0D7A" w:rsidRDefault="002F7045" w:rsidP="00E26561">
      <w:pPr>
        <w:shd w:val="clear" w:color="auto" w:fill="FFFFFF"/>
        <w:spacing w:line="480" w:lineRule="auto"/>
        <w:textAlignment w:val="baseline"/>
        <w:rPr>
          <w:rFonts w:ascii="Calibri" w:eastAsia="Times New Roman" w:hAnsi="Calibri" w:cs="Calibri"/>
          <w:b/>
          <w:bCs/>
          <w:bdr w:val="none" w:sz="0" w:space="0" w:color="auto" w:frame="1"/>
        </w:rPr>
      </w:pPr>
    </w:p>
    <w:p w14:paraId="4BA13016" w14:textId="62C87C7F"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b/>
          <w:bCs/>
          <w:bdr w:val="none" w:sz="0" w:space="0" w:color="auto" w:frame="1"/>
        </w:rPr>
        <w:t>Criteria for EUA Authorization—</w:t>
      </w:r>
      <w:r w:rsidRPr="00ED6F32">
        <w:rPr>
          <w:rFonts w:ascii="Calibri" w:eastAsia="Times New Roman" w:hAnsi="Calibri" w:cs="Calibri"/>
        </w:rPr>
        <w:t xml:space="preserve">The FDA will issue an EUA if the FDA commissioner finds </w:t>
      </w:r>
      <w:proofErr w:type="gramStart"/>
      <w:r w:rsidRPr="00ED6F32">
        <w:rPr>
          <w:rFonts w:ascii="Calibri" w:eastAsia="Times New Roman" w:hAnsi="Calibri" w:cs="Calibri"/>
        </w:rPr>
        <w:t>all of</w:t>
      </w:r>
      <w:proofErr w:type="gramEnd"/>
      <w:r w:rsidRPr="00ED6F32">
        <w:rPr>
          <w:rFonts w:ascii="Calibri" w:eastAsia="Times New Roman" w:hAnsi="Calibri" w:cs="Calibri"/>
        </w:rPr>
        <w:t xml:space="preserve"> the following:</w:t>
      </w:r>
    </w:p>
    <w:p w14:paraId="01BEAA4A" w14:textId="77777777" w:rsidR="00ED6F32" w:rsidRPr="0043114A" w:rsidRDefault="00ED6F32" w:rsidP="0043114A">
      <w:pPr>
        <w:pStyle w:val="ListParagraph"/>
        <w:numPr>
          <w:ilvl w:val="0"/>
          <w:numId w:val="9"/>
        </w:numPr>
        <w:spacing w:line="480" w:lineRule="auto"/>
        <w:textAlignment w:val="baseline"/>
        <w:rPr>
          <w:rFonts w:ascii="Calibri" w:eastAsia="Times New Roman" w:hAnsi="Calibri" w:cs="Calibri"/>
        </w:rPr>
      </w:pPr>
      <w:r w:rsidRPr="0043114A">
        <w:rPr>
          <w:rFonts w:ascii="Calibri" w:eastAsia="Times New Roman" w:hAnsi="Calibri" w:cs="Calibri"/>
        </w:rPr>
        <w:t>The CBRN agent specified in the declaration of emergency can cause a serious or life-threatening disease or condition.</w:t>
      </w:r>
    </w:p>
    <w:p w14:paraId="0A979AC0" w14:textId="77777777" w:rsidR="00ED6F32" w:rsidRPr="0043114A" w:rsidRDefault="00ED6F32" w:rsidP="0043114A">
      <w:pPr>
        <w:pStyle w:val="ListParagraph"/>
        <w:numPr>
          <w:ilvl w:val="0"/>
          <w:numId w:val="9"/>
        </w:numPr>
        <w:spacing w:line="480" w:lineRule="auto"/>
        <w:textAlignment w:val="baseline"/>
        <w:rPr>
          <w:rFonts w:ascii="Calibri" w:eastAsia="Times New Roman" w:hAnsi="Calibri" w:cs="Calibri"/>
        </w:rPr>
      </w:pPr>
      <w:r w:rsidRPr="0043114A">
        <w:rPr>
          <w:rFonts w:ascii="Calibri" w:eastAsia="Times New Roman" w:hAnsi="Calibri" w:cs="Calibri"/>
        </w:rPr>
        <w:t>Based on the scientific evidence available, it is reasonable to believe that the product may be effective in diagnosing, treating, or preventing the disease or condition specified in the declaration of emergency or caused by another medical product to diagnose, treat, or prevent a disease or condition caused by the specified agent.</w:t>
      </w:r>
    </w:p>
    <w:p w14:paraId="75185E43" w14:textId="77777777" w:rsidR="00ED6F32" w:rsidRPr="0043114A" w:rsidRDefault="00ED6F32" w:rsidP="0043114A">
      <w:pPr>
        <w:pStyle w:val="ListParagraph"/>
        <w:numPr>
          <w:ilvl w:val="0"/>
          <w:numId w:val="9"/>
        </w:numPr>
        <w:spacing w:line="480" w:lineRule="auto"/>
        <w:textAlignment w:val="baseline"/>
        <w:rPr>
          <w:rFonts w:ascii="Calibri" w:eastAsia="Times New Roman" w:hAnsi="Calibri" w:cs="Calibri"/>
        </w:rPr>
      </w:pPr>
      <w:r w:rsidRPr="0043114A">
        <w:rPr>
          <w:rFonts w:ascii="Calibri" w:eastAsia="Times New Roman" w:hAnsi="Calibri" w:cs="Calibri"/>
        </w:rPr>
        <w:t>The known and potential benefits outweigh the known and potential risks of the product when used to diagnose, prevent, or treat the serious or life-threatening disease or condition that is the subject of the declaration.</w:t>
      </w:r>
    </w:p>
    <w:p w14:paraId="42E52F1C" w14:textId="77777777" w:rsidR="00ED6F32" w:rsidRPr="0043114A" w:rsidRDefault="00ED6F32" w:rsidP="0043114A">
      <w:pPr>
        <w:pStyle w:val="ListParagraph"/>
        <w:numPr>
          <w:ilvl w:val="0"/>
          <w:numId w:val="9"/>
        </w:numPr>
        <w:spacing w:line="480" w:lineRule="auto"/>
        <w:textAlignment w:val="baseline"/>
        <w:rPr>
          <w:rFonts w:ascii="Calibri" w:eastAsia="Times New Roman" w:hAnsi="Calibri" w:cs="Calibri"/>
        </w:rPr>
      </w:pPr>
      <w:r w:rsidRPr="0043114A">
        <w:rPr>
          <w:rFonts w:ascii="Calibri" w:eastAsia="Times New Roman" w:hAnsi="Calibri" w:cs="Calibri"/>
        </w:rPr>
        <w:t>There is no adequate, approved, and available alternative to the product for diagnosing, preventing, or treating the disease or condition.</w:t>
      </w:r>
      <w:r w:rsidRPr="0043114A">
        <w:rPr>
          <w:rFonts w:ascii="Calibri" w:eastAsia="Times New Roman" w:hAnsi="Calibri" w:cs="Calibri"/>
          <w:bdr w:val="none" w:sz="0" w:space="0" w:color="auto" w:frame="1"/>
          <w:vertAlign w:val="superscript"/>
        </w:rPr>
        <w:t>1,5,6 </w:t>
      </w:r>
      <w:r w:rsidRPr="0043114A">
        <w:rPr>
          <w:rFonts w:ascii="Calibri" w:eastAsia="Times New Roman" w:hAnsi="Calibri" w:cs="Calibri"/>
        </w:rPr>
        <w:t> </w:t>
      </w:r>
    </w:p>
    <w:p w14:paraId="22810E31" w14:textId="77777777" w:rsidR="002F7045" w:rsidRPr="000F0D7A" w:rsidRDefault="002F7045" w:rsidP="00E26561">
      <w:pPr>
        <w:shd w:val="clear" w:color="auto" w:fill="FFFFFF"/>
        <w:spacing w:line="480" w:lineRule="auto"/>
        <w:textAlignment w:val="baseline"/>
        <w:rPr>
          <w:rFonts w:ascii="Calibri" w:eastAsia="Times New Roman" w:hAnsi="Calibri" w:cs="Calibri"/>
        </w:rPr>
      </w:pPr>
    </w:p>
    <w:p w14:paraId="6D4D1CC3" w14:textId="4BD416F2"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The FDA commissioner issues a letter that authorizes the EUA. The letter must state: (1) the diseases or conditions the product may be used to diagnose, prevent, or treat within the scope of the EUA; (2) the known and potential benefits of the product; (3) conclusions concerning the safety and potential effectiveness of the product; (4) an assessment of the available scientific evidence; and (5) required and additional conditions of authorization.</w:t>
      </w:r>
      <w:r w:rsidRPr="00ED6F32">
        <w:rPr>
          <w:rFonts w:ascii="Calibri" w:eastAsia="Times New Roman" w:hAnsi="Calibri" w:cs="Calibri"/>
          <w:bdr w:val="none" w:sz="0" w:space="0" w:color="auto" w:frame="1"/>
          <w:vertAlign w:val="superscript"/>
        </w:rPr>
        <w:t>1 </w:t>
      </w:r>
      <w:r w:rsidRPr="00ED6F32">
        <w:rPr>
          <w:rFonts w:ascii="Calibri" w:eastAsia="Times New Roman" w:hAnsi="Calibri" w:cs="Calibri"/>
        </w:rPr>
        <w:t> </w:t>
      </w:r>
    </w:p>
    <w:p w14:paraId="40E6F633" w14:textId="77777777" w:rsidR="002F7045" w:rsidRPr="000F0D7A" w:rsidRDefault="002F7045" w:rsidP="00E26561">
      <w:pPr>
        <w:shd w:val="clear" w:color="auto" w:fill="FFFFFF"/>
        <w:spacing w:line="480" w:lineRule="auto"/>
        <w:textAlignment w:val="baseline"/>
        <w:rPr>
          <w:rFonts w:ascii="Calibri" w:eastAsia="Times New Roman" w:hAnsi="Calibri" w:cs="Calibri"/>
          <w:b/>
          <w:bCs/>
          <w:bdr w:val="none" w:sz="0" w:space="0" w:color="auto" w:frame="1"/>
        </w:rPr>
      </w:pPr>
    </w:p>
    <w:p w14:paraId="42554BA4" w14:textId="4C0A4431"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b/>
          <w:bCs/>
          <w:bdr w:val="none" w:sz="0" w:space="0" w:color="auto" w:frame="1"/>
        </w:rPr>
        <w:lastRenderedPageBreak/>
        <w:t>Conditions of Authorization—</w:t>
      </w:r>
      <w:r w:rsidRPr="00ED6F32">
        <w:rPr>
          <w:rFonts w:ascii="Calibri" w:eastAsia="Times New Roman" w:hAnsi="Calibri" w:cs="Calibri"/>
        </w:rPr>
        <w:t>The FDA may establish conditions on the use of a product under an EUA. For unapproved products, FD&amp;C Act §564 requires the FDA commissioner (to the extent practicable given the circumstances of the emergency) to establish certain required conditions on an EUA that the commissioner finds necessary or appropriate to protect public health and permits the commissioner to establish other conditions that he or she finds necessary or appropriate to protect public health.</w:t>
      </w:r>
      <w:r w:rsidRPr="00ED6F32">
        <w:rPr>
          <w:rFonts w:ascii="Calibri" w:eastAsia="Times New Roman" w:hAnsi="Calibri" w:cs="Calibri"/>
          <w:bdr w:val="none" w:sz="0" w:space="0" w:color="auto" w:frame="1"/>
          <w:vertAlign w:val="superscript"/>
        </w:rPr>
        <w:t>2</w:t>
      </w:r>
      <w:r w:rsidRPr="00ED6F32">
        <w:rPr>
          <w:rFonts w:ascii="Calibri" w:eastAsia="Times New Roman" w:hAnsi="Calibri" w:cs="Calibri"/>
        </w:rPr>
        <w:t> Such conditions include:</w:t>
      </w:r>
    </w:p>
    <w:p w14:paraId="5D43B482" w14:textId="77777777" w:rsidR="00ED6F32" w:rsidRPr="007A722F" w:rsidRDefault="00ED6F32" w:rsidP="007A722F">
      <w:pPr>
        <w:pStyle w:val="ListParagraph"/>
        <w:numPr>
          <w:ilvl w:val="0"/>
          <w:numId w:val="10"/>
        </w:numPr>
        <w:spacing w:line="480" w:lineRule="auto"/>
        <w:textAlignment w:val="baseline"/>
        <w:rPr>
          <w:rFonts w:ascii="Calibri" w:eastAsia="Times New Roman" w:hAnsi="Calibri" w:cs="Calibri"/>
        </w:rPr>
      </w:pPr>
      <w:r w:rsidRPr="007A722F">
        <w:rPr>
          <w:rFonts w:ascii="Calibri" w:eastAsia="Times New Roman" w:hAnsi="Calibri" w:cs="Calibri"/>
        </w:rPr>
        <w:t>A requirement to disseminate information (e.g., fact sheets) to healthcare professionals or authorized dispensers and prospective patients or other consumers regarding the EUA, the product’s significant known and potential benefits and risks, and the extent to which such benefits and risks are unknown.</w:t>
      </w:r>
    </w:p>
    <w:p w14:paraId="0970C894" w14:textId="77777777" w:rsidR="00ED6F32" w:rsidRPr="007A722F" w:rsidRDefault="00ED6F32" w:rsidP="007A722F">
      <w:pPr>
        <w:pStyle w:val="ListParagraph"/>
        <w:numPr>
          <w:ilvl w:val="0"/>
          <w:numId w:val="10"/>
        </w:numPr>
        <w:spacing w:line="480" w:lineRule="auto"/>
        <w:textAlignment w:val="baseline"/>
        <w:rPr>
          <w:rFonts w:ascii="Calibri" w:eastAsia="Times New Roman" w:hAnsi="Calibri" w:cs="Calibri"/>
        </w:rPr>
      </w:pPr>
      <w:r w:rsidRPr="007A722F">
        <w:rPr>
          <w:rFonts w:ascii="Calibri" w:eastAsia="Times New Roman" w:hAnsi="Calibri" w:cs="Calibri"/>
        </w:rPr>
        <w:t>Available alternatives and their benefits and risks.</w:t>
      </w:r>
    </w:p>
    <w:p w14:paraId="46CB9814" w14:textId="77777777" w:rsidR="00ED6F32" w:rsidRPr="007A722F" w:rsidRDefault="00ED6F32" w:rsidP="007A722F">
      <w:pPr>
        <w:pStyle w:val="ListParagraph"/>
        <w:numPr>
          <w:ilvl w:val="0"/>
          <w:numId w:val="10"/>
        </w:numPr>
        <w:spacing w:line="480" w:lineRule="auto"/>
        <w:textAlignment w:val="baseline"/>
        <w:rPr>
          <w:rFonts w:ascii="Calibri" w:eastAsia="Times New Roman" w:hAnsi="Calibri" w:cs="Calibri"/>
        </w:rPr>
      </w:pPr>
      <w:r w:rsidRPr="007A722F">
        <w:rPr>
          <w:rFonts w:ascii="Calibri" w:eastAsia="Times New Roman" w:hAnsi="Calibri" w:cs="Calibri"/>
        </w:rPr>
        <w:t>For prospective patients and consumers, the option to accept or refuse the product, any consequences of refusal, and alternatives to the product.</w:t>
      </w:r>
    </w:p>
    <w:p w14:paraId="0B960798" w14:textId="77777777" w:rsidR="00ED6F32" w:rsidRPr="007A722F" w:rsidRDefault="00ED6F32" w:rsidP="007A722F">
      <w:pPr>
        <w:pStyle w:val="ListParagraph"/>
        <w:numPr>
          <w:ilvl w:val="0"/>
          <w:numId w:val="10"/>
        </w:numPr>
        <w:spacing w:line="480" w:lineRule="auto"/>
        <w:textAlignment w:val="baseline"/>
        <w:rPr>
          <w:rFonts w:ascii="Calibri" w:eastAsia="Times New Roman" w:hAnsi="Calibri" w:cs="Calibri"/>
        </w:rPr>
      </w:pPr>
      <w:r w:rsidRPr="007A722F">
        <w:rPr>
          <w:rFonts w:ascii="Calibri" w:eastAsia="Times New Roman" w:hAnsi="Calibri" w:cs="Calibri"/>
        </w:rPr>
        <w:t>Other conditions such as restricted advertising, distribution, and administration; adverse event reporting and monitoring; data collection and analysis; recordkeeping and records access; and compliance with Current Good Manufacturing Practice (CGMP).</w:t>
      </w:r>
      <w:r w:rsidRPr="007A722F">
        <w:rPr>
          <w:rFonts w:ascii="Calibri" w:eastAsia="Times New Roman" w:hAnsi="Calibri" w:cs="Calibri"/>
          <w:bdr w:val="none" w:sz="0" w:space="0" w:color="auto" w:frame="1"/>
          <w:vertAlign w:val="superscript"/>
        </w:rPr>
        <w:t>2,6 </w:t>
      </w:r>
      <w:r w:rsidRPr="007A722F">
        <w:rPr>
          <w:rFonts w:ascii="Calibri" w:eastAsia="Times New Roman" w:hAnsi="Calibri" w:cs="Calibri"/>
        </w:rPr>
        <w:t> </w:t>
      </w:r>
    </w:p>
    <w:p w14:paraId="7ECE5879" w14:textId="77777777" w:rsidR="002F7045" w:rsidRPr="000F0D7A" w:rsidRDefault="002F7045" w:rsidP="00E26561">
      <w:pPr>
        <w:shd w:val="clear" w:color="auto" w:fill="FFFFFF"/>
        <w:spacing w:line="480" w:lineRule="auto"/>
        <w:textAlignment w:val="baseline"/>
        <w:rPr>
          <w:rFonts w:ascii="Calibri" w:eastAsia="Times New Roman" w:hAnsi="Calibri" w:cs="Calibri"/>
        </w:rPr>
      </w:pPr>
    </w:p>
    <w:p w14:paraId="15ADFAE8" w14:textId="777FD9AA"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For unapproved uses of approved products, certain of the above conditions as well as other conditions may be required in an EUA.</w:t>
      </w:r>
      <w:r w:rsidRPr="00ED6F32">
        <w:rPr>
          <w:rFonts w:ascii="Calibri" w:eastAsia="Times New Roman" w:hAnsi="Calibri" w:cs="Calibri"/>
          <w:bdr w:val="none" w:sz="0" w:space="0" w:color="auto" w:frame="1"/>
          <w:vertAlign w:val="superscript"/>
        </w:rPr>
        <w:t>2,6</w:t>
      </w:r>
      <w:r w:rsidRPr="00ED6F32">
        <w:rPr>
          <w:rFonts w:ascii="Calibri" w:eastAsia="Times New Roman" w:hAnsi="Calibri" w:cs="Calibri"/>
        </w:rPr>
        <w:t> These may include labeling requirements and the distribution of appropriate information in addition to label information.</w:t>
      </w:r>
      <w:r w:rsidRPr="00ED6F32">
        <w:rPr>
          <w:rFonts w:ascii="Calibri" w:eastAsia="Times New Roman" w:hAnsi="Calibri" w:cs="Calibri"/>
          <w:bdr w:val="none" w:sz="0" w:space="0" w:color="auto" w:frame="1"/>
          <w:vertAlign w:val="superscript"/>
        </w:rPr>
        <w:t>1 </w:t>
      </w:r>
      <w:r w:rsidRPr="00ED6F32">
        <w:rPr>
          <w:rFonts w:ascii="Calibri" w:eastAsia="Times New Roman" w:hAnsi="Calibri" w:cs="Calibri"/>
        </w:rPr>
        <w:t> </w:t>
      </w:r>
    </w:p>
    <w:p w14:paraId="229A71F4" w14:textId="77777777" w:rsidR="002F7045" w:rsidRPr="000F0D7A" w:rsidRDefault="002F7045" w:rsidP="00E26561">
      <w:pPr>
        <w:shd w:val="clear" w:color="auto" w:fill="FFFFFF"/>
        <w:spacing w:line="480" w:lineRule="auto"/>
        <w:textAlignment w:val="baseline"/>
        <w:rPr>
          <w:rFonts w:ascii="Calibri" w:eastAsia="Times New Roman" w:hAnsi="Calibri" w:cs="Calibri"/>
          <w:b/>
          <w:bCs/>
          <w:bdr w:val="none" w:sz="0" w:space="0" w:color="auto" w:frame="1"/>
        </w:rPr>
      </w:pPr>
    </w:p>
    <w:p w14:paraId="4E7F61F5" w14:textId="4D2514C4"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b/>
          <w:bCs/>
          <w:bdr w:val="none" w:sz="0" w:space="0" w:color="auto" w:frame="1"/>
        </w:rPr>
        <w:t>Duration and Termination—</w:t>
      </w:r>
      <w:r w:rsidRPr="00ED6F32">
        <w:rPr>
          <w:rFonts w:ascii="Calibri" w:eastAsia="Times New Roman" w:hAnsi="Calibri" w:cs="Calibri"/>
        </w:rPr>
        <w:t>The EUA is in effect for one year from the date of issuance or for as long as the HHS secretary’s §564 emergency declaration is in effect, whichever is shorter.</w:t>
      </w:r>
      <w:r w:rsidRPr="00ED6F32">
        <w:rPr>
          <w:rFonts w:ascii="Calibri" w:eastAsia="Times New Roman" w:hAnsi="Calibri" w:cs="Calibri"/>
          <w:bdr w:val="none" w:sz="0" w:space="0" w:color="auto" w:frame="1"/>
          <w:vertAlign w:val="superscript"/>
        </w:rPr>
        <w:t>1,5</w:t>
      </w:r>
      <w:r w:rsidRPr="00ED6F32">
        <w:rPr>
          <w:rFonts w:ascii="Calibri" w:eastAsia="Times New Roman" w:hAnsi="Calibri" w:cs="Calibri"/>
        </w:rPr>
        <w:t xml:space="preserve"> The emergency </w:t>
      </w:r>
      <w:r w:rsidRPr="00ED6F32">
        <w:rPr>
          <w:rFonts w:ascii="Calibri" w:eastAsia="Times New Roman" w:hAnsi="Calibri" w:cs="Calibri"/>
        </w:rPr>
        <w:lastRenderedPageBreak/>
        <w:t>declaration can be renewed. The EUA can be amended and may be revoked earlier if the criteria for issuance are no longer met or revocation is appropriate to protect public health or safety.</w:t>
      </w:r>
      <w:r w:rsidRPr="00ED6F32">
        <w:rPr>
          <w:rFonts w:ascii="Calibri" w:eastAsia="Times New Roman" w:hAnsi="Calibri" w:cs="Calibri"/>
          <w:bdr w:val="none" w:sz="0" w:space="0" w:color="auto" w:frame="1"/>
          <w:vertAlign w:val="superscript"/>
        </w:rPr>
        <w:t>6</w:t>
      </w:r>
      <w:r w:rsidRPr="00ED6F32">
        <w:rPr>
          <w:rFonts w:ascii="Calibri" w:eastAsia="Times New Roman" w:hAnsi="Calibri" w:cs="Calibri"/>
        </w:rPr>
        <w:t>  </w:t>
      </w:r>
    </w:p>
    <w:p w14:paraId="50F1A1B1" w14:textId="77777777" w:rsidR="002F7045" w:rsidRPr="000F0D7A" w:rsidRDefault="002F7045" w:rsidP="00E26561">
      <w:pPr>
        <w:spacing w:line="480" w:lineRule="auto"/>
        <w:rPr>
          <w:rFonts w:ascii="Calibri" w:eastAsia="Times New Roman" w:hAnsi="Calibri" w:cs="Calibri"/>
          <w:b/>
          <w:bCs/>
        </w:rPr>
      </w:pPr>
    </w:p>
    <w:p w14:paraId="07DDDF61" w14:textId="1A1273D0" w:rsidR="00ED6F32" w:rsidRPr="00ED6F32" w:rsidRDefault="00ED6F32" w:rsidP="00E26561">
      <w:pPr>
        <w:spacing w:line="480" w:lineRule="auto"/>
        <w:rPr>
          <w:rFonts w:ascii="Calibri" w:eastAsia="Times New Roman" w:hAnsi="Calibri" w:cs="Calibri"/>
          <w:b/>
          <w:bCs/>
        </w:rPr>
      </w:pPr>
      <w:r w:rsidRPr="00ED6F32">
        <w:rPr>
          <w:rFonts w:ascii="Calibri" w:eastAsia="Times New Roman" w:hAnsi="Calibri" w:cs="Calibri"/>
          <w:b/>
          <w:bCs/>
        </w:rPr>
        <w:t>Pre-EUA</w:t>
      </w:r>
    </w:p>
    <w:p w14:paraId="65CF4AE0" w14:textId="77777777" w:rsidR="00ED6F32" w:rsidRPr="00ED6F32" w:rsidRDefault="00ED6F32" w:rsidP="00E26561">
      <w:pPr>
        <w:shd w:val="clear" w:color="auto" w:fill="FFFFFF"/>
        <w:spacing w:line="480" w:lineRule="auto"/>
        <w:textAlignment w:val="baseline"/>
        <w:rPr>
          <w:rFonts w:ascii="Calibri" w:eastAsia="Times New Roman" w:hAnsi="Calibri" w:cs="Calibri"/>
        </w:rPr>
      </w:pPr>
      <w:r w:rsidRPr="00ED6F32">
        <w:rPr>
          <w:rFonts w:ascii="Calibri" w:eastAsia="Times New Roman" w:hAnsi="Calibri" w:cs="Calibri"/>
        </w:rPr>
        <w:t xml:space="preserve">Since EUA conditions are established when the EUA is issued, public health officials will not know </w:t>
      </w:r>
      <w:proofErr w:type="gramStart"/>
      <w:r w:rsidRPr="00ED6F32">
        <w:rPr>
          <w:rFonts w:ascii="Calibri" w:eastAsia="Times New Roman" w:hAnsi="Calibri" w:cs="Calibri"/>
        </w:rPr>
        <w:t>all of</w:t>
      </w:r>
      <w:proofErr w:type="gramEnd"/>
      <w:r w:rsidRPr="00ED6F32">
        <w:rPr>
          <w:rFonts w:ascii="Calibri" w:eastAsia="Times New Roman" w:hAnsi="Calibri" w:cs="Calibri"/>
        </w:rPr>
        <w:t xml:space="preserve"> the expected requirements of a particular authorization in advance of an emergency. As a result, state and local officials will have to comply with conditions for which they might not be able to effectively plan. While the law does not allow the FDA to preauthorize an EUA before the determination and declaration of an emergency, the process of requesting an EUA can begin before the actual emergency occurs.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A “pre-EUA” request can be submitted to the FDA based on likely situations such as potential anthrax attacks or smallpox outbreaks.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Planners speculate about what the emergency might be and the products that could be used in those situations.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A pre-EUA allows the FDA to begin work on fact sheets and other documentation.</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If an emergency is declared and the EUA is formally requested, the FDA can conduct a final review of the pre-EUA materials and make any substantive changes as needed.</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The FDA will work with the states to ensure that any changes are included in final materials.</w:t>
      </w:r>
      <w:r w:rsidRPr="00ED6F32">
        <w:rPr>
          <w:rFonts w:ascii="Calibri" w:eastAsia="Times New Roman" w:hAnsi="Calibri" w:cs="Calibri"/>
          <w:bdr w:val="none" w:sz="0" w:space="0" w:color="auto" w:frame="1"/>
          <w:vertAlign w:val="superscript"/>
        </w:rPr>
        <w:t>4</w:t>
      </w:r>
      <w:r w:rsidRPr="00ED6F32">
        <w:rPr>
          <w:rFonts w:ascii="Calibri" w:eastAsia="Times New Roman" w:hAnsi="Calibri" w:cs="Calibri"/>
        </w:rPr>
        <w:t> Even without a pre-EUA, public health officials can begin planning based on the list of potential conditions identified by the FDA in its 2007 document Guidance—Emergency Use Authorization of Medical Products.</w:t>
      </w:r>
      <w:r w:rsidRPr="00ED6F32">
        <w:rPr>
          <w:rFonts w:ascii="Calibri" w:eastAsia="Times New Roman" w:hAnsi="Calibri" w:cs="Calibri"/>
          <w:bdr w:val="none" w:sz="0" w:space="0" w:color="auto" w:frame="1"/>
          <w:vertAlign w:val="superscript"/>
        </w:rPr>
        <w:t>6, 4</w:t>
      </w:r>
      <w:r w:rsidRPr="00ED6F32">
        <w:rPr>
          <w:rFonts w:ascii="Calibri" w:eastAsia="Times New Roman" w:hAnsi="Calibri" w:cs="Calibri"/>
        </w:rPr>
        <w:t>  </w:t>
      </w:r>
    </w:p>
    <w:p w14:paraId="62A74F11" w14:textId="77777777" w:rsidR="002F7045" w:rsidRPr="000F0D7A" w:rsidRDefault="002F7045" w:rsidP="00E26561">
      <w:pPr>
        <w:spacing w:line="480" w:lineRule="auto"/>
        <w:rPr>
          <w:rFonts w:ascii="Calibri" w:eastAsia="Times New Roman" w:hAnsi="Calibri" w:cs="Calibri"/>
          <w:b/>
          <w:bCs/>
        </w:rPr>
      </w:pPr>
    </w:p>
    <w:p w14:paraId="5C786DE2" w14:textId="60D4E6CE" w:rsidR="00ED6F32" w:rsidRPr="00ED6F32" w:rsidRDefault="00ED6F32" w:rsidP="00E26561">
      <w:pPr>
        <w:spacing w:line="480" w:lineRule="auto"/>
        <w:rPr>
          <w:rFonts w:ascii="Calibri" w:eastAsia="Times New Roman" w:hAnsi="Calibri" w:cs="Calibri"/>
          <w:b/>
          <w:bCs/>
          <w:sz w:val="24"/>
          <w:szCs w:val="24"/>
        </w:rPr>
      </w:pPr>
      <w:r w:rsidRPr="00ED6F32">
        <w:rPr>
          <w:rFonts w:ascii="Calibri" w:eastAsia="Times New Roman" w:hAnsi="Calibri" w:cs="Calibri"/>
          <w:b/>
          <w:bCs/>
          <w:sz w:val="24"/>
          <w:szCs w:val="24"/>
        </w:rPr>
        <w:t>How the Law Affects States</w:t>
      </w:r>
    </w:p>
    <w:p w14:paraId="131C5045" w14:textId="77777777" w:rsidR="00ED6F32" w:rsidRPr="00ED6F32" w:rsidRDefault="00ED6F32" w:rsidP="00E26561">
      <w:pPr>
        <w:shd w:val="clear" w:color="auto" w:fill="FFFFFF"/>
        <w:spacing w:after="225" w:line="480" w:lineRule="auto"/>
        <w:textAlignment w:val="baseline"/>
        <w:rPr>
          <w:rFonts w:ascii="Calibri" w:eastAsia="Times New Roman" w:hAnsi="Calibri" w:cs="Calibri"/>
          <w:szCs w:val="20"/>
        </w:rPr>
      </w:pPr>
      <w:r w:rsidRPr="00ED6F32">
        <w:rPr>
          <w:rFonts w:ascii="Calibri" w:eastAsia="Times New Roman" w:hAnsi="Calibri" w:cs="Calibri"/>
          <w:szCs w:val="20"/>
        </w:rPr>
        <w:t xml:space="preserve">States have been significantly impacted </w:t>
      </w:r>
      <w:proofErr w:type="gramStart"/>
      <w:r w:rsidRPr="00ED6F32">
        <w:rPr>
          <w:rFonts w:ascii="Calibri" w:eastAsia="Times New Roman" w:hAnsi="Calibri" w:cs="Calibri"/>
          <w:szCs w:val="20"/>
        </w:rPr>
        <w:t>by the use of</w:t>
      </w:r>
      <w:proofErr w:type="gramEnd"/>
      <w:r w:rsidRPr="00ED6F32">
        <w:rPr>
          <w:rFonts w:ascii="Calibri" w:eastAsia="Times New Roman" w:hAnsi="Calibri" w:cs="Calibri"/>
          <w:szCs w:val="20"/>
        </w:rPr>
        <w:t xml:space="preserve"> EUAs during emergencies. During H1N1, the FDA issued numerous EUAs—many more than in prior years—for antivirals, diagnostic devices, and N95 masks. The public’s general concerns about perceived vaccine and drug safety issues also seemed to influence their views about medical products covered under EUAs. Healthcare professionals were unfamiliar with the EUA mechanism and how to use products authorized under it. Healthcare </w:t>
      </w:r>
      <w:r w:rsidRPr="00ED6F32">
        <w:rPr>
          <w:rFonts w:ascii="Calibri" w:eastAsia="Times New Roman" w:hAnsi="Calibri" w:cs="Calibri"/>
          <w:szCs w:val="20"/>
        </w:rPr>
        <w:lastRenderedPageBreak/>
        <w:t>professionals and others dispensing EUA-authorized products were concerned about potential liability issues. However, EUA authority has provided an important legal mechanism to make medicines quickly available to respond to an emergency when their availability through regular FD&amp;C Act/FDA processes might be delayed or be accompanied by burdensome procedures within the context of an emergency response.</w:t>
      </w:r>
    </w:p>
    <w:p w14:paraId="40402063" w14:textId="77777777" w:rsidR="00ED6F32" w:rsidRPr="00ED6F32" w:rsidRDefault="00ED6F32" w:rsidP="00E26561">
      <w:pPr>
        <w:shd w:val="clear" w:color="auto" w:fill="FFFFFF"/>
        <w:spacing w:line="480" w:lineRule="auto"/>
        <w:textAlignment w:val="baseline"/>
        <w:rPr>
          <w:rFonts w:ascii="Calibri" w:eastAsia="Times New Roman" w:hAnsi="Calibri" w:cs="Calibri"/>
          <w:color w:val="737373"/>
          <w:szCs w:val="20"/>
        </w:rPr>
      </w:pPr>
      <w:r w:rsidRPr="00ED6F32">
        <w:rPr>
          <w:rFonts w:ascii="Calibri" w:eastAsia="Times New Roman" w:hAnsi="Calibri" w:cs="Calibri"/>
          <w:szCs w:val="20"/>
        </w:rPr>
        <w:t>Because of the relative newness of the EUA authority, public and private sector entities alike are still assessing the requirements for using EUA products and the liability protections available under the PREP Act when medical countermeasures are used under EUAs. States are encountering EUA products as part of the materiel deployed in the federal </w:t>
      </w:r>
      <w:hyperlink r:id="rId16" w:anchor="Strategic-National" w:tooltip="Strategic National Stockpile (SNS)" w:history="1">
        <w:r w:rsidRPr="00ED6F32">
          <w:rPr>
            <w:rFonts w:ascii="Calibri" w:eastAsia="Times New Roman" w:hAnsi="Calibri" w:cs="Calibri"/>
            <w:color w:val="0F88B8"/>
            <w:szCs w:val="20"/>
            <w:bdr w:val="none" w:sz="0" w:space="0" w:color="auto" w:frame="1"/>
          </w:rPr>
          <w:t>Strategic National Stockpile (SNS)</w:t>
        </w:r>
      </w:hyperlink>
      <w:r w:rsidRPr="00ED6F32">
        <w:rPr>
          <w:rFonts w:ascii="Calibri" w:eastAsia="Times New Roman" w:hAnsi="Calibri" w:cs="Calibri"/>
          <w:color w:val="737373"/>
          <w:szCs w:val="20"/>
        </w:rPr>
        <w:t xml:space="preserve">, </w:t>
      </w:r>
      <w:r w:rsidRPr="00ED6F32">
        <w:rPr>
          <w:rFonts w:ascii="Calibri" w:eastAsia="Times New Roman" w:hAnsi="Calibri" w:cs="Calibri"/>
          <w:szCs w:val="20"/>
        </w:rPr>
        <w:t>as well as medicines that may have be granted extended expiration dates under the federal </w:t>
      </w:r>
      <w:hyperlink r:id="rId17" w:anchor="Shelf-Life" w:tooltip="Shelf Life Extension Program (SLEP)" w:history="1">
        <w:r w:rsidRPr="00ED6F32">
          <w:rPr>
            <w:rFonts w:ascii="Calibri" w:eastAsia="Times New Roman" w:hAnsi="Calibri" w:cs="Calibri"/>
            <w:color w:val="0F88B8"/>
            <w:szCs w:val="20"/>
            <w:bdr w:val="none" w:sz="0" w:space="0" w:color="auto" w:frame="1"/>
          </w:rPr>
          <w:t>Shelf Life Extension Program (SLEP)</w:t>
        </w:r>
      </w:hyperlink>
      <w:r w:rsidRPr="00ED6F32">
        <w:rPr>
          <w:rFonts w:ascii="Calibri" w:eastAsia="Times New Roman" w:hAnsi="Calibri" w:cs="Calibri"/>
          <w:color w:val="737373"/>
          <w:szCs w:val="20"/>
        </w:rPr>
        <w:t> </w:t>
      </w:r>
      <w:r w:rsidRPr="00ED6F32">
        <w:rPr>
          <w:rFonts w:ascii="Calibri" w:eastAsia="Times New Roman" w:hAnsi="Calibri" w:cs="Calibri"/>
          <w:szCs w:val="20"/>
        </w:rPr>
        <w:t>(see </w:t>
      </w:r>
      <w:hyperlink r:id="rId18" w:tooltip="ASTHO Fact Sheets on SNS" w:history="1">
        <w:r w:rsidRPr="00ED6F32">
          <w:rPr>
            <w:rFonts w:ascii="Calibri" w:eastAsia="Times New Roman" w:hAnsi="Calibri" w:cs="Calibri"/>
            <w:color w:val="0F88B8"/>
            <w:szCs w:val="20"/>
            <w:bdr w:val="none" w:sz="0" w:space="0" w:color="auto" w:frame="1"/>
          </w:rPr>
          <w:t>ASTHO Fact Sheets on SNS</w:t>
        </w:r>
      </w:hyperlink>
      <w:r w:rsidRPr="00ED6F32">
        <w:rPr>
          <w:rFonts w:ascii="Calibri" w:eastAsia="Times New Roman" w:hAnsi="Calibri" w:cs="Calibri"/>
          <w:color w:val="737373"/>
          <w:szCs w:val="20"/>
        </w:rPr>
        <w:t> </w:t>
      </w:r>
      <w:r w:rsidRPr="00ED6F32">
        <w:rPr>
          <w:rFonts w:ascii="Calibri" w:eastAsia="Times New Roman" w:hAnsi="Calibri" w:cs="Calibri"/>
          <w:szCs w:val="20"/>
        </w:rPr>
        <w:t>and </w:t>
      </w:r>
      <w:hyperlink r:id="rId19" w:tooltip="SLEP" w:history="1">
        <w:r w:rsidRPr="00ED6F32">
          <w:rPr>
            <w:rFonts w:ascii="Calibri" w:eastAsia="Times New Roman" w:hAnsi="Calibri" w:cs="Calibri"/>
            <w:color w:val="0F88B8"/>
            <w:szCs w:val="20"/>
            <w:bdr w:val="none" w:sz="0" w:space="0" w:color="auto" w:frame="1"/>
          </w:rPr>
          <w:t>SLEP</w:t>
        </w:r>
      </w:hyperlink>
      <w:r w:rsidRPr="00ED6F32">
        <w:rPr>
          <w:rFonts w:ascii="Calibri" w:eastAsia="Times New Roman" w:hAnsi="Calibri" w:cs="Calibri"/>
          <w:color w:val="737373"/>
          <w:szCs w:val="20"/>
        </w:rPr>
        <w:t>).</w:t>
      </w:r>
    </w:p>
    <w:p w14:paraId="253A1776" w14:textId="77777777" w:rsidR="002F7045" w:rsidRPr="001F1327" w:rsidRDefault="002F7045" w:rsidP="00E26561">
      <w:pPr>
        <w:spacing w:line="480" w:lineRule="auto"/>
        <w:rPr>
          <w:rFonts w:ascii="Calibri" w:eastAsia="Times New Roman" w:hAnsi="Calibri" w:cs="Calibri"/>
          <w:b/>
          <w:bCs/>
          <w:color w:val="3C3030"/>
          <w:sz w:val="28"/>
          <w:szCs w:val="24"/>
        </w:rPr>
      </w:pPr>
    </w:p>
    <w:p w14:paraId="77274E14" w14:textId="47911E09" w:rsidR="00ED6F32" w:rsidRPr="00ED6F32" w:rsidRDefault="00ED6F32" w:rsidP="00E26561">
      <w:pPr>
        <w:spacing w:line="480" w:lineRule="auto"/>
        <w:rPr>
          <w:rFonts w:ascii="Calibri" w:eastAsia="Times New Roman" w:hAnsi="Calibri" w:cs="Calibri"/>
          <w:b/>
          <w:bCs/>
          <w:color w:val="3C3030"/>
          <w:sz w:val="24"/>
          <w:szCs w:val="24"/>
        </w:rPr>
      </w:pPr>
      <w:r w:rsidRPr="00ED6F32">
        <w:rPr>
          <w:rFonts w:ascii="Calibri" w:eastAsia="Times New Roman" w:hAnsi="Calibri" w:cs="Calibri"/>
          <w:b/>
          <w:bCs/>
          <w:color w:val="3C3030"/>
          <w:sz w:val="24"/>
          <w:szCs w:val="24"/>
        </w:rPr>
        <w:t>Practice Notes</w:t>
      </w:r>
    </w:p>
    <w:p w14:paraId="39EB467C" w14:textId="77777777" w:rsidR="00ED6F32" w:rsidRPr="007A722F" w:rsidRDefault="00ED6F32" w:rsidP="007A722F">
      <w:pPr>
        <w:pStyle w:val="ListParagraph"/>
        <w:numPr>
          <w:ilvl w:val="0"/>
          <w:numId w:val="11"/>
        </w:numPr>
        <w:spacing w:line="480" w:lineRule="auto"/>
        <w:textAlignment w:val="baseline"/>
        <w:rPr>
          <w:rFonts w:ascii="Calibri" w:eastAsia="Times New Roman" w:hAnsi="Calibri" w:cs="Calibri"/>
          <w:szCs w:val="20"/>
        </w:rPr>
      </w:pPr>
      <w:r w:rsidRPr="007A722F">
        <w:rPr>
          <w:rFonts w:ascii="Calibri" w:eastAsia="Times New Roman" w:hAnsi="Calibri" w:cs="Calibri"/>
          <w:szCs w:val="20"/>
        </w:rPr>
        <w:t>Understand the criteria under which an EUA can be issued and the conditions of authorization the FDA can place on use of EUA products.</w:t>
      </w:r>
    </w:p>
    <w:p w14:paraId="11FBC835" w14:textId="77777777" w:rsidR="00ED6F32" w:rsidRPr="007A722F" w:rsidRDefault="00ED6F32" w:rsidP="007A722F">
      <w:pPr>
        <w:pStyle w:val="ListParagraph"/>
        <w:numPr>
          <w:ilvl w:val="0"/>
          <w:numId w:val="11"/>
        </w:numPr>
        <w:spacing w:line="480" w:lineRule="auto"/>
        <w:textAlignment w:val="baseline"/>
        <w:rPr>
          <w:rFonts w:ascii="Calibri" w:eastAsia="Times New Roman" w:hAnsi="Calibri" w:cs="Calibri"/>
          <w:szCs w:val="20"/>
        </w:rPr>
      </w:pPr>
      <w:r w:rsidRPr="007A722F">
        <w:rPr>
          <w:rFonts w:ascii="Calibri" w:eastAsia="Times New Roman" w:hAnsi="Calibri" w:cs="Calibri"/>
          <w:szCs w:val="20"/>
        </w:rPr>
        <w:t>Understand the liability implications when using EUA products and the extent of PREP Act and other legal protections.</w:t>
      </w:r>
    </w:p>
    <w:p w14:paraId="033C65D6" w14:textId="77777777" w:rsidR="00ED6F32" w:rsidRPr="007A722F" w:rsidRDefault="00ED6F32" w:rsidP="007A722F">
      <w:pPr>
        <w:pStyle w:val="ListParagraph"/>
        <w:numPr>
          <w:ilvl w:val="0"/>
          <w:numId w:val="11"/>
        </w:numPr>
        <w:spacing w:line="480" w:lineRule="auto"/>
        <w:textAlignment w:val="baseline"/>
        <w:rPr>
          <w:rFonts w:ascii="Calibri" w:eastAsia="Times New Roman" w:hAnsi="Calibri" w:cs="Calibri"/>
          <w:szCs w:val="20"/>
        </w:rPr>
      </w:pPr>
      <w:r w:rsidRPr="007A722F">
        <w:rPr>
          <w:rFonts w:ascii="Calibri" w:eastAsia="Times New Roman" w:hAnsi="Calibri" w:cs="Calibri"/>
          <w:szCs w:val="20"/>
        </w:rPr>
        <w:t>Identify how your state plans to inform providers, the public, etc., about EUA products before and during an emergency.</w:t>
      </w:r>
    </w:p>
    <w:p w14:paraId="42D2D644" w14:textId="77777777" w:rsidR="002F7045" w:rsidRPr="000F0D7A" w:rsidRDefault="002F7045" w:rsidP="00E26561">
      <w:pPr>
        <w:spacing w:line="480" w:lineRule="auto"/>
        <w:rPr>
          <w:rFonts w:ascii="Calibri" w:eastAsia="Times New Roman" w:hAnsi="Calibri" w:cs="Calibri"/>
          <w:b/>
          <w:bCs/>
          <w:sz w:val="28"/>
          <w:szCs w:val="24"/>
        </w:rPr>
      </w:pPr>
    </w:p>
    <w:p w14:paraId="3F1B6848" w14:textId="40A2DBB0" w:rsidR="00ED6F32" w:rsidRPr="00ED6F32" w:rsidRDefault="00ED6F32" w:rsidP="002B69E4">
      <w:pPr>
        <w:keepNext/>
        <w:spacing w:line="480" w:lineRule="auto"/>
        <w:rPr>
          <w:rFonts w:ascii="Calibri" w:eastAsia="Times New Roman" w:hAnsi="Calibri" w:cs="Calibri"/>
          <w:b/>
          <w:bCs/>
          <w:color w:val="3C3030"/>
          <w:sz w:val="24"/>
          <w:szCs w:val="24"/>
        </w:rPr>
      </w:pPr>
      <w:r w:rsidRPr="00ED6F32">
        <w:rPr>
          <w:rFonts w:ascii="Calibri" w:eastAsia="Times New Roman" w:hAnsi="Calibri" w:cs="Calibri"/>
          <w:b/>
          <w:bCs/>
          <w:color w:val="3C3030"/>
          <w:sz w:val="24"/>
          <w:szCs w:val="24"/>
        </w:rPr>
        <w:lastRenderedPageBreak/>
        <w:t>EUAs Issued</w:t>
      </w:r>
    </w:p>
    <w:p w14:paraId="197C6C13" w14:textId="77777777" w:rsidR="00ED6F32" w:rsidRPr="002B69E4" w:rsidRDefault="00ED6F32" w:rsidP="002B69E4">
      <w:pPr>
        <w:pStyle w:val="ListParagraph"/>
        <w:numPr>
          <w:ilvl w:val="0"/>
          <w:numId w:val="12"/>
        </w:numPr>
        <w:spacing w:line="480" w:lineRule="auto"/>
        <w:textAlignment w:val="baseline"/>
        <w:rPr>
          <w:rFonts w:ascii="Calibri" w:eastAsia="Times New Roman" w:hAnsi="Calibri" w:cs="Calibri"/>
        </w:rPr>
      </w:pPr>
      <w:r w:rsidRPr="002B69E4">
        <w:rPr>
          <w:rFonts w:ascii="Calibri" w:eastAsia="Times New Roman" w:hAnsi="Calibri" w:cs="Calibri"/>
        </w:rPr>
        <w:t xml:space="preserve">The Project </w:t>
      </w:r>
      <w:proofErr w:type="spellStart"/>
      <w:r w:rsidRPr="002B69E4">
        <w:rPr>
          <w:rFonts w:ascii="Calibri" w:eastAsia="Times New Roman" w:hAnsi="Calibri" w:cs="Calibri"/>
        </w:rPr>
        <w:t>BioShield</w:t>
      </w:r>
      <w:proofErr w:type="spellEnd"/>
      <w:r w:rsidRPr="002B69E4">
        <w:rPr>
          <w:rFonts w:ascii="Calibri" w:eastAsia="Times New Roman" w:hAnsi="Calibri" w:cs="Calibri"/>
        </w:rPr>
        <w:t xml:space="preserve"> Act granted EUA authority in 2004. Two EUAs were issued before 2009; one of these EUAs was for the Cities Readiness Initiative (CRI) Postal Model, which pre-positioned doxycycline tablets in emergency kits for USPS workers against inhalational anthrax.</w:t>
      </w:r>
      <w:r w:rsidRPr="002B69E4">
        <w:rPr>
          <w:rFonts w:ascii="Calibri" w:eastAsia="Times New Roman" w:hAnsi="Calibri" w:cs="Calibri"/>
          <w:bdr w:val="none" w:sz="0" w:space="0" w:color="auto" w:frame="1"/>
          <w:vertAlign w:val="superscript"/>
        </w:rPr>
        <w:t>12 </w:t>
      </w:r>
      <w:r w:rsidRPr="002B69E4">
        <w:rPr>
          <w:rFonts w:ascii="Calibri" w:eastAsia="Times New Roman" w:hAnsi="Calibri" w:cs="Calibri"/>
        </w:rPr>
        <w:t> </w:t>
      </w:r>
    </w:p>
    <w:p w14:paraId="554ADE2E" w14:textId="77777777" w:rsidR="00ED6F32" w:rsidRPr="002B69E4" w:rsidRDefault="00ED6F32" w:rsidP="002B69E4">
      <w:pPr>
        <w:pStyle w:val="ListParagraph"/>
        <w:numPr>
          <w:ilvl w:val="0"/>
          <w:numId w:val="12"/>
        </w:numPr>
        <w:spacing w:line="480" w:lineRule="auto"/>
        <w:textAlignment w:val="baseline"/>
        <w:rPr>
          <w:rFonts w:ascii="Calibri" w:eastAsia="Times New Roman" w:hAnsi="Calibri" w:cs="Calibri"/>
        </w:rPr>
      </w:pPr>
      <w:r w:rsidRPr="002B69E4">
        <w:rPr>
          <w:rFonts w:ascii="Calibri" w:eastAsia="Times New Roman" w:hAnsi="Calibri" w:cs="Calibri"/>
        </w:rPr>
        <w:t>Most of the EUAs have been issued in response to the 2009 H1N1 outbreak.</w:t>
      </w:r>
    </w:p>
    <w:p w14:paraId="343A7D47" w14:textId="77777777" w:rsidR="00ED6F32" w:rsidRPr="002B69E4" w:rsidRDefault="00ED6F32" w:rsidP="002B69E4">
      <w:pPr>
        <w:pStyle w:val="ListParagraph"/>
        <w:numPr>
          <w:ilvl w:val="0"/>
          <w:numId w:val="12"/>
        </w:numPr>
        <w:spacing w:line="480" w:lineRule="auto"/>
        <w:textAlignment w:val="baseline"/>
        <w:rPr>
          <w:rFonts w:ascii="Calibri" w:eastAsia="Times New Roman" w:hAnsi="Calibri" w:cs="Calibri"/>
        </w:rPr>
      </w:pPr>
      <w:r w:rsidRPr="002B69E4">
        <w:rPr>
          <w:rFonts w:ascii="Calibri" w:eastAsia="Times New Roman" w:hAnsi="Calibri" w:cs="Calibri"/>
        </w:rPr>
        <w:t>In 2009 and 2010, EUAs were issued for 22 products including pandemic vaccines, antivirals, N95 respirators, and diagnostic tests.</w:t>
      </w:r>
    </w:p>
    <w:p w14:paraId="42E4DC38" w14:textId="77777777" w:rsidR="00ED6F32" w:rsidRPr="002B69E4" w:rsidRDefault="00ED6F32" w:rsidP="002B69E4">
      <w:pPr>
        <w:pStyle w:val="ListParagraph"/>
        <w:numPr>
          <w:ilvl w:val="0"/>
          <w:numId w:val="12"/>
        </w:numPr>
        <w:spacing w:line="480" w:lineRule="auto"/>
        <w:textAlignment w:val="baseline"/>
        <w:rPr>
          <w:rFonts w:ascii="Calibri" w:eastAsia="Times New Roman" w:hAnsi="Calibri" w:cs="Calibri"/>
        </w:rPr>
      </w:pPr>
      <w:r w:rsidRPr="002B69E4">
        <w:rPr>
          <w:rFonts w:ascii="Calibri" w:eastAsia="Times New Roman" w:hAnsi="Calibri" w:cs="Calibri"/>
        </w:rPr>
        <w:t>In 2011, FDA issued EUAs for the mass dispensing of doxycycline and the National Postal Model (NPM) (formerly the USPS CRI Postal Model).</w:t>
      </w:r>
      <w:r w:rsidRPr="002B69E4">
        <w:rPr>
          <w:rFonts w:ascii="Calibri" w:eastAsia="Times New Roman" w:hAnsi="Calibri" w:cs="Calibri"/>
          <w:bdr w:val="none" w:sz="0" w:space="0" w:color="auto" w:frame="1"/>
          <w:vertAlign w:val="superscript"/>
        </w:rPr>
        <w:t>12 </w:t>
      </w:r>
      <w:r w:rsidRPr="002B69E4">
        <w:rPr>
          <w:rFonts w:ascii="Calibri" w:eastAsia="Times New Roman" w:hAnsi="Calibri" w:cs="Calibri"/>
        </w:rPr>
        <w:t> </w:t>
      </w:r>
    </w:p>
    <w:p w14:paraId="60E1187F" w14:textId="77777777" w:rsidR="00ED6F32" w:rsidRPr="002B69E4" w:rsidRDefault="00ED6F32" w:rsidP="002B69E4">
      <w:pPr>
        <w:pStyle w:val="ListParagraph"/>
        <w:numPr>
          <w:ilvl w:val="0"/>
          <w:numId w:val="12"/>
        </w:numPr>
        <w:spacing w:line="480" w:lineRule="auto"/>
        <w:textAlignment w:val="baseline"/>
        <w:rPr>
          <w:rFonts w:ascii="Calibri" w:eastAsia="Times New Roman" w:hAnsi="Calibri" w:cs="Calibri"/>
        </w:rPr>
      </w:pPr>
      <w:r w:rsidRPr="002B69E4">
        <w:rPr>
          <w:rFonts w:ascii="Calibri" w:eastAsia="Times New Roman" w:hAnsi="Calibri" w:cs="Calibri"/>
        </w:rPr>
        <w:t>As of December 2011, only two EUAs are in effect: (1) doxycycline for mass dispensing and (2) NPM kits.</w:t>
      </w:r>
    </w:p>
    <w:p w14:paraId="248A9071" w14:textId="77777777" w:rsidR="002F7045" w:rsidRPr="000F0D7A" w:rsidRDefault="002F7045" w:rsidP="00E26561">
      <w:pPr>
        <w:spacing w:line="480" w:lineRule="auto"/>
        <w:rPr>
          <w:rFonts w:ascii="Calibri" w:eastAsia="Times New Roman" w:hAnsi="Calibri" w:cs="Calibri"/>
          <w:b/>
          <w:bCs/>
        </w:rPr>
      </w:pPr>
    </w:p>
    <w:p w14:paraId="3675BD45" w14:textId="2D72B4B0" w:rsidR="00ED6F32" w:rsidRPr="00ED6F32" w:rsidRDefault="00ED6F32" w:rsidP="00E26561">
      <w:pPr>
        <w:spacing w:line="480" w:lineRule="auto"/>
        <w:rPr>
          <w:rFonts w:ascii="Calibri" w:eastAsia="Times New Roman" w:hAnsi="Calibri" w:cs="Calibri"/>
          <w:b/>
          <w:bCs/>
          <w:color w:val="3C3030"/>
          <w:sz w:val="24"/>
          <w:szCs w:val="24"/>
        </w:rPr>
      </w:pPr>
      <w:r w:rsidRPr="00ED6F32">
        <w:rPr>
          <w:rFonts w:ascii="Calibri" w:eastAsia="Times New Roman" w:hAnsi="Calibri" w:cs="Calibri"/>
          <w:b/>
          <w:bCs/>
          <w:color w:val="3C3030"/>
          <w:sz w:val="24"/>
          <w:szCs w:val="24"/>
        </w:rPr>
        <w:t>Sources</w:t>
      </w:r>
      <w:bookmarkStart w:id="0" w:name="_GoBack"/>
      <w:bookmarkEnd w:id="0"/>
    </w:p>
    <w:p w14:paraId="5DEAC094"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t>Federal Food, Drug, and Cosmetics Act, as amended. Codified at 21 U.S.C. 301 et seq.</w:t>
      </w:r>
    </w:p>
    <w:p w14:paraId="11EAD6AB"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t>U.S. Food and Drug Administration. “Emergency Use Authorizations Questions and Answers” webpage. Available at </w:t>
      </w:r>
      <w:hyperlink r:id="rId20" w:history="1">
        <w:r w:rsidRPr="00ED6F32">
          <w:rPr>
            <w:rFonts w:ascii="Calibri" w:eastAsia="Times New Roman" w:hAnsi="Calibri" w:cs="Calibri"/>
            <w:color w:val="0F88B8"/>
            <w:bdr w:val="none" w:sz="0" w:space="0" w:color="auto" w:frame="1"/>
          </w:rPr>
          <w:t>www.fda.gov/NewsEvents/PublicHealthFocus/ucm153297.htm</w:t>
        </w:r>
      </w:hyperlink>
      <w:r w:rsidRPr="00ED6F32">
        <w:rPr>
          <w:rFonts w:ascii="Calibri" w:eastAsia="Times New Roman" w:hAnsi="Calibri" w:cs="Calibri"/>
          <w:color w:val="737373"/>
        </w:rPr>
        <w:t xml:space="preserve">. </w:t>
      </w:r>
      <w:r w:rsidRPr="00ED6F32">
        <w:rPr>
          <w:rFonts w:ascii="Calibri" w:eastAsia="Times New Roman" w:hAnsi="Calibri" w:cs="Calibri"/>
        </w:rPr>
        <w:t>Accessed January 31, 2012.</w:t>
      </w:r>
    </w:p>
    <w:p w14:paraId="793A1CFC"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t xml:space="preserve">Project </w:t>
      </w:r>
      <w:proofErr w:type="spellStart"/>
      <w:r w:rsidRPr="00ED6F32">
        <w:rPr>
          <w:rFonts w:ascii="Calibri" w:eastAsia="Times New Roman" w:hAnsi="Calibri" w:cs="Calibri"/>
        </w:rPr>
        <w:t>BioShield</w:t>
      </w:r>
      <w:proofErr w:type="spellEnd"/>
      <w:r w:rsidRPr="00ED6F32">
        <w:rPr>
          <w:rFonts w:ascii="Calibri" w:eastAsia="Times New Roman" w:hAnsi="Calibri" w:cs="Calibri"/>
        </w:rPr>
        <w:t xml:space="preserve"> Act of 2004. Pub. L. No. 108-276.</w:t>
      </w:r>
    </w:p>
    <w:p w14:paraId="4576D899"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t>Medical Countermeasures Dispensing: Emergency Use Authorization and the Postal Model, Workshop Summary. Institute of Medicine (US). Forum on Medical and Public Health Preparedness for Catastrophic Events. Washington, DC. National Academies Press. 2010. Available at </w:t>
      </w:r>
      <w:hyperlink r:id="rId21" w:history="1">
        <w:r w:rsidRPr="00ED6F32">
          <w:rPr>
            <w:rFonts w:ascii="Calibri" w:eastAsia="Times New Roman" w:hAnsi="Calibri" w:cs="Calibri"/>
            <w:color w:val="0F88B8"/>
            <w:bdr w:val="none" w:sz="0" w:space="0" w:color="auto" w:frame="1"/>
          </w:rPr>
          <w:t>www.ncbi.nlm.nih.gov/books/NBK53126/pdf/TOC.pdf</w:t>
        </w:r>
      </w:hyperlink>
      <w:r w:rsidRPr="00ED6F32">
        <w:rPr>
          <w:rFonts w:ascii="Calibri" w:eastAsia="Times New Roman" w:hAnsi="Calibri" w:cs="Calibri"/>
          <w:color w:val="737373"/>
        </w:rPr>
        <w:t xml:space="preserve">. </w:t>
      </w:r>
      <w:r w:rsidRPr="00ED6F32">
        <w:rPr>
          <w:rFonts w:ascii="Calibri" w:eastAsia="Times New Roman" w:hAnsi="Calibri" w:cs="Calibri"/>
        </w:rPr>
        <w:t>Accessed January 31, 2012.</w:t>
      </w:r>
    </w:p>
    <w:p w14:paraId="7B603288"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lastRenderedPageBreak/>
        <w:t>U.S. Food and Drug Administration and the U.S. Centers for Disease Control and Prevention. “Emergency Use Authorization” online course. Available at</w:t>
      </w:r>
      <w:r w:rsidRPr="00ED6F32">
        <w:rPr>
          <w:rFonts w:ascii="Calibri" w:eastAsia="Times New Roman" w:hAnsi="Calibri" w:cs="Calibri"/>
          <w:color w:val="737373"/>
        </w:rPr>
        <w:t> </w:t>
      </w:r>
      <w:hyperlink r:id="rId22" w:history="1">
        <w:r w:rsidRPr="00ED6F32">
          <w:rPr>
            <w:rFonts w:ascii="Calibri" w:eastAsia="Times New Roman" w:hAnsi="Calibri" w:cs="Calibri"/>
            <w:color w:val="0F88B8"/>
            <w:bdr w:val="none" w:sz="0" w:space="0" w:color="auto" w:frame="1"/>
          </w:rPr>
          <w:t>www.bt.cdc.gov/training/eua/index.html</w:t>
        </w:r>
      </w:hyperlink>
      <w:r w:rsidRPr="00ED6F32">
        <w:rPr>
          <w:rFonts w:ascii="Calibri" w:eastAsia="Times New Roman" w:hAnsi="Calibri" w:cs="Calibri"/>
        </w:rPr>
        <w:t>. Accessed January 31, 2012.</w:t>
      </w:r>
    </w:p>
    <w:p w14:paraId="347F7A27"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t>U.S. Food and Drug Administration. Guidance—Emergency Use Authorization of Medical Products. July 2007. Available at </w:t>
      </w:r>
      <w:hyperlink r:id="rId23" w:history="1">
        <w:r w:rsidRPr="00ED6F32">
          <w:rPr>
            <w:rFonts w:ascii="Calibri" w:eastAsia="Times New Roman" w:hAnsi="Calibri" w:cs="Calibri"/>
            <w:color w:val="0F88B8"/>
            <w:bdr w:val="none" w:sz="0" w:space="0" w:color="auto" w:frame="1"/>
          </w:rPr>
          <w:t>www.fda.gov/RegulatoryInformation/Guidances/ucm125127.htm</w:t>
        </w:r>
      </w:hyperlink>
      <w:r w:rsidRPr="00ED6F32">
        <w:rPr>
          <w:rFonts w:ascii="Calibri" w:eastAsia="Times New Roman" w:hAnsi="Calibri" w:cs="Calibri"/>
        </w:rPr>
        <w:t>. Accessed January 31, 2012.</w:t>
      </w:r>
    </w:p>
    <w:p w14:paraId="197DEFA1"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t>Public Readiness and Emergency Preparedness Response Act of 2005. Pub. L. No. 109-148. Codified in the Public Health Service Act at 42 U.S.C. §§ 247d-6d, 247d-6e.</w:t>
      </w:r>
    </w:p>
    <w:p w14:paraId="0F5EB594"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t>Federal Tort Claims Act, as amended. Codified at 28 U.S.C. §§1346(b), 2671-2680.</w:t>
      </w:r>
    </w:p>
    <w:p w14:paraId="3F68AA2F"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t>Health Resources and Services Administration. “National Vaccine Injury Compensation Program (VICP)” webpage. Available at </w:t>
      </w:r>
      <w:hyperlink r:id="rId24" w:history="1">
        <w:r w:rsidRPr="00ED6F32">
          <w:rPr>
            <w:rFonts w:ascii="Calibri" w:eastAsia="Times New Roman" w:hAnsi="Calibri" w:cs="Calibri"/>
            <w:color w:val="0F88B8"/>
            <w:bdr w:val="none" w:sz="0" w:space="0" w:color="auto" w:frame="1"/>
          </w:rPr>
          <w:t>www.hrsa.gov/vaccinecompensation/default.htm</w:t>
        </w:r>
      </w:hyperlink>
      <w:r w:rsidRPr="00ED6F32">
        <w:rPr>
          <w:rFonts w:ascii="Calibri" w:eastAsia="Times New Roman" w:hAnsi="Calibri" w:cs="Calibri"/>
        </w:rPr>
        <w:t>. Accessed January 31, 2012.</w:t>
      </w:r>
    </w:p>
    <w:p w14:paraId="2D55A87D"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t>Public Health Service Act §319. Codified at 42 U.S.C. § 247d.</w:t>
      </w:r>
    </w:p>
    <w:p w14:paraId="4A2D8DF7"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t>Sherman S. U.S. Dept. of Health and Human Services. “Public Health Emergency Authorities: Determinations and Declarations.” Presentation at Federal, State, and Local Public Health Preparedness meeting. Baltimore, Maryland. December 14-15, 2010. Available at </w:t>
      </w:r>
      <w:hyperlink r:id="rId25" w:history="1">
        <w:r w:rsidRPr="00ED6F32">
          <w:rPr>
            <w:rFonts w:ascii="Calibri" w:eastAsia="Times New Roman" w:hAnsi="Calibri" w:cs="Calibri"/>
            <w:color w:val="0F88B8"/>
            <w:bdr w:val="none" w:sz="0" w:space="0" w:color="auto" w:frame="1"/>
          </w:rPr>
          <w:t>www.fda.gov/EmergencyPreparedness/Counterterrorism/ucm247676.htm</w:t>
        </w:r>
      </w:hyperlink>
      <w:r w:rsidRPr="00ED6F32">
        <w:rPr>
          <w:rFonts w:ascii="Calibri" w:eastAsia="Times New Roman" w:hAnsi="Calibri" w:cs="Calibri"/>
        </w:rPr>
        <w:t>. Accessed January 31, 2012.</w:t>
      </w:r>
    </w:p>
    <w:p w14:paraId="50AC0C4E" w14:textId="77777777" w:rsidR="00ED6F32" w:rsidRPr="00ED6F32" w:rsidRDefault="00ED6F32" w:rsidP="00E26561">
      <w:pPr>
        <w:numPr>
          <w:ilvl w:val="0"/>
          <w:numId w:val="6"/>
        </w:numPr>
        <w:spacing w:line="480" w:lineRule="auto"/>
        <w:ind w:left="450"/>
        <w:textAlignment w:val="baseline"/>
        <w:rPr>
          <w:rFonts w:ascii="Calibri" w:eastAsia="Times New Roman" w:hAnsi="Calibri" w:cs="Calibri"/>
        </w:rPr>
      </w:pPr>
      <w:r w:rsidRPr="00ED6F32">
        <w:rPr>
          <w:rFonts w:ascii="Calibri" w:eastAsia="Times New Roman" w:hAnsi="Calibri" w:cs="Calibri"/>
        </w:rPr>
        <w:t>U.S. Food and Drug Administration. “Emergency Preparedness and Response: Emergency Use Authorization” webpage. Available at </w:t>
      </w:r>
      <w:hyperlink r:id="rId26" w:history="1">
        <w:r w:rsidRPr="00ED6F32">
          <w:rPr>
            <w:rFonts w:ascii="Calibri" w:eastAsia="Times New Roman" w:hAnsi="Calibri" w:cs="Calibri"/>
            <w:color w:val="0F88B8"/>
            <w:bdr w:val="none" w:sz="0" w:space="0" w:color="auto" w:frame="1"/>
          </w:rPr>
          <w:t>www.fda.gov/EmergencyPreparedness/Counterterrorism/ucm182568.htm</w:t>
        </w:r>
      </w:hyperlink>
      <w:r w:rsidRPr="00ED6F32">
        <w:rPr>
          <w:rFonts w:ascii="Calibri" w:eastAsia="Times New Roman" w:hAnsi="Calibri" w:cs="Calibri"/>
        </w:rPr>
        <w:t>. Accessed January 31, 2012.</w:t>
      </w:r>
    </w:p>
    <w:p w14:paraId="1A9C1F20" w14:textId="77777777" w:rsidR="00B75B7F" w:rsidRPr="001F1327" w:rsidRDefault="00B75B7F" w:rsidP="00E26561">
      <w:pPr>
        <w:spacing w:line="480" w:lineRule="auto"/>
        <w:rPr>
          <w:rFonts w:ascii="Calibri" w:hAnsi="Calibri" w:cs="Calibri"/>
        </w:rPr>
      </w:pPr>
    </w:p>
    <w:sectPr w:rsidR="00B75B7F" w:rsidRPr="001F1327">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572F5" w14:textId="77777777" w:rsidR="002F7045" w:rsidRDefault="002F7045" w:rsidP="002F7045">
      <w:r>
        <w:separator/>
      </w:r>
    </w:p>
  </w:endnote>
  <w:endnote w:type="continuationSeparator" w:id="0">
    <w:p w14:paraId="46FE1269" w14:textId="77777777" w:rsidR="002F7045" w:rsidRDefault="002F7045" w:rsidP="002F7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5957974"/>
      <w:docPartObj>
        <w:docPartGallery w:val="Page Numbers (Bottom of Page)"/>
        <w:docPartUnique/>
      </w:docPartObj>
    </w:sdtPr>
    <w:sdtEndPr>
      <w:rPr>
        <w:noProof/>
      </w:rPr>
    </w:sdtEndPr>
    <w:sdtContent>
      <w:p w14:paraId="68EF2FC5" w14:textId="10107FDE" w:rsidR="002F7045" w:rsidRDefault="002F7045" w:rsidP="002F70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E4DD08" w14:textId="77777777" w:rsidR="002F7045" w:rsidRDefault="002F7045" w:rsidP="002F7045">
      <w:r>
        <w:separator/>
      </w:r>
    </w:p>
  </w:footnote>
  <w:footnote w:type="continuationSeparator" w:id="0">
    <w:p w14:paraId="207976A4" w14:textId="77777777" w:rsidR="002F7045" w:rsidRDefault="002F7045" w:rsidP="002F70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03680"/>
    <w:multiLevelType w:val="hybridMultilevel"/>
    <w:tmpl w:val="142E6E38"/>
    <w:lvl w:ilvl="0" w:tplc="F7E0F360">
      <w:start w:val="1"/>
      <w:numFmt w:val="bullet"/>
      <w:lvlText w:val=""/>
      <w:lvlJc w:val="left"/>
      <w:pPr>
        <w:ind w:left="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7C4839"/>
    <w:multiLevelType w:val="hybridMultilevel"/>
    <w:tmpl w:val="062E80BA"/>
    <w:lvl w:ilvl="0" w:tplc="F7E0F3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FC5A5D"/>
    <w:multiLevelType w:val="multilevel"/>
    <w:tmpl w:val="F12E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265B5C"/>
    <w:multiLevelType w:val="multilevel"/>
    <w:tmpl w:val="485C7E08"/>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080AAC"/>
    <w:multiLevelType w:val="multilevel"/>
    <w:tmpl w:val="3356E45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48785B13"/>
    <w:multiLevelType w:val="hybridMultilevel"/>
    <w:tmpl w:val="4EF69D4A"/>
    <w:lvl w:ilvl="0" w:tplc="F7E0F3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B62AA8"/>
    <w:multiLevelType w:val="hybridMultilevel"/>
    <w:tmpl w:val="382E8D42"/>
    <w:lvl w:ilvl="0" w:tplc="F7E0F3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90662B"/>
    <w:multiLevelType w:val="multilevel"/>
    <w:tmpl w:val="85245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3E40F7"/>
    <w:multiLevelType w:val="multilevel"/>
    <w:tmpl w:val="189C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2A230E"/>
    <w:multiLevelType w:val="multilevel"/>
    <w:tmpl w:val="13A87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F5456A"/>
    <w:multiLevelType w:val="hybridMultilevel"/>
    <w:tmpl w:val="D25CBBF4"/>
    <w:lvl w:ilvl="0" w:tplc="F7E0F3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E22437E"/>
    <w:multiLevelType w:val="hybridMultilevel"/>
    <w:tmpl w:val="FA7AD0A2"/>
    <w:lvl w:ilvl="0" w:tplc="F7E0F3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7"/>
  </w:num>
  <w:num w:numId="4">
    <w:abstractNumId w:val="9"/>
  </w:num>
  <w:num w:numId="5">
    <w:abstractNumId w:val="4"/>
  </w:num>
  <w:num w:numId="6">
    <w:abstractNumId w:val="3"/>
  </w:num>
  <w:num w:numId="7">
    <w:abstractNumId w:val="10"/>
  </w:num>
  <w:num w:numId="8">
    <w:abstractNumId w:val="0"/>
  </w:num>
  <w:num w:numId="9">
    <w:abstractNumId w:val="6"/>
  </w:num>
  <w:num w:numId="10">
    <w:abstractNumId w:val="5"/>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F32"/>
    <w:rsid w:val="000F0D7A"/>
    <w:rsid w:val="00151278"/>
    <w:rsid w:val="001F1327"/>
    <w:rsid w:val="002B69E4"/>
    <w:rsid w:val="002F7045"/>
    <w:rsid w:val="0043114A"/>
    <w:rsid w:val="00476446"/>
    <w:rsid w:val="007A722F"/>
    <w:rsid w:val="00AA7913"/>
    <w:rsid w:val="00B75B7F"/>
    <w:rsid w:val="00E26561"/>
    <w:rsid w:val="00ED6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FFA48"/>
  <w15:chartTrackingRefBased/>
  <w15:docId w15:val="{50402276-C84F-42B1-B8EA-C0F2A85F1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D6F3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D6F3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D6F3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F3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D6F3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D6F3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D6F3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D6F32"/>
    <w:rPr>
      <w:color w:val="0000FF"/>
      <w:u w:val="single"/>
    </w:rPr>
  </w:style>
  <w:style w:type="paragraph" w:styleId="Header">
    <w:name w:val="header"/>
    <w:basedOn w:val="Normal"/>
    <w:link w:val="HeaderChar"/>
    <w:uiPriority w:val="99"/>
    <w:unhideWhenUsed/>
    <w:rsid w:val="002F7045"/>
    <w:pPr>
      <w:tabs>
        <w:tab w:val="center" w:pos="4680"/>
        <w:tab w:val="right" w:pos="9360"/>
      </w:tabs>
    </w:pPr>
  </w:style>
  <w:style w:type="character" w:customStyle="1" w:styleId="HeaderChar">
    <w:name w:val="Header Char"/>
    <w:basedOn w:val="DefaultParagraphFont"/>
    <w:link w:val="Header"/>
    <w:uiPriority w:val="99"/>
    <w:rsid w:val="002F7045"/>
  </w:style>
  <w:style w:type="paragraph" w:styleId="Footer">
    <w:name w:val="footer"/>
    <w:basedOn w:val="Normal"/>
    <w:link w:val="FooterChar"/>
    <w:uiPriority w:val="99"/>
    <w:unhideWhenUsed/>
    <w:rsid w:val="002F7045"/>
    <w:pPr>
      <w:tabs>
        <w:tab w:val="center" w:pos="4680"/>
        <w:tab w:val="right" w:pos="9360"/>
      </w:tabs>
    </w:pPr>
  </w:style>
  <w:style w:type="character" w:customStyle="1" w:styleId="FooterChar">
    <w:name w:val="Footer Char"/>
    <w:basedOn w:val="DefaultParagraphFont"/>
    <w:link w:val="Footer"/>
    <w:uiPriority w:val="99"/>
    <w:rsid w:val="002F7045"/>
  </w:style>
  <w:style w:type="paragraph" w:styleId="ListParagraph">
    <w:name w:val="List Paragraph"/>
    <w:basedOn w:val="Normal"/>
    <w:uiPriority w:val="34"/>
    <w:qFormat/>
    <w:rsid w:val="00E265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25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Use-Authorization-Toolkit/Emergency-Use-Authorization-Toolkit-Supplemental-Materials" TargetMode="External"/><Relationship Id="rId13" Type="http://schemas.openxmlformats.org/officeDocument/2006/relationships/hyperlink" Target="http://www.astho.org/Programs/Preparedness/Public-Health-Emergency-Law/Emergency-Use-Authorization-Toolkit/Emergency-Use-Authorization-Toolkit-Supplemental-Materials" TargetMode="External"/><Relationship Id="rId18" Type="http://schemas.openxmlformats.org/officeDocument/2006/relationships/hyperlink" Target="http://www.astho.org/Programs/Preparedness/Public-Health-Emergency-Law/Emergency-Use-Authorization-Toolkit/Strategic-National-Stockpile-Fact-Sheet/" TargetMode="External"/><Relationship Id="rId26" Type="http://schemas.openxmlformats.org/officeDocument/2006/relationships/hyperlink" Target="http://www.fda.gov/EmergencyPreparedness/Counterterrorism/ucm182568.htm" TargetMode="External"/><Relationship Id="rId3" Type="http://schemas.openxmlformats.org/officeDocument/2006/relationships/settings" Target="settings.xml"/><Relationship Id="rId21" Type="http://schemas.openxmlformats.org/officeDocument/2006/relationships/hyperlink" Target="http://www.ncbi.nlm.nih.gov/books/NBK53126/pdf/TOC.pdf" TargetMode="External"/><Relationship Id="rId7" Type="http://schemas.openxmlformats.org/officeDocument/2006/relationships/hyperlink" Target="http://www.astho.org/Programs/Preparedness/Public-Health-Emergency-Law/Emergency-Use-Authorization-Toolkit/Emergency-Use-Authorization-Toolkit-Supplemental-Materials" TargetMode="External"/><Relationship Id="rId12" Type="http://schemas.openxmlformats.org/officeDocument/2006/relationships/hyperlink" Target="http://www.astho.org/Programs/Preparedness/Public-Health-Emergency-Law/Emergency-Use-Authorization-Toolkit/Public-Readiness-and-Emergency-Preparedness-Act-Fact-Sheet/" TargetMode="External"/><Relationship Id="rId17" Type="http://schemas.openxmlformats.org/officeDocument/2006/relationships/hyperlink" Target="http://www.astho.org/Programs/Preparedness/Public-Health-Emergency-Law/Emergency-Use-Authorization-Toolkit/Emergency-Use-Authorization-Toolkit-Supplemental-Materials" TargetMode="External"/><Relationship Id="rId25" Type="http://schemas.openxmlformats.org/officeDocument/2006/relationships/hyperlink" Target="http://www.fda.gov/EmergencyPreparedness/Counterterrorism/ucm247676.htm" TargetMode="External"/><Relationship Id="rId2" Type="http://schemas.openxmlformats.org/officeDocument/2006/relationships/styles" Target="styles.xml"/><Relationship Id="rId16" Type="http://schemas.openxmlformats.org/officeDocument/2006/relationships/hyperlink" Target="http://www.astho.org/Programs/Preparedness/Public-Health-Emergency-Law/Emergency-Use-Authorization-Toolkit/Emergency-Use-Authorization-Toolkit-Supplemental-Materials" TargetMode="External"/><Relationship Id="rId20" Type="http://schemas.openxmlformats.org/officeDocument/2006/relationships/hyperlink" Target="http://www.fda.gov/NewsEvents/PublicHealthFocus/ucm153297.ht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Use-Authorization-Toolkit/Emergency-Use-Authorization-Toolkit-Supplemental-Materials" TargetMode="External"/><Relationship Id="rId24" Type="http://schemas.openxmlformats.org/officeDocument/2006/relationships/hyperlink" Target="http://www.hrsa.gov/vaccinecompensation/default.htm" TargetMode="External"/><Relationship Id="rId5" Type="http://schemas.openxmlformats.org/officeDocument/2006/relationships/footnotes" Target="footnotes.xml"/><Relationship Id="rId15" Type="http://schemas.openxmlformats.org/officeDocument/2006/relationships/hyperlink" Target="http://www.astho.org/Programs/Preparedness/Public-Health-Emergency-Law/Emergency-Use-Authorization-Toolkit/Emergency-Use-Authorization-Toolkit-Supplemental-Materials" TargetMode="External"/><Relationship Id="rId23" Type="http://schemas.openxmlformats.org/officeDocument/2006/relationships/hyperlink" Target="http://www.fda.gov/RegulatoryInformation/Guidances/ucm125127.htm" TargetMode="External"/><Relationship Id="rId28" Type="http://schemas.openxmlformats.org/officeDocument/2006/relationships/fontTable" Target="fontTable.xml"/><Relationship Id="rId10" Type="http://schemas.openxmlformats.org/officeDocument/2006/relationships/hyperlink" Target="http://www.astho.org/Programs/Preparedness/Public-Health-Emergency-Law/Emergency-Use-Authorization-Toolkit/Emergency-Use-Authorization-Current-Issues-and-Updates-Winter-2012/" TargetMode="External"/><Relationship Id="rId19" Type="http://schemas.openxmlformats.org/officeDocument/2006/relationships/hyperlink" Target="http://www.astho.org/Programs/Preparedness/Public-Health-Emergency-Law/Emergency-Use-Authorization-Toolkit/Federal-Shelf-Life-Extension-Program-Fact-Sheet/"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Use-Authorization-Toolkit/Emergency-Use-Authorization-Toolkit-Supplemental-Materials" TargetMode="External"/><Relationship Id="rId14" Type="http://schemas.openxmlformats.org/officeDocument/2006/relationships/hyperlink" Target="http://www.astho.org/Programs/Preparedness/Public-Health-Emergency-Law/Emergency-Use-Authorization-Toolkit/Emergency-Use-Authorization-Toolkit-Supplemental-Materials" TargetMode="External"/><Relationship Id="rId22" Type="http://schemas.openxmlformats.org/officeDocument/2006/relationships/hyperlink" Target="http://www.bt.cdc.gov/training/eua/index.html"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2971</Words>
  <Characters>16941</Characters>
  <Application>Microsoft Office Word</Application>
  <DocSecurity>0</DocSecurity>
  <Lines>141</Lines>
  <Paragraphs>39</Paragraphs>
  <ScaleCrop>false</ScaleCrop>
  <Company/>
  <LinksUpToDate>false</LinksUpToDate>
  <CharactersWithSpaces>19873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9</cp:revision>
  <dcterms:created xsi:type="dcterms:W3CDTF">2019-04-24T16:31:00Z</dcterms:created>
  <dcterms:modified xsi:type="dcterms:W3CDTF">2019-04-24T16:45:00Z</dcterms:modified>
</cp:coreProperties>
</file>