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B72F80" w14:textId="77777777" w:rsidR="00AD416F" w:rsidRPr="00AD416F" w:rsidRDefault="00AD416F" w:rsidP="00DB621D">
      <w:pPr>
        <w:rPr>
          <w:rFonts w:eastAsia="Times New Roman" w:cstheme="minorHAnsi"/>
          <w:b/>
          <w:bCs/>
          <w:color w:val="333333"/>
          <w:spacing w:val="15"/>
          <w:kern w:val="36"/>
          <w:sz w:val="28"/>
          <w:szCs w:val="28"/>
        </w:rPr>
      </w:pPr>
      <w:r w:rsidRPr="00AD416F">
        <w:rPr>
          <w:rFonts w:eastAsia="Times New Roman" w:cstheme="minorHAnsi"/>
          <w:b/>
          <w:bCs/>
          <w:color w:val="333333"/>
          <w:spacing w:val="15"/>
          <w:kern w:val="36"/>
          <w:sz w:val="28"/>
          <w:szCs w:val="28"/>
        </w:rPr>
        <w:t>Comparing Emergency Use Authorization to Investigational New Drug &amp; Investigational Device Exemption Protocols</w:t>
      </w:r>
    </w:p>
    <w:p w14:paraId="0019EE50" w14:textId="77777777" w:rsidR="00554B1B" w:rsidRPr="00554B1B" w:rsidRDefault="00554B1B" w:rsidP="00DB621D">
      <w:pPr>
        <w:rPr>
          <w:rFonts w:eastAsia="Times New Roman" w:cstheme="minorHAnsi"/>
          <w:b/>
          <w:bCs/>
          <w:color w:val="3C3030"/>
          <w:sz w:val="28"/>
          <w:szCs w:val="28"/>
        </w:rPr>
      </w:pPr>
    </w:p>
    <w:p w14:paraId="6DA63EB4" w14:textId="003B5AE0" w:rsidR="00AD416F" w:rsidRPr="00AD416F" w:rsidRDefault="00AD416F" w:rsidP="00DB621D">
      <w:pPr>
        <w:spacing w:line="480" w:lineRule="auto"/>
        <w:rPr>
          <w:rFonts w:eastAsia="Times New Roman" w:cstheme="minorHAnsi"/>
          <w:b/>
          <w:bCs/>
          <w:color w:val="3C3030"/>
          <w:sz w:val="24"/>
          <w:szCs w:val="24"/>
        </w:rPr>
      </w:pPr>
      <w:r w:rsidRPr="00AD416F">
        <w:rPr>
          <w:rFonts w:eastAsia="Times New Roman" w:cstheme="minorHAnsi"/>
          <w:b/>
          <w:bCs/>
          <w:color w:val="3C3030"/>
          <w:sz w:val="24"/>
          <w:szCs w:val="24"/>
        </w:rPr>
        <w:t>Fact Sheet</w:t>
      </w:r>
    </w:p>
    <w:p w14:paraId="1DC06D50" w14:textId="7DD8299C" w:rsidR="00AD416F" w:rsidRPr="00AD416F" w:rsidRDefault="00AD416F" w:rsidP="00DB621D">
      <w:pPr>
        <w:spacing w:line="480" w:lineRule="auto"/>
        <w:rPr>
          <w:rFonts w:eastAsia="Times New Roman" w:cstheme="minorHAnsi"/>
          <w:b/>
          <w:bCs/>
          <w:color w:val="3C3030"/>
          <w:sz w:val="24"/>
          <w:szCs w:val="24"/>
        </w:rPr>
      </w:pPr>
      <w:r w:rsidRPr="00AD416F">
        <w:rPr>
          <w:rFonts w:eastAsia="Times New Roman" w:cstheme="minorHAnsi"/>
          <w:b/>
          <w:bCs/>
          <w:color w:val="3C3030"/>
          <w:sz w:val="24"/>
          <w:szCs w:val="24"/>
        </w:rPr>
        <w:t>Overview</w:t>
      </w:r>
    </w:p>
    <w:p w14:paraId="7A2E5B85" w14:textId="77777777" w:rsidR="00AD416F" w:rsidRPr="00AD416F" w:rsidRDefault="00AD416F" w:rsidP="00DB621D">
      <w:pPr>
        <w:shd w:val="clear" w:color="auto" w:fill="FFFFFF"/>
        <w:spacing w:after="225" w:line="480" w:lineRule="auto"/>
        <w:textAlignment w:val="baseline"/>
        <w:rPr>
          <w:rFonts w:eastAsia="Times New Roman" w:cstheme="minorHAnsi"/>
          <w:color w:val="000000" w:themeColor="text1"/>
        </w:rPr>
      </w:pPr>
      <w:r w:rsidRPr="00AD416F">
        <w:rPr>
          <w:rFonts w:eastAsia="Times New Roman" w:cstheme="minorHAnsi"/>
          <w:color w:val="000000" w:themeColor="text1"/>
        </w:rPr>
        <w:t>The Federal Food, Drug, and Cosmetic Act (FD&amp;C Act) creates mechanisms to permit the use of medical products before they have been approved under the FD&amp;C Act or for unapproved uses under the act:</w:t>
      </w:r>
    </w:p>
    <w:p w14:paraId="39026680" w14:textId="5E98CDB7" w:rsidR="00DB621D" w:rsidRDefault="00AD416F" w:rsidP="00DB621D">
      <w:pPr>
        <w:numPr>
          <w:ilvl w:val="0"/>
          <w:numId w:val="5"/>
        </w:numPr>
        <w:spacing w:line="480" w:lineRule="auto"/>
        <w:textAlignment w:val="baseline"/>
        <w:rPr>
          <w:rFonts w:eastAsia="Times New Roman" w:cstheme="minorHAnsi"/>
          <w:color w:val="000000" w:themeColor="text1"/>
        </w:rPr>
      </w:pPr>
      <w:r w:rsidRPr="00AD416F">
        <w:rPr>
          <w:rFonts w:eastAsia="Times New Roman" w:cstheme="minorHAnsi"/>
          <w:color w:val="000000" w:themeColor="text1"/>
        </w:rPr>
        <w:t>Emergency Use Authorization (EUA) for the use of unapproved medical products (drugs, biologics [e.g., vaccines], and devices [e.g., diagnostics]) or the use of approved medical products in unapproved ways to diagnose, treat, or prevent serious diseases or conditions caused by chemical, biological, radiological, or nuclear (CBRN) agents.</w:t>
      </w:r>
    </w:p>
    <w:p w14:paraId="2718C46B" w14:textId="77777777" w:rsidR="00DB621D" w:rsidRPr="00AD416F" w:rsidRDefault="00DB621D" w:rsidP="00DB621D">
      <w:pPr>
        <w:spacing w:line="480" w:lineRule="auto"/>
        <w:ind w:left="360"/>
        <w:textAlignment w:val="baseline"/>
        <w:rPr>
          <w:rFonts w:eastAsia="Times New Roman" w:cstheme="minorHAnsi"/>
          <w:color w:val="000000" w:themeColor="text1"/>
        </w:rPr>
      </w:pPr>
    </w:p>
    <w:p w14:paraId="62707222" w14:textId="7C33F5AA" w:rsidR="00AD416F" w:rsidRDefault="00AD416F" w:rsidP="00DB621D">
      <w:pPr>
        <w:numPr>
          <w:ilvl w:val="0"/>
          <w:numId w:val="5"/>
        </w:numPr>
        <w:spacing w:line="480" w:lineRule="auto"/>
        <w:textAlignment w:val="baseline"/>
        <w:rPr>
          <w:rFonts w:eastAsia="Times New Roman" w:cstheme="minorHAnsi"/>
          <w:color w:val="000000" w:themeColor="text1"/>
        </w:rPr>
      </w:pPr>
      <w:r w:rsidRPr="00AD416F">
        <w:rPr>
          <w:rFonts w:eastAsia="Times New Roman" w:cstheme="minorHAnsi"/>
          <w:color w:val="000000" w:themeColor="text1"/>
        </w:rPr>
        <w:t>Investigational New Drug (IND) for the use of unapproved drugs or biologics.</w:t>
      </w:r>
    </w:p>
    <w:p w14:paraId="70646ED2" w14:textId="77777777" w:rsidR="00DB621D" w:rsidRPr="00AD416F" w:rsidRDefault="00DB621D" w:rsidP="00DB621D">
      <w:pPr>
        <w:spacing w:line="480" w:lineRule="auto"/>
        <w:textAlignment w:val="baseline"/>
        <w:rPr>
          <w:rFonts w:eastAsia="Times New Roman" w:cstheme="minorHAnsi"/>
          <w:color w:val="000000" w:themeColor="text1"/>
        </w:rPr>
      </w:pPr>
    </w:p>
    <w:p w14:paraId="0ED76BB4" w14:textId="1F3E6BAD" w:rsidR="00AD416F" w:rsidRDefault="00AD416F" w:rsidP="00DB621D">
      <w:pPr>
        <w:numPr>
          <w:ilvl w:val="0"/>
          <w:numId w:val="5"/>
        </w:numPr>
        <w:spacing w:line="480" w:lineRule="auto"/>
        <w:textAlignment w:val="baseline"/>
        <w:rPr>
          <w:rFonts w:eastAsia="Times New Roman" w:cstheme="minorHAnsi"/>
          <w:color w:val="000000" w:themeColor="text1"/>
        </w:rPr>
      </w:pPr>
      <w:r w:rsidRPr="00AD416F">
        <w:rPr>
          <w:rFonts w:eastAsia="Times New Roman" w:cstheme="minorHAnsi"/>
          <w:color w:val="000000" w:themeColor="text1"/>
        </w:rPr>
        <w:t>Investigational Device Exemption (IDE) for the use of unapproved medical devices</w:t>
      </w:r>
      <w:r w:rsidR="00DB621D">
        <w:rPr>
          <w:rFonts w:eastAsia="Times New Roman" w:cstheme="minorHAnsi"/>
          <w:color w:val="000000" w:themeColor="text1"/>
        </w:rPr>
        <w:t>.</w:t>
      </w:r>
    </w:p>
    <w:p w14:paraId="38B582EC" w14:textId="77777777" w:rsidR="00DB621D" w:rsidRPr="00AD416F" w:rsidRDefault="00DB621D" w:rsidP="00DB621D">
      <w:pPr>
        <w:spacing w:line="480" w:lineRule="auto"/>
        <w:textAlignment w:val="baseline"/>
        <w:rPr>
          <w:rFonts w:eastAsia="Times New Roman" w:cstheme="minorHAnsi"/>
          <w:color w:val="000000" w:themeColor="text1"/>
        </w:rPr>
      </w:pPr>
    </w:p>
    <w:p w14:paraId="794B9AB3" w14:textId="6748CE35" w:rsidR="00AD416F" w:rsidRPr="00D931E3" w:rsidRDefault="00AD416F" w:rsidP="00DB621D">
      <w:pPr>
        <w:pStyle w:val="ListParagraph"/>
        <w:numPr>
          <w:ilvl w:val="0"/>
          <w:numId w:val="5"/>
        </w:numPr>
        <w:shd w:val="clear" w:color="auto" w:fill="FFFFFF"/>
        <w:spacing w:line="480" w:lineRule="auto"/>
        <w:textAlignment w:val="baseline"/>
        <w:rPr>
          <w:rFonts w:eastAsia="Times New Roman" w:cstheme="minorHAnsi"/>
          <w:color w:val="000000" w:themeColor="text1"/>
        </w:rPr>
      </w:pPr>
      <w:r w:rsidRPr="00D931E3">
        <w:rPr>
          <w:rFonts w:eastAsia="Times New Roman" w:cstheme="minorHAnsi"/>
          <w:color w:val="000000" w:themeColor="text1"/>
        </w:rPr>
        <w:t>During an emergency, these mechanisms make it possible for public health officials to use unapproved medical products as part of their response efforts. However, the EUA and IND/IDE protocols are different mechanisms, each with its own distinct statutory and regulatory requirements that vary with specific circumstances such as the nature of the medical product or the size of the population to be treated. The lists below compare EUA and IND/IDE mechanisms on key points.</w:t>
      </w:r>
      <w:r w:rsidRPr="00D931E3">
        <w:rPr>
          <w:rFonts w:eastAsia="Times New Roman" w:cstheme="minorHAnsi"/>
          <w:color w:val="000000" w:themeColor="text1"/>
          <w:bdr w:val="none" w:sz="0" w:space="0" w:color="auto" w:frame="1"/>
          <w:vertAlign w:val="superscript"/>
        </w:rPr>
        <w:t>1</w:t>
      </w:r>
      <w:r w:rsidRPr="00D931E3">
        <w:rPr>
          <w:rFonts w:eastAsia="Times New Roman" w:cstheme="minorHAnsi"/>
          <w:color w:val="000000" w:themeColor="text1"/>
        </w:rPr>
        <w:t> Public health officials interested in using any of these mechanisms should refer to relevant laws, regulations, and Food and Drug Administration (FDA) guidance before deciding which mechanism to use and to understand the requirements of each one.</w:t>
      </w:r>
      <w:r w:rsidRPr="00D931E3">
        <w:rPr>
          <w:rFonts w:eastAsia="Times New Roman" w:cstheme="minorHAnsi"/>
          <w:color w:val="000000" w:themeColor="text1"/>
          <w:bdr w:val="none" w:sz="0" w:space="0" w:color="auto" w:frame="1"/>
          <w:vertAlign w:val="superscript"/>
        </w:rPr>
        <w:t>2</w:t>
      </w:r>
      <w:r w:rsidRPr="00D931E3">
        <w:rPr>
          <w:rFonts w:eastAsia="Times New Roman" w:cstheme="minorHAnsi"/>
          <w:color w:val="000000" w:themeColor="text1"/>
        </w:rPr>
        <w:t>  </w:t>
      </w:r>
    </w:p>
    <w:p w14:paraId="59D2D3D6" w14:textId="08159715" w:rsidR="00C73D8D" w:rsidRPr="00D931E3" w:rsidRDefault="00C73D8D" w:rsidP="00DB621D">
      <w:pPr>
        <w:shd w:val="clear" w:color="auto" w:fill="FFFFFF"/>
        <w:spacing w:line="480" w:lineRule="auto"/>
        <w:textAlignment w:val="baseline"/>
        <w:rPr>
          <w:rFonts w:eastAsia="Times New Roman" w:cstheme="minorHAnsi"/>
          <w:color w:val="000000" w:themeColor="text1"/>
        </w:rPr>
      </w:pPr>
    </w:p>
    <w:p w14:paraId="3F51A80B" w14:textId="3D945B6A" w:rsidR="00C73D8D" w:rsidRPr="00AD416F" w:rsidRDefault="00AD4F83" w:rsidP="00DB621D">
      <w:pPr>
        <w:shd w:val="clear" w:color="auto" w:fill="FFFFFF"/>
        <w:spacing w:line="480" w:lineRule="auto"/>
        <w:textAlignment w:val="baseline"/>
        <w:rPr>
          <w:rFonts w:ascii="Arial" w:eastAsia="Times New Roman" w:hAnsi="Arial" w:cs="Arial"/>
          <w:b/>
          <w:color w:val="C00000"/>
          <w:sz w:val="20"/>
          <w:szCs w:val="20"/>
        </w:rPr>
      </w:pPr>
      <w:r>
        <w:rPr>
          <w:rFonts w:ascii="Arial" w:eastAsia="Times New Roman" w:hAnsi="Arial" w:cs="Arial"/>
          <w:b/>
          <w:color w:val="C00000"/>
          <w:sz w:val="20"/>
          <w:szCs w:val="20"/>
        </w:rPr>
        <w:lastRenderedPageBreak/>
        <w:t>[</w:t>
      </w:r>
      <w:r w:rsidR="00BD1F37" w:rsidRPr="00AD4F83">
        <w:rPr>
          <w:rFonts w:ascii="Arial" w:eastAsia="Times New Roman" w:hAnsi="Arial" w:cs="Arial"/>
          <w:b/>
          <w:color w:val="C00000"/>
          <w:sz w:val="20"/>
          <w:szCs w:val="20"/>
        </w:rPr>
        <w:t>4/2019 PE NOTE: See table format presentation</w:t>
      </w:r>
      <w:r w:rsidRPr="00AD4F83">
        <w:rPr>
          <w:rFonts w:ascii="Arial" w:eastAsia="Times New Roman" w:hAnsi="Arial" w:cs="Arial"/>
          <w:b/>
          <w:color w:val="C00000"/>
          <w:sz w:val="20"/>
          <w:szCs w:val="20"/>
        </w:rPr>
        <w:t xml:space="preserve"> in </w:t>
      </w:r>
      <w:hyperlink r:id="rId7" w:tooltip="Download a printable PDF." w:history="1">
        <w:r w:rsidR="00BD1F37" w:rsidRPr="00AD4F83">
          <w:rPr>
            <w:rFonts w:ascii="Arial" w:eastAsia="Times New Roman" w:hAnsi="Arial" w:cs="Arial"/>
            <w:b/>
            <w:color w:val="C00000"/>
            <w:sz w:val="20"/>
            <w:szCs w:val="20"/>
            <w:u w:val="single"/>
            <w:bdr w:val="none" w:sz="0" w:space="0" w:color="auto" w:frame="1"/>
          </w:rPr>
          <w:t>PDF version</w:t>
        </w:r>
      </w:hyperlink>
      <w:r w:rsidRPr="00AD4F83">
        <w:rPr>
          <w:rFonts w:ascii="Arial" w:eastAsia="Times New Roman" w:hAnsi="Arial" w:cs="Arial"/>
          <w:b/>
          <w:color w:val="C00000"/>
          <w:sz w:val="20"/>
          <w:szCs w:val="20"/>
        </w:rPr>
        <w:t xml:space="preserve"> of the following comparison of Investigational vs. EUA</w:t>
      </w:r>
      <w:r>
        <w:rPr>
          <w:rFonts w:ascii="Arial" w:eastAsia="Times New Roman" w:hAnsi="Arial" w:cs="Arial"/>
          <w:b/>
          <w:color w:val="C00000"/>
          <w:sz w:val="20"/>
          <w:szCs w:val="20"/>
        </w:rPr>
        <w:t>]</w:t>
      </w:r>
    </w:p>
    <w:p w14:paraId="0F1A4100" w14:textId="77777777" w:rsidR="00554B1B" w:rsidRDefault="00554B1B" w:rsidP="00DB621D">
      <w:pPr>
        <w:spacing w:line="480" w:lineRule="auto"/>
        <w:rPr>
          <w:rFonts w:eastAsia="Times New Roman" w:cstheme="minorHAnsi"/>
          <w:b/>
          <w:bCs/>
          <w:color w:val="3C3030"/>
          <w:sz w:val="24"/>
          <w:szCs w:val="24"/>
        </w:rPr>
      </w:pPr>
    </w:p>
    <w:p w14:paraId="647ABBB6" w14:textId="5763149A" w:rsidR="00AD416F" w:rsidRPr="00AD416F" w:rsidRDefault="00AD416F" w:rsidP="00DB621D">
      <w:pPr>
        <w:spacing w:line="480" w:lineRule="auto"/>
        <w:rPr>
          <w:rFonts w:eastAsia="Times New Roman" w:cstheme="minorHAnsi"/>
          <w:b/>
          <w:bCs/>
          <w:color w:val="3C3030"/>
          <w:sz w:val="24"/>
          <w:szCs w:val="24"/>
        </w:rPr>
      </w:pPr>
      <w:r w:rsidRPr="00AD416F">
        <w:rPr>
          <w:rFonts w:eastAsia="Times New Roman" w:cstheme="minorHAnsi"/>
          <w:b/>
          <w:bCs/>
          <w:color w:val="3C3030"/>
          <w:sz w:val="24"/>
          <w:szCs w:val="24"/>
        </w:rPr>
        <w:t>Investigational Protocols (IND and IDE)</w:t>
      </w:r>
    </w:p>
    <w:p w14:paraId="53802A87" w14:textId="77777777" w:rsidR="00AD416F" w:rsidRPr="00AD416F" w:rsidRDefault="00AD416F" w:rsidP="00DB621D">
      <w:pPr>
        <w:numPr>
          <w:ilvl w:val="0"/>
          <w:numId w:val="2"/>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Description:</w:t>
      </w:r>
      <w:r w:rsidRPr="00AD416F">
        <w:rPr>
          <w:rFonts w:eastAsia="Times New Roman" w:cstheme="minorHAnsi"/>
          <w:color w:val="000000" w:themeColor="text1"/>
          <w:szCs w:val="20"/>
        </w:rPr>
        <w:t> The objective of the IND/IDE is to assess the safety and efficacy of an investigational drug/biologic/device (hereafter “investigational product”) while ensuring that human subjects are protected during the research study of the investigational product. Investigational protocols specify requirements to ensure participant protection and the validity of the data collected during the clinical trial.</w:t>
      </w:r>
    </w:p>
    <w:p w14:paraId="02A4C2E3" w14:textId="77777777" w:rsidR="00DB621D" w:rsidRPr="00DB621D" w:rsidRDefault="00DB621D" w:rsidP="00DB621D">
      <w:pPr>
        <w:spacing w:line="480" w:lineRule="auto"/>
        <w:textAlignment w:val="baseline"/>
        <w:rPr>
          <w:rFonts w:eastAsia="Times New Roman" w:cstheme="minorHAnsi"/>
          <w:color w:val="000000" w:themeColor="text1"/>
          <w:szCs w:val="20"/>
        </w:rPr>
      </w:pPr>
    </w:p>
    <w:p w14:paraId="5DB909EF" w14:textId="0474ECF9" w:rsidR="00DB621D" w:rsidRDefault="00AD416F" w:rsidP="00DB621D">
      <w:pPr>
        <w:numPr>
          <w:ilvl w:val="0"/>
          <w:numId w:val="2"/>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FDA Approval:</w:t>
      </w:r>
      <w:r w:rsidRPr="00AD416F">
        <w:rPr>
          <w:rFonts w:eastAsia="Times New Roman" w:cstheme="minorHAnsi"/>
          <w:color w:val="000000" w:themeColor="text1"/>
          <w:szCs w:val="20"/>
        </w:rPr>
        <w:t> FDA review and agreement that the study may proceed.</w:t>
      </w:r>
    </w:p>
    <w:p w14:paraId="14B3B30C" w14:textId="77777777" w:rsidR="00DB621D" w:rsidRPr="00DB621D" w:rsidRDefault="00DB621D" w:rsidP="00DB621D">
      <w:pPr>
        <w:spacing w:line="480" w:lineRule="auto"/>
        <w:textAlignment w:val="baseline"/>
        <w:rPr>
          <w:rFonts w:eastAsia="Times New Roman" w:cstheme="minorHAnsi"/>
          <w:color w:val="000000" w:themeColor="text1"/>
          <w:szCs w:val="20"/>
        </w:rPr>
      </w:pPr>
    </w:p>
    <w:p w14:paraId="0775355D" w14:textId="09E62937" w:rsidR="00DB621D" w:rsidRDefault="00AD416F" w:rsidP="00DB621D">
      <w:pPr>
        <w:numPr>
          <w:ilvl w:val="0"/>
          <w:numId w:val="2"/>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Institutional Review Board (IRB):</w:t>
      </w:r>
      <w:r w:rsidRPr="00AD416F">
        <w:rPr>
          <w:rFonts w:eastAsia="Times New Roman" w:cstheme="minorHAnsi"/>
          <w:color w:val="000000" w:themeColor="text1"/>
          <w:szCs w:val="20"/>
        </w:rPr>
        <w:t> Requires IRB review and approval.</w:t>
      </w:r>
    </w:p>
    <w:p w14:paraId="5DC7CA17" w14:textId="77777777" w:rsidR="00DB621D" w:rsidRPr="00AD416F" w:rsidRDefault="00DB621D" w:rsidP="00DB621D">
      <w:pPr>
        <w:spacing w:line="480" w:lineRule="auto"/>
        <w:textAlignment w:val="baseline"/>
        <w:rPr>
          <w:rFonts w:eastAsia="Times New Roman" w:cstheme="minorHAnsi"/>
          <w:color w:val="000000" w:themeColor="text1"/>
          <w:szCs w:val="20"/>
        </w:rPr>
      </w:pPr>
    </w:p>
    <w:p w14:paraId="10FF3915" w14:textId="5338A755" w:rsidR="00AD416F" w:rsidRDefault="00AD416F" w:rsidP="00DB621D">
      <w:pPr>
        <w:numPr>
          <w:ilvl w:val="0"/>
          <w:numId w:val="2"/>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Informed Consent:</w:t>
      </w:r>
      <w:r w:rsidRPr="00AD416F">
        <w:rPr>
          <w:rFonts w:eastAsia="Times New Roman" w:cstheme="minorHAnsi"/>
          <w:color w:val="000000" w:themeColor="text1"/>
          <w:szCs w:val="20"/>
        </w:rPr>
        <w:t> Requires written, signed, and witnessed informed consent.</w:t>
      </w:r>
    </w:p>
    <w:p w14:paraId="3F784BC2" w14:textId="77777777" w:rsidR="00DB621D" w:rsidRPr="00AD416F" w:rsidRDefault="00DB621D" w:rsidP="00DB621D">
      <w:pPr>
        <w:spacing w:line="480" w:lineRule="auto"/>
        <w:textAlignment w:val="baseline"/>
        <w:rPr>
          <w:rFonts w:eastAsia="Times New Roman" w:cstheme="minorHAnsi"/>
          <w:color w:val="000000" w:themeColor="text1"/>
          <w:szCs w:val="20"/>
        </w:rPr>
      </w:pPr>
    </w:p>
    <w:p w14:paraId="2A3D8F61" w14:textId="1F23B95D" w:rsidR="00AD416F" w:rsidRDefault="00AD416F" w:rsidP="00DB621D">
      <w:pPr>
        <w:numPr>
          <w:ilvl w:val="0"/>
          <w:numId w:val="2"/>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Protocol Training:</w:t>
      </w:r>
      <w:r w:rsidRPr="00AD416F">
        <w:rPr>
          <w:rFonts w:eastAsia="Times New Roman" w:cstheme="minorHAnsi"/>
          <w:color w:val="000000" w:themeColor="text1"/>
          <w:szCs w:val="20"/>
        </w:rPr>
        <w:t> All investigators must be trained on the investigational protocol and informed consent and reporting requirements.</w:t>
      </w:r>
    </w:p>
    <w:p w14:paraId="388AF1D0" w14:textId="77777777" w:rsidR="00DB621D" w:rsidRPr="00AD416F" w:rsidRDefault="00DB621D" w:rsidP="00DB621D">
      <w:pPr>
        <w:spacing w:line="480" w:lineRule="auto"/>
        <w:textAlignment w:val="baseline"/>
        <w:rPr>
          <w:rFonts w:eastAsia="Times New Roman" w:cstheme="minorHAnsi"/>
          <w:color w:val="000000" w:themeColor="text1"/>
          <w:szCs w:val="20"/>
        </w:rPr>
      </w:pPr>
    </w:p>
    <w:p w14:paraId="16B25149" w14:textId="6CD0B339" w:rsidR="00AD416F" w:rsidRDefault="00AD416F" w:rsidP="00DB621D">
      <w:pPr>
        <w:numPr>
          <w:ilvl w:val="0"/>
          <w:numId w:val="2"/>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Adverse Event Monitoring &amp; Reporting:</w:t>
      </w:r>
      <w:r w:rsidRPr="00AD416F">
        <w:rPr>
          <w:rFonts w:eastAsia="Times New Roman" w:cstheme="minorHAnsi"/>
          <w:color w:val="000000" w:themeColor="text1"/>
          <w:szCs w:val="20"/>
        </w:rPr>
        <w:t> Requires monitoring and reporting of adverse events.</w:t>
      </w:r>
    </w:p>
    <w:p w14:paraId="1D787E21" w14:textId="77777777" w:rsidR="00DB621D" w:rsidRPr="00AD416F" w:rsidRDefault="00DB621D" w:rsidP="00DB621D">
      <w:pPr>
        <w:spacing w:line="480" w:lineRule="auto"/>
        <w:textAlignment w:val="baseline"/>
        <w:rPr>
          <w:rFonts w:eastAsia="Times New Roman" w:cstheme="minorHAnsi"/>
          <w:color w:val="000000" w:themeColor="text1"/>
          <w:szCs w:val="20"/>
        </w:rPr>
      </w:pPr>
    </w:p>
    <w:p w14:paraId="51E51737" w14:textId="698663B5" w:rsidR="00AD416F" w:rsidRDefault="00AD416F" w:rsidP="00DB621D">
      <w:pPr>
        <w:numPr>
          <w:ilvl w:val="0"/>
          <w:numId w:val="2"/>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Recordkeeping &amp; Access:</w:t>
      </w:r>
      <w:r w:rsidRPr="00AD416F">
        <w:rPr>
          <w:rFonts w:eastAsia="Times New Roman" w:cstheme="minorHAnsi"/>
          <w:color w:val="000000" w:themeColor="text1"/>
          <w:szCs w:val="20"/>
        </w:rPr>
        <w:t> Requires recordkeeping and access to distribution and administration records.</w:t>
      </w:r>
    </w:p>
    <w:p w14:paraId="63ABFDC7" w14:textId="77777777" w:rsidR="00DB621D" w:rsidRPr="00AD416F" w:rsidRDefault="00DB621D" w:rsidP="00DB621D">
      <w:pPr>
        <w:spacing w:line="480" w:lineRule="auto"/>
        <w:textAlignment w:val="baseline"/>
        <w:rPr>
          <w:rFonts w:eastAsia="Times New Roman" w:cstheme="minorHAnsi"/>
          <w:color w:val="000000" w:themeColor="text1"/>
          <w:szCs w:val="20"/>
        </w:rPr>
      </w:pPr>
    </w:p>
    <w:p w14:paraId="5CB86D93" w14:textId="77777777" w:rsidR="00AD416F" w:rsidRPr="00AD416F" w:rsidRDefault="00AD416F" w:rsidP="00DB621D">
      <w:pPr>
        <w:numPr>
          <w:ilvl w:val="0"/>
          <w:numId w:val="2"/>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Duration of Approval:</w:t>
      </w:r>
      <w:r w:rsidRPr="00AD416F">
        <w:rPr>
          <w:rFonts w:eastAsia="Times New Roman" w:cstheme="minorHAnsi"/>
          <w:color w:val="000000" w:themeColor="text1"/>
          <w:szCs w:val="20"/>
        </w:rPr>
        <w:t> Length of the clinical trial.</w:t>
      </w:r>
    </w:p>
    <w:p w14:paraId="0BF40080" w14:textId="77777777" w:rsidR="00554B1B" w:rsidRPr="00DB621D" w:rsidRDefault="00554B1B" w:rsidP="00DB621D">
      <w:pPr>
        <w:spacing w:line="480" w:lineRule="auto"/>
        <w:rPr>
          <w:rFonts w:eastAsia="Times New Roman" w:cstheme="minorHAnsi"/>
          <w:b/>
          <w:bCs/>
          <w:color w:val="000000" w:themeColor="text1"/>
          <w:sz w:val="28"/>
          <w:szCs w:val="24"/>
        </w:rPr>
      </w:pPr>
    </w:p>
    <w:p w14:paraId="2A507D04" w14:textId="7D3C436F" w:rsidR="00AD416F" w:rsidRPr="00AD416F" w:rsidRDefault="00AD416F" w:rsidP="00DB621D">
      <w:pPr>
        <w:spacing w:line="480" w:lineRule="auto"/>
        <w:rPr>
          <w:rFonts w:eastAsia="Times New Roman" w:cstheme="minorHAnsi"/>
          <w:b/>
          <w:bCs/>
          <w:color w:val="3C3030"/>
          <w:sz w:val="24"/>
          <w:szCs w:val="24"/>
        </w:rPr>
      </w:pPr>
      <w:r w:rsidRPr="00AD416F">
        <w:rPr>
          <w:rFonts w:eastAsia="Times New Roman" w:cstheme="minorHAnsi"/>
          <w:b/>
          <w:bCs/>
          <w:color w:val="3C3030"/>
          <w:sz w:val="24"/>
          <w:szCs w:val="24"/>
        </w:rPr>
        <w:t>Emergency Use Authorization (EUA)</w:t>
      </w:r>
    </w:p>
    <w:p w14:paraId="6CD8C968" w14:textId="5B14F3BC" w:rsidR="00AD416F" w:rsidRDefault="00AD416F" w:rsidP="00DB621D">
      <w:pPr>
        <w:numPr>
          <w:ilvl w:val="0"/>
          <w:numId w:val="3"/>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Description:</w:t>
      </w:r>
      <w:r w:rsidRPr="00AD416F">
        <w:rPr>
          <w:rFonts w:eastAsia="Times New Roman" w:cstheme="minorHAnsi"/>
          <w:color w:val="000000" w:themeColor="text1"/>
          <w:szCs w:val="20"/>
        </w:rPr>
        <w:t xml:space="preserve"> Congress created the EUA in the Project </w:t>
      </w:r>
      <w:proofErr w:type="spellStart"/>
      <w:r w:rsidRPr="00AD416F">
        <w:rPr>
          <w:rFonts w:eastAsia="Times New Roman" w:cstheme="minorHAnsi"/>
          <w:color w:val="000000" w:themeColor="text1"/>
          <w:szCs w:val="20"/>
        </w:rPr>
        <w:t>BioShield</w:t>
      </w:r>
      <w:proofErr w:type="spellEnd"/>
      <w:r w:rsidRPr="00AD416F">
        <w:rPr>
          <w:rFonts w:eastAsia="Times New Roman" w:cstheme="minorHAnsi"/>
          <w:color w:val="000000" w:themeColor="text1"/>
          <w:szCs w:val="20"/>
        </w:rPr>
        <w:t xml:space="preserve"> Act of 2004 to give the public health system access to a greater range of medical products during a declared emergency. The EUA mechanism provides appropriate participant protections based on the circumstances of the emergency. EUAs are intended to allow for faster use of a product than under an IND/IDE.</w:t>
      </w:r>
    </w:p>
    <w:p w14:paraId="4DD75142" w14:textId="77777777" w:rsidR="00DB621D" w:rsidRPr="00AD416F" w:rsidRDefault="00DB621D" w:rsidP="00DB621D">
      <w:pPr>
        <w:spacing w:line="480" w:lineRule="auto"/>
        <w:textAlignment w:val="baseline"/>
        <w:rPr>
          <w:rFonts w:eastAsia="Times New Roman" w:cstheme="minorHAnsi"/>
          <w:color w:val="000000" w:themeColor="text1"/>
          <w:szCs w:val="20"/>
        </w:rPr>
      </w:pPr>
    </w:p>
    <w:p w14:paraId="53B39B82" w14:textId="58552246" w:rsidR="00AD416F" w:rsidRDefault="00AD416F" w:rsidP="00DB621D">
      <w:pPr>
        <w:numPr>
          <w:ilvl w:val="0"/>
          <w:numId w:val="3"/>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FDA Approval: </w:t>
      </w:r>
      <w:r w:rsidRPr="00AD416F">
        <w:rPr>
          <w:rFonts w:eastAsia="Times New Roman" w:cstheme="minorHAnsi"/>
          <w:color w:val="000000" w:themeColor="text1"/>
          <w:szCs w:val="20"/>
        </w:rPr>
        <w:t>FDA is required to review and approve the request for EUA.</w:t>
      </w:r>
    </w:p>
    <w:p w14:paraId="5510B457" w14:textId="77777777" w:rsidR="00DB621D" w:rsidRPr="00AD416F" w:rsidRDefault="00DB621D" w:rsidP="00DB621D">
      <w:pPr>
        <w:spacing w:line="480" w:lineRule="auto"/>
        <w:textAlignment w:val="baseline"/>
        <w:rPr>
          <w:rFonts w:eastAsia="Times New Roman" w:cstheme="minorHAnsi"/>
          <w:color w:val="000000" w:themeColor="text1"/>
          <w:szCs w:val="20"/>
        </w:rPr>
      </w:pPr>
    </w:p>
    <w:p w14:paraId="2C61A677" w14:textId="1D3008E7" w:rsidR="00AD416F" w:rsidRDefault="00AD416F" w:rsidP="00DB621D">
      <w:pPr>
        <w:numPr>
          <w:ilvl w:val="0"/>
          <w:numId w:val="3"/>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IRB:</w:t>
      </w:r>
      <w:r w:rsidRPr="00AD416F">
        <w:rPr>
          <w:rFonts w:eastAsia="Times New Roman" w:cstheme="minorHAnsi"/>
          <w:color w:val="000000" w:themeColor="text1"/>
          <w:szCs w:val="20"/>
        </w:rPr>
        <w:t> Does not require IRB review and approval.</w:t>
      </w:r>
    </w:p>
    <w:p w14:paraId="56D248D4" w14:textId="77777777" w:rsidR="00DB621D" w:rsidRPr="00AD416F" w:rsidRDefault="00DB621D" w:rsidP="00DB621D">
      <w:pPr>
        <w:spacing w:line="480" w:lineRule="auto"/>
        <w:textAlignment w:val="baseline"/>
        <w:rPr>
          <w:rFonts w:eastAsia="Times New Roman" w:cstheme="minorHAnsi"/>
          <w:color w:val="000000" w:themeColor="text1"/>
          <w:szCs w:val="20"/>
        </w:rPr>
      </w:pPr>
    </w:p>
    <w:p w14:paraId="393BEDB6" w14:textId="439A1B2B" w:rsidR="00AD416F" w:rsidRDefault="00AD416F" w:rsidP="00DB621D">
      <w:pPr>
        <w:numPr>
          <w:ilvl w:val="0"/>
          <w:numId w:val="3"/>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Informed Consent:</w:t>
      </w:r>
      <w:r w:rsidRPr="00AD416F">
        <w:rPr>
          <w:rFonts w:eastAsia="Times New Roman" w:cstheme="minorHAnsi"/>
          <w:color w:val="000000" w:themeColor="text1"/>
          <w:szCs w:val="20"/>
        </w:rPr>
        <w:t> Written, signed and witnessed informed consent is not automatically required but may be required at the discretion of the FDA commissioner. Distribution of information (e.g., fact sheets) for healthcare professionals and recipients that contains information on product safety, available alternative products, and the right to refuse administration of the EUA product is required.</w:t>
      </w:r>
    </w:p>
    <w:p w14:paraId="0A111A50" w14:textId="77777777" w:rsidR="00DB621D" w:rsidRPr="00AD416F" w:rsidRDefault="00DB621D" w:rsidP="00DB621D">
      <w:pPr>
        <w:spacing w:line="480" w:lineRule="auto"/>
        <w:textAlignment w:val="baseline"/>
        <w:rPr>
          <w:rFonts w:eastAsia="Times New Roman" w:cstheme="minorHAnsi"/>
          <w:color w:val="000000" w:themeColor="text1"/>
          <w:szCs w:val="20"/>
        </w:rPr>
      </w:pPr>
    </w:p>
    <w:p w14:paraId="4B1B27B9" w14:textId="466EB44C" w:rsidR="00AD416F" w:rsidRDefault="00AD416F" w:rsidP="00DB621D">
      <w:pPr>
        <w:numPr>
          <w:ilvl w:val="0"/>
          <w:numId w:val="3"/>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Protocol Training:</w:t>
      </w:r>
      <w:r w:rsidRPr="00AD416F">
        <w:rPr>
          <w:rFonts w:eastAsia="Times New Roman" w:cstheme="minorHAnsi"/>
          <w:color w:val="000000" w:themeColor="text1"/>
          <w:szCs w:val="20"/>
        </w:rPr>
        <w:t> No specific investigator training requirements, but these may be added as a condition of authorization for the EUA by the FDA commissioner.</w:t>
      </w:r>
    </w:p>
    <w:p w14:paraId="20079670" w14:textId="77777777" w:rsidR="00DB621D" w:rsidRPr="00AD416F" w:rsidRDefault="00DB621D" w:rsidP="00DB621D">
      <w:pPr>
        <w:spacing w:line="480" w:lineRule="auto"/>
        <w:textAlignment w:val="baseline"/>
        <w:rPr>
          <w:rFonts w:eastAsia="Times New Roman" w:cstheme="minorHAnsi"/>
          <w:color w:val="000000" w:themeColor="text1"/>
          <w:szCs w:val="20"/>
        </w:rPr>
      </w:pPr>
    </w:p>
    <w:p w14:paraId="6BCFBE6B" w14:textId="3A08B76B" w:rsidR="00AD416F" w:rsidRDefault="00AD416F" w:rsidP="00DB621D">
      <w:pPr>
        <w:numPr>
          <w:ilvl w:val="0"/>
          <w:numId w:val="3"/>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Adverse Event Monitoring &amp; Reporting:</w:t>
      </w:r>
      <w:r w:rsidR="00554B1B" w:rsidRPr="00DB621D">
        <w:rPr>
          <w:rFonts w:eastAsia="Times New Roman" w:cstheme="minorHAnsi"/>
          <w:b/>
          <w:bCs/>
          <w:color w:val="000000" w:themeColor="text1"/>
          <w:szCs w:val="20"/>
          <w:bdr w:val="none" w:sz="0" w:space="0" w:color="auto" w:frame="1"/>
        </w:rPr>
        <w:t xml:space="preserve"> </w:t>
      </w:r>
      <w:r w:rsidRPr="00AD416F">
        <w:rPr>
          <w:rFonts w:eastAsia="Times New Roman" w:cstheme="minorHAnsi"/>
          <w:color w:val="000000" w:themeColor="text1"/>
          <w:szCs w:val="20"/>
        </w:rPr>
        <w:t>Adverse event monitoring and reporting is required at the discretion of the FDA commissioner. The FDA will require MEDWATCH and VAERS reporting for all EUA products.</w:t>
      </w:r>
    </w:p>
    <w:p w14:paraId="7B71552A" w14:textId="77777777" w:rsidR="00DB621D" w:rsidRPr="00AD416F" w:rsidRDefault="00DB621D" w:rsidP="00DB621D">
      <w:pPr>
        <w:spacing w:line="480" w:lineRule="auto"/>
        <w:textAlignment w:val="baseline"/>
        <w:rPr>
          <w:rFonts w:eastAsia="Times New Roman" w:cstheme="minorHAnsi"/>
          <w:color w:val="000000" w:themeColor="text1"/>
          <w:szCs w:val="20"/>
        </w:rPr>
      </w:pPr>
    </w:p>
    <w:p w14:paraId="1BC90363" w14:textId="32B62238" w:rsidR="00AD416F" w:rsidRDefault="00AD416F" w:rsidP="00DB621D">
      <w:pPr>
        <w:numPr>
          <w:ilvl w:val="0"/>
          <w:numId w:val="3"/>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lastRenderedPageBreak/>
        <w:t>Recordkeeping &amp; Access: </w:t>
      </w:r>
      <w:r w:rsidRPr="00AD416F">
        <w:rPr>
          <w:rFonts w:eastAsia="Times New Roman" w:cstheme="minorHAnsi"/>
          <w:color w:val="000000" w:themeColor="text1"/>
          <w:szCs w:val="20"/>
        </w:rPr>
        <w:t>Recordkeeping and access to product distribution and administration records required at the discretion of the FDA commissioner.</w:t>
      </w:r>
    </w:p>
    <w:p w14:paraId="104B932A" w14:textId="77777777" w:rsidR="00DB621D" w:rsidRPr="00AD416F" w:rsidRDefault="00DB621D" w:rsidP="00DB621D">
      <w:pPr>
        <w:spacing w:line="480" w:lineRule="auto"/>
        <w:textAlignment w:val="baseline"/>
        <w:rPr>
          <w:rFonts w:eastAsia="Times New Roman" w:cstheme="minorHAnsi"/>
          <w:color w:val="000000" w:themeColor="text1"/>
          <w:szCs w:val="20"/>
        </w:rPr>
      </w:pPr>
    </w:p>
    <w:p w14:paraId="0993B1D4" w14:textId="2AC3D5B0" w:rsidR="00AD416F" w:rsidRPr="00DB621D" w:rsidRDefault="00AD416F" w:rsidP="00DB621D">
      <w:pPr>
        <w:numPr>
          <w:ilvl w:val="0"/>
          <w:numId w:val="3"/>
        </w:numPr>
        <w:spacing w:line="480" w:lineRule="auto"/>
        <w:ind w:left="0"/>
        <w:textAlignment w:val="baseline"/>
        <w:rPr>
          <w:rFonts w:eastAsia="Times New Roman" w:cstheme="minorHAnsi"/>
          <w:color w:val="000000" w:themeColor="text1"/>
          <w:szCs w:val="20"/>
        </w:rPr>
      </w:pPr>
      <w:r w:rsidRPr="00AD416F">
        <w:rPr>
          <w:rFonts w:eastAsia="Times New Roman" w:cstheme="minorHAnsi"/>
          <w:b/>
          <w:bCs/>
          <w:color w:val="000000" w:themeColor="text1"/>
          <w:szCs w:val="20"/>
          <w:bdr w:val="none" w:sz="0" w:space="0" w:color="auto" w:frame="1"/>
        </w:rPr>
        <w:t>Duration of Approval:</w:t>
      </w:r>
      <w:r w:rsidRPr="00AD416F">
        <w:rPr>
          <w:rFonts w:eastAsia="Times New Roman" w:cstheme="minorHAnsi"/>
          <w:color w:val="000000" w:themeColor="text1"/>
          <w:szCs w:val="20"/>
        </w:rPr>
        <w:t> Up to one year from the date of the declaration of emergency or for as long as the §564 emergency declaration is in effect, whichever is shorter.</w:t>
      </w:r>
    </w:p>
    <w:p w14:paraId="10B6943C" w14:textId="376A366F" w:rsidR="00554B1B" w:rsidRPr="00AD416F" w:rsidRDefault="00DB621D" w:rsidP="00DB621D">
      <w:pPr>
        <w:spacing w:line="480" w:lineRule="auto"/>
        <w:textAlignment w:val="baseline"/>
        <w:rPr>
          <w:rFonts w:eastAsia="Times New Roman" w:cstheme="minorHAnsi"/>
          <w:color w:val="000000" w:themeColor="text1"/>
          <w:szCs w:val="20"/>
        </w:rPr>
      </w:pPr>
      <w:r>
        <w:rPr>
          <w:rFonts w:eastAsia="Times New Roman" w:cstheme="minorHAnsi"/>
          <w:b/>
          <w:bCs/>
          <w:color w:val="000000" w:themeColor="text1"/>
          <w:szCs w:val="20"/>
          <w:bdr w:val="none" w:sz="0" w:space="0" w:color="auto" w:frame="1"/>
        </w:rPr>
        <w:t>_________________________</w:t>
      </w:r>
    </w:p>
    <w:p w14:paraId="0219C2B9" w14:textId="47616949" w:rsidR="00AD416F" w:rsidRPr="00DB621D" w:rsidRDefault="00AD416F" w:rsidP="00DB621D">
      <w:pPr>
        <w:numPr>
          <w:ilvl w:val="0"/>
          <w:numId w:val="4"/>
        </w:numPr>
        <w:tabs>
          <w:tab w:val="clear" w:pos="720"/>
          <w:tab w:val="num" w:pos="630"/>
        </w:tabs>
        <w:spacing w:line="480" w:lineRule="auto"/>
        <w:ind w:left="360"/>
        <w:textAlignment w:val="baseline"/>
        <w:rPr>
          <w:rFonts w:eastAsia="Times New Roman" w:cstheme="minorHAnsi"/>
          <w:color w:val="000000" w:themeColor="text1"/>
          <w:szCs w:val="20"/>
        </w:rPr>
      </w:pPr>
      <w:r w:rsidRPr="00AD416F">
        <w:rPr>
          <w:rFonts w:eastAsia="Times New Roman" w:cstheme="minorHAnsi"/>
          <w:color w:val="000000" w:themeColor="text1"/>
          <w:szCs w:val="20"/>
        </w:rPr>
        <w:t>Information adapted from: U.S. Food and Drug Administration and the U.S. Centers for Disease Control and Prevention. “Emergency Use Authorization” online course. Available at </w:t>
      </w:r>
      <w:hyperlink r:id="rId8" w:history="1">
        <w:r w:rsidRPr="00AD416F">
          <w:rPr>
            <w:rFonts w:eastAsia="Times New Roman" w:cstheme="minorHAnsi"/>
            <w:color w:val="4472C4" w:themeColor="accent1"/>
            <w:szCs w:val="20"/>
            <w:u w:val="single"/>
            <w:bdr w:val="none" w:sz="0" w:space="0" w:color="auto" w:frame="1"/>
          </w:rPr>
          <w:t>www.bt.cdc.gov/training/eua/index.html</w:t>
        </w:r>
      </w:hyperlink>
      <w:r w:rsidRPr="00AD416F">
        <w:rPr>
          <w:rFonts w:eastAsia="Times New Roman" w:cstheme="minorHAnsi"/>
          <w:color w:val="4472C4" w:themeColor="accent1"/>
          <w:szCs w:val="20"/>
        </w:rPr>
        <w:t xml:space="preserve">. </w:t>
      </w:r>
      <w:r w:rsidRPr="00AD416F">
        <w:rPr>
          <w:rFonts w:eastAsia="Times New Roman" w:cstheme="minorHAnsi"/>
          <w:color w:val="000000" w:themeColor="text1"/>
          <w:szCs w:val="20"/>
        </w:rPr>
        <w:t>Accessed January 31, 2012.</w:t>
      </w:r>
      <w:bookmarkStart w:id="0" w:name="_GoBack"/>
      <w:bookmarkEnd w:id="0"/>
    </w:p>
    <w:p w14:paraId="7F10E4CA" w14:textId="77777777" w:rsidR="00554B1B" w:rsidRPr="00AD416F" w:rsidRDefault="00554B1B" w:rsidP="00DB621D">
      <w:pPr>
        <w:spacing w:line="480" w:lineRule="auto"/>
        <w:ind w:left="360"/>
        <w:textAlignment w:val="baseline"/>
        <w:rPr>
          <w:rFonts w:eastAsia="Times New Roman" w:cstheme="minorHAnsi"/>
          <w:color w:val="000000" w:themeColor="text1"/>
          <w:szCs w:val="20"/>
        </w:rPr>
      </w:pPr>
    </w:p>
    <w:p w14:paraId="314FE93B" w14:textId="77777777" w:rsidR="00AD416F" w:rsidRPr="00AD416F" w:rsidRDefault="00AD416F" w:rsidP="00DB621D">
      <w:pPr>
        <w:numPr>
          <w:ilvl w:val="0"/>
          <w:numId w:val="4"/>
        </w:numPr>
        <w:tabs>
          <w:tab w:val="clear" w:pos="720"/>
          <w:tab w:val="num" w:pos="630"/>
        </w:tabs>
        <w:spacing w:line="480" w:lineRule="auto"/>
        <w:ind w:left="360"/>
        <w:textAlignment w:val="baseline"/>
        <w:rPr>
          <w:rFonts w:eastAsia="Times New Roman" w:cstheme="minorHAnsi"/>
          <w:color w:val="000000" w:themeColor="text1"/>
          <w:szCs w:val="20"/>
        </w:rPr>
      </w:pPr>
      <w:r w:rsidRPr="00AD416F">
        <w:rPr>
          <w:rFonts w:eastAsia="Times New Roman" w:cstheme="minorHAnsi"/>
          <w:color w:val="000000" w:themeColor="text1"/>
          <w:szCs w:val="20"/>
        </w:rPr>
        <w:t>As of March 2012, Congress is in the process of reauthorizing the Pandemic and All-Hazards Preparedness Act (PAHPA), which reauthorization may impact provisions relevant to emergency use of medical products.</w:t>
      </w:r>
    </w:p>
    <w:p w14:paraId="0D3EE356" w14:textId="77777777" w:rsidR="00B75B7F" w:rsidRPr="00DB621D" w:rsidRDefault="00B75B7F" w:rsidP="00DB621D">
      <w:pPr>
        <w:spacing w:line="480" w:lineRule="auto"/>
        <w:rPr>
          <w:rFonts w:cstheme="minorHAnsi"/>
          <w:color w:val="000000" w:themeColor="text1"/>
          <w:sz w:val="24"/>
        </w:rPr>
      </w:pPr>
    </w:p>
    <w:sectPr w:rsidR="00B75B7F" w:rsidRPr="00DB621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A432DB" w14:textId="77777777" w:rsidR="00DB621D" w:rsidRDefault="00DB621D" w:rsidP="00DB621D">
      <w:r>
        <w:separator/>
      </w:r>
    </w:p>
  </w:endnote>
  <w:endnote w:type="continuationSeparator" w:id="0">
    <w:p w14:paraId="32858581" w14:textId="77777777" w:rsidR="00DB621D" w:rsidRDefault="00DB621D" w:rsidP="00DB6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0345855"/>
      <w:docPartObj>
        <w:docPartGallery w:val="Page Numbers (Bottom of Page)"/>
        <w:docPartUnique/>
      </w:docPartObj>
    </w:sdtPr>
    <w:sdtEndPr>
      <w:rPr>
        <w:noProof/>
      </w:rPr>
    </w:sdtEndPr>
    <w:sdtContent>
      <w:p w14:paraId="4F4DA640" w14:textId="5C4A2283" w:rsidR="00DB621D" w:rsidRDefault="00DB621D" w:rsidP="00DB62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306B6B" w14:textId="77777777" w:rsidR="00DB621D" w:rsidRDefault="00DB621D" w:rsidP="00DB621D">
      <w:r>
        <w:separator/>
      </w:r>
    </w:p>
  </w:footnote>
  <w:footnote w:type="continuationSeparator" w:id="0">
    <w:p w14:paraId="0CAE7218" w14:textId="77777777" w:rsidR="00DB621D" w:rsidRDefault="00DB621D" w:rsidP="00DB62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E1F3E"/>
    <w:multiLevelType w:val="hybridMultilevel"/>
    <w:tmpl w:val="A6B05E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C826AC9"/>
    <w:multiLevelType w:val="multilevel"/>
    <w:tmpl w:val="84B20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8B7EE0"/>
    <w:multiLevelType w:val="multilevel"/>
    <w:tmpl w:val="55AC3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796DFA"/>
    <w:multiLevelType w:val="multilevel"/>
    <w:tmpl w:val="B85E6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AF1BDD"/>
    <w:multiLevelType w:val="multilevel"/>
    <w:tmpl w:val="50928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16F"/>
    <w:rsid w:val="00151278"/>
    <w:rsid w:val="00476446"/>
    <w:rsid w:val="00554B1B"/>
    <w:rsid w:val="00AD416F"/>
    <w:rsid w:val="00AD4F83"/>
    <w:rsid w:val="00B75B7F"/>
    <w:rsid w:val="00BD1F37"/>
    <w:rsid w:val="00C73D8D"/>
    <w:rsid w:val="00D931E3"/>
    <w:rsid w:val="00DB6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321A7"/>
  <w15:chartTrackingRefBased/>
  <w15:docId w15:val="{0CC14325-D266-4800-847C-B688F636C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D416F"/>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D416F"/>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16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D416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D416F"/>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D416F"/>
    <w:rPr>
      <w:color w:val="0000FF"/>
      <w:u w:val="single"/>
    </w:rPr>
  </w:style>
  <w:style w:type="paragraph" w:styleId="ListParagraph">
    <w:name w:val="List Paragraph"/>
    <w:basedOn w:val="Normal"/>
    <w:uiPriority w:val="34"/>
    <w:qFormat/>
    <w:rsid w:val="00D931E3"/>
    <w:pPr>
      <w:ind w:left="720"/>
      <w:contextualSpacing/>
    </w:pPr>
  </w:style>
  <w:style w:type="paragraph" w:styleId="Header">
    <w:name w:val="header"/>
    <w:basedOn w:val="Normal"/>
    <w:link w:val="HeaderChar"/>
    <w:uiPriority w:val="99"/>
    <w:unhideWhenUsed/>
    <w:rsid w:val="00DB621D"/>
    <w:pPr>
      <w:tabs>
        <w:tab w:val="center" w:pos="4680"/>
        <w:tab w:val="right" w:pos="9360"/>
      </w:tabs>
    </w:pPr>
  </w:style>
  <w:style w:type="character" w:customStyle="1" w:styleId="HeaderChar">
    <w:name w:val="Header Char"/>
    <w:basedOn w:val="DefaultParagraphFont"/>
    <w:link w:val="Header"/>
    <w:uiPriority w:val="99"/>
    <w:rsid w:val="00DB621D"/>
  </w:style>
  <w:style w:type="paragraph" w:styleId="Footer">
    <w:name w:val="footer"/>
    <w:basedOn w:val="Normal"/>
    <w:link w:val="FooterChar"/>
    <w:uiPriority w:val="99"/>
    <w:unhideWhenUsed/>
    <w:rsid w:val="00DB621D"/>
    <w:pPr>
      <w:tabs>
        <w:tab w:val="center" w:pos="4680"/>
        <w:tab w:val="right" w:pos="9360"/>
      </w:tabs>
    </w:pPr>
  </w:style>
  <w:style w:type="character" w:customStyle="1" w:styleId="FooterChar">
    <w:name w:val="Footer Char"/>
    <w:basedOn w:val="DefaultParagraphFont"/>
    <w:link w:val="Footer"/>
    <w:uiPriority w:val="99"/>
    <w:rsid w:val="00DB6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138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t.cdc.gov/training/eua/index.html" TargetMode="External"/><Relationship Id="rId3" Type="http://schemas.openxmlformats.org/officeDocument/2006/relationships/settings" Target="settings.xml"/><Relationship Id="rId7" Type="http://schemas.openxmlformats.org/officeDocument/2006/relationships/hyperlink" Target="http://www.astho.org/uploadedFiles/Programs/Preparedness/Public_Health_Emergency_Law/Emergency_Authority_and_Immunity_Legal_Toolkit/04-EUA%20v%20IND%20FS%204-12%20final.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760</Words>
  <Characters>4336</Characters>
  <Application>Microsoft Office Word</Application>
  <DocSecurity>0</DocSecurity>
  <Lines>36</Lines>
  <Paragraphs>10</Paragraphs>
  <ScaleCrop>false</ScaleCrop>
  <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7</cp:revision>
  <dcterms:created xsi:type="dcterms:W3CDTF">2019-04-24T16:45:00Z</dcterms:created>
  <dcterms:modified xsi:type="dcterms:W3CDTF">2019-04-24T17:12:00Z</dcterms:modified>
</cp:coreProperties>
</file>