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5B314" w14:textId="77777777" w:rsidR="000058A3" w:rsidRPr="000058A3" w:rsidRDefault="000058A3" w:rsidP="002E115C">
      <w:pPr>
        <w:spacing w:line="480" w:lineRule="auto"/>
        <w:rPr>
          <w:rFonts w:ascii="Calibri" w:eastAsia="Times New Roman" w:hAnsi="Calibri" w:cs="Calibri"/>
          <w:b/>
          <w:bCs/>
          <w:color w:val="333333"/>
          <w:spacing w:val="15"/>
          <w:kern w:val="36"/>
          <w:sz w:val="28"/>
          <w:szCs w:val="28"/>
        </w:rPr>
      </w:pPr>
      <w:r w:rsidRPr="000058A3">
        <w:rPr>
          <w:rFonts w:ascii="Calibri" w:eastAsia="Times New Roman" w:hAnsi="Calibri" w:cs="Calibri"/>
          <w:b/>
          <w:bCs/>
          <w:color w:val="333333"/>
          <w:spacing w:val="15"/>
          <w:kern w:val="36"/>
          <w:sz w:val="28"/>
          <w:szCs w:val="28"/>
        </w:rPr>
        <w:t xml:space="preserve">Project </w:t>
      </w:r>
      <w:proofErr w:type="spellStart"/>
      <w:r w:rsidRPr="000058A3">
        <w:rPr>
          <w:rFonts w:ascii="Calibri" w:eastAsia="Times New Roman" w:hAnsi="Calibri" w:cs="Calibri"/>
          <w:b/>
          <w:bCs/>
          <w:color w:val="333333"/>
          <w:spacing w:val="15"/>
          <w:kern w:val="36"/>
          <w:sz w:val="28"/>
          <w:szCs w:val="28"/>
        </w:rPr>
        <w:t>BioShield</w:t>
      </w:r>
      <w:proofErr w:type="spellEnd"/>
      <w:r w:rsidRPr="000058A3">
        <w:rPr>
          <w:rFonts w:ascii="Calibri" w:eastAsia="Times New Roman" w:hAnsi="Calibri" w:cs="Calibri"/>
          <w:b/>
          <w:bCs/>
          <w:color w:val="333333"/>
          <w:spacing w:val="15"/>
          <w:kern w:val="36"/>
          <w:sz w:val="28"/>
          <w:szCs w:val="28"/>
        </w:rPr>
        <w:t xml:space="preserve"> Act</w:t>
      </w:r>
    </w:p>
    <w:p w14:paraId="1AB3F6BC" w14:textId="7F4DBE9B" w:rsidR="000058A3" w:rsidRPr="000058A3" w:rsidRDefault="000058A3"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Fact Sheet</w:t>
      </w:r>
    </w:p>
    <w:p w14:paraId="48E910DC" w14:textId="77777777" w:rsidR="0031536C" w:rsidRDefault="0031536C" w:rsidP="002E115C">
      <w:pPr>
        <w:spacing w:line="480" w:lineRule="auto"/>
        <w:rPr>
          <w:rFonts w:ascii="Calibri" w:eastAsia="Times New Roman" w:hAnsi="Calibri" w:cs="Calibri"/>
          <w:b/>
          <w:bCs/>
          <w:color w:val="3C3030"/>
          <w:sz w:val="24"/>
          <w:szCs w:val="24"/>
        </w:rPr>
      </w:pPr>
    </w:p>
    <w:p w14:paraId="050D566E" w14:textId="27D59CB2" w:rsidR="000058A3" w:rsidRPr="000058A3" w:rsidRDefault="000058A3"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Overview</w:t>
      </w:r>
    </w:p>
    <w:p w14:paraId="6BB95C0D" w14:textId="77777777"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With the anthrax and other terrorist attacks of 2001, the federal government determined that it would need new medical countermeasures, such as diagnostic tests, drugs, and vaccines, to respond to an attack using chemical, biological, radiological, or nuclear (CBRN) agents.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lack of a significant commercial market for CBRN countermeasures was identified as a reason for the dearth of such countermeasures.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Since diseases and conditions caused by CBRN agents occur infrequently, the private sector did not have an economic incentive to invest the millions of dollars necessary to research and develop such measures.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w:t>
      </w:r>
      <w:hyperlink r:id="rId7" w:anchor="Project-BioShield" w:tooltip="Project BioShield Act of 2004" w:history="1">
        <w:r w:rsidRPr="000058A3">
          <w:rPr>
            <w:rFonts w:ascii="Calibri" w:eastAsia="Times New Roman" w:hAnsi="Calibri" w:cs="Calibri"/>
            <w:color w:val="0F88B8"/>
            <w:bdr w:val="none" w:sz="0" w:space="0" w:color="auto" w:frame="1"/>
          </w:rPr>
          <w:t xml:space="preserve">Project </w:t>
        </w:r>
        <w:proofErr w:type="spellStart"/>
        <w:r w:rsidRPr="000058A3">
          <w:rPr>
            <w:rFonts w:ascii="Calibri" w:eastAsia="Times New Roman" w:hAnsi="Calibri" w:cs="Calibri"/>
            <w:color w:val="0F88B8"/>
            <w:bdr w:val="none" w:sz="0" w:space="0" w:color="auto" w:frame="1"/>
          </w:rPr>
          <w:t>BioShield</w:t>
        </w:r>
        <w:proofErr w:type="spellEnd"/>
        <w:r w:rsidRPr="000058A3">
          <w:rPr>
            <w:rFonts w:ascii="Calibri" w:eastAsia="Times New Roman" w:hAnsi="Calibri" w:cs="Calibri"/>
            <w:color w:val="0F88B8"/>
            <w:bdr w:val="none" w:sz="0" w:space="0" w:color="auto" w:frame="1"/>
          </w:rPr>
          <w:t xml:space="preserve"> Act of 2004</w:t>
        </w:r>
      </w:hyperlink>
      <w:r w:rsidRPr="000058A3">
        <w:rPr>
          <w:rFonts w:ascii="Calibri" w:eastAsia="Times New Roman" w:hAnsi="Calibri" w:cs="Calibri"/>
          <w:color w:val="737373"/>
          <w:bdr w:val="none" w:sz="0" w:space="0" w:color="auto" w:frame="1"/>
          <w:vertAlign w:val="superscript"/>
        </w:rPr>
        <w:t>2</w:t>
      </w:r>
      <w:r w:rsidRPr="000058A3">
        <w:rPr>
          <w:rFonts w:ascii="Calibri" w:eastAsia="Times New Roman" w:hAnsi="Calibri" w:cs="Calibri"/>
          <w:color w:val="737373"/>
        </w:rPr>
        <w:t> </w:t>
      </w:r>
      <w:r w:rsidRPr="000058A3">
        <w:rPr>
          <w:rFonts w:ascii="Calibri" w:eastAsia="Times New Roman" w:hAnsi="Calibri" w:cs="Calibri"/>
        </w:rPr>
        <w:t>was enacted to accelerate the research, development, purchase, and availability of effective medical products against CBRN agents.</w:t>
      </w:r>
      <w:r w:rsidRPr="000058A3">
        <w:rPr>
          <w:rFonts w:ascii="Calibri" w:eastAsia="Times New Roman" w:hAnsi="Calibri" w:cs="Calibri"/>
          <w:bdr w:val="none" w:sz="0" w:space="0" w:color="auto" w:frame="1"/>
          <w:vertAlign w:val="superscript"/>
        </w:rPr>
        <w:t>3</w:t>
      </w:r>
      <w:r w:rsidRPr="000058A3">
        <w:rPr>
          <w:rFonts w:ascii="Calibri" w:eastAsia="Times New Roman" w:hAnsi="Calibri" w:cs="Calibri"/>
        </w:rPr>
        <w:t xml:space="preserv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provided the government with the authority and funding to develop, acquire, stockpile, and distribute the medical products needed to protect the United States against weapons of mass destruction.</w:t>
      </w:r>
      <w:r w:rsidRPr="000058A3">
        <w:rPr>
          <w:rFonts w:ascii="Calibri" w:eastAsia="Times New Roman" w:hAnsi="Calibri" w:cs="Calibri"/>
          <w:bdr w:val="none" w:sz="0" w:space="0" w:color="auto" w:frame="1"/>
          <w:vertAlign w:val="superscript"/>
        </w:rPr>
        <w:t>3 </w:t>
      </w:r>
      <w:r w:rsidRPr="000058A3">
        <w:rPr>
          <w:rFonts w:ascii="Calibri" w:eastAsia="Times New Roman" w:hAnsi="Calibri" w:cs="Calibri"/>
        </w:rPr>
        <w:t> </w:t>
      </w:r>
    </w:p>
    <w:p w14:paraId="612F417E" w14:textId="77777777" w:rsidR="00E2164E" w:rsidRPr="00E2164E" w:rsidRDefault="00E2164E" w:rsidP="002E115C">
      <w:pPr>
        <w:shd w:val="clear" w:color="auto" w:fill="FFFFFF"/>
        <w:spacing w:line="480" w:lineRule="auto"/>
        <w:textAlignment w:val="baseline"/>
        <w:rPr>
          <w:rFonts w:ascii="Calibri" w:eastAsia="Times New Roman" w:hAnsi="Calibri" w:cs="Calibri"/>
        </w:rPr>
      </w:pPr>
    </w:p>
    <w:p w14:paraId="410D515D" w14:textId="3F48A6AE"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Note: As of March 2012, Congress is in the process of reauthorizing the </w:t>
      </w:r>
      <w:hyperlink r:id="rId8" w:anchor="Pandemic-And" w:tooltip="Pandemic and All-Hazards Preparedness Act (PAHPA)" w:history="1">
        <w:r w:rsidRPr="000058A3">
          <w:rPr>
            <w:rFonts w:ascii="Calibri" w:eastAsia="Times New Roman" w:hAnsi="Calibri" w:cs="Calibri"/>
            <w:color w:val="0F88B8"/>
            <w:bdr w:val="none" w:sz="0" w:space="0" w:color="auto" w:frame="1"/>
          </w:rPr>
          <w:t>Pandemic and All-Hazards Preparedness Act (PAHPA)</w:t>
        </w:r>
      </w:hyperlink>
      <w:r w:rsidRPr="000058A3">
        <w:rPr>
          <w:rFonts w:ascii="Calibri" w:eastAsia="Times New Roman" w:hAnsi="Calibri" w:cs="Calibri"/>
        </w:rPr>
        <w:t xml:space="preserve">, which may impact some provisions of 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Please see </w:t>
      </w:r>
      <w:hyperlink r:id="rId9" w:tooltip="ASTHO EUA Current Issues Winter 2012" w:history="1">
        <w:r w:rsidRPr="000058A3">
          <w:rPr>
            <w:rFonts w:ascii="Calibri" w:eastAsia="Times New Roman" w:hAnsi="Calibri" w:cs="Calibri"/>
            <w:color w:val="0F88B8"/>
            <w:bdr w:val="none" w:sz="0" w:space="0" w:color="auto" w:frame="1"/>
          </w:rPr>
          <w:t>ASTHO EUA Current Issues Winter 2012</w:t>
        </w:r>
      </w:hyperlink>
      <w:r w:rsidRPr="000058A3">
        <w:rPr>
          <w:rFonts w:ascii="Calibri" w:eastAsia="Times New Roman" w:hAnsi="Calibri" w:cs="Calibri"/>
          <w:color w:val="737373"/>
        </w:rPr>
        <w:t> </w:t>
      </w:r>
      <w:r w:rsidRPr="000058A3">
        <w:rPr>
          <w:rFonts w:ascii="Calibri" w:eastAsia="Times New Roman" w:hAnsi="Calibri" w:cs="Calibri"/>
        </w:rPr>
        <w:t xml:space="preserve">for more information about reauthorization and its potential impact on EUAs and related issues. </w:t>
      </w:r>
    </w:p>
    <w:p w14:paraId="028EB457" w14:textId="77777777" w:rsidR="0031536C" w:rsidRPr="00E2164E" w:rsidRDefault="0031536C" w:rsidP="002E115C">
      <w:pPr>
        <w:spacing w:line="480" w:lineRule="auto"/>
        <w:rPr>
          <w:rFonts w:ascii="Calibri" w:eastAsia="Times New Roman" w:hAnsi="Calibri" w:cs="Calibri"/>
          <w:b/>
          <w:bCs/>
        </w:rPr>
      </w:pPr>
    </w:p>
    <w:p w14:paraId="36F73354" w14:textId="55AA5514" w:rsidR="000058A3" w:rsidRPr="000058A3" w:rsidRDefault="000058A3" w:rsidP="002E115C">
      <w:pPr>
        <w:keepNext/>
        <w:spacing w:line="480" w:lineRule="auto"/>
        <w:rPr>
          <w:rFonts w:ascii="Calibri" w:eastAsia="Times New Roman" w:hAnsi="Calibri" w:cs="Calibri"/>
          <w:b/>
          <w:bCs/>
          <w:sz w:val="24"/>
          <w:szCs w:val="24"/>
        </w:rPr>
      </w:pPr>
      <w:r w:rsidRPr="000058A3">
        <w:rPr>
          <w:rFonts w:ascii="Calibri" w:eastAsia="Times New Roman" w:hAnsi="Calibri" w:cs="Calibri"/>
          <w:b/>
          <w:bCs/>
          <w:sz w:val="24"/>
          <w:szCs w:val="24"/>
        </w:rPr>
        <w:lastRenderedPageBreak/>
        <w:t>What the Law Does</w:t>
      </w:r>
    </w:p>
    <w:p w14:paraId="4478EF7D" w14:textId="77777777" w:rsidR="000058A3" w:rsidRPr="000058A3" w:rsidRDefault="000058A3" w:rsidP="002E115C">
      <w:pPr>
        <w:shd w:val="clear" w:color="auto" w:fill="FFFFFF"/>
        <w:spacing w:after="225"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authorizes expedited procurement, streamlined personnel appointments, expedited peer review, biomedical countermeasures procurement, emergency use of medical countermeasures, and other biodefense activities.</w:t>
      </w:r>
    </w:p>
    <w:p w14:paraId="6E885D4F" w14:textId="77777777" w:rsidR="000058A3" w:rsidRPr="000058A3" w:rsidRDefault="000058A3" w:rsidP="002E115C">
      <w:pPr>
        <w:spacing w:line="480" w:lineRule="auto"/>
        <w:rPr>
          <w:rFonts w:ascii="Calibri" w:eastAsia="Times New Roman" w:hAnsi="Calibri" w:cs="Calibri"/>
          <w:b/>
          <w:bCs/>
        </w:rPr>
      </w:pPr>
      <w:r w:rsidRPr="000058A3">
        <w:rPr>
          <w:rFonts w:ascii="Calibri" w:eastAsia="Times New Roman" w:hAnsi="Calibri" w:cs="Calibri"/>
          <w:b/>
          <w:bCs/>
        </w:rPr>
        <w:t>Liability Protections</w:t>
      </w:r>
    </w:p>
    <w:p w14:paraId="007083CF" w14:textId="77777777"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does not contain any explicit immunity or other liability protections. The absence of such protections in the act was an ongoing concern for potential developers of CBRN countermeasures. To address these and other concerns, the </w:t>
      </w:r>
      <w:hyperlink r:id="rId10" w:anchor="Public-Readiness" w:tooltip="Public Readiness and Emergency Preparedness (PREP) Act" w:history="1">
        <w:r w:rsidRPr="000058A3">
          <w:rPr>
            <w:rFonts w:ascii="Calibri" w:eastAsia="Times New Roman" w:hAnsi="Calibri" w:cs="Calibri"/>
            <w:color w:val="0F88B8"/>
            <w:bdr w:val="none" w:sz="0" w:space="0" w:color="auto" w:frame="1"/>
          </w:rPr>
          <w:t>Public Readiness and Emergency Preparedness (PREP) Act</w:t>
        </w:r>
      </w:hyperlink>
      <w:r w:rsidRPr="000058A3">
        <w:rPr>
          <w:rFonts w:ascii="Calibri" w:eastAsia="Times New Roman" w:hAnsi="Calibri" w:cs="Calibri"/>
          <w:color w:val="737373"/>
        </w:rPr>
        <w:t> </w:t>
      </w:r>
      <w:r w:rsidRPr="000058A3">
        <w:rPr>
          <w:rFonts w:ascii="Calibri" w:eastAsia="Times New Roman" w:hAnsi="Calibri" w:cs="Calibri"/>
        </w:rPr>
        <w:t>was enacted to, among other things, provide liability protections to persons and entities involved in the development, sale, distribution, and administration of countermeasures.</w:t>
      </w:r>
      <w:r w:rsidRPr="000058A3">
        <w:rPr>
          <w:rFonts w:ascii="Calibri" w:eastAsia="Times New Roman" w:hAnsi="Calibri" w:cs="Calibri"/>
          <w:bdr w:val="none" w:sz="0" w:space="0" w:color="auto" w:frame="1"/>
          <w:vertAlign w:val="superscript"/>
        </w:rPr>
        <w:t>4</w:t>
      </w:r>
      <w:r w:rsidRPr="000058A3">
        <w:rPr>
          <w:rFonts w:ascii="Calibri" w:eastAsia="Times New Roman" w:hAnsi="Calibri" w:cs="Calibri"/>
        </w:rPr>
        <w:t> (See </w:t>
      </w:r>
      <w:hyperlink r:id="rId11" w:tooltip="ASTHO Fact Sheet on the PREP Act" w:history="1">
        <w:r w:rsidRPr="000058A3">
          <w:rPr>
            <w:rFonts w:ascii="Calibri" w:eastAsia="Times New Roman" w:hAnsi="Calibri" w:cs="Calibri"/>
            <w:color w:val="0F88B8"/>
            <w:bdr w:val="none" w:sz="0" w:space="0" w:color="auto" w:frame="1"/>
          </w:rPr>
          <w:t>ASTHO Fact Sheet on the PREP Act</w:t>
        </w:r>
      </w:hyperlink>
      <w:r w:rsidRPr="000058A3">
        <w:rPr>
          <w:rFonts w:ascii="Calibri" w:eastAsia="Times New Roman" w:hAnsi="Calibri" w:cs="Calibri"/>
        </w:rPr>
        <w:t>.)</w:t>
      </w:r>
    </w:p>
    <w:p w14:paraId="5DDD15AD" w14:textId="77777777" w:rsidR="00E2164E" w:rsidRPr="00E2164E" w:rsidRDefault="00E2164E" w:rsidP="002E115C">
      <w:pPr>
        <w:spacing w:line="480" w:lineRule="auto"/>
        <w:rPr>
          <w:rFonts w:ascii="Calibri" w:eastAsia="Times New Roman" w:hAnsi="Calibri" w:cs="Calibri"/>
          <w:b/>
          <w:bCs/>
        </w:rPr>
      </w:pPr>
    </w:p>
    <w:p w14:paraId="777D4315" w14:textId="6CF06845" w:rsidR="000058A3" w:rsidRPr="000058A3" w:rsidRDefault="000058A3"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How the Law Works</w:t>
      </w:r>
    </w:p>
    <w:p w14:paraId="1B838740" w14:textId="77777777"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The act has three primary provisions: (1) expedited procurement and grant making; (2) guaranteed government purchasing of countermeasures; and (3) authority to temporarily use medical countermeasures under </w:t>
      </w:r>
      <w:hyperlink r:id="rId12" w:anchor="Emergency-Use" w:tooltip="Emergency Use Authorization (EUA)" w:history="1">
        <w:r w:rsidRPr="000058A3">
          <w:rPr>
            <w:rFonts w:ascii="Calibri" w:eastAsia="Times New Roman" w:hAnsi="Calibri" w:cs="Calibri"/>
            <w:color w:val="0F88B8"/>
            <w:bdr w:val="none" w:sz="0" w:space="0" w:color="auto" w:frame="1"/>
          </w:rPr>
          <w:t>Emergency Use Authorization (EUA)</w:t>
        </w:r>
      </w:hyperlink>
      <w:r w:rsidRPr="000058A3">
        <w:rPr>
          <w:rFonts w:ascii="Calibri" w:eastAsia="Times New Roman" w:hAnsi="Calibri" w:cs="Calibri"/>
          <w:color w:val="737373"/>
        </w:rPr>
        <w:t> </w:t>
      </w:r>
      <w:r w:rsidRPr="000058A3">
        <w:rPr>
          <w:rFonts w:ascii="Calibri" w:eastAsia="Times New Roman" w:hAnsi="Calibri" w:cs="Calibri"/>
        </w:rPr>
        <w:t>authority. The act vests authority and implementation with the Secretary of the Department of Health and Human Services (HHS) and agencies within HHS. Congress created the </w:t>
      </w:r>
      <w:hyperlink r:id="rId13" w:anchor="Biomedical-Advanced" w:tooltip="Biomedical Advanced Research and Development Authority (BARDA)" w:history="1">
        <w:r w:rsidRPr="000058A3">
          <w:rPr>
            <w:rFonts w:ascii="Calibri" w:eastAsia="Times New Roman" w:hAnsi="Calibri" w:cs="Calibri"/>
            <w:color w:val="0F88B8"/>
            <w:bdr w:val="none" w:sz="0" w:space="0" w:color="auto" w:frame="1"/>
          </w:rPr>
          <w:t>Biomedical Advanced Research and Development Authority (BARDA)</w:t>
        </w:r>
      </w:hyperlink>
      <w:r w:rsidRPr="000058A3">
        <w:rPr>
          <w:rFonts w:ascii="Calibri" w:eastAsia="Times New Roman" w:hAnsi="Calibri" w:cs="Calibri"/>
        </w:rPr>
        <w:t> in the </w:t>
      </w:r>
      <w:hyperlink r:id="rId14" w:anchor="HHS-Office" w:tooltip="HHS Office of the Assistant Secretary for Preparedness and Response (ASPR)" w:history="1">
        <w:r w:rsidRPr="000058A3">
          <w:rPr>
            <w:rFonts w:ascii="Calibri" w:eastAsia="Times New Roman" w:hAnsi="Calibri" w:cs="Calibri"/>
            <w:color w:val="0F88B8"/>
            <w:bdr w:val="none" w:sz="0" w:space="0" w:color="auto" w:frame="1"/>
          </w:rPr>
          <w:t>HHS Office of the Assistant Secretary for Preparedness and Response (ASPR)</w:t>
        </w:r>
      </w:hyperlink>
      <w:r w:rsidRPr="000058A3">
        <w:rPr>
          <w:rFonts w:ascii="Calibri" w:eastAsia="Times New Roman" w:hAnsi="Calibri" w:cs="Calibri"/>
          <w:bdr w:val="none" w:sz="0" w:space="0" w:color="auto" w:frame="1"/>
          <w:vertAlign w:val="superscript"/>
        </w:rPr>
        <w:t>5</w:t>
      </w:r>
      <w:r w:rsidRPr="000058A3">
        <w:rPr>
          <w:rFonts w:ascii="Calibri" w:eastAsia="Times New Roman" w:hAnsi="Calibri" w:cs="Calibri"/>
        </w:rPr>
        <w:t> through the </w:t>
      </w:r>
      <w:hyperlink r:id="rId15" w:anchor="Pandemic-And" w:tooltip="Pandemic and All-Hazards Preparedness Act" w:history="1">
        <w:r w:rsidRPr="000058A3">
          <w:rPr>
            <w:rFonts w:ascii="Calibri" w:eastAsia="Times New Roman" w:hAnsi="Calibri" w:cs="Calibri"/>
            <w:color w:val="0F88B8"/>
            <w:bdr w:val="none" w:sz="0" w:space="0" w:color="auto" w:frame="1"/>
          </w:rPr>
          <w:t>Pandemic and All-Hazards Preparedness Act</w:t>
        </w:r>
      </w:hyperlink>
      <w:r w:rsidRPr="000058A3">
        <w:rPr>
          <w:rFonts w:ascii="Calibri" w:eastAsia="Times New Roman" w:hAnsi="Calibri" w:cs="Calibri"/>
          <w:bdr w:val="none" w:sz="0" w:space="0" w:color="auto" w:frame="1"/>
          <w:vertAlign w:val="superscript"/>
        </w:rPr>
        <w:t>6</w:t>
      </w:r>
      <w:r w:rsidRPr="000058A3">
        <w:rPr>
          <w:rFonts w:ascii="Calibri" w:eastAsia="Times New Roman" w:hAnsi="Calibri" w:cs="Calibri"/>
        </w:rPr>
        <w:t xml:space="preserve"> to create an infrastructure to manage Project </w:t>
      </w:r>
      <w:proofErr w:type="spellStart"/>
      <w:r w:rsidRPr="000058A3">
        <w:rPr>
          <w:rFonts w:ascii="Calibri" w:eastAsia="Times New Roman" w:hAnsi="Calibri" w:cs="Calibri"/>
        </w:rPr>
        <w:t>BioShield’s</w:t>
      </w:r>
      <w:proofErr w:type="spellEnd"/>
      <w:r w:rsidRPr="000058A3">
        <w:rPr>
          <w:rFonts w:ascii="Calibri" w:eastAsia="Times New Roman" w:hAnsi="Calibri" w:cs="Calibri"/>
        </w:rPr>
        <w:t xml:space="preserve"> countermeasures development and purchasing.</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xml:space="preserve"> The FDA is responsible for issuing EUAs. 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requires the HHS to issue annual reports about its use of the authorities granted under it.</w:t>
      </w:r>
      <w:r w:rsidRPr="000058A3">
        <w:rPr>
          <w:rFonts w:ascii="Calibri" w:eastAsia="Times New Roman" w:hAnsi="Calibri" w:cs="Calibri"/>
          <w:bdr w:val="none" w:sz="0" w:space="0" w:color="auto" w:frame="1"/>
          <w:vertAlign w:val="superscript"/>
        </w:rPr>
        <w:t>1,7</w:t>
      </w:r>
      <w:r w:rsidRPr="000058A3">
        <w:rPr>
          <w:rFonts w:ascii="Calibri" w:eastAsia="Times New Roman" w:hAnsi="Calibri" w:cs="Calibri"/>
        </w:rPr>
        <w:t xml:space="preserve"> The HHS has contracted for anthrax vaccine and treatment, botulinum antitoxin, pediatric </w:t>
      </w:r>
      <w:r w:rsidRPr="000058A3">
        <w:rPr>
          <w:rFonts w:ascii="Calibri" w:eastAsia="Times New Roman" w:hAnsi="Calibri" w:cs="Calibri"/>
        </w:rPr>
        <w:lastRenderedPageBreak/>
        <w:t>potassium iodide, treatments for internal radioactive particle contamination, and a new smallpox vaccine.</w:t>
      </w:r>
      <w:r w:rsidRPr="000058A3">
        <w:rPr>
          <w:rFonts w:ascii="Calibri" w:eastAsia="Times New Roman" w:hAnsi="Calibri" w:cs="Calibri"/>
          <w:bdr w:val="none" w:sz="0" w:space="0" w:color="auto" w:frame="1"/>
          <w:vertAlign w:val="superscript"/>
        </w:rPr>
        <w:t>1,7</w:t>
      </w:r>
      <w:r w:rsidRPr="000058A3">
        <w:rPr>
          <w:rFonts w:ascii="Calibri" w:eastAsia="Times New Roman" w:hAnsi="Calibri" w:cs="Calibri"/>
        </w:rPr>
        <w:t> Countermeasures against anthrax, viral hemorrhagic fevers, and radiation are planned.</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w:t>
      </w:r>
    </w:p>
    <w:p w14:paraId="52D0F8EA" w14:textId="77777777" w:rsidR="00E2164E" w:rsidRPr="00E2164E" w:rsidRDefault="00E2164E" w:rsidP="002E115C">
      <w:pPr>
        <w:spacing w:line="480" w:lineRule="auto"/>
        <w:rPr>
          <w:rFonts w:ascii="Calibri" w:eastAsia="Times New Roman" w:hAnsi="Calibri" w:cs="Calibri"/>
          <w:b/>
          <w:bCs/>
        </w:rPr>
      </w:pPr>
    </w:p>
    <w:p w14:paraId="1FE8629E" w14:textId="05957C5F" w:rsidR="000058A3" w:rsidRPr="000058A3" w:rsidRDefault="000058A3" w:rsidP="002E115C">
      <w:pPr>
        <w:spacing w:line="480" w:lineRule="auto"/>
        <w:rPr>
          <w:rFonts w:ascii="Calibri" w:eastAsia="Times New Roman" w:hAnsi="Calibri" w:cs="Calibri"/>
          <w:b/>
          <w:bCs/>
        </w:rPr>
      </w:pPr>
      <w:r w:rsidRPr="000058A3">
        <w:rPr>
          <w:rFonts w:ascii="Calibri" w:eastAsia="Times New Roman" w:hAnsi="Calibri" w:cs="Calibri"/>
          <w:b/>
          <w:bCs/>
        </w:rPr>
        <w:t>Expedited Procurement</w:t>
      </w:r>
    </w:p>
    <w:p w14:paraId="311BFC00" w14:textId="77777777"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The act streamlines Federal Acquisition Regulation (FAR) rules for the HHS in procuring property or services used in CBRN countermeasure development.</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Expedited FAR procedures decrease the amount of paperwork required for CBRN expenditures, increase the maximum dollar amount for contracts awarded under simplified acquisition rules from $100,000 to $25 million, and allow for noncompetitive purchasing under FAR.</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act also authorizes the HHS secretary to use an expedited process for awards up to $1.5 million for grants, contracts, and cooperative agreements related to CBRN countermeasure research and development if an urgent need exists for an expedited award.</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The expedited award process replaces the normal peer review process associated with research awards.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w:t>
      </w:r>
    </w:p>
    <w:p w14:paraId="6F703A00" w14:textId="77777777" w:rsidR="00E2164E" w:rsidRPr="00E2164E" w:rsidRDefault="00E2164E" w:rsidP="002E115C">
      <w:pPr>
        <w:spacing w:line="480" w:lineRule="auto"/>
        <w:rPr>
          <w:rFonts w:ascii="Calibri" w:eastAsia="Times New Roman" w:hAnsi="Calibri" w:cs="Calibri"/>
          <w:b/>
          <w:bCs/>
        </w:rPr>
      </w:pPr>
    </w:p>
    <w:p w14:paraId="199F531C" w14:textId="35EA0FE3" w:rsidR="000058A3" w:rsidRPr="000058A3" w:rsidRDefault="000058A3" w:rsidP="002E115C">
      <w:pPr>
        <w:spacing w:line="480" w:lineRule="auto"/>
        <w:rPr>
          <w:rFonts w:ascii="Calibri" w:eastAsia="Times New Roman" w:hAnsi="Calibri" w:cs="Calibri"/>
          <w:b/>
          <w:bCs/>
        </w:rPr>
      </w:pPr>
      <w:r w:rsidRPr="000058A3">
        <w:rPr>
          <w:rFonts w:ascii="Calibri" w:eastAsia="Times New Roman" w:hAnsi="Calibri" w:cs="Calibri"/>
          <w:b/>
          <w:bCs/>
        </w:rPr>
        <w:t>Guaranteed Government Purchasing</w:t>
      </w:r>
    </w:p>
    <w:p w14:paraId="10441B1D" w14:textId="77777777"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was intended to guarantee that the government will buy new, successful CBRN countermeasures for the </w:t>
      </w:r>
      <w:hyperlink r:id="rId16" w:anchor="Strategic-National" w:tooltip="Strategic National Stockpile (SNS)" w:history="1">
        <w:r w:rsidRPr="000058A3">
          <w:rPr>
            <w:rFonts w:ascii="Calibri" w:eastAsia="Times New Roman" w:hAnsi="Calibri" w:cs="Calibri"/>
            <w:color w:val="0F88B8"/>
            <w:bdr w:val="none" w:sz="0" w:space="0" w:color="auto" w:frame="1"/>
          </w:rPr>
          <w:t>Strategic National Stockpile (SNS)</w:t>
        </w:r>
      </w:hyperlink>
      <w:r w:rsidRPr="000058A3">
        <w:rPr>
          <w:rFonts w:ascii="Calibri" w:eastAsia="Times New Roman" w:hAnsi="Calibri" w:cs="Calibri"/>
          <w:color w:val="737373"/>
        </w:rPr>
        <w:t xml:space="preserve">. </w:t>
      </w:r>
      <w:r w:rsidRPr="000058A3">
        <w:rPr>
          <w:rFonts w:ascii="Calibri" w:eastAsia="Times New Roman" w:hAnsi="Calibri" w:cs="Calibri"/>
        </w:rPr>
        <w:t>The act allows the HHS secretary, with the concurrence of the secretary of Homeland Security and upon the approval of the president, to promise to buy a product up to eight years before it is reasonably expected to be delivered.</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allows the HHS to purchase unapproved and unlicensed countermeasures upon a determination that sufficient satisfactory clinical experience or research data exists to reasonably conclude that the proposed countermeasure will qualify for FDA approval within eight years.</w:t>
      </w:r>
      <w:r w:rsidRPr="000058A3">
        <w:rPr>
          <w:rFonts w:ascii="Calibri" w:eastAsia="Times New Roman" w:hAnsi="Calibri" w:cs="Calibri"/>
          <w:bdr w:val="none" w:sz="0" w:space="0" w:color="auto" w:frame="1"/>
          <w:vertAlign w:val="superscript"/>
        </w:rPr>
        <w:t>1</w:t>
      </w:r>
      <w:r w:rsidRPr="000058A3">
        <w:rPr>
          <w:rFonts w:ascii="Calibri" w:eastAsia="Times New Roman" w:hAnsi="Calibri" w:cs="Calibri"/>
        </w:rPr>
        <w:t xml:space="preserve"> The Pandemic and All-Hazards Preparedness Act amended 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to give countermeasure developers milestone-based payments of up to half of the total award before the final product is delivered.</w:t>
      </w:r>
      <w:r w:rsidRPr="000058A3">
        <w:rPr>
          <w:rFonts w:ascii="Calibri" w:eastAsia="Times New Roman" w:hAnsi="Calibri" w:cs="Calibri"/>
          <w:bdr w:val="none" w:sz="0" w:space="0" w:color="auto" w:frame="1"/>
          <w:vertAlign w:val="superscript"/>
        </w:rPr>
        <w:t>1 </w:t>
      </w:r>
      <w:r w:rsidRPr="000058A3">
        <w:rPr>
          <w:rFonts w:ascii="Calibri" w:eastAsia="Times New Roman" w:hAnsi="Calibri" w:cs="Calibri"/>
        </w:rPr>
        <w:t> </w:t>
      </w:r>
    </w:p>
    <w:p w14:paraId="78B25531" w14:textId="77777777" w:rsidR="00E2164E" w:rsidRPr="00E2164E" w:rsidRDefault="00E2164E" w:rsidP="002E115C">
      <w:pPr>
        <w:spacing w:line="480" w:lineRule="auto"/>
        <w:rPr>
          <w:rFonts w:ascii="Calibri" w:eastAsia="Times New Roman" w:hAnsi="Calibri" w:cs="Calibri"/>
          <w:b/>
          <w:bCs/>
        </w:rPr>
      </w:pPr>
    </w:p>
    <w:p w14:paraId="1FD0D505" w14:textId="3F6DF73A" w:rsidR="000058A3" w:rsidRPr="000058A3" w:rsidRDefault="000058A3" w:rsidP="002E115C">
      <w:pPr>
        <w:spacing w:line="480" w:lineRule="auto"/>
        <w:rPr>
          <w:rFonts w:ascii="Calibri" w:eastAsia="Times New Roman" w:hAnsi="Calibri" w:cs="Calibri"/>
          <w:b/>
          <w:bCs/>
        </w:rPr>
      </w:pPr>
      <w:r w:rsidRPr="000058A3">
        <w:rPr>
          <w:rFonts w:ascii="Calibri" w:eastAsia="Times New Roman" w:hAnsi="Calibri" w:cs="Calibri"/>
          <w:b/>
          <w:bCs/>
        </w:rPr>
        <w:lastRenderedPageBreak/>
        <w:t>Emergency Use Authorization</w:t>
      </w:r>
    </w:p>
    <w:p w14:paraId="2988DE1C" w14:textId="77777777" w:rsidR="000058A3" w:rsidRPr="000058A3" w:rsidRDefault="000058A3" w:rsidP="002E115C">
      <w:pPr>
        <w:shd w:val="clear" w:color="auto" w:fill="FFFFFF"/>
        <w:spacing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also amended §564 of the </w:t>
      </w:r>
      <w:hyperlink r:id="rId17" w:anchor="Federal-Food" w:tooltip="Federal Food, Drug, and Cosmetic Act (FD&amp;amp;C Act)" w:history="1">
        <w:r w:rsidRPr="000058A3">
          <w:rPr>
            <w:rFonts w:ascii="Calibri" w:eastAsia="Times New Roman" w:hAnsi="Calibri" w:cs="Calibri"/>
            <w:color w:val="0F88B8"/>
            <w:bdr w:val="none" w:sz="0" w:space="0" w:color="auto" w:frame="1"/>
          </w:rPr>
          <w:t>Federal Food, Drug, and Cosmetic Act (FD&amp;C Act)</w:t>
        </w:r>
      </w:hyperlink>
      <w:r w:rsidRPr="000058A3">
        <w:rPr>
          <w:rFonts w:ascii="Calibri" w:eastAsia="Times New Roman" w:hAnsi="Calibri" w:cs="Calibri"/>
          <w:color w:val="737373"/>
        </w:rPr>
        <w:t> </w:t>
      </w:r>
      <w:r w:rsidRPr="000058A3">
        <w:rPr>
          <w:rFonts w:ascii="Calibri" w:eastAsia="Times New Roman" w:hAnsi="Calibri" w:cs="Calibri"/>
        </w:rPr>
        <w:t>to create Emergency Use Authorization (EUA) authority. This authority allows for the temporary use of an unapproved medical product (drugs, biologics [e.g., vaccines], and devices [e.g., diagnostics]) or an unapproved use of an approved medical product during certain types of emergencies. FDA may issue an EUA for specific countermeasures if statutory and other criteria regarding emergency conditions are satisfied. (See </w:t>
      </w:r>
      <w:hyperlink r:id="rId18" w:tooltip="ASTHO Fact Sheet on EUA Authority" w:history="1">
        <w:r w:rsidRPr="000058A3">
          <w:rPr>
            <w:rFonts w:ascii="Calibri" w:eastAsia="Times New Roman" w:hAnsi="Calibri" w:cs="Calibri"/>
            <w:color w:val="0F88B8"/>
            <w:bdr w:val="none" w:sz="0" w:space="0" w:color="auto" w:frame="1"/>
          </w:rPr>
          <w:t>ASTHO Fact Sheet on EUA Authority</w:t>
        </w:r>
      </w:hyperlink>
      <w:r w:rsidRPr="000058A3">
        <w:rPr>
          <w:rFonts w:ascii="Calibri" w:eastAsia="Times New Roman" w:hAnsi="Calibri" w:cs="Calibri"/>
          <w:color w:val="737373"/>
        </w:rPr>
        <w:t> </w:t>
      </w:r>
      <w:r w:rsidRPr="000058A3">
        <w:rPr>
          <w:rFonts w:ascii="Calibri" w:eastAsia="Times New Roman" w:hAnsi="Calibri" w:cs="Calibri"/>
        </w:rPr>
        <w:t>for more information about the EUA.)</w:t>
      </w:r>
    </w:p>
    <w:p w14:paraId="4D5DD7A9" w14:textId="77777777" w:rsidR="00E2164E" w:rsidRPr="00E2164E" w:rsidRDefault="00E2164E" w:rsidP="002E115C">
      <w:pPr>
        <w:spacing w:line="480" w:lineRule="auto"/>
        <w:rPr>
          <w:rFonts w:ascii="Calibri" w:eastAsia="Times New Roman" w:hAnsi="Calibri" w:cs="Calibri"/>
          <w:b/>
          <w:bCs/>
        </w:rPr>
      </w:pPr>
    </w:p>
    <w:p w14:paraId="02BDA1FB" w14:textId="6C7B32EE" w:rsidR="000058A3" w:rsidRPr="000058A3" w:rsidRDefault="000058A3"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How the Law Affects States</w:t>
      </w:r>
    </w:p>
    <w:p w14:paraId="3FFBCA70" w14:textId="77777777" w:rsidR="000058A3" w:rsidRPr="000058A3" w:rsidRDefault="000058A3" w:rsidP="002E115C">
      <w:pPr>
        <w:shd w:val="clear" w:color="auto" w:fill="FFFFFF"/>
        <w:spacing w:after="225" w:line="480" w:lineRule="auto"/>
        <w:textAlignment w:val="baseline"/>
        <w:rPr>
          <w:rFonts w:ascii="Calibri" w:eastAsia="Times New Roman" w:hAnsi="Calibri" w:cs="Calibri"/>
        </w:rPr>
      </w:pPr>
      <w:r w:rsidRPr="000058A3">
        <w:rPr>
          <w:rFonts w:ascii="Calibri" w:eastAsia="Times New Roman" w:hAnsi="Calibri" w:cs="Calibri"/>
        </w:rPr>
        <w:t xml:space="preserve">The 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primarily affects states through the act’s EUA provisions allowing the FDA to temporarily authorize the use of unapproved medical products, or the unapproved use of FDA-approved medical products, in an emergency.</w:t>
      </w:r>
    </w:p>
    <w:p w14:paraId="399203A1" w14:textId="77777777" w:rsidR="000058A3" w:rsidRPr="000058A3" w:rsidRDefault="000058A3" w:rsidP="002E115C">
      <w:pPr>
        <w:spacing w:line="480" w:lineRule="auto"/>
        <w:rPr>
          <w:rFonts w:ascii="Calibri" w:eastAsia="Times New Roman" w:hAnsi="Calibri" w:cs="Calibri"/>
          <w:b/>
          <w:bCs/>
          <w:color w:val="3C3030"/>
          <w:sz w:val="24"/>
          <w:szCs w:val="24"/>
        </w:rPr>
      </w:pPr>
      <w:r w:rsidRPr="000058A3">
        <w:rPr>
          <w:rFonts w:ascii="Calibri" w:eastAsia="Times New Roman" w:hAnsi="Calibri" w:cs="Calibri"/>
          <w:b/>
          <w:bCs/>
          <w:color w:val="3C3030"/>
          <w:sz w:val="24"/>
          <w:szCs w:val="24"/>
        </w:rPr>
        <w:t>Sources</w:t>
      </w:r>
    </w:p>
    <w:p w14:paraId="31A21945" w14:textId="57400F5E" w:rsidR="000058A3" w:rsidRDefault="000058A3" w:rsidP="002E115C">
      <w:pPr>
        <w:numPr>
          <w:ilvl w:val="0"/>
          <w:numId w:val="1"/>
        </w:numPr>
        <w:spacing w:line="480" w:lineRule="auto"/>
        <w:ind w:left="450"/>
        <w:textAlignment w:val="baseline"/>
        <w:rPr>
          <w:rFonts w:ascii="Calibri" w:eastAsia="Times New Roman" w:hAnsi="Calibri" w:cs="Calibri"/>
        </w:rPr>
      </w:pPr>
      <w:proofErr w:type="spellStart"/>
      <w:r w:rsidRPr="000058A3">
        <w:rPr>
          <w:rFonts w:ascii="Calibri" w:eastAsia="Times New Roman" w:hAnsi="Calibri" w:cs="Calibri"/>
        </w:rPr>
        <w:t>Gottron</w:t>
      </w:r>
      <w:proofErr w:type="spellEnd"/>
      <w:r w:rsidRPr="000058A3">
        <w:rPr>
          <w:rFonts w:ascii="Calibri" w:eastAsia="Times New Roman" w:hAnsi="Calibri" w:cs="Calibri"/>
        </w:rPr>
        <w:t xml:space="preserve"> F. Congressional Research Service. </w:t>
      </w:r>
      <w:r w:rsidRPr="000058A3">
        <w:rPr>
          <w:rFonts w:ascii="Calibri" w:eastAsia="Times New Roman" w:hAnsi="Calibri" w:cs="Calibri"/>
          <w:i/>
          <w:iCs/>
          <w:bdr w:val="none" w:sz="0" w:space="0" w:color="auto" w:frame="1"/>
        </w:rPr>
        <w:t xml:space="preserve">Project </w:t>
      </w:r>
      <w:proofErr w:type="spellStart"/>
      <w:r w:rsidRPr="000058A3">
        <w:rPr>
          <w:rFonts w:ascii="Calibri" w:eastAsia="Times New Roman" w:hAnsi="Calibri" w:cs="Calibri"/>
          <w:i/>
          <w:iCs/>
          <w:bdr w:val="none" w:sz="0" w:space="0" w:color="auto" w:frame="1"/>
        </w:rPr>
        <w:t>BioShield</w:t>
      </w:r>
      <w:proofErr w:type="spellEnd"/>
      <w:r w:rsidRPr="000058A3">
        <w:rPr>
          <w:rFonts w:ascii="Calibri" w:eastAsia="Times New Roman" w:hAnsi="Calibri" w:cs="Calibri"/>
          <w:i/>
          <w:iCs/>
          <w:bdr w:val="none" w:sz="0" w:space="0" w:color="auto" w:frame="1"/>
        </w:rPr>
        <w:t>: Purposes and Authorities</w:t>
      </w:r>
      <w:r w:rsidRPr="000058A3">
        <w:rPr>
          <w:rFonts w:ascii="Calibri" w:eastAsia="Times New Roman" w:hAnsi="Calibri" w:cs="Calibri"/>
        </w:rPr>
        <w:t> (RS21507). July 6, 2009. Available at </w:t>
      </w:r>
      <w:hyperlink r:id="rId19" w:tooltip="www.hsdl.org/?view&amp;amp;did=15074" w:history="1">
        <w:r w:rsidRPr="000058A3">
          <w:rPr>
            <w:rFonts w:ascii="Calibri" w:eastAsia="Times New Roman" w:hAnsi="Calibri" w:cs="Calibri"/>
            <w:color w:val="0F88B8"/>
            <w:bdr w:val="none" w:sz="0" w:space="0" w:color="auto" w:frame="1"/>
          </w:rPr>
          <w:t>www.hsdl.org/?view&amp;did=15074</w:t>
        </w:r>
      </w:hyperlink>
      <w:r w:rsidRPr="000058A3">
        <w:rPr>
          <w:rFonts w:ascii="Calibri" w:eastAsia="Times New Roman" w:hAnsi="Calibri" w:cs="Calibri"/>
        </w:rPr>
        <w:t>. Accessed January 31, 2012.</w:t>
      </w:r>
    </w:p>
    <w:p w14:paraId="4F9A7173" w14:textId="77777777" w:rsidR="00C61692" w:rsidRDefault="00C61692" w:rsidP="002E115C">
      <w:pPr>
        <w:spacing w:line="480" w:lineRule="auto"/>
        <w:ind w:left="450"/>
        <w:textAlignment w:val="baseline"/>
        <w:rPr>
          <w:rFonts w:ascii="Calibri" w:eastAsia="Times New Roman" w:hAnsi="Calibri" w:cs="Calibri"/>
        </w:rPr>
      </w:pPr>
    </w:p>
    <w:p w14:paraId="32B0477B" w14:textId="72FF1C9F"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 xml:space="preserve">Project </w:t>
      </w:r>
      <w:proofErr w:type="spellStart"/>
      <w:r w:rsidRPr="000058A3">
        <w:rPr>
          <w:rFonts w:ascii="Calibri" w:eastAsia="Times New Roman" w:hAnsi="Calibri" w:cs="Calibri"/>
        </w:rPr>
        <w:t>BioShield</w:t>
      </w:r>
      <w:proofErr w:type="spellEnd"/>
      <w:r w:rsidRPr="000058A3">
        <w:rPr>
          <w:rFonts w:ascii="Calibri" w:eastAsia="Times New Roman" w:hAnsi="Calibri" w:cs="Calibri"/>
        </w:rPr>
        <w:t xml:space="preserve"> Act of 2004. Pub. L. No. 108-276.</w:t>
      </w:r>
    </w:p>
    <w:p w14:paraId="3FF9E36B" w14:textId="77777777" w:rsidR="00C61692" w:rsidRPr="000058A3" w:rsidRDefault="00C61692" w:rsidP="002E115C">
      <w:pPr>
        <w:spacing w:line="480" w:lineRule="auto"/>
        <w:textAlignment w:val="baseline"/>
        <w:rPr>
          <w:rFonts w:ascii="Calibri" w:eastAsia="Times New Roman" w:hAnsi="Calibri" w:cs="Calibri"/>
        </w:rPr>
      </w:pPr>
    </w:p>
    <w:p w14:paraId="2FB3043D" w14:textId="3D0880E9"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U.S. Food and Drug Administration and the U.S. Centers for Disease Control and Prevention. “Emergency Use Authorization” online course. Available at </w:t>
      </w:r>
      <w:hyperlink r:id="rId20" w:tooltip="www.bt.cdc.gov/training/eua/index.html" w:history="1">
        <w:r w:rsidRPr="000058A3">
          <w:rPr>
            <w:rFonts w:ascii="Calibri" w:eastAsia="Times New Roman" w:hAnsi="Calibri" w:cs="Calibri"/>
            <w:color w:val="0F88B8"/>
            <w:bdr w:val="none" w:sz="0" w:space="0" w:color="auto" w:frame="1"/>
          </w:rPr>
          <w:t>www.bt.cdc.gov/training/eua/index.html</w:t>
        </w:r>
      </w:hyperlink>
      <w:r w:rsidRPr="000058A3">
        <w:rPr>
          <w:rFonts w:ascii="Calibri" w:eastAsia="Times New Roman" w:hAnsi="Calibri" w:cs="Calibri"/>
        </w:rPr>
        <w:t>. Accessed January 31, 2012.</w:t>
      </w:r>
    </w:p>
    <w:p w14:paraId="0A463FD7" w14:textId="77777777" w:rsidR="00C61692" w:rsidRPr="000058A3" w:rsidRDefault="00C61692" w:rsidP="002E115C">
      <w:pPr>
        <w:spacing w:line="480" w:lineRule="auto"/>
        <w:ind w:left="450"/>
        <w:textAlignment w:val="baseline"/>
        <w:rPr>
          <w:rFonts w:ascii="Calibri" w:eastAsia="Times New Roman" w:hAnsi="Calibri" w:cs="Calibri"/>
        </w:rPr>
      </w:pPr>
      <w:bookmarkStart w:id="0" w:name="_GoBack"/>
      <w:bookmarkEnd w:id="0"/>
    </w:p>
    <w:p w14:paraId="01B667BD" w14:textId="7C427AA6"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Public Readiness and Emergency Preparedness Response Act of 2005. Pub. L. No. 109-148.</w:t>
      </w:r>
    </w:p>
    <w:p w14:paraId="1D682FD0" w14:textId="77777777" w:rsidR="00CF0629" w:rsidRPr="000058A3" w:rsidRDefault="00CF0629" w:rsidP="002E115C">
      <w:pPr>
        <w:spacing w:line="480" w:lineRule="auto"/>
        <w:ind w:left="450"/>
        <w:textAlignment w:val="baseline"/>
        <w:rPr>
          <w:rFonts w:ascii="Calibri" w:eastAsia="Times New Roman" w:hAnsi="Calibri" w:cs="Calibri"/>
        </w:rPr>
      </w:pPr>
    </w:p>
    <w:p w14:paraId="4DB66D64" w14:textId="40FEFBA1"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lastRenderedPageBreak/>
        <w:t>U.S. Department of Health and Human Services, Office of the Assistant Secretary of Preparedness and Response. “Public Health Emergency” webpage. Available at </w:t>
      </w:r>
      <w:hyperlink r:id="rId21" w:tooltip="www.phe.gov/Preparedness/pages/default.aspx" w:history="1">
        <w:r w:rsidRPr="000058A3">
          <w:rPr>
            <w:rFonts w:ascii="Calibri" w:eastAsia="Times New Roman" w:hAnsi="Calibri" w:cs="Calibri"/>
            <w:color w:val="0F88B8"/>
            <w:bdr w:val="none" w:sz="0" w:space="0" w:color="auto" w:frame="1"/>
          </w:rPr>
          <w:t>www.phe.gov/Preparedness/pages/default.aspx</w:t>
        </w:r>
      </w:hyperlink>
      <w:r w:rsidRPr="000058A3">
        <w:rPr>
          <w:rFonts w:ascii="Calibri" w:eastAsia="Times New Roman" w:hAnsi="Calibri" w:cs="Calibri"/>
        </w:rPr>
        <w:t>. Accessed January 31, 2012.</w:t>
      </w:r>
    </w:p>
    <w:p w14:paraId="11082AC1" w14:textId="77777777" w:rsidR="00CF0629" w:rsidRPr="000058A3" w:rsidRDefault="00CF0629" w:rsidP="002E115C">
      <w:pPr>
        <w:spacing w:line="480" w:lineRule="auto"/>
        <w:textAlignment w:val="baseline"/>
        <w:rPr>
          <w:rFonts w:ascii="Calibri" w:eastAsia="Times New Roman" w:hAnsi="Calibri" w:cs="Calibri"/>
        </w:rPr>
      </w:pPr>
    </w:p>
    <w:p w14:paraId="6A8F63DA" w14:textId="030EDFC1"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Pandemic and All-Hazards Preparedness Act. Pub. L. No. 109-417.</w:t>
      </w:r>
    </w:p>
    <w:p w14:paraId="6CAAAB34" w14:textId="77777777" w:rsidR="00CF0629" w:rsidRPr="000058A3" w:rsidRDefault="00CF0629" w:rsidP="002E115C">
      <w:pPr>
        <w:spacing w:line="480" w:lineRule="auto"/>
        <w:textAlignment w:val="baseline"/>
        <w:rPr>
          <w:rFonts w:ascii="Calibri" w:eastAsia="Times New Roman" w:hAnsi="Calibri" w:cs="Calibri"/>
        </w:rPr>
      </w:pPr>
    </w:p>
    <w:p w14:paraId="19F6A0D4" w14:textId="7E1F88FD"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See U.S. Department of Health and Human Services. “Medical Countermeasures” webpage at </w:t>
      </w:r>
      <w:hyperlink r:id="rId22" w:tooltip="www.phe.gov/preparedness/mcm/pages/default.aspx" w:history="1">
        <w:r w:rsidRPr="000058A3">
          <w:rPr>
            <w:rFonts w:ascii="Calibri" w:eastAsia="Times New Roman" w:hAnsi="Calibri" w:cs="Calibri"/>
            <w:color w:val="0F88B8"/>
            <w:bdr w:val="none" w:sz="0" w:space="0" w:color="auto" w:frame="1"/>
          </w:rPr>
          <w:t>www.phe.gov/preparedness/mcm/pages/default.aspx</w:t>
        </w:r>
      </w:hyperlink>
      <w:r w:rsidRPr="000058A3">
        <w:rPr>
          <w:rFonts w:ascii="Calibri" w:eastAsia="Times New Roman" w:hAnsi="Calibri" w:cs="Calibri"/>
          <w:color w:val="737373"/>
        </w:rPr>
        <w:t> </w:t>
      </w:r>
      <w:r w:rsidRPr="000058A3">
        <w:rPr>
          <w:rFonts w:ascii="Calibri" w:eastAsia="Times New Roman" w:hAnsi="Calibri" w:cs="Calibri"/>
        </w:rPr>
        <w:t>and “Medical Countermeasures.gov” website at </w:t>
      </w:r>
      <w:hyperlink r:id="rId23" w:tooltip="www.medicalcountermeasures.gov" w:history="1">
        <w:r w:rsidRPr="000058A3">
          <w:rPr>
            <w:rFonts w:ascii="Calibri" w:eastAsia="Times New Roman" w:hAnsi="Calibri" w:cs="Calibri"/>
            <w:color w:val="0F88B8"/>
            <w:bdr w:val="none" w:sz="0" w:space="0" w:color="auto" w:frame="1"/>
          </w:rPr>
          <w:t>www.medicalcountermeasures.gov</w:t>
        </w:r>
      </w:hyperlink>
      <w:r w:rsidRPr="000058A3">
        <w:rPr>
          <w:rFonts w:ascii="Calibri" w:eastAsia="Times New Roman" w:hAnsi="Calibri" w:cs="Calibri"/>
          <w:color w:val="737373"/>
        </w:rPr>
        <w:t>.</w:t>
      </w:r>
      <w:r w:rsidRPr="000058A3">
        <w:rPr>
          <w:rFonts w:ascii="Calibri" w:eastAsia="Times New Roman" w:hAnsi="Calibri" w:cs="Calibri"/>
        </w:rPr>
        <w:t xml:space="preserve"> Both accessed </w:t>
      </w:r>
      <w:proofErr w:type="gramStart"/>
      <w:r w:rsidRPr="000058A3">
        <w:rPr>
          <w:rFonts w:ascii="Calibri" w:eastAsia="Times New Roman" w:hAnsi="Calibri" w:cs="Calibri"/>
        </w:rPr>
        <w:t>January 31, 2012</w:t>
      </w:r>
      <w:proofErr w:type="gramEnd"/>
      <w:r w:rsidRPr="000058A3">
        <w:rPr>
          <w:rFonts w:ascii="Calibri" w:eastAsia="Times New Roman" w:hAnsi="Calibri" w:cs="Calibri"/>
        </w:rPr>
        <w:t>.</w:t>
      </w:r>
    </w:p>
    <w:p w14:paraId="1AD75B08" w14:textId="77777777" w:rsidR="00CF0629" w:rsidRPr="000058A3" w:rsidRDefault="00CF0629" w:rsidP="002E115C">
      <w:pPr>
        <w:spacing w:line="480" w:lineRule="auto"/>
        <w:textAlignment w:val="baseline"/>
        <w:rPr>
          <w:rFonts w:ascii="Calibri" w:eastAsia="Times New Roman" w:hAnsi="Calibri" w:cs="Calibri"/>
        </w:rPr>
      </w:pPr>
    </w:p>
    <w:p w14:paraId="25849772" w14:textId="51A4C0C4" w:rsid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U.S. Government Accountability Office. </w:t>
      </w:r>
      <w:r w:rsidRPr="000058A3">
        <w:rPr>
          <w:rFonts w:ascii="Calibri" w:eastAsia="Times New Roman" w:hAnsi="Calibri" w:cs="Calibri"/>
          <w:i/>
          <w:iCs/>
          <w:bdr w:val="none" w:sz="0" w:space="0" w:color="auto" w:frame="1"/>
        </w:rPr>
        <w:t xml:space="preserve">Project </w:t>
      </w:r>
      <w:proofErr w:type="spellStart"/>
      <w:r w:rsidRPr="000058A3">
        <w:rPr>
          <w:rFonts w:ascii="Calibri" w:eastAsia="Times New Roman" w:hAnsi="Calibri" w:cs="Calibri"/>
          <w:i/>
          <w:iCs/>
          <w:bdr w:val="none" w:sz="0" w:space="0" w:color="auto" w:frame="1"/>
        </w:rPr>
        <w:t>BioShield</w:t>
      </w:r>
      <w:proofErr w:type="spellEnd"/>
      <w:r w:rsidRPr="000058A3">
        <w:rPr>
          <w:rFonts w:ascii="Calibri" w:eastAsia="Times New Roman" w:hAnsi="Calibri" w:cs="Calibri"/>
          <w:i/>
          <w:iCs/>
          <w:bdr w:val="none" w:sz="0" w:space="0" w:color="auto" w:frame="1"/>
        </w:rPr>
        <w:t xml:space="preserve">: HHS Can Improve Agency Internal Controls for Its New Contracting </w:t>
      </w:r>
      <w:proofErr w:type="gramStart"/>
      <w:r w:rsidRPr="000058A3">
        <w:rPr>
          <w:rFonts w:ascii="Calibri" w:eastAsia="Times New Roman" w:hAnsi="Calibri" w:cs="Calibri"/>
          <w:i/>
          <w:iCs/>
          <w:bdr w:val="none" w:sz="0" w:space="0" w:color="auto" w:frame="1"/>
        </w:rPr>
        <w:t>Authorities</w:t>
      </w:r>
      <w:r w:rsidRPr="000058A3">
        <w:rPr>
          <w:rFonts w:ascii="Calibri" w:eastAsia="Times New Roman" w:hAnsi="Calibri" w:cs="Calibri"/>
        </w:rPr>
        <w:t>(</w:t>
      </w:r>
      <w:proofErr w:type="gramEnd"/>
      <w:r w:rsidRPr="000058A3">
        <w:rPr>
          <w:rFonts w:ascii="Calibri" w:eastAsia="Times New Roman" w:hAnsi="Calibri" w:cs="Calibri"/>
        </w:rPr>
        <w:t>GAO-09-820). July 21, 2009. Available at </w:t>
      </w:r>
      <w:hyperlink r:id="rId24" w:tooltip="www.gao.gov/new.items/d09820.pdf" w:history="1">
        <w:r w:rsidRPr="000058A3">
          <w:rPr>
            <w:rFonts w:ascii="Calibri" w:eastAsia="Times New Roman" w:hAnsi="Calibri" w:cs="Calibri"/>
            <w:color w:val="0F88B8"/>
            <w:bdr w:val="none" w:sz="0" w:space="0" w:color="auto" w:frame="1"/>
          </w:rPr>
          <w:t>www.gao.gov/new.items/d09820.pdf</w:t>
        </w:r>
      </w:hyperlink>
      <w:r w:rsidRPr="000058A3">
        <w:rPr>
          <w:rFonts w:ascii="Calibri" w:eastAsia="Times New Roman" w:hAnsi="Calibri" w:cs="Calibri"/>
        </w:rPr>
        <w:t>. Accessed January 31, 2012.</w:t>
      </w:r>
    </w:p>
    <w:p w14:paraId="3883EE54" w14:textId="77777777" w:rsidR="00CF0629" w:rsidRPr="000058A3" w:rsidRDefault="00CF0629" w:rsidP="002E115C">
      <w:pPr>
        <w:spacing w:line="480" w:lineRule="auto"/>
        <w:textAlignment w:val="baseline"/>
        <w:rPr>
          <w:rFonts w:ascii="Calibri" w:eastAsia="Times New Roman" w:hAnsi="Calibri" w:cs="Calibri"/>
        </w:rPr>
      </w:pPr>
    </w:p>
    <w:p w14:paraId="6AB2AD41" w14:textId="77777777" w:rsidR="000058A3" w:rsidRPr="000058A3" w:rsidRDefault="000058A3" w:rsidP="002E115C">
      <w:pPr>
        <w:numPr>
          <w:ilvl w:val="0"/>
          <w:numId w:val="1"/>
        </w:numPr>
        <w:spacing w:line="480" w:lineRule="auto"/>
        <w:ind w:left="450"/>
        <w:textAlignment w:val="baseline"/>
        <w:rPr>
          <w:rFonts w:ascii="Calibri" w:eastAsia="Times New Roman" w:hAnsi="Calibri" w:cs="Calibri"/>
        </w:rPr>
      </w:pPr>
      <w:r w:rsidRPr="000058A3">
        <w:rPr>
          <w:rFonts w:ascii="Calibri" w:eastAsia="Times New Roman" w:hAnsi="Calibri" w:cs="Calibri"/>
        </w:rPr>
        <w:t>U.S. Government Accountability Office. </w:t>
      </w:r>
      <w:r w:rsidRPr="000058A3">
        <w:rPr>
          <w:rFonts w:ascii="Calibri" w:eastAsia="Times New Roman" w:hAnsi="Calibri" w:cs="Calibri"/>
          <w:i/>
          <w:iCs/>
          <w:bdr w:val="none" w:sz="0" w:space="0" w:color="auto" w:frame="1"/>
        </w:rPr>
        <w:t xml:space="preserve">Project </w:t>
      </w:r>
      <w:proofErr w:type="spellStart"/>
      <w:r w:rsidRPr="000058A3">
        <w:rPr>
          <w:rFonts w:ascii="Calibri" w:eastAsia="Times New Roman" w:hAnsi="Calibri" w:cs="Calibri"/>
          <w:i/>
          <w:iCs/>
          <w:bdr w:val="none" w:sz="0" w:space="0" w:color="auto" w:frame="1"/>
        </w:rPr>
        <w:t>BioShield</w:t>
      </w:r>
      <w:proofErr w:type="spellEnd"/>
      <w:r w:rsidRPr="000058A3">
        <w:rPr>
          <w:rFonts w:ascii="Calibri" w:eastAsia="Times New Roman" w:hAnsi="Calibri" w:cs="Calibri"/>
          <w:i/>
          <w:iCs/>
          <w:bdr w:val="none" w:sz="0" w:space="0" w:color="auto" w:frame="1"/>
        </w:rPr>
        <w:t xml:space="preserve"> Act: HHS Has Supported Development, Procurement, and Emergency Use of Medical Countermeasures to Address Health Threats</w:t>
      </w:r>
      <w:r w:rsidRPr="000058A3">
        <w:rPr>
          <w:rFonts w:ascii="Calibri" w:eastAsia="Times New Roman" w:hAnsi="Calibri" w:cs="Calibri"/>
        </w:rPr>
        <w:t> (GAO-09-878R). July 24, 2009. Available at </w:t>
      </w:r>
      <w:hyperlink r:id="rId25" w:tooltip="www.gao.gov/new.items/d09878r.pdf" w:history="1">
        <w:r w:rsidRPr="000058A3">
          <w:rPr>
            <w:rFonts w:ascii="Calibri" w:eastAsia="Times New Roman" w:hAnsi="Calibri" w:cs="Calibri"/>
            <w:color w:val="0F88B8"/>
            <w:bdr w:val="none" w:sz="0" w:space="0" w:color="auto" w:frame="1"/>
          </w:rPr>
          <w:t>www.gao.gov/new.items/d09878r.pdf</w:t>
        </w:r>
      </w:hyperlink>
      <w:r w:rsidRPr="000058A3">
        <w:rPr>
          <w:rFonts w:ascii="Calibri" w:eastAsia="Times New Roman" w:hAnsi="Calibri" w:cs="Calibri"/>
        </w:rPr>
        <w:t>. Accessed January 31, 2012.</w:t>
      </w:r>
    </w:p>
    <w:p w14:paraId="1CE5819C" w14:textId="77777777" w:rsidR="00B75B7F" w:rsidRPr="00C61692" w:rsidRDefault="00B75B7F" w:rsidP="002E115C">
      <w:pPr>
        <w:spacing w:line="480" w:lineRule="auto"/>
        <w:rPr>
          <w:rFonts w:ascii="Calibri" w:hAnsi="Calibri" w:cs="Calibri"/>
        </w:rPr>
      </w:pPr>
    </w:p>
    <w:sectPr w:rsidR="00B75B7F" w:rsidRPr="00C61692">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C73994" w14:textId="77777777" w:rsidR="0031536C" w:rsidRDefault="0031536C" w:rsidP="0031536C">
      <w:r>
        <w:separator/>
      </w:r>
    </w:p>
  </w:endnote>
  <w:endnote w:type="continuationSeparator" w:id="0">
    <w:p w14:paraId="438D4BA9" w14:textId="77777777" w:rsidR="0031536C" w:rsidRDefault="0031536C" w:rsidP="0031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071329"/>
      <w:docPartObj>
        <w:docPartGallery w:val="Page Numbers (Bottom of Page)"/>
        <w:docPartUnique/>
      </w:docPartObj>
    </w:sdtPr>
    <w:sdtEndPr>
      <w:rPr>
        <w:noProof/>
      </w:rPr>
    </w:sdtEndPr>
    <w:sdtContent>
      <w:p w14:paraId="306EE309" w14:textId="0C2B9708" w:rsidR="0031536C" w:rsidRDefault="0031536C" w:rsidP="003153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CDF12" w14:textId="77777777" w:rsidR="0031536C" w:rsidRDefault="0031536C" w:rsidP="0031536C">
      <w:r>
        <w:separator/>
      </w:r>
    </w:p>
  </w:footnote>
  <w:footnote w:type="continuationSeparator" w:id="0">
    <w:p w14:paraId="50D7340B" w14:textId="77777777" w:rsidR="0031536C" w:rsidRDefault="0031536C" w:rsidP="00315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BD206B"/>
    <w:multiLevelType w:val="multilevel"/>
    <w:tmpl w:val="BBD0B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A3"/>
    <w:rsid w:val="000058A3"/>
    <w:rsid w:val="00151278"/>
    <w:rsid w:val="002E115C"/>
    <w:rsid w:val="0031536C"/>
    <w:rsid w:val="00476446"/>
    <w:rsid w:val="00B75B7F"/>
    <w:rsid w:val="00C61692"/>
    <w:rsid w:val="00CF0629"/>
    <w:rsid w:val="00E2164E"/>
    <w:rsid w:val="00E22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2337"/>
  <w15:chartTrackingRefBased/>
  <w15:docId w15:val="{AE7F1745-A0B3-40EA-A3E1-4051C23A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58A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58A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58A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A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58A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58A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058A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58A3"/>
    <w:rPr>
      <w:color w:val="0000FF"/>
      <w:u w:val="single"/>
    </w:rPr>
  </w:style>
  <w:style w:type="character" w:styleId="Emphasis">
    <w:name w:val="Emphasis"/>
    <w:basedOn w:val="DefaultParagraphFont"/>
    <w:uiPriority w:val="20"/>
    <w:qFormat/>
    <w:rsid w:val="000058A3"/>
    <w:rPr>
      <w:i/>
      <w:iCs/>
    </w:rPr>
  </w:style>
  <w:style w:type="paragraph" w:styleId="Header">
    <w:name w:val="header"/>
    <w:basedOn w:val="Normal"/>
    <w:link w:val="HeaderChar"/>
    <w:uiPriority w:val="99"/>
    <w:unhideWhenUsed/>
    <w:rsid w:val="0031536C"/>
    <w:pPr>
      <w:tabs>
        <w:tab w:val="center" w:pos="4680"/>
        <w:tab w:val="right" w:pos="9360"/>
      </w:tabs>
    </w:pPr>
  </w:style>
  <w:style w:type="character" w:customStyle="1" w:styleId="HeaderChar">
    <w:name w:val="Header Char"/>
    <w:basedOn w:val="DefaultParagraphFont"/>
    <w:link w:val="Header"/>
    <w:uiPriority w:val="99"/>
    <w:rsid w:val="0031536C"/>
  </w:style>
  <w:style w:type="paragraph" w:styleId="Footer">
    <w:name w:val="footer"/>
    <w:basedOn w:val="Normal"/>
    <w:link w:val="FooterChar"/>
    <w:uiPriority w:val="99"/>
    <w:unhideWhenUsed/>
    <w:rsid w:val="0031536C"/>
    <w:pPr>
      <w:tabs>
        <w:tab w:val="center" w:pos="4680"/>
        <w:tab w:val="right" w:pos="9360"/>
      </w:tabs>
    </w:pPr>
  </w:style>
  <w:style w:type="character" w:customStyle="1" w:styleId="FooterChar">
    <w:name w:val="Footer Char"/>
    <w:basedOn w:val="DefaultParagraphFont"/>
    <w:link w:val="Footer"/>
    <w:uiPriority w:val="99"/>
    <w:rsid w:val="0031536C"/>
  </w:style>
  <w:style w:type="paragraph" w:styleId="ListParagraph">
    <w:name w:val="List Paragraph"/>
    <w:basedOn w:val="Normal"/>
    <w:uiPriority w:val="34"/>
    <w:qFormat/>
    <w:rsid w:val="00C61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73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hyperlink" Target="http://www.astho.org/Programs/Preparedness/Public-Health-Emergency-Law/Emergency-Use-Authorization-Toolkit/Section-564-of-the-Federal-Food,-Drug,-and-Cosmetic-Act-Fact-Sheet/"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phe.gov/Preparedness/pages/default.aspx" TargetMode="Externa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astho.org/Programs/Preparedness/Public-Health-Emergency-Law/Emergency-Use-Authorization-Toolkit/Emergency-Use-Authorization-Toolkit-Supplemental-Materials" TargetMode="External"/><Relationship Id="rId17" Type="http://schemas.openxmlformats.org/officeDocument/2006/relationships/hyperlink" Target="http://www.astho.org/Programs/Preparedness/Public-Health-Emergency-Law/Emergency-Use-Authorization-Toolkit/Emergency-Use-Authorization-Toolkit-Supplemental-Materials" TargetMode="External"/><Relationship Id="rId25" Type="http://schemas.openxmlformats.org/officeDocument/2006/relationships/hyperlink" Target="http://www.gao.gov/new.items/d09878r.pdf"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Use-Authorization-Toolkit/Emergency-Use-Authorization-Toolkit-Supplemental-Materials" TargetMode="External"/><Relationship Id="rId20" Type="http://schemas.openxmlformats.org/officeDocument/2006/relationships/hyperlink" Target="http://www.bt.cdc.gov/training/eua/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Public-Readiness-and-Emergency-Preparedness-Act-Fact-Sheet/" TargetMode="External"/><Relationship Id="rId24" Type="http://schemas.openxmlformats.org/officeDocument/2006/relationships/hyperlink" Target="http://www.gao.gov/new.items/d09820.pdf"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Use-Authorization-Toolkit/Emergency-Use-Authorization-Toolkit-Supplemental-Materials" TargetMode="External"/><Relationship Id="rId23" Type="http://schemas.openxmlformats.org/officeDocument/2006/relationships/hyperlink" Target="http://www.medicalcountermeasures.gov/" TargetMode="External"/><Relationship Id="rId28" Type="http://schemas.openxmlformats.org/officeDocument/2006/relationships/theme" Target="theme/theme1.xm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19" Type="http://schemas.openxmlformats.org/officeDocument/2006/relationships/hyperlink" Target="http://www.hsdl.org/?view&amp;did=15074"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Current-Issues-and-Updates-Winter-2012/" TargetMode="External"/><Relationship Id="rId14" Type="http://schemas.openxmlformats.org/officeDocument/2006/relationships/hyperlink" Target="http://www.astho.org/Programs/Preparedness/Public-Health-Emergency-Law/Emergency-Use-Authorization-Toolkit/Emergency-Use-Authorization-Toolkit-Supplemental-Materials" TargetMode="External"/><Relationship Id="rId22" Type="http://schemas.openxmlformats.org/officeDocument/2006/relationships/hyperlink" Target="http://www.phe.gov/preparedness/mcm/pages/default.asp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1687</Words>
  <Characters>9616</Characters>
  <Application>Microsoft Office Word</Application>
  <DocSecurity>0</DocSecurity>
  <Lines>80</Lines>
  <Paragraphs>22</Paragraphs>
  <ScaleCrop>false</ScaleCrop>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2019-04-24T17:31:00Z</dcterms:created>
  <dcterms:modified xsi:type="dcterms:W3CDTF">2019-04-24T17:43:00Z</dcterms:modified>
</cp:coreProperties>
</file>