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FEBA6" w14:textId="77777777" w:rsidR="00640C07" w:rsidRPr="00A438F0" w:rsidRDefault="00640C07" w:rsidP="00640C07">
      <w:pPr>
        <w:rPr>
          <w:rFonts w:ascii="Arial" w:hAnsi="Arial" w:cs="Arial"/>
          <w:b/>
          <w:color w:val="C00000"/>
          <w:sz w:val="24"/>
        </w:rPr>
      </w:pPr>
      <w:r w:rsidRPr="00A438F0">
        <w:rPr>
          <w:rFonts w:ascii="Arial" w:hAnsi="Arial" w:cs="Arial"/>
          <w:b/>
          <w:color w:val="C00000"/>
          <w:sz w:val="24"/>
        </w:rPr>
        <w:t>[</w:t>
      </w:r>
      <w:r w:rsidRPr="00EF71FA">
        <w:rPr>
          <w:rFonts w:ascii="Arial" w:hAnsi="Arial" w:cs="Arial"/>
          <w:b/>
          <w:i/>
          <w:color w:val="C00000"/>
          <w:sz w:val="24"/>
        </w:rPr>
        <w:t>4/2019 PE Note:</w:t>
      </w:r>
      <w:r w:rsidRPr="00A438F0">
        <w:rPr>
          <w:rFonts w:ascii="Arial" w:hAnsi="Arial" w:cs="Arial"/>
          <w:b/>
          <w:color w:val="C00000"/>
          <w:sz w:val="24"/>
        </w:rPr>
        <w:t xml:space="preserve"> Do not plan on updating these documents; please note any comment</w:t>
      </w:r>
      <w:r>
        <w:rPr>
          <w:rFonts w:ascii="Arial" w:hAnsi="Arial" w:cs="Arial"/>
          <w:b/>
          <w:color w:val="C00000"/>
          <w:sz w:val="24"/>
        </w:rPr>
        <w:t>s</w:t>
      </w:r>
      <w:r w:rsidRPr="00A438F0">
        <w:rPr>
          <w:rFonts w:ascii="Arial" w:hAnsi="Arial" w:cs="Arial"/>
          <w:b/>
          <w:color w:val="C00000"/>
          <w:sz w:val="24"/>
        </w:rPr>
        <w:t xml:space="preserve"> you may have about content or formatting generally]</w:t>
      </w:r>
    </w:p>
    <w:p w14:paraId="1E04125B" w14:textId="3C700058" w:rsidR="00B75B7F" w:rsidRDefault="00B75B7F"/>
    <w:p w14:paraId="69DC7658" w14:textId="77777777" w:rsidR="00640C07" w:rsidRPr="00640C07" w:rsidRDefault="00640C07" w:rsidP="00640C07">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r w:rsidRPr="00640C07">
        <w:rPr>
          <w:rFonts w:ascii="Helvetica" w:eastAsia="Times New Roman" w:hAnsi="Helvetica" w:cs="Helvetica"/>
          <w:b/>
          <w:bCs/>
          <w:color w:val="333333"/>
          <w:spacing w:val="15"/>
          <w:kern w:val="36"/>
          <w:sz w:val="36"/>
          <w:szCs w:val="36"/>
        </w:rPr>
        <w:t>Evolving Policy Issues</w:t>
      </w:r>
    </w:p>
    <w:p w14:paraId="49B4FF7C" w14:textId="77777777" w:rsidR="00640C07" w:rsidRPr="00640C07" w:rsidRDefault="00640C07"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Summer 2011</w:t>
      </w:r>
    </w:p>
    <w:p w14:paraId="3FBA1901" w14:textId="336BDAB9" w:rsidR="00640C07" w:rsidRPr="00640C07" w:rsidRDefault="00640C07" w:rsidP="00640C07">
      <w:pPr>
        <w:shd w:val="clear" w:color="auto" w:fill="FFFFFF"/>
        <w:spacing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br/>
        <w:t>The public health response to the 2009 H1N1 influenza pandemic made clear a number of challenges, gaps, and barriers associated with the increased use of </w:t>
      </w:r>
      <w:hyperlink r:id="rId7" w:anchor="Emergency-Use" w:tooltip="Emergency Use Authorizations" w:history="1">
        <w:r w:rsidRPr="00640C07">
          <w:rPr>
            <w:rFonts w:ascii="Arial" w:eastAsia="Times New Roman" w:hAnsi="Arial" w:cs="Arial"/>
            <w:color w:val="0F88B8"/>
            <w:sz w:val="20"/>
            <w:szCs w:val="20"/>
            <w:bdr w:val="none" w:sz="0" w:space="0" w:color="auto" w:frame="1"/>
          </w:rPr>
          <w:t>Emergency Use Authorizations</w:t>
        </w:r>
      </w:hyperlink>
      <w:r w:rsidRPr="00640C07">
        <w:rPr>
          <w:rFonts w:ascii="Arial" w:eastAsia="Times New Roman" w:hAnsi="Arial" w:cs="Arial"/>
          <w:color w:val="737373"/>
          <w:sz w:val="20"/>
          <w:szCs w:val="20"/>
        </w:rPr>
        <w:t> (EUA) during the response. The HHS, FDA, and CDC have been actively working with state and local public health agencies to understand and address the issues identified. This document highlights some of the evolving legal and policy issues related to EUAs and medical countermeasures generally.</w:t>
      </w:r>
      <w:r w:rsidRPr="00640C07">
        <w:rPr>
          <w:rFonts w:ascii="Arial" w:eastAsia="Times New Roman" w:hAnsi="Arial" w:cs="Arial"/>
          <w:color w:val="737373"/>
          <w:sz w:val="14"/>
          <w:szCs w:val="14"/>
          <w:bdr w:val="none" w:sz="0" w:space="0" w:color="auto" w:frame="1"/>
          <w:vertAlign w:val="superscript"/>
        </w:rPr>
        <w:t>1  </w:t>
      </w:r>
      <w:r w:rsidRPr="00640C07">
        <w:rPr>
          <w:rFonts w:ascii="Arial" w:eastAsia="Times New Roman" w:hAnsi="Arial" w:cs="Arial"/>
          <w:color w:val="737373"/>
          <w:sz w:val="20"/>
          <w:szCs w:val="20"/>
        </w:rPr>
        <w:t>(</w:t>
      </w:r>
      <w:hyperlink r:id="rId8" w:tooltip="Download a printable PDF." w:history="1">
        <w:r w:rsidRPr="00640C07">
          <w:rPr>
            <w:rFonts w:ascii="Arial" w:eastAsia="Times New Roman" w:hAnsi="Arial" w:cs="Arial"/>
            <w:color w:val="0F88B8"/>
            <w:sz w:val="20"/>
            <w:szCs w:val="20"/>
            <w:bdr w:val="none" w:sz="0" w:space="0" w:color="auto" w:frame="1"/>
          </w:rPr>
          <w:t>Download a printable PDF.</w:t>
        </w:r>
      </w:hyperlink>
      <w:r w:rsidRPr="00640C07">
        <w:rPr>
          <w:rFonts w:ascii="Arial" w:eastAsia="Times New Roman" w:hAnsi="Arial" w:cs="Arial"/>
          <w:color w:val="737373"/>
          <w:sz w:val="20"/>
          <w:szCs w:val="20"/>
        </w:rPr>
        <w:t>)</w:t>
      </w:r>
      <w:r w:rsidRPr="00640C07">
        <w:rPr>
          <w:rFonts w:ascii="Arial" w:eastAsia="Times New Roman" w:hAnsi="Arial" w:cs="Arial"/>
          <w:color w:val="737373"/>
          <w:sz w:val="20"/>
          <w:szCs w:val="20"/>
        </w:rPr>
        <w:br/>
        <w:t> </w:t>
      </w:r>
    </w:p>
    <w:p w14:paraId="615E16D9" w14:textId="77777777" w:rsidR="00640C07" w:rsidRPr="00640C07" w:rsidRDefault="00640C07"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Emergency Use Authorizations</w:t>
      </w:r>
    </w:p>
    <w:p w14:paraId="719F7AB7" w14:textId="77777777" w:rsidR="00640C07" w:rsidRPr="00640C07" w:rsidRDefault="00640C07"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Circumstances for Issuing an EUA and State/Local Planning</w:t>
      </w:r>
    </w:p>
    <w:p w14:paraId="0E33B04D" w14:textId="24D3B3CF" w:rsidR="00640C07" w:rsidRPr="00640C07" w:rsidRDefault="00640C07"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br/>
        <w:t xml:space="preserve">States have consistently raised concerns about the need for advanced or earlier information about what countermeasures will be subject to an EUA and the requirements for states in storing, distributing, and dispensing these products. While acknowledging that the EUA process is still a relatively new one for all parties, states are seeking earlier information from which they can better prepare for operating under an EUA. Since final EUA conditions are established when the EUA is issued, public health officials will not know </w:t>
      </w:r>
      <w:proofErr w:type="gramStart"/>
      <w:r w:rsidRPr="00640C07">
        <w:rPr>
          <w:rFonts w:ascii="Arial" w:eastAsia="Times New Roman" w:hAnsi="Arial" w:cs="Arial"/>
          <w:color w:val="737373"/>
          <w:sz w:val="20"/>
          <w:szCs w:val="20"/>
        </w:rPr>
        <w:t>all of</w:t>
      </w:r>
      <w:proofErr w:type="gramEnd"/>
      <w:r w:rsidRPr="00640C07">
        <w:rPr>
          <w:rFonts w:ascii="Arial" w:eastAsia="Times New Roman" w:hAnsi="Arial" w:cs="Arial"/>
          <w:color w:val="737373"/>
          <w:sz w:val="20"/>
          <w:szCs w:val="20"/>
        </w:rPr>
        <w:t xml:space="preserve"> the expected requirements of a particular authorization in advance of an emergency. As a result, state and local officials will have to comply with EUA conditions for which they might not be able to effectively plan. </w:t>
      </w:r>
      <w:r w:rsidRPr="00640C07">
        <w:rPr>
          <w:rFonts w:ascii="Arial" w:eastAsia="Times New Roman" w:hAnsi="Arial" w:cs="Arial"/>
          <w:color w:val="737373"/>
          <w:sz w:val="20"/>
          <w:szCs w:val="20"/>
        </w:rPr>
        <w:br/>
      </w:r>
      <w:r w:rsidRPr="00640C07">
        <w:rPr>
          <w:rFonts w:ascii="Arial" w:eastAsia="Times New Roman" w:hAnsi="Arial" w:cs="Arial"/>
          <w:color w:val="737373"/>
          <w:sz w:val="20"/>
          <w:szCs w:val="20"/>
        </w:rPr>
        <w:br/>
        <w:t>It is not possible to anticipate all the possible EUAs that might arise because the decision to issue an EUA is event-specific. In addition to issuing EUAs (e.g., during the H1N1 pandemic; for mass dispensing of doxycycline), the FDA has been working with other federal agencies to develop “pre-EUAs” to minimize delays in issuing EUAs during an emergency. While the law does not allow the FDA to preauthorize an EUA before the determination and declaration of an emergency, the process of submitting an EUA request can begin before the actual emergency occurs. A pre-EUA request can be submitted to the FDA based on likely situations such as potential anthrax attacks or smallpox outbreaks. Planners speculate about what the emergency might be and the products that could be used in those situations. A pre-EUA allows the FDA to begin work on fact sheets and other documentation. If an emergency is declared and the EUA is formally requested, the FDA can conduct a final review of the pre-EUA materials and make any substantive changes as needed. </w:t>
      </w:r>
      <w:r w:rsidRPr="00640C07">
        <w:rPr>
          <w:rFonts w:ascii="Arial" w:eastAsia="Times New Roman" w:hAnsi="Arial" w:cs="Arial"/>
          <w:color w:val="737373"/>
          <w:sz w:val="20"/>
          <w:szCs w:val="20"/>
        </w:rPr>
        <w:br/>
      </w:r>
    </w:p>
    <w:p w14:paraId="2B00EC24" w14:textId="3E37CDA9" w:rsidR="00640C07" w:rsidRPr="00640C07" w:rsidRDefault="00640C07"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Stockpile Issues</w:t>
      </w:r>
    </w:p>
    <w:p w14:paraId="5D6FF020" w14:textId="77777777" w:rsidR="00640C07" w:rsidRPr="00640C07" w:rsidRDefault="00640C07"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Storing SNS Assets</w:t>
      </w:r>
    </w:p>
    <w:p w14:paraId="23B97E22" w14:textId="2149C34A" w:rsidR="00640C07" w:rsidRPr="00640C07" w:rsidRDefault="00640C07" w:rsidP="00640C07">
      <w:pPr>
        <w:shd w:val="clear" w:color="auto" w:fill="FFFFFF"/>
        <w:spacing w:line="240" w:lineRule="atLeast"/>
        <w:textAlignment w:val="baseline"/>
        <w:rPr>
          <w:rFonts w:ascii="Arial" w:eastAsia="Times New Roman" w:hAnsi="Arial" w:cs="Arial"/>
          <w:b/>
          <w:bCs/>
          <w:color w:val="737373"/>
          <w:sz w:val="20"/>
          <w:szCs w:val="20"/>
        </w:rPr>
      </w:pPr>
      <w:r w:rsidRPr="00640C07">
        <w:rPr>
          <w:rFonts w:ascii="Arial" w:eastAsia="Times New Roman" w:hAnsi="Arial" w:cs="Arial"/>
          <w:color w:val="737373"/>
          <w:sz w:val="20"/>
          <w:szCs w:val="20"/>
        </w:rPr>
        <w:br/>
        <w:t>Ongoing questions have arisen about who is responsible at the state and local levels for storing unused </w:t>
      </w:r>
      <w:hyperlink r:id="rId9" w:anchor="Strategic-National" w:tooltip="Strategic National Stockpile (SNS)" w:history="1">
        <w:r w:rsidRPr="00640C07">
          <w:rPr>
            <w:rFonts w:ascii="Arial" w:eastAsia="Times New Roman" w:hAnsi="Arial" w:cs="Arial"/>
            <w:color w:val="0F88B8"/>
            <w:sz w:val="20"/>
            <w:szCs w:val="20"/>
            <w:bdr w:val="none" w:sz="0" w:space="0" w:color="auto" w:frame="1"/>
          </w:rPr>
          <w:t>Strategic National Stockpile (SNS)</w:t>
        </w:r>
      </w:hyperlink>
      <w:r w:rsidRPr="00640C07">
        <w:rPr>
          <w:rFonts w:ascii="Arial" w:eastAsia="Times New Roman" w:hAnsi="Arial" w:cs="Arial"/>
          <w:color w:val="737373"/>
          <w:sz w:val="20"/>
          <w:szCs w:val="20"/>
        </w:rPr>
        <w:t xml:space="preserve"> countermeasures before, during, and after an event. Especially of concern has been the costs for storage and if these will be paid for or reimbursed by the federal government. State and local public health authorities are responsible for the costs associated with items that have been distributed from SNS stockpiles. The FDA requires that all medical </w:t>
      </w:r>
      <w:r w:rsidRPr="00640C07">
        <w:rPr>
          <w:rFonts w:ascii="Arial" w:eastAsia="Times New Roman" w:hAnsi="Arial" w:cs="Arial"/>
          <w:color w:val="737373"/>
          <w:sz w:val="20"/>
          <w:szCs w:val="20"/>
        </w:rPr>
        <w:lastRenderedPageBreak/>
        <w:t>countermeasures such as antivirals—including those received from the SNS—must be stored according to Current Good Manufacturing Practices (CGMPs), including labeled storage conditions. In certain circumstances, such as some of the antiviral medications covered under the H1N1 EUAs, CGMP and labeled storage condition requirements were waived based on FDA’s knowledge about product stability for specified durations of time (e.g., two weeks) to facilitate movement of product. </w:t>
      </w:r>
      <w:r w:rsidRPr="00640C07">
        <w:rPr>
          <w:rFonts w:ascii="Arial" w:eastAsia="Times New Roman" w:hAnsi="Arial" w:cs="Arial"/>
          <w:color w:val="737373"/>
          <w:sz w:val="20"/>
          <w:szCs w:val="20"/>
        </w:rPr>
        <w:br/>
      </w:r>
      <w:r w:rsidRPr="00640C07">
        <w:rPr>
          <w:rFonts w:ascii="Arial" w:eastAsia="Times New Roman" w:hAnsi="Arial" w:cs="Arial"/>
          <w:color w:val="737373"/>
          <w:sz w:val="20"/>
          <w:szCs w:val="20"/>
        </w:rPr>
        <w:br/>
      </w:r>
      <w:r w:rsidRPr="00640C07">
        <w:rPr>
          <w:rFonts w:ascii="Arial" w:eastAsia="Times New Roman" w:hAnsi="Arial" w:cs="Arial"/>
          <w:b/>
          <w:bCs/>
          <w:color w:val="737373"/>
          <w:sz w:val="20"/>
          <w:szCs w:val="20"/>
        </w:rPr>
        <w:t>Impact of State Pharmacy Laws on Stored SNS Assets</w:t>
      </w:r>
    </w:p>
    <w:p w14:paraId="1E289CFE" w14:textId="0B898EF7" w:rsidR="00640C07" w:rsidRPr="00640C07" w:rsidRDefault="00640C07"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For SNS assets stored in the states, states have questioned whether states’ pharmacy laws for conditions of storage, monitoring, and accounting for pharmaceuticals apply to these countermeasures. The FDA has stated that state restrictions that directly conflict with what is permitted in the EUA are preempted by federal law. States should review their applicable pharmacy laws to determine where state law may or may not conflict with federal requirements. </w:t>
      </w:r>
      <w:r w:rsidRPr="00640C07">
        <w:rPr>
          <w:rFonts w:ascii="Arial" w:eastAsia="Times New Roman" w:hAnsi="Arial" w:cs="Arial"/>
          <w:color w:val="737373"/>
          <w:sz w:val="20"/>
          <w:szCs w:val="20"/>
        </w:rPr>
        <w:br/>
      </w:r>
    </w:p>
    <w:p w14:paraId="171B906C" w14:textId="77777777" w:rsidR="00640C07" w:rsidRPr="00640C07" w:rsidRDefault="00640C07"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Shelf Life Extension Program</w:t>
      </w:r>
    </w:p>
    <w:p w14:paraId="2C0C62F4" w14:textId="77777777" w:rsidR="00640C07" w:rsidRPr="00640C07" w:rsidRDefault="00640C07"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Developing a SLEP-Like Program for States</w:t>
      </w:r>
    </w:p>
    <w:p w14:paraId="723D02C1" w14:textId="6E0D65F0" w:rsidR="00640C07" w:rsidRPr="00640C07" w:rsidRDefault="00640C07" w:rsidP="00640C07">
      <w:pPr>
        <w:shd w:val="clear" w:color="auto" w:fill="FFFFFF"/>
        <w:spacing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State-maintained stockpiles are not currently eligible for participation in the federal </w:t>
      </w:r>
      <w:hyperlink r:id="rId10" w:anchor="Shelf-Life" w:tooltip="Shelf Life Extension Program (SLEP)" w:history="1">
        <w:r w:rsidRPr="00640C07">
          <w:rPr>
            <w:rFonts w:ascii="Arial" w:eastAsia="Times New Roman" w:hAnsi="Arial" w:cs="Arial"/>
            <w:color w:val="0F88B8"/>
            <w:sz w:val="20"/>
            <w:szCs w:val="20"/>
            <w:bdr w:val="none" w:sz="0" w:space="0" w:color="auto" w:frame="1"/>
          </w:rPr>
          <w:t>Shelf Life Extension Program (SLEP)</w:t>
        </w:r>
      </w:hyperlink>
      <w:r w:rsidRPr="00640C07">
        <w:rPr>
          <w:rFonts w:ascii="Arial" w:eastAsia="Times New Roman" w:hAnsi="Arial" w:cs="Arial"/>
          <w:color w:val="737373"/>
          <w:sz w:val="20"/>
          <w:szCs w:val="20"/>
        </w:rPr>
        <w:t>. As required by the May 2006 National Strategy for Pandemic Influenza: Implementation Plan, a work group of federal agencies and the states conducted preliminary assessments of including state stockpiles in the federal SLEP program; however, the group determined that it is not currently feasible to add states to SLEP. In addition to the 2006 evaluation, the HHS has been analyzing the feasibility of creating a separate SLEP-like program for extending state stockpiles. The Biomedical Advanced Research and Development Authority (BARDA) within the </w:t>
      </w:r>
      <w:hyperlink r:id="rId11" w:anchor="HHS-Office" w:tooltip="HHS Office of the Assistant Secretary for Preparedness and Response (ASPR)" w:history="1">
        <w:r w:rsidRPr="00640C07">
          <w:rPr>
            <w:rFonts w:ascii="Arial" w:eastAsia="Times New Roman" w:hAnsi="Arial" w:cs="Arial"/>
            <w:color w:val="0F88B8"/>
            <w:sz w:val="20"/>
            <w:szCs w:val="20"/>
            <w:bdr w:val="none" w:sz="0" w:space="0" w:color="auto" w:frame="1"/>
          </w:rPr>
          <w:t>HHS Office of the Assistant Secretary for Preparedness and Response (ASPR)</w:t>
        </w:r>
      </w:hyperlink>
      <w:r w:rsidRPr="00640C07">
        <w:rPr>
          <w:rFonts w:ascii="Arial" w:eastAsia="Times New Roman" w:hAnsi="Arial" w:cs="Arial"/>
          <w:color w:val="737373"/>
          <w:sz w:val="20"/>
          <w:szCs w:val="20"/>
        </w:rPr>
        <w:t> has been evaluating the infrastructure necessary to support a new program for states and analyzing the comparative cost effectiveness of shelf-life testing to repurchasing for state inventories. Cost factors to be considered include laboratory testing, storage site inspection, state personnel, relabeling for extended products, destruction for products not extended, and transportation for products being tested or destroyed. The HHS, BARDA, and the states are conducting a detailed analysis with state-specific data in 2011. </w:t>
      </w:r>
      <w:r w:rsidRPr="00640C07">
        <w:rPr>
          <w:rFonts w:ascii="Arial" w:eastAsia="Times New Roman" w:hAnsi="Arial" w:cs="Arial"/>
          <w:color w:val="737373"/>
          <w:sz w:val="20"/>
          <w:szCs w:val="20"/>
        </w:rPr>
        <w:br/>
        <w:t> </w:t>
      </w:r>
    </w:p>
    <w:p w14:paraId="299F9755" w14:textId="77777777" w:rsidR="00640C07" w:rsidRPr="00640C07" w:rsidRDefault="00640C07"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Labeling and Relabeling of Medical Countermeasures</w:t>
      </w:r>
    </w:p>
    <w:p w14:paraId="6A7D5D09" w14:textId="130C9DE7" w:rsidR="00640C07" w:rsidRPr="00640C07" w:rsidRDefault="00640C07"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w:t>
      </w:r>
    </w:p>
    <w:p w14:paraId="66671535" w14:textId="77777777" w:rsidR="00640C07" w:rsidRPr="00640C07" w:rsidRDefault="00640C07"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Relabeling Stored Countermeasures</w:t>
      </w:r>
    </w:p>
    <w:p w14:paraId="1BA58486" w14:textId="6B338E91" w:rsidR="00640C07" w:rsidRPr="00640C07" w:rsidRDefault="00640C07" w:rsidP="00640C07">
      <w:pPr>
        <w:shd w:val="clear" w:color="auto" w:fill="FFFFFF"/>
        <w:spacing w:after="225" w:line="240" w:lineRule="atLeast"/>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xml:space="preserve">States have raised questions about the requirement to relabel medications held in non-SNS stockpiles (i.e., state, local, or regional caches) that have been shelf-life-extended through an EUA (e.g., Tamiflu). Because of the financial costs involved in relabeling, states have expressed interest in including information for consumers, healthcare professionals, and other dispensers when such medications are distributed indicating that a </w:t>
      </w:r>
      <w:proofErr w:type="gramStart"/>
      <w:r w:rsidRPr="00640C07">
        <w:rPr>
          <w:rFonts w:ascii="Arial" w:eastAsia="Times New Roman" w:hAnsi="Arial" w:cs="Arial"/>
          <w:color w:val="737373"/>
          <w:sz w:val="20"/>
          <w:szCs w:val="20"/>
        </w:rPr>
        <w:t>particular product/lot</w:t>
      </w:r>
      <w:proofErr w:type="gramEnd"/>
      <w:r w:rsidRPr="00640C07">
        <w:rPr>
          <w:rFonts w:ascii="Arial" w:eastAsia="Times New Roman" w:hAnsi="Arial" w:cs="Arial"/>
          <w:color w:val="737373"/>
          <w:sz w:val="20"/>
          <w:szCs w:val="20"/>
        </w:rPr>
        <w:t xml:space="preserve"> number has an extended shelf life in lieu of relabeling the products. The FDA has expressed its intention to forego enforcement action regarding relabeling requirements for specific products that had been shelf-life-extended so long as these products were stored under labeled storage conditions. The agency did this last year when it provided disposition information on its website on June 22, 2010, regarding the specified lots of Tamiflu and Relenza that had been authorized for use beyond their labeled expiration date during the H1N1 response. However, to minimize confusion on the part of healthcare professionals and patients, the FDA recommended that, before dispensing, the identified lots be relabeled/repackaged by an FDA-registered firm in accordance with applicable CGMP requirements. FDA has included information in authorized fact sheets for recipients indicating that certain products are authorized for use even though they have an expired date on the </w:t>
      </w:r>
      <w:r w:rsidRPr="00640C07">
        <w:rPr>
          <w:rFonts w:ascii="Arial" w:eastAsia="Times New Roman" w:hAnsi="Arial" w:cs="Arial"/>
          <w:color w:val="737373"/>
          <w:sz w:val="20"/>
          <w:szCs w:val="20"/>
        </w:rPr>
        <w:lastRenderedPageBreak/>
        <w:t>package. </w:t>
      </w:r>
      <w:r w:rsidRPr="00640C07">
        <w:rPr>
          <w:rFonts w:ascii="Arial" w:eastAsia="Times New Roman" w:hAnsi="Arial" w:cs="Arial"/>
          <w:color w:val="737373"/>
          <w:sz w:val="20"/>
          <w:szCs w:val="20"/>
        </w:rPr>
        <w:br/>
        <w:t> </w:t>
      </w:r>
    </w:p>
    <w:p w14:paraId="37D9BC3B" w14:textId="77777777" w:rsidR="00640C07" w:rsidRPr="00640C07" w:rsidRDefault="00640C07" w:rsidP="00640C07">
      <w:pPr>
        <w:shd w:val="clear" w:color="auto" w:fill="FFFFFF"/>
        <w:textAlignment w:val="baseline"/>
        <w:outlineLvl w:val="2"/>
        <w:rPr>
          <w:rFonts w:ascii="Arial" w:eastAsia="Times New Roman" w:hAnsi="Arial" w:cs="Arial"/>
          <w:b/>
          <w:bCs/>
          <w:color w:val="737373"/>
          <w:sz w:val="20"/>
          <w:szCs w:val="20"/>
        </w:rPr>
      </w:pPr>
      <w:r w:rsidRPr="00640C07">
        <w:rPr>
          <w:rFonts w:ascii="Arial" w:eastAsia="Times New Roman" w:hAnsi="Arial" w:cs="Arial"/>
          <w:b/>
          <w:bCs/>
          <w:color w:val="737373"/>
          <w:sz w:val="20"/>
          <w:szCs w:val="20"/>
        </w:rPr>
        <w:t xml:space="preserve">States as Certified </w:t>
      </w:r>
      <w:proofErr w:type="spellStart"/>
      <w:r w:rsidRPr="00640C07">
        <w:rPr>
          <w:rFonts w:ascii="Arial" w:eastAsia="Times New Roman" w:hAnsi="Arial" w:cs="Arial"/>
          <w:b/>
          <w:bCs/>
          <w:color w:val="737373"/>
          <w:sz w:val="20"/>
          <w:szCs w:val="20"/>
        </w:rPr>
        <w:t>Relabelers</w:t>
      </w:r>
      <w:proofErr w:type="spellEnd"/>
    </w:p>
    <w:p w14:paraId="3716FC13" w14:textId="33F1330F" w:rsidR="00640C07" w:rsidRPr="00640C07" w:rsidRDefault="00640C07" w:rsidP="00640C07">
      <w:pPr>
        <w:shd w:val="clear" w:color="auto" w:fill="FFFFFF"/>
        <w:spacing w:after="225" w:line="240" w:lineRule="atLeast"/>
        <w:textAlignment w:val="baseline"/>
        <w:rPr>
          <w:rFonts w:ascii="Arial" w:eastAsia="Times New Roman" w:hAnsi="Arial" w:cs="Arial"/>
          <w:color w:val="737373"/>
          <w:sz w:val="20"/>
          <w:szCs w:val="20"/>
        </w:rPr>
      </w:pPr>
      <w:bookmarkStart w:id="0" w:name="_GoBack"/>
      <w:bookmarkEnd w:id="0"/>
      <w:r w:rsidRPr="00640C07">
        <w:rPr>
          <w:rFonts w:ascii="Arial" w:eastAsia="Times New Roman" w:hAnsi="Arial" w:cs="Arial"/>
          <w:color w:val="737373"/>
          <w:sz w:val="20"/>
          <w:szCs w:val="20"/>
        </w:rPr>
        <w:t xml:space="preserve">Given FDA requirements for relabeling countermeasures and significant budget constraints, some states have inquired about whether it is possible for states to become certified </w:t>
      </w:r>
      <w:proofErr w:type="spellStart"/>
      <w:r w:rsidRPr="00640C07">
        <w:rPr>
          <w:rFonts w:ascii="Arial" w:eastAsia="Times New Roman" w:hAnsi="Arial" w:cs="Arial"/>
          <w:color w:val="737373"/>
          <w:sz w:val="20"/>
          <w:szCs w:val="20"/>
        </w:rPr>
        <w:t>relabelers</w:t>
      </w:r>
      <w:proofErr w:type="spellEnd"/>
      <w:r w:rsidRPr="00640C07">
        <w:rPr>
          <w:rFonts w:ascii="Arial" w:eastAsia="Times New Roman" w:hAnsi="Arial" w:cs="Arial"/>
          <w:color w:val="737373"/>
          <w:sz w:val="20"/>
          <w:szCs w:val="20"/>
        </w:rPr>
        <w:t xml:space="preserve"> as a cost saving measure. The FDA has reported that medical product </w:t>
      </w:r>
      <w:proofErr w:type="spellStart"/>
      <w:r w:rsidRPr="00640C07">
        <w:rPr>
          <w:rFonts w:ascii="Arial" w:eastAsia="Times New Roman" w:hAnsi="Arial" w:cs="Arial"/>
          <w:color w:val="737373"/>
          <w:sz w:val="20"/>
          <w:szCs w:val="20"/>
        </w:rPr>
        <w:t>relabelers</w:t>
      </w:r>
      <w:proofErr w:type="spellEnd"/>
      <w:r w:rsidRPr="00640C07">
        <w:rPr>
          <w:rFonts w:ascii="Arial" w:eastAsia="Times New Roman" w:hAnsi="Arial" w:cs="Arial"/>
          <w:color w:val="737373"/>
          <w:sz w:val="20"/>
          <w:szCs w:val="20"/>
        </w:rPr>
        <w:t xml:space="preserve"> must be registered with the FDA and comply with all CGMP requirements that apply to their operations, among other things. The FDA also inspects establishments engaged in relabeling or other manufacturing or processing activities to ensure compliance with applicable CGMP requirements. </w:t>
      </w:r>
      <w:r w:rsidRPr="00640C07">
        <w:rPr>
          <w:rFonts w:ascii="Arial" w:eastAsia="Times New Roman" w:hAnsi="Arial" w:cs="Arial"/>
          <w:color w:val="737373"/>
          <w:sz w:val="20"/>
          <w:szCs w:val="20"/>
        </w:rPr>
        <w:br/>
      </w:r>
      <w:r w:rsidRPr="00640C07">
        <w:rPr>
          <w:rFonts w:ascii="Arial" w:eastAsia="Times New Roman" w:hAnsi="Arial" w:cs="Arial"/>
          <w:color w:val="737373"/>
          <w:sz w:val="20"/>
          <w:szCs w:val="20"/>
        </w:rPr>
        <w:br/>
        <w:t xml:space="preserve">States have also inquired if it is possible for the states to self-certify that they meet CGMP requirements. The FDA has stated that the feasibility of any alternative mechanisms for ensuring that state relabeling efforts comply with applicable CGMPs (i.e., self-certification) must be further evaluated and will likely depend on </w:t>
      </w:r>
      <w:proofErr w:type="gramStart"/>
      <w:r w:rsidRPr="00640C07">
        <w:rPr>
          <w:rFonts w:ascii="Arial" w:eastAsia="Times New Roman" w:hAnsi="Arial" w:cs="Arial"/>
          <w:color w:val="737373"/>
          <w:sz w:val="20"/>
          <w:szCs w:val="20"/>
        </w:rPr>
        <w:t>a number of</w:t>
      </w:r>
      <w:proofErr w:type="gramEnd"/>
      <w:r w:rsidRPr="00640C07">
        <w:rPr>
          <w:rFonts w:ascii="Arial" w:eastAsia="Times New Roman" w:hAnsi="Arial" w:cs="Arial"/>
          <w:color w:val="737373"/>
          <w:sz w:val="20"/>
          <w:szCs w:val="20"/>
        </w:rPr>
        <w:t xml:space="preserve"> factors, such as the nature of the products or operations involved. Aside from self-certification, states will first need to assess their ability to comply with the applicable CGMP requirements, including whether it is cost-effective for them to do so.</w:t>
      </w:r>
    </w:p>
    <w:p w14:paraId="07D13A2D" w14:textId="77777777" w:rsidR="00640C07" w:rsidRPr="00640C07" w:rsidRDefault="00640C07" w:rsidP="00640C07">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640C07">
        <w:rPr>
          <w:rFonts w:ascii="Arial" w:eastAsia="Times New Roman" w:hAnsi="Arial" w:cs="Arial"/>
          <w:b/>
          <w:bCs/>
          <w:color w:val="3C3030"/>
          <w:sz w:val="24"/>
          <w:szCs w:val="24"/>
        </w:rPr>
        <w:t>Notes</w:t>
      </w:r>
    </w:p>
    <w:p w14:paraId="00B17897" w14:textId="77777777" w:rsidR="00640C07" w:rsidRPr="00640C07" w:rsidRDefault="00640C07" w:rsidP="00640C07">
      <w:pPr>
        <w:numPr>
          <w:ilvl w:val="0"/>
          <w:numId w:val="1"/>
        </w:numPr>
        <w:spacing w:line="255" w:lineRule="atLeast"/>
        <w:ind w:left="450"/>
        <w:textAlignment w:val="baseline"/>
        <w:rPr>
          <w:rFonts w:ascii="Arial" w:eastAsia="Times New Roman" w:hAnsi="Arial" w:cs="Arial"/>
          <w:color w:val="737373"/>
          <w:sz w:val="20"/>
          <w:szCs w:val="20"/>
        </w:rPr>
      </w:pPr>
      <w:r w:rsidRPr="00640C07">
        <w:rPr>
          <w:rFonts w:ascii="Arial" w:eastAsia="Times New Roman" w:hAnsi="Arial" w:cs="Arial"/>
          <w:color w:val="737373"/>
          <w:sz w:val="20"/>
          <w:szCs w:val="20"/>
        </w:rPr>
        <w:t xml:space="preserve">Materials relating to FDA views were adapted from </w:t>
      </w:r>
      <w:proofErr w:type="spellStart"/>
      <w:r w:rsidRPr="00640C07">
        <w:rPr>
          <w:rFonts w:ascii="Arial" w:eastAsia="Times New Roman" w:hAnsi="Arial" w:cs="Arial"/>
          <w:color w:val="737373"/>
          <w:sz w:val="20"/>
          <w:szCs w:val="20"/>
        </w:rPr>
        <w:t>Borio</w:t>
      </w:r>
      <w:proofErr w:type="spellEnd"/>
      <w:r w:rsidRPr="00640C07">
        <w:rPr>
          <w:rFonts w:ascii="Arial" w:eastAsia="Times New Roman" w:hAnsi="Arial" w:cs="Arial"/>
          <w:color w:val="737373"/>
          <w:sz w:val="20"/>
          <w:szCs w:val="20"/>
        </w:rPr>
        <w:t xml:space="preserve"> L. Food and Drug Administration. July 25, 2011 Letter to William G. </w:t>
      </w:r>
      <w:proofErr w:type="spellStart"/>
      <w:r w:rsidRPr="00640C07">
        <w:rPr>
          <w:rFonts w:ascii="Arial" w:eastAsia="Times New Roman" w:hAnsi="Arial" w:cs="Arial"/>
          <w:color w:val="737373"/>
          <w:sz w:val="20"/>
          <w:szCs w:val="20"/>
        </w:rPr>
        <w:t>Burel</w:t>
      </w:r>
      <w:proofErr w:type="spellEnd"/>
      <w:r w:rsidRPr="00640C07">
        <w:rPr>
          <w:rFonts w:ascii="Arial" w:eastAsia="Times New Roman" w:hAnsi="Arial" w:cs="Arial"/>
          <w:color w:val="737373"/>
          <w:sz w:val="20"/>
          <w:szCs w:val="20"/>
        </w:rPr>
        <w:t>, CDC et al regarding answers to questions raised during December 2010 Federal, State, and Local Public Health Preparedness meeting in Baltimore, MD. Available at </w:t>
      </w:r>
      <w:hyperlink r:id="rId12" w:tooltip="www.fda.gov/EmergencyPreparedness/Counterterrorism/ucm234336.htm" w:history="1">
        <w:r w:rsidRPr="00640C07">
          <w:rPr>
            <w:rFonts w:ascii="Arial" w:eastAsia="Times New Roman" w:hAnsi="Arial" w:cs="Arial"/>
            <w:color w:val="0F88B8"/>
            <w:sz w:val="20"/>
            <w:szCs w:val="20"/>
            <w:bdr w:val="none" w:sz="0" w:space="0" w:color="auto" w:frame="1"/>
          </w:rPr>
          <w:t>www.fda.gov/EmergencyPreparedness/Counterterrorism/ucm234336.htm</w:t>
        </w:r>
      </w:hyperlink>
      <w:r w:rsidRPr="00640C07">
        <w:rPr>
          <w:rFonts w:ascii="Arial" w:eastAsia="Times New Roman" w:hAnsi="Arial" w:cs="Arial"/>
          <w:color w:val="737373"/>
          <w:sz w:val="20"/>
          <w:szCs w:val="20"/>
        </w:rPr>
        <w:t>. Accessed January 31, 2012.</w:t>
      </w:r>
    </w:p>
    <w:p w14:paraId="2FC9FCEC" w14:textId="77777777" w:rsidR="00640C07" w:rsidRDefault="00640C07"/>
    <w:sectPr w:rsidR="00640C0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F3DA7" w14:textId="77777777" w:rsidR="00640C07" w:rsidRDefault="00640C07" w:rsidP="00640C07">
      <w:r>
        <w:separator/>
      </w:r>
    </w:p>
  </w:endnote>
  <w:endnote w:type="continuationSeparator" w:id="0">
    <w:p w14:paraId="0AD39634" w14:textId="77777777" w:rsidR="00640C07" w:rsidRDefault="00640C07" w:rsidP="00640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394099"/>
      <w:docPartObj>
        <w:docPartGallery w:val="Page Numbers (Bottom of Page)"/>
        <w:docPartUnique/>
      </w:docPartObj>
    </w:sdtPr>
    <w:sdtEndPr>
      <w:rPr>
        <w:noProof/>
      </w:rPr>
    </w:sdtEndPr>
    <w:sdtContent>
      <w:p w14:paraId="2C773506" w14:textId="3CED1370" w:rsidR="00640C07" w:rsidRDefault="00640C07" w:rsidP="00640C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3F5BE" w14:textId="77777777" w:rsidR="00640C07" w:rsidRDefault="00640C07" w:rsidP="00640C07">
      <w:r>
        <w:separator/>
      </w:r>
    </w:p>
  </w:footnote>
  <w:footnote w:type="continuationSeparator" w:id="0">
    <w:p w14:paraId="22E884D1" w14:textId="77777777" w:rsidR="00640C07" w:rsidRDefault="00640C07" w:rsidP="00640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F038A"/>
    <w:multiLevelType w:val="multilevel"/>
    <w:tmpl w:val="FBBAB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07"/>
    <w:rsid w:val="00151278"/>
    <w:rsid w:val="00476446"/>
    <w:rsid w:val="00640C07"/>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7CB24"/>
  <w15:chartTrackingRefBased/>
  <w15:docId w15:val="{4068F4EE-A208-46D2-821D-29EF037E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C07"/>
  </w:style>
  <w:style w:type="paragraph" w:styleId="Heading1">
    <w:name w:val="heading 1"/>
    <w:basedOn w:val="Normal"/>
    <w:link w:val="Heading1Char"/>
    <w:uiPriority w:val="9"/>
    <w:qFormat/>
    <w:rsid w:val="00640C0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40C07"/>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0C0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C0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40C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0C0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0C0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40C07"/>
    <w:rPr>
      <w:color w:val="0000FF"/>
      <w:u w:val="single"/>
    </w:rPr>
  </w:style>
  <w:style w:type="paragraph" w:styleId="Header">
    <w:name w:val="header"/>
    <w:basedOn w:val="Normal"/>
    <w:link w:val="HeaderChar"/>
    <w:uiPriority w:val="99"/>
    <w:unhideWhenUsed/>
    <w:rsid w:val="00640C07"/>
    <w:pPr>
      <w:tabs>
        <w:tab w:val="center" w:pos="4680"/>
        <w:tab w:val="right" w:pos="9360"/>
      </w:tabs>
    </w:pPr>
  </w:style>
  <w:style w:type="character" w:customStyle="1" w:styleId="HeaderChar">
    <w:name w:val="Header Char"/>
    <w:basedOn w:val="DefaultParagraphFont"/>
    <w:link w:val="Header"/>
    <w:uiPriority w:val="99"/>
    <w:rsid w:val="00640C07"/>
  </w:style>
  <w:style w:type="paragraph" w:styleId="Footer">
    <w:name w:val="footer"/>
    <w:basedOn w:val="Normal"/>
    <w:link w:val="FooterChar"/>
    <w:uiPriority w:val="99"/>
    <w:unhideWhenUsed/>
    <w:rsid w:val="00640C07"/>
    <w:pPr>
      <w:tabs>
        <w:tab w:val="center" w:pos="4680"/>
        <w:tab w:val="right" w:pos="9360"/>
      </w:tabs>
    </w:pPr>
  </w:style>
  <w:style w:type="character" w:customStyle="1" w:styleId="FooterChar">
    <w:name w:val="Footer Char"/>
    <w:basedOn w:val="DefaultParagraphFont"/>
    <w:link w:val="Footer"/>
    <w:uiPriority w:val="99"/>
    <w:rsid w:val="00640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81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uploadedFiles/Programs/Preparedness/Public_Health_Emergency_Law/Emergency_Authority_and_Immunity_Legal_Toolkit/12-EUA%20Current%20Issues%20Summer%202011%204-12%20final.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fda.gov/EmergencyPreparedness/Counterterrorism/ucm23433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1483</Words>
  <Characters>8454</Characters>
  <Application>Microsoft Office Word</Application>
  <DocSecurity>0</DocSecurity>
  <Lines>70</Lines>
  <Paragraphs>19</Paragraphs>
  <ScaleCrop>false</ScaleCrop>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cp:revision>
  <dcterms:created xsi:type="dcterms:W3CDTF">2019-04-24T18:10:00Z</dcterms:created>
  <dcterms:modified xsi:type="dcterms:W3CDTF">2019-04-24T18:13:00Z</dcterms:modified>
</cp:coreProperties>
</file>