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FFCAC" w14:textId="77777777" w:rsidR="00AF5620" w:rsidRPr="00AF5620" w:rsidRDefault="00AF5620" w:rsidP="00BE2D7E">
      <w:pPr>
        <w:spacing w:after="120"/>
        <w:rPr>
          <w:rFonts w:eastAsia="Times New Roman" w:cstheme="minorHAnsi"/>
          <w:b/>
          <w:bCs/>
          <w:color w:val="333333"/>
          <w:spacing w:val="15"/>
          <w:kern w:val="36"/>
          <w:sz w:val="28"/>
          <w:szCs w:val="28"/>
        </w:rPr>
      </w:pPr>
      <w:r w:rsidRPr="00AF5620">
        <w:rPr>
          <w:rFonts w:eastAsia="Times New Roman" w:cstheme="minorHAnsi"/>
          <w:b/>
          <w:bCs/>
          <w:color w:val="333333"/>
          <w:spacing w:val="15"/>
          <w:kern w:val="36"/>
          <w:sz w:val="28"/>
          <w:szCs w:val="28"/>
        </w:rPr>
        <w:t>Public Health Legal Authorities to Collect, Use, Share, and Protect Information</w:t>
      </w:r>
    </w:p>
    <w:p w14:paraId="30CD0344" w14:textId="77777777" w:rsidR="00AF5620" w:rsidRPr="00AF5620" w:rsidRDefault="00AF562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Fact Sheet</w:t>
      </w:r>
    </w:p>
    <w:p w14:paraId="440304B2" w14:textId="2F0B8C83" w:rsidR="00AF5620" w:rsidRPr="00AF5620" w:rsidRDefault="00AF5620" w:rsidP="00BE2D7E">
      <w:pPr>
        <w:spacing w:line="480" w:lineRule="auto"/>
        <w:rPr>
          <w:rFonts w:eastAsia="Times New Roman" w:cstheme="minorHAnsi"/>
          <w:b/>
          <w:bCs/>
          <w:color w:val="3C3030"/>
          <w:sz w:val="24"/>
          <w:szCs w:val="24"/>
        </w:rPr>
      </w:pPr>
      <w:bookmarkStart w:id="0" w:name="_GoBack"/>
      <w:bookmarkEnd w:id="0"/>
      <w:r w:rsidRPr="00AF5620">
        <w:rPr>
          <w:rFonts w:eastAsia="Times New Roman" w:cstheme="minorHAnsi"/>
          <w:b/>
          <w:bCs/>
          <w:color w:val="3C3030"/>
          <w:sz w:val="24"/>
          <w:szCs w:val="24"/>
        </w:rPr>
        <w:t>Overview</w:t>
      </w:r>
    </w:p>
    <w:p w14:paraId="42D7F4F5" w14:textId="0632C9F8" w:rsidR="00AF5620" w:rsidRPr="00AF5620" w:rsidRDefault="00AF5620" w:rsidP="00BE2D7E">
      <w:pPr>
        <w:shd w:val="clear" w:color="auto" w:fill="FFFFFF"/>
        <w:spacing w:line="480" w:lineRule="auto"/>
        <w:textAlignment w:val="baseline"/>
        <w:rPr>
          <w:rFonts w:eastAsia="Times New Roman" w:cstheme="minorHAnsi"/>
          <w:color w:val="737373"/>
          <w:szCs w:val="20"/>
        </w:rPr>
      </w:pPr>
      <w:r w:rsidRPr="00AF5620">
        <w:rPr>
          <w:rFonts w:eastAsia="Times New Roman" w:cstheme="minorHAnsi"/>
          <w:color w:val="000000" w:themeColor="text1"/>
          <w:szCs w:val="20"/>
        </w:rPr>
        <w:t>Public health agencies need to collect, use, and share information to prevent disease and injury and protect the public against natural, accidental, and intentional health threats. Various federal and state laws may impact public health activities regarding such information. Public health agencies may collect and maintain information that identifies an individual or is sensitive in nature, such as information about communications systems or detailed emergency response plans. In these situations, freedom of information (FOI) laws establish parameters for information that must be shared, upon request, and that which may be exempted from public disclosure. In applying the laws, public health agencies may need to juggle competing interests and balance individual privacy against the need to protect or inform the public. Public health agencies face additional challenges when sharing information with law enforcement, especially when conducting a joint investigation where a public health threat may involve criminal activity. (See ASTHO </w:t>
      </w:r>
      <w:hyperlink r:id="rId7" w:tooltip="Public Health Collection, Use, Sharing and Protection of Information Issue Brief" w:history="1">
        <w:r w:rsidRPr="00AF5620">
          <w:rPr>
            <w:rFonts w:eastAsia="Times New Roman" w:cstheme="minorHAnsi"/>
            <w:i/>
            <w:iCs/>
            <w:color w:val="0F88B8"/>
            <w:szCs w:val="20"/>
            <w:bdr w:val="none" w:sz="0" w:space="0" w:color="auto" w:frame="1"/>
          </w:rPr>
          <w:t>Public Health Collection, Use, Sharing and Protection of Information</w:t>
        </w:r>
        <w:r w:rsidRPr="00AF5620">
          <w:rPr>
            <w:rFonts w:eastAsia="Times New Roman" w:cstheme="minorHAnsi"/>
            <w:color w:val="0F88B8"/>
            <w:szCs w:val="20"/>
            <w:u w:val="single"/>
            <w:bdr w:val="none" w:sz="0" w:space="0" w:color="auto" w:frame="1"/>
          </w:rPr>
          <w:t> </w:t>
        </w:r>
      </w:hyperlink>
      <w:hyperlink r:id="rId8" w:tooltip="Public Health Collection, Use, Sharing and Protection of Information Issue Brief" w:history="1">
        <w:r w:rsidRPr="00AF5620">
          <w:rPr>
            <w:rFonts w:eastAsia="Times New Roman" w:cstheme="minorHAnsi"/>
            <w:i/>
            <w:iCs/>
            <w:color w:val="0F88B8"/>
            <w:szCs w:val="20"/>
            <w:u w:val="single"/>
            <w:bdr w:val="none" w:sz="0" w:space="0" w:color="auto" w:frame="1"/>
          </w:rPr>
          <w:t>Issue Brief</w:t>
        </w:r>
      </w:hyperlink>
      <w:r w:rsidRPr="00AF5620">
        <w:rPr>
          <w:rFonts w:eastAsia="Times New Roman" w:cstheme="minorHAnsi"/>
          <w:i/>
          <w:iCs/>
          <w:color w:val="737373"/>
          <w:szCs w:val="20"/>
          <w:bdr w:val="none" w:sz="0" w:space="0" w:color="auto" w:frame="1"/>
        </w:rPr>
        <w:t> </w:t>
      </w:r>
      <w:r w:rsidRPr="00AF5620">
        <w:rPr>
          <w:rFonts w:eastAsia="Times New Roman" w:cstheme="minorHAnsi"/>
          <w:color w:val="737373"/>
          <w:szCs w:val="20"/>
        </w:rPr>
        <w:t> and </w:t>
      </w:r>
      <w:hyperlink r:id="rId9" w:tooltip="Authorities and Limitations in Sharing Information Between Public Health Agencies and Law Enforcement Issue Brief" w:history="1">
        <w:r w:rsidRPr="00AF5620">
          <w:rPr>
            <w:rFonts w:eastAsia="Times New Roman" w:cstheme="minorHAnsi"/>
            <w:i/>
            <w:iCs/>
            <w:color w:val="0F88B8"/>
            <w:szCs w:val="20"/>
            <w:u w:val="single"/>
            <w:bdr w:val="none" w:sz="0" w:space="0" w:color="auto" w:frame="1"/>
          </w:rPr>
          <w:t>Authorities and Limitations in Sharing Information Between Public Health Agencies and Law Enforcement Issue Brief</w:t>
        </w:r>
      </w:hyperlink>
      <w:r w:rsidR="001D12ED">
        <w:rPr>
          <w:rFonts w:eastAsia="Times New Roman" w:cstheme="minorHAnsi"/>
          <w:i/>
          <w:iCs/>
          <w:color w:val="737373"/>
          <w:szCs w:val="20"/>
          <w:bdr w:val="none" w:sz="0" w:space="0" w:color="auto" w:frame="1"/>
        </w:rPr>
        <w:t xml:space="preserve"> </w:t>
      </w:r>
      <w:r w:rsidRPr="00AF5620">
        <w:rPr>
          <w:rFonts w:eastAsia="Times New Roman" w:cstheme="minorHAnsi"/>
          <w:color w:val="000000" w:themeColor="text1"/>
          <w:szCs w:val="20"/>
        </w:rPr>
        <w:t xml:space="preserve">for detailed analyses of issues and law.) </w:t>
      </w:r>
    </w:p>
    <w:p w14:paraId="07FCED0D" w14:textId="77777777" w:rsidR="001D12ED" w:rsidRPr="001D12ED" w:rsidRDefault="001D12ED" w:rsidP="00BE2D7E">
      <w:pPr>
        <w:spacing w:line="480" w:lineRule="auto"/>
        <w:rPr>
          <w:rFonts w:eastAsia="Times New Roman" w:cstheme="minorHAnsi"/>
          <w:b/>
          <w:bCs/>
          <w:color w:val="3C3030"/>
          <w:sz w:val="28"/>
          <w:szCs w:val="24"/>
        </w:rPr>
      </w:pPr>
    </w:p>
    <w:p w14:paraId="71DD421A" w14:textId="50EF50D5" w:rsidR="00AF5620" w:rsidRPr="00AF5620" w:rsidRDefault="00AF562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Constitutional Considerations </w:t>
      </w:r>
    </w:p>
    <w:p w14:paraId="503DDD40"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Generally, state and local public health agencies have broad and flexible authority to protect the public health. However, the exercise of governmental power has limits. The United States Constitution contains a Bill of Rights</w:t>
      </w:r>
      <w:r w:rsidRPr="00AF5620">
        <w:rPr>
          <w:rFonts w:eastAsia="Times New Roman" w:cstheme="minorHAnsi"/>
          <w:color w:val="000000" w:themeColor="text1"/>
          <w:bdr w:val="none" w:sz="0" w:space="0" w:color="auto" w:frame="1"/>
          <w:vertAlign w:val="superscript"/>
        </w:rPr>
        <w:t>1</w:t>
      </w:r>
      <w:r w:rsidRPr="00AF5620">
        <w:rPr>
          <w:rFonts w:eastAsia="Times New Roman" w:cstheme="minorHAnsi"/>
          <w:color w:val="000000" w:themeColor="text1"/>
        </w:rPr>
        <w:t> that sets out individual liberties and protects individuals from the arbitrary use of governmental power. These rights may impact public health collection and sharing of information.</w:t>
      </w:r>
    </w:p>
    <w:p w14:paraId="7AA4C62C"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705DB930" w14:textId="6D01D712"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lastRenderedPageBreak/>
        <w:t>Right to Privacy</w:t>
      </w:r>
      <w:r w:rsidRPr="00AF5620">
        <w:rPr>
          <w:rFonts w:eastAsia="Times New Roman" w:cstheme="minorHAnsi"/>
          <w:color w:val="000000" w:themeColor="text1"/>
        </w:rPr>
        <w:t> </w:t>
      </w:r>
      <w:r w:rsidRPr="00AF5620">
        <w:rPr>
          <w:rFonts w:eastAsia="Times New Roman" w:cstheme="minorHAnsi"/>
          <w:color w:val="000000" w:themeColor="text1"/>
        </w:rPr>
        <w:br/>
        <w:t>The Constitution provides a limited right to privacy, including "informational privacy."</w:t>
      </w:r>
      <w:r w:rsidRPr="00AF5620">
        <w:rPr>
          <w:rFonts w:eastAsia="Times New Roman" w:cstheme="minorHAnsi"/>
          <w:color w:val="000000" w:themeColor="text1"/>
          <w:bdr w:val="none" w:sz="0" w:space="0" w:color="auto" w:frame="1"/>
          <w:vertAlign w:val="superscript"/>
        </w:rPr>
        <w:t>2</w:t>
      </w:r>
      <w:r w:rsidRPr="00AF5620">
        <w:rPr>
          <w:rFonts w:eastAsia="Times New Roman" w:cstheme="minorHAnsi"/>
          <w:color w:val="000000" w:themeColor="text1"/>
        </w:rPr>
        <w:t> State laws that require reporting of or public health agency access to identifiable information are permissible when they are reasonably directed to the preservation of health and properly respect a patient's confidentiality and privacy.</w:t>
      </w:r>
      <w:r w:rsidRPr="00AF5620">
        <w:rPr>
          <w:rFonts w:eastAsia="Times New Roman" w:cstheme="minorHAnsi"/>
          <w:color w:val="000000" w:themeColor="text1"/>
          <w:bdr w:val="none" w:sz="0" w:space="0" w:color="auto" w:frame="1"/>
          <w:vertAlign w:val="superscript"/>
        </w:rPr>
        <w:t>3</w:t>
      </w:r>
    </w:p>
    <w:p w14:paraId="021F55EB"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56965794" w14:textId="5796B949" w:rsid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Right Against Unreasonable Search and Seizure</w:t>
      </w:r>
      <w:r w:rsidRPr="00AF5620">
        <w:rPr>
          <w:rFonts w:eastAsia="Times New Roman" w:cstheme="minorHAnsi"/>
          <w:color w:val="000000" w:themeColor="text1"/>
        </w:rPr>
        <w:t> </w:t>
      </w:r>
      <w:r w:rsidRPr="00AF5620">
        <w:rPr>
          <w:rFonts w:eastAsia="Times New Roman" w:cstheme="minorHAnsi"/>
          <w:color w:val="000000" w:themeColor="text1"/>
        </w:rPr>
        <w:br/>
        <w:t>With the owner's permission,</w:t>
      </w:r>
      <w:r w:rsidRPr="00AF5620">
        <w:rPr>
          <w:rFonts w:eastAsia="Times New Roman" w:cstheme="minorHAnsi"/>
          <w:color w:val="000000" w:themeColor="text1"/>
          <w:bdr w:val="none" w:sz="0" w:space="0" w:color="auto" w:frame="1"/>
          <w:vertAlign w:val="superscript"/>
        </w:rPr>
        <w:t>4</w:t>
      </w:r>
      <w:r w:rsidRPr="00AF5620">
        <w:rPr>
          <w:rFonts w:eastAsia="Times New Roman" w:cstheme="minorHAnsi"/>
          <w:color w:val="000000" w:themeColor="text1"/>
        </w:rPr>
        <w:t> public health agencies may enter or search the premises of an individual or business, take biological specimens or environmental samples for testing, copy records, and remove evidence that might be relevant to a public health concern. However, absent consent or the applicability of another exception, public health agencies must comply with requirements in the U.S. Constitution's Fourth Amendment.</w:t>
      </w:r>
    </w:p>
    <w:p w14:paraId="4C4F1636" w14:textId="77777777" w:rsidR="00282399" w:rsidRPr="00AF5620" w:rsidRDefault="00282399" w:rsidP="00BE2D7E">
      <w:pPr>
        <w:shd w:val="clear" w:color="auto" w:fill="FFFFFF"/>
        <w:spacing w:line="480" w:lineRule="auto"/>
        <w:textAlignment w:val="baseline"/>
        <w:rPr>
          <w:rFonts w:eastAsia="Times New Roman" w:cstheme="minorHAnsi"/>
          <w:color w:val="000000" w:themeColor="text1"/>
        </w:rPr>
      </w:pPr>
    </w:p>
    <w:p w14:paraId="60AAAD65"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The Fourth Amendment requires that a warrant be obtained, based upon probable cause, to search someone's premises or seize their property. The Fourth Amendment applies to both criminal investigations and health and safety inspections and investigations.</w:t>
      </w:r>
      <w:r w:rsidRPr="00AF5620">
        <w:rPr>
          <w:rFonts w:eastAsia="Times New Roman" w:cstheme="minorHAnsi"/>
          <w:color w:val="000000" w:themeColor="text1"/>
          <w:bdr w:val="none" w:sz="0" w:space="0" w:color="auto" w:frame="1"/>
          <w:vertAlign w:val="superscript"/>
        </w:rPr>
        <w:t>5</w:t>
      </w:r>
      <w:r w:rsidRPr="00AF5620">
        <w:rPr>
          <w:rFonts w:eastAsia="Times New Roman" w:cstheme="minorHAnsi"/>
          <w:color w:val="000000" w:themeColor="text1"/>
        </w:rPr>
        <w:t> In addition to consent, other exceptions to the warrant and probable cause requirement might apply to public health inspections and investigations, including searches of pervasively regulated businesses,</w:t>
      </w:r>
      <w:r w:rsidRPr="00AF5620">
        <w:rPr>
          <w:rFonts w:eastAsia="Times New Roman" w:cstheme="minorHAnsi"/>
          <w:color w:val="000000" w:themeColor="text1"/>
          <w:bdr w:val="none" w:sz="0" w:space="0" w:color="auto" w:frame="1"/>
          <w:vertAlign w:val="superscript"/>
        </w:rPr>
        <w:t>6</w:t>
      </w:r>
      <w:r w:rsidRPr="00AF5620">
        <w:rPr>
          <w:rFonts w:eastAsia="Times New Roman" w:cstheme="minorHAnsi"/>
          <w:color w:val="000000" w:themeColor="text1"/>
        </w:rPr>
        <w:t>searches of premises or items open to the public,</w:t>
      </w:r>
      <w:r w:rsidRPr="00AF5620">
        <w:rPr>
          <w:rFonts w:eastAsia="Times New Roman" w:cstheme="minorHAnsi"/>
          <w:color w:val="000000" w:themeColor="text1"/>
          <w:bdr w:val="none" w:sz="0" w:space="0" w:color="auto" w:frame="1"/>
          <w:vertAlign w:val="superscript"/>
        </w:rPr>
        <w:t>7</w:t>
      </w:r>
      <w:r w:rsidRPr="00AF5620">
        <w:rPr>
          <w:rFonts w:eastAsia="Times New Roman" w:cstheme="minorHAnsi"/>
          <w:color w:val="000000" w:themeColor="text1"/>
        </w:rPr>
        <w:t> and searches based on exigent circumstances if delay is likely to lead to injury, public harm, or the destruction of evidence.</w:t>
      </w:r>
      <w:r w:rsidRPr="00AF5620">
        <w:rPr>
          <w:rFonts w:eastAsia="Times New Roman" w:cstheme="minorHAnsi"/>
          <w:color w:val="000000" w:themeColor="text1"/>
          <w:bdr w:val="none" w:sz="0" w:space="0" w:color="auto" w:frame="1"/>
          <w:vertAlign w:val="superscript"/>
        </w:rPr>
        <w:t>8</w:t>
      </w:r>
    </w:p>
    <w:p w14:paraId="4DD1CAD8"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0ECAD35C" w14:textId="072FBF7D"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Right Against Self-Incrimination</w:t>
      </w:r>
      <w:r w:rsidRPr="00AF5620">
        <w:rPr>
          <w:rFonts w:eastAsia="Times New Roman" w:cstheme="minorHAnsi"/>
          <w:color w:val="000000" w:themeColor="text1"/>
        </w:rPr>
        <w:t> </w:t>
      </w:r>
      <w:r w:rsidRPr="00AF5620">
        <w:rPr>
          <w:rFonts w:eastAsia="Times New Roman" w:cstheme="minorHAnsi"/>
          <w:color w:val="000000" w:themeColor="text1"/>
        </w:rPr>
        <w:br/>
        <w:t xml:space="preserve">The Fifth Amendment right against self-incrimination prevents the government from forcing an individual to be a witness against himself or herself during trial or a custodial interrogation. If an </w:t>
      </w:r>
      <w:r w:rsidRPr="00AF5620">
        <w:rPr>
          <w:rFonts w:eastAsia="Times New Roman" w:cstheme="minorHAnsi"/>
          <w:color w:val="000000" w:themeColor="text1"/>
        </w:rPr>
        <w:lastRenderedPageBreak/>
        <w:t>individual is not informed of his or her right against self-incrimination, the individual's statements and evidence obtained as a result of these statements may be suppressed in criminal proceedings. This right may arise when a public health incident involves criminal activity, especially when law enforcement and public health investigators are conducting joint interviews or public health agencies assist law enforcement to gather evidence.</w:t>
      </w:r>
      <w:r w:rsidRPr="00AF5620">
        <w:rPr>
          <w:rFonts w:eastAsia="Times New Roman" w:cstheme="minorHAnsi"/>
          <w:color w:val="000000" w:themeColor="text1"/>
          <w:bdr w:val="none" w:sz="0" w:space="0" w:color="auto" w:frame="1"/>
          <w:vertAlign w:val="superscript"/>
        </w:rPr>
        <w:t>9</w:t>
      </w:r>
    </w:p>
    <w:p w14:paraId="161B37D5" w14:textId="0707E502" w:rsidR="00AF5620" w:rsidRPr="00AF5620" w:rsidRDefault="00AF5620" w:rsidP="00BE2D7E">
      <w:pPr>
        <w:spacing w:line="480" w:lineRule="auto"/>
        <w:rPr>
          <w:rFonts w:eastAsia="Times New Roman" w:cstheme="minorHAnsi"/>
          <w:color w:val="000000" w:themeColor="text1"/>
        </w:rPr>
      </w:pPr>
    </w:p>
    <w:p w14:paraId="26C2D1CF"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State Constitutions</w:t>
      </w:r>
      <w:r w:rsidRPr="00AF5620">
        <w:rPr>
          <w:rFonts w:eastAsia="Times New Roman" w:cstheme="minorHAnsi"/>
          <w:color w:val="000000" w:themeColor="text1"/>
        </w:rPr>
        <w:t> </w:t>
      </w:r>
      <w:r w:rsidRPr="00AF5620">
        <w:rPr>
          <w:rFonts w:eastAsia="Times New Roman" w:cstheme="minorHAnsi"/>
          <w:color w:val="000000" w:themeColor="text1"/>
        </w:rPr>
        <w:br/>
        <w:t>State constitutions, along with court decisions that interpret state constitutions, must be reviewed to identify individual rights that exceed the U.S. Constitution. State constitutions may be sources of additional provisions that govern information sharing; for example, some constitutions define individual privacy rights or cover the public's right to obtain governmental records.</w:t>
      </w:r>
    </w:p>
    <w:p w14:paraId="647B29AA" w14:textId="77777777" w:rsidR="001D12ED" w:rsidRPr="001D12ED" w:rsidRDefault="001D12ED" w:rsidP="00BE2D7E">
      <w:pPr>
        <w:spacing w:line="480" w:lineRule="auto"/>
        <w:rPr>
          <w:rFonts w:eastAsia="Times New Roman" w:cstheme="minorHAnsi"/>
          <w:b/>
          <w:bCs/>
          <w:color w:val="000000" w:themeColor="text1"/>
        </w:rPr>
      </w:pPr>
    </w:p>
    <w:p w14:paraId="1AF7B3FD" w14:textId="045FA64A" w:rsidR="00AF5620" w:rsidRPr="00AF5620" w:rsidRDefault="00AF562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State Statutes</w:t>
      </w:r>
    </w:p>
    <w:p w14:paraId="2BC0B6D2" w14:textId="77777777" w:rsidR="00AF5620" w:rsidRPr="00AF5620" w:rsidRDefault="00AF5620" w:rsidP="00BE2D7E">
      <w:pPr>
        <w:shd w:val="clear" w:color="auto" w:fill="FFFFFF"/>
        <w:spacing w:after="225" w:line="480" w:lineRule="auto"/>
        <w:textAlignment w:val="baseline"/>
        <w:rPr>
          <w:rFonts w:eastAsia="Times New Roman" w:cstheme="minorHAnsi"/>
          <w:color w:val="000000" w:themeColor="text1"/>
          <w:szCs w:val="20"/>
        </w:rPr>
      </w:pPr>
      <w:r w:rsidRPr="00AF5620">
        <w:rPr>
          <w:rFonts w:eastAsia="Times New Roman" w:cstheme="minorHAnsi"/>
          <w:color w:val="000000" w:themeColor="text1"/>
          <w:szCs w:val="20"/>
        </w:rPr>
        <w:t>Generally, state law governs state and local public health agencies' authority and responsibilities regarding collection, use, disclosure, and protection of information. State laws vary in nature and scope. Authority may be based on general statutes, such as public health laws that grant public health agencies communicable disease control authority. Specific laws may also apply.</w:t>
      </w:r>
    </w:p>
    <w:p w14:paraId="1B325BD3"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Case Reporting</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These laws mandate that healthcare providers, laboratories, and others report specific communicable diseases and other illness of public health concern. Reporting requirements vary by state, and may also include poisonings, chemical or radiological exposures, suspected acts of terrorism, and other conditions.</w:t>
      </w:r>
    </w:p>
    <w:p w14:paraId="15A425DB"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75F976B4" w14:textId="63FA5538" w:rsidR="00AF5620" w:rsidRPr="00AF5620" w:rsidRDefault="00AF562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lastRenderedPageBreak/>
        <w:t>Syndromic Surveillance</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State laws may require or authorize reporting to electronic syndromic surveillance systems of information that is routinely gathered in emergency rooms or other places that may indicate an emerging disease or other public health threat before confirmed diagnoses are made.</w:t>
      </w:r>
    </w:p>
    <w:p w14:paraId="04428C0D"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7E4BDB69" w14:textId="554CF43C" w:rsidR="00AF5620" w:rsidRPr="00AF5620" w:rsidRDefault="00AF562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Investigatory Authority</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State laws may specifically grant public health agencies authority to conduct investigations and gather evidence, or such authority may arise from general statutory powers. State laws may also establish procedures for obtaining warrants to search the premises of an individual or business and seize evidence related to a public health threat.</w:t>
      </w:r>
    </w:p>
    <w:p w14:paraId="07288CEA"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3F2D4D72" w14:textId="08037191" w:rsidR="00AF5620" w:rsidRPr="00AF5620" w:rsidRDefault="00AF562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Privacy Provisions</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Public health or other laws may contain provisions to protect the confidentiality of information that identifies an individual and to limit its disclosure by public health agencies. Exceptions may be provided, for example, for disclosing information to other agencies, law enforcement, or the public when necessary to protect the public's health.</w:t>
      </w:r>
    </w:p>
    <w:p w14:paraId="13D21196" w14:textId="77777777" w:rsidR="001D12ED" w:rsidRPr="001D12ED" w:rsidRDefault="001D12ED" w:rsidP="00BE2D7E">
      <w:pPr>
        <w:shd w:val="clear" w:color="auto" w:fill="FFFFFF"/>
        <w:spacing w:line="480" w:lineRule="auto"/>
        <w:textAlignment w:val="baseline"/>
        <w:rPr>
          <w:rFonts w:eastAsia="Times New Roman" w:cstheme="minorHAnsi"/>
          <w:b/>
          <w:bCs/>
          <w:i/>
          <w:iCs/>
          <w:color w:val="000000" w:themeColor="text1"/>
          <w:szCs w:val="20"/>
          <w:bdr w:val="none" w:sz="0" w:space="0" w:color="auto" w:frame="1"/>
        </w:rPr>
      </w:pPr>
    </w:p>
    <w:p w14:paraId="4800E375" w14:textId="39B29A31" w:rsidR="00AF5620" w:rsidRPr="00AF5620" w:rsidRDefault="00AF5620" w:rsidP="00BE2D7E">
      <w:pPr>
        <w:shd w:val="clear" w:color="auto" w:fill="FFFFFF"/>
        <w:spacing w:line="480" w:lineRule="auto"/>
        <w:textAlignment w:val="baseline"/>
        <w:rPr>
          <w:rFonts w:eastAsia="Times New Roman" w:cstheme="minorHAnsi"/>
          <w:color w:val="000000" w:themeColor="text1"/>
          <w:szCs w:val="20"/>
        </w:rPr>
      </w:pPr>
      <w:r w:rsidRPr="00AF5620">
        <w:rPr>
          <w:rFonts w:eastAsia="Times New Roman" w:cstheme="minorHAnsi"/>
          <w:b/>
          <w:bCs/>
          <w:i/>
          <w:iCs/>
          <w:color w:val="000000" w:themeColor="text1"/>
          <w:szCs w:val="20"/>
          <w:bdr w:val="none" w:sz="0" w:space="0" w:color="auto" w:frame="1"/>
        </w:rPr>
        <w:t>Freedom of Information</w:t>
      </w:r>
      <w:r w:rsidRPr="00AF5620">
        <w:rPr>
          <w:rFonts w:eastAsia="Times New Roman" w:cstheme="minorHAnsi"/>
          <w:color w:val="000000" w:themeColor="text1"/>
          <w:szCs w:val="20"/>
        </w:rPr>
        <w:t> </w:t>
      </w:r>
      <w:r w:rsidRPr="00AF5620">
        <w:rPr>
          <w:rFonts w:eastAsia="Times New Roman" w:cstheme="minorHAnsi"/>
          <w:color w:val="000000" w:themeColor="text1"/>
          <w:szCs w:val="20"/>
        </w:rPr>
        <w:br/>
        <w:t xml:space="preserve">All states have laws that require information held by governmental agencies to be provided upon request. FOI laws promote transparency and accountability of governments, facilitate consumers' ability to make informed choices, and safeguard citizens against mismanagement and corruption. Public health agencies—like other governmental agencies—need to be sensitive to these important considerations in responding to FOI requests. At the same time, these laws may create challenges for public health agencies </w:t>
      </w:r>
      <w:proofErr w:type="gramStart"/>
      <w:r w:rsidRPr="00AF5620">
        <w:rPr>
          <w:rFonts w:eastAsia="Times New Roman" w:cstheme="minorHAnsi"/>
          <w:color w:val="000000" w:themeColor="text1"/>
          <w:szCs w:val="20"/>
        </w:rPr>
        <w:t>with regard to</w:t>
      </w:r>
      <w:proofErr w:type="gramEnd"/>
      <w:r w:rsidRPr="00AF5620">
        <w:rPr>
          <w:rFonts w:eastAsia="Times New Roman" w:cstheme="minorHAnsi"/>
          <w:color w:val="000000" w:themeColor="text1"/>
          <w:szCs w:val="20"/>
        </w:rPr>
        <w:t xml:space="preserve"> requests for private information about individuals or sensitive information, such </w:t>
      </w:r>
      <w:r w:rsidRPr="00AF5620">
        <w:rPr>
          <w:rFonts w:eastAsia="Times New Roman" w:cstheme="minorHAnsi"/>
          <w:color w:val="000000" w:themeColor="text1"/>
          <w:szCs w:val="20"/>
        </w:rPr>
        <w:lastRenderedPageBreak/>
        <w:t>as information that is preliminary, incomplete, or might present a national or state security risk. FOI laws include exemptions that may allow public health agencies to withhold private or sensitive information under certain circumstances. These exemptions vary among states in nature, scope, and prerequisites for denying disclosure.</w:t>
      </w:r>
    </w:p>
    <w:p w14:paraId="0534ECFE" w14:textId="77777777" w:rsidR="001D12ED" w:rsidRPr="001D12ED" w:rsidRDefault="001D12ED" w:rsidP="00BE2D7E">
      <w:pPr>
        <w:spacing w:line="480" w:lineRule="auto"/>
        <w:rPr>
          <w:rFonts w:eastAsia="Times New Roman" w:cstheme="minorHAnsi"/>
          <w:b/>
          <w:bCs/>
          <w:color w:val="000000" w:themeColor="text1"/>
          <w:sz w:val="28"/>
          <w:szCs w:val="24"/>
        </w:rPr>
      </w:pPr>
    </w:p>
    <w:p w14:paraId="6522DF8F" w14:textId="7CF95B6A" w:rsidR="00AF5620" w:rsidRPr="00AF5620" w:rsidRDefault="00AF562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Federal Statutes </w:t>
      </w:r>
    </w:p>
    <w:p w14:paraId="05E76BE9" w14:textId="77777777" w:rsidR="00AF5620" w:rsidRPr="00AF5620" w:rsidRDefault="00AF5620" w:rsidP="00BE2D7E">
      <w:pPr>
        <w:shd w:val="clear" w:color="auto" w:fill="FFFFFF"/>
        <w:spacing w:after="225" w:line="480" w:lineRule="auto"/>
        <w:textAlignment w:val="baseline"/>
        <w:rPr>
          <w:rFonts w:eastAsia="Times New Roman" w:cstheme="minorHAnsi"/>
          <w:color w:val="000000" w:themeColor="text1"/>
        </w:rPr>
      </w:pPr>
      <w:r w:rsidRPr="00AF5620">
        <w:rPr>
          <w:rFonts w:eastAsia="Times New Roman" w:cstheme="minorHAnsi"/>
          <w:color w:val="000000" w:themeColor="text1"/>
        </w:rPr>
        <w:t>Federal laws that impact collection, use, disclosure, and protection of information by public health agencies include, but are not limited to, the following.</w:t>
      </w:r>
    </w:p>
    <w:p w14:paraId="1A237FE5"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HIPAA Privacy Rule</w:t>
      </w:r>
      <w:r w:rsidRPr="00AF5620">
        <w:rPr>
          <w:rFonts w:eastAsia="Times New Roman" w:cstheme="minorHAnsi"/>
          <w:color w:val="000000" w:themeColor="text1"/>
        </w:rPr>
        <w:t> </w:t>
      </w:r>
      <w:r w:rsidRPr="00AF5620">
        <w:rPr>
          <w:rFonts w:eastAsia="Times New Roman" w:cstheme="minorHAnsi"/>
          <w:color w:val="000000" w:themeColor="text1"/>
        </w:rPr>
        <w:br/>
        <w:t>The Privacy Rule</w:t>
      </w:r>
      <w:r w:rsidRPr="00AF5620">
        <w:rPr>
          <w:rFonts w:eastAsia="Times New Roman" w:cstheme="minorHAnsi"/>
          <w:color w:val="000000" w:themeColor="text1"/>
          <w:bdr w:val="none" w:sz="0" w:space="0" w:color="auto" w:frame="1"/>
          <w:vertAlign w:val="superscript"/>
        </w:rPr>
        <w:t>10</w:t>
      </w:r>
      <w:r w:rsidRPr="00AF5620">
        <w:rPr>
          <w:rFonts w:eastAsia="Times New Roman" w:cstheme="minorHAnsi"/>
          <w:color w:val="000000" w:themeColor="text1"/>
        </w:rPr>
        <w:t> adopted under the Health Insurance Portability and Accountability Act (HIPAA)</w:t>
      </w:r>
      <w:r w:rsidRPr="00AF5620">
        <w:rPr>
          <w:rFonts w:eastAsia="Times New Roman" w:cstheme="minorHAnsi"/>
          <w:color w:val="000000" w:themeColor="text1"/>
          <w:bdr w:val="none" w:sz="0" w:space="0" w:color="auto" w:frame="1"/>
          <w:vertAlign w:val="superscript"/>
        </w:rPr>
        <w:t>11</w:t>
      </w:r>
      <w:r w:rsidRPr="00AF5620">
        <w:rPr>
          <w:rFonts w:eastAsia="Times New Roman" w:cstheme="minorHAnsi"/>
          <w:color w:val="000000" w:themeColor="text1"/>
        </w:rPr>
        <w:t> established national privacy protections for individually identifiable health information. The Privacy Rule may apply to healthcare providers or others that provide information to public health agencies. Depending on a public health agency's organization, the Privacy Rule may apply to a public health agency when it discloses individually identifiable information. The Privacy Rule is not intended to interfere with public health functions and contains provisions that allow public health agencies to collect identifiable health information and disclose it, including to law enforcement, when authorized by law or when necessary to protect the public from an imminent threat.</w:t>
      </w:r>
    </w:p>
    <w:p w14:paraId="444FA3A9" w14:textId="77777777" w:rsidR="001D12ED" w:rsidRPr="00282399"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5EEE3B26" w14:textId="5A748CEF"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FERPA</w:t>
      </w:r>
      <w:r w:rsidRPr="00AF5620">
        <w:rPr>
          <w:rFonts w:eastAsia="Times New Roman" w:cstheme="minorHAnsi"/>
          <w:color w:val="000000" w:themeColor="text1"/>
        </w:rPr>
        <w:t> </w:t>
      </w:r>
      <w:r w:rsidRPr="00AF5620">
        <w:rPr>
          <w:rFonts w:eastAsia="Times New Roman" w:cstheme="minorHAnsi"/>
          <w:color w:val="000000" w:themeColor="text1"/>
        </w:rPr>
        <w:br/>
        <w:t>Privacy protections established by the Family Educational Rights and Privacy Act (FERPA)</w:t>
      </w:r>
      <w:r w:rsidRPr="00AF5620">
        <w:rPr>
          <w:rFonts w:eastAsia="Times New Roman" w:cstheme="minorHAnsi"/>
          <w:color w:val="000000" w:themeColor="text1"/>
          <w:bdr w:val="none" w:sz="0" w:space="0" w:color="auto" w:frame="1"/>
          <w:vertAlign w:val="superscript"/>
        </w:rPr>
        <w:t>12</w:t>
      </w:r>
      <w:r w:rsidRPr="00AF5620">
        <w:rPr>
          <w:rFonts w:eastAsia="Times New Roman" w:cstheme="minorHAnsi"/>
          <w:color w:val="000000" w:themeColor="text1"/>
        </w:rPr>
        <w:t> limit information that schools may provide to public health agencies about students. However, exceptions allow schools to provide certain directory information, such as student name and contact information, and necessary information to appropriate officials in cases of health and safety emergencies.</w:t>
      </w:r>
      <w:r w:rsidRPr="00AF5620">
        <w:rPr>
          <w:rFonts w:eastAsia="Times New Roman" w:cstheme="minorHAnsi"/>
          <w:color w:val="000000" w:themeColor="text1"/>
          <w:bdr w:val="none" w:sz="0" w:space="0" w:color="auto" w:frame="1"/>
          <w:vertAlign w:val="superscript"/>
        </w:rPr>
        <w:t>13</w:t>
      </w:r>
    </w:p>
    <w:p w14:paraId="2DF8DE0A" w14:textId="77777777" w:rsidR="001D12ED" w:rsidRPr="00282399"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745FFB2A" w14:textId="3E466762"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Surveillance Data Systems</w:t>
      </w:r>
      <w:r w:rsidRPr="00AF5620">
        <w:rPr>
          <w:rFonts w:eastAsia="Times New Roman" w:cstheme="minorHAnsi"/>
          <w:color w:val="000000" w:themeColor="text1"/>
        </w:rPr>
        <w:t> </w:t>
      </w:r>
      <w:r w:rsidRPr="00AF5620">
        <w:rPr>
          <w:rFonts w:eastAsia="Times New Roman" w:cstheme="minorHAnsi"/>
          <w:color w:val="000000" w:themeColor="text1"/>
        </w:rPr>
        <w:br/>
        <w:t>Various federal laws, such as the Public Health Security and Bioterrorism Preparedness Act of 2002,</w:t>
      </w:r>
      <w:r w:rsidRPr="00AF5620">
        <w:rPr>
          <w:rFonts w:eastAsia="Times New Roman" w:cstheme="minorHAnsi"/>
          <w:color w:val="000000" w:themeColor="text1"/>
          <w:bdr w:val="none" w:sz="0" w:space="0" w:color="auto" w:frame="1"/>
          <w:vertAlign w:val="superscript"/>
        </w:rPr>
        <w:t>14</w:t>
      </w:r>
      <w:r w:rsidRPr="00AF5620">
        <w:rPr>
          <w:rFonts w:eastAsia="Times New Roman" w:cstheme="minorHAnsi"/>
          <w:color w:val="000000" w:themeColor="text1"/>
        </w:rPr>
        <w:t> establish surveillance data systems that allow collection of information provided by state and local governmental agencies and integration of federal, state, and local data systems.</w:t>
      </w:r>
    </w:p>
    <w:p w14:paraId="03D5394B" w14:textId="77777777" w:rsidR="001D12ED" w:rsidRPr="00282399" w:rsidRDefault="001D12ED" w:rsidP="00BE2D7E">
      <w:pPr>
        <w:shd w:val="clear" w:color="auto" w:fill="FFFFFF"/>
        <w:spacing w:line="480" w:lineRule="auto"/>
        <w:textAlignment w:val="baseline"/>
        <w:rPr>
          <w:rFonts w:eastAsia="Times New Roman" w:cstheme="minorHAnsi"/>
          <w:b/>
          <w:bCs/>
          <w:i/>
          <w:iCs/>
          <w:color w:val="000000" w:themeColor="text1"/>
          <w:bdr w:val="none" w:sz="0" w:space="0" w:color="auto" w:frame="1"/>
        </w:rPr>
      </w:pPr>
    </w:p>
    <w:p w14:paraId="21337CB6" w14:textId="3F6AEB64" w:rsidR="00AF5620" w:rsidRPr="00282399"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Critical Infrastructure</w:t>
      </w:r>
      <w:r w:rsidRPr="00AF5620">
        <w:rPr>
          <w:rFonts w:eastAsia="Times New Roman" w:cstheme="minorHAnsi"/>
          <w:b/>
          <w:bCs/>
          <w:i/>
          <w:iCs/>
          <w:color w:val="000000" w:themeColor="text1"/>
          <w:bdr w:val="none" w:sz="0" w:space="0" w:color="auto" w:frame="1"/>
        </w:rPr>
        <w:br/>
      </w:r>
      <w:r w:rsidRPr="00AF5620">
        <w:rPr>
          <w:rFonts w:eastAsia="Times New Roman" w:cstheme="minorHAnsi"/>
          <w:color w:val="000000" w:themeColor="text1"/>
        </w:rPr>
        <w:t>Confidentiality requirements apply to federal disclosure of certain information to state or local governmental agencies related to critical infrastructure and supplies and resources to protect the public's health. For example, federal law protects the confidentiality of information voluntarily provided by the private sector to the federal government regarding vaccine tracking and distribution</w:t>
      </w:r>
      <w:r w:rsidRPr="00AF5620">
        <w:rPr>
          <w:rFonts w:eastAsia="Times New Roman" w:cstheme="minorHAnsi"/>
          <w:color w:val="000000" w:themeColor="text1"/>
          <w:bdr w:val="none" w:sz="0" w:space="0" w:color="auto" w:frame="1"/>
          <w:vertAlign w:val="superscript"/>
        </w:rPr>
        <w:t>15</w:t>
      </w:r>
      <w:r w:rsidRPr="00AF5620">
        <w:rPr>
          <w:rFonts w:eastAsia="Times New Roman" w:cstheme="minorHAnsi"/>
          <w:color w:val="000000" w:themeColor="text1"/>
        </w:rPr>
        <w:t> and information about critical infrastructure.</w:t>
      </w:r>
      <w:r w:rsidRPr="00AF5620">
        <w:rPr>
          <w:rFonts w:eastAsia="Times New Roman" w:cstheme="minorHAnsi"/>
          <w:color w:val="000000" w:themeColor="text1"/>
          <w:bdr w:val="none" w:sz="0" w:space="0" w:color="auto" w:frame="1"/>
          <w:vertAlign w:val="superscript"/>
        </w:rPr>
        <w:t>16</w:t>
      </w:r>
      <w:r w:rsidRPr="00AF5620">
        <w:rPr>
          <w:rFonts w:eastAsia="Times New Roman" w:cstheme="minorHAnsi"/>
          <w:color w:val="000000" w:themeColor="text1"/>
        </w:rPr>
        <w:t> Although the federal government may share this information with state and local government and agencies, those agencies must protect its confidentiality.</w:t>
      </w:r>
    </w:p>
    <w:p w14:paraId="6E4429A1" w14:textId="47FDEF5D" w:rsidR="002503B4" w:rsidRPr="00282399" w:rsidRDefault="002503B4" w:rsidP="00BE2D7E">
      <w:pPr>
        <w:shd w:val="clear" w:color="auto" w:fill="FFFFFF"/>
        <w:spacing w:line="480" w:lineRule="auto"/>
        <w:textAlignment w:val="baseline"/>
        <w:rPr>
          <w:rFonts w:eastAsia="Times New Roman" w:cstheme="minorHAnsi"/>
          <w:color w:val="000000" w:themeColor="text1"/>
        </w:rPr>
      </w:pPr>
    </w:p>
    <w:p w14:paraId="2D15A6E4" w14:textId="77777777" w:rsidR="002503B4" w:rsidRPr="00AF5620" w:rsidRDefault="002503B4"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Practice Notes</w:t>
      </w:r>
    </w:p>
    <w:p w14:paraId="32B049FA"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Identify information to be obtained or shared.</w:t>
      </w:r>
    </w:p>
    <w:p w14:paraId="3012CACC"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Identify the purpose for which the information is needed.</w:t>
      </w:r>
    </w:p>
    <w:p w14:paraId="5BFAB8D1"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Determine whether this is the minimum necessary for the purpose or whether de-identified information will serve the purpose.</w:t>
      </w:r>
    </w:p>
    <w:p w14:paraId="3C91196B"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Identify sources for the information, such as healthcare providers, schools, other businesses, and individuals.</w:t>
      </w:r>
    </w:p>
    <w:p w14:paraId="25890280"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Identify applicable federal or state laws.</w:t>
      </w:r>
    </w:p>
    <w:p w14:paraId="1431C02B" w14:textId="77777777"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lastRenderedPageBreak/>
        <w:t>Determine and meet conditions or requirements for obtaining or sharing information; in some situations, an individual’s consent may avoid legal issues when disclosing private information.</w:t>
      </w:r>
    </w:p>
    <w:p w14:paraId="46E9AD86" w14:textId="3C50A0C2" w:rsidR="002503B4" w:rsidRPr="00282399" w:rsidRDefault="002503B4" w:rsidP="00BE2D7E">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282399">
        <w:rPr>
          <w:rFonts w:eastAsia="Times New Roman" w:cstheme="minorHAnsi"/>
          <w:color w:val="000000" w:themeColor="text1"/>
        </w:rPr>
        <w:t>If privacy protections prevent disclosures necessary to protect the public, consult with counsel to identify relevant legal responsibilities, evaluate competing moral claims, and document determined course of action.</w:t>
      </w:r>
    </w:p>
    <w:p w14:paraId="1E9A2B1F" w14:textId="77777777" w:rsidR="002503B4" w:rsidRPr="00AF5620" w:rsidRDefault="002503B4" w:rsidP="00BE2D7E">
      <w:pPr>
        <w:shd w:val="clear" w:color="auto" w:fill="FFFFFF"/>
        <w:spacing w:line="480" w:lineRule="auto"/>
        <w:textAlignment w:val="baseline"/>
        <w:rPr>
          <w:rFonts w:eastAsia="Times New Roman" w:cstheme="minorHAnsi"/>
          <w:color w:val="000000" w:themeColor="text1"/>
        </w:rPr>
      </w:pPr>
    </w:p>
    <w:p w14:paraId="00F61A1E"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b/>
          <w:bCs/>
          <w:i/>
          <w:iCs/>
          <w:color w:val="000000" w:themeColor="text1"/>
          <w:bdr w:val="none" w:sz="0" w:space="0" w:color="auto" w:frame="1"/>
        </w:rPr>
        <w:t>Practice Resource</w:t>
      </w:r>
    </w:p>
    <w:p w14:paraId="7C549FE0" w14:textId="77777777" w:rsidR="00AF5620" w:rsidRPr="00AF5620" w:rsidRDefault="00AF5620" w:rsidP="00BE2D7E">
      <w:pPr>
        <w:shd w:val="clear" w:color="auto" w:fill="FFFFFF"/>
        <w:spacing w:line="480" w:lineRule="auto"/>
        <w:textAlignment w:val="baseline"/>
        <w:rPr>
          <w:rFonts w:eastAsia="Times New Roman" w:cstheme="minorHAnsi"/>
          <w:color w:val="000000" w:themeColor="text1"/>
        </w:rPr>
      </w:pPr>
      <w:r w:rsidRPr="00AF5620">
        <w:rPr>
          <w:rFonts w:eastAsia="Times New Roman" w:cstheme="minorHAnsi"/>
          <w:color w:val="000000" w:themeColor="text1"/>
        </w:rPr>
        <w:t>The Reporters Committee for Freedom of the Press provides the Open Government Guide at </w:t>
      </w:r>
      <w:hyperlink r:id="rId10" w:history="1">
        <w:r w:rsidRPr="00AF5620">
          <w:rPr>
            <w:rFonts w:eastAsia="Times New Roman" w:cstheme="minorHAnsi"/>
            <w:color w:val="4472C4" w:themeColor="accent1"/>
            <w:u w:val="single"/>
            <w:bdr w:val="none" w:sz="0" w:space="0" w:color="auto" w:frame="1"/>
          </w:rPr>
          <w:t>http://www.rcfp.org/open-government-guide</w:t>
        </w:r>
      </w:hyperlink>
      <w:r w:rsidRPr="00AF5620">
        <w:rPr>
          <w:rFonts w:eastAsia="Times New Roman" w:cstheme="minorHAnsi"/>
          <w:color w:val="000000" w:themeColor="text1"/>
        </w:rPr>
        <w:t>, which is a complete compendium of information on every state's open records and open meetings laws. Each state's section is arranged according to a standard outline, making it easy to compare laws in various states.</w:t>
      </w:r>
    </w:p>
    <w:p w14:paraId="5586504E" w14:textId="29753175" w:rsidR="00AF5620" w:rsidRDefault="00AF5620" w:rsidP="00BE2D7E">
      <w:pPr>
        <w:spacing w:line="480" w:lineRule="auto"/>
        <w:rPr>
          <w:rFonts w:eastAsia="Times New Roman" w:cstheme="minorHAnsi"/>
          <w:color w:val="000000" w:themeColor="text1"/>
        </w:rPr>
      </w:pPr>
    </w:p>
    <w:p w14:paraId="0FF730C5" w14:textId="59043CCA" w:rsidR="00282399" w:rsidRPr="00AF5620" w:rsidRDefault="00282399" w:rsidP="00BE2D7E">
      <w:pPr>
        <w:spacing w:line="480" w:lineRule="auto"/>
        <w:rPr>
          <w:rFonts w:eastAsia="Times New Roman" w:cstheme="minorHAnsi"/>
          <w:color w:val="000000" w:themeColor="text1"/>
        </w:rPr>
      </w:pPr>
      <w:r>
        <w:rPr>
          <w:rFonts w:eastAsia="Times New Roman" w:cstheme="minorHAnsi"/>
          <w:color w:val="000000" w:themeColor="text1"/>
        </w:rPr>
        <w:t>_________________________________________________________________________</w:t>
      </w:r>
    </w:p>
    <w:p w14:paraId="1CC3B65A" w14:textId="77777777" w:rsidR="00AF5620" w:rsidRPr="00AF5620" w:rsidRDefault="00AF5620" w:rsidP="00BE2D7E">
      <w:pPr>
        <w:spacing w:line="480" w:lineRule="auto"/>
        <w:rPr>
          <w:rFonts w:eastAsia="Times New Roman" w:cstheme="minorHAnsi"/>
          <w:b/>
          <w:bCs/>
          <w:color w:val="3C3030"/>
          <w:sz w:val="24"/>
          <w:szCs w:val="24"/>
        </w:rPr>
      </w:pPr>
      <w:r w:rsidRPr="00AF5620">
        <w:rPr>
          <w:rFonts w:eastAsia="Times New Roman" w:cstheme="minorHAnsi"/>
          <w:b/>
          <w:bCs/>
          <w:color w:val="3C3030"/>
          <w:sz w:val="24"/>
          <w:szCs w:val="24"/>
        </w:rPr>
        <w:t>Sources</w:t>
      </w:r>
    </w:p>
    <w:p w14:paraId="1B375165"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 xml:space="preserve">U.S. Const., </w:t>
      </w:r>
      <w:proofErr w:type="spellStart"/>
      <w:r w:rsidRPr="00AF5620">
        <w:rPr>
          <w:rFonts w:eastAsia="Times New Roman" w:cstheme="minorHAnsi"/>
          <w:szCs w:val="20"/>
        </w:rPr>
        <w:t>Amds</w:t>
      </w:r>
      <w:proofErr w:type="spellEnd"/>
      <w:r w:rsidRPr="00AF5620">
        <w:rPr>
          <w:rFonts w:eastAsia="Times New Roman" w:cstheme="minorHAnsi"/>
          <w:szCs w:val="20"/>
        </w:rPr>
        <w:t xml:space="preserve"> 1-10.</w:t>
      </w:r>
    </w:p>
    <w:p w14:paraId="343A5A19"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Whalen v. Roe</w:t>
      </w:r>
      <w:r w:rsidRPr="00AF5620">
        <w:rPr>
          <w:rFonts w:eastAsia="Times New Roman" w:cstheme="minorHAnsi"/>
          <w:szCs w:val="20"/>
        </w:rPr>
        <w:t>, 429 U.S. 589 (1977).</w:t>
      </w:r>
    </w:p>
    <w:p w14:paraId="3D9F32B8"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Whalen v. Roe</w:t>
      </w:r>
      <w:r w:rsidRPr="00AF5620">
        <w:rPr>
          <w:rFonts w:eastAsia="Times New Roman" w:cstheme="minorHAnsi"/>
          <w:szCs w:val="20"/>
        </w:rPr>
        <w:t>, 429 U.S. 589 (1977); </w:t>
      </w:r>
      <w:r w:rsidRPr="00AF5620">
        <w:rPr>
          <w:rFonts w:eastAsia="Times New Roman" w:cstheme="minorHAnsi"/>
          <w:i/>
          <w:iCs/>
          <w:szCs w:val="20"/>
          <w:bdr w:val="none" w:sz="0" w:space="0" w:color="auto" w:frame="1"/>
        </w:rPr>
        <w:t>Planned Parenthood of Missouri v. Danforth</w:t>
      </w:r>
      <w:r w:rsidRPr="00AF5620">
        <w:rPr>
          <w:rFonts w:eastAsia="Times New Roman" w:cstheme="minorHAnsi"/>
          <w:szCs w:val="20"/>
        </w:rPr>
        <w:t>, 428 U.S. 52 (1976).</w:t>
      </w:r>
    </w:p>
    <w:p w14:paraId="1F699B2E"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 xml:space="preserve">Florida v. </w:t>
      </w:r>
      <w:proofErr w:type="spellStart"/>
      <w:r w:rsidRPr="00AF5620">
        <w:rPr>
          <w:rFonts w:eastAsia="Times New Roman" w:cstheme="minorHAnsi"/>
          <w:i/>
          <w:iCs/>
          <w:szCs w:val="20"/>
          <w:bdr w:val="none" w:sz="0" w:space="0" w:color="auto" w:frame="1"/>
        </w:rPr>
        <w:t>Jimeno</w:t>
      </w:r>
      <w:proofErr w:type="spellEnd"/>
      <w:r w:rsidRPr="00AF5620">
        <w:rPr>
          <w:rFonts w:eastAsia="Times New Roman" w:cstheme="minorHAnsi"/>
          <w:szCs w:val="20"/>
        </w:rPr>
        <w:t>, 500 U.S. 248 (1991).</w:t>
      </w:r>
    </w:p>
    <w:p w14:paraId="3173017D"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proofErr w:type="spellStart"/>
      <w:r w:rsidRPr="00AF5620">
        <w:rPr>
          <w:rFonts w:eastAsia="Times New Roman" w:cstheme="minorHAnsi"/>
          <w:i/>
          <w:iCs/>
          <w:szCs w:val="20"/>
          <w:bdr w:val="none" w:sz="0" w:space="0" w:color="auto" w:frame="1"/>
        </w:rPr>
        <w:t>Camara</w:t>
      </w:r>
      <w:proofErr w:type="spellEnd"/>
      <w:r w:rsidRPr="00AF5620">
        <w:rPr>
          <w:rFonts w:eastAsia="Times New Roman" w:cstheme="minorHAnsi"/>
          <w:i/>
          <w:iCs/>
          <w:szCs w:val="20"/>
          <w:bdr w:val="none" w:sz="0" w:space="0" w:color="auto" w:frame="1"/>
        </w:rPr>
        <w:t xml:space="preserve"> v. Municipal Court</w:t>
      </w:r>
      <w:r w:rsidRPr="00AF5620">
        <w:rPr>
          <w:rFonts w:eastAsia="Times New Roman" w:cstheme="minorHAnsi"/>
          <w:szCs w:val="20"/>
        </w:rPr>
        <w:t>, 387 U.S. 523 (1967) (search of residences); </w:t>
      </w:r>
      <w:r w:rsidRPr="00AF5620">
        <w:rPr>
          <w:rFonts w:eastAsia="Times New Roman" w:cstheme="minorHAnsi"/>
          <w:i/>
          <w:iCs/>
          <w:szCs w:val="20"/>
          <w:bdr w:val="none" w:sz="0" w:space="0" w:color="auto" w:frame="1"/>
        </w:rPr>
        <w:t>See v. City of Seattle</w:t>
      </w:r>
      <w:r w:rsidRPr="00AF5620">
        <w:rPr>
          <w:rFonts w:eastAsia="Times New Roman" w:cstheme="minorHAnsi"/>
          <w:szCs w:val="20"/>
        </w:rPr>
        <w:t>, 387 US 541 (1967) (search of commercial property).</w:t>
      </w:r>
    </w:p>
    <w:p w14:paraId="240CE0B8"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New York v. Burger</w:t>
      </w:r>
      <w:r w:rsidRPr="00AF5620">
        <w:rPr>
          <w:rFonts w:eastAsia="Times New Roman" w:cstheme="minorHAnsi"/>
          <w:szCs w:val="20"/>
        </w:rPr>
        <w:t>, 482 US 691 (1987).</w:t>
      </w:r>
    </w:p>
    <w:p w14:paraId="1D15B130"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proofErr w:type="spellStart"/>
      <w:r w:rsidRPr="00AF5620">
        <w:rPr>
          <w:rFonts w:eastAsia="Times New Roman" w:cstheme="minorHAnsi"/>
          <w:szCs w:val="20"/>
        </w:rPr>
        <w:t>Gostin</w:t>
      </w:r>
      <w:proofErr w:type="spellEnd"/>
      <w:r w:rsidRPr="00AF5620">
        <w:rPr>
          <w:rFonts w:eastAsia="Times New Roman" w:cstheme="minorHAnsi"/>
          <w:szCs w:val="20"/>
        </w:rPr>
        <w:t xml:space="preserve"> LO. </w:t>
      </w:r>
      <w:r w:rsidRPr="00AF5620">
        <w:rPr>
          <w:rFonts w:eastAsia="Times New Roman" w:cstheme="minorHAnsi"/>
          <w:i/>
          <w:iCs/>
          <w:szCs w:val="20"/>
          <w:bdr w:val="none" w:sz="0" w:space="0" w:color="auto" w:frame="1"/>
        </w:rPr>
        <w:t>Public Health Law - Power, Duty, Restraint</w:t>
      </w:r>
      <w:r w:rsidRPr="00AF5620">
        <w:rPr>
          <w:rFonts w:eastAsia="Times New Roman" w:cstheme="minorHAnsi"/>
          <w:szCs w:val="20"/>
        </w:rPr>
        <w:t>. (2008), p 468, 699-700. </w:t>
      </w:r>
      <w:r w:rsidRPr="00AF5620">
        <w:rPr>
          <w:rFonts w:eastAsia="Times New Roman" w:cstheme="minorHAnsi"/>
          <w:i/>
          <w:iCs/>
          <w:szCs w:val="20"/>
          <w:bdr w:val="none" w:sz="0" w:space="0" w:color="auto" w:frame="1"/>
        </w:rPr>
        <w:t>See</w:t>
      </w:r>
      <w:r w:rsidRPr="00AF5620">
        <w:rPr>
          <w:rFonts w:eastAsia="Times New Roman" w:cstheme="minorHAnsi"/>
          <w:szCs w:val="20"/>
        </w:rPr>
        <w:t> endnotes 57-58.</w:t>
      </w:r>
    </w:p>
    <w:p w14:paraId="643B36B5"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i/>
          <w:iCs/>
          <w:szCs w:val="20"/>
          <w:bdr w:val="none" w:sz="0" w:space="0" w:color="auto" w:frame="1"/>
        </w:rPr>
        <w:t>Michigan v. Tyler</w:t>
      </w:r>
      <w:r w:rsidRPr="00AF5620">
        <w:rPr>
          <w:rFonts w:eastAsia="Times New Roman" w:cstheme="minorHAnsi"/>
          <w:szCs w:val="20"/>
        </w:rPr>
        <w:t>, 436 U.S. 499 (1978).</w:t>
      </w:r>
    </w:p>
    <w:p w14:paraId="4EAEA767"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lastRenderedPageBreak/>
        <w:t>Richards, EP. "Collaboration between Public Health and Law Enforcement: The Constitutional Challenge. Emerging Infectious Diseases." Available at </w:t>
      </w:r>
      <w:hyperlink r:id="rId11" w:history="1">
        <w:r w:rsidRPr="00AF5620">
          <w:rPr>
            <w:rFonts w:eastAsia="Times New Roman" w:cstheme="minorHAnsi"/>
            <w:color w:val="0F88B8"/>
            <w:szCs w:val="20"/>
            <w:u w:val="single"/>
            <w:bdr w:val="none" w:sz="0" w:space="0" w:color="auto" w:frame="1"/>
          </w:rPr>
          <w:t>http://wwwnc.cdc.gov/eid/article/8/10/02-0465_article.htm</w:t>
        </w:r>
      </w:hyperlink>
      <w:r w:rsidRPr="00AF5620">
        <w:rPr>
          <w:rFonts w:eastAsia="Times New Roman" w:cstheme="minorHAnsi"/>
          <w:color w:val="737373"/>
          <w:szCs w:val="20"/>
        </w:rPr>
        <w:t xml:space="preserve">. </w:t>
      </w:r>
      <w:r w:rsidRPr="00AF5620">
        <w:rPr>
          <w:rFonts w:eastAsia="Times New Roman" w:cstheme="minorHAnsi"/>
          <w:szCs w:val="20"/>
        </w:rPr>
        <w:t xml:space="preserve">Accessed 11-15-2012. Goodman, R.A., Munson, JW, </w:t>
      </w:r>
      <w:proofErr w:type="spellStart"/>
      <w:r w:rsidRPr="00AF5620">
        <w:rPr>
          <w:rFonts w:eastAsia="Times New Roman" w:cstheme="minorHAnsi"/>
          <w:szCs w:val="20"/>
        </w:rPr>
        <w:t>Dammer</w:t>
      </w:r>
      <w:proofErr w:type="spellEnd"/>
      <w:r w:rsidRPr="00AF5620">
        <w:rPr>
          <w:rFonts w:eastAsia="Times New Roman" w:cstheme="minorHAnsi"/>
          <w:szCs w:val="20"/>
        </w:rPr>
        <w:t xml:space="preserve">, K., </w:t>
      </w:r>
      <w:proofErr w:type="spellStart"/>
      <w:r w:rsidRPr="00AF5620">
        <w:rPr>
          <w:rFonts w:eastAsia="Times New Roman" w:cstheme="minorHAnsi"/>
          <w:szCs w:val="20"/>
        </w:rPr>
        <w:t>Lazzarini</w:t>
      </w:r>
      <w:proofErr w:type="spellEnd"/>
      <w:r w:rsidRPr="00AF5620">
        <w:rPr>
          <w:rFonts w:eastAsia="Times New Roman" w:cstheme="minorHAnsi"/>
          <w:szCs w:val="20"/>
        </w:rPr>
        <w:t xml:space="preserve">, Z., and </w:t>
      </w:r>
      <w:proofErr w:type="spellStart"/>
      <w:r w:rsidRPr="00AF5620">
        <w:rPr>
          <w:rFonts w:eastAsia="Times New Roman" w:cstheme="minorHAnsi"/>
          <w:szCs w:val="20"/>
        </w:rPr>
        <w:t>Barkely</w:t>
      </w:r>
      <w:proofErr w:type="spellEnd"/>
      <w:r w:rsidRPr="00AF5620">
        <w:rPr>
          <w:rFonts w:eastAsia="Times New Roman" w:cstheme="minorHAnsi"/>
          <w:szCs w:val="20"/>
        </w:rPr>
        <w:t xml:space="preserve"> JP. "Forensic Epidemiology: Law at the Intersection of Public Health and Criminal Investigations." </w:t>
      </w:r>
      <w:r w:rsidRPr="00AF5620">
        <w:rPr>
          <w:rFonts w:eastAsia="Times New Roman" w:cstheme="minorHAnsi"/>
          <w:i/>
          <w:iCs/>
          <w:szCs w:val="20"/>
          <w:bdr w:val="none" w:sz="0" w:space="0" w:color="auto" w:frame="1"/>
        </w:rPr>
        <w:t>Journal of the American Society of Law, Medicine &amp; Ethics</w:t>
      </w:r>
      <w:r w:rsidRPr="00AF5620">
        <w:rPr>
          <w:rFonts w:eastAsia="Times New Roman" w:cstheme="minorHAnsi"/>
          <w:szCs w:val="20"/>
        </w:rPr>
        <w:t>. Available at</w:t>
      </w:r>
      <w:r w:rsidRPr="00AF5620">
        <w:rPr>
          <w:rFonts w:eastAsia="Times New Roman" w:cstheme="minorHAnsi"/>
          <w:color w:val="737373"/>
          <w:szCs w:val="20"/>
        </w:rPr>
        <w:t> </w:t>
      </w:r>
      <w:hyperlink r:id="rId12" w:history="1">
        <w:r w:rsidRPr="00AF5620">
          <w:rPr>
            <w:rFonts w:eastAsia="Times New Roman" w:cstheme="minorHAnsi"/>
            <w:color w:val="0F88B8"/>
            <w:szCs w:val="20"/>
            <w:u w:val="single"/>
            <w:bdr w:val="none" w:sz="0" w:space="0" w:color="auto" w:frame="1"/>
          </w:rPr>
          <w:t>http://www.ncbi.nlm.nih.gov/pubmed/14968670</w:t>
        </w:r>
      </w:hyperlink>
      <w:r w:rsidRPr="00AF5620">
        <w:rPr>
          <w:rFonts w:eastAsia="Times New Roman" w:cstheme="minorHAnsi"/>
          <w:color w:val="737373"/>
          <w:szCs w:val="20"/>
        </w:rPr>
        <w:t xml:space="preserve">. </w:t>
      </w:r>
      <w:r w:rsidRPr="00AF5620">
        <w:rPr>
          <w:rFonts w:eastAsia="Times New Roman" w:cstheme="minorHAnsi"/>
          <w:szCs w:val="20"/>
        </w:rPr>
        <w:t>Accessed on 2-7-2013.</w:t>
      </w:r>
    </w:p>
    <w:p w14:paraId="1D58F89B"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45 C.F.R. Parts 160 and 164.</w:t>
      </w:r>
    </w:p>
    <w:p w14:paraId="79461225"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Pub. L. 104-191, 42 U.S.C. § 300gg </w:t>
      </w:r>
      <w:r w:rsidRPr="00AF5620">
        <w:rPr>
          <w:rFonts w:eastAsia="Times New Roman" w:cstheme="minorHAnsi"/>
          <w:i/>
          <w:iCs/>
          <w:szCs w:val="20"/>
          <w:bdr w:val="none" w:sz="0" w:space="0" w:color="auto" w:frame="1"/>
        </w:rPr>
        <w:t>et seq</w:t>
      </w:r>
      <w:r w:rsidRPr="00AF5620">
        <w:rPr>
          <w:rFonts w:eastAsia="Times New Roman" w:cstheme="minorHAnsi"/>
          <w:szCs w:val="20"/>
        </w:rPr>
        <w:t>.</w:t>
      </w:r>
    </w:p>
    <w:p w14:paraId="10330C5B"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Pub. L. 93-380, 20 U.S.C. § 1232g, implemented by 34 C.F.R. Part 99.</w:t>
      </w:r>
    </w:p>
    <w:p w14:paraId="116DBCBA"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34 C.F.R. § 99.31.</w:t>
      </w:r>
    </w:p>
    <w:p w14:paraId="39EDF1DB"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Pub. L. 107-188, 42 U.S.C. 300hh </w:t>
      </w:r>
      <w:r w:rsidRPr="00AF5620">
        <w:rPr>
          <w:rFonts w:eastAsia="Times New Roman" w:cstheme="minorHAnsi"/>
          <w:i/>
          <w:iCs/>
          <w:szCs w:val="20"/>
          <w:bdr w:val="none" w:sz="0" w:space="0" w:color="auto" w:frame="1"/>
        </w:rPr>
        <w:t>et seq</w:t>
      </w:r>
      <w:r w:rsidRPr="00AF5620">
        <w:rPr>
          <w:rFonts w:eastAsia="Times New Roman" w:cstheme="minorHAnsi"/>
          <w:szCs w:val="20"/>
        </w:rPr>
        <w:t>.</w:t>
      </w:r>
    </w:p>
    <w:p w14:paraId="78642091"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Public Health Service Act, 42 U.S.C. § 247d-1.</w:t>
      </w:r>
    </w:p>
    <w:p w14:paraId="34425BDA" w14:textId="77777777" w:rsidR="00AF5620" w:rsidRPr="00AF5620" w:rsidRDefault="00AF5620" w:rsidP="00BE2D7E">
      <w:pPr>
        <w:numPr>
          <w:ilvl w:val="0"/>
          <w:numId w:val="2"/>
        </w:numPr>
        <w:spacing w:line="480" w:lineRule="auto"/>
        <w:ind w:left="450"/>
        <w:textAlignment w:val="baseline"/>
        <w:rPr>
          <w:rFonts w:eastAsia="Times New Roman" w:cstheme="minorHAnsi"/>
          <w:szCs w:val="20"/>
        </w:rPr>
      </w:pPr>
      <w:r w:rsidRPr="00AF5620">
        <w:rPr>
          <w:rFonts w:eastAsia="Times New Roman" w:cstheme="minorHAnsi"/>
          <w:szCs w:val="20"/>
        </w:rPr>
        <w:t>Critical Infrastructure Information Act of 2002, Pub. L. 107-296, 6 U.S.C. 131 </w:t>
      </w:r>
      <w:r w:rsidRPr="00AF5620">
        <w:rPr>
          <w:rFonts w:eastAsia="Times New Roman" w:cstheme="minorHAnsi"/>
          <w:i/>
          <w:iCs/>
          <w:szCs w:val="20"/>
          <w:bdr w:val="none" w:sz="0" w:space="0" w:color="auto" w:frame="1"/>
        </w:rPr>
        <w:t>et seq</w:t>
      </w:r>
      <w:r w:rsidRPr="00AF5620">
        <w:rPr>
          <w:rFonts w:eastAsia="Times New Roman" w:cstheme="minorHAnsi"/>
          <w:szCs w:val="20"/>
        </w:rPr>
        <w:t>., which is part of the Homeland Security Act of 2002. </w:t>
      </w:r>
    </w:p>
    <w:p w14:paraId="4590311B" w14:textId="03987954" w:rsidR="00B75B7F" w:rsidRPr="00282399" w:rsidRDefault="00B75B7F" w:rsidP="00BE2D7E">
      <w:pPr>
        <w:shd w:val="clear" w:color="auto" w:fill="FFFFFF"/>
        <w:spacing w:after="225" w:line="480" w:lineRule="auto"/>
        <w:textAlignment w:val="baseline"/>
        <w:rPr>
          <w:rFonts w:eastAsia="Times New Roman" w:cstheme="minorHAnsi"/>
          <w:szCs w:val="20"/>
        </w:rPr>
      </w:pPr>
    </w:p>
    <w:sectPr w:rsidR="00B75B7F" w:rsidRPr="0028239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F1F1AF" w14:textId="77777777" w:rsidR="004D545D" w:rsidRDefault="004D545D" w:rsidP="00BA0424">
      <w:r>
        <w:separator/>
      </w:r>
    </w:p>
  </w:endnote>
  <w:endnote w:type="continuationSeparator" w:id="0">
    <w:p w14:paraId="0A47CC18" w14:textId="77777777" w:rsidR="004D545D" w:rsidRDefault="004D545D" w:rsidP="00BA0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54332"/>
      <w:docPartObj>
        <w:docPartGallery w:val="Page Numbers (Bottom of Page)"/>
        <w:docPartUnique/>
      </w:docPartObj>
    </w:sdtPr>
    <w:sdtEndPr>
      <w:rPr>
        <w:noProof/>
      </w:rPr>
    </w:sdtEndPr>
    <w:sdtContent>
      <w:p w14:paraId="4F7D8595" w14:textId="15AC7042" w:rsidR="00BA0424" w:rsidRDefault="00BA0424" w:rsidP="00BA042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A3E8F" w14:textId="77777777" w:rsidR="004D545D" w:rsidRDefault="004D545D" w:rsidP="00BA0424">
      <w:r>
        <w:separator/>
      </w:r>
    </w:p>
  </w:footnote>
  <w:footnote w:type="continuationSeparator" w:id="0">
    <w:p w14:paraId="301E7826" w14:textId="77777777" w:rsidR="004D545D" w:rsidRDefault="004D545D" w:rsidP="00BA0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B13AB"/>
    <w:multiLevelType w:val="multilevel"/>
    <w:tmpl w:val="86AE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1345E9"/>
    <w:multiLevelType w:val="hybridMultilevel"/>
    <w:tmpl w:val="83EEA9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6F1155"/>
    <w:multiLevelType w:val="multilevel"/>
    <w:tmpl w:val="3B56A6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20"/>
    <w:rsid w:val="00151278"/>
    <w:rsid w:val="001D12ED"/>
    <w:rsid w:val="002503B4"/>
    <w:rsid w:val="00282399"/>
    <w:rsid w:val="00476446"/>
    <w:rsid w:val="004D545D"/>
    <w:rsid w:val="00AF5620"/>
    <w:rsid w:val="00B75B7F"/>
    <w:rsid w:val="00BA0424"/>
    <w:rsid w:val="00BE2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103ED"/>
  <w15:chartTrackingRefBased/>
  <w15:docId w15:val="{0A1CE967-B25C-4EB6-A770-E2F25C39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F562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F5620"/>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562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F562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F5620"/>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F5620"/>
    <w:rPr>
      <w:color w:val="0000FF"/>
      <w:u w:val="single"/>
    </w:rPr>
  </w:style>
  <w:style w:type="character" w:styleId="Emphasis">
    <w:name w:val="Emphasis"/>
    <w:basedOn w:val="DefaultParagraphFont"/>
    <w:uiPriority w:val="20"/>
    <w:qFormat/>
    <w:rsid w:val="00AF5620"/>
    <w:rPr>
      <w:i/>
      <w:iCs/>
    </w:rPr>
  </w:style>
  <w:style w:type="paragraph" w:styleId="Header">
    <w:name w:val="header"/>
    <w:basedOn w:val="Normal"/>
    <w:link w:val="HeaderChar"/>
    <w:uiPriority w:val="99"/>
    <w:unhideWhenUsed/>
    <w:rsid w:val="00BA0424"/>
    <w:pPr>
      <w:tabs>
        <w:tab w:val="center" w:pos="4680"/>
        <w:tab w:val="right" w:pos="9360"/>
      </w:tabs>
    </w:pPr>
  </w:style>
  <w:style w:type="character" w:customStyle="1" w:styleId="HeaderChar">
    <w:name w:val="Header Char"/>
    <w:basedOn w:val="DefaultParagraphFont"/>
    <w:link w:val="Header"/>
    <w:uiPriority w:val="99"/>
    <w:rsid w:val="00BA0424"/>
  </w:style>
  <w:style w:type="paragraph" w:styleId="Footer">
    <w:name w:val="footer"/>
    <w:basedOn w:val="Normal"/>
    <w:link w:val="FooterChar"/>
    <w:uiPriority w:val="99"/>
    <w:unhideWhenUsed/>
    <w:rsid w:val="00BA0424"/>
    <w:pPr>
      <w:tabs>
        <w:tab w:val="center" w:pos="4680"/>
        <w:tab w:val="right" w:pos="9360"/>
      </w:tabs>
    </w:pPr>
  </w:style>
  <w:style w:type="character" w:customStyle="1" w:styleId="FooterChar">
    <w:name w:val="Footer Char"/>
    <w:basedOn w:val="DefaultParagraphFont"/>
    <w:link w:val="Footer"/>
    <w:uiPriority w:val="99"/>
    <w:rsid w:val="00BA0424"/>
  </w:style>
  <w:style w:type="paragraph" w:styleId="ListParagraph">
    <w:name w:val="List Paragraph"/>
    <w:basedOn w:val="Normal"/>
    <w:uiPriority w:val="34"/>
    <w:qFormat/>
    <w:rsid w:val="002823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31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Public-Health-and-Information-Sharing-Toolkit/Collection-Use-Sharing-and-Protection-Issue-Brie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Information-Sharing-Toolkit/Collection-Use-Sharing-and-Protection-Issue-Brief/" TargetMode="External"/><Relationship Id="rId12" Type="http://schemas.openxmlformats.org/officeDocument/2006/relationships/hyperlink" Target="http://www.ncbi.nlm.nih.gov/pubmed/1496867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cdc.gov/eid/article/8/10/02-0465_article.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rcfp.org/open-government-guide"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Information-Sharing-Toolkit/Authorities-and-Limitations-in-Sharing-Information-Issue-Brie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1964</Words>
  <Characters>11196</Characters>
  <Application>Microsoft Office Word</Application>
  <DocSecurity>0</DocSecurity>
  <Lines>93</Lines>
  <Paragraphs>26</Paragraphs>
  <ScaleCrop>false</ScaleCrop>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2019-04-25T15:26:00Z</dcterms:created>
  <dcterms:modified xsi:type="dcterms:W3CDTF">2019-04-25T15:34:00Z</dcterms:modified>
</cp:coreProperties>
</file>