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EC8" w:rsidRPr="00F313EA" w:rsidRDefault="00222EC8" w:rsidP="00540B61">
      <w:pPr>
        <w:spacing w:after="120"/>
        <w:jc w:val="center"/>
        <w:rPr>
          <w:rFonts w:ascii="Arial" w:hAnsi="Arial" w:cs="Arial"/>
          <w:b/>
          <w:sz w:val="24"/>
          <w:szCs w:val="24"/>
        </w:rPr>
      </w:pPr>
      <w:bookmarkStart w:id="0" w:name="_GoBack"/>
      <w:bookmarkEnd w:id="0"/>
      <w:r w:rsidRPr="00F313EA">
        <w:rPr>
          <w:rFonts w:ascii="Arial" w:hAnsi="Arial" w:cs="Arial"/>
          <w:b/>
          <w:sz w:val="24"/>
          <w:szCs w:val="24"/>
        </w:rPr>
        <w:t>State Analysis Guide</w:t>
      </w:r>
    </w:p>
    <w:p w:rsidR="00222EC8" w:rsidRPr="00F313EA" w:rsidRDefault="00A971BD" w:rsidP="001421B0">
      <w:pPr>
        <w:jc w:val="center"/>
        <w:rPr>
          <w:rFonts w:ascii="Arial" w:hAnsi="Arial" w:cs="Arial"/>
          <w:b/>
          <w:sz w:val="26"/>
          <w:szCs w:val="26"/>
        </w:rPr>
      </w:pPr>
      <w:r w:rsidRPr="00F313EA">
        <w:rPr>
          <w:rFonts w:ascii="Arial" w:hAnsi="Arial" w:cs="Arial"/>
          <w:b/>
          <w:sz w:val="26"/>
          <w:szCs w:val="26"/>
        </w:rPr>
        <w:t xml:space="preserve">Sharing Information </w:t>
      </w:r>
      <w:r w:rsidR="00B66E91" w:rsidRPr="00F313EA">
        <w:rPr>
          <w:rFonts w:ascii="Arial" w:hAnsi="Arial" w:cs="Arial"/>
          <w:b/>
          <w:sz w:val="26"/>
          <w:szCs w:val="26"/>
        </w:rPr>
        <w:t>between</w:t>
      </w:r>
      <w:r w:rsidRPr="00F313EA">
        <w:rPr>
          <w:rFonts w:ascii="Arial" w:hAnsi="Arial" w:cs="Arial"/>
          <w:b/>
          <w:sz w:val="26"/>
          <w:szCs w:val="26"/>
        </w:rPr>
        <w:t xml:space="preserve"> Public Health and Law Enforcement</w:t>
      </w:r>
    </w:p>
    <w:p w:rsidR="00222EC8" w:rsidRPr="00F313EA" w:rsidRDefault="00222EC8" w:rsidP="001421B0">
      <w:pPr>
        <w:rPr>
          <w:rFonts w:ascii="Arial" w:hAnsi="Arial" w:cs="Arial"/>
          <w:sz w:val="16"/>
          <w:szCs w:val="20"/>
        </w:rPr>
      </w:pPr>
    </w:p>
    <w:p w:rsidR="00222EC8" w:rsidRPr="00F313EA" w:rsidRDefault="00222EC8" w:rsidP="002A03E4">
      <w:pPr>
        <w:ind w:left="288" w:right="576"/>
        <w:jc w:val="both"/>
        <w:rPr>
          <w:rFonts w:ascii="Arial" w:hAnsi="Arial" w:cs="Arial"/>
        </w:rPr>
      </w:pPr>
      <w:r w:rsidRPr="00F313EA">
        <w:rPr>
          <w:rFonts w:ascii="Arial" w:hAnsi="Arial" w:cs="Arial"/>
        </w:rPr>
        <w:t xml:space="preserve">This </w:t>
      </w:r>
      <w:r w:rsidRPr="00F313EA">
        <w:rPr>
          <w:rFonts w:ascii="Arial" w:hAnsi="Arial" w:cs="Arial"/>
          <w:i/>
        </w:rPr>
        <w:t>State Analysis Guide</w:t>
      </w:r>
      <w:r w:rsidRPr="00F313EA">
        <w:rPr>
          <w:rFonts w:ascii="Arial" w:hAnsi="Arial" w:cs="Arial"/>
        </w:rPr>
        <w:t xml:space="preserve"> is intended to assist state health agency staff and legal counsel </w:t>
      </w:r>
      <w:r w:rsidR="00B10951" w:rsidRPr="00F313EA">
        <w:rPr>
          <w:rFonts w:ascii="Arial" w:hAnsi="Arial" w:cs="Arial"/>
        </w:rPr>
        <w:t>with</w:t>
      </w:r>
      <w:r w:rsidRPr="00F313EA">
        <w:rPr>
          <w:rFonts w:ascii="Arial" w:hAnsi="Arial" w:cs="Arial"/>
        </w:rPr>
        <w:t xml:space="preserve"> locat</w:t>
      </w:r>
      <w:r w:rsidR="00B10951" w:rsidRPr="00F313EA">
        <w:rPr>
          <w:rFonts w:ascii="Arial" w:hAnsi="Arial" w:cs="Arial"/>
        </w:rPr>
        <w:t>ing</w:t>
      </w:r>
      <w:r w:rsidRPr="00F313EA">
        <w:rPr>
          <w:rFonts w:ascii="Arial" w:hAnsi="Arial" w:cs="Arial"/>
        </w:rPr>
        <w:t xml:space="preserve"> and analyz</w:t>
      </w:r>
      <w:r w:rsidR="00B10951" w:rsidRPr="00F313EA">
        <w:rPr>
          <w:rFonts w:ascii="Arial" w:hAnsi="Arial" w:cs="Arial"/>
        </w:rPr>
        <w:t>ing</w:t>
      </w:r>
      <w:r w:rsidRPr="00F313EA">
        <w:rPr>
          <w:rFonts w:ascii="Arial" w:hAnsi="Arial" w:cs="Arial"/>
        </w:rPr>
        <w:t xml:space="preserve"> their state’s laws, rules, policies, and implementation plans </w:t>
      </w:r>
      <w:r w:rsidR="00B10951" w:rsidRPr="00F313EA">
        <w:rPr>
          <w:rFonts w:ascii="Arial" w:hAnsi="Arial" w:cs="Arial"/>
        </w:rPr>
        <w:t xml:space="preserve">that </w:t>
      </w:r>
      <w:r w:rsidRPr="00F313EA">
        <w:rPr>
          <w:rFonts w:ascii="Arial" w:hAnsi="Arial" w:cs="Arial"/>
        </w:rPr>
        <w:t>g</w:t>
      </w:r>
      <w:r w:rsidR="001028FE" w:rsidRPr="00F313EA">
        <w:rPr>
          <w:rFonts w:ascii="Arial" w:hAnsi="Arial" w:cs="Arial"/>
        </w:rPr>
        <w:t xml:space="preserve">overn </w:t>
      </w:r>
      <w:r w:rsidR="00A971BD" w:rsidRPr="00F313EA">
        <w:rPr>
          <w:rFonts w:ascii="Arial" w:hAnsi="Arial" w:cs="Arial"/>
        </w:rPr>
        <w:t xml:space="preserve">information </w:t>
      </w:r>
      <w:r w:rsidR="00967268" w:rsidRPr="00F313EA">
        <w:rPr>
          <w:rFonts w:ascii="Arial" w:hAnsi="Arial" w:cs="Arial"/>
        </w:rPr>
        <w:t xml:space="preserve">sharing </w:t>
      </w:r>
      <w:r w:rsidR="00A971BD" w:rsidRPr="00F313EA">
        <w:rPr>
          <w:rFonts w:ascii="Arial" w:hAnsi="Arial" w:cs="Arial"/>
        </w:rPr>
        <w:t>between public health agencies and law enforcement</w:t>
      </w:r>
      <w:r w:rsidR="001028FE" w:rsidRPr="00F313EA">
        <w:rPr>
          <w:rFonts w:ascii="Arial" w:hAnsi="Arial" w:cs="Arial"/>
        </w:rPr>
        <w:t>.</w:t>
      </w:r>
      <w:r w:rsidRPr="00F313EA">
        <w:rPr>
          <w:rFonts w:ascii="Arial" w:hAnsi="Arial" w:cs="Arial"/>
        </w:rPr>
        <w:t xml:space="preserve"> Space is provided on the document to insert references or summaries of appropriate state or local authorities. Because each state’s law is unique, this guide may not identify all issues that arise in the course of analyzing a state’s law. </w:t>
      </w:r>
      <w:r w:rsidR="00B10951" w:rsidRPr="00F313EA">
        <w:rPr>
          <w:rFonts w:ascii="Arial" w:hAnsi="Arial" w:cs="Arial"/>
          <w:b/>
        </w:rPr>
        <w:t>T</w:t>
      </w:r>
      <w:r w:rsidRPr="00F313EA">
        <w:rPr>
          <w:rFonts w:ascii="Arial" w:hAnsi="Arial" w:cs="Arial"/>
          <w:b/>
        </w:rPr>
        <w:t xml:space="preserve">he language and requirements of specific state/local laws, regulations, ordinances, rules, policies, </w:t>
      </w:r>
      <w:proofErr w:type="spellStart"/>
      <w:r w:rsidRPr="00F313EA">
        <w:rPr>
          <w:rFonts w:ascii="Arial" w:hAnsi="Arial" w:cs="Arial"/>
          <w:b/>
        </w:rPr>
        <w:t>guidances</w:t>
      </w:r>
      <w:proofErr w:type="spellEnd"/>
      <w:r w:rsidRPr="00F313EA">
        <w:rPr>
          <w:rFonts w:ascii="Arial" w:hAnsi="Arial" w:cs="Arial"/>
          <w:b/>
        </w:rPr>
        <w:t>, case law, and other sources of legal authority overrule this general analysis guide</w:t>
      </w:r>
      <w:r w:rsidR="00B10951" w:rsidRPr="00F313EA">
        <w:rPr>
          <w:rFonts w:ascii="Arial" w:hAnsi="Arial" w:cs="Arial"/>
          <w:b/>
        </w:rPr>
        <w:t xml:space="preserve"> in all instances</w:t>
      </w:r>
      <w:r w:rsidRPr="00F313EA">
        <w:rPr>
          <w:rFonts w:ascii="Arial" w:hAnsi="Arial" w:cs="Arial"/>
          <w:b/>
        </w:rPr>
        <w:t>. This resource is for informational purposes only and is not intended as a substitute for professional legal or other advice.</w:t>
      </w:r>
    </w:p>
    <w:p w:rsidR="00222EC8" w:rsidRPr="00F313EA" w:rsidRDefault="00222EC8" w:rsidP="001421B0">
      <w:pPr>
        <w:rPr>
          <w:rFonts w:asciiTheme="minorHAnsi" w:hAnsiTheme="minorHAnsi" w:cs="Arial"/>
        </w:rPr>
      </w:pPr>
    </w:p>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4575"/>
        <w:gridCol w:w="8633"/>
      </w:tblGrid>
      <w:tr w:rsidR="00517F72" w:rsidRPr="00F313EA" w:rsidTr="00517F72">
        <w:trPr>
          <w:cantSplit/>
          <w:trHeight w:val="317"/>
          <w:tblHeader/>
        </w:trPr>
        <w:tc>
          <w:tcPr>
            <w:tcW w:w="5677" w:type="dxa"/>
            <w:gridSpan w:val="3"/>
            <w:shd w:val="clear" w:color="auto" w:fill="BFBFBF"/>
            <w:tcMar>
              <w:top w:w="58" w:type="dxa"/>
              <w:left w:w="130" w:type="dxa"/>
              <w:bottom w:w="58" w:type="dxa"/>
              <w:right w:w="115" w:type="dxa"/>
            </w:tcMar>
            <w:vAlign w:val="center"/>
          </w:tcPr>
          <w:p w:rsidR="00517F72" w:rsidRPr="00F313EA" w:rsidRDefault="00517F72" w:rsidP="00E44C7F">
            <w:pPr>
              <w:rPr>
                <w:rFonts w:asciiTheme="minorHAnsi" w:hAnsiTheme="minorHAnsi" w:cs="Arial"/>
                <w:b/>
              </w:rPr>
            </w:pPr>
            <w:bookmarkStart w:id="1" w:name="KVWin_undoend"/>
            <w:bookmarkEnd w:id="1"/>
            <w:r w:rsidRPr="00F313EA">
              <w:rPr>
                <w:rFonts w:asciiTheme="minorHAnsi" w:hAnsiTheme="minorHAnsi" w:cs="Arial"/>
                <w:b/>
              </w:rPr>
              <w:t>Issues for Analysis</w:t>
            </w:r>
          </w:p>
        </w:tc>
        <w:tc>
          <w:tcPr>
            <w:tcW w:w="8633" w:type="dxa"/>
            <w:shd w:val="clear" w:color="auto" w:fill="BFBFBF"/>
            <w:tcMar>
              <w:top w:w="58" w:type="dxa"/>
              <w:left w:w="130" w:type="dxa"/>
              <w:bottom w:w="58" w:type="dxa"/>
              <w:right w:w="115" w:type="dxa"/>
            </w:tcMar>
            <w:vAlign w:val="center"/>
          </w:tcPr>
          <w:p w:rsidR="00517F72" w:rsidRPr="00F313EA" w:rsidRDefault="00517F72" w:rsidP="00AB0FE4">
            <w:pPr>
              <w:jc w:val="center"/>
              <w:rPr>
                <w:rFonts w:asciiTheme="minorHAnsi" w:hAnsiTheme="minorHAnsi" w:cs="Arial"/>
                <w:b/>
              </w:rPr>
            </w:pPr>
            <w:r w:rsidRPr="00F313EA">
              <w:rPr>
                <w:rFonts w:asciiTheme="minorHAnsi" w:hAnsiTheme="minorHAnsi" w:cs="Arial"/>
                <w:b/>
              </w:rPr>
              <w:t>State/Local Information</w:t>
            </w:r>
          </w:p>
        </w:tc>
      </w:tr>
      <w:tr w:rsidR="00517F72" w:rsidRPr="00F313EA" w:rsidTr="00517F72">
        <w:trPr>
          <w:cantSplit/>
          <w:trHeight w:val="403"/>
        </w:trPr>
        <w:tc>
          <w:tcPr>
            <w:tcW w:w="14310" w:type="dxa"/>
            <w:gridSpan w:val="4"/>
            <w:shd w:val="clear" w:color="auto" w:fill="F2F2F2"/>
            <w:tcMar>
              <w:top w:w="58" w:type="dxa"/>
              <w:left w:w="130" w:type="dxa"/>
              <w:bottom w:w="58" w:type="dxa"/>
              <w:right w:w="115" w:type="dxa"/>
            </w:tcMar>
            <w:vAlign w:val="center"/>
          </w:tcPr>
          <w:p w:rsidR="00517F72" w:rsidRPr="00F313EA" w:rsidRDefault="00517F72" w:rsidP="001421B0">
            <w:pPr>
              <w:rPr>
                <w:rFonts w:asciiTheme="minorHAnsi" w:hAnsiTheme="minorHAnsi" w:cs="Arial"/>
                <w:b/>
              </w:rPr>
            </w:pPr>
            <w:r w:rsidRPr="00F313EA">
              <w:rPr>
                <w:rFonts w:asciiTheme="minorHAnsi" w:hAnsiTheme="minorHAnsi" w:cs="Arial"/>
                <w:b/>
              </w:rPr>
              <w:t>Disclosure of Information</w:t>
            </w: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A971BD">
            <w:pPr>
              <w:rPr>
                <w:rFonts w:asciiTheme="minorHAnsi" w:hAnsiTheme="minorHAnsi" w:cs="Arial"/>
              </w:rPr>
            </w:pPr>
            <w:r w:rsidRPr="00F313EA">
              <w:rPr>
                <w:rFonts w:asciiTheme="minorHAnsi" w:hAnsiTheme="minorHAnsi" w:cs="Arial"/>
              </w:rPr>
              <w:t>Identify authority for public health agencies to share necessary information with law enforcement; for each area</w:t>
            </w:r>
            <w:r w:rsidR="002225D6" w:rsidRPr="00F313EA">
              <w:rPr>
                <w:rFonts w:asciiTheme="minorHAnsi" w:hAnsiTheme="minorHAnsi" w:cs="Arial"/>
              </w:rPr>
              <w:t>,</w:t>
            </w:r>
            <w:r w:rsidRPr="00F313EA">
              <w:rPr>
                <w:rFonts w:asciiTheme="minorHAnsi" w:hAnsiTheme="minorHAnsi" w:cs="Arial"/>
              </w:rPr>
              <w:t xml:space="preserve"> identify any prerequisites, conditions</w:t>
            </w:r>
            <w:r w:rsidR="002225D6" w:rsidRPr="00F313EA">
              <w:rPr>
                <w:rFonts w:asciiTheme="minorHAnsi" w:hAnsiTheme="minorHAnsi" w:cs="Arial"/>
              </w:rPr>
              <w:t>,</w:t>
            </w:r>
            <w:r w:rsidRPr="00F313EA">
              <w:rPr>
                <w:rFonts w:asciiTheme="minorHAnsi" w:hAnsiTheme="minorHAnsi" w:cs="Arial"/>
              </w:rPr>
              <w:t xml:space="preserve"> or limitations (e.g.</w:t>
            </w:r>
            <w:r w:rsidR="002225D6" w:rsidRPr="00F313EA">
              <w:rPr>
                <w:rFonts w:asciiTheme="minorHAnsi" w:hAnsiTheme="minorHAnsi" w:cs="Arial"/>
              </w:rPr>
              <w:t>,</w:t>
            </w:r>
            <w:r w:rsidRPr="00F313EA">
              <w:rPr>
                <w:rFonts w:asciiTheme="minorHAnsi" w:hAnsiTheme="minorHAnsi" w:cs="Arial"/>
              </w:rPr>
              <w:t xml:space="preserve"> consent required, de-identified information only, state of emergency declaration, minimum necessary, etc.):</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r w:rsidRPr="00F313EA">
              <w:rPr>
                <w:rFonts w:asciiTheme="minorHAnsi" w:hAnsiTheme="minorHAnsi" w:cs="Arial"/>
              </w:rPr>
              <w:t>General authority</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r w:rsidRPr="00F313EA">
              <w:rPr>
                <w:rFonts w:asciiTheme="minorHAnsi" w:hAnsiTheme="minorHAnsi" w:cs="Arial"/>
              </w:rPr>
              <w:t>Disease specific</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r w:rsidRPr="00F313EA">
              <w:rPr>
                <w:rFonts w:asciiTheme="minorHAnsi" w:hAnsiTheme="minorHAnsi" w:cs="Arial"/>
              </w:rPr>
              <w:t>Other conditions (e.g.</w:t>
            </w:r>
            <w:r w:rsidR="001A7031" w:rsidRPr="00F313EA">
              <w:rPr>
                <w:rFonts w:asciiTheme="minorHAnsi" w:hAnsiTheme="minorHAnsi" w:cs="Arial"/>
              </w:rPr>
              <w:t>,</w:t>
            </w:r>
            <w:r w:rsidRPr="00F313EA">
              <w:rPr>
                <w:rFonts w:asciiTheme="minorHAnsi" w:hAnsiTheme="minorHAnsi" w:cs="Arial"/>
              </w:rPr>
              <w:t xml:space="preserve"> poisonings, radiologic events, suspected acts of bioterrorism)</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2965C8">
            <w:pPr>
              <w:rPr>
                <w:rFonts w:asciiTheme="minorHAnsi" w:hAnsiTheme="minorHAnsi" w:cs="Arial"/>
              </w:rPr>
            </w:pPr>
            <w:r w:rsidRPr="00F313EA">
              <w:rPr>
                <w:rFonts w:asciiTheme="minorHAnsi" w:hAnsiTheme="minorHAnsi" w:cs="Arial"/>
              </w:rPr>
              <w:t>Catch-all (e.g.</w:t>
            </w:r>
            <w:r w:rsidR="001A7031" w:rsidRPr="00F313EA">
              <w:rPr>
                <w:rFonts w:asciiTheme="minorHAnsi" w:hAnsiTheme="minorHAnsi" w:cs="Arial"/>
              </w:rPr>
              <w:t>,</w:t>
            </w:r>
            <w:r w:rsidRPr="00F313EA">
              <w:rPr>
                <w:rFonts w:asciiTheme="minorHAnsi" w:hAnsiTheme="minorHAnsi" w:cs="Arial"/>
              </w:rPr>
              <w:t xml:space="preserve"> unusual occurrence of a disease, infection, or condition).</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proofErr w:type="spellStart"/>
            <w:r w:rsidRPr="00F313EA">
              <w:rPr>
                <w:rFonts w:asciiTheme="minorHAnsi" w:hAnsiTheme="minorHAnsi" w:cs="Arial"/>
              </w:rPr>
              <w:t>Syndromic</w:t>
            </w:r>
            <w:proofErr w:type="spellEnd"/>
            <w:r w:rsidRPr="00F313EA">
              <w:rPr>
                <w:rFonts w:asciiTheme="minorHAnsi" w:hAnsiTheme="minorHAnsi" w:cs="Arial"/>
              </w:rPr>
              <w:t xml:space="preserve"> surveillance</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r w:rsidRPr="00F313EA">
              <w:rPr>
                <w:rFonts w:asciiTheme="minorHAnsi" w:hAnsiTheme="minorHAnsi" w:cs="Arial"/>
              </w:rPr>
              <w:t>Public health workforce</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1421B0">
            <w:pPr>
              <w:rPr>
                <w:rFonts w:asciiTheme="minorHAnsi" w:hAnsiTheme="minorHAnsi" w:cs="Arial"/>
              </w:rPr>
            </w:pPr>
            <w:r w:rsidRPr="00F313EA">
              <w:rPr>
                <w:rFonts w:asciiTheme="minorHAnsi" w:hAnsiTheme="minorHAnsi" w:cs="Arial"/>
              </w:rPr>
              <w:t>Other</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043913" w:rsidRPr="00F313EA" w:rsidTr="00007A54">
        <w:trPr>
          <w:cantSplit/>
        </w:trPr>
        <w:tc>
          <w:tcPr>
            <w:tcW w:w="14310" w:type="dxa"/>
            <w:gridSpan w:val="4"/>
            <w:tcMar>
              <w:top w:w="58" w:type="dxa"/>
              <w:left w:w="130" w:type="dxa"/>
              <w:bottom w:w="58" w:type="dxa"/>
              <w:right w:w="115" w:type="dxa"/>
            </w:tcMar>
            <w:vAlign w:val="center"/>
          </w:tcPr>
          <w:p w:rsidR="00043913" w:rsidRPr="00F313EA" w:rsidRDefault="00043913"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A971BD">
            <w:pPr>
              <w:rPr>
                <w:rFonts w:asciiTheme="minorHAnsi" w:hAnsiTheme="minorHAnsi" w:cs="Arial"/>
              </w:rPr>
            </w:pPr>
            <w:r w:rsidRPr="00F313EA">
              <w:rPr>
                <w:rFonts w:asciiTheme="minorHAnsi" w:hAnsiTheme="minorHAnsi" w:cs="Arial"/>
              </w:rPr>
              <w:lastRenderedPageBreak/>
              <w:t>Identify authority that allows sharing or limits sharing of information by public health agencies with law enforcement: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General authority</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Data practices laws</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Health information privacy laws</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Right to privacy statutory or common law</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Other</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043913" w:rsidRPr="00F313EA" w:rsidTr="009B5C63">
        <w:trPr>
          <w:cantSplit/>
        </w:trPr>
        <w:tc>
          <w:tcPr>
            <w:tcW w:w="14310" w:type="dxa"/>
            <w:gridSpan w:val="4"/>
            <w:tcMar>
              <w:top w:w="58" w:type="dxa"/>
              <w:left w:w="130" w:type="dxa"/>
              <w:bottom w:w="58" w:type="dxa"/>
              <w:right w:w="115" w:type="dxa"/>
            </w:tcMar>
            <w:vAlign w:val="center"/>
          </w:tcPr>
          <w:p w:rsidR="00043913" w:rsidRPr="00F313EA" w:rsidRDefault="00043913"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4E12E8">
            <w:pPr>
              <w:rPr>
                <w:rFonts w:asciiTheme="minorHAnsi" w:hAnsiTheme="minorHAnsi" w:cs="Arial"/>
              </w:rPr>
            </w:pPr>
            <w:r w:rsidRPr="00F313EA">
              <w:rPr>
                <w:rFonts w:asciiTheme="minorHAnsi" w:hAnsiTheme="minorHAnsi" w:cs="Arial"/>
              </w:rPr>
              <w:t>Identify state authorities that mandate information</w:t>
            </w:r>
            <w:r w:rsidR="002225D6" w:rsidRPr="00F313EA">
              <w:rPr>
                <w:rFonts w:asciiTheme="minorHAnsi" w:hAnsiTheme="minorHAnsi" w:cs="Arial"/>
              </w:rPr>
              <w:t xml:space="preserve"> sharing</w:t>
            </w:r>
            <w:r w:rsidRPr="00F313EA">
              <w:rPr>
                <w:rFonts w:asciiTheme="minorHAnsi" w:hAnsiTheme="minorHAnsi" w:cs="Arial"/>
              </w:rPr>
              <w:t xml:space="preserve"> with law enforcement.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043913" w:rsidRPr="00F313EA" w:rsidTr="007B15AB">
        <w:trPr>
          <w:cantSplit/>
        </w:trPr>
        <w:tc>
          <w:tcPr>
            <w:tcW w:w="5677" w:type="dxa"/>
            <w:gridSpan w:val="3"/>
            <w:tcMar>
              <w:top w:w="58" w:type="dxa"/>
              <w:left w:w="130" w:type="dxa"/>
              <w:bottom w:w="58" w:type="dxa"/>
              <w:right w:w="115" w:type="dxa"/>
            </w:tcMar>
            <w:vAlign w:val="center"/>
          </w:tcPr>
          <w:p w:rsidR="00043913" w:rsidRPr="00F313EA" w:rsidRDefault="00043913" w:rsidP="007B15AB">
            <w:pPr>
              <w:rPr>
                <w:rFonts w:asciiTheme="minorHAnsi" w:hAnsiTheme="minorHAnsi" w:cs="Arial"/>
              </w:rPr>
            </w:pPr>
            <w:r w:rsidRPr="00F313EA">
              <w:rPr>
                <w:rFonts w:asciiTheme="minorHAnsi" w:hAnsiTheme="minorHAnsi" w:cs="Arial"/>
              </w:rPr>
              <w:t>If state law does not sufficiently allow information to be shared when necessary to protect the public, identify options to address rare but compelling circumstances where disclosure is indicated.</w:t>
            </w:r>
          </w:p>
        </w:tc>
        <w:tc>
          <w:tcPr>
            <w:tcW w:w="8633" w:type="dxa"/>
            <w:tcMar>
              <w:top w:w="58" w:type="dxa"/>
              <w:left w:w="130" w:type="dxa"/>
              <w:bottom w:w="58" w:type="dxa"/>
              <w:right w:w="115" w:type="dxa"/>
            </w:tcMar>
            <w:vAlign w:val="center"/>
          </w:tcPr>
          <w:p w:rsidR="00043913" w:rsidRPr="00F313EA" w:rsidRDefault="00043913" w:rsidP="007B15AB">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352C43">
            <w:pPr>
              <w:rPr>
                <w:rFonts w:asciiTheme="minorHAnsi" w:hAnsiTheme="minorHAnsi" w:cs="Arial"/>
              </w:rPr>
            </w:pPr>
            <w:r w:rsidRPr="00F313EA">
              <w:rPr>
                <w:rFonts w:asciiTheme="minorHAnsi" w:hAnsiTheme="minorHAnsi" w:cs="Arial"/>
              </w:rPr>
              <w:t xml:space="preserve">Identify components of public health agency covered by HIPAA and applicable HIPAA exceptions to share information with law enforcement for emergency preparedness and response purposes. </w:t>
            </w:r>
          </w:p>
        </w:tc>
        <w:tc>
          <w:tcPr>
            <w:tcW w:w="8633"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r>
      <w:tr w:rsidR="00043913" w:rsidRPr="00F313EA" w:rsidTr="003456CD">
        <w:trPr>
          <w:cantSplit/>
        </w:trPr>
        <w:tc>
          <w:tcPr>
            <w:tcW w:w="14310" w:type="dxa"/>
            <w:gridSpan w:val="4"/>
            <w:tcMar>
              <w:top w:w="58" w:type="dxa"/>
              <w:left w:w="130" w:type="dxa"/>
              <w:bottom w:w="58" w:type="dxa"/>
              <w:right w:w="115" w:type="dxa"/>
            </w:tcMar>
            <w:vAlign w:val="center"/>
          </w:tcPr>
          <w:p w:rsidR="00043913" w:rsidRPr="00F313EA" w:rsidRDefault="00043913" w:rsidP="00573F1E">
            <w:pPr>
              <w:rPr>
                <w:rFonts w:asciiTheme="minorHAnsi" w:hAnsiTheme="minorHAnsi" w:cs="Arial"/>
              </w:rPr>
            </w:pPr>
          </w:p>
        </w:tc>
      </w:tr>
      <w:tr w:rsidR="00517F72" w:rsidRPr="00F313EA" w:rsidTr="00517F72">
        <w:trPr>
          <w:cantSplit/>
          <w:trHeight w:val="439"/>
        </w:trPr>
        <w:tc>
          <w:tcPr>
            <w:tcW w:w="14310" w:type="dxa"/>
            <w:gridSpan w:val="4"/>
            <w:shd w:val="clear" w:color="auto" w:fill="F2F2F2"/>
            <w:tcMar>
              <w:top w:w="58" w:type="dxa"/>
              <w:left w:w="130" w:type="dxa"/>
              <w:bottom w:w="58" w:type="dxa"/>
              <w:right w:w="115" w:type="dxa"/>
            </w:tcMar>
            <w:vAlign w:val="center"/>
          </w:tcPr>
          <w:p w:rsidR="00517F72" w:rsidRPr="00F313EA" w:rsidRDefault="00517F72" w:rsidP="00C26D13">
            <w:pPr>
              <w:rPr>
                <w:rFonts w:asciiTheme="minorHAnsi" w:hAnsiTheme="minorHAnsi" w:cs="Arial"/>
              </w:rPr>
            </w:pPr>
            <w:r w:rsidRPr="00F313EA">
              <w:rPr>
                <w:rFonts w:asciiTheme="minorHAnsi" w:hAnsiTheme="minorHAnsi" w:cs="Arial"/>
                <w:b/>
              </w:rPr>
              <w:t>Emergency Declarations</w:t>
            </w: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C26D13">
            <w:pPr>
              <w:rPr>
                <w:rFonts w:asciiTheme="minorHAnsi" w:hAnsiTheme="minorHAnsi" w:cs="Arial"/>
              </w:rPr>
            </w:pPr>
            <w:r w:rsidRPr="00F313EA">
              <w:rPr>
                <w:rFonts w:asciiTheme="minorHAnsi" w:hAnsiTheme="minorHAnsi" w:cs="Arial"/>
              </w:rPr>
              <w:t>Identify the state's statute(s) regarding emergency declarations and powers. Identify any provisions that apply to authority to share information with law enforcement or might be used to allow sharing as necessary to respond to an emergency.</w:t>
            </w:r>
          </w:p>
        </w:tc>
        <w:tc>
          <w:tcPr>
            <w:tcW w:w="8633" w:type="dxa"/>
            <w:tcMar>
              <w:top w:w="58" w:type="dxa"/>
              <w:left w:w="130" w:type="dxa"/>
              <w:bottom w:w="58" w:type="dxa"/>
              <w:right w:w="115" w:type="dxa"/>
            </w:tcMar>
            <w:vAlign w:val="center"/>
          </w:tcPr>
          <w:p w:rsidR="00517F72" w:rsidRPr="00F313EA" w:rsidRDefault="00517F72" w:rsidP="00C26D13">
            <w:pPr>
              <w:rPr>
                <w:rFonts w:asciiTheme="minorHAnsi" w:hAnsiTheme="minorHAnsi" w:cs="Arial"/>
              </w:rPr>
            </w:pPr>
          </w:p>
        </w:tc>
      </w:tr>
      <w:tr w:rsidR="00043913" w:rsidRPr="00F313EA" w:rsidTr="00366CBA">
        <w:trPr>
          <w:cantSplit/>
        </w:trPr>
        <w:tc>
          <w:tcPr>
            <w:tcW w:w="14310" w:type="dxa"/>
            <w:gridSpan w:val="4"/>
            <w:tcMar>
              <w:top w:w="58" w:type="dxa"/>
              <w:left w:w="130" w:type="dxa"/>
              <w:bottom w:w="58" w:type="dxa"/>
              <w:right w:w="115" w:type="dxa"/>
            </w:tcMar>
            <w:vAlign w:val="center"/>
          </w:tcPr>
          <w:p w:rsidR="00043913" w:rsidRPr="00F313EA" w:rsidRDefault="00043913" w:rsidP="00C26D13">
            <w:pPr>
              <w:rPr>
                <w:rFonts w:asciiTheme="minorHAnsi" w:hAnsiTheme="minorHAnsi" w:cs="Arial"/>
              </w:rPr>
            </w:pPr>
          </w:p>
        </w:tc>
      </w:tr>
      <w:tr w:rsidR="00517F72" w:rsidRPr="00F313EA" w:rsidTr="00517F72">
        <w:trPr>
          <w:cantSplit/>
          <w:trHeight w:val="439"/>
        </w:trPr>
        <w:tc>
          <w:tcPr>
            <w:tcW w:w="14310" w:type="dxa"/>
            <w:gridSpan w:val="4"/>
            <w:shd w:val="clear" w:color="auto" w:fill="F2F2F2"/>
            <w:tcMar>
              <w:top w:w="58" w:type="dxa"/>
              <w:left w:w="130" w:type="dxa"/>
              <w:bottom w:w="58" w:type="dxa"/>
              <w:right w:w="115" w:type="dxa"/>
            </w:tcMar>
            <w:vAlign w:val="center"/>
          </w:tcPr>
          <w:p w:rsidR="00517F72" w:rsidRPr="00F313EA" w:rsidRDefault="00517F72" w:rsidP="00915CEA">
            <w:pPr>
              <w:rPr>
                <w:rFonts w:asciiTheme="minorHAnsi" w:hAnsiTheme="minorHAnsi" w:cs="Arial"/>
              </w:rPr>
            </w:pPr>
            <w:r w:rsidRPr="00F313EA">
              <w:rPr>
                <w:rFonts w:asciiTheme="minorHAnsi" w:hAnsiTheme="minorHAnsi" w:cs="Arial"/>
                <w:b/>
              </w:rPr>
              <w:lastRenderedPageBreak/>
              <w:t>Coordination with Law Enforcement</w:t>
            </w: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292E3C">
            <w:pPr>
              <w:rPr>
                <w:rFonts w:asciiTheme="minorHAnsi" w:hAnsiTheme="minorHAnsi" w:cs="Arial"/>
              </w:rPr>
            </w:pPr>
            <w:r w:rsidRPr="00F313EA">
              <w:rPr>
                <w:rFonts w:asciiTheme="minorHAnsi" w:hAnsiTheme="minorHAnsi" w:cs="Arial"/>
              </w:rPr>
              <w:t xml:space="preserve">Identify authority to conduct joint investigations and collect evidence; </w:t>
            </w:r>
            <w:r w:rsidR="00292E3C" w:rsidRPr="00F313EA">
              <w:rPr>
                <w:rFonts w:asciiTheme="minorHAnsi" w:hAnsiTheme="minorHAnsi" w:cs="Arial"/>
              </w:rPr>
              <w:t>i</w:t>
            </w:r>
            <w:r w:rsidRPr="00F313EA">
              <w:rPr>
                <w:rFonts w:asciiTheme="minorHAnsi" w:hAnsiTheme="minorHAnsi" w:cs="Arial"/>
              </w:rPr>
              <w:t>dentify any prerequisites, conditions, or limitations.</w:t>
            </w:r>
          </w:p>
        </w:tc>
        <w:tc>
          <w:tcPr>
            <w:tcW w:w="8633" w:type="dxa"/>
            <w:tcMar>
              <w:top w:w="58" w:type="dxa"/>
              <w:left w:w="130" w:type="dxa"/>
              <w:bottom w:w="58" w:type="dxa"/>
              <w:right w:w="115" w:type="dxa"/>
            </w:tcMar>
            <w:vAlign w:val="center"/>
          </w:tcPr>
          <w:p w:rsidR="00517F72" w:rsidRPr="00F313EA" w:rsidRDefault="00517F72" w:rsidP="00915CEA">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292E3C">
            <w:pPr>
              <w:rPr>
                <w:rFonts w:asciiTheme="minorHAnsi" w:hAnsiTheme="minorHAnsi" w:cs="Arial"/>
              </w:rPr>
            </w:pPr>
            <w:r w:rsidRPr="00F313EA">
              <w:rPr>
                <w:rFonts w:asciiTheme="minorHAnsi" w:hAnsiTheme="minorHAnsi" w:cs="Arial"/>
              </w:rPr>
              <w:t xml:space="preserve">Identify and review policy and procedure related to public health investigations and information/specimen collections to ensure that the process comports with </w:t>
            </w:r>
            <w:r w:rsidR="00B10951" w:rsidRPr="00F313EA">
              <w:rPr>
                <w:rFonts w:asciiTheme="minorHAnsi" w:hAnsiTheme="minorHAnsi" w:cs="Arial"/>
              </w:rPr>
              <w:t>l</w:t>
            </w:r>
            <w:r w:rsidRPr="00F313EA">
              <w:rPr>
                <w:rFonts w:asciiTheme="minorHAnsi" w:hAnsiTheme="minorHAnsi" w:cs="Arial"/>
              </w:rPr>
              <w:t xml:space="preserve">aw </w:t>
            </w:r>
            <w:r w:rsidR="00B10951" w:rsidRPr="00F313EA">
              <w:rPr>
                <w:rFonts w:asciiTheme="minorHAnsi" w:hAnsiTheme="minorHAnsi" w:cs="Arial"/>
              </w:rPr>
              <w:t>e</w:t>
            </w:r>
            <w:r w:rsidRPr="00F313EA">
              <w:rPr>
                <w:rFonts w:asciiTheme="minorHAnsi" w:hAnsiTheme="minorHAnsi" w:cs="Arial"/>
              </w:rPr>
              <w:t xml:space="preserve">nforcement’s </w:t>
            </w:r>
            <w:r w:rsidR="00292E3C" w:rsidRPr="00F313EA">
              <w:rPr>
                <w:rFonts w:asciiTheme="minorHAnsi" w:hAnsiTheme="minorHAnsi" w:cs="Arial"/>
              </w:rPr>
              <w:t xml:space="preserve">Fourth and Fifth Amendment </w:t>
            </w:r>
            <w:r w:rsidRPr="00F313EA">
              <w:rPr>
                <w:rFonts w:asciiTheme="minorHAnsi" w:hAnsiTheme="minorHAnsi" w:cs="Arial"/>
              </w:rPr>
              <w:t>requirement</w:t>
            </w:r>
            <w:r w:rsidR="00292E3C" w:rsidRPr="00F313EA">
              <w:rPr>
                <w:rFonts w:asciiTheme="minorHAnsi" w:hAnsiTheme="minorHAnsi" w:cs="Arial"/>
              </w:rPr>
              <w:t>s</w:t>
            </w:r>
            <w:r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c>
          <w:tcPr>
            <w:tcW w:w="5137" w:type="dxa"/>
            <w:gridSpan w:val="2"/>
            <w:vAlign w:val="center"/>
          </w:tcPr>
          <w:p w:rsidR="00517F72" w:rsidRPr="00F313EA" w:rsidRDefault="00517F72" w:rsidP="00967268">
            <w:pPr>
              <w:rPr>
                <w:rFonts w:asciiTheme="minorHAnsi" w:hAnsiTheme="minorHAnsi" w:cs="Arial"/>
              </w:rPr>
            </w:pPr>
            <w:r w:rsidRPr="00F313EA">
              <w:rPr>
                <w:rFonts w:asciiTheme="minorHAnsi" w:hAnsiTheme="minorHAnsi" w:cs="Arial"/>
              </w:rPr>
              <w:t xml:space="preserve">Chain of </w:t>
            </w:r>
            <w:r w:rsidR="001A7031" w:rsidRPr="00F313EA">
              <w:rPr>
                <w:rFonts w:asciiTheme="minorHAnsi" w:hAnsiTheme="minorHAnsi" w:cs="Arial"/>
              </w:rPr>
              <w:t>c</w:t>
            </w:r>
            <w:r w:rsidRPr="00F313EA">
              <w:rPr>
                <w:rFonts w:asciiTheme="minorHAnsi" w:hAnsiTheme="minorHAnsi" w:cs="Arial"/>
              </w:rPr>
              <w:t>ustody</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c>
          <w:tcPr>
            <w:tcW w:w="5137" w:type="dxa"/>
            <w:gridSpan w:val="2"/>
            <w:vAlign w:val="center"/>
          </w:tcPr>
          <w:p w:rsidR="00517F72" w:rsidRPr="00F313EA" w:rsidRDefault="00517F72" w:rsidP="00573F1E">
            <w:pPr>
              <w:rPr>
                <w:rFonts w:asciiTheme="minorHAnsi" w:hAnsiTheme="minorHAnsi" w:cs="Arial"/>
              </w:rPr>
            </w:pPr>
            <w:r w:rsidRPr="00F313EA">
              <w:rPr>
                <w:rFonts w:asciiTheme="minorHAnsi" w:hAnsiTheme="minorHAnsi" w:cs="Arial"/>
              </w:rPr>
              <w:t>Evidence obtained as part of a legitimate public health investigation.</w:t>
            </w:r>
          </w:p>
        </w:tc>
        <w:tc>
          <w:tcPr>
            <w:tcW w:w="8633" w:type="dxa"/>
            <w:tcMar>
              <w:top w:w="58" w:type="dxa"/>
              <w:left w:w="130" w:type="dxa"/>
              <w:bottom w:w="58" w:type="dxa"/>
              <w:right w:w="115" w:type="dxa"/>
            </w:tcMar>
            <w:vAlign w:val="center"/>
          </w:tcPr>
          <w:p w:rsidR="00517F72" w:rsidRPr="00F313EA" w:rsidRDefault="00517F72" w:rsidP="00573F1E">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4E12E8">
            <w:pPr>
              <w:rPr>
                <w:rFonts w:asciiTheme="minorHAnsi" w:hAnsiTheme="minorHAnsi" w:cs="Arial"/>
              </w:rPr>
            </w:pPr>
            <w:r w:rsidRPr="00F313EA">
              <w:rPr>
                <w:rFonts w:asciiTheme="minorHAnsi" w:hAnsiTheme="minorHAnsi" w:cs="Arial"/>
              </w:rPr>
              <w:t>Voluntary consent</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517F72" w:rsidP="007528AD">
            <w:pPr>
              <w:rPr>
                <w:rFonts w:asciiTheme="minorHAnsi" w:hAnsiTheme="minorHAnsi" w:cs="Arial"/>
              </w:rPr>
            </w:pPr>
            <w:r w:rsidRPr="00F313EA">
              <w:rPr>
                <w:rFonts w:asciiTheme="minorHAnsi" w:hAnsiTheme="minorHAnsi" w:cs="Arial"/>
              </w:rPr>
              <w:t>Awareness of “in custody” interviews or joint interview conditions</w:t>
            </w:r>
            <w:r w:rsidR="00292E3C" w:rsidRPr="00F313EA">
              <w:rPr>
                <w:rFonts w:asciiTheme="minorHAnsi" w:hAnsiTheme="minorHAnsi" w:cs="Arial"/>
              </w:rPr>
              <w:t xml:space="preserve">; </w:t>
            </w:r>
            <w:r w:rsidRPr="00F313EA">
              <w:rPr>
                <w:rFonts w:asciiTheme="minorHAnsi" w:hAnsiTheme="minorHAnsi" w:cs="Arial"/>
              </w:rPr>
              <w:t>need for sensitivity with law enforcement presence and proper actions/protocol</w:t>
            </w:r>
            <w:r w:rsidR="00D25904"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5137" w:type="dxa"/>
            <w:gridSpan w:val="2"/>
            <w:vAlign w:val="center"/>
          </w:tcPr>
          <w:p w:rsidR="00517F72" w:rsidRPr="00F313EA" w:rsidRDefault="00043913" w:rsidP="00043913">
            <w:pPr>
              <w:rPr>
                <w:rFonts w:asciiTheme="minorHAnsi" w:hAnsiTheme="minorHAnsi" w:cs="Arial"/>
              </w:rPr>
            </w:pPr>
            <w:r w:rsidRPr="00F313EA">
              <w:rPr>
                <w:rFonts w:asciiTheme="minorHAnsi" w:hAnsiTheme="minorHAnsi" w:cs="Arial"/>
              </w:rPr>
              <w:t>Identify state law regarding</w:t>
            </w:r>
            <w:r w:rsidR="00517F72" w:rsidRPr="00F313EA">
              <w:rPr>
                <w:rFonts w:asciiTheme="minorHAnsi" w:hAnsiTheme="minorHAnsi" w:cs="Arial"/>
              </w:rPr>
              <w:t xml:space="preserve"> exceptions to warrant and probable cause requirements that may apply to public </w:t>
            </w:r>
            <w:r w:rsidRPr="00F313EA">
              <w:rPr>
                <w:rFonts w:asciiTheme="minorHAnsi" w:hAnsiTheme="minorHAnsi" w:cs="Arial"/>
              </w:rPr>
              <w:t>health. Provisions may be included in the state’s constitution, statut</w:t>
            </w:r>
            <w:r w:rsidR="00292E3C" w:rsidRPr="00F313EA">
              <w:rPr>
                <w:rFonts w:asciiTheme="minorHAnsi" w:hAnsiTheme="minorHAnsi" w:cs="Arial"/>
              </w:rPr>
              <w:t>es</w:t>
            </w:r>
            <w:r w:rsidRPr="00F313EA">
              <w:rPr>
                <w:rFonts w:asciiTheme="minorHAnsi" w:hAnsiTheme="minorHAnsi" w:cs="Arial"/>
              </w:rPr>
              <w:t>, or case</w:t>
            </w:r>
            <w:r w:rsidR="00B10951" w:rsidRPr="00F313EA">
              <w:rPr>
                <w:rFonts w:asciiTheme="minorHAnsi" w:hAnsiTheme="minorHAnsi" w:cs="Arial"/>
              </w:rPr>
              <w:t xml:space="preserve"> </w:t>
            </w:r>
            <w:r w:rsidRPr="00F313EA">
              <w:rPr>
                <w:rFonts w:asciiTheme="minorHAnsi" w:hAnsiTheme="minorHAnsi" w:cs="Arial"/>
              </w:rPr>
              <w:t>law. Possible exceptions may include, but are not limited to:</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Pervasively regulated businesses</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Checkpoints and other blanket searches</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Emergency circumstances</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Open-fields doctrine</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Other</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292E3C">
            <w:pPr>
              <w:rPr>
                <w:rFonts w:asciiTheme="minorHAnsi" w:hAnsiTheme="minorHAnsi" w:cs="Arial"/>
              </w:rPr>
            </w:pPr>
            <w:r w:rsidRPr="00F313EA">
              <w:rPr>
                <w:rFonts w:asciiTheme="minorHAnsi" w:hAnsiTheme="minorHAnsi" w:cs="Arial"/>
              </w:rPr>
              <w:t xml:space="preserve">Has joint training occurred? Consider joint investigative training between </w:t>
            </w:r>
            <w:r w:rsidR="00292E3C" w:rsidRPr="00F313EA">
              <w:rPr>
                <w:rFonts w:asciiTheme="minorHAnsi" w:hAnsiTheme="minorHAnsi" w:cs="Arial"/>
              </w:rPr>
              <w:t>l</w:t>
            </w:r>
            <w:r w:rsidRPr="00F313EA">
              <w:rPr>
                <w:rFonts w:asciiTheme="minorHAnsi" w:hAnsiTheme="minorHAnsi" w:cs="Arial"/>
              </w:rPr>
              <w:t xml:space="preserve">aw </w:t>
            </w:r>
            <w:r w:rsidR="00292E3C" w:rsidRPr="00F313EA">
              <w:rPr>
                <w:rFonts w:asciiTheme="minorHAnsi" w:hAnsiTheme="minorHAnsi" w:cs="Arial"/>
              </w:rPr>
              <w:t>e</w:t>
            </w:r>
            <w:r w:rsidRPr="00F313EA">
              <w:rPr>
                <w:rFonts w:asciiTheme="minorHAnsi" w:hAnsiTheme="minorHAnsi" w:cs="Arial"/>
              </w:rPr>
              <w:t xml:space="preserve">nforcement and </w:t>
            </w:r>
            <w:r w:rsidR="00292E3C" w:rsidRPr="00F313EA">
              <w:rPr>
                <w:rFonts w:asciiTheme="minorHAnsi" w:hAnsiTheme="minorHAnsi" w:cs="Arial"/>
              </w:rPr>
              <w:t>p</w:t>
            </w:r>
            <w:r w:rsidRPr="00F313EA">
              <w:rPr>
                <w:rFonts w:asciiTheme="minorHAnsi" w:hAnsiTheme="minorHAnsi" w:cs="Arial"/>
              </w:rPr>
              <w:t xml:space="preserve">ublic </w:t>
            </w:r>
            <w:r w:rsidR="00292E3C" w:rsidRPr="00F313EA">
              <w:rPr>
                <w:rFonts w:asciiTheme="minorHAnsi" w:hAnsiTheme="minorHAnsi" w:cs="Arial"/>
              </w:rPr>
              <w:t>h</w:t>
            </w:r>
            <w:r w:rsidRPr="00F313EA">
              <w:rPr>
                <w:rFonts w:asciiTheme="minorHAnsi" w:hAnsiTheme="minorHAnsi" w:cs="Arial"/>
              </w:rPr>
              <w:t>ealth.</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292E3C">
            <w:pPr>
              <w:rPr>
                <w:rFonts w:asciiTheme="minorHAnsi" w:hAnsiTheme="minorHAnsi" w:cs="Arial"/>
              </w:rPr>
            </w:pPr>
            <w:r w:rsidRPr="00F313EA">
              <w:rPr>
                <w:rFonts w:asciiTheme="minorHAnsi" w:hAnsiTheme="minorHAnsi" w:cs="Arial"/>
              </w:rPr>
              <w:t xml:space="preserve">Forensic </w:t>
            </w:r>
            <w:r w:rsidR="00292E3C" w:rsidRPr="00F313EA">
              <w:rPr>
                <w:rFonts w:asciiTheme="minorHAnsi" w:hAnsiTheme="minorHAnsi" w:cs="Arial"/>
              </w:rPr>
              <w:t>e</w:t>
            </w:r>
            <w:r w:rsidRPr="00F313EA">
              <w:rPr>
                <w:rFonts w:asciiTheme="minorHAnsi" w:hAnsiTheme="minorHAnsi" w:cs="Arial"/>
              </w:rPr>
              <w:t>pidemiology (CDC)</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3D6B21">
            <w:pPr>
              <w:rPr>
                <w:rFonts w:asciiTheme="minorHAnsi" w:hAnsiTheme="minorHAnsi" w:cs="Arial"/>
              </w:rPr>
            </w:pPr>
            <w:r w:rsidRPr="00F313EA">
              <w:rPr>
                <w:rFonts w:asciiTheme="minorHAnsi" w:hAnsiTheme="minorHAnsi" w:cs="Arial"/>
              </w:rPr>
              <w:t>“</w:t>
            </w:r>
            <w:r w:rsidR="00292E3C" w:rsidRPr="00F313EA">
              <w:rPr>
                <w:rFonts w:asciiTheme="minorHAnsi" w:hAnsiTheme="minorHAnsi" w:cs="Arial"/>
              </w:rPr>
              <w:t xml:space="preserve">FBI </w:t>
            </w:r>
            <w:r w:rsidRPr="00F313EA">
              <w:rPr>
                <w:rFonts w:asciiTheme="minorHAnsi" w:hAnsiTheme="minorHAnsi" w:cs="Arial"/>
              </w:rPr>
              <w:t>Criminal and Epidemiological Investigation Handbook</w:t>
            </w:r>
            <w:r w:rsidR="00B10951" w:rsidRPr="00F313EA">
              <w:rPr>
                <w:rFonts w:asciiTheme="minorHAnsi" w:hAnsiTheme="minorHAnsi" w:cs="Arial"/>
              </w:rPr>
              <w:t>.</w:t>
            </w:r>
            <w:r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043913" w:rsidRPr="00F313EA" w:rsidTr="00025588">
        <w:trPr>
          <w:cantSplit/>
        </w:trPr>
        <w:tc>
          <w:tcPr>
            <w:tcW w:w="14310" w:type="dxa"/>
            <w:gridSpan w:val="4"/>
            <w:tcMar>
              <w:top w:w="58" w:type="dxa"/>
              <w:left w:w="130" w:type="dxa"/>
              <w:bottom w:w="58" w:type="dxa"/>
              <w:right w:w="115" w:type="dxa"/>
            </w:tcMar>
            <w:vAlign w:val="center"/>
          </w:tcPr>
          <w:p w:rsidR="00043913" w:rsidRPr="00F313EA" w:rsidRDefault="00043913"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B10951">
            <w:pPr>
              <w:rPr>
                <w:rFonts w:asciiTheme="minorHAnsi" w:hAnsiTheme="minorHAnsi" w:cs="Arial"/>
              </w:rPr>
            </w:pPr>
            <w:r w:rsidRPr="00F313EA">
              <w:rPr>
                <w:rFonts w:asciiTheme="minorHAnsi" w:hAnsiTheme="minorHAnsi" w:cs="Arial"/>
              </w:rPr>
              <w:t xml:space="preserve">Is the public health agency involved with a </w:t>
            </w:r>
            <w:r w:rsidR="00D25904" w:rsidRPr="00F313EA">
              <w:rPr>
                <w:rFonts w:asciiTheme="minorHAnsi" w:hAnsiTheme="minorHAnsi" w:cs="Arial"/>
              </w:rPr>
              <w:t xml:space="preserve">state or </w:t>
            </w:r>
            <w:r w:rsidRPr="00F313EA">
              <w:rPr>
                <w:rFonts w:asciiTheme="minorHAnsi" w:hAnsiTheme="minorHAnsi" w:cs="Arial"/>
              </w:rPr>
              <w:t>local FUSION center</w:t>
            </w:r>
            <w:r w:rsidR="00B10951" w:rsidRPr="00F313EA">
              <w:rPr>
                <w:rFonts w:asciiTheme="minorHAnsi" w:hAnsiTheme="minorHAnsi" w:cs="Arial"/>
              </w:rPr>
              <w:t>? W</w:t>
            </w:r>
            <w:r w:rsidRPr="00F313EA">
              <w:rPr>
                <w:rFonts w:asciiTheme="minorHAnsi" w:hAnsiTheme="minorHAnsi" w:cs="Arial"/>
              </w:rPr>
              <w:t>hat policies, procedures, and agreements govern data sharing?</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043913" w:rsidRPr="00F313EA" w:rsidTr="00B95238">
        <w:trPr>
          <w:cantSplit/>
        </w:trPr>
        <w:tc>
          <w:tcPr>
            <w:tcW w:w="14310" w:type="dxa"/>
            <w:gridSpan w:val="4"/>
            <w:tcMar>
              <w:top w:w="58" w:type="dxa"/>
              <w:left w:w="130" w:type="dxa"/>
              <w:bottom w:w="58" w:type="dxa"/>
              <w:right w:w="115" w:type="dxa"/>
            </w:tcMar>
            <w:vAlign w:val="center"/>
          </w:tcPr>
          <w:p w:rsidR="00043913" w:rsidRPr="00F313EA" w:rsidRDefault="00043913"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B10951">
            <w:pPr>
              <w:rPr>
                <w:rFonts w:asciiTheme="minorHAnsi" w:hAnsiTheme="minorHAnsi" w:cs="Arial"/>
              </w:rPr>
            </w:pPr>
            <w:r w:rsidRPr="00F313EA">
              <w:rPr>
                <w:rFonts w:asciiTheme="minorHAnsi" w:hAnsiTheme="minorHAnsi" w:cs="Arial"/>
              </w:rPr>
              <w:t xml:space="preserve">Identify existing </w:t>
            </w:r>
            <w:r w:rsidR="00992389" w:rsidRPr="00F313EA">
              <w:rPr>
                <w:rFonts w:asciiTheme="minorHAnsi" w:hAnsiTheme="minorHAnsi" w:cs="Arial"/>
              </w:rPr>
              <w:t>memoranda of understanding (</w:t>
            </w:r>
            <w:r w:rsidRPr="00F313EA">
              <w:rPr>
                <w:rFonts w:asciiTheme="minorHAnsi" w:hAnsiTheme="minorHAnsi" w:cs="Arial"/>
              </w:rPr>
              <w:t>MOUs</w:t>
            </w:r>
            <w:r w:rsidR="00992389" w:rsidRPr="00F313EA">
              <w:rPr>
                <w:rFonts w:asciiTheme="minorHAnsi" w:hAnsiTheme="minorHAnsi" w:cs="Arial"/>
              </w:rPr>
              <w:t>)</w:t>
            </w:r>
            <w:r w:rsidRPr="00F313EA">
              <w:rPr>
                <w:rFonts w:asciiTheme="minorHAnsi" w:hAnsiTheme="minorHAnsi" w:cs="Arial"/>
              </w:rPr>
              <w:t xml:space="preserve"> or data sharing agreements with </w:t>
            </w:r>
            <w:r w:rsidR="00B10951" w:rsidRPr="00F313EA">
              <w:rPr>
                <w:rFonts w:asciiTheme="minorHAnsi" w:hAnsiTheme="minorHAnsi" w:cs="Arial"/>
              </w:rPr>
              <w:t>l</w:t>
            </w:r>
            <w:r w:rsidRPr="00F313EA">
              <w:rPr>
                <w:rFonts w:asciiTheme="minorHAnsi" w:hAnsiTheme="minorHAnsi" w:cs="Arial"/>
              </w:rPr>
              <w:t xml:space="preserve">aw </w:t>
            </w:r>
            <w:r w:rsidR="00B10951" w:rsidRPr="00F313EA">
              <w:rPr>
                <w:rFonts w:asciiTheme="minorHAnsi" w:hAnsiTheme="minorHAnsi" w:cs="Arial"/>
              </w:rPr>
              <w:t>e</w:t>
            </w:r>
            <w:r w:rsidRPr="00F313EA">
              <w:rPr>
                <w:rFonts w:asciiTheme="minorHAnsi" w:hAnsiTheme="minorHAnsi" w:cs="Arial"/>
              </w:rPr>
              <w:t>nforcement; analyze if updates are required or additional agreements are needed.</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40"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5137" w:type="dxa"/>
            <w:gridSpan w:val="2"/>
            <w:tcMar>
              <w:top w:w="58" w:type="dxa"/>
              <w:left w:w="130" w:type="dxa"/>
              <w:bottom w:w="58" w:type="dxa"/>
              <w:right w:w="115" w:type="dxa"/>
            </w:tcMar>
            <w:vAlign w:val="center"/>
          </w:tcPr>
          <w:p w:rsidR="00517F72" w:rsidRPr="00F313EA" w:rsidRDefault="00517F72" w:rsidP="00EF2227">
            <w:pPr>
              <w:rPr>
                <w:rFonts w:asciiTheme="minorHAnsi" w:hAnsiTheme="minorHAnsi" w:cs="Arial"/>
              </w:rPr>
            </w:pPr>
            <w:r w:rsidRPr="00F313EA">
              <w:rPr>
                <w:rFonts w:asciiTheme="minorHAnsi" w:hAnsiTheme="minorHAnsi" w:cs="Arial"/>
              </w:rPr>
              <w:t>A MOU may include provisions regarding:</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Information to be shared</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Purpose for which information is to be used</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Method for sharing</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 xml:space="preserve">Who has access to the </w:t>
            </w:r>
            <w:proofErr w:type="gramStart"/>
            <w:r w:rsidRPr="00F313EA">
              <w:rPr>
                <w:rFonts w:asciiTheme="minorHAnsi" w:hAnsiTheme="minorHAnsi" w:cs="Arial"/>
              </w:rPr>
              <w:t>information</w:t>
            </w:r>
            <w:r w:rsidR="00B10951" w:rsidRPr="00F313EA">
              <w:rPr>
                <w:rFonts w:asciiTheme="minorHAnsi" w:hAnsiTheme="minorHAnsi" w:cs="Arial"/>
              </w:rPr>
              <w:t>.</w:t>
            </w:r>
            <w:proofErr w:type="gramEnd"/>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Acceptable uses and linkages of the information</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Protection and security of the information</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F313EA" w:rsidP="00064835">
            <w:pPr>
              <w:rPr>
                <w:rFonts w:asciiTheme="minorHAnsi" w:hAnsiTheme="minorHAnsi" w:cs="Arial"/>
              </w:rPr>
            </w:pPr>
            <w:r>
              <w:rPr>
                <w:rFonts w:asciiTheme="minorHAnsi" w:hAnsiTheme="minorHAnsi" w:cs="Arial"/>
              </w:rPr>
              <w:t>Retaining, reusing</w:t>
            </w:r>
            <w:r w:rsidR="00517F72" w:rsidRPr="00F313EA">
              <w:rPr>
                <w:rFonts w:asciiTheme="minorHAnsi" w:hAnsiTheme="minorHAnsi" w:cs="Arial"/>
              </w:rPr>
              <w:t xml:space="preserve">, and further </w:t>
            </w:r>
            <w:r>
              <w:rPr>
                <w:rFonts w:asciiTheme="minorHAnsi" w:hAnsiTheme="minorHAnsi" w:cs="Arial"/>
              </w:rPr>
              <w:t>sharing</w:t>
            </w:r>
            <w:r w:rsidR="00517F72" w:rsidRPr="00F313EA">
              <w:rPr>
                <w:rFonts w:asciiTheme="minorHAnsi" w:hAnsiTheme="minorHAnsi" w:cs="Arial"/>
              </w:rPr>
              <w:t xml:space="preserve"> information</w:t>
            </w:r>
            <w:r w:rsidR="00B10951" w:rsidRPr="00F313EA">
              <w:rPr>
                <w:rFonts w:asciiTheme="minorHAnsi" w:hAnsiTheme="minorHAnsi" w:cs="Arial"/>
              </w:rPr>
              <w:t>.</w:t>
            </w:r>
            <w:r w:rsidR="00517F72" w:rsidRPr="00F313EA">
              <w:rPr>
                <w:rFonts w:asciiTheme="minorHAnsi" w:hAnsiTheme="minorHAnsi" w:cs="Arial"/>
              </w:rPr>
              <w:t xml:space="preserve"> </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c>
          <w:tcPr>
            <w:tcW w:w="4575" w:type="dxa"/>
            <w:vAlign w:val="center"/>
          </w:tcPr>
          <w:p w:rsidR="00517F72" w:rsidRPr="00F313EA" w:rsidRDefault="00517F72" w:rsidP="00064835">
            <w:pPr>
              <w:rPr>
                <w:rFonts w:asciiTheme="minorHAnsi" w:hAnsiTheme="minorHAnsi" w:cs="Arial"/>
              </w:rPr>
            </w:pPr>
            <w:r w:rsidRPr="00F313EA">
              <w:rPr>
                <w:rFonts w:asciiTheme="minorHAnsi" w:hAnsiTheme="minorHAnsi" w:cs="Arial"/>
              </w:rPr>
              <w:t>Audits or other mechanisms to monitor proper use</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064835">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F313EA" w:rsidP="004E12E8">
            <w:pPr>
              <w:rPr>
                <w:rFonts w:asciiTheme="minorHAnsi" w:hAnsiTheme="minorHAnsi" w:cs="Arial"/>
              </w:rPr>
            </w:pPr>
            <w:r>
              <w:rPr>
                <w:rFonts w:asciiTheme="minorHAnsi" w:hAnsiTheme="minorHAnsi" w:cs="Arial"/>
              </w:rPr>
              <w:t>Accountability and enforcing</w:t>
            </w:r>
            <w:r w:rsidR="00517F72" w:rsidRPr="00F313EA">
              <w:rPr>
                <w:rFonts w:asciiTheme="minorHAnsi" w:hAnsiTheme="minorHAnsi" w:cs="Arial"/>
              </w:rPr>
              <w:t xml:space="preserve"> terms of agreement</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1102" w:type="dxa"/>
            <w:gridSpan w:val="2"/>
            <w:tcMar>
              <w:top w:w="58" w:type="dxa"/>
              <w:left w:w="130" w:type="dxa"/>
              <w:bottom w:w="58" w:type="dxa"/>
              <w:right w:w="115" w:type="dxa"/>
            </w:tcMar>
            <w:vAlign w:val="center"/>
          </w:tcPr>
          <w:p w:rsidR="00517F72" w:rsidRPr="00F313EA" w:rsidRDefault="00517F72" w:rsidP="004E12E8">
            <w:pPr>
              <w:rPr>
                <w:rFonts w:asciiTheme="minorHAnsi" w:hAnsiTheme="minorHAnsi" w:cs="Arial"/>
              </w:rPr>
            </w:pPr>
          </w:p>
        </w:tc>
        <w:tc>
          <w:tcPr>
            <w:tcW w:w="4575" w:type="dxa"/>
            <w:vAlign w:val="center"/>
          </w:tcPr>
          <w:p w:rsidR="00517F72" w:rsidRPr="00F313EA" w:rsidRDefault="00517F72" w:rsidP="004E12E8">
            <w:pPr>
              <w:rPr>
                <w:rFonts w:asciiTheme="minorHAnsi" w:hAnsiTheme="minorHAnsi" w:cs="Arial"/>
              </w:rPr>
            </w:pPr>
            <w:r w:rsidRPr="00F313EA">
              <w:rPr>
                <w:rFonts w:asciiTheme="minorHAnsi" w:hAnsiTheme="minorHAnsi" w:cs="Arial"/>
              </w:rPr>
              <w:t>Other</w:t>
            </w:r>
            <w:r w:rsidR="00B10951" w:rsidRPr="00F313EA">
              <w:rPr>
                <w:rFonts w:asciiTheme="minorHAnsi" w:hAnsiTheme="minorHAnsi" w:cs="Arial"/>
              </w:rPr>
              <w:t>.</w:t>
            </w: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r w:rsidR="00517F72" w:rsidRPr="00F313EA" w:rsidTr="00517F72">
        <w:trPr>
          <w:cantSplit/>
        </w:trPr>
        <w:tc>
          <w:tcPr>
            <w:tcW w:w="5677" w:type="dxa"/>
            <w:gridSpan w:val="3"/>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c>
          <w:tcPr>
            <w:tcW w:w="8633" w:type="dxa"/>
            <w:tcMar>
              <w:top w:w="58" w:type="dxa"/>
              <w:left w:w="130" w:type="dxa"/>
              <w:bottom w:w="58" w:type="dxa"/>
              <w:right w:w="115" w:type="dxa"/>
            </w:tcMar>
            <w:vAlign w:val="center"/>
          </w:tcPr>
          <w:p w:rsidR="00517F72" w:rsidRPr="00F313EA" w:rsidRDefault="00517F72" w:rsidP="001421B0">
            <w:pPr>
              <w:rPr>
                <w:rFonts w:asciiTheme="minorHAnsi" w:hAnsiTheme="minorHAnsi" w:cs="Arial"/>
              </w:rPr>
            </w:pPr>
          </w:p>
        </w:tc>
      </w:tr>
    </w:tbl>
    <w:p w:rsidR="00222EC8" w:rsidRPr="00F313EA" w:rsidRDefault="00036DC3" w:rsidP="001421B0">
      <w:pPr>
        <w:rPr>
          <w:rFonts w:asciiTheme="minorHAnsi" w:hAnsiTheme="minorHAnsi" w:cs="Arial"/>
        </w:rPr>
      </w:pPr>
      <w:r w:rsidRPr="00F313EA">
        <w:rPr>
          <w:rFonts w:asciiTheme="minorHAnsi" w:hAnsiTheme="minorHAnsi" w:cs="Arial"/>
          <w:noProof/>
        </w:rPr>
        <w:lastRenderedPageBreak/>
        <mc:AlternateContent>
          <mc:Choice Requires="wps">
            <w:drawing>
              <wp:anchor distT="0" distB="0" distL="114300" distR="114300" simplePos="0" relativeHeight="251658240" behindDoc="0" locked="0" layoutInCell="1" allowOverlap="1" wp14:anchorId="551A684A" wp14:editId="711FC276">
                <wp:simplePos x="0" y="0"/>
                <wp:positionH relativeFrom="column">
                  <wp:align>center</wp:align>
                </wp:positionH>
                <wp:positionV relativeFrom="page">
                  <wp:posOffset>6669405</wp:posOffset>
                </wp:positionV>
                <wp:extent cx="8426450" cy="276225"/>
                <wp:effectExtent l="9525" t="11430" r="12700" b="1143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0" cy="276225"/>
                        </a:xfrm>
                        <a:prstGeom prst="rect">
                          <a:avLst/>
                        </a:prstGeom>
                        <a:solidFill>
                          <a:srgbClr val="FFFFFF"/>
                        </a:solidFill>
                        <a:ln w="9525">
                          <a:solidFill>
                            <a:srgbClr val="000000"/>
                          </a:solidFill>
                          <a:miter lim="800000"/>
                          <a:headEnd/>
                          <a:tailEnd/>
                        </a:ln>
                      </wps:spPr>
                      <wps:txbx>
                        <w:txbxContent>
                          <w:p w:rsidR="00222EC8" w:rsidRPr="00A93FEB" w:rsidRDefault="00222EC8"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00BB3F56">
                              <w:rPr>
                                <w:rFonts w:ascii="Arial" w:hAnsi="Arial" w:cs="Arial"/>
                                <w:sz w:val="12"/>
                                <w:szCs w:val="12"/>
                              </w:rPr>
                              <w:t xml:space="preserve"> Subcontractor </w:t>
                            </w:r>
                            <w:r w:rsidR="00BB3F56" w:rsidRPr="00BB3F56">
                              <w:rPr>
                                <w:rFonts w:ascii="Arial" w:hAnsi="Arial" w:cs="Arial"/>
                                <w:sz w:val="12"/>
                                <w:szCs w:val="12"/>
                              </w:rPr>
                              <w:t>University of Michigan School of Public Health, Network for Public Health Law – Mid-States Region.</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525.15pt;width:663.5pt;height:21.7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">
                <v:textbox style="mso-fit-shape-to-text:t">
                  <w:txbxContent>
                    <w:p w:rsidR="00222EC8" w:rsidRPr="00A93FEB" w:rsidRDefault="00222EC8"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00BB3F56">
                        <w:rPr>
                          <w:rFonts w:ascii="Arial" w:hAnsi="Arial" w:cs="Arial"/>
                          <w:sz w:val="12"/>
                          <w:szCs w:val="12"/>
                        </w:rPr>
                        <w:t xml:space="preserve"> Subcontractor </w:t>
                      </w:r>
                      <w:r w:rsidR="00BB3F56" w:rsidRPr="00BB3F56">
                        <w:rPr>
                          <w:rFonts w:ascii="Arial" w:hAnsi="Arial" w:cs="Arial"/>
                          <w:sz w:val="12"/>
                          <w:szCs w:val="12"/>
                        </w:rPr>
                        <w:t>University of Michigan School of Public Health, Network for Public Health Law – Mid-States Region.</w:t>
                      </w:r>
                    </w:p>
                  </w:txbxContent>
                </v:textbox>
                <w10:wrap type="square" anchory="page"/>
              </v:shape>
            </w:pict>
          </mc:Fallback>
        </mc:AlternateContent>
      </w:r>
    </w:p>
    <w:sectPr w:rsidR="00222EC8" w:rsidRPr="00F313EA" w:rsidSect="00097F61">
      <w:footerReference w:type="default" r:id="rId8"/>
      <w:headerReference w:type="first" r:id="rId9"/>
      <w:footerReference w:type="first" r:id="rId10"/>
      <w:pgSz w:w="15840" w:h="12240" w:orient="landscape" w:code="1"/>
      <w:pgMar w:top="1068" w:right="720" w:bottom="1152" w:left="720" w:header="540" w:footer="432" w:gutter="0"/>
      <w:pgBorders w:display="firstPage" w:offsetFrom="page">
        <w:top w:val="single" w:sz="8" w:space="24" w:color="A6A6A6"/>
        <w:left w:val="single" w:sz="8" w:space="24" w:color="A6A6A6"/>
        <w:bottom w:val="single" w:sz="8" w:space="24" w:color="A6A6A6"/>
        <w:right w:val="single" w:sz="8" w:space="24" w:color="A6A6A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8AA" w:rsidRDefault="001238AA" w:rsidP="006C6582">
      <w:r>
        <w:separator/>
      </w:r>
    </w:p>
  </w:endnote>
  <w:endnote w:type="continuationSeparator" w:id="0">
    <w:p w:rsidR="001238AA" w:rsidRDefault="001238AA" w:rsidP="006C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EC8" w:rsidRDefault="00222EC8">
    <w:pPr>
      <w:pStyle w:val="Footer"/>
      <w:jc w:val="right"/>
    </w:pPr>
  </w:p>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35"/>
      <w:gridCol w:w="2295"/>
    </w:tblGrid>
    <w:tr w:rsidR="00222EC8" w:rsidRPr="00AB0FE4" w:rsidTr="0044408D">
      <w:tc>
        <w:tcPr>
          <w:tcW w:w="9288" w:type="dxa"/>
          <w:tcBorders>
            <w:top w:val="single" w:sz="8" w:space="0" w:color="A6A6A6"/>
          </w:tcBorders>
          <w:tcMar>
            <w:top w:w="14" w:type="dxa"/>
            <w:left w:w="115" w:type="dxa"/>
            <w:right w:w="115" w:type="dxa"/>
          </w:tcMar>
          <w:vAlign w:val="bottom"/>
        </w:tcPr>
        <w:p w:rsidR="00222EC8" w:rsidRPr="00AB0FE4" w:rsidRDefault="00BB3F56" w:rsidP="008579D5">
          <w:pPr>
            <w:rPr>
              <w:rFonts w:ascii="Arial" w:hAnsi="Arial" w:cs="Arial"/>
              <w:i/>
              <w:color w:val="A6A6A6"/>
              <w:sz w:val="16"/>
              <w:szCs w:val="16"/>
            </w:rPr>
          </w:pPr>
          <w:r w:rsidRPr="00BB3F56">
            <w:rPr>
              <w:rFonts w:ascii="Arial" w:hAnsi="Arial" w:cs="Arial"/>
              <w:i/>
              <w:color w:val="808080"/>
              <w:sz w:val="16"/>
              <w:szCs w:val="16"/>
            </w:rPr>
            <w:t>Sharing Information between Public Health and Law Enforcement</w:t>
          </w:r>
          <w:r w:rsidR="00222EC8" w:rsidRPr="00AB0FE4">
            <w:rPr>
              <w:rFonts w:ascii="Arial" w:hAnsi="Arial" w:cs="Arial"/>
              <w:i/>
              <w:color w:val="808080"/>
              <w:sz w:val="16"/>
              <w:szCs w:val="16"/>
            </w:rPr>
            <w:t>–State Analysis Guide</w:t>
          </w:r>
        </w:p>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tcMar>
            <w:top w:w="14" w:type="dxa"/>
            <w:left w:w="115" w:type="dxa"/>
            <w:right w:w="115" w:type="dxa"/>
          </w:tcMar>
          <w:vAlign w:val="bottom"/>
        </w:tcPr>
        <w:p w:rsidR="00222EC8" w:rsidRPr="00AB0FE4" w:rsidRDefault="00222EC8" w:rsidP="0044408D">
          <w:pPr>
            <w:pStyle w:val="Footer"/>
            <w:jc w:val="center"/>
            <w:rPr>
              <w:rFonts w:ascii="Arial" w:hAnsi="Arial" w:cs="Arial"/>
              <w:i/>
              <w:color w:val="808080"/>
              <w:sz w:val="16"/>
              <w:szCs w:val="16"/>
            </w:rPr>
          </w:pPr>
          <w:r w:rsidRPr="00AB0FE4">
            <w:rPr>
              <w:rFonts w:ascii="Arial" w:hAnsi="Arial" w:cs="Arial"/>
              <w:i/>
              <w:color w:val="808080"/>
              <w:sz w:val="14"/>
              <w:szCs w:val="16"/>
            </w:rPr>
            <w:t xml:space="preserve">PAGE  </w:t>
          </w:r>
          <w:r w:rsidR="00CF6F81" w:rsidRPr="00AB0FE4">
            <w:rPr>
              <w:rFonts w:ascii="Arial" w:hAnsi="Arial" w:cs="Arial"/>
              <w:i/>
              <w:color w:val="808080"/>
              <w:sz w:val="14"/>
              <w:szCs w:val="16"/>
            </w:rPr>
            <w:fldChar w:fldCharType="begin"/>
          </w:r>
          <w:r w:rsidRPr="00AB0FE4">
            <w:rPr>
              <w:rFonts w:ascii="Arial" w:hAnsi="Arial" w:cs="Arial"/>
              <w:i/>
              <w:color w:val="808080"/>
              <w:sz w:val="14"/>
              <w:szCs w:val="16"/>
            </w:rPr>
            <w:instrText xml:space="preserve"> PAGE   \* MERGEFORMAT </w:instrText>
          </w:r>
          <w:r w:rsidR="00CF6F81" w:rsidRPr="00AB0FE4">
            <w:rPr>
              <w:rFonts w:ascii="Arial" w:hAnsi="Arial" w:cs="Arial"/>
              <w:i/>
              <w:color w:val="808080"/>
              <w:sz w:val="14"/>
              <w:szCs w:val="16"/>
            </w:rPr>
            <w:fldChar w:fldCharType="separate"/>
          </w:r>
          <w:r w:rsidR="00154E44">
            <w:rPr>
              <w:rFonts w:ascii="Arial" w:hAnsi="Arial" w:cs="Arial"/>
              <w:i/>
              <w:noProof/>
              <w:color w:val="808080"/>
              <w:sz w:val="14"/>
              <w:szCs w:val="16"/>
            </w:rPr>
            <w:t>2</w:t>
          </w:r>
          <w:r w:rsidR="00CF6F81" w:rsidRPr="00AB0FE4">
            <w:rPr>
              <w:rFonts w:ascii="Arial" w:hAnsi="Arial" w:cs="Arial"/>
              <w:i/>
              <w:color w:val="808080"/>
              <w:sz w:val="14"/>
              <w:szCs w:val="16"/>
            </w:rPr>
            <w:fldChar w:fldCharType="end"/>
          </w:r>
        </w:p>
      </w:tc>
    </w:tr>
  </w:tbl>
  <w:p w:rsidR="00222EC8" w:rsidRDefault="00222E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23"/>
      <w:gridCol w:w="2293"/>
    </w:tblGrid>
    <w:tr w:rsidR="00222EC8" w:rsidRPr="00AB0FE4" w:rsidTr="00274070">
      <w:tc>
        <w:tcPr>
          <w:tcW w:w="9288" w:type="dxa"/>
          <w:tcBorders>
            <w:top w:val="single" w:sz="8" w:space="0" w:color="A6A6A6"/>
          </w:tcBorders>
          <w:vAlign w:val="bottom"/>
        </w:tcPr>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vAlign w:val="bottom"/>
        </w:tcPr>
        <w:p w:rsidR="00222EC8" w:rsidRPr="00AB0FE4" w:rsidRDefault="00222EC8" w:rsidP="00B67F7F">
          <w:pPr>
            <w:pStyle w:val="Footer"/>
            <w:jc w:val="center"/>
            <w:rPr>
              <w:rFonts w:ascii="Arial" w:hAnsi="Arial" w:cs="Arial"/>
              <w:color w:val="808080"/>
              <w:sz w:val="12"/>
              <w:szCs w:val="12"/>
            </w:rPr>
          </w:pPr>
        </w:p>
        <w:p w:rsidR="00222EC8" w:rsidRPr="00AB0FE4" w:rsidRDefault="001A7031" w:rsidP="00B67F7F">
          <w:pPr>
            <w:pStyle w:val="Footer"/>
            <w:jc w:val="center"/>
            <w:rPr>
              <w:rFonts w:ascii="Arial" w:hAnsi="Arial" w:cs="Arial"/>
              <w:i/>
              <w:color w:val="808080"/>
              <w:sz w:val="12"/>
              <w:szCs w:val="12"/>
            </w:rPr>
          </w:pPr>
          <w:r>
            <w:rPr>
              <w:rFonts w:ascii="Arial" w:hAnsi="Arial" w:cs="Arial"/>
              <w:i/>
              <w:color w:val="808080"/>
              <w:sz w:val="12"/>
              <w:szCs w:val="12"/>
            </w:rPr>
            <w:t>www.astho.org</w:t>
          </w:r>
        </w:p>
      </w:tc>
    </w:tr>
  </w:tbl>
  <w:p w:rsidR="00222EC8" w:rsidRPr="00274070" w:rsidRDefault="00222EC8" w:rsidP="0043094B">
    <w:pPr>
      <w:pStyle w:val="Footer"/>
      <w:rPr>
        <w:color w:val="A6A6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8AA" w:rsidRDefault="001238AA" w:rsidP="006C6582">
      <w:r>
        <w:separator/>
      </w:r>
    </w:p>
  </w:footnote>
  <w:footnote w:type="continuationSeparator" w:id="0">
    <w:p w:rsidR="001238AA" w:rsidRDefault="001238AA" w:rsidP="006C6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83" w:type="pct"/>
      <w:tblInd w:w="25" w:type="dxa"/>
      <w:tblBorders>
        <w:bottom w:val="single" w:sz="8" w:space="0" w:color="A6A6A6"/>
        <w:insideH w:val="single" w:sz="8" w:space="0" w:color="A6A6A6"/>
        <w:insideV w:val="single" w:sz="8" w:space="0" w:color="A6A6A6"/>
      </w:tblBorders>
      <w:tblCellMar>
        <w:top w:w="72" w:type="dxa"/>
        <w:left w:w="115" w:type="dxa"/>
        <w:bottom w:w="72" w:type="dxa"/>
        <w:right w:w="115" w:type="dxa"/>
      </w:tblCellMar>
      <w:tblLook w:val="00A0" w:firstRow="1" w:lastRow="0" w:firstColumn="1" w:lastColumn="0" w:noHBand="0" w:noVBand="0"/>
    </w:tblPr>
    <w:tblGrid>
      <w:gridCol w:w="2140"/>
      <w:gridCol w:w="12440"/>
    </w:tblGrid>
    <w:tr w:rsidR="00222EC8" w:rsidRPr="00AB0FE4" w:rsidTr="00FD3AF6">
      <w:trPr>
        <w:trHeight w:val="915"/>
      </w:trPr>
      <w:tc>
        <w:tcPr>
          <w:tcW w:w="2140" w:type="dxa"/>
          <w:vAlign w:val="center"/>
        </w:tcPr>
        <w:p w:rsidR="00222EC8" w:rsidRDefault="006C43DB" w:rsidP="00097F61">
          <w:pPr>
            <w:pStyle w:val="Header"/>
            <w:jc w:val="center"/>
            <w:rPr>
              <w:rFonts w:ascii="Cambria" w:hAnsi="Cambria"/>
              <w:sz w:val="36"/>
              <w:szCs w:val="36"/>
            </w:rPr>
          </w:pPr>
          <w:r>
            <w:rPr>
              <w:rFonts w:ascii="Cambria" w:hAnsi="Cambria"/>
              <w:noProof/>
              <w:sz w:val="36"/>
              <w:szCs w:val="36"/>
            </w:rPr>
            <w:drawing>
              <wp:inline distT="0" distB="0" distL="0" distR="0" wp14:anchorId="61FAEDB1" wp14:editId="727D7E28">
                <wp:extent cx="904875" cy="390525"/>
                <wp:effectExtent l="19050" t="0" r="9525" b="0"/>
                <wp:docPr id="1"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a:srcRect/>
                        <a:stretch>
                          <a:fillRect/>
                        </a:stretch>
                      </pic:blipFill>
                      <pic:spPr bwMode="auto">
                        <a:xfrm>
                          <a:off x="0" y="0"/>
                          <a:ext cx="904875" cy="390525"/>
                        </a:xfrm>
                        <a:prstGeom prst="rect">
                          <a:avLst/>
                        </a:prstGeom>
                        <a:noFill/>
                        <a:ln w="9525">
                          <a:noFill/>
                          <a:miter lim="800000"/>
                          <a:headEnd/>
                          <a:tailEnd/>
                        </a:ln>
                      </pic:spPr>
                    </pic:pic>
                  </a:graphicData>
                </a:graphic>
              </wp:inline>
            </w:drawing>
          </w:r>
        </w:p>
      </w:tc>
      <w:tc>
        <w:tcPr>
          <w:tcW w:w="12440" w:type="dxa"/>
          <w:vAlign w:val="center"/>
        </w:tcPr>
        <w:p w:rsidR="00222EC8" w:rsidRPr="001071B7" w:rsidRDefault="00036DC3" w:rsidP="00097F61">
          <w:pPr>
            <w:pStyle w:val="Header"/>
            <w:spacing w:after="60"/>
            <w:rPr>
              <w:rFonts w:ascii="Arial" w:hAnsi="Arial" w:cs="Arial"/>
              <w:bCs/>
              <w:i/>
              <w:color w:val="808080"/>
              <w:sz w:val="24"/>
              <w:szCs w:val="24"/>
            </w:rPr>
          </w:pPr>
          <w:r>
            <w:rPr>
              <w:noProof/>
            </w:rPr>
            <mc:AlternateContent>
              <mc:Choice Requires="wps">
                <w:drawing>
                  <wp:anchor distT="0" distB="0" distL="114300" distR="114300" simplePos="0" relativeHeight="251660288" behindDoc="0" locked="0" layoutInCell="1" allowOverlap="1" wp14:anchorId="535DC316" wp14:editId="4F11F4E3">
                    <wp:simplePos x="0" y="0"/>
                    <wp:positionH relativeFrom="column">
                      <wp:posOffset>19050</wp:posOffset>
                    </wp:positionH>
                    <wp:positionV relativeFrom="paragraph">
                      <wp:posOffset>-30480</wp:posOffset>
                    </wp:positionV>
                    <wp:extent cx="7781925" cy="571500"/>
                    <wp:effectExtent l="0" t="0" r="952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571500"/>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BB1FE2" w:rsidP="001028FE">
                                <w:pPr>
                                  <w:jc w:val="center"/>
                                  <w:rPr>
                                    <w:rFonts w:ascii="Arial" w:hAnsi="Arial" w:cs="Arial"/>
                                    <w:color w:val="FFFFFF"/>
                                    <w:sz w:val="28"/>
                                    <w:szCs w:val="32"/>
                                  </w:rPr>
                                </w:pPr>
                                <w:r>
                                  <w:rPr>
                                    <w:rFonts w:ascii="Arial" w:hAnsi="Arial" w:cs="Arial"/>
                                    <w:color w:val="FFFFFF"/>
                                    <w:sz w:val="28"/>
                                    <w:szCs w:val="32"/>
                                  </w:rPr>
                                  <w:t>PUBLIC HEALTH &amp; INFORMATION SHARING</w:t>
                                </w:r>
                                <w:r w:rsidR="00222EC8" w:rsidRPr="00AB0FE4">
                                  <w:rPr>
                                    <w:rFonts w:ascii="Arial" w:hAnsi="Arial" w:cs="Arial"/>
                                    <w:color w:val="FFFFFF"/>
                                    <w:sz w:val="28"/>
                                    <w:szCs w:val="32"/>
                                  </w:rPr>
                                  <w:t xml:space="preserve"> TOOLKIT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5pt;margin-top:-2.4pt;width:612.7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" fillcolor="#8064a2 [3207]" stroked="f">
                    <v:textbo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BB1FE2" w:rsidP="001028FE">
                          <w:pPr>
                            <w:jc w:val="center"/>
                            <w:rPr>
                              <w:rFonts w:ascii="Arial" w:hAnsi="Arial" w:cs="Arial"/>
                              <w:color w:val="FFFFFF"/>
                              <w:sz w:val="28"/>
                              <w:szCs w:val="32"/>
                            </w:rPr>
                          </w:pPr>
                          <w:r>
                            <w:rPr>
                              <w:rFonts w:ascii="Arial" w:hAnsi="Arial" w:cs="Arial"/>
                              <w:color w:val="FFFFFF"/>
                              <w:sz w:val="28"/>
                              <w:szCs w:val="32"/>
                            </w:rPr>
                            <w:t>PUBLIC HEALTH &amp; INFORMATION SHARING</w:t>
                          </w:r>
                          <w:r w:rsidR="00222EC8" w:rsidRPr="00AB0FE4">
                            <w:rPr>
                              <w:rFonts w:ascii="Arial" w:hAnsi="Arial" w:cs="Arial"/>
                              <w:color w:val="FFFFFF"/>
                              <w:sz w:val="28"/>
                              <w:szCs w:val="32"/>
                            </w:rPr>
                            <w:t xml:space="preserve"> TOOLKIT</w:t>
                          </w:r>
                        </w:p>
                      </w:txbxContent>
                    </v:textbox>
                  </v:shape>
                </w:pict>
              </mc:Fallback>
            </mc:AlternateContent>
          </w:r>
        </w:p>
        <w:p w:rsidR="00222EC8" w:rsidRPr="00AB0FE4" w:rsidRDefault="00222EC8" w:rsidP="00097F61">
          <w:pPr>
            <w:pStyle w:val="Header"/>
            <w:shd w:val="clear" w:color="auto" w:fill="FFFFFF"/>
            <w:spacing w:before="20" w:after="20"/>
            <w:rPr>
              <w:rFonts w:ascii="Arial" w:hAnsi="Arial" w:cs="Arial"/>
              <w:color w:val="FFFFFF"/>
              <w:sz w:val="32"/>
              <w:szCs w:val="32"/>
            </w:rPr>
          </w:pPr>
        </w:p>
      </w:tc>
    </w:tr>
  </w:tbl>
  <w:p w:rsidR="00222EC8" w:rsidRPr="008912B8" w:rsidRDefault="00222EC8" w:rsidP="00152E6A">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4"/>
  </w:num>
  <w:num w:numId="4">
    <w:abstractNumId w:val="15"/>
  </w:num>
  <w:num w:numId="5">
    <w:abstractNumId w:val="7"/>
  </w:num>
  <w:num w:numId="6">
    <w:abstractNumId w:val="10"/>
  </w:num>
  <w:num w:numId="7">
    <w:abstractNumId w:val="8"/>
  </w:num>
  <w:num w:numId="8">
    <w:abstractNumId w:val="5"/>
  </w:num>
  <w:num w:numId="9">
    <w:abstractNumId w:val="0"/>
  </w:num>
  <w:num w:numId="10">
    <w:abstractNumId w:val="12"/>
  </w:num>
  <w:num w:numId="11">
    <w:abstractNumId w:val="2"/>
  </w:num>
  <w:num w:numId="12">
    <w:abstractNumId w:val="1"/>
  </w:num>
  <w:num w:numId="13">
    <w:abstractNumId w:val="9"/>
  </w:num>
  <w:num w:numId="14">
    <w:abstractNumId w:val="6"/>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F63DC64-47BD-4F8A-AFED-F64077B79F25}"/>
    <w:docVar w:name="dgnword-eventsink" w:val="53012448"/>
  </w:docVars>
  <w:rsids>
    <w:rsidRoot w:val="006C6582"/>
    <w:rsid w:val="00005BDC"/>
    <w:rsid w:val="00017ADC"/>
    <w:rsid w:val="0002120A"/>
    <w:rsid w:val="00032902"/>
    <w:rsid w:val="00036DC3"/>
    <w:rsid w:val="00043913"/>
    <w:rsid w:val="000858D1"/>
    <w:rsid w:val="000902E2"/>
    <w:rsid w:val="00097F61"/>
    <w:rsid w:val="000A4FF4"/>
    <w:rsid w:val="000A5BAB"/>
    <w:rsid w:val="000B4A1E"/>
    <w:rsid w:val="000C69F7"/>
    <w:rsid w:val="000D7A7E"/>
    <w:rsid w:val="000F42AC"/>
    <w:rsid w:val="00100715"/>
    <w:rsid w:val="001028FE"/>
    <w:rsid w:val="001071B7"/>
    <w:rsid w:val="001109F1"/>
    <w:rsid w:val="001238AA"/>
    <w:rsid w:val="001319DC"/>
    <w:rsid w:val="001421B0"/>
    <w:rsid w:val="001513B7"/>
    <w:rsid w:val="00152E6A"/>
    <w:rsid w:val="00154E44"/>
    <w:rsid w:val="00155AC4"/>
    <w:rsid w:val="0017593A"/>
    <w:rsid w:val="00176370"/>
    <w:rsid w:val="00181BC5"/>
    <w:rsid w:val="00182931"/>
    <w:rsid w:val="001830EF"/>
    <w:rsid w:val="001840A4"/>
    <w:rsid w:val="00190679"/>
    <w:rsid w:val="001A7031"/>
    <w:rsid w:val="001E3C1B"/>
    <w:rsid w:val="001E7E99"/>
    <w:rsid w:val="00210966"/>
    <w:rsid w:val="002225D6"/>
    <w:rsid w:val="00222EC8"/>
    <w:rsid w:val="00267905"/>
    <w:rsid w:val="0027384F"/>
    <w:rsid w:val="00274070"/>
    <w:rsid w:val="00287147"/>
    <w:rsid w:val="00292E3C"/>
    <w:rsid w:val="002965C8"/>
    <w:rsid w:val="002A03E4"/>
    <w:rsid w:val="002B18C4"/>
    <w:rsid w:val="002B2075"/>
    <w:rsid w:val="002E5B0A"/>
    <w:rsid w:val="002E5CF5"/>
    <w:rsid w:val="002F008B"/>
    <w:rsid w:val="003129A1"/>
    <w:rsid w:val="0031393F"/>
    <w:rsid w:val="00316BA6"/>
    <w:rsid w:val="0033323E"/>
    <w:rsid w:val="003513DF"/>
    <w:rsid w:val="00352C43"/>
    <w:rsid w:val="003C3556"/>
    <w:rsid w:val="003D6B21"/>
    <w:rsid w:val="004071CE"/>
    <w:rsid w:val="00412AED"/>
    <w:rsid w:val="00413B2A"/>
    <w:rsid w:val="00414EDC"/>
    <w:rsid w:val="0043094B"/>
    <w:rsid w:val="0043118B"/>
    <w:rsid w:val="00431C27"/>
    <w:rsid w:val="0044408D"/>
    <w:rsid w:val="004661DF"/>
    <w:rsid w:val="004745D9"/>
    <w:rsid w:val="0048593F"/>
    <w:rsid w:val="00494CEA"/>
    <w:rsid w:val="004954B2"/>
    <w:rsid w:val="004A7C53"/>
    <w:rsid w:val="004D326C"/>
    <w:rsid w:val="004D6A38"/>
    <w:rsid w:val="004E12E8"/>
    <w:rsid w:val="004F44B9"/>
    <w:rsid w:val="00517F72"/>
    <w:rsid w:val="00530EEE"/>
    <w:rsid w:val="00540B61"/>
    <w:rsid w:val="00542F3B"/>
    <w:rsid w:val="00584104"/>
    <w:rsid w:val="005A6D45"/>
    <w:rsid w:val="005D57E5"/>
    <w:rsid w:val="005E0033"/>
    <w:rsid w:val="005F0391"/>
    <w:rsid w:val="00613CEF"/>
    <w:rsid w:val="00627FB2"/>
    <w:rsid w:val="006545DF"/>
    <w:rsid w:val="00674F4D"/>
    <w:rsid w:val="006C43DB"/>
    <w:rsid w:val="006C6582"/>
    <w:rsid w:val="0070120F"/>
    <w:rsid w:val="007013E5"/>
    <w:rsid w:val="0071014B"/>
    <w:rsid w:val="0071238C"/>
    <w:rsid w:val="00727041"/>
    <w:rsid w:val="00747CF0"/>
    <w:rsid w:val="007528AD"/>
    <w:rsid w:val="00761FF7"/>
    <w:rsid w:val="007732E1"/>
    <w:rsid w:val="007844D4"/>
    <w:rsid w:val="007A2090"/>
    <w:rsid w:val="007E7210"/>
    <w:rsid w:val="007F6C87"/>
    <w:rsid w:val="00802133"/>
    <w:rsid w:val="00811642"/>
    <w:rsid w:val="00812C84"/>
    <w:rsid w:val="00826979"/>
    <w:rsid w:val="008277E5"/>
    <w:rsid w:val="008323FD"/>
    <w:rsid w:val="0083277A"/>
    <w:rsid w:val="00841E71"/>
    <w:rsid w:val="00847A96"/>
    <w:rsid w:val="00850B4B"/>
    <w:rsid w:val="008579D5"/>
    <w:rsid w:val="00884082"/>
    <w:rsid w:val="008912B8"/>
    <w:rsid w:val="008A24DF"/>
    <w:rsid w:val="008B3E7D"/>
    <w:rsid w:val="008B7AD8"/>
    <w:rsid w:val="008D0C88"/>
    <w:rsid w:val="008D4694"/>
    <w:rsid w:val="008E29EE"/>
    <w:rsid w:val="008E44C7"/>
    <w:rsid w:val="00921C5B"/>
    <w:rsid w:val="00933D20"/>
    <w:rsid w:val="0093576D"/>
    <w:rsid w:val="00950FC7"/>
    <w:rsid w:val="009579B6"/>
    <w:rsid w:val="00963BBD"/>
    <w:rsid w:val="00966D79"/>
    <w:rsid w:val="00967268"/>
    <w:rsid w:val="00980B74"/>
    <w:rsid w:val="0098652D"/>
    <w:rsid w:val="00992389"/>
    <w:rsid w:val="00997CCC"/>
    <w:rsid w:val="009B1B99"/>
    <w:rsid w:val="009B334F"/>
    <w:rsid w:val="009C258C"/>
    <w:rsid w:val="009F6ADE"/>
    <w:rsid w:val="00A0264C"/>
    <w:rsid w:val="00A03BD7"/>
    <w:rsid w:val="00A12B66"/>
    <w:rsid w:val="00A164E6"/>
    <w:rsid w:val="00A179D6"/>
    <w:rsid w:val="00A31A3D"/>
    <w:rsid w:val="00A3556E"/>
    <w:rsid w:val="00A36343"/>
    <w:rsid w:val="00A408AB"/>
    <w:rsid w:val="00A50133"/>
    <w:rsid w:val="00A93FEB"/>
    <w:rsid w:val="00A971BD"/>
    <w:rsid w:val="00AB0FE4"/>
    <w:rsid w:val="00AB3C5C"/>
    <w:rsid w:val="00AF0D1A"/>
    <w:rsid w:val="00B10951"/>
    <w:rsid w:val="00B240FE"/>
    <w:rsid w:val="00B30640"/>
    <w:rsid w:val="00B405B2"/>
    <w:rsid w:val="00B61BA2"/>
    <w:rsid w:val="00B66E91"/>
    <w:rsid w:val="00B67F7F"/>
    <w:rsid w:val="00B760AB"/>
    <w:rsid w:val="00B92207"/>
    <w:rsid w:val="00BB1FE2"/>
    <w:rsid w:val="00BB3F56"/>
    <w:rsid w:val="00BE24B3"/>
    <w:rsid w:val="00C042D8"/>
    <w:rsid w:val="00C17283"/>
    <w:rsid w:val="00C27234"/>
    <w:rsid w:val="00C343B3"/>
    <w:rsid w:val="00C851F9"/>
    <w:rsid w:val="00C91F54"/>
    <w:rsid w:val="00CA22A4"/>
    <w:rsid w:val="00CB329B"/>
    <w:rsid w:val="00CB506B"/>
    <w:rsid w:val="00CD72B3"/>
    <w:rsid w:val="00CF40E0"/>
    <w:rsid w:val="00CF6F81"/>
    <w:rsid w:val="00D25904"/>
    <w:rsid w:val="00D71C58"/>
    <w:rsid w:val="00D84CCC"/>
    <w:rsid w:val="00D90EF0"/>
    <w:rsid w:val="00DA1DD2"/>
    <w:rsid w:val="00E012F3"/>
    <w:rsid w:val="00E13594"/>
    <w:rsid w:val="00E138FF"/>
    <w:rsid w:val="00E426AF"/>
    <w:rsid w:val="00E44C7F"/>
    <w:rsid w:val="00E6415F"/>
    <w:rsid w:val="00E72242"/>
    <w:rsid w:val="00E907CE"/>
    <w:rsid w:val="00E91A5A"/>
    <w:rsid w:val="00EA2B94"/>
    <w:rsid w:val="00EA36B1"/>
    <w:rsid w:val="00EC305C"/>
    <w:rsid w:val="00ED7CBB"/>
    <w:rsid w:val="00EE005D"/>
    <w:rsid w:val="00EF2227"/>
    <w:rsid w:val="00F061B4"/>
    <w:rsid w:val="00F06E68"/>
    <w:rsid w:val="00F313EA"/>
    <w:rsid w:val="00F43EBF"/>
    <w:rsid w:val="00F94173"/>
    <w:rsid w:val="00FA0309"/>
    <w:rsid w:val="00FD06E8"/>
    <w:rsid w:val="00FD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67268"/>
  </w:style>
  <w:style w:type="character" w:styleId="CommentReference">
    <w:name w:val="annotation reference"/>
    <w:basedOn w:val="DefaultParagraphFont"/>
    <w:uiPriority w:val="99"/>
    <w:semiHidden/>
    <w:unhideWhenUsed/>
    <w:rsid w:val="00292E3C"/>
    <w:rPr>
      <w:sz w:val="16"/>
      <w:szCs w:val="16"/>
    </w:rPr>
  </w:style>
  <w:style w:type="paragraph" w:styleId="CommentText">
    <w:name w:val="annotation text"/>
    <w:basedOn w:val="Normal"/>
    <w:link w:val="CommentTextChar"/>
    <w:uiPriority w:val="99"/>
    <w:semiHidden/>
    <w:unhideWhenUsed/>
    <w:rsid w:val="00292E3C"/>
    <w:rPr>
      <w:sz w:val="20"/>
      <w:szCs w:val="20"/>
    </w:rPr>
  </w:style>
  <w:style w:type="character" w:customStyle="1" w:styleId="CommentTextChar">
    <w:name w:val="Comment Text Char"/>
    <w:basedOn w:val="DefaultParagraphFont"/>
    <w:link w:val="CommentText"/>
    <w:uiPriority w:val="99"/>
    <w:semiHidden/>
    <w:rsid w:val="00292E3C"/>
    <w:rPr>
      <w:sz w:val="20"/>
      <w:szCs w:val="20"/>
    </w:rPr>
  </w:style>
  <w:style w:type="paragraph" w:styleId="CommentSubject">
    <w:name w:val="annotation subject"/>
    <w:basedOn w:val="CommentText"/>
    <w:next w:val="CommentText"/>
    <w:link w:val="CommentSubjectChar"/>
    <w:uiPriority w:val="99"/>
    <w:semiHidden/>
    <w:unhideWhenUsed/>
    <w:rsid w:val="00292E3C"/>
    <w:rPr>
      <w:b/>
      <w:bCs/>
    </w:rPr>
  </w:style>
  <w:style w:type="character" w:customStyle="1" w:styleId="CommentSubjectChar">
    <w:name w:val="Comment Subject Char"/>
    <w:basedOn w:val="CommentTextChar"/>
    <w:link w:val="CommentSubject"/>
    <w:uiPriority w:val="99"/>
    <w:semiHidden/>
    <w:rsid w:val="00292E3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67268"/>
  </w:style>
  <w:style w:type="character" w:styleId="CommentReference">
    <w:name w:val="annotation reference"/>
    <w:basedOn w:val="DefaultParagraphFont"/>
    <w:uiPriority w:val="99"/>
    <w:semiHidden/>
    <w:unhideWhenUsed/>
    <w:rsid w:val="00292E3C"/>
    <w:rPr>
      <w:sz w:val="16"/>
      <w:szCs w:val="16"/>
    </w:rPr>
  </w:style>
  <w:style w:type="paragraph" w:styleId="CommentText">
    <w:name w:val="annotation text"/>
    <w:basedOn w:val="Normal"/>
    <w:link w:val="CommentTextChar"/>
    <w:uiPriority w:val="99"/>
    <w:semiHidden/>
    <w:unhideWhenUsed/>
    <w:rsid w:val="00292E3C"/>
    <w:rPr>
      <w:sz w:val="20"/>
      <w:szCs w:val="20"/>
    </w:rPr>
  </w:style>
  <w:style w:type="character" w:customStyle="1" w:styleId="CommentTextChar">
    <w:name w:val="Comment Text Char"/>
    <w:basedOn w:val="DefaultParagraphFont"/>
    <w:link w:val="CommentText"/>
    <w:uiPriority w:val="99"/>
    <w:semiHidden/>
    <w:rsid w:val="00292E3C"/>
    <w:rPr>
      <w:sz w:val="20"/>
      <w:szCs w:val="20"/>
    </w:rPr>
  </w:style>
  <w:style w:type="paragraph" w:styleId="CommentSubject">
    <w:name w:val="annotation subject"/>
    <w:basedOn w:val="CommentText"/>
    <w:next w:val="CommentText"/>
    <w:link w:val="CommentSubjectChar"/>
    <w:uiPriority w:val="99"/>
    <w:semiHidden/>
    <w:unhideWhenUsed/>
    <w:rsid w:val="00292E3C"/>
    <w:rPr>
      <w:b/>
      <w:bCs/>
    </w:rPr>
  </w:style>
  <w:style w:type="character" w:customStyle="1" w:styleId="CommentSubjectChar">
    <w:name w:val="Comment Subject Char"/>
    <w:basedOn w:val="CommentTextChar"/>
    <w:link w:val="CommentSubject"/>
    <w:uiPriority w:val="99"/>
    <w:semiHidden/>
    <w:rsid w:val="00292E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53879">
      <w:marLeft w:val="0"/>
      <w:marRight w:val="0"/>
      <w:marTop w:val="0"/>
      <w:marBottom w:val="0"/>
      <w:divBdr>
        <w:top w:val="none" w:sz="0" w:space="0" w:color="auto"/>
        <w:left w:val="none" w:sz="0" w:space="0" w:color="auto"/>
        <w:bottom w:val="none" w:sz="0" w:space="0" w:color="auto"/>
        <w:right w:val="none" w:sz="0" w:space="0" w:color="auto"/>
      </w:divBdr>
      <w:divsChild>
        <w:div w:id="1092553875">
          <w:marLeft w:val="0"/>
          <w:marRight w:val="0"/>
          <w:marTop w:val="0"/>
          <w:marBottom w:val="0"/>
          <w:divBdr>
            <w:top w:val="none" w:sz="0" w:space="0" w:color="auto"/>
            <w:left w:val="none" w:sz="0" w:space="0" w:color="auto"/>
            <w:bottom w:val="none" w:sz="0" w:space="0" w:color="auto"/>
            <w:right w:val="none" w:sz="0" w:space="0" w:color="auto"/>
          </w:divBdr>
          <w:divsChild>
            <w:div w:id="10925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3881">
      <w:marLeft w:val="0"/>
      <w:marRight w:val="0"/>
      <w:marTop w:val="0"/>
      <w:marBottom w:val="0"/>
      <w:divBdr>
        <w:top w:val="none" w:sz="0" w:space="0" w:color="auto"/>
        <w:left w:val="none" w:sz="0" w:space="0" w:color="auto"/>
        <w:bottom w:val="none" w:sz="0" w:space="0" w:color="auto"/>
        <w:right w:val="none" w:sz="0" w:space="0" w:color="auto"/>
      </w:divBdr>
      <w:divsChild>
        <w:div w:id="1092553876">
          <w:marLeft w:val="0"/>
          <w:marRight w:val="0"/>
          <w:marTop w:val="0"/>
          <w:marBottom w:val="0"/>
          <w:divBdr>
            <w:top w:val="none" w:sz="0" w:space="0" w:color="auto"/>
            <w:left w:val="none" w:sz="0" w:space="0" w:color="auto"/>
            <w:bottom w:val="none" w:sz="0" w:space="0" w:color="auto"/>
            <w:right w:val="none" w:sz="0" w:space="0" w:color="auto"/>
          </w:divBdr>
          <w:divsChild>
            <w:div w:id="1092553880">
              <w:marLeft w:val="0"/>
              <w:marRight w:val="0"/>
              <w:marTop w:val="0"/>
              <w:marBottom w:val="0"/>
              <w:divBdr>
                <w:top w:val="none" w:sz="0" w:space="0" w:color="auto"/>
                <w:left w:val="none" w:sz="0" w:space="0" w:color="auto"/>
                <w:bottom w:val="none" w:sz="0" w:space="0" w:color="auto"/>
                <w:right w:val="none" w:sz="0" w:space="0" w:color="auto"/>
              </w:divBdr>
              <w:divsChild>
                <w:div w:id="1092553877">
                  <w:marLeft w:val="0"/>
                  <w:marRight w:val="0"/>
                  <w:marTop w:val="0"/>
                  <w:marBottom w:val="0"/>
                  <w:divBdr>
                    <w:top w:val="none" w:sz="0" w:space="0" w:color="auto"/>
                    <w:left w:val="none" w:sz="0" w:space="0" w:color="auto"/>
                    <w:bottom w:val="none" w:sz="0" w:space="0" w:color="auto"/>
                    <w:right w:val="none" w:sz="0" w:space="0" w:color="auto"/>
                  </w:divBdr>
                  <w:divsChild>
                    <w:div w:id="1092553874">
                      <w:marLeft w:val="0"/>
                      <w:marRight w:val="0"/>
                      <w:marTop w:val="0"/>
                      <w:marBottom w:val="0"/>
                      <w:divBdr>
                        <w:top w:val="none" w:sz="0" w:space="0" w:color="auto"/>
                        <w:left w:val="none" w:sz="0" w:space="0" w:color="auto"/>
                        <w:bottom w:val="none" w:sz="0" w:space="0" w:color="auto"/>
                        <w:right w:val="none" w:sz="0" w:space="0" w:color="auto"/>
                      </w:divBdr>
                      <w:divsChild>
                        <w:div w:id="10925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607</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State Analysis Guide</vt:lpstr>
    </vt:vector>
  </TitlesOfParts>
  <Company>ASTHO</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Analysis Guide</dc:title>
  <dc:creator>P Elliott</dc:creator>
  <cp:lastModifiedBy>John Skendall</cp:lastModifiedBy>
  <cp:revision>3</cp:revision>
  <cp:lastPrinted>2012-12-31T18:27:00Z</cp:lastPrinted>
  <dcterms:created xsi:type="dcterms:W3CDTF">2013-02-25T15:51:00Z</dcterms:created>
  <dcterms:modified xsi:type="dcterms:W3CDTF">2013-03-05T20:35:00Z</dcterms:modified>
</cp:coreProperties>
</file>