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050634" w14:textId="77777777" w:rsidR="00E978DD" w:rsidRPr="003519DD" w:rsidRDefault="00E978DD" w:rsidP="003519DD">
      <w:pPr>
        <w:rPr>
          <w:rFonts w:eastAsia="Times New Roman" w:cstheme="minorHAnsi"/>
          <w:b/>
          <w:bCs/>
          <w:color w:val="333333"/>
          <w:spacing w:val="15"/>
          <w:kern w:val="36"/>
          <w:sz w:val="28"/>
          <w:szCs w:val="36"/>
        </w:rPr>
      </w:pPr>
      <w:r w:rsidRPr="003519DD">
        <w:rPr>
          <w:rFonts w:eastAsia="Times New Roman" w:cstheme="minorHAnsi"/>
          <w:b/>
          <w:bCs/>
          <w:color w:val="333333"/>
          <w:spacing w:val="15"/>
          <w:kern w:val="36"/>
          <w:sz w:val="28"/>
          <w:szCs w:val="36"/>
        </w:rPr>
        <w:t>Supplemental Materials</w:t>
      </w:r>
    </w:p>
    <w:p w14:paraId="3BCBD6C7" w14:textId="77777777" w:rsidR="00E978DD" w:rsidRPr="003519DD" w:rsidRDefault="00E978DD" w:rsidP="00923CE4">
      <w:pPr>
        <w:shd w:val="clear" w:color="auto" w:fill="FFFFFF"/>
        <w:spacing w:line="360" w:lineRule="auto"/>
        <w:textAlignment w:val="baseline"/>
        <w:rPr>
          <w:rFonts w:eastAsia="Times New Roman" w:cstheme="minorHAnsi"/>
        </w:rPr>
      </w:pPr>
      <w:r w:rsidRPr="003519DD">
        <w:rPr>
          <w:rFonts w:eastAsia="Times New Roman" w:cstheme="minorHAnsi"/>
        </w:rPr>
        <w:t>The Supplemental Materials compilation lists key documents and additional resources about the issues raised in the </w:t>
      </w:r>
      <w:r w:rsidRPr="003519DD">
        <w:rPr>
          <w:rFonts w:eastAsia="Times New Roman" w:cstheme="minorHAnsi"/>
          <w:i/>
          <w:iCs/>
          <w:bdr w:val="none" w:sz="0" w:space="0" w:color="auto" w:frame="1"/>
        </w:rPr>
        <w:t>Public Health &amp; Information Sharing Toolkit</w:t>
      </w:r>
      <w:r w:rsidRPr="003519DD">
        <w:rPr>
          <w:rFonts w:eastAsia="Times New Roman" w:cstheme="minorHAnsi"/>
        </w:rPr>
        <w:t>. The documents listed are for reference purposes only and are </w:t>
      </w:r>
      <w:r w:rsidRPr="003519DD">
        <w:rPr>
          <w:rFonts w:eastAsia="Times New Roman" w:cstheme="minorHAnsi"/>
          <w:i/>
          <w:iCs/>
          <w:bdr w:val="none" w:sz="0" w:space="0" w:color="auto" w:frame="1"/>
        </w:rPr>
        <w:t>not</w:t>
      </w:r>
      <w:r w:rsidRPr="003519DD">
        <w:rPr>
          <w:rFonts w:eastAsia="Times New Roman" w:cstheme="minorHAnsi"/>
        </w:rPr>
        <w:t> a complete listing of resources available on the issue. Individual users are responsible for researching the current text of laws, statutes, regulations, and other materials. The document lists bibliographical information and, where available, online links to the resources. All links are current as of Feb. 15, 2013. Please report broken links to ASTHO at </w:t>
      </w:r>
      <w:hyperlink r:id="rId6" w:history="1">
        <w:r w:rsidRPr="003519DD">
          <w:rPr>
            <w:rFonts w:eastAsia="Times New Roman" w:cstheme="minorHAnsi"/>
            <w:u w:val="single"/>
            <w:bdr w:val="none" w:sz="0" w:space="0" w:color="auto" w:frame="1"/>
          </w:rPr>
          <w:t>communications@astho.org</w:t>
        </w:r>
      </w:hyperlink>
      <w:r w:rsidRPr="003519DD">
        <w:rPr>
          <w:rFonts w:eastAsia="Times New Roman" w:cstheme="minorHAnsi"/>
        </w:rPr>
        <w:t>.</w:t>
      </w:r>
    </w:p>
    <w:p w14:paraId="0C16952B" w14:textId="77777777" w:rsidR="003519DD" w:rsidRPr="003519DD" w:rsidRDefault="003519DD" w:rsidP="00923CE4">
      <w:pPr>
        <w:spacing w:line="360" w:lineRule="auto"/>
        <w:rPr>
          <w:rFonts w:eastAsia="Times New Roman" w:cstheme="minorHAnsi"/>
          <w:b/>
          <w:bCs/>
          <w:color w:val="3C3030"/>
        </w:rPr>
      </w:pPr>
    </w:p>
    <w:p w14:paraId="15FB5AA0" w14:textId="68652A59" w:rsidR="00E978DD" w:rsidRPr="003519DD" w:rsidRDefault="00E978DD" w:rsidP="003519DD">
      <w:pPr>
        <w:rPr>
          <w:rFonts w:eastAsia="Times New Roman" w:cstheme="minorHAnsi"/>
          <w:b/>
          <w:bCs/>
          <w:color w:val="3C3030"/>
          <w:sz w:val="24"/>
          <w:szCs w:val="24"/>
        </w:rPr>
      </w:pPr>
      <w:r w:rsidRPr="003519DD">
        <w:rPr>
          <w:rFonts w:eastAsia="Times New Roman" w:cstheme="minorHAnsi"/>
          <w:b/>
          <w:bCs/>
          <w:color w:val="3C3030"/>
          <w:sz w:val="24"/>
          <w:szCs w:val="24"/>
        </w:rPr>
        <w:t>Index </w:t>
      </w:r>
    </w:p>
    <w:p w14:paraId="66D066CB" w14:textId="77777777" w:rsidR="00E978DD" w:rsidRPr="00923CE4" w:rsidRDefault="00BC71D0" w:rsidP="00E978DD">
      <w:pPr>
        <w:shd w:val="clear" w:color="auto" w:fill="FFFFFF"/>
        <w:spacing w:line="240" w:lineRule="atLeast"/>
        <w:textAlignment w:val="baseline"/>
        <w:rPr>
          <w:rFonts w:eastAsia="Times New Roman" w:cstheme="minorHAnsi"/>
          <w:color w:val="737373"/>
        </w:rPr>
      </w:pPr>
      <w:hyperlink r:id="rId7" w:anchor="General-Resources" w:history="1">
        <w:r w:rsidR="00E978DD" w:rsidRPr="00923CE4">
          <w:rPr>
            <w:rFonts w:eastAsia="Times New Roman" w:cstheme="minorHAnsi"/>
            <w:color w:val="0F88B8"/>
            <w:u w:val="single"/>
            <w:bdr w:val="none" w:sz="0" w:space="0" w:color="auto" w:frame="1"/>
          </w:rPr>
          <w:t>General Resources and Compilations</w:t>
        </w:r>
      </w:hyperlink>
    </w:p>
    <w:p w14:paraId="2BADE9CF" w14:textId="77777777" w:rsidR="003519DD" w:rsidRPr="00923CE4" w:rsidRDefault="003519DD" w:rsidP="00E978DD">
      <w:pPr>
        <w:shd w:val="clear" w:color="auto" w:fill="FFFFFF"/>
        <w:spacing w:line="240" w:lineRule="atLeast"/>
        <w:textAlignment w:val="baseline"/>
        <w:rPr>
          <w:rFonts w:eastAsia="Times New Roman" w:cstheme="minorHAnsi"/>
          <w:b/>
          <w:bCs/>
          <w:bdr w:val="none" w:sz="0" w:space="0" w:color="auto" w:frame="1"/>
        </w:rPr>
      </w:pPr>
    </w:p>
    <w:p w14:paraId="64045C33" w14:textId="4729DA71" w:rsidR="00E978DD" w:rsidRPr="00923CE4" w:rsidRDefault="00E978DD" w:rsidP="00E978DD">
      <w:pPr>
        <w:shd w:val="clear" w:color="auto" w:fill="FFFFFF"/>
        <w:spacing w:line="240" w:lineRule="atLeast"/>
        <w:textAlignment w:val="baseline"/>
        <w:rPr>
          <w:rFonts w:eastAsia="Times New Roman" w:cstheme="minorHAnsi"/>
          <w:color w:val="737373"/>
        </w:rPr>
      </w:pPr>
      <w:r w:rsidRPr="003519DD">
        <w:rPr>
          <w:rFonts w:eastAsia="Times New Roman" w:cstheme="minorHAnsi"/>
          <w:b/>
          <w:bCs/>
          <w:szCs w:val="20"/>
          <w:bdr w:val="none" w:sz="0" w:space="0" w:color="auto" w:frame="1"/>
        </w:rPr>
        <w:t>A-F</w:t>
      </w:r>
      <w:r w:rsidRPr="003519DD">
        <w:rPr>
          <w:rFonts w:eastAsia="Times New Roman" w:cstheme="minorHAnsi"/>
          <w:szCs w:val="20"/>
        </w:rPr>
        <w:t> </w:t>
      </w:r>
      <w:r w:rsidRPr="003519DD">
        <w:rPr>
          <w:rFonts w:eastAsia="Times New Roman" w:cstheme="minorHAnsi"/>
          <w:szCs w:val="20"/>
        </w:rPr>
        <w:br/>
      </w:r>
      <w:hyperlink r:id="rId8" w:anchor="ADA" w:history="1">
        <w:r w:rsidRPr="00923CE4">
          <w:rPr>
            <w:rFonts w:eastAsia="Times New Roman" w:cstheme="minorHAnsi"/>
            <w:color w:val="0F88B8"/>
            <w:u w:val="single"/>
            <w:bdr w:val="none" w:sz="0" w:space="0" w:color="auto" w:frame="1"/>
          </w:rPr>
          <w:t>Americans with Disabilities Act</w:t>
        </w:r>
      </w:hyperlink>
      <w:r w:rsidRPr="00923CE4">
        <w:rPr>
          <w:rFonts w:eastAsia="Times New Roman" w:cstheme="minorHAnsi"/>
          <w:color w:val="737373"/>
        </w:rPr>
        <w:br/>
      </w:r>
      <w:hyperlink r:id="rId9" w:anchor="Business-and-Employer" w:history="1">
        <w:r w:rsidRPr="00923CE4">
          <w:rPr>
            <w:rFonts w:eastAsia="Times New Roman" w:cstheme="minorHAnsi"/>
            <w:color w:val="0F88B8"/>
            <w:u w:val="single"/>
            <w:bdr w:val="none" w:sz="0" w:space="0" w:color="auto" w:frame="1"/>
          </w:rPr>
          <w:t>Business and Employer Planning and Preparedness</w:t>
        </w:r>
      </w:hyperlink>
      <w:r w:rsidRPr="00923CE4">
        <w:rPr>
          <w:rFonts w:eastAsia="Times New Roman" w:cstheme="minorHAnsi"/>
          <w:color w:val="737373"/>
        </w:rPr>
        <w:br/>
      </w:r>
      <w:hyperlink r:id="rId10" w:anchor="Civil-Liberties" w:history="1">
        <w:r w:rsidRPr="00923CE4">
          <w:rPr>
            <w:rFonts w:eastAsia="Times New Roman" w:cstheme="minorHAnsi"/>
            <w:color w:val="0F88B8"/>
            <w:u w:val="single"/>
            <w:bdr w:val="none" w:sz="0" w:space="0" w:color="auto" w:frame="1"/>
          </w:rPr>
          <w:t>Civil Liberties</w:t>
        </w:r>
      </w:hyperlink>
      <w:r w:rsidRPr="00923CE4">
        <w:rPr>
          <w:rFonts w:eastAsia="Times New Roman" w:cstheme="minorHAnsi"/>
          <w:color w:val="737373"/>
        </w:rPr>
        <w:br/>
      </w:r>
      <w:hyperlink r:id="rId11" w:anchor="Coordinated-Response" w:history="1">
        <w:r w:rsidRPr="00923CE4">
          <w:rPr>
            <w:rFonts w:eastAsia="Times New Roman" w:cstheme="minorHAnsi"/>
            <w:color w:val="0F88B8"/>
            <w:u w:val="single"/>
            <w:bdr w:val="none" w:sz="0" w:space="0" w:color="auto" w:frame="1"/>
          </w:rPr>
          <w:t>Coordinated Response to Emergencies</w:t>
        </w:r>
      </w:hyperlink>
      <w:r w:rsidRPr="00923CE4">
        <w:rPr>
          <w:rFonts w:eastAsia="Times New Roman" w:cstheme="minorHAnsi"/>
          <w:color w:val="737373"/>
        </w:rPr>
        <w:br/>
      </w:r>
      <w:hyperlink r:id="rId12" w:anchor="Critical-Infrastructure" w:history="1">
        <w:r w:rsidRPr="00923CE4">
          <w:rPr>
            <w:rFonts w:eastAsia="Times New Roman" w:cstheme="minorHAnsi"/>
            <w:color w:val="0F88B8"/>
            <w:u w:val="single"/>
            <w:bdr w:val="none" w:sz="0" w:space="0" w:color="auto" w:frame="1"/>
          </w:rPr>
          <w:t>Critical Infrastructure Information Act</w:t>
        </w:r>
      </w:hyperlink>
      <w:r w:rsidRPr="00923CE4">
        <w:rPr>
          <w:rFonts w:eastAsia="Times New Roman" w:cstheme="minorHAnsi"/>
          <w:color w:val="737373"/>
        </w:rPr>
        <w:br/>
      </w:r>
      <w:hyperlink r:id="rId13" w:anchor="De-Identification" w:history="1">
        <w:r w:rsidRPr="00923CE4">
          <w:rPr>
            <w:rFonts w:eastAsia="Times New Roman" w:cstheme="minorHAnsi"/>
            <w:color w:val="0F88B8"/>
            <w:u w:val="single"/>
            <w:bdr w:val="none" w:sz="0" w:space="0" w:color="auto" w:frame="1"/>
          </w:rPr>
          <w:t>De-Identification</w:t>
        </w:r>
      </w:hyperlink>
      <w:r w:rsidRPr="00923CE4">
        <w:rPr>
          <w:rFonts w:eastAsia="Times New Roman" w:cstheme="minorHAnsi"/>
          <w:color w:val="737373"/>
        </w:rPr>
        <w:br/>
      </w:r>
      <w:hyperlink r:id="rId14" w:anchor="Duty-to-Warn" w:history="1">
        <w:r w:rsidRPr="00923CE4">
          <w:rPr>
            <w:rFonts w:eastAsia="Times New Roman" w:cstheme="minorHAnsi"/>
            <w:color w:val="0F88B8"/>
            <w:u w:val="single"/>
            <w:bdr w:val="none" w:sz="0" w:space="0" w:color="auto" w:frame="1"/>
          </w:rPr>
          <w:t>Duty to Warn</w:t>
        </w:r>
      </w:hyperlink>
      <w:r w:rsidRPr="00923CE4">
        <w:rPr>
          <w:rFonts w:eastAsia="Times New Roman" w:cstheme="minorHAnsi"/>
          <w:color w:val="737373"/>
        </w:rPr>
        <w:br/>
      </w:r>
      <w:hyperlink r:id="rId15" w:anchor="Electronic-Health" w:history="1">
        <w:r w:rsidRPr="00923CE4">
          <w:rPr>
            <w:rFonts w:eastAsia="Times New Roman" w:cstheme="minorHAnsi"/>
            <w:color w:val="0F88B8"/>
            <w:u w:val="single"/>
            <w:bdr w:val="none" w:sz="0" w:space="0" w:color="auto" w:frame="1"/>
          </w:rPr>
          <w:t>Electronic Health Information</w:t>
        </w:r>
      </w:hyperlink>
      <w:r w:rsidRPr="00923CE4">
        <w:rPr>
          <w:rFonts w:eastAsia="Times New Roman" w:cstheme="minorHAnsi"/>
          <w:color w:val="737373"/>
        </w:rPr>
        <w:br/>
      </w:r>
      <w:hyperlink r:id="rId16" w:anchor="Employee-Health" w:history="1">
        <w:r w:rsidRPr="00923CE4">
          <w:rPr>
            <w:rFonts w:eastAsia="Times New Roman" w:cstheme="minorHAnsi"/>
            <w:color w:val="0F88B8"/>
            <w:u w:val="single"/>
            <w:bdr w:val="none" w:sz="0" w:space="0" w:color="auto" w:frame="1"/>
          </w:rPr>
          <w:t>Employee Health Information</w:t>
        </w:r>
      </w:hyperlink>
      <w:r w:rsidRPr="00923CE4">
        <w:rPr>
          <w:rFonts w:eastAsia="Times New Roman" w:cstheme="minorHAnsi"/>
          <w:color w:val="737373"/>
        </w:rPr>
        <w:br/>
      </w:r>
      <w:hyperlink r:id="rId17" w:anchor="Ethics" w:history="1">
        <w:r w:rsidRPr="00923CE4">
          <w:rPr>
            <w:rFonts w:eastAsia="Times New Roman" w:cstheme="minorHAnsi"/>
            <w:color w:val="0F88B8"/>
            <w:u w:val="single"/>
            <w:bdr w:val="none" w:sz="0" w:space="0" w:color="auto" w:frame="1"/>
          </w:rPr>
          <w:t>Ethics, Data Use, and Disclosure</w:t>
        </w:r>
      </w:hyperlink>
      <w:r w:rsidRPr="00923CE4">
        <w:rPr>
          <w:rFonts w:eastAsia="Times New Roman" w:cstheme="minorHAnsi"/>
          <w:color w:val="737373"/>
        </w:rPr>
        <w:br/>
      </w:r>
      <w:hyperlink r:id="rId18" w:anchor="FERPA" w:history="1">
        <w:r w:rsidRPr="00923CE4">
          <w:rPr>
            <w:rFonts w:eastAsia="Times New Roman" w:cstheme="minorHAnsi"/>
            <w:color w:val="0F88B8"/>
            <w:u w:val="single"/>
            <w:bdr w:val="none" w:sz="0" w:space="0" w:color="auto" w:frame="1"/>
          </w:rPr>
          <w:t>Family Educational Rights and Privacy Act (FERPA)</w:t>
        </w:r>
      </w:hyperlink>
      <w:r w:rsidRPr="00923CE4">
        <w:rPr>
          <w:rFonts w:eastAsia="Times New Roman" w:cstheme="minorHAnsi"/>
          <w:color w:val="737373"/>
        </w:rPr>
        <w:br/>
      </w:r>
      <w:hyperlink r:id="rId19" w:anchor="Forensic-Epidemiology" w:history="1">
        <w:r w:rsidRPr="00923CE4">
          <w:rPr>
            <w:rFonts w:eastAsia="Times New Roman" w:cstheme="minorHAnsi"/>
            <w:color w:val="0F88B8"/>
            <w:u w:val="single"/>
            <w:bdr w:val="none" w:sz="0" w:space="0" w:color="auto" w:frame="1"/>
          </w:rPr>
          <w:t>Forensic Epidemiology</w:t>
        </w:r>
      </w:hyperlink>
      <w:r w:rsidRPr="00923CE4">
        <w:rPr>
          <w:rFonts w:eastAsia="Times New Roman" w:cstheme="minorHAnsi"/>
          <w:color w:val="737373"/>
        </w:rPr>
        <w:br/>
      </w:r>
      <w:hyperlink r:id="rId20" w:anchor="Fourth-Amendment" w:history="1">
        <w:r w:rsidRPr="00923CE4">
          <w:rPr>
            <w:rFonts w:eastAsia="Times New Roman" w:cstheme="minorHAnsi"/>
            <w:color w:val="0F88B8"/>
            <w:u w:val="single"/>
            <w:bdr w:val="none" w:sz="0" w:space="0" w:color="auto" w:frame="1"/>
          </w:rPr>
          <w:t>Fourth Amendment</w:t>
        </w:r>
      </w:hyperlink>
      <w:r w:rsidRPr="00923CE4">
        <w:rPr>
          <w:rFonts w:eastAsia="Times New Roman" w:cstheme="minorHAnsi"/>
          <w:color w:val="737373"/>
        </w:rPr>
        <w:br/>
      </w:r>
      <w:hyperlink r:id="rId21" w:anchor="Freedom-of-Information" w:history="1">
        <w:r w:rsidRPr="00923CE4">
          <w:rPr>
            <w:rFonts w:eastAsia="Times New Roman" w:cstheme="minorHAnsi"/>
            <w:color w:val="0F88B8"/>
            <w:u w:val="single"/>
            <w:bdr w:val="none" w:sz="0" w:space="0" w:color="auto" w:frame="1"/>
          </w:rPr>
          <w:t>Freedom of Information Laws</w:t>
        </w:r>
      </w:hyperlink>
      <w:r w:rsidRPr="00923CE4">
        <w:rPr>
          <w:rFonts w:eastAsia="Times New Roman" w:cstheme="minorHAnsi"/>
          <w:color w:val="737373"/>
        </w:rPr>
        <w:br/>
      </w:r>
      <w:hyperlink r:id="rId22" w:anchor="Fusion-Centers" w:history="1">
        <w:r w:rsidRPr="00923CE4">
          <w:rPr>
            <w:rFonts w:eastAsia="Times New Roman" w:cstheme="minorHAnsi"/>
            <w:color w:val="0F88B8"/>
            <w:u w:val="single"/>
            <w:bdr w:val="none" w:sz="0" w:space="0" w:color="auto" w:frame="1"/>
          </w:rPr>
          <w:t>Fusion Centers</w:t>
        </w:r>
      </w:hyperlink>
    </w:p>
    <w:p w14:paraId="010E8ED3" w14:textId="77777777" w:rsidR="003519DD" w:rsidRDefault="003519DD" w:rsidP="00E978DD">
      <w:pPr>
        <w:shd w:val="clear" w:color="auto" w:fill="FFFFFF"/>
        <w:spacing w:line="240" w:lineRule="atLeast"/>
        <w:textAlignment w:val="baseline"/>
        <w:rPr>
          <w:rFonts w:eastAsia="Times New Roman" w:cstheme="minorHAnsi"/>
          <w:b/>
          <w:bCs/>
          <w:color w:val="737373"/>
          <w:sz w:val="20"/>
          <w:szCs w:val="20"/>
          <w:bdr w:val="none" w:sz="0" w:space="0" w:color="auto" w:frame="1"/>
        </w:rPr>
      </w:pPr>
    </w:p>
    <w:p w14:paraId="1652044B" w14:textId="49EF6BFC" w:rsidR="00E978DD" w:rsidRPr="00923CE4" w:rsidRDefault="00E978DD" w:rsidP="00E978DD">
      <w:pPr>
        <w:shd w:val="clear" w:color="auto" w:fill="FFFFFF"/>
        <w:spacing w:line="240" w:lineRule="atLeast"/>
        <w:textAlignment w:val="baseline"/>
        <w:rPr>
          <w:rFonts w:eastAsia="Times New Roman" w:cstheme="minorHAnsi"/>
          <w:color w:val="737373"/>
        </w:rPr>
      </w:pPr>
      <w:r w:rsidRPr="003519DD">
        <w:rPr>
          <w:rFonts w:eastAsia="Times New Roman" w:cstheme="minorHAnsi"/>
          <w:b/>
          <w:bCs/>
          <w:szCs w:val="20"/>
          <w:bdr w:val="none" w:sz="0" w:space="0" w:color="auto" w:frame="1"/>
        </w:rPr>
        <w:t>G-Z</w:t>
      </w:r>
      <w:r w:rsidRPr="003519DD">
        <w:rPr>
          <w:rFonts w:eastAsia="Times New Roman" w:cstheme="minorHAnsi"/>
          <w:szCs w:val="20"/>
        </w:rPr>
        <w:t> </w:t>
      </w:r>
      <w:r w:rsidRPr="003519DD">
        <w:rPr>
          <w:rFonts w:eastAsia="Times New Roman" w:cstheme="minorHAnsi"/>
          <w:szCs w:val="20"/>
        </w:rPr>
        <w:br/>
      </w:r>
      <w:hyperlink r:id="rId23" w:anchor="Homeland-Security-Act" w:history="1">
        <w:r w:rsidRPr="00923CE4">
          <w:rPr>
            <w:rFonts w:eastAsia="Times New Roman" w:cstheme="minorHAnsi"/>
            <w:color w:val="0F88B8"/>
            <w:u w:val="single"/>
            <w:bdr w:val="none" w:sz="0" w:space="0" w:color="auto" w:frame="1"/>
          </w:rPr>
          <w:t>Homeland Security Act</w:t>
        </w:r>
      </w:hyperlink>
      <w:r w:rsidRPr="00923CE4">
        <w:rPr>
          <w:rFonts w:eastAsia="Times New Roman" w:cstheme="minorHAnsi"/>
          <w:color w:val="737373"/>
        </w:rPr>
        <w:br/>
      </w:r>
      <w:hyperlink r:id="rId24" w:anchor="HITECH" w:history="1">
        <w:r w:rsidRPr="00923CE4">
          <w:rPr>
            <w:rFonts w:eastAsia="Times New Roman" w:cstheme="minorHAnsi"/>
            <w:color w:val="0F88B8"/>
            <w:u w:val="single"/>
            <w:bdr w:val="none" w:sz="0" w:space="0" w:color="auto" w:frame="1"/>
          </w:rPr>
          <w:t>Health Information Technology for Economic and Clinical Health Act (HITECH)</w:t>
        </w:r>
      </w:hyperlink>
      <w:r w:rsidRPr="00923CE4">
        <w:rPr>
          <w:rFonts w:eastAsia="Times New Roman" w:cstheme="minorHAnsi"/>
          <w:color w:val="737373"/>
        </w:rPr>
        <w:br/>
      </w:r>
      <w:hyperlink r:id="rId25" w:anchor="HIPAA" w:history="1">
        <w:r w:rsidRPr="00923CE4">
          <w:rPr>
            <w:rFonts w:eastAsia="Times New Roman" w:cstheme="minorHAnsi"/>
            <w:color w:val="0F88B8"/>
            <w:u w:val="single"/>
            <w:bdr w:val="none" w:sz="0" w:space="0" w:color="auto" w:frame="1"/>
          </w:rPr>
          <w:t>Health Insurance Portability and Accountability Act (HIPAA)</w:t>
        </w:r>
      </w:hyperlink>
      <w:r w:rsidRPr="00923CE4">
        <w:rPr>
          <w:rFonts w:eastAsia="Times New Roman" w:cstheme="minorHAnsi"/>
          <w:color w:val="737373"/>
        </w:rPr>
        <w:br/>
      </w:r>
      <w:hyperlink r:id="rId26" w:anchor="Information-Sharing" w:history="1">
        <w:r w:rsidRPr="00923CE4">
          <w:rPr>
            <w:rFonts w:eastAsia="Times New Roman" w:cstheme="minorHAnsi"/>
            <w:color w:val="0F88B8"/>
            <w:u w:val="single"/>
            <w:bdr w:val="none" w:sz="0" w:space="0" w:color="auto" w:frame="1"/>
          </w:rPr>
          <w:t>Information Sharing Environment</w:t>
        </w:r>
      </w:hyperlink>
      <w:r w:rsidRPr="00923CE4">
        <w:rPr>
          <w:rFonts w:eastAsia="Times New Roman" w:cstheme="minorHAnsi"/>
          <w:color w:val="737373"/>
        </w:rPr>
        <w:br/>
      </w:r>
      <w:hyperlink r:id="rId27" w:anchor="Informational-Privacy" w:history="1">
        <w:r w:rsidRPr="00923CE4">
          <w:rPr>
            <w:rFonts w:eastAsia="Times New Roman" w:cstheme="minorHAnsi"/>
            <w:color w:val="0F88B8"/>
            <w:u w:val="single"/>
            <w:bdr w:val="none" w:sz="0" w:space="0" w:color="auto" w:frame="1"/>
          </w:rPr>
          <w:t>Informational Privacy</w:t>
        </w:r>
      </w:hyperlink>
      <w:r w:rsidRPr="00923CE4">
        <w:rPr>
          <w:rFonts w:eastAsia="Times New Roman" w:cstheme="minorHAnsi"/>
          <w:color w:val="737373"/>
        </w:rPr>
        <w:br/>
      </w:r>
      <w:hyperlink r:id="rId28" w:anchor="Intelligence-Reform" w:history="1">
        <w:r w:rsidRPr="00923CE4">
          <w:rPr>
            <w:rFonts w:eastAsia="Times New Roman" w:cstheme="minorHAnsi"/>
            <w:color w:val="0F88B8"/>
            <w:u w:val="single"/>
            <w:bdr w:val="none" w:sz="0" w:space="0" w:color="auto" w:frame="1"/>
          </w:rPr>
          <w:t>Intelligence Reform and Terrorism Prevention Act</w:t>
        </w:r>
      </w:hyperlink>
      <w:r w:rsidRPr="00923CE4">
        <w:rPr>
          <w:rFonts w:eastAsia="Times New Roman" w:cstheme="minorHAnsi"/>
          <w:color w:val="737373"/>
        </w:rPr>
        <w:br/>
      </w:r>
      <w:hyperlink r:id="rId29" w:anchor="Individual-Rights" w:history="1">
        <w:r w:rsidRPr="00923CE4">
          <w:rPr>
            <w:rFonts w:eastAsia="Times New Roman" w:cstheme="minorHAnsi"/>
            <w:color w:val="0F88B8"/>
            <w:u w:val="single"/>
            <w:bdr w:val="none" w:sz="0" w:space="0" w:color="auto" w:frame="1"/>
          </w:rPr>
          <w:t>Individual Rights vs. Police Powers</w:t>
        </w:r>
      </w:hyperlink>
      <w:r w:rsidRPr="00923CE4">
        <w:rPr>
          <w:rFonts w:eastAsia="Times New Roman" w:cstheme="minorHAnsi"/>
          <w:color w:val="737373"/>
        </w:rPr>
        <w:br/>
      </w:r>
      <w:hyperlink r:id="rId30" w:anchor="Law-Enforcement" w:history="1">
        <w:r w:rsidRPr="00923CE4">
          <w:rPr>
            <w:rFonts w:eastAsia="Times New Roman" w:cstheme="minorHAnsi"/>
            <w:color w:val="0F88B8"/>
            <w:u w:val="single"/>
            <w:bdr w:val="none" w:sz="0" w:space="0" w:color="auto" w:frame="1"/>
          </w:rPr>
          <w:t>Law Enforcement</w:t>
        </w:r>
      </w:hyperlink>
      <w:r w:rsidRPr="00923CE4">
        <w:rPr>
          <w:rFonts w:eastAsia="Times New Roman" w:cstheme="minorHAnsi"/>
          <w:color w:val="737373"/>
        </w:rPr>
        <w:br/>
      </w:r>
      <w:hyperlink r:id="rId31" w:anchor="Media" w:history="1">
        <w:r w:rsidRPr="00923CE4">
          <w:rPr>
            <w:rFonts w:eastAsia="Times New Roman" w:cstheme="minorHAnsi"/>
            <w:color w:val="0F88B8"/>
            <w:u w:val="single"/>
            <w:bdr w:val="none" w:sz="0" w:space="0" w:color="auto" w:frame="1"/>
          </w:rPr>
          <w:t>Media</w:t>
        </w:r>
      </w:hyperlink>
      <w:r w:rsidRPr="00923CE4">
        <w:rPr>
          <w:rFonts w:eastAsia="Times New Roman" w:cstheme="minorHAnsi"/>
          <w:color w:val="737373"/>
        </w:rPr>
        <w:br/>
      </w:r>
      <w:hyperlink r:id="rId32" w:anchor="National-Security-Act" w:history="1">
        <w:r w:rsidRPr="00923CE4">
          <w:rPr>
            <w:rFonts w:eastAsia="Times New Roman" w:cstheme="minorHAnsi"/>
            <w:color w:val="0F88B8"/>
            <w:u w:val="single"/>
            <w:bdr w:val="none" w:sz="0" w:space="0" w:color="auto" w:frame="1"/>
          </w:rPr>
          <w:t>National Security Act</w:t>
        </w:r>
      </w:hyperlink>
      <w:r w:rsidRPr="00923CE4">
        <w:rPr>
          <w:rFonts w:eastAsia="Times New Roman" w:cstheme="minorHAnsi"/>
          <w:color w:val="737373"/>
        </w:rPr>
        <w:br/>
      </w:r>
      <w:hyperlink r:id="rId33" w:anchor="Occupational-Safety" w:history="1">
        <w:r w:rsidRPr="00923CE4">
          <w:rPr>
            <w:rFonts w:eastAsia="Times New Roman" w:cstheme="minorHAnsi"/>
            <w:color w:val="0F88B8"/>
            <w:u w:val="single"/>
            <w:bdr w:val="none" w:sz="0" w:space="0" w:color="auto" w:frame="1"/>
          </w:rPr>
          <w:t>Occupational Safety and Health Act</w:t>
        </w:r>
      </w:hyperlink>
      <w:r w:rsidRPr="00923CE4">
        <w:rPr>
          <w:rFonts w:eastAsia="Times New Roman" w:cstheme="minorHAnsi"/>
          <w:color w:val="737373"/>
        </w:rPr>
        <w:br/>
      </w:r>
      <w:hyperlink r:id="rId34" w:anchor="Public-Health-Security" w:history="1">
        <w:r w:rsidRPr="00923CE4">
          <w:rPr>
            <w:rFonts w:eastAsia="Times New Roman" w:cstheme="minorHAnsi"/>
            <w:color w:val="0F88B8"/>
            <w:u w:val="single"/>
            <w:bdr w:val="none" w:sz="0" w:space="0" w:color="auto" w:frame="1"/>
          </w:rPr>
          <w:t>Public Health Security and Bioterrorism Response Act</w:t>
        </w:r>
      </w:hyperlink>
      <w:r w:rsidRPr="00923CE4">
        <w:rPr>
          <w:rFonts w:eastAsia="Times New Roman" w:cstheme="minorHAnsi"/>
          <w:color w:val="737373"/>
        </w:rPr>
        <w:br/>
      </w:r>
      <w:hyperlink r:id="rId35" w:anchor="Right-to-Privacy" w:history="1">
        <w:r w:rsidRPr="00923CE4">
          <w:rPr>
            <w:rFonts w:eastAsia="Times New Roman" w:cstheme="minorHAnsi"/>
            <w:color w:val="0F88B8"/>
            <w:u w:val="single"/>
            <w:bdr w:val="none" w:sz="0" w:space="0" w:color="auto" w:frame="1"/>
          </w:rPr>
          <w:t>Right to Privacy</w:t>
        </w:r>
      </w:hyperlink>
      <w:r w:rsidRPr="00923CE4">
        <w:rPr>
          <w:rFonts w:eastAsia="Times New Roman" w:cstheme="minorHAnsi"/>
          <w:color w:val="737373"/>
        </w:rPr>
        <w:br/>
      </w:r>
      <w:hyperlink r:id="rId36" w:anchor="Surveillance" w:history="1">
        <w:r w:rsidRPr="00923CE4">
          <w:rPr>
            <w:rFonts w:eastAsia="Times New Roman" w:cstheme="minorHAnsi"/>
            <w:color w:val="0F88B8"/>
            <w:u w:val="single"/>
            <w:bdr w:val="none" w:sz="0" w:space="0" w:color="auto" w:frame="1"/>
          </w:rPr>
          <w:t>Surveillance, Public Health</w:t>
        </w:r>
      </w:hyperlink>
      <w:r w:rsidRPr="00923CE4">
        <w:rPr>
          <w:rFonts w:eastAsia="Times New Roman" w:cstheme="minorHAnsi"/>
          <w:color w:val="737373"/>
        </w:rPr>
        <w:br/>
      </w:r>
      <w:hyperlink r:id="rId37" w:anchor="Syndromic" w:history="1">
        <w:r w:rsidRPr="00923CE4">
          <w:rPr>
            <w:rFonts w:eastAsia="Times New Roman" w:cstheme="minorHAnsi"/>
            <w:color w:val="0F88B8"/>
            <w:u w:val="single"/>
            <w:bdr w:val="none" w:sz="0" w:space="0" w:color="auto" w:frame="1"/>
          </w:rPr>
          <w:t>Syndromic Surveillance</w:t>
        </w:r>
      </w:hyperlink>
      <w:r w:rsidRPr="00923CE4">
        <w:rPr>
          <w:rFonts w:eastAsia="Times New Roman" w:cstheme="minorHAnsi"/>
          <w:color w:val="737373"/>
        </w:rPr>
        <w:br/>
      </w:r>
      <w:hyperlink r:id="rId38" w:anchor="Patriot-Act" w:history="1">
        <w:r w:rsidRPr="00923CE4">
          <w:rPr>
            <w:rFonts w:eastAsia="Times New Roman" w:cstheme="minorHAnsi"/>
            <w:color w:val="0F88B8"/>
            <w:u w:val="single"/>
            <w:bdr w:val="none" w:sz="0" w:space="0" w:color="auto" w:frame="1"/>
          </w:rPr>
          <w:t>U.S.A. Patriot Act</w:t>
        </w:r>
      </w:hyperlink>
      <w:r w:rsidRPr="00923CE4">
        <w:rPr>
          <w:rFonts w:eastAsia="Times New Roman" w:cstheme="minorHAnsi"/>
          <w:color w:val="737373"/>
        </w:rPr>
        <w:br/>
      </w:r>
      <w:hyperlink r:id="rId39" w:anchor="Workplace-Preparedness" w:history="1">
        <w:r w:rsidRPr="00923CE4">
          <w:rPr>
            <w:rFonts w:eastAsia="Times New Roman" w:cstheme="minorHAnsi"/>
            <w:color w:val="0F88B8"/>
            <w:u w:val="single"/>
            <w:bdr w:val="none" w:sz="0" w:space="0" w:color="auto" w:frame="1"/>
          </w:rPr>
          <w:t>Workplace Preparedness</w:t>
        </w:r>
      </w:hyperlink>
    </w:p>
    <w:p w14:paraId="637B7D12" w14:textId="77777777" w:rsidR="00E978DD" w:rsidRPr="003519DD" w:rsidRDefault="00E978DD" w:rsidP="00E978DD">
      <w:pPr>
        <w:shd w:val="clear" w:color="auto" w:fill="FFFFFF"/>
        <w:spacing w:after="225" w:line="240" w:lineRule="atLeast"/>
        <w:textAlignment w:val="baseline"/>
        <w:rPr>
          <w:rFonts w:eastAsia="Times New Roman" w:cstheme="minorHAnsi"/>
          <w:color w:val="737373"/>
          <w:sz w:val="20"/>
          <w:szCs w:val="20"/>
        </w:rPr>
      </w:pPr>
      <w:r w:rsidRPr="003519DD">
        <w:rPr>
          <w:rFonts w:eastAsia="Times New Roman" w:cstheme="minorHAnsi"/>
          <w:color w:val="737373"/>
          <w:sz w:val="20"/>
          <w:szCs w:val="20"/>
        </w:rPr>
        <w:t> </w:t>
      </w:r>
    </w:p>
    <w:p w14:paraId="137A14DA" w14:textId="77777777" w:rsidR="00E978DD" w:rsidRPr="003519DD" w:rsidRDefault="00BC71D0" w:rsidP="00E978DD">
      <w:pPr>
        <w:rPr>
          <w:rFonts w:eastAsia="Times New Roman" w:cstheme="minorHAnsi"/>
          <w:sz w:val="24"/>
          <w:szCs w:val="24"/>
        </w:rPr>
      </w:pPr>
      <w:r w:rsidRPr="00EF6C8D">
        <w:rPr>
          <w:rFonts w:eastAsia="Times New Roman" w:cstheme="minorHAnsi"/>
          <w:sz w:val="24"/>
          <w:szCs w:val="24"/>
        </w:rPr>
        <w:pict w14:anchorId="4840262A">
          <v:rect id="_x0000_i1031" style="width:0;height:1.5pt" o:hralign="center" o:hrstd="t" o:hrnoshade="t" o:hr="t" fillcolor="#737373" stroked="f"/>
        </w:pict>
      </w:r>
    </w:p>
    <w:p w14:paraId="188957F5" w14:textId="77777777" w:rsidR="00BC71D0" w:rsidRDefault="00BC71D0" w:rsidP="00E978DD">
      <w:pPr>
        <w:shd w:val="clear" w:color="auto" w:fill="FFFFFF"/>
        <w:spacing w:line="240" w:lineRule="atLeast"/>
        <w:textAlignment w:val="baseline"/>
        <w:rPr>
          <w:rFonts w:eastAsia="Times New Roman" w:cstheme="minorHAnsi"/>
          <w:b/>
          <w:bCs/>
          <w:bdr w:val="none" w:sz="0" w:space="0" w:color="auto" w:frame="1"/>
        </w:rPr>
      </w:pPr>
    </w:p>
    <w:p w14:paraId="4D7EA598" w14:textId="1B57F61C"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General Resources and Compilations</w:t>
      </w:r>
    </w:p>
    <w:p w14:paraId="63F05094"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0EA38D1E" w14:textId="680005ED"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Governmental</w:t>
      </w:r>
    </w:p>
    <w:p w14:paraId="336963A8"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CDC, Public Health Law Program. "Emergency Preparedness." Available at </w:t>
      </w:r>
      <w:hyperlink r:id="rId40" w:tgtFrame="_blank" w:tooltip="http://www.cdc.gov/phlp/publications/topic/emergency.html" w:history="1">
        <w:r w:rsidRPr="00EF6C8D">
          <w:rPr>
            <w:rFonts w:eastAsia="Times New Roman" w:cstheme="minorHAnsi"/>
            <w:color w:val="0F88B8"/>
            <w:u w:val="single"/>
            <w:bdr w:val="none" w:sz="0" w:space="0" w:color="auto" w:frame="1"/>
          </w:rPr>
          <w:t>http://www.cdc.gov/phlp/publications/topic/emergency.html</w:t>
        </w:r>
      </w:hyperlink>
      <w:r w:rsidRPr="00EF6C8D">
        <w:rPr>
          <w:rFonts w:eastAsia="Times New Roman" w:cstheme="minorHAnsi"/>
          <w:color w:val="737373"/>
        </w:rPr>
        <w:t>.</w:t>
      </w:r>
    </w:p>
    <w:p w14:paraId="3EA05038" w14:textId="77777777" w:rsidR="00BC71D0" w:rsidRDefault="00BC71D0" w:rsidP="00E978DD">
      <w:pPr>
        <w:shd w:val="clear" w:color="auto" w:fill="FFFFFF"/>
        <w:spacing w:line="240" w:lineRule="atLeast"/>
        <w:textAlignment w:val="baseline"/>
        <w:rPr>
          <w:rFonts w:eastAsia="Times New Roman" w:cstheme="minorHAnsi"/>
        </w:rPr>
      </w:pPr>
    </w:p>
    <w:p w14:paraId="6D2100DD" w14:textId="155024CC"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FEMA, Department of Homeland Security. "National Response Framework." December 2008. Available at </w:t>
      </w:r>
      <w:hyperlink r:id="rId41" w:tgtFrame="_blank" w:tooltip="http://www.fema.gov/pdf/emergency/nrf/nrf-core.pdf" w:history="1">
        <w:r w:rsidRPr="00EF6C8D">
          <w:rPr>
            <w:rFonts w:eastAsia="Times New Roman" w:cstheme="minorHAnsi"/>
            <w:color w:val="0F88B8"/>
            <w:u w:val="single"/>
            <w:bdr w:val="none" w:sz="0" w:space="0" w:color="auto" w:frame="1"/>
          </w:rPr>
          <w:t>http://www.fema.gov/pdf/emergency/nrf/nrf-core.pdf</w:t>
        </w:r>
      </w:hyperlink>
      <w:r w:rsidRPr="00EF6C8D">
        <w:rPr>
          <w:rFonts w:eastAsia="Times New Roman" w:cstheme="minorHAnsi"/>
          <w:color w:val="737373"/>
        </w:rPr>
        <w:t>.</w:t>
      </w:r>
    </w:p>
    <w:p w14:paraId="5066ED50" w14:textId="77777777" w:rsidR="00BC71D0" w:rsidRDefault="00BC71D0" w:rsidP="00E978DD">
      <w:pPr>
        <w:shd w:val="clear" w:color="auto" w:fill="FFFFFF"/>
        <w:spacing w:line="240" w:lineRule="atLeast"/>
        <w:textAlignment w:val="baseline"/>
        <w:rPr>
          <w:rFonts w:eastAsia="Times New Roman" w:cstheme="minorHAnsi"/>
        </w:rPr>
      </w:pPr>
    </w:p>
    <w:p w14:paraId="262B2083" w14:textId="27325155"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rPr>
        <w:t>HHS. "Public Health Preparedness Capabilities: National Standards for State and Local Planning." March 2011. Available at </w:t>
      </w:r>
      <w:hyperlink r:id="rId42" w:tgtFrame="_blank" w:tooltip="http://www.cdc.gov/phpr/capabilities/DSLR_capabilities_July.pdf" w:history="1">
        <w:r w:rsidRPr="00EF6C8D">
          <w:rPr>
            <w:rFonts w:eastAsia="Times New Roman" w:cstheme="minorHAnsi"/>
            <w:u w:val="single"/>
            <w:bdr w:val="none" w:sz="0" w:space="0" w:color="auto" w:frame="1"/>
          </w:rPr>
          <w:t>http://www.cdc.gov/phpr/capabilities/DSLR_capabilities_July.pdf</w:t>
        </w:r>
      </w:hyperlink>
      <w:r w:rsidRPr="00EF6C8D">
        <w:rPr>
          <w:rFonts w:eastAsia="Times New Roman" w:cstheme="minorHAnsi"/>
        </w:rPr>
        <w:t>.</w:t>
      </w:r>
    </w:p>
    <w:p w14:paraId="167FA30A"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5F8B0FBD" w14:textId="17AB0230"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Sources</w:t>
      </w:r>
    </w:p>
    <w:p w14:paraId="74E7B0CE"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American Health Information Management Association (AHIMA). "Homeland Security Act, Patriot Act, Freedom of Information Act, and HIM," updated November 2010. Available at</w:t>
      </w:r>
      <w:r w:rsidRPr="00EF6C8D">
        <w:rPr>
          <w:rFonts w:eastAsia="Times New Roman" w:cstheme="minorHAnsi"/>
          <w:color w:val="737373"/>
        </w:rPr>
        <w:t> </w:t>
      </w:r>
      <w:hyperlink r:id="rId43" w:tgtFrame="_blank" w:tooltip="http://library.ahima.org/xpedio/groups/public/documents/ahima/bok1_048641.hcsp?dDocName=bok1_048641" w:history="1">
        <w:r w:rsidRPr="00EF6C8D">
          <w:rPr>
            <w:rFonts w:eastAsia="Times New Roman" w:cstheme="minorHAnsi"/>
            <w:color w:val="0F88B8"/>
            <w:u w:val="single"/>
            <w:bdr w:val="none" w:sz="0" w:space="0" w:color="auto" w:frame="1"/>
          </w:rPr>
          <w:t>http://library.ahima.org/xpedio/groups/public/documents/ahima/bok1_048641.hcsp?dDocName=bok1_048641</w:t>
        </w:r>
      </w:hyperlink>
      <w:r w:rsidRPr="00EF6C8D">
        <w:rPr>
          <w:rFonts w:eastAsia="Times New Roman" w:cstheme="minorHAnsi"/>
          <w:color w:val="737373"/>
        </w:rPr>
        <w:t>.</w:t>
      </w:r>
    </w:p>
    <w:p w14:paraId="0C11D497" w14:textId="77777777" w:rsidR="00BC71D0" w:rsidRDefault="00BC71D0" w:rsidP="00E978DD">
      <w:pPr>
        <w:shd w:val="clear" w:color="auto" w:fill="FFFFFF"/>
        <w:spacing w:line="240" w:lineRule="atLeast"/>
        <w:textAlignment w:val="baseline"/>
        <w:rPr>
          <w:rFonts w:eastAsia="Times New Roman" w:cstheme="minorHAnsi"/>
        </w:rPr>
      </w:pPr>
    </w:p>
    <w:p w14:paraId="7776C54B" w14:textId="399E6191"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George Washington University, Hirsh Health Law and Policy Program. "Health Information &amp; the Law." Available at </w:t>
      </w:r>
      <w:hyperlink r:id="rId44" w:tgtFrame="_blank" w:tooltip="http://www.healthinfolaw.org" w:history="1">
        <w:r w:rsidRPr="00EF6C8D">
          <w:rPr>
            <w:rFonts w:eastAsia="Times New Roman" w:cstheme="minorHAnsi"/>
            <w:color w:val="0F88B8"/>
            <w:u w:val="single"/>
            <w:bdr w:val="none" w:sz="0" w:space="0" w:color="auto" w:frame="1"/>
          </w:rPr>
          <w:t>http://www.healthinfolaw.org</w:t>
        </w:r>
      </w:hyperlink>
      <w:r w:rsidRPr="00EF6C8D">
        <w:rPr>
          <w:rFonts w:eastAsia="Times New Roman" w:cstheme="minorHAnsi"/>
          <w:color w:val="737373"/>
        </w:rPr>
        <w:t>.</w:t>
      </w:r>
    </w:p>
    <w:p w14:paraId="06437709" w14:textId="77777777" w:rsidR="00BC71D0" w:rsidRDefault="00BC71D0" w:rsidP="00E978DD">
      <w:pPr>
        <w:shd w:val="clear" w:color="auto" w:fill="FFFFFF"/>
        <w:spacing w:after="225" w:line="240" w:lineRule="atLeast"/>
        <w:textAlignment w:val="baseline"/>
        <w:rPr>
          <w:rFonts w:eastAsia="Times New Roman" w:cstheme="minorHAnsi"/>
        </w:rPr>
      </w:pPr>
    </w:p>
    <w:p w14:paraId="227BD532" w14:textId="23156153"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Goodman, R. (ed.). "Chapter Three: Regulating Public Health: Principles and Application of Administrative Law." "Chapter Six: Criminal Law and Public Health Practice." "Chapter Ten: Identifiable Health and the Public's Health: Practice, Research, and Policy." In: "Law in Public Health Practice," 2d edition. Oxford University Press.</w:t>
      </w:r>
    </w:p>
    <w:p w14:paraId="03AE97E4" w14:textId="77777777" w:rsidR="00E978DD" w:rsidRPr="00EF6C8D" w:rsidRDefault="00E978DD" w:rsidP="00E978DD">
      <w:pPr>
        <w:shd w:val="clear" w:color="auto" w:fill="FFFFFF"/>
        <w:spacing w:after="225" w:line="240" w:lineRule="atLeast"/>
        <w:textAlignment w:val="baseline"/>
        <w:rPr>
          <w:rFonts w:eastAsia="Times New Roman" w:cstheme="minorHAnsi"/>
        </w:rPr>
      </w:pPr>
      <w:proofErr w:type="spellStart"/>
      <w:r w:rsidRPr="00EF6C8D">
        <w:rPr>
          <w:rFonts w:eastAsia="Times New Roman" w:cstheme="minorHAnsi"/>
        </w:rPr>
        <w:t>Gostin</w:t>
      </w:r>
      <w:proofErr w:type="spellEnd"/>
      <w:r w:rsidRPr="00EF6C8D">
        <w:rPr>
          <w:rFonts w:eastAsia="Times New Roman" w:cstheme="minorHAnsi"/>
        </w:rPr>
        <w:t>, L. "Public Health Law: Power, Duty, Restraint." California/Milbank Books on Health and the Public.</w:t>
      </w:r>
    </w:p>
    <w:p w14:paraId="5C05A632"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The State of Health Privacy. "A Survey of State Health Privacy Laws," organized alphabetically by state, 2nd edition, 2002. Volume 1 (Alabama to Montana) available at</w:t>
      </w:r>
      <w:r w:rsidRPr="00EF6C8D">
        <w:rPr>
          <w:rFonts w:eastAsia="Times New Roman" w:cstheme="minorHAnsi"/>
          <w:color w:val="737373"/>
        </w:rPr>
        <w:t> </w:t>
      </w:r>
      <w:hyperlink r:id="rId45" w:tgtFrame="_blank" w:tooltip="http://sharps.org/wp-content/uploads/PRITTS-REPORT1.pdf" w:history="1">
        <w:r w:rsidRPr="00EF6C8D">
          <w:rPr>
            <w:rFonts w:eastAsia="Times New Roman" w:cstheme="minorHAnsi"/>
            <w:color w:val="0F88B8"/>
            <w:u w:val="single"/>
            <w:bdr w:val="none" w:sz="0" w:space="0" w:color="auto" w:frame="1"/>
          </w:rPr>
          <w:t>http://sharps.org/wp-content/uploads/PRITTS-REPORT1.pdf</w:t>
        </w:r>
      </w:hyperlink>
      <w:r w:rsidRPr="00EF6C8D">
        <w:rPr>
          <w:rFonts w:eastAsia="Times New Roman" w:cstheme="minorHAnsi"/>
          <w:color w:val="737373"/>
        </w:rPr>
        <w:t xml:space="preserve">. </w:t>
      </w:r>
      <w:r w:rsidRPr="00EF6C8D">
        <w:rPr>
          <w:rFonts w:eastAsia="Times New Roman" w:cstheme="minorHAnsi"/>
        </w:rPr>
        <w:t>Volume 2 (Nebraska to Wyoming) available at</w:t>
      </w:r>
      <w:r w:rsidRPr="00EF6C8D">
        <w:rPr>
          <w:rFonts w:eastAsia="Times New Roman" w:cstheme="minorHAnsi"/>
          <w:color w:val="737373"/>
        </w:rPr>
        <w:t> </w:t>
      </w:r>
      <w:hyperlink r:id="rId46" w:tgtFrame="_blank" w:tooltip="http://sharps.org/wp-content/uploads/PRITTS-REPORT2.pdf" w:history="1">
        <w:r w:rsidRPr="00EF6C8D">
          <w:rPr>
            <w:rFonts w:eastAsia="Times New Roman" w:cstheme="minorHAnsi"/>
            <w:color w:val="0F88B8"/>
            <w:u w:val="single"/>
            <w:bdr w:val="none" w:sz="0" w:space="0" w:color="auto" w:frame="1"/>
          </w:rPr>
          <w:t>http://sharps.org/wp-content/uploads/PRITTS-REPORT2.pdf</w:t>
        </w:r>
      </w:hyperlink>
      <w:r w:rsidRPr="00EF6C8D">
        <w:rPr>
          <w:rFonts w:eastAsia="Times New Roman" w:cstheme="minorHAnsi"/>
          <w:color w:val="737373"/>
        </w:rPr>
        <w:t>.</w:t>
      </w:r>
    </w:p>
    <w:p w14:paraId="5FC5B7FC"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3F3026FF"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Americans with Disabilities Act</w:t>
      </w:r>
    </w:p>
    <w:p w14:paraId="3554E66B"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See also </w:t>
      </w:r>
      <w:r w:rsidRPr="00EF6C8D">
        <w:rPr>
          <w:rFonts w:eastAsia="Times New Roman" w:cstheme="minorHAnsi"/>
          <w:i/>
          <w:iCs/>
          <w:color w:val="737373"/>
          <w:bdr w:val="none" w:sz="0" w:space="0" w:color="auto" w:frame="1"/>
        </w:rPr>
        <w:t>"</w:t>
      </w:r>
      <w:hyperlink r:id="rId47" w:anchor="Business-and-Employer" w:history="1">
        <w:r w:rsidRPr="00EF6C8D">
          <w:rPr>
            <w:rFonts w:eastAsia="Times New Roman" w:cstheme="minorHAnsi"/>
            <w:i/>
            <w:iCs/>
            <w:color w:val="0F88B8"/>
            <w:u w:val="single"/>
            <w:bdr w:val="none" w:sz="0" w:space="0" w:color="auto" w:frame="1"/>
          </w:rPr>
          <w:t>Business and Employer Planning and Preparedness</w:t>
        </w:r>
      </w:hyperlink>
      <w:r w:rsidRPr="00EF6C8D">
        <w:rPr>
          <w:rFonts w:eastAsia="Times New Roman" w:cstheme="minorHAnsi"/>
          <w:i/>
          <w:iCs/>
          <w:color w:val="737373"/>
          <w:bdr w:val="none" w:sz="0" w:space="0" w:color="auto" w:frame="1"/>
        </w:rPr>
        <w:t>"</w:t>
      </w:r>
    </w:p>
    <w:p w14:paraId="086EF599"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15187249" w14:textId="653A4B7D"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Public Law, Statute and Regulations</w:t>
      </w:r>
    </w:p>
    <w:p w14:paraId="65E52512"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Americans with Disabilities Act of 1990. Pub. L. 101-336, as amended, codified at 42 U.S.C. 12101 </w:t>
      </w:r>
      <w:r w:rsidRPr="00EF6C8D">
        <w:rPr>
          <w:rFonts w:eastAsia="Times New Roman" w:cstheme="minorHAnsi"/>
          <w:i/>
          <w:iCs/>
          <w:bdr w:val="none" w:sz="0" w:space="0" w:color="auto" w:frame="1"/>
        </w:rPr>
        <w:t>et seq</w:t>
      </w:r>
      <w:r w:rsidRPr="00EF6C8D">
        <w:rPr>
          <w:rFonts w:eastAsia="Times New Roman" w:cstheme="minorHAnsi"/>
        </w:rPr>
        <w:t>. Titles I and V available at </w:t>
      </w:r>
      <w:hyperlink r:id="rId48" w:tgtFrame="_blank" w:tooltip="http://www.eeoc.gov/laws/statutes/ada.cfm" w:history="1">
        <w:r w:rsidRPr="00EF6C8D">
          <w:rPr>
            <w:rFonts w:eastAsia="Times New Roman" w:cstheme="minorHAnsi"/>
            <w:color w:val="0F88B8"/>
            <w:u w:val="single"/>
            <w:bdr w:val="none" w:sz="0" w:space="0" w:color="auto" w:frame="1"/>
          </w:rPr>
          <w:t>http://www.eeoc.gov/laws/statutes/ada.cfm</w:t>
        </w:r>
      </w:hyperlink>
      <w:r w:rsidRPr="00EF6C8D">
        <w:rPr>
          <w:rFonts w:eastAsia="Times New Roman" w:cstheme="minorHAnsi"/>
          <w:color w:val="737373"/>
        </w:rPr>
        <w:t xml:space="preserve">. </w:t>
      </w:r>
      <w:r w:rsidRPr="00EF6C8D">
        <w:rPr>
          <w:rFonts w:eastAsia="Times New Roman" w:cstheme="minorHAnsi"/>
        </w:rPr>
        <w:t>Titles I, II, III, and V available at</w:t>
      </w:r>
      <w:r w:rsidRPr="00EF6C8D">
        <w:rPr>
          <w:rFonts w:eastAsia="Times New Roman" w:cstheme="minorHAnsi"/>
          <w:color w:val="737373"/>
        </w:rPr>
        <w:t> </w:t>
      </w:r>
      <w:hyperlink r:id="rId49" w:tgtFrame="_blank" w:tooltip="http://www.ada.gov/pubs/ada.htm" w:history="1">
        <w:r w:rsidRPr="00EF6C8D">
          <w:rPr>
            <w:rFonts w:eastAsia="Times New Roman" w:cstheme="minorHAnsi"/>
            <w:color w:val="0F88B8"/>
            <w:u w:val="single"/>
            <w:bdr w:val="none" w:sz="0" w:space="0" w:color="auto" w:frame="1"/>
          </w:rPr>
          <w:t>http://www.ada.gov/pubs/ada.htm</w:t>
        </w:r>
      </w:hyperlink>
      <w:r w:rsidRPr="00EF6C8D">
        <w:rPr>
          <w:rFonts w:eastAsia="Times New Roman" w:cstheme="minorHAnsi"/>
          <w:color w:val="737373"/>
        </w:rPr>
        <w:t>.  </w:t>
      </w:r>
    </w:p>
    <w:p w14:paraId="13B28479" w14:textId="77777777" w:rsidR="00BC71D0" w:rsidRDefault="00BC71D0" w:rsidP="00E978DD">
      <w:pPr>
        <w:shd w:val="clear" w:color="auto" w:fill="FFFFFF"/>
        <w:spacing w:line="240" w:lineRule="atLeast"/>
        <w:textAlignment w:val="baseline"/>
        <w:rPr>
          <w:rFonts w:eastAsia="Times New Roman" w:cstheme="minorHAnsi"/>
        </w:rPr>
      </w:pPr>
    </w:p>
    <w:p w14:paraId="22CC197A" w14:textId="23D09360"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Regulations to Implement the Equal Employment Provisions of the Americans with Disabilities Act. 29 C.F.R. Part 1630. </w:t>
      </w:r>
      <w:hyperlink r:id="rId50" w:tgtFrame="_blank" w:tooltip="Available here" w:history="1">
        <w:r w:rsidRPr="00EF6C8D">
          <w:rPr>
            <w:rFonts w:eastAsia="Times New Roman" w:cstheme="minorHAnsi"/>
            <w:color w:val="0F88B8"/>
            <w:u w:val="single"/>
            <w:bdr w:val="none" w:sz="0" w:space="0" w:color="auto" w:frame="1"/>
          </w:rPr>
          <w:t>Available here</w:t>
        </w:r>
      </w:hyperlink>
      <w:r w:rsidRPr="00EF6C8D">
        <w:rPr>
          <w:rFonts w:eastAsia="Times New Roman" w:cstheme="minorHAnsi"/>
          <w:color w:val="737373"/>
        </w:rPr>
        <w:t>.</w:t>
      </w:r>
    </w:p>
    <w:p w14:paraId="436BC73B" w14:textId="77777777" w:rsidR="00BC71D0" w:rsidRDefault="00BC71D0" w:rsidP="00E978DD">
      <w:pPr>
        <w:shd w:val="clear" w:color="auto" w:fill="FFFFFF"/>
        <w:spacing w:line="240" w:lineRule="atLeast"/>
        <w:textAlignment w:val="baseline"/>
        <w:rPr>
          <w:rFonts w:eastAsia="Times New Roman" w:cstheme="minorHAnsi"/>
        </w:rPr>
      </w:pPr>
    </w:p>
    <w:p w14:paraId="0AFA336B" w14:textId="6D17C19E"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Nondiscrimination </w:t>
      </w:r>
      <w:proofErr w:type="gramStart"/>
      <w:r w:rsidRPr="00EF6C8D">
        <w:rPr>
          <w:rFonts w:eastAsia="Times New Roman" w:cstheme="minorHAnsi"/>
        </w:rPr>
        <w:t>on the Basis of</w:t>
      </w:r>
      <w:proofErr w:type="gramEnd"/>
      <w:r w:rsidRPr="00EF6C8D">
        <w:rPr>
          <w:rFonts w:eastAsia="Times New Roman" w:cstheme="minorHAnsi"/>
        </w:rPr>
        <w:t xml:space="preserve"> Disability in State and Local Government Services. 28 C.F.R. Part 35. </w:t>
      </w:r>
      <w:hyperlink r:id="rId51" w:tgtFrame="_blank" w:tooltip="Available here" w:history="1">
        <w:r w:rsidRPr="00EF6C8D">
          <w:rPr>
            <w:rFonts w:eastAsia="Times New Roman" w:cstheme="minorHAnsi"/>
            <w:color w:val="0F88B8"/>
            <w:u w:val="single"/>
            <w:bdr w:val="none" w:sz="0" w:space="0" w:color="auto" w:frame="1"/>
          </w:rPr>
          <w:t>Available here</w:t>
        </w:r>
      </w:hyperlink>
      <w:r w:rsidRPr="00EF6C8D">
        <w:rPr>
          <w:rFonts w:eastAsia="Times New Roman" w:cstheme="minorHAnsi"/>
          <w:color w:val="737373"/>
        </w:rPr>
        <w:t>.</w:t>
      </w:r>
    </w:p>
    <w:p w14:paraId="22957474"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3B933809" w14:textId="18C6ED9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Guidance Documents</w:t>
      </w:r>
    </w:p>
    <w:p w14:paraId="19D97289" w14:textId="4290CB15"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Interpretive Guidance on Title I of the Americans with Disabilities Act. 29 C.F.R. Part 1630, Appendix to Part 1630. </w:t>
      </w:r>
      <w:hyperlink r:id="rId52" w:tgtFrame="_blank" w:tooltip="Available here" w:history="1">
        <w:r w:rsidRPr="00EF6C8D">
          <w:rPr>
            <w:rFonts w:eastAsia="Times New Roman" w:cstheme="minorHAnsi"/>
            <w:color w:val="0F88B8"/>
            <w:u w:val="single"/>
            <w:bdr w:val="none" w:sz="0" w:space="0" w:color="auto" w:frame="1"/>
          </w:rPr>
          <w:t>Available here</w:t>
        </w:r>
      </w:hyperlink>
      <w:r w:rsidRPr="00EF6C8D">
        <w:rPr>
          <w:rFonts w:eastAsia="Times New Roman" w:cstheme="minorHAnsi"/>
          <w:color w:val="737373"/>
        </w:rPr>
        <w:t>.</w:t>
      </w:r>
    </w:p>
    <w:p w14:paraId="5E8D5913"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460BAD43" w14:textId="1B1DBAA0"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Offices/Programs/Activities</w:t>
      </w:r>
    </w:p>
    <w:p w14:paraId="4902C5B8"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Justice, Americans with Disabilities Act. "ADA HOME PAGE." Available at </w:t>
      </w:r>
      <w:hyperlink r:id="rId53" w:tgtFrame="_blank" w:tooltip="http://www.ada.gov" w:history="1">
        <w:r w:rsidRPr="00EF6C8D">
          <w:rPr>
            <w:rFonts w:eastAsia="Times New Roman" w:cstheme="minorHAnsi"/>
            <w:color w:val="0F88B8"/>
            <w:u w:val="single"/>
            <w:bdr w:val="none" w:sz="0" w:space="0" w:color="auto" w:frame="1"/>
          </w:rPr>
          <w:t>http://www.ada.gov</w:t>
        </w:r>
      </w:hyperlink>
      <w:r w:rsidRPr="00EF6C8D">
        <w:rPr>
          <w:rFonts w:eastAsia="Times New Roman" w:cstheme="minorHAnsi"/>
          <w:color w:val="737373"/>
        </w:rPr>
        <w:t>.</w:t>
      </w:r>
    </w:p>
    <w:p w14:paraId="461AD19D" w14:textId="77777777" w:rsidR="00BC71D0" w:rsidRDefault="00BC71D0" w:rsidP="00E978DD">
      <w:pPr>
        <w:shd w:val="clear" w:color="auto" w:fill="FFFFFF"/>
        <w:spacing w:line="240" w:lineRule="atLeast"/>
        <w:textAlignment w:val="baseline"/>
        <w:rPr>
          <w:rFonts w:eastAsia="Times New Roman" w:cstheme="minorHAnsi"/>
        </w:rPr>
      </w:pPr>
    </w:p>
    <w:p w14:paraId="0A6810A5" w14:textId="6F9F1CA5"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rPr>
        <w:t>U.S. Equal Employment Opportunity Commission. Available at </w:t>
      </w:r>
      <w:hyperlink r:id="rId54" w:tgtFrame="_blank" w:tooltip="http://www.eeoc.gov/eeoc/index.cfm" w:history="1">
        <w:r w:rsidRPr="00EF6C8D">
          <w:rPr>
            <w:rFonts w:eastAsia="Times New Roman" w:cstheme="minorHAnsi"/>
            <w:u w:val="single"/>
            <w:bdr w:val="none" w:sz="0" w:space="0" w:color="auto" w:frame="1"/>
          </w:rPr>
          <w:t>http://www.eeoc.gov/eeoc/index.cfm</w:t>
        </w:r>
      </w:hyperlink>
      <w:r w:rsidRPr="00EF6C8D">
        <w:rPr>
          <w:rFonts w:eastAsia="Times New Roman" w:cstheme="minorHAnsi"/>
        </w:rPr>
        <w:t>.</w:t>
      </w:r>
    </w:p>
    <w:p w14:paraId="241D1AC1"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55533387" w14:textId="0DE84EA0"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73EC949C"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Justice. "ADA Best Practices Tool Kit for State and Local Governments: Chapter 7 Addendum 1: Title II Checklist (Emergency Management)." Available at: </w:t>
      </w:r>
      <w:hyperlink r:id="rId55" w:tgtFrame="_blank" w:tooltip="http://www.usdoj.gov/crt/ada/pcatoolkit/chap7emergencymgmtadd1.htm" w:history="1">
        <w:r w:rsidRPr="00EF6C8D">
          <w:rPr>
            <w:rFonts w:eastAsia="Times New Roman" w:cstheme="minorHAnsi"/>
            <w:color w:val="0F88B8"/>
            <w:u w:val="single"/>
            <w:bdr w:val="none" w:sz="0" w:space="0" w:color="auto" w:frame="1"/>
          </w:rPr>
          <w:t>http://www.usdoj.gov/crt/ada/pcatoolkit/chap7emergencymgmtadd1.htm</w:t>
        </w:r>
      </w:hyperlink>
      <w:r w:rsidRPr="00EF6C8D">
        <w:rPr>
          <w:rFonts w:eastAsia="Times New Roman" w:cstheme="minorHAnsi"/>
          <w:color w:val="737373"/>
        </w:rPr>
        <w:t>.</w:t>
      </w:r>
    </w:p>
    <w:p w14:paraId="6928E300" w14:textId="77777777" w:rsidR="00BC71D0" w:rsidRDefault="00BC71D0" w:rsidP="00E978DD">
      <w:pPr>
        <w:shd w:val="clear" w:color="auto" w:fill="FFFFFF"/>
        <w:spacing w:line="240" w:lineRule="atLeast"/>
        <w:textAlignment w:val="baseline"/>
        <w:rPr>
          <w:rFonts w:eastAsia="Times New Roman" w:cstheme="minorHAnsi"/>
        </w:rPr>
      </w:pPr>
    </w:p>
    <w:p w14:paraId="560E2B51" w14:textId="0B9834A9"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Equal Employment Opportunity Commission. "Pandemic Preparedness in the Workplace and the Americans with Disabilities Act." Available at </w:t>
      </w:r>
      <w:hyperlink r:id="rId56" w:tgtFrame="_blank" w:tooltip="http://www.eeoc.gov/facts/pandemic_flu.html" w:history="1">
        <w:r w:rsidRPr="00EF6C8D">
          <w:rPr>
            <w:rFonts w:eastAsia="Times New Roman" w:cstheme="minorHAnsi"/>
            <w:color w:val="0F88B8"/>
            <w:u w:val="single"/>
            <w:bdr w:val="none" w:sz="0" w:space="0" w:color="auto" w:frame="1"/>
          </w:rPr>
          <w:t>http://www.eeoc.gov/facts/pandemic_flu.html</w:t>
        </w:r>
      </w:hyperlink>
      <w:r w:rsidRPr="00EF6C8D">
        <w:rPr>
          <w:rFonts w:eastAsia="Times New Roman" w:cstheme="minorHAnsi"/>
          <w:color w:val="737373"/>
        </w:rPr>
        <w:t>.</w:t>
      </w:r>
    </w:p>
    <w:p w14:paraId="78DB2A71" w14:textId="77777777" w:rsidR="00BC71D0" w:rsidRDefault="00BC71D0" w:rsidP="00E978DD">
      <w:pPr>
        <w:shd w:val="clear" w:color="auto" w:fill="FFFFFF"/>
        <w:spacing w:line="240" w:lineRule="atLeast"/>
        <w:textAlignment w:val="baseline"/>
        <w:rPr>
          <w:rFonts w:eastAsia="Times New Roman" w:cstheme="minorHAnsi"/>
        </w:rPr>
      </w:pPr>
    </w:p>
    <w:p w14:paraId="78A0ABFF" w14:textId="60996C43"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Equal Employment Opportunity Commission and U.S. Department of Justice Civil Rights Division. "Americans with Disabilities Act: Questions and Answers." Available at </w:t>
      </w:r>
      <w:hyperlink r:id="rId57" w:tgtFrame="_blank" w:tooltip="http://www.ada.gov/q%26aeng02.htm" w:history="1">
        <w:r w:rsidRPr="00EF6C8D">
          <w:rPr>
            <w:rFonts w:eastAsia="Times New Roman" w:cstheme="minorHAnsi"/>
            <w:color w:val="0F88B8"/>
            <w:u w:val="single"/>
            <w:bdr w:val="none" w:sz="0" w:space="0" w:color="auto" w:frame="1"/>
          </w:rPr>
          <w:t>http://www.ada.gov/q%26aeng02.htm</w:t>
        </w:r>
      </w:hyperlink>
      <w:r w:rsidRPr="00EF6C8D">
        <w:rPr>
          <w:rFonts w:eastAsia="Times New Roman" w:cstheme="minorHAnsi"/>
          <w:color w:val="737373"/>
        </w:rPr>
        <w:t>.</w:t>
      </w:r>
    </w:p>
    <w:p w14:paraId="46F35337"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color w:val="737373"/>
        </w:rPr>
        <w:t> </w:t>
      </w:r>
    </w:p>
    <w:p w14:paraId="7FCC4F4D"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Business and Employer Planning and Preparedness</w:t>
      </w:r>
    </w:p>
    <w:p w14:paraId="5C0B3382"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58" w:anchor="ADA" w:history="1">
        <w:r w:rsidRPr="00EF6C8D">
          <w:rPr>
            <w:rFonts w:eastAsia="Times New Roman" w:cstheme="minorHAnsi"/>
            <w:i/>
            <w:iCs/>
            <w:color w:val="0F88B8"/>
            <w:u w:val="single"/>
            <w:bdr w:val="none" w:sz="0" w:space="0" w:color="auto" w:frame="1"/>
          </w:rPr>
          <w:t>Americans with Disabilities Act</w:t>
        </w:r>
      </w:hyperlink>
      <w:r w:rsidRPr="00EF6C8D">
        <w:rPr>
          <w:rFonts w:eastAsia="Times New Roman" w:cstheme="minorHAnsi"/>
          <w:color w:val="737373"/>
        </w:rPr>
        <w:t>"</w:t>
      </w:r>
    </w:p>
    <w:p w14:paraId="6CA37216"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34C3E9DA" w14:textId="0AF824AB"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Resources</w:t>
      </w:r>
    </w:p>
    <w:p w14:paraId="5AEF320D"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CDC. "Guidance for Businesses and Employers </w:t>
      </w:r>
      <w:proofErr w:type="gramStart"/>
      <w:r w:rsidRPr="00EF6C8D">
        <w:rPr>
          <w:rFonts w:eastAsia="Times New Roman" w:cstheme="minorHAnsi"/>
        </w:rPr>
        <w:t>To</w:t>
      </w:r>
      <w:proofErr w:type="gramEnd"/>
      <w:r w:rsidRPr="00EF6C8D">
        <w:rPr>
          <w:rFonts w:eastAsia="Times New Roman" w:cstheme="minorHAnsi"/>
        </w:rPr>
        <w:t xml:space="preserve"> Plan and Respond to the 2009 - 2010 Influenza Season." August 19, 2009. Available at </w:t>
      </w:r>
      <w:hyperlink r:id="rId59" w:tgtFrame="_blank" w:tooltip="http://www.flu.gov/planning-preparedness/business/guidance.pdf" w:history="1">
        <w:r w:rsidRPr="00EF6C8D">
          <w:rPr>
            <w:rFonts w:eastAsia="Times New Roman" w:cstheme="minorHAnsi"/>
            <w:color w:val="0F88B8"/>
            <w:u w:val="single"/>
            <w:bdr w:val="none" w:sz="0" w:space="0" w:color="auto" w:frame="1"/>
          </w:rPr>
          <w:t>http://www.flu.gov/planning-preparedness/business/guidance.pdf</w:t>
        </w:r>
      </w:hyperlink>
      <w:r w:rsidRPr="00EF6C8D">
        <w:rPr>
          <w:rFonts w:eastAsia="Times New Roman" w:cstheme="minorHAnsi"/>
          <w:color w:val="737373"/>
        </w:rPr>
        <w:t>.</w:t>
      </w:r>
    </w:p>
    <w:p w14:paraId="5C45C1D8" w14:textId="77777777" w:rsidR="00BC71D0" w:rsidRDefault="00BC71D0" w:rsidP="00E978DD">
      <w:pPr>
        <w:shd w:val="clear" w:color="auto" w:fill="FFFFFF"/>
        <w:spacing w:line="240" w:lineRule="atLeast"/>
        <w:textAlignment w:val="baseline"/>
        <w:rPr>
          <w:rFonts w:eastAsia="Times New Roman" w:cstheme="minorHAnsi"/>
        </w:rPr>
      </w:pPr>
    </w:p>
    <w:p w14:paraId="255FFF1B" w14:textId="555C9826"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Labor, Occupational Safety and Health Administration. "Guidance on Preparing Workplaces for an Influenza Pandemic." OSHA Publication No. 3327. Available at </w:t>
      </w:r>
      <w:hyperlink r:id="rId60" w:tgtFrame="_blank" w:tooltip="http://www.osha.gov/Publications/influenza_pandemic.html" w:history="1">
        <w:r w:rsidRPr="00EF6C8D">
          <w:rPr>
            <w:rFonts w:eastAsia="Times New Roman" w:cstheme="minorHAnsi"/>
            <w:color w:val="0F88B8"/>
            <w:u w:val="single"/>
            <w:bdr w:val="none" w:sz="0" w:space="0" w:color="auto" w:frame="1"/>
          </w:rPr>
          <w:t>http://www.osha.gov/Publications/influenza_pandemic.html</w:t>
        </w:r>
      </w:hyperlink>
      <w:r w:rsidRPr="00EF6C8D">
        <w:rPr>
          <w:rFonts w:eastAsia="Times New Roman" w:cstheme="minorHAnsi"/>
          <w:color w:val="737373"/>
          <w:u w:val="single"/>
          <w:bdr w:val="none" w:sz="0" w:space="0" w:color="auto" w:frame="1"/>
        </w:rPr>
        <w:t>.</w:t>
      </w:r>
    </w:p>
    <w:p w14:paraId="248D0D0D" w14:textId="77777777" w:rsidR="00BC71D0" w:rsidRDefault="00BC71D0" w:rsidP="00E978DD">
      <w:pPr>
        <w:shd w:val="clear" w:color="auto" w:fill="FFFFFF"/>
        <w:spacing w:line="240" w:lineRule="atLeast"/>
        <w:textAlignment w:val="baseline"/>
        <w:rPr>
          <w:rFonts w:eastAsia="Times New Roman" w:cstheme="minorHAnsi"/>
        </w:rPr>
      </w:pPr>
    </w:p>
    <w:p w14:paraId="6ECA753D" w14:textId="7B2A65B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Flu Business Planning and Preparedness Resources. Available at</w:t>
      </w:r>
      <w:r w:rsidRPr="00EF6C8D">
        <w:rPr>
          <w:rFonts w:eastAsia="Times New Roman" w:cstheme="minorHAnsi"/>
          <w:color w:val="737373"/>
        </w:rPr>
        <w:t> </w:t>
      </w:r>
      <w:hyperlink r:id="rId61" w:tgtFrame="_blank" w:tooltip="http://www.flu.gov/planning-preparedness/business/index.html" w:history="1">
        <w:r w:rsidRPr="00EF6C8D">
          <w:rPr>
            <w:rFonts w:eastAsia="Times New Roman" w:cstheme="minorHAnsi"/>
            <w:color w:val="0F88B8"/>
            <w:u w:val="single"/>
            <w:bdr w:val="none" w:sz="0" w:space="0" w:color="auto" w:frame="1"/>
          </w:rPr>
          <w:t>http://www.flu.gov/planning-preparedness/business/index.html</w:t>
        </w:r>
      </w:hyperlink>
      <w:r w:rsidRPr="00EF6C8D">
        <w:rPr>
          <w:rFonts w:eastAsia="Times New Roman" w:cstheme="minorHAnsi"/>
          <w:color w:val="737373"/>
          <w:u w:val="single"/>
          <w:bdr w:val="none" w:sz="0" w:space="0" w:color="auto" w:frame="1"/>
        </w:rPr>
        <w:t>.</w:t>
      </w:r>
    </w:p>
    <w:p w14:paraId="270F1A6C" w14:textId="77777777" w:rsidR="00BC71D0" w:rsidRDefault="00BC71D0" w:rsidP="00E978DD">
      <w:pPr>
        <w:shd w:val="clear" w:color="auto" w:fill="FFFFFF"/>
        <w:spacing w:line="240" w:lineRule="atLeast"/>
        <w:textAlignment w:val="baseline"/>
        <w:rPr>
          <w:rFonts w:eastAsia="Times New Roman" w:cstheme="minorHAnsi"/>
        </w:rPr>
      </w:pPr>
    </w:p>
    <w:p w14:paraId="68009B78" w14:textId="523A7108"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Labor, Occupational Safety and Health Administration. "Safety and Health Topics: Pandemic Influenza." Available at </w:t>
      </w:r>
      <w:hyperlink r:id="rId62" w:tgtFrame="_blank" w:tooltip="http://www.osha.gov/dsg/topics/pandemicflu/index.html" w:history="1">
        <w:r w:rsidRPr="00EF6C8D">
          <w:rPr>
            <w:rFonts w:eastAsia="Times New Roman" w:cstheme="minorHAnsi"/>
            <w:color w:val="0F88B8"/>
            <w:u w:val="single"/>
            <w:bdr w:val="none" w:sz="0" w:space="0" w:color="auto" w:frame="1"/>
          </w:rPr>
          <w:t>http://www.osha.gov/dsg/topics/pandemicflu/index.html</w:t>
        </w:r>
      </w:hyperlink>
      <w:r w:rsidRPr="00EF6C8D">
        <w:rPr>
          <w:rFonts w:eastAsia="Times New Roman" w:cstheme="minorHAnsi"/>
          <w:color w:val="737373"/>
        </w:rPr>
        <w:t>.</w:t>
      </w:r>
    </w:p>
    <w:p w14:paraId="77AC7FDA" w14:textId="77777777" w:rsidR="00BC71D0" w:rsidRDefault="00BC71D0" w:rsidP="00E978DD">
      <w:pPr>
        <w:shd w:val="clear" w:color="auto" w:fill="FFFFFF"/>
        <w:spacing w:line="240" w:lineRule="atLeast"/>
        <w:textAlignment w:val="baseline"/>
        <w:rPr>
          <w:rFonts w:eastAsia="Times New Roman" w:cstheme="minorHAnsi"/>
        </w:rPr>
      </w:pPr>
    </w:p>
    <w:p w14:paraId="7A59439A" w14:textId="097564E6"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lastRenderedPageBreak/>
        <w:t>U.S. Department of Labor Office of Disability Employment Policy. "Disability Employment Policy Resources by Topic: Emergency Preparedness." Available at </w:t>
      </w:r>
      <w:hyperlink r:id="rId63" w:tgtFrame="_blank" w:tooltip="http://www.dol.gov/odep/topics/EmergencyPreparedness.htm" w:history="1">
        <w:r w:rsidRPr="00EF6C8D">
          <w:rPr>
            <w:rFonts w:eastAsia="Times New Roman" w:cstheme="minorHAnsi"/>
            <w:color w:val="0F88B8"/>
            <w:u w:val="single"/>
            <w:bdr w:val="none" w:sz="0" w:space="0" w:color="auto" w:frame="1"/>
          </w:rPr>
          <w:t>http://www.dol.gov/odep/topics/EmergencyPreparedness.htm</w:t>
        </w:r>
      </w:hyperlink>
      <w:r w:rsidRPr="00EF6C8D">
        <w:rPr>
          <w:rFonts w:eastAsia="Times New Roman" w:cstheme="minorHAnsi"/>
          <w:color w:val="737373"/>
          <w:u w:val="single"/>
          <w:bdr w:val="none" w:sz="0" w:space="0" w:color="auto" w:frame="1"/>
        </w:rPr>
        <w:t>.</w:t>
      </w:r>
    </w:p>
    <w:p w14:paraId="520BBF07" w14:textId="77777777" w:rsidR="00BC71D0" w:rsidRDefault="00BC71D0" w:rsidP="00E978DD">
      <w:pPr>
        <w:shd w:val="clear" w:color="auto" w:fill="FFFFFF"/>
        <w:spacing w:line="240" w:lineRule="atLeast"/>
        <w:textAlignment w:val="baseline"/>
        <w:rPr>
          <w:rFonts w:eastAsia="Times New Roman" w:cstheme="minorHAnsi"/>
        </w:rPr>
      </w:pPr>
    </w:p>
    <w:p w14:paraId="4D835232" w14:textId="2FB1C628"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Equal Employment Opportunity Commission. "Fact Sheet on Obtaining and Using Employee Medical Information as Part of Emergency Evacuation Procedures." Available at </w:t>
      </w:r>
      <w:hyperlink r:id="rId64" w:anchor="N_2" w:tgtFrame="_blank" w:tooltip="http://eeoc.gov/facts/evacuation.html#N_2" w:history="1">
        <w:r w:rsidRPr="00EF6C8D">
          <w:rPr>
            <w:rFonts w:eastAsia="Times New Roman" w:cstheme="minorHAnsi"/>
            <w:color w:val="0F88B8"/>
            <w:u w:val="single"/>
            <w:bdr w:val="none" w:sz="0" w:space="0" w:color="auto" w:frame="1"/>
          </w:rPr>
          <w:t>http://eeoc.gov/facts/evacuation.html#N_2</w:t>
        </w:r>
      </w:hyperlink>
      <w:r w:rsidRPr="00EF6C8D">
        <w:rPr>
          <w:rFonts w:eastAsia="Times New Roman" w:cstheme="minorHAnsi"/>
          <w:color w:val="737373"/>
        </w:rPr>
        <w:t>.</w:t>
      </w:r>
    </w:p>
    <w:p w14:paraId="1773E72E" w14:textId="77777777" w:rsidR="00BC71D0" w:rsidRDefault="00BC71D0" w:rsidP="00E978DD">
      <w:pPr>
        <w:shd w:val="clear" w:color="auto" w:fill="FFFFFF"/>
        <w:spacing w:line="240" w:lineRule="atLeast"/>
        <w:textAlignment w:val="baseline"/>
        <w:rPr>
          <w:rFonts w:eastAsia="Times New Roman" w:cstheme="minorHAnsi"/>
        </w:rPr>
      </w:pPr>
    </w:p>
    <w:p w14:paraId="41F52DB1" w14:textId="27AC48DC"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rPr>
        <w:t>U.S. Equal Employment Opportunity Commission. "Pandemic Preparedness in the Workplace and the Americans with Disabilities Act." Available at </w:t>
      </w:r>
      <w:hyperlink r:id="rId65" w:tgtFrame="_blank" w:tooltip="http://www.eeoc.gov/facts/pandemic_flu.html" w:history="1">
        <w:r w:rsidRPr="00EF6C8D">
          <w:rPr>
            <w:rFonts w:eastAsia="Times New Roman" w:cstheme="minorHAnsi"/>
            <w:u w:val="single"/>
            <w:bdr w:val="none" w:sz="0" w:space="0" w:color="auto" w:frame="1"/>
          </w:rPr>
          <w:t>http://www.eeoc.gov/facts/pandemic_flu.html</w:t>
        </w:r>
      </w:hyperlink>
      <w:r w:rsidRPr="00EF6C8D">
        <w:rPr>
          <w:rFonts w:eastAsia="Times New Roman" w:cstheme="minorHAnsi"/>
        </w:rPr>
        <w:t>.</w:t>
      </w:r>
    </w:p>
    <w:p w14:paraId="75E6BDDB"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300E839B"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Civil Liberties</w:t>
      </w:r>
    </w:p>
    <w:p w14:paraId="37DB8D54"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66" w:anchor="Fourth-Amendment" w:history="1">
        <w:r w:rsidRPr="00EF6C8D">
          <w:rPr>
            <w:rFonts w:eastAsia="Times New Roman" w:cstheme="minorHAnsi"/>
            <w:i/>
            <w:iCs/>
            <w:color w:val="0F88B8"/>
            <w:u w:val="single"/>
            <w:bdr w:val="none" w:sz="0" w:space="0" w:color="auto" w:frame="1"/>
          </w:rPr>
          <w:t>Fourth Amendment</w:t>
        </w:r>
      </w:hyperlink>
      <w:r w:rsidRPr="00EF6C8D">
        <w:rPr>
          <w:rFonts w:eastAsia="Times New Roman" w:cstheme="minorHAnsi"/>
          <w:color w:val="737373"/>
        </w:rPr>
        <w:t>"</w:t>
      </w:r>
    </w:p>
    <w:p w14:paraId="7CC995F2"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67" w:anchor="Individual-Rights" w:history="1">
        <w:r w:rsidRPr="00EF6C8D">
          <w:rPr>
            <w:rFonts w:eastAsia="Times New Roman" w:cstheme="minorHAnsi"/>
            <w:i/>
            <w:iCs/>
            <w:color w:val="0F88B8"/>
            <w:u w:val="single"/>
            <w:bdr w:val="none" w:sz="0" w:space="0" w:color="auto" w:frame="1"/>
          </w:rPr>
          <w:t>Individual Rights vs. Police Powers</w:t>
        </w:r>
      </w:hyperlink>
      <w:r w:rsidRPr="00EF6C8D">
        <w:rPr>
          <w:rFonts w:eastAsia="Times New Roman" w:cstheme="minorHAnsi"/>
          <w:color w:val="737373"/>
        </w:rPr>
        <w:t>"</w:t>
      </w:r>
    </w:p>
    <w:p w14:paraId="328F0919"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5C8A5B39" w14:textId="54789F95"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Constitution</w:t>
      </w:r>
    </w:p>
    <w:p w14:paraId="42DA92B7"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United States Constitution. Available at </w:t>
      </w:r>
      <w:hyperlink r:id="rId68" w:tgtFrame="_blank" w:tooltip="http://www.law.cornell.edu/constitution" w:history="1">
        <w:r w:rsidRPr="00EF6C8D">
          <w:rPr>
            <w:rFonts w:eastAsia="Times New Roman" w:cstheme="minorHAnsi"/>
            <w:color w:val="0F88B8"/>
            <w:u w:val="single"/>
            <w:bdr w:val="none" w:sz="0" w:space="0" w:color="auto" w:frame="1"/>
          </w:rPr>
          <w:t>http://www.law.cornell.edu/constitution</w:t>
        </w:r>
      </w:hyperlink>
      <w:r w:rsidRPr="00EF6C8D">
        <w:rPr>
          <w:rFonts w:eastAsia="Times New Roman" w:cstheme="minorHAnsi"/>
          <w:color w:val="737373"/>
        </w:rPr>
        <w:t>.</w:t>
      </w:r>
    </w:p>
    <w:p w14:paraId="65900862"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563B5DBB" w14:textId="345CC220"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3E87B450"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Homeland Security and U.S. Department of Justice. "Fusion Center Privacy Policy Development - Privacy Civil Rights, and Civil Liberties Policy Template." April 2010. Available for download at </w:t>
      </w:r>
      <w:hyperlink r:id="rId69" w:tgtFrame="_blank" w:tooltip="http://www.it.ojp.gov/docdownloader.aspx?ddid=1269" w:history="1">
        <w:r w:rsidRPr="00EF6C8D">
          <w:rPr>
            <w:rFonts w:eastAsia="Times New Roman" w:cstheme="minorHAnsi"/>
            <w:color w:val="0F88B8"/>
            <w:u w:val="single"/>
            <w:bdr w:val="none" w:sz="0" w:space="0" w:color="auto" w:frame="1"/>
          </w:rPr>
          <w:t>http://www.it.ojp.gov/docdownloader.aspx?ddid=1269</w:t>
        </w:r>
      </w:hyperlink>
      <w:r w:rsidRPr="00EF6C8D">
        <w:rPr>
          <w:rFonts w:eastAsia="Times New Roman" w:cstheme="minorHAnsi"/>
          <w:color w:val="737373"/>
        </w:rPr>
        <w:t>.</w:t>
      </w:r>
    </w:p>
    <w:p w14:paraId="1B49B5FC" w14:textId="77777777" w:rsidR="00BC71D0" w:rsidRDefault="00BC71D0" w:rsidP="00E978DD">
      <w:pPr>
        <w:shd w:val="clear" w:color="auto" w:fill="FFFFFF"/>
        <w:spacing w:line="240" w:lineRule="atLeast"/>
        <w:textAlignment w:val="baseline"/>
        <w:rPr>
          <w:rFonts w:eastAsia="Times New Roman" w:cstheme="minorHAnsi"/>
        </w:rPr>
      </w:pPr>
    </w:p>
    <w:p w14:paraId="771D31AF" w14:textId="619E91BC"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German, M. and Stanley, J. "Fusion Center Update." American Civil Liberties Union. July 2008. Available at</w:t>
      </w:r>
      <w:r w:rsidRPr="00EF6C8D">
        <w:rPr>
          <w:rFonts w:eastAsia="Times New Roman" w:cstheme="minorHAnsi"/>
          <w:color w:val="737373"/>
        </w:rPr>
        <w:t> </w:t>
      </w:r>
      <w:hyperlink r:id="rId70" w:tgtFrame="_blank" w:tooltip="http://www.aclu.org/files/pdfs/privacy/fusion_update_20080729.pdf" w:history="1">
        <w:r w:rsidRPr="00EF6C8D">
          <w:rPr>
            <w:rFonts w:eastAsia="Times New Roman" w:cstheme="minorHAnsi"/>
            <w:color w:val="0F88B8"/>
            <w:u w:val="single"/>
            <w:bdr w:val="none" w:sz="0" w:space="0" w:color="auto" w:frame="1"/>
          </w:rPr>
          <w:t>http://www.aclu.org/files/pdfs/privacy/fusion_update_20080729.pdf</w:t>
        </w:r>
      </w:hyperlink>
      <w:r w:rsidRPr="00EF6C8D">
        <w:rPr>
          <w:rFonts w:eastAsia="Times New Roman" w:cstheme="minorHAnsi"/>
          <w:color w:val="737373"/>
        </w:rPr>
        <w:t>.</w:t>
      </w:r>
    </w:p>
    <w:p w14:paraId="3607F17F"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69C876C4"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Coordinated Response to Emergencies</w:t>
      </w:r>
    </w:p>
    <w:p w14:paraId="4A81310B"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71" w:anchor="Law-Enforcement" w:history="1">
        <w:r w:rsidRPr="00EF6C8D">
          <w:rPr>
            <w:rFonts w:eastAsia="Times New Roman" w:cstheme="minorHAnsi"/>
            <w:i/>
            <w:iCs/>
            <w:color w:val="0F88B8"/>
            <w:u w:val="single"/>
            <w:bdr w:val="none" w:sz="0" w:space="0" w:color="auto" w:frame="1"/>
          </w:rPr>
          <w:t>Law Enforcement</w:t>
        </w:r>
      </w:hyperlink>
      <w:r w:rsidRPr="00EF6C8D">
        <w:rPr>
          <w:rFonts w:eastAsia="Times New Roman" w:cstheme="minorHAnsi"/>
          <w:color w:val="737373"/>
        </w:rPr>
        <w:t>"</w:t>
      </w:r>
    </w:p>
    <w:p w14:paraId="6083C233"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594345CA" w14:textId="75D75278"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Offices/Programs/Activities</w:t>
      </w:r>
    </w:p>
    <w:p w14:paraId="04D94B93" w14:textId="68F08EDB"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FEMA, U.S. Department of Homeland Security. "National Response Framework." December 2008. Available at </w:t>
      </w:r>
      <w:hyperlink r:id="rId72" w:tgtFrame="_blank" w:tooltip="http://www.fema.gov/pdf/emergency/nrf/nrf-core.pdf" w:history="1">
        <w:r w:rsidRPr="00EF6C8D">
          <w:rPr>
            <w:rFonts w:eastAsia="Times New Roman" w:cstheme="minorHAnsi"/>
            <w:color w:val="0F88B8"/>
            <w:u w:val="single"/>
            <w:bdr w:val="none" w:sz="0" w:space="0" w:color="auto" w:frame="1"/>
          </w:rPr>
          <w:t>http://www.fema.gov/pdf/emergency/nrf/nrf-core.pdf</w:t>
        </w:r>
      </w:hyperlink>
      <w:r w:rsidRPr="00EF6C8D">
        <w:rPr>
          <w:rFonts w:eastAsia="Times New Roman" w:cstheme="minorHAnsi"/>
          <w:color w:val="737373"/>
        </w:rPr>
        <w:t>.</w:t>
      </w:r>
    </w:p>
    <w:p w14:paraId="7521CCBC"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1F34FD2D" w14:textId="1262D8BF"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4EE178B8"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CDC and U.S. Department of Justice, Bureau of Justice Assistance. "A Framework for Improving Cross-Sector Coordination for Emergency Preparedness and Response: Action Steps for Public Health, Law Enforcement, the Judiciary and Corrections." July 2008. Available at </w:t>
      </w:r>
      <w:hyperlink r:id="rId73" w:tgtFrame="_blank" w:tooltip="http://cdc.gov/phlp/docs/CDC_BJA_Framework.pdf" w:history="1">
        <w:r w:rsidRPr="00EF6C8D">
          <w:rPr>
            <w:rFonts w:eastAsia="Times New Roman" w:cstheme="minorHAnsi"/>
            <w:color w:val="0F88B8"/>
            <w:u w:val="single"/>
            <w:bdr w:val="none" w:sz="0" w:space="0" w:color="auto" w:frame="1"/>
          </w:rPr>
          <w:t>http://cdc.gov/phlp/docs/CDC_BJA_Framework.pdf</w:t>
        </w:r>
      </w:hyperlink>
      <w:r w:rsidRPr="00EF6C8D">
        <w:rPr>
          <w:rFonts w:eastAsia="Times New Roman" w:cstheme="minorHAnsi"/>
          <w:color w:val="737373"/>
        </w:rPr>
        <w:t>.</w:t>
      </w:r>
    </w:p>
    <w:p w14:paraId="331DE878" w14:textId="77777777" w:rsidR="00BC71D0" w:rsidRDefault="00BC71D0" w:rsidP="00E978DD">
      <w:pPr>
        <w:shd w:val="clear" w:color="auto" w:fill="FFFFFF"/>
        <w:spacing w:line="240" w:lineRule="atLeast"/>
        <w:textAlignment w:val="baseline"/>
        <w:rPr>
          <w:rFonts w:eastAsia="Times New Roman" w:cstheme="minorHAnsi"/>
        </w:rPr>
      </w:pPr>
    </w:p>
    <w:p w14:paraId="3AE10EB9" w14:textId="6FA54A3D"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CDC and U.S. Department of Justice, Bureau of Justice Assistance. "Joint Public Health - Law Enforcement Investigation: Model Memorandum of Understanding." July 2008. Available at </w:t>
      </w:r>
      <w:hyperlink r:id="rId74" w:tgtFrame="_blank" w:tooltip="http://www.nasemso.org/Projects/DomesticPreparedness/documents/JIMOUFinal.pdf" w:history="1">
        <w:r w:rsidRPr="00EF6C8D">
          <w:rPr>
            <w:rFonts w:eastAsia="Times New Roman" w:cstheme="minorHAnsi"/>
            <w:color w:val="0F88B8"/>
            <w:u w:val="single"/>
            <w:bdr w:val="none" w:sz="0" w:space="0" w:color="auto" w:frame="1"/>
          </w:rPr>
          <w:t>http://www.nasemso.org/Projects/DomesticPreparedness/documents/JIMOUFinal.pdf</w:t>
        </w:r>
      </w:hyperlink>
      <w:r w:rsidRPr="00EF6C8D">
        <w:rPr>
          <w:rFonts w:eastAsia="Times New Roman" w:cstheme="minorHAnsi"/>
          <w:color w:val="737373"/>
        </w:rPr>
        <w:t>.</w:t>
      </w:r>
    </w:p>
    <w:p w14:paraId="66FEADEA"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5362DAA0"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Critical Infrastructure Information Act</w:t>
      </w:r>
    </w:p>
    <w:p w14:paraId="126A0631"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Public Law, Statute and Regulations</w:t>
      </w:r>
    </w:p>
    <w:p w14:paraId="087C4605"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lastRenderedPageBreak/>
        <w:t>Critical Infrastructure Information Act of 2002. Pub. L. 107-296, codified at 6 U.S.C. 131 </w:t>
      </w:r>
      <w:r w:rsidRPr="00EF6C8D">
        <w:rPr>
          <w:rFonts w:eastAsia="Times New Roman" w:cstheme="minorHAnsi"/>
          <w:i/>
          <w:iCs/>
          <w:bdr w:val="none" w:sz="0" w:space="0" w:color="auto" w:frame="1"/>
        </w:rPr>
        <w:t>et seq</w:t>
      </w:r>
      <w:r w:rsidRPr="00EF6C8D">
        <w:rPr>
          <w:rFonts w:eastAsia="Times New Roman" w:cstheme="minorHAnsi"/>
        </w:rPr>
        <w:t>. Available at </w:t>
      </w:r>
      <w:hyperlink r:id="rId75" w:tgtFrame="_blank" w:tooltip="http://www.dhs.gov/sites/default/files/publications/CII-Act-508.pdf" w:history="1">
        <w:r w:rsidRPr="00EF6C8D">
          <w:rPr>
            <w:rFonts w:eastAsia="Times New Roman" w:cstheme="minorHAnsi"/>
            <w:color w:val="0F88B8"/>
            <w:u w:val="single"/>
            <w:bdr w:val="none" w:sz="0" w:space="0" w:color="auto" w:frame="1"/>
          </w:rPr>
          <w:t>http://www.dhs.gov/sites/default/files/publications/CII-Act-508.pdf</w:t>
        </w:r>
      </w:hyperlink>
      <w:r w:rsidRPr="00EF6C8D">
        <w:rPr>
          <w:rFonts w:eastAsia="Times New Roman" w:cstheme="minorHAnsi"/>
          <w:color w:val="737373"/>
        </w:rPr>
        <w:t>.</w:t>
      </w:r>
    </w:p>
    <w:p w14:paraId="53BE2A85"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2296D47B" w14:textId="1D6C030F"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Offices/Programs/Activities</w:t>
      </w:r>
    </w:p>
    <w:p w14:paraId="0F624209"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Homeland Security. "Protected Critical Infrastructure Information (PCII) Program." Available at </w:t>
      </w:r>
      <w:hyperlink r:id="rId76" w:tgtFrame="_blank" w:tooltip="http://www.dhs.gov/protected-critical-infrastructure-information-pcii-program" w:history="1">
        <w:r w:rsidRPr="00EF6C8D">
          <w:rPr>
            <w:rFonts w:eastAsia="Times New Roman" w:cstheme="minorHAnsi"/>
            <w:color w:val="0F88B8"/>
            <w:u w:val="single"/>
            <w:bdr w:val="none" w:sz="0" w:space="0" w:color="auto" w:frame="1"/>
          </w:rPr>
          <w:t>http://www.dhs.gov/protected-critical-infrastructure-information-pcii-program</w:t>
        </w:r>
      </w:hyperlink>
      <w:r w:rsidRPr="00EF6C8D">
        <w:rPr>
          <w:rFonts w:eastAsia="Times New Roman" w:cstheme="minorHAnsi"/>
          <w:color w:val="737373"/>
        </w:rPr>
        <w:t>.</w:t>
      </w:r>
    </w:p>
    <w:p w14:paraId="478C1475"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63F9A764"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De-Identification</w:t>
      </w:r>
    </w:p>
    <w:p w14:paraId="7B978DD4"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w:t>
      </w:r>
      <w:r w:rsidRPr="00EF6C8D">
        <w:rPr>
          <w:rFonts w:eastAsia="Times New Roman" w:cstheme="minorHAnsi"/>
          <w:color w:val="737373"/>
        </w:rPr>
        <w:t>"</w:t>
      </w:r>
      <w:hyperlink r:id="rId77" w:anchor="HIPAA" w:history="1">
        <w:r w:rsidRPr="00EF6C8D">
          <w:rPr>
            <w:rFonts w:eastAsia="Times New Roman" w:cstheme="minorHAnsi"/>
            <w:i/>
            <w:iCs/>
            <w:color w:val="0F88B8"/>
            <w:u w:val="single"/>
            <w:bdr w:val="none" w:sz="0" w:space="0" w:color="auto" w:frame="1"/>
          </w:rPr>
          <w:t>Health Insurance Portability and Accountability Act (HIPAA)</w:t>
        </w:r>
      </w:hyperlink>
      <w:r w:rsidRPr="00EF6C8D">
        <w:rPr>
          <w:rFonts w:eastAsia="Times New Roman" w:cstheme="minorHAnsi"/>
          <w:color w:val="737373"/>
        </w:rPr>
        <w:t>"</w:t>
      </w:r>
    </w:p>
    <w:p w14:paraId="0028EA71"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 </w:t>
      </w:r>
    </w:p>
    <w:p w14:paraId="3CB69E3C"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Duty to Warn</w:t>
      </w:r>
    </w:p>
    <w:p w14:paraId="44E12B94"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w:t>
      </w:r>
      <w:r w:rsidRPr="00EF6C8D">
        <w:rPr>
          <w:rFonts w:eastAsia="Times New Roman" w:cstheme="minorHAnsi"/>
          <w:color w:val="737373"/>
        </w:rPr>
        <w:t>"</w:t>
      </w:r>
      <w:hyperlink r:id="rId78" w:anchor="Ethics" w:history="1">
        <w:r w:rsidRPr="00EF6C8D">
          <w:rPr>
            <w:rFonts w:eastAsia="Times New Roman" w:cstheme="minorHAnsi"/>
            <w:i/>
            <w:iCs/>
            <w:color w:val="0F88B8"/>
            <w:u w:val="single"/>
            <w:bdr w:val="none" w:sz="0" w:space="0" w:color="auto" w:frame="1"/>
          </w:rPr>
          <w:t>Ethics, Data Use, and Disclosure</w:t>
        </w:r>
      </w:hyperlink>
      <w:r w:rsidRPr="00EF6C8D">
        <w:rPr>
          <w:rFonts w:eastAsia="Times New Roman" w:cstheme="minorHAnsi"/>
          <w:color w:val="737373"/>
        </w:rPr>
        <w:t>"</w:t>
      </w:r>
    </w:p>
    <w:p w14:paraId="0D51B572"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 </w:t>
      </w:r>
    </w:p>
    <w:p w14:paraId="12AA8061"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Electronic Health Information</w:t>
      </w:r>
    </w:p>
    <w:p w14:paraId="4DD73F65"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320BB1ED" w14:textId="41720283"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Offices/Programs/Activities</w:t>
      </w:r>
    </w:p>
    <w:p w14:paraId="05B59CC7"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Office of National Coordinator for Health Information Technology Health Information Technology webpage. Available at </w:t>
      </w:r>
      <w:hyperlink r:id="rId79" w:tgtFrame="_blank" w:tooltip="http://www.healthit.gov/" w:history="1">
        <w:r w:rsidRPr="00EF6C8D">
          <w:rPr>
            <w:rFonts w:eastAsia="Times New Roman" w:cstheme="minorHAnsi"/>
            <w:color w:val="0F88B8"/>
            <w:u w:val="single"/>
            <w:bdr w:val="none" w:sz="0" w:space="0" w:color="auto" w:frame="1"/>
          </w:rPr>
          <w:t>http://www.healthit.gov/</w:t>
        </w:r>
      </w:hyperlink>
      <w:r w:rsidRPr="00EF6C8D">
        <w:rPr>
          <w:rFonts w:eastAsia="Times New Roman" w:cstheme="minorHAnsi"/>
          <w:color w:val="737373"/>
        </w:rPr>
        <w:t>.  </w:t>
      </w:r>
    </w:p>
    <w:p w14:paraId="23E6B9B4"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234C434E" w14:textId="55A7DD6E"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3FBEC5FA"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CDC. "Meaningful Use." Available at </w:t>
      </w:r>
      <w:hyperlink r:id="rId80" w:tgtFrame="_blank" w:tooltip="http://www.cdc.gov/ehrmeaningfuluse" w:history="1">
        <w:r w:rsidRPr="00EF6C8D">
          <w:rPr>
            <w:rFonts w:eastAsia="Times New Roman" w:cstheme="minorHAnsi"/>
            <w:color w:val="0F88B8"/>
            <w:u w:val="single"/>
            <w:bdr w:val="none" w:sz="0" w:space="0" w:color="auto" w:frame="1"/>
          </w:rPr>
          <w:t>http://www.cdc.gov/ehrmeaningfuluse</w:t>
        </w:r>
      </w:hyperlink>
      <w:r w:rsidRPr="00EF6C8D">
        <w:rPr>
          <w:rFonts w:eastAsia="Times New Roman" w:cstheme="minorHAnsi"/>
          <w:color w:val="737373"/>
        </w:rPr>
        <w:t>.</w:t>
      </w:r>
    </w:p>
    <w:p w14:paraId="69D61394" w14:textId="77777777" w:rsidR="00BC71D0" w:rsidRDefault="00BC71D0" w:rsidP="00E978DD">
      <w:pPr>
        <w:shd w:val="clear" w:color="auto" w:fill="FFFFFF"/>
        <w:spacing w:line="240" w:lineRule="atLeast"/>
        <w:textAlignment w:val="baseline"/>
        <w:rPr>
          <w:rFonts w:eastAsia="Times New Roman" w:cstheme="minorHAnsi"/>
        </w:rPr>
      </w:pPr>
    </w:p>
    <w:p w14:paraId="14BDDBF8" w14:textId="656EE1B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"Health Information Technology." Available at </w:t>
      </w:r>
      <w:hyperlink r:id="rId81" w:tgtFrame="_blank" w:tooltip="http://www.hhs.gov/ocr/privacy/hipaa/understanding/special/healthit/index.html" w:history="1">
        <w:r w:rsidRPr="00EF6C8D">
          <w:rPr>
            <w:rFonts w:eastAsia="Times New Roman" w:cstheme="minorHAnsi"/>
            <w:color w:val="0F88B8"/>
            <w:u w:val="single"/>
            <w:bdr w:val="none" w:sz="0" w:space="0" w:color="auto" w:frame="1"/>
          </w:rPr>
          <w:t>http://www.hhs.gov/ocr/privacy/hipaa/understanding/special/healthit/index.html</w:t>
        </w:r>
      </w:hyperlink>
      <w:r w:rsidRPr="00EF6C8D">
        <w:rPr>
          <w:rFonts w:eastAsia="Times New Roman" w:cstheme="minorHAnsi"/>
          <w:color w:val="737373"/>
        </w:rPr>
        <w:t>.</w:t>
      </w:r>
    </w:p>
    <w:p w14:paraId="7D2E7487" w14:textId="77777777" w:rsidR="00BC71D0" w:rsidRDefault="00BC71D0" w:rsidP="00E978DD">
      <w:pPr>
        <w:shd w:val="clear" w:color="auto" w:fill="FFFFFF"/>
        <w:spacing w:line="240" w:lineRule="atLeast"/>
        <w:textAlignment w:val="baseline"/>
        <w:rPr>
          <w:rFonts w:eastAsia="Times New Roman" w:cstheme="minorHAnsi"/>
        </w:rPr>
      </w:pPr>
    </w:p>
    <w:p w14:paraId="52AC6BE5" w14:textId="54B9F665"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Office of the National Coordinator for Health Information Technology. "What is meaningful use?" Available at </w:t>
      </w:r>
      <w:hyperlink r:id="rId82" w:tgtFrame="_blank" w:tooltip="http://www.healthit.gov/policy-researchers-implementers/meaningful-use" w:history="1">
        <w:r w:rsidRPr="00EF6C8D">
          <w:rPr>
            <w:rFonts w:eastAsia="Times New Roman" w:cstheme="minorHAnsi"/>
            <w:color w:val="0F88B8"/>
            <w:u w:val="single"/>
            <w:bdr w:val="none" w:sz="0" w:space="0" w:color="auto" w:frame="1"/>
          </w:rPr>
          <w:t>http://www.healthit.gov/policy-researchers-implementers/meaningful-use</w:t>
        </w:r>
      </w:hyperlink>
      <w:r w:rsidRPr="00EF6C8D">
        <w:rPr>
          <w:rFonts w:eastAsia="Times New Roman" w:cstheme="minorHAnsi"/>
          <w:color w:val="737373"/>
        </w:rPr>
        <w:t>.</w:t>
      </w:r>
    </w:p>
    <w:p w14:paraId="3BB40FE0"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05D1DC7F"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Employee Health Information</w:t>
      </w:r>
    </w:p>
    <w:p w14:paraId="5F0498A0"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See also </w:t>
      </w:r>
      <w:r w:rsidRPr="00EF6C8D">
        <w:rPr>
          <w:rFonts w:eastAsia="Times New Roman" w:cstheme="minorHAnsi"/>
          <w:i/>
          <w:iCs/>
          <w:color w:val="737373"/>
          <w:bdr w:val="none" w:sz="0" w:space="0" w:color="auto" w:frame="1"/>
        </w:rPr>
        <w:t>"</w:t>
      </w:r>
      <w:hyperlink r:id="rId83" w:anchor="ADA" w:history="1">
        <w:r w:rsidRPr="00EF6C8D">
          <w:rPr>
            <w:rFonts w:eastAsia="Times New Roman" w:cstheme="minorHAnsi"/>
            <w:i/>
            <w:iCs/>
            <w:color w:val="0F88B8"/>
            <w:u w:val="single"/>
            <w:bdr w:val="none" w:sz="0" w:space="0" w:color="auto" w:frame="1"/>
          </w:rPr>
          <w:t>Americans with Disabilities Act</w:t>
        </w:r>
      </w:hyperlink>
      <w:r w:rsidRPr="00EF6C8D">
        <w:rPr>
          <w:rFonts w:eastAsia="Times New Roman" w:cstheme="minorHAnsi"/>
          <w:i/>
          <w:iCs/>
          <w:color w:val="737373"/>
          <w:bdr w:val="none" w:sz="0" w:space="0" w:color="auto" w:frame="1"/>
        </w:rPr>
        <w:t>"</w:t>
      </w:r>
    </w:p>
    <w:p w14:paraId="04F991CB"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4E601D92" w14:textId="7A395833"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Resources</w:t>
      </w:r>
    </w:p>
    <w:p w14:paraId="585B5602"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HIPAA Collaborative of Wisconsin Privacy Taskforce. "Management of Employee Health Records Whitepaper." 2006. Available for download at </w:t>
      </w:r>
      <w:hyperlink r:id="rId84" w:tgtFrame="_blank" w:tooltip="http://hipaacow.org/wp-content/uploads/2013/04/2013-Occupational-Health-Services-Whitepaper-4-15-13-FINAL.doc" w:history="1">
        <w:r w:rsidRPr="00EF6C8D">
          <w:rPr>
            <w:rFonts w:eastAsia="Times New Roman" w:cstheme="minorHAnsi"/>
            <w:color w:val="0F88B8"/>
            <w:u w:val="single"/>
            <w:bdr w:val="none" w:sz="0" w:space="0" w:color="auto" w:frame="1"/>
          </w:rPr>
          <w:t>http://hipaacow.org/wp-content/uploads/2013/04/2013-Occupational-Health-Services-Whitepaper-4-15-13-FINAL.doc</w:t>
        </w:r>
      </w:hyperlink>
      <w:r w:rsidRPr="00EF6C8D">
        <w:rPr>
          <w:rFonts w:eastAsia="Times New Roman" w:cstheme="minorHAnsi"/>
          <w:color w:val="737373"/>
        </w:rPr>
        <w:t>.  </w:t>
      </w:r>
    </w:p>
    <w:p w14:paraId="38E62688" w14:textId="77777777" w:rsidR="00BC71D0" w:rsidRDefault="00BC71D0" w:rsidP="00E978DD">
      <w:pPr>
        <w:shd w:val="clear" w:color="auto" w:fill="FFFFFF"/>
        <w:spacing w:line="240" w:lineRule="atLeast"/>
        <w:textAlignment w:val="baseline"/>
        <w:rPr>
          <w:rFonts w:eastAsia="Times New Roman" w:cstheme="minorHAnsi"/>
        </w:rPr>
      </w:pPr>
    </w:p>
    <w:p w14:paraId="42FF811D" w14:textId="755AD68F"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U.S. Equal Employment Opportunity Commission. "The ADA: Your Employment Rights as an Individual </w:t>
      </w:r>
      <w:proofErr w:type="gramStart"/>
      <w:r w:rsidRPr="00EF6C8D">
        <w:rPr>
          <w:rFonts w:eastAsia="Times New Roman" w:cstheme="minorHAnsi"/>
        </w:rPr>
        <w:t>With</w:t>
      </w:r>
      <w:proofErr w:type="gramEnd"/>
      <w:r w:rsidRPr="00EF6C8D">
        <w:rPr>
          <w:rFonts w:eastAsia="Times New Roman" w:cstheme="minorHAnsi"/>
        </w:rPr>
        <w:t xml:space="preserve"> a Disability." Available at </w:t>
      </w:r>
      <w:hyperlink r:id="rId85" w:tgtFrame="_blank" w:tooltip="http://www.eeoc.gov/facts/ada18.html" w:history="1">
        <w:r w:rsidRPr="00EF6C8D">
          <w:rPr>
            <w:rFonts w:eastAsia="Times New Roman" w:cstheme="minorHAnsi"/>
            <w:color w:val="0F88B8"/>
            <w:u w:val="single"/>
            <w:bdr w:val="none" w:sz="0" w:space="0" w:color="auto" w:frame="1"/>
          </w:rPr>
          <w:t>http://www.eeoc.gov/facts/ada18.html</w:t>
        </w:r>
      </w:hyperlink>
      <w:r w:rsidRPr="00EF6C8D">
        <w:rPr>
          <w:rFonts w:eastAsia="Times New Roman" w:cstheme="minorHAnsi"/>
          <w:color w:val="737373"/>
          <w:u w:val="single"/>
          <w:bdr w:val="none" w:sz="0" w:space="0" w:color="auto" w:frame="1"/>
        </w:rPr>
        <w:t>.</w:t>
      </w:r>
    </w:p>
    <w:p w14:paraId="5F090F13"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79942810"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Ethics, Data Use, and Disclosure</w:t>
      </w:r>
    </w:p>
    <w:p w14:paraId="43D1D7B0"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Resources</w:t>
      </w:r>
    </w:p>
    <w:p w14:paraId="644C47BD"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Fairchild, A., </w:t>
      </w:r>
      <w:r w:rsidRPr="00EF6C8D">
        <w:rPr>
          <w:rFonts w:eastAsia="Times New Roman" w:cstheme="minorHAnsi"/>
          <w:i/>
          <w:iCs/>
          <w:bdr w:val="none" w:sz="0" w:space="0" w:color="auto" w:frame="1"/>
        </w:rPr>
        <w:t>et al</w:t>
      </w:r>
      <w:r w:rsidRPr="00EF6C8D">
        <w:rPr>
          <w:rFonts w:eastAsia="Times New Roman" w:cstheme="minorHAnsi"/>
        </w:rPr>
        <w:t>. "Public Goods, Private Data: HIV and the History, Ethics, and Uses of Identifiable Public Health Information." Public Health Rep. 2007; 122(Suppl 1): 7-15. Available at </w:t>
      </w:r>
      <w:hyperlink r:id="rId86" w:tgtFrame="_blank" w:tooltip="http://www.ncbi.nlm.nih.gov/pmc/articles/PMC1804110" w:history="1">
        <w:r w:rsidRPr="00EF6C8D">
          <w:rPr>
            <w:rFonts w:eastAsia="Times New Roman" w:cstheme="minorHAnsi"/>
            <w:color w:val="0F88B8"/>
            <w:u w:val="single"/>
            <w:bdr w:val="none" w:sz="0" w:space="0" w:color="auto" w:frame="1"/>
          </w:rPr>
          <w:t>http://www.ncbi.nlm.nih.gov/pmc/articles/PMC1804110</w:t>
        </w:r>
      </w:hyperlink>
      <w:r w:rsidRPr="00EF6C8D">
        <w:rPr>
          <w:rFonts w:eastAsia="Times New Roman" w:cstheme="minorHAnsi"/>
          <w:color w:val="737373"/>
        </w:rPr>
        <w:t>.</w:t>
      </w:r>
    </w:p>
    <w:p w14:paraId="5D68FE77"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1FF70F26"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lastRenderedPageBreak/>
        <w:t>Family Educational Rights and Privacy Act (FERPA)</w:t>
      </w:r>
    </w:p>
    <w:p w14:paraId="569DFCB2"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640CD834" w14:textId="70610F89"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Public Law, Statute and Regulations</w:t>
      </w:r>
    </w:p>
    <w:p w14:paraId="5BCF33F5"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Family Educational Rights and Privacy Act. Pub. L. 93-380, as amended. Codified at 20 U.S.C. § 1232g. Available at </w:t>
      </w:r>
      <w:hyperlink r:id="rId87" w:tgtFrame="_blank" w:tooltip="http://www.gpo.gov/fdsys/pkg/USCODE-2009-title20/pdf/USCODE-2009-title20-chap31-subchapIII-part4-sec1232g.pdf" w:history="1">
        <w:r w:rsidRPr="00EF6C8D">
          <w:rPr>
            <w:rFonts w:eastAsia="Times New Roman" w:cstheme="minorHAnsi"/>
            <w:color w:val="0F88B8"/>
            <w:u w:val="single"/>
            <w:bdr w:val="none" w:sz="0" w:space="0" w:color="auto" w:frame="1"/>
          </w:rPr>
          <w:t>http://www.gpo.gov/fdsys/pkg/USCODE-2009-title20/pdf/USCODE-2009-title20-chap31-subchapIII-part4-sec1232g.pdf</w:t>
        </w:r>
      </w:hyperlink>
      <w:r w:rsidRPr="00EF6C8D">
        <w:rPr>
          <w:rFonts w:eastAsia="Times New Roman" w:cstheme="minorHAnsi"/>
          <w:color w:val="737373"/>
        </w:rPr>
        <w:t>.</w:t>
      </w:r>
    </w:p>
    <w:p w14:paraId="7F48B29A" w14:textId="77777777" w:rsidR="00BC71D0" w:rsidRDefault="00BC71D0" w:rsidP="00E978DD">
      <w:pPr>
        <w:shd w:val="clear" w:color="auto" w:fill="FFFFFF"/>
        <w:spacing w:line="240" w:lineRule="atLeast"/>
        <w:textAlignment w:val="baseline"/>
        <w:rPr>
          <w:rFonts w:eastAsia="Times New Roman" w:cstheme="minorHAnsi"/>
        </w:rPr>
      </w:pPr>
    </w:p>
    <w:p w14:paraId="37091B84" w14:textId="05F4114F"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Family Educational Rights and Privacy Act Regulations. 34 C.F.R. Part 99. Available at </w:t>
      </w:r>
      <w:hyperlink r:id="rId88" w:tgtFrame="_blank" w:tooltip="http://www.ecfr.gov/cgi-bin/text-idx?c=ecfr&amp;amp;SID=e6995dd27bbb4145f812c2db6cf0198f&amp;amp;tpl=/ecfrbrowse/Title34/34cfr99_main_02.tpl" w:history="1">
        <w:r w:rsidRPr="00EF6C8D">
          <w:rPr>
            <w:rFonts w:eastAsia="Times New Roman" w:cstheme="minorHAnsi"/>
            <w:color w:val="0F88B8"/>
            <w:u w:val="single"/>
            <w:bdr w:val="none" w:sz="0" w:space="0" w:color="auto" w:frame="1"/>
          </w:rPr>
          <w:t>http://www.ecfr.gov/cgi-bin/text-idx?c=ecfr&amp;SID=e6995dd27bbb4145f812c2db6cf0198f&amp;tpl=/ecfrbrowse/Title34/34cfr99_main_02.tpl</w:t>
        </w:r>
      </w:hyperlink>
      <w:r w:rsidRPr="00EF6C8D">
        <w:rPr>
          <w:rFonts w:eastAsia="Times New Roman" w:cstheme="minorHAnsi"/>
          <w:color w:val="737373"/>
        </w:rPr>
        <w:t>.</w:t>
      </w:r>
    </w:p>
    <w:p w14:paraId="39F45CF3" w14:textId="77777777" w:rsidR="00BC71D0" w:rsidRDefault="00BC71D0" w:rsidP="00E978DD">
      <w:pPr>
        <w:shd w:val="clear" w:color="auto" w:fill="FFFFFF"/>
        <w:spacing w:line="240" w:lineRule="atLeast"/>
        <w:textAlignment w:val="baseline"/>
        <w:rPr>
          <w:rFonts w:eastAsia="Times New Roman" w:cstheme="minorHAnsi"/>
        </w:rPr>
      </w:pPr>
    </w:p>
    <w:p w14:paraId="737164CD" w14:textId="22F8B2E9"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Education. "Family Educational Rights and Privacy." 76 F.R. 75604. Dec. 2, 2011. Available at </w:t>
      </w:r>
      <w:hyperlink r:id="rId89" w:tgtFrame="_blank" w:tooltip="www.gpo.gov/fdsys/pkg/FR-2011-12-02/pdf/2011-30683.pdf" w:history="1">
        <w:r w:rsidRPr="00EF6C8D">
          <w:rPr>
            <w:rFonts w:eastAsia="Times New Roman" w:cstheme="minorHAnsi"/>
            <w:color w:val="0F88B8"/>
            <w:u w:val="single"/>
            <w:bdr w:val="none" w:sz="0" w:space="0" w:color="auto" w:frame="1"/>
          </w:rPr>
          <w:t>www.gpo.gov/fdsys/pkg/FR-2011-12-02/pdf/2011-30683.pdf</w:t>
        </w:r>
      </w:hyperlink>
      <w:r w:rsidRPr="00EF6C8D">
        <w:rPr>
          <w:rFonts w:eastAsia="Times New Roman" w:cstheme="minorHAnsi"/>
          <w:color w:val="737373"/>
        </w:rPr>
        <w:t>.</w:t>
      </w:r>
    </w:p>
    <w:p w14:paraId="5A780DD1"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6035021C" w14:textId="6E9EBAFA"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Guidance Documents</w:t>
      </w:r>
    </w:p>
    <w:p w14:paraId="6C9ECCE7"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and U.S. Department of Education. "Joint Guidance on the Application of the Family Educational Rights and Privacy Act and the Health Insurance Portability and Accountability Act of 1996 to Student Health Records." November 2008. Available at </w:t>
      </w:r>
      <w:hyperlink r:id="rId90" w:tgtFrame="_blank" w:tooltip="http://www2.ed.gov/policy/gen/guid/fpco/doc/ferpa-hipaa-guidance.pdf" w:history="1">
        <w:r w:rsidRPr="00EF6C8D">
          <w:rPr>
            <w:rFonts w:eastAsia="Times New Roman" w:cstheme="minorHAnsi"/>
            <w:color w:val="0F88B8"/>
            <w:u w:val="single"/>
            <w:bdr w:val="none" w:sz="0" w:space="0" w:color="auto" w:frame="1"/>
          </w:rPr>
          <w:t>http://www2.ed.gov/policy/gen/guid/fpco/doc/ferpa-hipaa-guidance.pdf</w:t>
        </w:r>
      </w:hyperlink>
      <w:r w:rsidRPr="00EF6C8D">
        <w:rPr>
          <w:rFonts w:eastAsia="Times New Roman" w:cstheme="minorHAnsi"/>
          <w:color w:val="737373"/>
        </w:rPr>
        <w:t>. </w:t>
      </w:r>
    </w:p>
    <w:p w14:paraId="67D46975"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2327A6DE" w14:textId="4AB6F4A6"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Offices/Programs/Activities</w:t>
      </w:r>
    </w:p>
    <w:p w14:paraId="43394A52"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Education. "Family Educational Rights and Privacy Act (FERPA)." Available at </w:t>
      </w:r>
      <w:hyperlink r:id="rId91" w:tgtFrame="_blank" w:tooltip="http://www2.ed.gov/policy/gen/guid/fpco/ferpa/index.html" w:history="1">
        <w:r w:rsidRPr="00EF6C8D">
          <w:rPr>
            <w:rFonts w:eastAsia="Times New Roman" w:cstheme="minorHAnsi"/>
            <w:color w:val="0F88B8"/>
            <w:u w:val="single"/>
            <w:bdr w:val="none" w:sz="0" w:space="0" w:color="auto" w:frame="1"/>
          </w:rPr>
          <w:t>http://www2.ed.gov/policy/gen/guid/fpco/ferpa/index.html</w:t>
        </w:r>
      </w:hyperlink>
      <w:r w:rsidRPr="00EF6C8D">
        <w:rPr>
          <w:rFonts w:eastAsia="Times New Roman" w:cstheme="minorHAnsi"/>
          <w:color w:val="737373"/>
        </w:rPr>
        <w:t>.</w:t>
      </w:r>
    </w:p>
    <w:p w14:paraId="27373E6B"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07E5040F" w14:textId="5ADE8F95"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77D965DF"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Education. "Family Educational Rights and Privacy Act and H1N1." October 2009. Available at </w:t>
      </w:r>
      <w:hyperlink r:id="rId92" w:tgtFrame="_blank" w:tooltip="http://www2.ed.gov/policy/gen/guid/fpco/pdf/ferpa-h1n1.pdf" w:history="1">
        <w:r w:rsidRPr="00EF6C8D">
          <w:rPr>
            <w:rFonts w:eastAsia="Times New Roman" w:cstheme="minorHAnsi"/>
            <w:color w:val="0F88B8"/>
            <w:u w:val="single"/>
            <w:bdr w:val="none" w:sz="0" w:space="0" w:color="auto" w:frame="1"/>
          </w:rPr>
          <w:t>http://www2.ed.gov/policy/gen/guid/fpco/pdf/ferpa-h1n1.pdf</w:t>
        </w:r>
      </w:hyperlink>
      <w:r w:rsidRPr="00EF6C8D">
        <w:rPr>
          <w:rFonts w:eastAsia="Times New Roman" w:cstheme="minorHAnsi"/>
          <w:color w:val="737373"/>
        </w:rPr>
        <w:t>.</w:t>
      </w:r>
    </w:p>
    <w:p w14:paraId="0E9516A0" w14:textId="77777777" w:rsidR="00BC71D0" w:rsidRDefault="00BC71D0" w:rsidP="00E978DD">
      <w:pPr>
        <w:shd w:val="clear" w:color="auto" w:fill="FFFFFF"/>
        <w:spacing w:line="240" w:lineRule="atLeast"/>
        <w:textAlignment w:val="baseline"/>
        <w:rPr>
          <w:rFonts w:eastAsia="Times New Roman" w:cstheme="minorHAnsi"/>
        </w:rPr>
      </w:pPr>
    </w:p>
    <w:p w14:paraId="6A262594" w14:textId="0D6248F2"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Education. "Family Educational Rights and Privacy Act (FERPA) and the Disclosure of Student Information Related to Emergencies and Disasters." June 2010. Available at</w:t>
      </w:r>
      <w:r w:rsidRPr="00EF6C8D">
        <w:rPr>
          <w:rFonts w:eastAsia="Times New Roman" w:cstheme="minorHAnsi"/>
          <w:color w:val="737373"/>
        </w:rPr>
        <w:t> </w:t>
      </w:r>
      <w:hyperlink r:id="rId93" w:tgtFrame="_blank" w:tooltip="http://www2.ed.gov/policy/gen/guid/fpco/pdf/ferpa-disaster-guidance.pdf" w:history="1">
        <w:r w:rsidRPr="00EF6C8D">
          <w:rPr>
            <w:rFonts w:eastAsia="Times New Roman" w:cstheme="minorHAnsi"/>
            <w:color w:val="0F88B8"/>
            <w:u w:val="single"/>
            <w:bdr w:val="none" w:sz="0" w:space="0" w:color="auto" w:frame="1"/>
          </w:rPr>
          <w:t>http://www2.ed.gov/policy/gen/guid/fpco/pdf/ferpa-disaster-guidance.pdf</w:t>
        </w:r>
      </w:hyperlink>
      <w:r w:rsidRPr="00EF6C8D">
        <w:rPr>
          <w:rFonts w:eastAsia="Times New Roman" w:cstheme="minorHAnsi"/>
          <w:color w:val="737373"/>
        </w:rPr>
        <w:t>.</w:t>
      </w:r>
    </w:p>
    <w:p w14:paraId="5A84A12E" w14:textId="77777777" w:rsidR="00BC71D0" w:rsidRDefault="00BC71D0" w:rsidP="00E978DD">
      <w:pPr>
        <w:shd w:val="clear" w:color="auto" w:fill="FFFFFF"/>
        <w:spacing w:line="240" w:lineRule="atLeast"/>
        <w:textAlignment w:val="baseline"/>
        <w:rPr>
          <w:rFonts w:eastAsia="Times New Roman" w:cstheme="minorHAnsi"/>
        </w:rPr>
      </w:pPr>
    </w:p>
    <w:p w14:paraId="547C8B7C" w14:textId="0891C023"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Education, Family Policy Compliance Office. "Letter of Technical Assistance to the Regents of the University of California." Sept. 17, 1999. Available at </w:t>
      </w:r>
      <w:hyperlink r:id="rId94" w:tgtFrame="_blank" w:tooltip="http://www2.ed.gov/policy/gen/guid/fpco/ferpa/library/oakland_ca.html" w:history="1">
        <w:r w:rsidRPr="00EF6C8D">
          <w:rPr>
            <w:rFonts w:eastAsia="Times New Roman" w:cstheme="minorHAnsi"/>
            <w:color w:val="0F88B8"/>
            <w:u w:val="single"/>
            <w:bdr w:val="none" w:sz="0" w:space="0" w:color="auto" w:frame="1"/>
          </w:rPr>
          <w:t>http://www2.ed.gov/policy/gen/guid/fpco/ferpa/library/oakland_ca.html</w:t>
        </w:r>
      </w:hyperlink>
      <w:r w:rsidRPr="00EF6C8D">
        <w:rPr>
          <w:rFonts w:eastAsia="Times New Roman" w:cstheme="minorHAnsi"/>
          <w:color w:val="737373"/>
        </w:rPr>
        <w:t>. </w:t>
      </w:r>
    </w:p>
    <w:p w14:paraId="7EB1BD2A" w14:textId="77777777" w:rsidR="00BC71D0" w:rsidRDefault="00BC71D0" w:rsidP="00E978DD">
      <w:pPr>
        <w:shd w:val="clear" w:color="auto" w:fill="FFFFFF"/>
        <w:spacing w:line="240" w:lineRule="atLeast"/>
        <w:textAlignment w:val="baseline"/>
        <w:rPr>
          <w:rFonts w:eastAsia="Times New Roman" w:cstheme="minorHAnsi"/>
        </w:rPr>
      </w:pPr>
    </w:p>
    <w:p w14:paraId="49000364" w14:textId="2D2850D5"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Education, Family Policy Compliance Office. "Letter to Grossmont-Cuyamaca Community College District (CA) re: Potential Conflict with State Law." Jan. 16, 2004. Available at </w:t>
      </w:r>
      <w:hyperlink r:id="rId95" w:tgtFrame="_blank" w:tooltip="http://www2.ed.gov/policy/gen/guid/fpco/ferpa/library/suarezconflict.html" w:history="1">
        <w:r w:rsidRPr="00EF6C8D">
          <w:rPr>
            <w:rFonts w:eastAsia="Times New Roman" w:cstheme="minorHAnsi"/>
            <w:color w:val="0F88B8"/>
            <w:u w:val="single"/>
            <w:bdr w:val="none" w:sz="0" w:space="0" w:color="auto" w:frame="1"/>
          </w:rPr>
          <w:t>http://www2.ed.gov/policy/gen/guid/fpco/ferpa/library/suarezconflict.html</w:t>
        </w:r>
      </w:hyperlink>
      <w:r w:rsidRPr="00EF6C8D">
        <w:rPr>
          <w:rFonts w:eastAsia="Times New Roman" w:cstheme="minorHAnsi"/>
          <w:color w:val="737373"/>
        </w:rPr>
        <w:t>. </w:t>
      </w:r>
    </w:p>
    <w:p w14:paraId="005C8705" w14:textId="77777777" w:rsidR="00BC71D0" w:rsidRDefault="00BC71D0" w:rsidP="00E978DD">
      <w:pPr>
        <w:shd w:val="clear" w:color="auto" w:fill="FFFFFF"/>
        <w:spacing w:line="240" w:lineRule="atLeast"/>
        <w:textAlignment w:val="baseline"/>
        <w:rPr>
          <w:rFonts w:eastAsia="Times New Roman" w:cstheme="minorHAnsi"/>
        </w:rPr>
      </w:pPr>
    </w:p>
    <w:p w14:paraId="208EEA06" w14:textId="03B2E089"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Education, Family Policy Compliance Office. "Letter to University of New Mexico re: Applicability of FERPA to Health and Other State Reporting Requirements." Nov. 29, 2004. Available at </w:t>
      </w:r>
      <w:hyperlink r:id="rId96" w:tgtFrame="_blank" w:tooltip="http://www2.ed.gov/policy/gen/guid/fpco/ferpa/library/baiseunmslc.html" w:history="1">
        <w:r w:rsidRPr="00EF6C8D">
          <w:rPr>
            <w:rFonts w:eastAsia="Times New Roman" w:cstheme="minorHAnsi"/>
            <w:color w:val="0F88B8"/>
            <w:u w:val="single"/>
            <w:bdr w:val="none" w:sz="0" w:space="0" w:color="auto" w:frame="1"/>
          </w:rPr>
          <w:t>http://www2.ed.gov/policy/gen/guid/fpco/ferpa/library/baiseunmslc.html</w:t>
        </w:r>
      </w:hyperlink>
      <w:r w:rsidRPr="00EF6C8D">
        <w:rPr>
          <w:rFonts w:eastAsia="Times New Roman" w:cstheme="minorHAnsi"/>
          <w:color w:val="737373"/>
        </w:rPr>
        <w:t>. </w:t>
      </w:r>
    </w:p>
    <w:p w14:paraId="25B4A1BA"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1DAD233B"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Forensic Epidemiology</w:t>
      </w:r>
    </w:p>
    <w:p w14:paraId="162D4CED"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w:t>
      </w:r>
      <w:r w:rsidRPr="00EF6C8D">
        <w:rPr>
          <w:rFonts w:eastAsia="Times New Roman" w:cstheme="minorHAnsi"/>
          <w:color w:val="737373"/>
        </w:rPr>
        <w:t>"</w:t>
      </w:r>
      <w:hyperlink r:id="rId97" w:anchor="Law-Enforcement" w:history="1">
        <w:r w:rsidRPr="00EF6C8D">
          <w:rPr>
            <w:rFonts w:eastAsia="Times New Roman" w:cstheme="minorHAnsi"/>
            <w:i/>
            <w:iCs/>
            <w:color w:val="0F88B8"/>
            <w:u w:val="single"/>
            <w:bdr w:val="none" w:sz="0" w:space="0" w:color="auto" w:frame="1"/>
          </w:rPr>
          <w:t>Law Enforcement</w:t>
        </w:r>
      </w:hyperlink>
      <w:r w:rsidRPr="00EF6C8D">
        <w:rPr>
          <w:rFonts w:eastAsia="Times New Roman" w:cstheme="minorHAnsi"/>
          <w:color w:val="737373"/>
        </w:rPr>
        <w:t>"</w:t>
      </w:r>
    </w:p>
    <w:p w14:paraId="62ECE64E"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354C1FBE"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lastRenderedPageBreak/>
        <w:t>Fourth Amendment</w:t>
      </w:r>
    </w:p>
    <w:p w14:paraId="446A9AF5"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98" w:anchor="Law-Enforcement" w:history="1">
        <w:r w:rsidRPr="00EF6C8D">
          <w:rPr>
            <w:rFonts w:eastAsia="Times New Roman" w:cstheme="minorHAnsi"/>
            <w:i/>
            <w:iCs/>
            <w:color w:val="0F88B8"/>
            <w:u w:val="single"/>
            <w:bdr w:val="none" w:sz="0" w:space="0" w:color="auto" w:frame="1"/>
          </w:rPr>
          <w:t>Law Enforcement</w:t>
        </w:r>
      </w:hyperlink>
      <w:r w:rsidRPr="00EF6C8D">
        <w:rPr>
          <w:rFonts w:eastAsia="Times New Roman" w:cstheme="minorHAnsi"/>
          <w:color w:val="737373"/>
        </w:rPr>
        <w:t>"</w:t>
      </w:r>
    </w:p>
    <w:p w14:paraId="3DE545DD"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48C7882A" w14:textId="78B47479"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Constitution</w:t>
      </w:r>
    </w:p>
    <w:p w14:paraId="29BF80F6"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United States Constitution. Text available at </w:t>
      </w:r>
      <w:hyperlink r:id="rId99" w:tgtFrame="_blank" w:tooltip="http://www.law.cornell.edu/constitution" w:history="1">
        <w:r w:rsidRPr="00EF6C8D">
          <w:rPr>
            <w:rFonts w:eastAsia="Times New Roman" w:cstheme="minorHAnsi"/>
            <w:color w:val="0F88B8"/>
            <w:u w:val="single"/>
            <w:bdr w:val="none" w:sz="0" w:space="0" w:color="auto" w:frame="1"/>
          </w:rPr>
          <w:t>http://www.law.cornell.edu/constitution</w:t>
        </w:r>
      </w:hyperlink>
      <w:r w:rsidRPr="00EF6C8D">
        <w:rPr>
          <w:rFonts w:eastAsia="Times New Roman" w:cstheme="minorHAnsi"/>
          <w:color w:val="737373"/>
        </w:rPr>
        <w:t>.</w:t>
      </w:r>
    </w:p>
    <w:p w14:paraId="224D078B"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32C31EB5" w14:textId="1FB5F38C"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Cases</w:t>
      </w:r>
    </w:p>
    <w:p w14:paraId="027DC838"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proofErr w:type="spellStart"/>
      <w:r w:rsidRPr="00EF6C8D">
        <w:rPr>
          <w:rFonts w:eastAsia="Times New Roman" w:cstheme="minorHAnsi"/>
          <w:i/>
          <w:iCs/>
          <w:bdr w:val="none" w:sz="0" w:space="0" w:color="auto" w:frame="1"/>
        </w:rPr>
        <w:t>Camara</w:t>
      </w:r>
      <w:proofErr w:type="spellEnd"/>
      <w:r w:rsidRPr="00EF6C8D">
        <w:rPr>
          <w:rFonts w:eastAsia="Times New Roman" w:cstheme="minorHAnsi"/>
          <w:i/>
          <w:iCs/>
          <w:bdr w:val="none" w:sz="0" w:space="0" w:color="auto" w:frame="1"/>
        </w:rPr>
        <w:t xml:space="preserve"> v. Municipal Court</w:t>
      </w:r>
      <w:r w:rsidRPr="00EF6C8D">
        <w:rPr>
          <w:rFonts w:eastAsia="Times New Roman" w:cstheme="minorHAnsi"/>
        </w:rPr>
        <w:t>, 387 U.S. 523 (1967). Available at </w:t>
      </w:r>
      <w:hyperlink r:id="rId100" w:tgtFrame="_blank" w:tooltip="http://caselaw.lp.findlaw.com/cgi-bin/getcase.pl?court=us&amp;amp;vol=387&amp;amp;invol=523" w:history="1">
        <w:r w:rsidRPr="00EF6C8D">
          <w:rPr>
            <w:rFonts w:eastAsia="Times New Roman" w:cstheme="minorHAnsi"/>
            <w:color w:val="0F88B8"/>
            <w:u w:val="single"/>
            <w:bdr w:val="none" w:sz="0" w:space="0" w:color="auto" w:frame="1"/>
          </w:rPr>
          <w:t>http://caselaw.lp.findlaw.com/cgi-bin/getcase.pl?court=us&amp;vol=387&amp;invol=523</w:t>
        </w:r>
      </w:hyperlink>
      <w:r w:rsidRPr="00EF6C8D">
        <w:rPr>
          <w:rFonts w:eastAsia="Times New Roman" w:cstheme="minorHAnsi"/>
          <w:color w:val="737373"/>
        </w:rPr>
        <w:t>.</w:t>
      </w:r>
    </w:p>
    <w:p w14:paraId="7B622ED3"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2E76C43E" w14:textId="0027367E"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i/>
          <w:iCs/>
          <w:bdr w:val="none" w:sz="0" w:space="0" w:color="auto" w:frame="1"/>
        </w:rPr>
        <w:t>Ferguson v. City of Charleston,</w:t>
      </w:r>
      <w:r w:rsidRPr="00EF6C8D">
        <w:rPr>
          <w:rFonts w:eastAsia="Times New Roman" w:cstheme="minorHAnsi"/>
        </w:rPr>
        <w:t> 532 U.S. 67 (2001). Available at </w:t>
      </w:r>
      <w:hyperlink r:id="rId101" w:tgtFrame="_blank" w:tooltip="http://caselaw.lp.findlaw.com/scripts/getcase.pl?court=us&amp;amp;vol=000&amp;amp;invol=99-936" w:history="1">
        <w:r w:rsidRPr="00EF6C8D">
          <w:rPr>
            <w:rFonts w:eastAsia="Times New Roman" w:cstheme="minorHAnsi"/>
            <w:color w:val="0F88B8"/>
            <w:u w:val="single"/>
            <w:bdr w:val="none" w:sz="0" w:space="0" w:color="auto" w:frame="1"/>
          </w:rPr>
          <w:t>http://caselaw.lp.findlaw.com/scripts/getcase.pl?court=us&amp;vol=000&amp;invol=99-936</w:t>
        </w:r>
      </w:hyperlink>
      <w:r w:rsidRPr="00EF6C8D">
        <w:rPr>
          <w:rFonts w:eastAsia="Times New Roman" w:cstheme="minorHAnsi"/>
          <w:color w:val="737373"/>
        </w:rPr>
        <w:t>.</w:t>
      </w:r>
    </w:p>
    <w:p w14:paraId="484AB109"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1D534556" w14:textId="00AB578F"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i/>
          <w:iCs/>
          <w:bdr w:val="none" w:sz="0" w:space="0" w:color="auto" w:frame="1"/>
        </w:rPr>
        <w:t>See v. City of Seattle</w:t>
      </w:r>
      <w:r w:rsidRPr="00EF6C8D">
        <w:rPr>
          <w:rFonts w:eastAsia="Times New Roman" w:cstheme="minorHAnsi"/>
        </w:rPr>
        <w:t>, 387 U.S. 541 (1967). Available at </w:t>
      </w:r>
      <w:hyperlink r:id="rId102" w:tgtFrame="_blank" w:tooltip="http://caselaw.lp.findlaw.com/cgi-bin/getcase.pl?court=us&amp;amp;vol=387&amp;amp;invol=541" w:history="1">
        <w:r w:rsidRPr="00EF6C8D">
          <w:rPr>
            <w:rFonts w:eastAsia="Times New Roman" w:cstheme="minorHAnsi"/>
            <w:color w:val="0F88B8"/>
            <w:u w:val="single"/>
            <w:bdr w:val="none" w:sz="0" w:space="0" w:color="auto" w:frame="1"/>
          </w:rPr>
          <w:t>http://caselaw.lp.findlaw.com/cgi-bin/getcase.pl?court=us&amp;vol=387&amp;invol=541</w:t>
        </w:r>
      </w:hyperlink>
      <w:r w:rsidRPr="00EF6C8D">
        <w:rPr>
          <w:rFonts w:eastAsia="Times New Roman" w:cstheme="minorHAnsi"/>
          <w:color w:val="737373"/>
        </w:rPr>
        <w:t>.</w:t>
      </w:r>
    </w:p>
    <w:p w14:paraId="0223238B"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1E97B150" w14:textId="747686ED"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3C79FEF6"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Goodman, R. (ed.). "Chapter Six: Criminal Law and Public Health Practice." In: "Law in Public Health Practice," 2d edition. Oxford University Press.</w:t>
      </w:r>
    </w:p>
    <w:p w14:paraId="2F370659"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6CFB5C25"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Freedom of Information Laws</w:t>
      </w:r>
    </w:p>
    <w:p w14:paraId="020AF327"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Resources</w:t>
      </w:r>
    </w:p>
    <w:p w14:paraId="791ECE72"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Reporters Committee for Freedom of the Press. "Open Government Guide." Available at </w:t>
      </w:r>
      <w:hyperlink r:id="rId103" w:tgtFrame="_blank" w:tooltip="http://www.rcfp.org/open-government-guide" w:history="1">
        <w:r w:rsidRPr="00EF6C8D">
          <w:rPr>
            <w:rFonts w:eastAsia="Times New Roman" w:cstheme="minorHAnsi"/>
            <w:color w:val="0F88B8"/>
            <w:u w:val="single"/>
            <w:bdr w:val="none" w:sz="0" w:space="0" w:color="auto" w:frame="1"/>
          </w:rPr>
          <w:t>http://www.rcfp.org/open-government-guide</w:t>
        </w:r>
      </w:hyperlink>
      <w:r w:rsidRPr="00EF6C8D">
        <w:rPr>
          <w:rFonts w:eastAsia="Times New Roman" w:cstheme="minorHAnsi"/>
          <w:color w:val="737373"/>
        </w:rPr>
        <w:t>.</w:t>
      </w:r>
    </w:p>
    <w:p w14:paraId="2DE2DCDC"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733FAE9F"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Fusion Centers</w:t>
      </w:r>
    </w:p>
    <w:p w14:paraId="6D1B0DA2"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w:t>
      </w:r>
      <w:r w:rsidRPr="00EF6C8D">
        <w:rPr>
          <w:rFonts w:eastAsia="Times New Roman" w:cstheme="minorHAnsi"/>
          <w:color w:val="737373"/>
        </w:rPr>
        <w:t>"</w:t>
      </w:r>
      <w:hyperlink r:id="rId104" w:anchor="Information-Sharing" w:history="1">
        <w:r w:rsidRPr="00EF6C8D">
          <w:rPr>
            <w:rFonts w:eastAsia="Times New Roman" w:cstheme="minorHAnsi"/>
            <w:color w:val="0F88B8"/>
            <w:u w:val="single"/>
            <w:bdr w:val="none" w:sz="0" w:space="0" w:color="auto" w:frame="1"/>
          </w:rPr>
          <w:t>Information Sharing Environment</w:t>
        </w:r>
      </w:hyperlink>
      <w:r w:rsidRPr="00EF6C8D">
        <w:rPr>
          <w:rFonts w:eastAsia="Times New Roman" w:cstheme="minorHAnsi"/>
          <w:color w:val="737373"/>
        </w:rPr>
        <w:t>"</w:t>
      </w:r>
    </w:p>
    <w:p w14:paraId="41E6F411" w14:textId="77777777" w:rsidR="00E978DD" w:rsidRPr="00EF6C8D" w:rsidRDefault="00E978DD" w:rsidP="00E978DD">
      <w:pPr>
        <w:shd w:val="clear" w:color="auto" w:fill="FFFFFF"/>
        <w:spacing w:after="225" w:line="240" w:lineRule="atLeast"/>
        <w:textAlignment w:val="baseline"/>
        <w:rPr>
          <w:rFonts w:eastAsia="Times New Roman" w:cstheme="minorHAnsi"/>
          <w:color w:val="737373"/>
        </w:rPr>
      </w:pPr>
      <w:r w:rsidRPr="00EF6C8D">
        <w:rPr>
          <w:rFonts w:eastAsia="Times New Roman" w:cstheme="minorHAnsi"/>
          <w:color w:val="737373"/>
        </w:rPr>
        <w:t> </w:t>
      </w:r>
    </w:p>
    <w:p w14:paraId="542DFF86"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Health Information Technology for Economic and Clinical Health Act (HITECH)</w:t>
      </w:r>
    </w:p>
    <w:p w14:paraId="03B09F3C"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105" w:anchor="Electronic-Health" w:history="1">
        <w:r w:rsidRPr="00EF6C8D">
          <w:rPr>
            <w:rFonts w:eastAsia="Times New Roman" w:cstheme="minorHAnsi"/>
            <w:i/>
            <w:iCs/>
            <w:color w:val="0F88B8"/>
            <w:u w:val="single"/>
            <w:bdr w:val="none" w:sz="0" w:space="0" w:color="auto" w:frame="1"/>
          </w:rPr>
          <w:t>Electronic Health Information</w:t>
        </w:r>
      </w:hyperlink>
      <w:r w:rsidRPr="00EF6C8D">
        <w:rPr>
          <w:rFonts w:eastAsia="Times New Roman" w:cstheme="minorHAnsi"/>
          <w:color w:val="737373"/>
        </w:rPr>
        <w:t>"</w:t>
      </w:r>
    </w:p>
    <w:p w14:paraId="2BE3279E"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29D97553" w14:textId="19173F46"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Public Law, Statute and Regulations</w:t>
      </w:r>
    </w:p>
    <w:p w14:paraId="1676B14B"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Health Information Technology for Economic and Clinical Health Act (HITECH). Pub. L. 111-5, 42 U.S.C. 300jj </w:t>
      </w:r>
      <w:r w:rsidRPr="00EF6C8D">
        <w:rPr>
          <w:rFonts w:eastAsia="Times New Roman" w:cstheme="minorHAnsi"/>
          <w:i/>
          <w:iCs/>
          <w:bdr w:val="none" w:sz="0" w:space="0" w:color="auto" w:frame="1"/>
        </w:rPr>
        <w:t>et seq</w:t>
      </w:r>
      <w:r w:rsidRPr="00EF6C8D">
        <w:rPr>
          <w:rFonts w:eastAsia="Times New Roman" w:cstheme="minorHAnsi"/>
        </w:rPr>
        <w:t>.; 17901 </w:t>
      </w:r>
      <w:r w:rsidRPr="00EF6C8D">
        <w:rPr>
          <w:rFonts w:eastAsia="Times New Roman" w:cstheme="minorHAnsi"/>
          <w:i/>
          <w:iCs/>
          <w:bdr w:val="none" w:sz="0" w:space="0" w:color="auto" w:frame="1"/>
        </w:rPr>
        <w:t>et seq</w:t>
      </w:r>
      <w:r w:rsidRPr="00EF6C8D">
        <w:rPr>
          <w:rFonts w:eastAsia="Times New Roman" w:cstheme="minorHAnsi"/>
        </w:rPr>
        <w:t>. Available at</w:t>
      </w:r>
      <w:r w:rsidRPr="00EF6C8D">
        <w:rPr>
          <w:rFonts w:eastAsia="Times New Roman" w:cstheme="minorHAnsi"/>
          <w:color w:val="737373"/>
        </w:rPr>
        <w:t> </w:t>
      </w:r>
      <w:hyperlink r:id="rId106" w:tgtFrame="_blank" w:tooltip="http://www.hhs.gov/ocr/privacy/hipaa/understanding/coveredentities/hitechact.pdf" w:history="1">
        <w:r w:rsidRPr="00EF6C8D">
          <w:rPr>
            <w:rFonts w:eastAsia="Times New Roman" w:cstheme="minorHAnsi"/>
            <w:color w:val="0F88B8"/>
            <w:u w:val="single"/>
            <w:bdr w:val="none" w:sz="0" w:space="0" w:color="auto" w:frame="1"/>
          </w:rPr>
          <w:t>http://www.hhs.gov/ocr/privacy/hipaa/understanding/coveredentities/hitechact.pdf</w:t>
        </w:r>
      </w:hyperlink>
    </w:p>
    <w:p w14:paraId="20B2B793"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627C504D" w14:textId="447391F2"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562193CE"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"HITECH Act Rulemaking and Implementation Update." Available at </w:t>
      </w:r>
      <w:hyperlink r:id="rId107" w:tgtFrame="_blank" w:tooltip="http://www.hhs.gov/ocr/privacy/hipaa/understanding/coveredentities/hitechblurb.html" w:history="1">
        <w:r w:rsidRPr="00EF6C8D">
          <w:rPr>
            <w:rFonts w:eastAsia="Times New Roman" w:cstheme="minorHAnsi"/>
            <w:color w:val="0F88B8"/>
            <w:u w:val="single"/>
            <w:bdr w:val="none" w:sz="0" w:space="0" w:color="auto" w:frame="1"/>
          </w:rPr>
          <w:t>http://www.hhs.gov/ocr/privacy/hipaa/understanding/coveredentities/hitechblurb.html</w:t>
        </w:r>
      </w:hyperlink>
      <w:r w:rsidRPr="00EF6C8D">
        <w:rPr>
          <w:rFonts w:eastAsia="Times New Roman" w:cstheme="minorHAnsi"/>
          <w:color w:val="737373"/>
        </w:rPr>
        <w:t>.</w:t>
      </w:r>
    </w:p>
    <w:p w14:paraId="61302D03"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103BAA81"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Health Insurance Portability and Accountability Act (HIPAA)</w:t>
      </w:r>
    </w:p>
    <w:p w14:paraId="5C08C53E"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Public Law, Statute and Regulations</w:t>
      </w:r>
    </w:p>
    <w:p w14:paraId="5783C612"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lastRenderedPageBreak/>
        <w:t>Health Insurance Portability and Accountability Act of 1996. Pub. L. No. 104-191, codified at 42 U.S.C. §1320d </w:t>
      </w:r>
      <w:r w:rsidRPr="00EF6C8D">
        <w:rPr>
          <w:rFonts w:eastAsia="Times New Roman" w:cstheme="minorHAnsi"/>
          <w:i/>
          <w:iCs/>
          <w:bdr w:val="none" w:sz="0" w:space="0" w:color="auto" w:frame="1"/>
        </w:rPr>
        <w:t>et seq</w:t>
      </w:r>
      <w:r w:rsidRPr="00EF6C8D">
        <w:rPr>
          <w:rFonts w:eastAsia="Times New Roman" w:cstheme="minorHAnsi"/>
        </w:rPr>
        <w:t>. and §300gg; and 29 U.S.C §1181 </w:t>
      </w:r>
      <w:r w:rsidRPr="00EF6C8D">
        <w:rPr>
          <w:rFonts w:eastAsia="Times New Roman" w:cstheme="minorHAnsi"/>
          <w:i/>
          <w:iCs/>
          <w:bdr w:val="none" w:sz="0" w:space="0" w:color="auto" w:frame="1"/>
        </w:rPr>
        <w:t>et seq</w:t>
      </w:r>
      <w:r w:rsidRPr="00EF6C8D">
        <w:rPr>
          <w:rFonts w:eastAsia="Times New Roman" w:cstheme="minorHAnsi"/>
        </w:rPr>
        <w:t>. Available at</w:t>
      </w:r>
      <w:r w:rsidRPr="00EF6C8D">
        <w:rPr>
          <w:rFonts w:eastAsia="Times New Roman" w:cstheme="minorHAnsi"/>
          <w:color w:val="737373"/>
        </w:rPr>
        <w:t> </w:t>
      </w:r>
      <w:hyperlink r:id="rId108" w:tgtFrame="_blank" w:tooltip="http://frwebgate.access.gpo.gov/cgi-bin/getdoc.cgi?dbname=104_cong_public_laws&amp;amp;docid=f:publ191.104" w:history="1">
        <w:r w:rsidRPr="00EF6C8D">
          <w:rPr>
            <w:rFonts w:eastAsia="Times New Roman" w:cstheme="minorHAnsi"/>
            <w:color w:val="0F88B8"/>
            <w:u w:val="single"/>
            <w:bdr w:val="none" w:sz="0" w:space="0" w:color="auto" w:frame="1"/>
          </w:rPr>
          <w:t>http://frwebgate.access.gpo.gov/cgi-bin/getdoc.cgi?dbname=104_cong_public_laws&amp;docid=f:publ191.104</w:t>
        </w:r>
      </w:hyperlink>
      <w:r w:rsidRPr="00EF6C8D">
        <w:rPr>
          <w:rFonts w:eastAsia="Times New Roman" w:cstheme="minorHAnsi"/>
          <w:color w:val="737373"/>
        </w:rPr>
        <w:t>.</w:t>
      </w:r>
    </w:p>
    <w:p w14:paraId="467B5766" w14:textId="77777777" w:rsidR="00BC71D0" w:rsidRDefault="00BC71D0" w:rsidP="00E978DD">
      <w:pPr>
        <w:shd w:val="clear" w:color="auto" w:fill="FFFFFF"/>
        <w:spacing w:line="240" w:lineRule="atLeast"/>
        <w:textAlignment w:val="baseline"/>
        <w:rPr>
          <w:rFonts w:eastAsia="Times New Roman" w:cstheme="minorHAnsi"/>
        </w:rPr>
      </w:pPr>
    </w:p>
    <w:p w14:paraId="7552859D" w14:textId="033940E6"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Standards for Privacy of Individually Identifiable Health Information. 45 C.F.R. Parts 160 and 164 available at </w:t>
      </w:r>
      <w:hyperlink r:id="rId109" w:tgtFrame="_blank" w:tooltip="http://www.hhs.gov/ocr/privacy/hipaa/understanding/coveredentities/introduction.html" w:history="1">
        <w:r w:rsidRPr="00EF6C8D">
          <w:rPr>
            <w:rFonts w:eastAsia="Times New Roman" w:cstheme="minorHAnsi"/>
            <w:color w:val="0F88B8"/>
            <w:u w:val="single"/>
            <w:bdr w:val="none" w:sz="0" w:space="0" w:color="auto" w:frame="1"/>
          </w:rPr>
          <w:t>http://www.hhs.gov/ocr/privacy/hipaa/understanding/coveredentities/introduction.html</w:t>
        </w:r>
      </w:hyperlink>
      <w:r w:rsidRPr="00EF6C8D">
        <w:rPr>
          <w:rFonts w:eastAsia="Times New Roman" w:cstheme="minorHAnsi"/>
          <w:color w:val="737373"/>
        </w:rPr>
        <w:t>.</w:t>
      </w:r>
    </w:p>
    <w:p w14:paraId="71A835CD"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79DCD982" w14:textId="04D4C578"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Guidance Documents</w:t>
      </w:r>
    </w:p>
    <w:p w14:paraId="28914BA3"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"Guidance Regarding Methods for De-identification of Protected Health Information in Accordance with the Health Insurance Portability and Accountability Act (HIPAA) Privacy Rule." Available at </w:t>
      </w:r>
      <w:hyperlink r:id="rId110" w:tgtFrame="_blank" w:tooltip="http://www.hhs.gov/ocr/privacy/hipaa/understanding/coveredentities/De-identification/guidance.html" w:history="1">
        <w:r w:rsidRPr="00EF6C8D">
          <w:rPr>
            <w:rFonts w:eastAsia="Times New Roman" w:cstheme="minorHAnsi"/>
            <w:color w:val="0F88B8"/>
            <w:u w:val="single"/>
            <w:bdr w:val="none" w:sz="0" w:space="0" w:color="auto" w:frame="1"/>
          </w:rPr>
          <w:t>http://www.hhs.gov/ocr/privacy/hipaa/understanding/coveredentities/De-identification/guidance.html</w:t>
        </w:r>
      </w:hyperlink>
      <w:r w:rsidRPr="00EF6C8D">
        <w:rPr>
          <w:rFonts w:eastAsia="Times New Roman" w:cstheme="minorHAnsi"/>
          <w:color w:val="737373"/>
          <w:u w:val="single"/>
          <w:bdr w:val="none" w:sz="0" w:space="0" w:color="auto" w:frame="1"/>
        </w:rPr>
        <w:t>.</w:t>
      </w:r>
    </w:p>
    <w:p w14:paraId="6DFB7A0F" w14:textId="77777777" w:rsidR="00BC71D0" w:rsidRDefault="00BC71D0" w:rsidP="00E978DD">
      <w:pPr>
        <w:shd w:val="clear" w:color="auto" w:fill="FFFFFF"/>
        <w:spacing w:line="240" w:lineRule="atLeast"/>
        <w:textAlignment w:val="baseline"/>
        <w:rPr>
          <w:rFonts w:eastAsia="Times New Roman" w:cstheme="minorHAnsi"/>
        </w:rPr>
      </w:pPr>
    </w:p>
    <w:p w14:paraId="690F65FB" w14:textId="5D24F5ED"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"HIPAA Privacy Rule and Public Health: Guidance from CDC and the U.S. Department of Health and Human Services." April 11, 2003. Available at </w:t>
      </w:r>
      <w:hyperlink r:id="rId111" w:tgtFrame="_blank" w:tooltip="http://www.cdc.gov/mmwr/preview/mmwrhtml/m2e411a1.htm" w:history="1">
        <w:r w:rsidRPr="00EF6C8D">
          <w:rPr>
            <w:rFonts w:eastAsia="Times New Roman" w:cstheme="minorHAnsi"/>
            <w:color w:val="0F88B8"/>
            <w:u w:val="single"/>
            <w:bdr w:val="none" w:sz="0" w:space="0" w:color="auto" w:frame="1"/>
          </w:rPr>
          <w:t>http://www.cdc.gov/mmwr/preview/mmwrhtml/m2e411a1.htm</w:t>
        </w:r>
      </w:hyperlink>
      <w:r w:rsidRPr="00EF6C8D">
        <w:rPr>
          <w:rFonts w:eastAsia="Times New Roman" w:cstheme="minorHAnsi"/>
          <w:color w:val="737373"/>
        </w:rPr>
        <w:t>.</w:t>
      </w:r>
    </w:p>
    <w:p w14:paraId="39EB03BB" w14:textId="77777777" w:rsidR="00BC71D0" w:rsidRDefault="00BC71D0" w:rsidP="00E978DD">
      <w:pPr>
        <w:shd w:val="clear" w:color="auto" w:fill="FFFFFF"/>
        <w:spacing w:line="240" w:lineRule="atLeast"/>
        <w:textAlignment w:val="baseline"/>
        <w:rPr>
          <w:rFonts w:eastAsia="Times New Roman" w:cstheme="minorHAnsi"/>
        </w:rPr>
      </w:pPr>
    </w:p>
    <w:p w14:paraId="0EC8501D" w14:textId="6386800B"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and U.S. Department of Education. "Joint Guidance on the Application of the Family Educational Rights and Privacy Act and the Health Insurance Portability and Accountability Act of 1996 to Student Health Records." November 2008. Available at</w:t>
      </w:r>
      <w:r w:rsidRPr="00EF6C8D">
        <w:rPr>
          <w:rFonts w:eastAsia="Times New Roman" w:cstheme="minorHAnsi"/>
          <w:color w:val="737373"/>
        </w:rPr>
        <w:t> </w:t>
      </w:r>
      <w:hyperlink r:id="rId112" w:tgtFrame="_blank" w:tooltip="http://www2.ed.gov/policy/gen/guid/fpco/doc/ferpa-hipaa-guidance.pdf" w:history="1">
        <w:r w:rsidRPr="00EF6C8D">
          <w:rPr>
            <w:rFonts w:eastAsia="Times New Roman" w:cstheme="minorHAnsi"/>
            <w:color w:val="0F88B8"/>
            <w:u w:val="single"/>
            <w:bdr w:val="none" w:sz="0" w:space="0" w:color="auto" w:frame="1"/>
          </w:rPr>
          <w:t>http://www2.ed.gov/policy/gen/guid/fpco/doc/ferpa-hipaa-guidance.pdf</w:t>
        </w:r>
      </w:hyperlink>
      <w:r w:rsidRPr="00EF6C8D">
        <w:rPr>
          <w:rFonts w:eastAsia="Times New Roman" w:cstheme="minorHAnsi"/>
          <w:color w:val="737373"/>
        </w:rPr>
        <w:t>.</w:t>
      </w:r>
    </w:p>
    <w:p w14:paraId="432FEC36"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35B61AAA" w14:textId="07FAFFB1"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Summaries of Law, Statute, and Regulations</w:t>
      </w:r>
    </w:p>
    <w:p w14:paraId="2629B317"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"Summary of HIPAA Privacy Rule." Available at </w:t>
      </w:r>
      <w:hyperlink r:id="rId113" w:tgtFrame="_blank" w:tooltip="http://www.hhs.gov/ocr/privacy/hipaa/understanding/summary/index.html" w:history="1">
        <w:r w:rsidRPr="00EF6C8D">
          <w:rPr>
            <w:rFonts w:eastAsia="Times New Roman" w:cstheme="minorHAnsi"/>
            <w:color w:val="0F88B8"/>
            <w:u w:val="single"/>
            <w:bdr w:val="none" w:sz="0" w:space="0" w:color="auto" w:frame="1"/>
          </w:rPr>
          <w:t>http://www.hhs.gov/ocr/privacy/hipaa/understanding/summary/index.html</w:t>
        </w:r>
      </w:hyperlink>
      <w:r w:rsidRPr="00EF6C8D">
        <w:rPr>
          <w:rFonts w:eastAsia="Times New Roman" w:cstheme="minorHAnsi"/>
          <w:color w:val="737373"/>
        </w:rPr>
        <w:t>.</w:t>
      </w:r>
    </w:p>
    <w:p w14:paraId="448A0599"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28C85033" w14:textId="2085B553"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Offices/Programs/Activities</w:t>
      </w:r>
    </w:p>
    <w:p w14:paraId="27B97C03"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"Health Information Privacy." Available at </w:t>
      </w:r>
      <w:hyperlink r:id="rId114" w:tgtFrame="_blank" w:tooltip="http://www.hhs.gov/ocr/privacy/index.html" w:history="1">
        <w:r w:rsidRPr="00EF6C8D">
          <w:rPr>
            <w:rFonts w:eastAsia="Times New Roman" w:cstheme="minorHAnsi"/>
            <w:color w:val="0F88B8"/>
            <w:u w:val="single"/>
            <w:bdr w:val="none" w:sz="0" w:space="0" w:color="auto" w:frame="1"/>
          </w:rPr>
          <w:t>http://www.hhs.gov/ocr/privacy/index.html</w:t>
        </w:r>
      </w:hyperlink>
      <w:r w:rsidRPr="00EF6C8D">
        <w:rPr>
          <w:rFonts w:eastAsia="Times New Roman" w:cstheme="minorHAnsi"/>
          <w:color w:val="737373"/>
        </w:rPr>
        <w:t>.</w:t>
      </w:r>
    </w:p>
    <w:p w14:paraId="3608EC2D"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11D73D82" w14:textId="7E058D41"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095F6378"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proofErr w:type="spellStart"/>
      <w:r w:rsidRPr="00EF6C8D">
        <w:rPr>
          <w:rFonts w:eastAsia="Times New Roman" w:cstheme="minorHAnsi"/>
        </w:rPr>
        <w:t>Chaikind</w:t>
      </w:r>
      <w:proofErr w:type="spellEnd"/>
      <w:r w:rsidRPr="00EF6C8D">
        <w:rPr>
          <w:rFonts w:eastAsia="Times New Roman" w:cstheme="minorHAnsi"/>
        </w:rPr>
        <w:t xml:space="preserve"> H., </w:t>
      </w:r>
      <w:r w:rsidRPr="00EF6C8D">
        <w:rPr>
          <w:rFonts w:eastAsia="Times New Roman" w:cstheme="minorHAnsi"/>
          <w:i/>
          <w:iCs/>
          <w:bdr w:val="none" w:sz="0" w:space="0" w:color="auto" w:frame="1"/>
        </w:rPr>
        <w:t>et al</w:t>
      </w:r>
      <w:r w:rsidRPr="00EF6C8D">
        <w:rPr>
          <w:rFonts w:eastAsia="Times New Roman" w:cstheme="minorHAnsi"/>
        </w:rPr>
        <w:t>. "The Health Insurance Portability and Accountability Act (HIPAA) of 1996: Overview and Guidance on Frequently Asked Questions." Congressional Research Service. Jan. 24, 2005. Available at </w:t>
      </w:r>
      <w:hyperlink r:id="rId115" w:tgtFrame="_blank" w:tooltip="http://www.law.umaryland.edu/marshall/crsreports/crsdocuments/RL3163401242005.pdf" w:history="1">
        <w:r w:rsidRPr="00EF6C8D">
          <w:rPr>
            <w:rFonts w:eastAsia="Times New Roman" w:cstheme="minorHAnsi"/>
            <w:color w:val="0F88B8"/>
            <w:u w:val="single"/>
            <w:bdr w:val="none" w:sz="0" w:space="0" w:color="auto" w:frame="1"/>
          </w:rPr>
          <w:t>http://www.law.umaryland.edu/marshall/crsreports/crsdocuments/RL3163401242005.pdf</w:t>
        </w:r>
      </w:hyperlink>
      <w:r w:rsidRPr="00EF6C8D">
        <w:rPr>
          <w:rFonts w:eastAsia="Times New Roman" w:cstheme="minorHAnsi"/>
          <w:color w:val="737373"/>
        </w:rPr>
        <w:t>.</w:t>
      </w:r>
    </w:p>
    <w:p w14:paraId="70F9C75E" w14:textId="77777777" w:rsidR="00BC71D0" w:rsidRDefault="00BC71D0" w:rsidP="00E978DD">
      <w:pPr>
        <w:shd w:val="clear" w:color="auto" w:fill="FFFFFF"/>
        <w:spacing w:line="240" w:lineRule="atLeast"/>
        <w:textAlignment w:val="baseline"/>
        <w:rPr>
          <w:rFonts w:eastAsia="Times New Roman" w:cstheme="minorHAnsi"/>
        </w:rPr>
      </w:pPr>
    </w:p>
    <w:p w14:paraId="2B77B1C3" w14:textId="0F59540A"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Moore, J. "Disclosing Protected Health Information (PHI) to Law Enforcement: Guidelines for N.C. Local Health Departments." May 2013. Available at</w:t>
      </w:r>
      <w:r w:rsidRPr="00EF6C8D">
        <w:rPr>
          <w:rFonts w:eastAsia="Times New Roman" w:cstheme="minorHAnsi"/>
          <w:color w:val="737373"/>
        </w:rPr>
        <w:t> </w:t>
      </w:r>
      <w:hyperlink r:id="rId116" w:tgtFrame="_blank" w:tooltip="http://www.sog.unc.edu/sites/www.sog.unc.edu/files/additional_files/LE-May%202013.pdf" w:history="1">
        <w:r w:rsidRPr="00EF6C8D">
          <w:rPr>
            <w:rFonts w:eastAsia="Times New Roman" w:cstheme="minorHAnsi"/>
            <w:color w:val="0F88B8"/>
            <w:u w:val="single"/>
            <w:bdr w:val="none" w:sz="0" w:space="0" w:color="auto" w:frame="1"/>
          </w:rPr>
          <w:t>http://www.sog.unc.edu/sites/www.sog.unc.edu/files/additional_files/LE-May%202013.pdf</w:t>
        </w:r>
      </w:hyperlink>
      <w:r w:rsidRPr="00EF6C8D">
        <w:rPr>
          <w:rFonts w:eastAsia="Times New Roman" w:cstheme="minorHAnsi"/>
          <w:color w:val="737373"/>
        </w:rPr>
        <w:t>.</w:t>
      </w:r>
    </w:p>
    <w:p w14:paraId="09A8C036" w14:textId="77777777" w:rsidR="00BC71D0" w:rsidRDefault="00BC71D0" w:rsidP="00E978DD">
      <w:pPr>
        <w:shd w:val="clear" w:color="auto" w:fill="FFFFFF"/>
        <w:spacing w:line="240" w:lineRule="atLeast"/>
        <w:textAlignment w:val="baseline"/>
        <w:rPr>
          <w:rFonts w:eastAsia="Times New Roman" w:cstheme="minorHAnsi"/>
        </w:rPr>
      </w:pPr>
    </w:p>
    <w:p w14:paraId="29EB3E0A" w14:textId="396242C8"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"Disclosures for Emergency Preparedness - A Decision Tool." Available at: </w:t>
      </w:r>
      <w:hyperlink r:id="rId117" w:tgtFrame="_blank" w:tooltip="http://www.hhs.gov/ocr/privacy/hipaa/understanding/special/emergency/decisiontoolintro.html" w:history="1">
        <w:r w:rsidRPr="00EF6C8D">
          <w:rPr>
            <w:rFonts w:eastAsia="Times New Roman" w:cstheme="minorHAnsi"/>
            <w:color w:val="0F88B8"/>
            <w:u w:val="single"/>
            <w:bdr w:val="none" w:sz="0" w:space="0" w:color="auto" w:frame="1"/>
          </w:rPr>
          <w:t>http://www.hhs.gov/ocr/privacy/hipaa/understanding/special/emergency/decisiontoolintro.html</w:t>
        </w:r>
      </w:hyperlink>
      <w:r w:rsidRPr="00EF6C8D">
        <w:rPr>
          <w:rFonts w:eastAsia="Times New Roman" w:cstheme="minorHAnsi"/>
          <w:color w:val="737373"/>
        </w:rPr>
        <w:t>.</w:t>
      </w:r>
    </w:p>
    <w:p w14:paraId="72FC0984" w14:textId="77777777" w:rsidR="00BC71D0" w:rsidRDefault="00BC71D0" w:rsidP="00E978DD">
      <w:pPr>
        <w:shd w:val="clear" w:color="auto" w:fill="FFFFFF"/>
        <w:spacing w:line="240" w:lineRule="atLeast"/>
        <w:textAlignment w:val="baseline"/>
        <w:rPr>
          <w:rFonts w:eastAsia="Times New Roman" w:cstheme="minorHAnsi"/>
        </w:rPr>
      </w:pPr>
    </w:p>
    <w:p w14:paraId="40B7C1F3" w14:textId="29E28B05"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Frequently Asked Questions Database. Available at </w:t>
      </w:r>
      <w:hyperlink r:id="rId118" w:tgtFrame="_blank" w:tooltip="http://www.hhs.gov/ocr/privacy/hipaa/faq/index.html" w:history="1">
        <w:r w:rsidRPr="00EF6C8D">
          <w:rPr>
            <w:rFonts w:eastAsia="Times New Roman" w:cstheme="minorHAnsi"/>
            <w:color w:val="0F88B8"/>
            <w:u w:val="single"/>
            <w:bdr w:val="none" w:sz="0" w:space="0" w:color="auto" w:frame="1"/>
          </w:rPr>
          <w:t>http://www.hhs.gov/ocr/privacy/hipaa/faq/index.html</w:t>
        </w:r>
      </w:hyperlink>
      <w:r w:rsidRPr="00EF6C8D">
        <w:rPr>
          <w:rFonts w:eastAsia="Times New Roman" w:cstheme="minorHAnsi"/>
          <w:color w:val="737373"/>
        </w:rPr>
        <w:t>.</w:t>
      </w:r>
    </w:p>
    <w:p w14:paraId="65C062DD" w14:textId="77777777" w:rsidR="00BC71D0" w:rsidRDefault="00BC71D0" w:rsidP="00E978DD">
      <w:pPr>
        <w:shd w:val="clear" w:color="auto" w:fill="FFFFFF"/>
        <w:spacing w:line="240" w:lineRule="atLeast"/>
        <w:textAlignment w:val="baseline"/>
        <w:rPr>
          <w:rFonts w:eastAsia="Times New Roman" w:cstheme="minorHAnsi"/>
        </w:rPr>
      </w:pPr>
    </w:p>
    <w:p w14:paraId="64986995" w14:textId="4A0610D4"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"When does the Privacy Rule allow covered entities to disclose protected health information to law enforcement officials?" Available at </w:t>
      </w:r>
      <w:hyperlink r:id="rId119" w:tgtFrame="_blank" w:tooltip="http://www.hhs.gov/ocr/privacy/hipaa/faq/disclosures_for_law_enforcement_purposes/505.html" w:history="1">
        <w:r w:rsidRPr="00EF6C8D">
          <w:rPr>
            <w:rFonts w:eastAsia="Times New Roman" w:cstheme="minorHAnsi"/>
            <w:color w:val="0F88B8"/>
            <w:u w:val="single"/>
            <w:bdr w:val="none" w:sz="0" w:space="0" w:color="auto" w:frame="1"/>
          </w:rPr>
          <w:t>http://www.hhs.gov/ocr/privacy/hipaa/faq/disclosures_for_law_enforcement_purposes/505.html</w:t>
        </w:r>
      </w:hyperlink>
      <w:r w:rsidRPr="00EF6C8D">
        <w:rPr>
          <w:rFonts w:eastAsia="Times New Roman" w:cstheme="minorHAnsi"/>
          <w:color w:val="737373"/>
        </w:rPr>
        <w:t>.</w:t>
      </w:r>
    </w:p>
    <w:p w14:paraId="5C261751" w14:textId="77777777" w:rsidR="00BC71D0" w:rsidRDefault="00BC71D0" w:rsidP="00E978DD">
      <w:pPr>
        <w:shd w:val="clear" w:color="auto" w:fill="FFFFFF"/>
        <w:spacing w:line="240" w:lineRule="atLeast"/>
        <w:textAlignment w:val="baseline"/>
        <w:rPr>
          <w:rFonts w:eastAsia="Times New Roman" w:cstheme="minorHAnsi"/>
        </w:rPr>
      </w:pPr>
    </w:p>
    <w:p w14:paraId="46175EF5" w14:textId="209DADED"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lastRenderedPageBreak/>
        <w:t>HHS Office for Civil Rights. "Health Information Privacy: Public Health." Available at </w:t>
      </w:r>
      <w:hyperlink r:id="rId120" w:tgtFrame="_blank" w:tooltip="http://www.hhs.gov/ocr/privacy/hipaa/understanding/special/publichealth/index.html" w:history="1">
        <w:r w:rsidRPr="00EF6C8D">
          <w:rPr>
            <w:rFonts w:eastAsia="Times New Roman" w:cstheme="minorHAnsi"/>
            <w:color w:val="0F88B8"/>
            <w:u w:val="single"/>
            <w:bdr w:val="none" w:sz="0" w:space="0" w:color="auto" w:frame="1"/>
          </w:rPr>
          <w:t>http://www.hhs.gov/ocr/privacy/hipaa/understanding/special/publichealth/index.html</w:t>
        </w:r>
      </w:hyperlink>
      <w:r w:rsidRPr="00EF6C8D">
        <w:rPr>
          <w:rFonts w:eastAsia="Times New Roman" w:cstheme="minorHAnsi"/>
          <w:color w:val="737373"/>
        </w:rPr>
        <w:t>.</w:t>
      </w:r>
    </w:p>
    <w:p w14:paraId="09A2B114"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color w:val="737373"/>
        </w:rPr>
        <w:t> </w:t>
      </w:r>
    </w:p>
    <w:p w14:paraId="416FF819"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Homeland Security Act of 2002</w:t>
      </w:r>
    </w:p>
    <w:p w14:paraId="4B625173"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7F8DBAE2" w14:textId="3C595D6F"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Public Law, Statute and Regulations</w:t>
      </w:r>
    </w:p>
    <w:p w14:paraId="7B476E34"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Homeland Security Act of 2002. P.L. 107-296. Available at </w:t>
      </w:r>
      <w:hyperlink r:id="rId121" w:tgtFrame="_blank" w:tooltip="http://www.gpo.gov/fdsys/pkg/PLAW-107publ296/pdf/PLAW-107publ296.pdf" w:history="1">
        <w:r w:rsidRPr="00EF6C8D">
          <w:rPr>
            <w:rFonts w:eastAsia="Times New Roman" w:cstheme="minorHAnsi"/>
            <w:color w:val="0F88B8"/>
            <w:u w:val="single"/>
            <w:bdr w:val="none" w:sz="0" w:space="0" w:color="auto" w:frame="1"/>
          </w:rPr>
          <w:t>http://www.gpo.gov/fdsys/pkg/PLAW-107publ296/pdf/PLAW-107publ296.pdf</w:t>
        </w:r>
      </w:hyperlink>
      <w:r w:rsidRPr="00EF6C8D">
        <w:rPr>
          <w:rFonts w:eastAsia="Times New Roman" w:cstheme="minorHAnsi"/>
          <w:color w:val="737373"/>
        </w:rPr>
        <w:t>.</w:t>
      </w:r>
    </w:p>
    <w:p w14:paraId="247EB2EC"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7E5BB5B3" w14:textId="15DB98B9"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Offices/Programs/Activities</w:t>
      </w:r>
    </w:p>
    <w:p w14:paraId="1F569B20"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rPr>
        <w:t>U.S. Department of Homeland Security. Available at </w:t>
      </w:r>
      <w:hyperlink r:id="rId122" w:tgtFrame="_blank" w:tooltip="http://www.dhs.gov" w:history="1">
        <w:r w:rsidRPr="00EF6C8D">
          <w:rPr>
            <w:rFonts w:eastAsia="Times New Roman" w:cstheme="minorHAnsi"/>
            <w:u w:val="single"/>
            <w:bdr w:val="none" w:sz="0" w:space="0" w:color="auto" w:frame="1"/>
          </w:rPr>
          <w:t>http://www.dhs.gov</w:t>
        </w:r>
      </w:hyperlink>
      <w:r w:rsidRPr="00EF6C8D">
        <w:rPr>
          <w:rFonts w:eastAsia="Times New Roman" w:cstheme="minorHAnsi"/>
        </w:rPr>
        <w:t>.</w:t>
      </w:r>
    </w:p>
    <w:p w14:paraId="5889E148"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3C946C03"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Individual Rights vs. Police Powers</w:t>
      </w:r>
    </w:p>
    <w:p w14:paraId="1EACA481"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2500754D" w14:textId="2BA2C6AD"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Cases</w:t>
      </w:r>
    </w:p>
    <w:p w14:paraId="1DA0C605"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i/>
          <w:iCs/>
          <w:bdr w:val="none" w:sz="0" w:space="0" w:color="auto" w:frame="1"/>
        </w:rPr>
        <w:t>Ferguson v. City of Charleston,</w:t>
      </w:r>
      <w:r w:rsidRPr="00EF6C8D">
        <w:rPr>
          <w:rFonts w:eastAsia="Times New Roman" w:cstheme="minorHAnsi"/>
        </w:rPr>
        <w:t> 532 U.S. 67 (2001). Available at </w:t>
      </w:r>
      <w:hyperlink r:id="rId123" w:tgtFrame="_blank" w:tooltip="http://caselaw.lp.findlaw.com/scripts/getcase.pl?court=us&amp;amp;vol=000&amp;amp;invol=99-936" w:history="1">
        <w:r w:rsidRPr="00EF6C8D">
          <w:rPr>
            <w:rFonts w:eastAsia="Times New Roman" w:cstheme="minorHAnsi"/>
            <w:color w:val="0F88B8"/>
            <w:u w:val="single"/>
            <w:bdr w:val="none" w:sz="0" w:space="0" w:color="auto" w:frame="1"/>
          </w:rPr>
          <w:t>http://caselaw.lp.findlaw.com/scripts/getcase.pl?court=us&amp;vol=000&amp;invol=99-936</w:t>
        </w:r>
      </w:hyperlink>
      <w:r w:rsidRPr="00EF6C8D">
        <w:rPr>
          <w:rFonts w:eastAsia="Times New Roman" w:cstheme="minorHAnsi"/>
          <w:color w:val="737373"/>
        </w:rPr>
        <w:t>.</w:t>
      </w:r>
    </w:p>
    <w:p w14:paraId="20BB02AE"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3BD96663" w14:textId="602FB18B"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i/>
          <w:iCs/>
          <w:bdr w:val="none" w:sz="0" w:space="0" w:color="auto" w:frame="1"/>
        </w:rPr>
        <w:t>Jacobson v. Com. of Massachusetts</w:t>
      </w:r>
      <w:r w:rsidRPr="00EF6C8D">
        <w:rPr>
          <w:rFonts w:eastAsia="Times New Roman" w:cstheme="minorHAnsi"/>
        </w:rPr>
        <w:t>, 197 U.S. 11 (1905). Available at </w:t>
      </w:r>
      <w:hyperlink r:id="rId124" w:tgtFrame="_blank" w:tooltip="http://caselaw.lp.findlaw.com/cgi-bin/getcase.pl?court=us&amp;amp;vol=197&amp;amp;invol=11" w:history="1">
        <w:r w:rsidRPr="00EF6C8D">
          <w:rPr>
            <w:rFonts w:eastAsia="Times New Roman" w:cstheme="minorHAnsi"/>
            <w:color w:val="0F88B8"/>
            <w:u w:val="single"/>
            <w:bdr w:val="none" w:sz="0" w:space="0" w:color="auto" w:frame="1"/>
          </w:rPr>
          <w:t>http://caselaw.lp.findlaw.com/cgi-bin/getcase.pl?court=us&amp;vol=197&amp;invol=11</w:t>
        </w:r>
      </w:hyperlink>
      <w:r w:rsidRPr="00EF6C8D">
        <w:rPr>
          <w:rFonts w:eastAsia="Times New Roman" w:cstheme="minorHAnsi"/>
          <w:color w:val="737373"/>
        </w:rPr>
        <w:t>.</w:t>
      </w:r>
    </w:p>
    <w:p w14:paraId="7E50EAAE"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1E39C320" w14:textId="4162973E"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i/>
          <w:iCs/>
          <w:bdr w:val="none" w:sz="0" w:space="0" w:color="auto" w:frame="1"/>
        </w:rPr>
        <w:t>Planned Parenthood of Missouri v. Danforth,</w:t>
      </w:r>
      <w:r w:rsidRPr="00EF6C8D">
        <w:rPr>
          <w:rFonts w:eastAsia="Times New Roman" w:cstheme="minorHAnsi"/>
        </w:rPr>
        <w:t> 428 U.S. 52 (1976). Available at </w:t>
      </w:r>
      <w:hyperlink r:id="rId125" w:tgtFrame="_blank" w:tooltip="http://www.law.cornell.edu/supct/html/historics/USSC_CR_0428_0052_ZS.html" w:history="1">
        <w:r w:rsidRPr="00EF6C8D">
          <w:rPr>
            <w:rFonts w:eastAsia="Times New Roman" w:cstheme="minorHAnsi"/>
            <w:color w:val="0F88B8"/>
            <w:u w:val="single"/>
            <w:bdr w:val="none" w:sz="0" w:space="0" w:color="auto" w:frame="1"/>
          </w:rPr>
          <w:t>http://www.law.cornell.edu/supct/html/historics/USSC_CR_0428_0052_ZS.html</w:t>
        </w:r>
      </w:hyperlink>
      <w:r w:rsidRPr="00EF6C8D">
        <w:rPr>
          <w:rFonts w:eastAsia="Times New Roman" w:cstheme="minorHAnsi"/>
          <w:color w:val="737373"/>
        </w:rPr>
        <w:t>.</w:t>
      </w:r>
    </w:p>
    <w:p w14:paraId="436D8C38"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28FF7054" w14:textId="01480828"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i/>
          <w:iCs/>
          <w:bdr w:val="none" w:sz="0" w:space="0" w:color="auto" w:frame="1"/>
        </w:rPr>
        <w:t>Whalen v. Roe</w:t>
      </w:r>
      <w:r w:rsidRPr="00EF6C8D">
        <w:rPr>
          <w:rFonts w:eastAsia="Times New Roman" w:cstheme="minorHAnsi"/>
        </w:rPr>
        <w:t>, 429 U.S. 589 (1977). Available at </w:t>
      </w:r>
      <w:hyperlink r:id="rId126" w:tgtFrame="_blank" w:tooltip="http://www.law.cornell.edu/supct/html/historics/USSC_CR_0429_0589_ZO.html" w:history="1">
        <w:r w:rsidRPr="00EF6C8D">
          <w:rPr>
            <w:rFonts w:eastAsia="Times New Roman" w:cstheme="minorHAnsi"/>
            <w:color w:val="0F88B8"/>
            <w:u w:val="single"/>
            <w:bdr w:val="none" w:sz="0" w:space="0" w:color="auto" w:frame="1"/>
          </w:rPr>
          <w:t>http://www.law.cornell.edu/supct/html/historics/USSC_CR_0429_0589_ZO.html</w:t>
        </w:r>
      </w:hyperlink>
      <w:r w:rsidRPr="00EF6C8D">
        <w:rPr>
          <w:rFonts w:eastAsia="Times New Roman" w:cstheme="minorHAnsi"/>
          <w:color w:val="737373"/>
        </w:rPr>
        <w:t>.</w:t>
      </w:r>
    </w:p>
    <w:p w14:paraId="6077E206"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6A8507DA" w14:textId="5CA92832"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0C8B1F06"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rPr>
        <w:t>O'Connor, J. "Informational Privacy Protections: Do State Laws Offer Public Health Leaders the Flexibility They Need?" 2009. Available at </w:t>
      </w:r>
      <w:hyperlink r:id="rId127" w:tgtFrame="_blank" w:tooltip="http://www.sph-dev.sites.unc.edu/files/2013/08/oconnor.pdf" w:history="1">
        <w:r w:rsidRPr="00EF6C8D">
          <w:rPr>
            <w:rFonts w:eastAsia="Times New Roman" w:cstheme="minorHAnsi"/>
            <w:u w:val="single"/>
            <w:bdr w:val="none" w:sz="0" w:space="0" w:color="auto" w:frame="1"/>
          </w:rPr>
          <w:t>http://www.sph-dev.sites.unc.edu/files/2013/08/oconnor.pdf</w:t>
        </w:r>
      </w:hyperlink>
      <w:r w:rsidRPr="00EF6C8D">
        <w:rPr>
          <w:rFonts w:eastAsia="Times New Roman" w:cstheme="minorHAnsi"/>
        </w:rPr>
        <w:t>.</w:t>
      </w:r>
    </w:p>
    <w:p w14:paraId="5031E113"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24948313"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Information Sharing Environment</w:t>
      </w:r>
    </w:p>
    <w:p w14:paraId="5B8055B5"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70753C54" w14:textId="7226F48A"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Offices/Programs/Activities</w:t>
      </w:r>
    </w:p>
    <w:p w14:paraId="5C9846D8"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Homeland Security. "Information Sharing." Available at</w:t>
      </w:r>
      <w:r w:rsidRPr="00EF6C8D">
        <w:rPr>
          <w:rFonts w:eastAsia="Times New Roman" w:cstheme="minorHAnsi"/>
          <w:color w:val="737373"/>
        </w:rPr>
        <w:t> </w:t>
      </w:r>
      <w:hyperlink r:id="rId128" w:tgtFrame="_blank" w:tooltip="http://www.dhs.gov/information-sharing" w:history="1">
        <w:r w:rsidRPr="00EF6C8D">
          <w:rPr>
            <w:rFonts w:eastAsia="Times New Roman" w:cstheme="minorHAnsi"/>
            <w:color w:val="0F88B8"/>
            <w:u w:val="single"/>
            <w:bdr w:val="none" w:sz="0" w:space="0" w:color="auto" w:frame="1"/>
          </w:rPr>
          <w:t>http://www.dhs.gov/information-sharing</w:t>
        </w:r>
      </w:hyperlink>
      <w:r w:rsidRPr="00EF6C8D">
        <w:rPr>
          <w:rFonts w:eastAsia="Times New Roman" w:cstheme="minorHAnsi"/>
          <w:color w:val="737373"/>
        </w:rPr>
        <w:t>.</w:t>
      </w:r>
    </w:p>
    <w:p w14:paraId="68E94D7A" w14:textId="77777777" w:rsidR="00BC71D0" w:rsidRDefault="00BC71D0" w:rsidP="00E978DD">
      <w:pPr>
        <w:shd w:val="clear" w:color="auto" w:fill="FFFFFF"/>
        <w:spacing w:line="240" w:lineRule="atLeast"/>
        <w:textAlignment w:val="baseline"/>
        <w:rPr>
          <w:rFonts w:eastAsia="Times New Roman" w:cstheme="minorHAnsi"/>
        </w:rPr>
      </w:pPr>
    </w:p>
    <w:p w14:paraId="58E2AEB3" w14:textId="6564D918"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Justice, Office of Justice Programs. "Fusion Centers and Intelligence Sharing." Available at </w:t>
      </w:r>
      <w:hyperlink r:id="rId129" w:tgtFrame="_blank" w:tooltip="http://www.it.ojp.gov/default.aspx?area=nationalInitiatives&amp;amp;page=1181" w:history="1">
        <w:r w:rsidRPr="00EF6C8D">
          <w:rPr>
            <w:rFonts w:eastAsia="Times New Roman" w:cstheme="minorHAnsi"/>
            <w:color w:val="0F88B8"/>
            <w:u w:val="single"/>
            <w:bdr w:val="none" w:sz="0" w:space="0" w:color="auto" w:frame="1"/>
          </w:rPr>
          <w:t>http://www.it.ojp.gov/default.aspx?area=nationalInitiatives&amp;page=1181</w:t>
        </w:r>
      </w:hyperlink>
      <w:r w:rsidRPr="00EF6C8D">
        <w:rPr>
          <w:rFonts w:eastAsia="Times New Roman" w:cstheme="minorHAnsi"/>
          <w:color w:val="737373"/>
        </w:rPr>
        <w:t>.</w:t>
      </w:r>
    </w:p>
    <w:p w14:paraId="253DFC84" w14:textId="77777777" w:rsidR="00BC71D0" w:rsidRDefault="00BC71D0" w:rsidP="00E978DD">
      <w:pPr>
        <w:shd w:val="clear" w:color="auto" w:fill="FFFFFF"/>
        <w:spacing w:line="240" w:lineRule="atLeast"/>
        <w:textAlignment w:val="baseline"/>
        <w:rPr>
          <w:rFonts w:eastAsia="Times New Roman" w:cstheme="minorHAnsi"/>
        </w:rPr>
      </w:pPr>
    </w:p>
    <w:p w14:paraId="0B54E7E4" w14:textId="594E206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United States Government. "Information Sharing Environment." Available at </w:t>
      </w:r>
      <w:hyperlink r:id="rId130" w:tgtFrame="_blank" w:tooltip="http://ise.gov/" w:history="1">
        <w:r w:rsidRPr="00EF6C8D">
          <w:rPr>
            <w:rFonts w:eastAsia="Times New Roman" w:cstheme="minorHAnsi"/>
            <w:color w:val="0F88B8"/>
            <w:u w:val="single"/>
            <w:bdr w:val="none" w:sz="0" w:space="0" w:color="auto" w:frame="1"/>
          </w:rPr>
          <w:t>http://ise.gov/</w:t>
        </w:r>
      </w:hyperlink>
      <w:r w:rsidRPr="00EF6C8D">
        <w:rPr>
          <w:rFonts w:eastAsia="Times New Roman" w:cstheme="minorHAnsi"/>
          <w:color w:val="737373"/>
        </w:rPr>
        <w:t>.</w:t>
      </w:r>
    </w:p>
    <w:p w14:paraId="4F94B998"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5350C7A8" w14:textId="560D1969"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Key Documents</w:t>
      </w:r>
    </w:p>
    <w:p w14:paraId="5D0849DA"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Senate. "Federal Support for and Involvement in State and Local Fusion Centers." Oct. 3, 2012. </w:t>
      </w:r>
      <w:hyperlink r:id="rId131" w:tgtFrame="_blank" w:tooltip="Available here" w:history="1">
        <w:r w:rsidRPr="00EF6C8D">
          <w:rPr>
            <w:rFonts w:eastAsia="Times New Roman" w:cstheme="minorHAnsi"/>
            <w:color w:val="0F88B8"/>
            <w:u w:val="single"/>
            <w:bdr w:val="none" w:sz="0" w:space="0" w:color="auto" w:frame="1"/>
          </w:rPr>
          <w:t>Available here</w:t>
        </w:r>
      </w:hyperlink>
      <w:r w:rsidRPr="00EF6C8D">
        <w:rPr>
          <w:rFonts w:eastAsia="Times New Roman" w:cstheme="minorHAnsi"/>
          <w:color w:val="737373"/>
        </w:rPr>
        <w:t>.</w:t>
      </w:r>
    </w:p>
    <w:p w14:paraId="1171816A"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22061786" w14:textId="17A0DE01"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5EC135A9"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Homeland Security. "National Network of Fusion Centers Fact Sheet." Available at </w:t>
      </w:r>
      <w:hyperlink r:id="rId132" w:tgtFrame="_blank" w:tooltip="http://www.dhs.gov/files/programs/gc_1296484657738.shtm" w:history="1">
        <w:r w:rsidRPr="00EF6C8D">
          <w:rPr>
            <w:rFonts w:eastAsia="Times New Roman" w:cstheme="minorHAnsi"/>
            <w:color w:val="0F88B8"/>
            <w:u w:val="single"/>
            <w:bdr w:val="none" w:sz="0" w:space="0" w:color="auto" w:frame="1"/>
          </w:rPr>
          <w:t>http://www.dhs.gov/files/programs/gc_1296484657738.shtm</w:t>
        </w:r>
      </w:hyperlink>
      <w:r w:rsidRPr="00EF6C8D">
        <w:rPr>
          <w:rFonts w:eastAsia="Times New Roman" w:cstheme="minorHAnsi"/>
          <w:color w:val="737373"/>
        </w:rPr>
        <w:t>.</w:t>
      </w:r>
    </w:p>
    <w:p w14:paraId="73835762" w14:textId="77777777" w:rsidR="00BC71D0" w:rsidRDefault="00BC71D0" w:rsidP="00E978DD">
      <w:pPr>
        <w:shd w:val="clear" w:color="auto" w:fill="FFFFFF"/>
        <w:spacing w:line="240" w:lineRule="atLeast"/>
        <w:textAlignment w:val="baseline"/>
        <w:rPr>
          <w:rFonts w:eastAsia="Times New Roman" w:cstheme="minorHAnsi"/>
        </w:rPr>
      </w:pPr>
    </w:p>
    <w:p w14:paraId="35348743" w14:textId="4A7E8A10"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Homeland Security. "State and Major Urban Area Fusion Centers." Available at </w:t>
      </w:r>
      <w:hyperlink r:id="rId133" w:tgtFrame="_blank" w:tooltip="http://www.dhs.gov/files/programs/gc_1156877184684.shtm" w:history="1">
        <w:r w:rsidRPr="00EF6C8D">
          <w:rPr>
            <w:rFonts w:eastAsia="Times New Roman" w:cstheme="minorHAnsi"/>
            <w:color w:val="0F88B8"/>
            <w:u w:val="single"/>
            <w:bdr w:val="none" w:sz="0" w:space="0" w:color="auto" w:frame="1"/>
          </w:rPr>
          <w:t>http://www.dhs.gov/files/programs/gc_1156877184684.shtm</w:t>
        </w:r>
      </w:hyperlink>
      <w:r w:rsidRPr="00EF6C8D">
        <w:rPr>
          <w:rFonts w:eastAsia="Times New Roman" w:cstheme="minorHAnsi"/>
          <w:color w:val="737373"/>
        </w:rPr>
        <w:t>.</w:t>
      </w:r>
    </w:p>
    <w:p w14:paraId="21FED90D" w14:textId="77777777" w:rsidR="00BC71D0" w:rsidRDefault="00BC71D0" w:rsidP="00E978DD">
      <w:pPr>
        <w:shd w:val="clear" w:color="auto" w:fill="FFFFFF"/>
        <w:spacing w:line="240" w:lineRule="atLeast"/>
        <w:textAlignment w:val="baseline"/>
        <w:rPr>
          <w:rFonts w:eastAsia="Times New Roman" w:cstheme="minorHAnsi"/>
        </w:rPr>
      </w:pPr>
    </w:p>
    <w:p w14:paraId="3B35DA46" w14:textId="10BC4710"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Justice and U.S. Department of Homeland Security. "Fusion Center Guidelines: Developing and Sharing Information and Intelligence in a New Era." Available at </w:t>
      </w:r>
      <w:hyperlink r:id="rId134" w:tgtFrame="_blank" w:tooltip="http://www.it.ojp.gov/documents/fusion_center_guidelines_law_enforcement.pdf" w:history="1">
        <w:r w:rsidRPr="00EF6C8D">
          <w:rPr>
            <w:rFonts w:eastAsia="Times New Roman" w:cstheme="minorHAnsi"/>
            <w:color w:val="0F88B8"/>
            <w:u w:val="single"/>
            <w:bdr w:val="none" w:sz="0" w:space="0" w:color="auto" w:frame="1"/>
          </w:rPr>
          <w:t>http://www.it.ojp.gov/documents/fusion_center_guidelines_law_enforcement.pdf</w:t>
        </w:r>
      </w:hyperlink>
      <w:r w:rsidRPr="00EF6C8D">
        <w:rPr>
          <w:rFonts w:eastAsia="Times New Roman" w:cstheme="minorHAnsi"/>
          <w:color w:val="737373"/>
        </w:rPr>
        <w:t>.</w:t>
      </w:r>
    </w:p>
    <w:p w14:paraId="5D746160" w14:textId="77777777" w:rsidR="00BC71D0" w:rsidRDefault="00BC71D0" w:rsidP="00E978DD">
      <w:pPr>
        <w:shd w:val="clear" w:color="auto" w:fill="FFFFFF"/>
        <w:spacing w:line="240" w:lineRule="atLeast"/>
        <w:textAlignment w:val="baseline"/>
        <w:rPr>
          <w:rFonts w:eastAsia="Times New Roman" w:cstheme="minorHAnsi"/>
        </w:rPr>
      </w:pPr>
    </w:p>
    <w:p w14:paraId="1C038D78" w14:textId="48D98FF4"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Homeland Security and U.S. Department of Justice. "Fusion Center Privacy Policy Development - Privacy Civil Rights, and Civil Liberties Policy Template." April 2010. Available for download at </w:t>
      </w:r>
      <w:hyperlink r:id="rId135" w:tgtFrame="_blank" w:tooltip="http://www.it.ojp.gov/docdownloader.aspx?ddid=1269" w:history="1">
        <w:r w:rsidRPr="00EF6C8D">
          <w:rPr>
            <w:rFonts w:eastAsia="Times New Roman" w:cstheme="minorHAnsi"/>
            <w:color w:val="0F88B8"/>
            <w:u w:val="single"/>
            <w:bdr w:val="none" w:sz="0" w:space="0" w:color="auto" w:frame="1"/>
          </w:rPr>
          <w:t>http://www.it.ojp.gov/docdownloader.aspx?ddid=1269</w:t>
        </w:r>
      </w:hyperlink>
      <w:r w:rsidRPr="00EF6C8D">
        <w:rPr>
          <w:rFonts w:eastAsia="Times New Roman" w:cstheme="minorHAnsi"/>
          <w:color w:val="737373"/>
        </w:rPr>
        <w:t>.</w:t>
      </w:r>
    </w:p>
    <w:p w14:paraId="2B4843C4" w14:textId="77777777" w:rsidR="00BC71D0" w:rsidRDefault="00BC71D0" w:rsidP="00E978DD">
      <w:pPr>
        <w:shd w:val="clear" w:color="auto" w:fill="FFFFFF"/>
        <w:spacing w:line="240" w:lineRule="atLeast"/>
        <w:textAlignment w:val="baseline"/>
        <w:rPr>
          <w:rFonts w:eastAsia="Times New Roman" w:cstheme="minorHAnsi"/>
        </w:rPr>
      </w:pPr>
    </w:p>
    <w:p w14:paraId="4F56E67F" w14:textId="54C882A1"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U.S. Department of Justice, Office of Justice Program. "Baseline Capabilities for State and Major Urban Area Fusion </w:t>
      </w:r>
      <w:proofErr w:type="gramStart"/>
      <w:r w:rsidRPr="00EF6C8D">
        <w:rPr>
          <w:rFonts w:eastAsia="Times New Roman" w:cstheme="minorHAnsi"/>
        </w:rPr>
        <w:t>Centers .</w:t>
      </w:r>
      <w:proofErr w:type="gramEnd"/>
      <w:r w:rsidRPr="00EF6C8D">
        <w:rPr>
          <w:rFonts w:eastAsia="Times New Roman" w:cstheme="minorHAnsi"/>
        </w:rPr>
        <w:t>" September 2008. Available for download at </w:t>
      </w:r>
      <w:hyperlink r:id="rId136" w:tgtFrame="_blank" w:tooltip="http://www.it.ojp.gov/default.aspx?area=nationalInitiatives&amp;amp;page=1181" w:history="1">
        <w:r w:rsidRPr="00EF6C8D">
          <w:rPr>
            <w:rFonts w:eastAsia="Times New Roman" w:cstheme="minorHAnsi"/>
            <w:color w:val="0F88B8"/>
            <w:u w:val="single"/>
            <w:bdr w:val="none" w:sz="0" w:space="0" w:color="auto" w:frame="1"/>
          </w:rPr>
          <w:t>http://www.it.ojp.gov/default.aspx?area=nationalInitiatives&amp;page=1181</w:t>
        </w:r>
      </w:hyperlink>
      <w:r w:rsidRPr="00EF6C8D">
        <w:rPr>
          <w:rFonts w:eastAsia="Times New Roman" w:cstheme="minorHAnsi"/>
          <w:color w:val="737373"/>
        </w:rPr>
        <w:t>.</w:t>
      </w:r>
    </w:p>
    <w:p w14:paraId="0B7CDC4F" w14:textId="77777777" w:rsidR="00BC71D0" w:rsidRDefault="00BC71D0" w:rsidP="00E978DD">
      <w:pPr>
        <w:shd w:val="clear" w:color="auto" w:fill="FFFFFF"/>
        <w:spacing w:line="240" w:lineRule="atLeast"/>
        <w:textAlignment w:val="baseline"/>
        <w:rPr>
          <w:rFonts w:eastAsia="Times New Roman" w:cstheme="minorHAnsi"/>
        </w:rPr>
      </w:pPr>
    </w:p>
    <w:p w14:paraId="53D56EED" w14:textId="0E5C718D"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Justice, Office of Justice Program. "Health Security: Public Health and Medical Integration for Fusion Centers Appendix." July 2011. Available for download at </w:t>
      </w:r>
      <w:hyperlink r:id="rId137" w:tgtFrame="_blank" w:tooltip="http://www.it.ojp.gov/default.aspx?area=nationalInitiatives&amp;amp;page=1181" w:history="1">
        <w:r w:rsidRPr="00EF6C8D">
          <w:rPr>
            <w:rFonts w:eastAsia="Times New Roman" w:cstheme="minorHAnsi"/>
            <w:color w:val="0F88B8"/>
            <w:u w:val="single"/>
            <w:bdr w:val="none" w:sz="0" w:space="0" w:color="auto" w:frame="1"/>
          </w:rPr>
          <w:t>http://www.it.ojp.gov/default.aspx?area=nationalInitiatives&amp;page=1181</w:t>
        </w:r>
      </w:hyperlink>
      <w:r w:rsidRPr="00EF6C8D">
        <w:rPr>
          <w:rFonts w:eastAsia="Times New Roman" w:cstheme="minorHAnsi"/>
          <w:color w:val="737373"/>
        </w:rPr>
        <w:t>.</w:t>
      </w:r>
    </w:p>
    <w:p w14:paraId="6D422149" w14:textId="77777777" w:rsidR="00BC71D0" w:rsidRDefault="00BC71D0" w:rsidP="00E978DD">
      <w:pPr>
        <w:shd w:val="clear" w:color="auto" w:fill="FFFFFF"/>
        <w:spacing w:line="240" w:lineRule="atLeast"/>
        <w:textAlignment w:val="baseline"/>
        <w:rPr>
          <w:rFonts w:eastAsia="Times New Roman" w:cstheme="minorHAnsi"/>
        </w:rPr>
      </w:pPr>
    </w:p>
    <w:p w14:paraId="3E0D5D4E" w14:textId="501C6B03"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United States Government, Information Sharing Environment. "Background and Authorities for ISE." Available at </w:t>
      </w:r>
      <w:hyperlink r:id="rId138" w:tgtFrame="_blank" w:tooltip="http://ise.gov/background-and-authorities" w:history="1">
        <w:r w:rsidRPr="00EF6C8D">
          <w:rPr>
            <w:rFonts w:eastAsia="Times New Roman" w:cstheme="minorHAnsi"/>
            <w:color w:val="0F88B8"/>
            <w:u w:val="single"/>
            <w:bdr w:val="none" w:sz="0" w:space="0" w:color="auto" w:frame="1"/>
          </w:rPr>
          <w:t>http://ise.gov/background-and-authorities</w:t>
        </w:r>
      </w:hyperlink>
      <w:r w:rsidRPr="00EF6C8D">
        <w:rPr>
          <w:rFonts w:eastAsia="Times New Roman" w:cstheme="minorHAnsi"/>
          <w:color w:val="737373"/>
        </w:rPr>
        <w:t>.</w:t>
      </w:r>
    </w:p>
    <w:p w14:paraId="21C13FB2"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0DB558A6"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Informational Privacy</w:t>
      </w:r>
    </w:p>
    <w:p w14:paraId="011688A3"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w:t>
      </w:r>
      <w:r w:rsidRPr="00EF6C8D">
        <w:rPr>
          <w:rFonts w:eastAsia="Times New Roman" w:cstheme="minorHAnsi"/>
          <w:color w:val="737373"/>
        </w:rPr>
        <w:t>"</w:t>
      </w:r>
      <w:hyperlink r:id="rId139" w:anchor="Individual-Rights" w:history="1">
        <w:r w:rsidRPr="00EF6C8D">
          <w:rPr>
            <w:rFonts w:eastAsia="Times New Roman" w:cstheme="minorHAnsi"/>
            <w:i/>
            <w:iCs/>
            <w:color w:val="0F88B8"/>
            <w:u w:val="single"/>
            <w:bdr w:val="none" w:sz="0" w:space="0" w:color="auto" w:frame="1"/>
          </w:rPr>
          <w:t>Individual Rights vs. Police Powers</w:t>
        </w:r>
      </w:hyperlink>
      <w:r w:rsidRPr="00EF6C8D">
        <w:rPr>
          <w:rFonts w:eastAsia="Times New Roman" w:cstheme="minorHAnsi"/>
          <w:color w:val="737373"/>
        </w:rPr>
        <w:t>"</w:t>
      </w:r>
    </w:p>
    <w:p w14:paraId="58848EC2"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140" w:anchor="Right-to-Privacy" w:history="1">
        <w:r w:rsidRPr="00EF6C8D">
          <w:rPr>
            <w:rFonts w:eastAsia="Times New Roman" w:cstheme="minorHAnsi"/>
            <w:i/>
            <w:iCs/>
            <w:color w:val="0F88B8"/>
            <w:u w:val="single"/>
            <w:bdr w:val="none" w:sz="0" w:space="0" w:color="auto" w:frame="1"/>
          </w:rPr>
          <w:t>Right to Privacy</w:t>
        </w:r>
      </w:hyperlink>
      <w:r w:rsidRPr="00EF6C8D">
        <w:rPr>
          <w:rFonts w:eastAsia="Times New Roman" w:cstheme="minorHAnsi"/>
          <w:color w:val="737373"/>
        </w:rPr>
        <w:t>"</w:t>
      </w:r>
    </w:p>
    <w:p w14:paraId="7065957F"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04251975"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Intelligence Reform and Terrorism Prevention Act</w:t>
      </w:r>
    </w:p>
    <w:p w14:paraId="3ABB0444"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1E4E5BC6" w14:textId="1D03ED80"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Public Law, Statute and Regulations</w:t>
      </w:r>
    </w:p>
    <w:p w14:paraId="3F236C3C"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Intelligence Reform and Terrorism Prevention Act of 2004. P.L. 105-458. Available at </w:t>
      </w:r>
      <w:hyperlink r:id="rId141" w:tgtFrame="_blank" w:tooltip="http://www.gpo.gov/fdsys/pkg/PLAW-108publ458/pdf/PLAW-108publ458.pdf" w:history="1">
        <w:r w:rsidRPr="00EF6C8D">
          <w:rPr>
            <w:rFonts w:eastAsia="Times New Roman" w:cstheme="minorHAnsi"/>
            <w:color w:val="0F88B8"/>
            <w:u w:val="single"/>
            <w:bdr w:val="none" w:sz="0" w:space="0" w:color="auto" w:frame="1"/>
          </w:rPr>
          <w:t>http://www.gpo.gov/fdsys/pkg/PLAW-108publ458/pdf/PLAW-108publ458.pdf</w:t>
        </w:r>
      </w:hyperlink>
      <w:r w:rsidRPr="00EF6C8D">
        <w:rPr>
          <w:rFonts w:eastAsia="Times New Roman" w:cstheme="minorHAnsi"/>
          <w:color w:val="737373"/>
        </w:rPr>
        <w:t>.</w:t>
      </w:r>
    </w:p>
    <w:p w14:paraId="4CFC0134"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7AC705B3"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Law Enforcement</w:t>
      </w:r>
    </w:p>
    <w:p w14:paraId="40328DC0"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142" w:anchor="Coordinated-Response" w:history="1">
        <w:r w:rsidRPr="00EF6C8D">
          <w:rPr>
            <w:rFonts w:eastAsia="Times New Roman" w:cstheme="minorHAnsi"/>
            <w:i/>
            <w:iCs/>
            <w:color w:val="0F88B8"/>
            <w:u w:val="single"/>
            <w:bdr w:val="none" w:sz="0" w:space="0" w:color="auto" w:frame="1"/>
          </w:rPr>
          <w:t>Coordinated Response to Emergencies</w:t>
        </w:r>
      </w:hyperlink>
      <w:r w:rsidRPr="00EF6C8D">
        <w:rPr>
          <w:rFonts w:eastAsia="Times New Roman" w:cstheme="minorHAnsi"/>
          <w:color w:val="737373"/>
        </w:rPr>
        <w:t>"</w:t>
      </w:r>
    </w:p>
    <w:p w14:paraId="0A8F779C"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6E74E3FA" w14:textId="339F8A75"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Resources</w:t>
      </w:r>
    </w:p>
    <w:p w14:paraId="155AD6DF"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Association of State and Territorial Health Officers (ASTHO). "Information Management for State Health Officials: Public Health, Law Enforcement, and Privacy Issues." 2006. Available at</w:t>
      </w:r>
      <w:r w:rsidRPr="00EF6C8D">
        <w:rPr>
          <w:rFonts w:eastAsia="Times New Roman" w:cstheme="minorHAnsi"/>
          <w:color w:val="737373"/>
        </w:rPr>
        <w:t> </w:t>
      </w:r>
      <w:hyperlink r:id="rId143" w:tgtFrame="_blank" w:tooltip="http://www.astho.org/Programs/e-Health/Privacy/Materials/Public-Health,-Law-Enforcement,-and-Privacy-Issues/" w:history="1">
        <w:r w:rsidRPr="00EF6C8D">
          <w:rPr>
            <w:rFonts w:eastAsia="Times New Roman" w:cstheme="minorHAnsi"/>
            <w:color w:val="0F88B8"/>
            <w:u w:val="single"/>
            <w:bdr w:val="none" w:sz="0" w:space="0" w:color="auto" w:frame="1"/>
          </w:rPr>
          <w:t>http://www.astho.org/Programs/e-Health/Privacy/Materials/Public-Health,-Law-Enforcement,-and-Privacy-Issues/</w:t>
        </w:r>
      </w:hyperlink>
      <w:r w:rsidRPr="00EF6C8D">
        <w:rPr>
          <w:rFonts w:eastAsia="Times New Roman" w:cstheme="minorHAnsi"/>
          <w:color w:val="737373"/>
        </w:rPr>
        <w:t>.  </w:t>
      </w:r>
    </w:p>
    <w:p w14:paraId="501E1C8E" w14:textId="77777777" w:rsidR="00BC71D0" w:rsidRDefault="00BC71D0" w:rsidP="00E978DD">
      <w:pPr>
        <w:shd w:val="clear" w:color="auto" w:fill="FFFFFF"/>
        <w:spacing w:line="240" w:lineRule="atLeast"/>
        <w:textAlignment w:val="baseline"/>
        <w:rPr>
          <w:rFonts w:eastAsia="Times New Roman" w:cstheme="minorHAnsi"/>
        </w:rPr>
      </w:pPr>
    </w:p>
    <w:p w14:paraId="58F1F5F6" w14:textId="3CEC4BA0"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CDC, HHS, and U.S. Department of Justice, Bureau of Justice Assistance. "Joint Public Health - Law Enforcement Investigation: Model Memorandum of Understanding." July 2008. Available at </w:t>
      </w:r>
      <w:hyperlink r:id="rId144" w:tgtFrame="_blank" w:tooltip="http://www.nasemso.org/Projects/DomesticPreparedness/documents/JIMOUFinal.pdf" w:history="1">
        <w:r w:rsidRPr="00EF6C8D">
          <w:rPr>
            <w:rFonts w:eastAsia="Times New Roman" w:cstheme="minorHAnsi"/>
            <w:color w:val="0F88B8"/>
            <w:u w:val="single"/>
            <w:bdr w:val="none" w:sz="0" w:space="0" w:color="auto" w:frame="1"/>
          </w:rPr>
          <w:t>http://www.nasemso.org/Projects/DomesticPreparedness/documents/JIMOUFinal.pdf</w:t>
        </w:r>
      </w:hyperlink>
      <w:r w:rsidRPr="00EF6C8D">
        <w:rPr>
          <w:rFonts w:eastAsia="Times New Roman" w:cstheme="minorHAnsi"/>
          <w:color w:val="737373"/>
        </w:rPr>
        <w:t>.</w:t>
      </w:r>
    </w:p>
    <w:p w14:paraId="0DEFBDD1" w14:textId="77777777" w:rsidR="00BC71D0" w:rsidRDefault="00BC71D0" w:rsidP="00E978DD">
      <w:pPr>
        <w:shd w:val="clear" w:color="auto" w:fill="FFFFFF"/>
        <w:spacing w:line="240" w:lineRule="atLeast"/>
        <w:textAlignment w:val="baseline"/>
        <w:rPr>
          <w:rFonts w:eastAsia="Times New Roman" w:cstheme="minorHAnsi"/>
        </w:rPr>
      </w:pPr>
    </w:p>
    <w:p w14:paraId="5575CD1C" w14:textId="2E3A4EDA"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CDC. "Forensic Epidemiology." Available at </w:t>
      </w:r>
      <w:hyperlink r:id="rId145" w:tgtFrame="_blank" w:tooltip="http://www.cdc.gov/phlp/publications/forensicepidemiology/index.html" w:history="1">
        <w:r w:rsidRPr="00EF6C8D">
          <w:rPr>
            <w:rFonts w:eastAsia="Times New Roman" w:cstheme="minorHAnsi"/>
            <w:color w:val="0F88B8"/>
            <w:u w:val="single"/>
            <w:bdr w:val="none" w:sz="0" w:space="0" w:color="auto" w:frame="1"/>
          </w:rPr>
          <w:t>http://www.cdc.gov/phlp/publications/forensicepidemiology/index.html</w:t>
        </w:r>
      </w:hyperlink>
      <w:r w:rsidRPr="00EF6C8D">
        <w:rPr>
          <w:rFonts w:eastAsia="Times New Roman" w:cstheme="minorHAnsi"/>
          <w:color w:val="737373"/>
        </w:rPr>
        <w:t>.</w:t>
      </w:r>
    </w:p>
    <w:p w14:paraId="754EDA94" w14:textId="77777777" w:rsidR="00BC71D0" w:rsidRDefault="00BC71D0" w:rsidP="00E978DD">
      <w:pPr>
        <w:shd w:val="clear" w:color="auto" w:fill="FFFFFF"/>
        <w:spacing w:line="240" w:lineRule="atLeast"/>
        <w:textAlignment w:val="baseline"/>
        <w:rPr>
          <w:rFonts w:eastAsia="Times New Roman" w:cstheme="minorHAnsi"/>
        </w:rPr>
      </w:pPr>
    </w:p>
    <w:p w14:paraId="234A96D9" w14:textId="4151AC61"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Goodman, RA, Munson, JW, </w:t>
      </w:r>
      <w:proofErr w:type="spellStart"/>
      <w:r w:rsidRPr="00EF6C8D">
        <w:rPr>
          <w:rFonts w:eastAsia="Times New Roman" w:cstheme="minorHAnsi"/>
        </w:rPr>
        <w:t>Dammer</w:t>
      </w:r>
      <w:proofErr w:type="spellEnd"/>
      <w:r w:rsidRPr="00EF6C8D">
        <w:rPr>
          <w:rFonts w:eastAsia="Times New Roman" w:cstheme="minorHAnsi"/>
        </w:rPr>
        <w:t xml:space="preserve">, K., </w:t>
      </w:r>
      <w:proofErr w:type="spellStart"/>
      <w:r w:rsidRPr="00EF6C8D">
        <w:rPr>
          <w:rFonts w:eastAsia="Times New Roman" w:cstheme="minorHAnsi"/>
        </w:rPr>
        <w:t>Lazzarini</w:t>
      </w:r>
      <w:proofErr w:type="spellEnd"/>
      <w:r w:rsidRPr="00EF6C8D">
        <w:rPr>
          <w:rFonts w:eastAsia="Times New Roman" w:cstheme="minorHAnsi"/>
        </w:rPr>
        <w:t xml:space="preserve">, Z., and </w:t>
      </w:r>
      <w:proofErr w:type="spellStart"/>
      <w:r w:rsidRPr="00EF6C8D">
        <w:rPr>
          <w:rFonts w:eastAsia="Times New Roman" w:cstheme="minorHAnsi"/>
        </w:rPr>
        <w:t>Barkely</w:t>
      </w:r>
      <w:proofErr w:type="spellEnd"/>
      <w:r w:rsidRPr="00EF6C8D">
        <w:rPr>
          <w:rFonts w:eastAsia="Times New Roman" w:cstheme="minorHAnsi"/>
        </w:rPr>
        <w:t xml:space="preserve"> JP. "Forensic Epidemiology: Law at the Intersection of Public Health and Criminal Investigations." </w:t>
      </w:r>
      <w:r w:rsidRPr="00EF6C8D">
        <w:rPr>
          <w:rFonts w:eastAsia="Times New Roman" w:cstheme="minorHAnsi"/>
          <w:i/>
          <w:iCs/>
          <w:bdr w:val="none" w:sz="0" w:space="0" w:color="auto" w:frame="1"/>
        </w:rPr>
        <w:t>Journal of the American Society of Law, Medicine &amp; Ethics</w:t>
      </w:r>
      <w:r w:rsidRPr="00EF6C8D">
        <w:rPr>
          <w:rFonts w:eastAsia="Times New Roman" w:cstheme="minorHAnsi"/>
        </w:rPr>
        <w:t>. December 2003. 31(4) 684-700. Abstract available at </w:t>
      </w:r>
      <w:hyperlink r:id="rId146" w:tgtFrame="_blank" w:tooltip="http://onlinelibrary.wiley.com/doi/10.1111/j.1748-720X.2003.tb00135.x/abstract" w:history="1">
        <w:r w:rsidRPr="00EF6C8D">
          <w:rPr>
            <w:rFonts w:eastAsia="Times New Roman" w:cstheme="minorHAnsi"/>
            <w:color w:val="0F88B8"/>
            <w:u w:val="single"/>
            <w:bdr w:val="none" w:sz="0" w:space="0" w:color="auto" w:frame="1"/>
          </w:rPr>
          <w:t>http://onlinelibrary.wiley.com/doi/10.1111/j.1748-720X.2003.tb00135.x/abstract</w:t>
        </w:r>
      </w:hyperlink>
      <w:r w:rsidRPr="00EF6C8D">
        <w:rPr>
          <w:rFonts w:eastAsia="Times New Roman" w:cstheme="minorHAnsi"/>
          <w:color w:val="737373"/>
        </w:rPr>
        <w:t>.</w:t>
      </w:r>
    </w:p>
    <w:p w14:paraId="0E007BD8" w14:textId="77777777" w:rsidR="00BC71D0" w:rsidRDefault="00BC71D0" w:rsidP="00E978DD">
      <w:pPr>
        <w:shd w:val="clear" w:color="auto" w:fill="FFFFFF"/>
        <w:spacing w:line="240" w:lineRule="atLeast"/>
        <w:textAlignment w:val="baseline"/>
        <w:rPr>
          <w:rFonts w:eastAsia="Times New Roman" w:cstheme="minorHAnsi"/>
        </w:rPr>
      </w:pPr>
    </w:p>
    <w:p w14:paraId="7F89B6FB" w14:textId="42DC06DF"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Moore, J. "Disclosing Protected Health Information (PHI) to Law Enforcement: Guidelines for N.C. Local Health Departments." May 2013. Available at </w:t>
      </w:r>
      <w:hyperlink r:id="rId147" w:tgtFrame="_blank" w:tooltip="http://www.sog.unc.edu/sites/www.sog.unc.edu/files/additional_files/LE-May%202013.pdf" w:history="1">
        <w:r w:rsidRPr="00EF6C8D">
          <w:rPr>
            <w:rFonts w:eastAsia="Times New Roman" w:cstheme="minorHAnsi"/>
            <w:color w:val="0F88B8"/>
            <w:u w:val="single"/>
            <w:bdr w:val="none" w:sz="0" w:space="0" w:color="auto" w:frame="1"/>
          </w:rPr>
          <w:t>http://www.sog.unc.edu/sites/www.sog.unc.edu/files/additional_files/LE-May%202013.pdf</w:t>
        </w:r>
      </w:hyperlink>
      <w:r w:rsidRPr="00EF6C8D">
        <w:rPr>
          <w:rFonts w:eastAsia="Times New Roman" w:cstheme="minorHAnsi"/>
          <w:color w:val="737373"/>
        </w:rPr>
        <w:t>.</w:t>
      </w:r>
    </w:p>
    <w:p w14:paraId="4CA14EEB" w14:textId="77777777" w:rsidR="00BC71D0" w:rsidRDefault="00BC71D0" w:rsidP="00E978DD">
      <w:pPr>
        <w:shd w:val="clear" w:color="auto" w:fill="FFFFFF"/>
        <w:spacing w:line="240" w:lineRule="atLeast"/>
        <w:textAlignment w:val="baseline"/>
        <w:rPr>
          <w:rFonts w:eastAsia="Times New Roman" w:cstheme="minorHAnsi"/>
        </w:rPr>
      </w:pPr>
    </w:p>
    <w:p w14:paraId="613DA535" w14:textId="439BD759"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"When does the Privacy Rule allow covered entities to disclose protected health information to law enforcement officials?</w:t>
      </w:r>
      <w:r w:rsidRPr="00EF6C8D">
        <w:rPr>
          <w:rFonts w:eastAsia="Times New Roman" w:cstheme="minorHAnsi"/>
          <w:color w:val="737373"/>
        </w:rPr>
        <w:t>" </w:t>
      </w:r>
      <w:hyperlink r:id="rId148" w:tgtFrame="_blank" w:tooltip="Available here" w:history="1">
        <w:r w:rsidRPr="00EF6C8D">
          <w:rPr>
            <w:rFonts w:eastAsia="Times New Roman" w:cstheme="minorHAnsi"/>
            <w:color w:val="0F88B8"/>
            <w:u w:val="single"/>
            <w:bdr w:val="none" w:sz="0" w:space="0" w:color="auto" w:frame="1"/>
          </w:rPr>
          <w:t>Available here</w:t>
        </w:r>
      </w:hyperlink>
      <w:r w:rsidRPr="00EF6C8D">
        <w:rPr>
          <w:rFonts w:eastAsia="Times New Roman" w:cstheme="minorHAnsi"/>
          <w:color w:val="737373"/>
        </w:rPr>
        <w:t>.</w:t>
      </w:r>
    </w:p>
    <w:p w14:paraId="108CBCF5" w14:textId="77777777" w:rsidR="00BC71D0" w:rsidRDefault="00BC71D0" w:rsidP="00E978DD">
      <w:pPr>
        <w:shd w:val="clear" w:color="auto" w:fill="FFFFFF"/>
        <w:spacing w:line="240" w:lineRule="atLeast"/>
        <w:textAlignment w:val="baseline"/>
        <w:rPr>
          <w:rFonts w:eastAsia="Times New Roman" w:cstheme="minorHAnsi"/>
        </w:rPr>
      </w:pPr>
    </w:p>
    <w:p w14:paraId="14F7BCFF" w14:textId="635D6230"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Justice. "Criminal and Epidemiological Investigation Handbook." 2011 edition. Available at </w:t>
      </w:r>
      <w:hyperlink r:id="rId149" w:tgtFrame="_blank" w:tooltip="http://www.cdc.gov/phlp/docs/CrimEpiHandbook2011.pdf" w:history="1">
        <w:r w:rsidRPr="00EF6C8D">
          <w:rPr>
            <w:rFonts w:eastAsia="Times New Roman" w:cstheme="minorHAnsi"/>
            <w:color w:val="0F88B8"/>
            <w:u w:val="single"/>
            <w:bdr w:val="none" w:sz="0" w:space="0" w:color="auto" w:frame="1"/>
          </w:rPr>
          <w:t>http://www.cdc.gov/phlp/docs/CrimEpiHandbook2011.pdf</w:t>
        </w:r>
      </w:hyperlink>
      <w:r w:rsidRPr="00EF6C8D">
        <w:rPr>
          <w:rFonts w:eastAsia="Times New Roman" w:cstheme="minorHAnsi"/>
          <w:color w:val="737373"/>
        </w:rPr>
        <w:t>.</w:t>
      </w:r>
    </w:p>
    <w:p w14:paraId="7C2B7211" w14:textId="77777777" w:rsidR="00BC71D0" w:rsidRDefault="00BC71D0" w:rsidP="00E978DD">
      <w:pPr>
        <w:shd w:val="clear" w:color="auto" w:fill="FFFFFF"/>
        <w:spacing w:line="240" w:lineRule="atLeast"/>
        <w:textAlignment w:val="baseline"/>
        <w:rPr>
          <w:rFonts w:eastAsia="Times New Roman" w:cstheme="minorHAnsi"/>
        </w:rPr>
      </w:pPr>
    </w:p>
    <w:p w14:paraId="7F1A34D6" w14:textId="0239BD9A"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Justice, Bureau of Justice Assistance. "The Role of Law Enforcement in Public health Emergencies: Special Considerations for an All-Hazards Approach." September 2006. Available at </w:t>
      </w:r>
      <w:hyperlink r:id="rId150" w:tgtFrame="_blank" w:tooltip="https://www.ncjrs.gov/pdffiles1/bja/214333.pdf" w:history="1">
        <w:r w:rsidRPr="00EF6C8D">
          <w:rPr>
            <w:rFonts w:eastAsia="Times New Roman" w:cstheme="minorHAnsi"/>
            <w:color w:val="0F88B8"/>
            <w:u w:val="single"/>
            <w:bdr w:val="none" w:sz="0" w:space="0" w:color="auto" w:frame="1"/>
          </w:rPr>
          <w:t>https://www.ncjrs.gov/pdffiles1/bja/214333.pdf</w:t>
        </w:r>
      </w:hyperlink>
      <w:r w:rsidRPr="00EF6C8D">
        <w:rPr>
          <w:rFonts w:eastAsia="Times New Roman" w:cstheme="minorHAnsi"/>
          <w:color w:val="737373"/>
        </w:rPr>
        <w:t>.</w:t>
      </w:r>
    </w:p>
    <w:p w14:paraId="5C90BE57" w14:textId="77777777" w:rsidR="00BC71D0" w:rsidRDefault="00BC71D0" w:rsidP="00E978DD">
      <w:pPr>
        <w:shd w:val="clear" w:color="auto" w:fill="FFFFFF"/>
        <w:spacing w:line="240" w:lineRule="atLeast"/>
        <w:textAlignment w:val="baseline"/>
        <w:rPr>
          <w:rFonts w:eastAsia="Times New Roman" w:cstheme="minorHAnsi"/>
        </w:rPr>
      </w:pPr>
    </w:p>
    <w:p w14:paraId="2B69EA68" w14:textId="29C3EE11"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United States Government, Information Sharing Environment. "Law Enforcement Information Sharing." Available at </w:t>
      </w:r>
      <w:hyperlink r:id="rId151" w:tgtFrame="_blank" w:tooltip="http://ise.gov/law-enforcement-information-sharing" w:history="1">
        <w:r w:rsidRPr="00EF6C8D">
          <w:rPr>
            <w:rFonts w:eastAsia="Times New Roman" w:cstheme="minorHAnsi"/>
            <w:color w:val="0F88B8"/>
            <w:u w:val="single"/>
            <w:bdr w:val="none" w:sz="0" w:space="0" w:color="auto" w:frame="1"/>
          </w:rPr>
          <w:t>http://ise.gov/law-enforcement-information-sharing</w:t>
        </w:r>
      </w:hyperlink>
      <w:r w:rsidRPr="00EF6C8D">
        <w:rPr>
          <w:rFonts w:eastAsia="Times New Roman" w:cstheme="minorHAnsi"/>
          <w:color w:val="737373"/>
        </w:rPr>
        <w:t>.</w:t>
      </w:r>
    </w:p>
    <w:p w14:paraId="19526A94"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09CF7E98"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Media</w:t>
      </w:r>
    </w:p>
    <w:p w14:paraId="783843FD"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152" w:anchor="Freedom-of-Information" w:history="1">
        <w:r w:rsidRPr="00EF6C8D">
          <w:rPr>
            <w:rFonts w:eastAsia="Times New Roman" w:cstheme="minorHAnsi"/>
            <w:i/>
            <w:iCs/>
            <w:color w:val="0F88B8"/>
            <w:u w:val="single"/>
            <w:bdr w:val="none" w:sz="0" w:space="0" w:color="auto" w:frame="1"/>
          </w:rPr>
          <w:t>Freedom of Information Laws</w:t>
        </w:r>
      </w:hyperlink>
      <w:r w:rsidRPr="00EF6C8D">
        <w:rPr>
          <w:rFonts w:eastAsia="Times New Roman" w:cstheme="minorHAnsi"/>
          <w:color w:val="737373"/>
        </w:rPr>
        <w:t>"</w:t>
      </w:r>
    </w:p>
    <w:p w14:paraId="02B6877A"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219538A6" w14:textId="019315C3"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Resources</w:t>
      </w:r>
    </w:p>
    <w:p w14:paraId="74AAF5F8"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Association of Health Care Journalists. "Guidance on the release of information concerning deaths, epidemics or emerging diseases." Available at</w:t>
      </w:r>
      <w:r w:rsidRPr="00EF6C8D">
        <w:rPr>
          <w:rFonts w:eastAsia="Times New Roman" w:cstheme="minorHAnsi"/>
          <w:color w:val="737373"/>
        </w:rPr>
        <w:t> </w:t>
      </w:r>
      <w:hyperlink r:id="rId153" w:tgtFrame="_blank" w:tooltip="http://healthjournalism.org/secondarypage-details.php?id=965" w:history="1">
        <w:r w:rsidRPr="00EF6C8D">
          <w:rPr>
            <w:rFonts w:eastAsia="Times New Roman" w:cstheme="minorHAnsi"/>
            <w:color w:val="0F88B8"/>
            <w:u w:val="single"/>
            <w:bdr w:val="none" w:sz="0" w:space="0" w:color="auto" w:frame="1"/>
          </w:rPr>
          <w:t>http://healthjournalism.org/secondarypage-details.php?id=965</w:t>
        </w:r>
      </w:hyperlink>
      <w:r w:rsidRPr="00EF6C8D">
        <w:rPr>
          <w:rFonts w:eastAsia="Times New Roman" w:cstheme="minorHAnsi"/>
          <w:color w:val="737373"/>
        </w:rPr>
        <w:t>.</w:t>
      </w:r>
    </w:p>
    <w:p w14:paraId="5DAB17BD" w14:textId="77777777" w:rsidR="00E978DD" w:rsidRPr="00EF6C8D" w:rsidRDefault="00E978DD"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07BA9630" w14:textId="77777777"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National Security Act</w:t>
      </w:r>
    </w:p>
    <w:p w14:paraId="28791680"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1C2071D4" w14:textId="2F77F830" w:rsidR="00E978DD" w:rsidRPr="00EF6C8D" w:rsidRDefault="00E978DD"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Public Law, Statute and Regulations</w:t>
      </w:r>
    </w:p>
    <w:p w14:paraId="23BB82F2" w14:textId="77777777" w:rsidR="00E978DD" w:rsidRPr="00EF6C8D" w:rsidRDefault="00E978DD"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National Security Act of 1947. P.L. 80-253, as amended, codified at 50 U.S.C. 401 </w:t>
      </w:r>
      <w:r w:rsidRPr="00EF6C8D">
        <w:rPr>
          <w:rFonts w:eastAsia="Times New Roman" w:cstheme="minorHAnsi"/>
          <w:i/>
          <w:iCs/>
          <w:bdr w:val="none" w:sz="0" w:space="0" w:color="auto" w:frame="1"/>
        </w:rPr>
        <w:t>et seq</w:t>
      </w:r>
      <w:r w:rsidRPr="00EF6C8D">
        <w:rPr>
          <w:rFonts w:eastAsia="Times New Roman" w:cstheme="minorHAnsi"/>
        </w:rPr>
        <w:t>. Available at </w:t>
      </w:r>
      <w:hyperlink r:id="rId154" w:tgtFrame="_blank" w:tooltip="http://www.law.cornell.edu/uscode/text/50/chapter-15" w:history="1">
        <w:r w:rsidRPr="00EF6C8D">
          <w:rPr>
            <w:rFonts w:eastAsia="Times New Roman" w:cstheme="minorHAnsi"/>
            <w:color w:val="0F88B8"/>
            <w:u w:val="single"/>
            <w:bdr w:val="none" w:sz="0" w:space="0" w:color="auto" w:frame="1"/>
          </w:rPr>
          <w:t>http://www.law.cornell.edu/uscode/text/50/chapter-15</w:t>
        </w:r>
      </w:hyperlink>
      <w:r w:rsidRPr="00EF6C8D">
        <w:rPr>
          <w:rFonts w:eastAsia="Times New Roman" w:cstheme="minorHAnsi"/>
          <w:color w:val="737373"/>
        </w:rPr>
        <w:t>.</w:t>
      </w:r>
    </w:p>
    <w:p w14:paraId="6B9B48D7" w14:textId="77777777" w:rsidR="00E978DD" w:rsidRPr="00F467FC" w:rsidRDefault="00E978DD" w:rsidP="00E978DD">
      <w:pPr>
        <w:shd w:val="clear" w:color="auto" w:fill="FFFFFF"/>
        <w:spacing w:after="225" w:line="240" w:lineRule="atLeast"/>
        <w:textAlignment w:val="baseline"/>
        <w:rPr>
          <w:rFonts w:eastAsia="Times New Roman" w:cstheme="minorHAnsi"/>
        </w:rPr>
      </w:pPr>
      <w:r w:rsidRPr="00F467FC">
        <w:rPr>
          <w:rFonts w:eastAsia="Times New Roman" w:cstheme="minorHAnsi"/>
          <w:color w:val="737373"/>
        </w:rPr>
        <w:t> </w:t>
      </w:r>
    </w:p>
    <w:p w14:paraId="3F465285" w14:textId="77777777" w:rsidR="00E978DD" w:rsidRPr="00F467FC" w:rsidRDefault="00E978DD" w:rsidP="00BC71D0">
      <w:pPr>
        <w:keepNext/>
        <w:shd w:val="clear" w:color="auto" w:fill="FFFFFF"/>
        <w:spacing w:line="240" w:lineRule="atLeast"/>
        <w:textAlignment w:val="baseline"/>
        <w:rPr>
          <w:rFonts w:eastAsia="Times New Roman" w:cstheme="minorHAnsi"/>
        </w:rPr>
      </w:pPr>
      <w:r w:rsidRPr="00F467FC">
        <w:rPr>
          <w:rFonts w:eastAsia="Times New Roman" w:cstheme="minorHAnsi"/>
          <w:b/>
          <w:bCs/>
          <w:bdr w:val="none" w:sz="0" w:space="0" w:color="auto" w:frame="1"/>
        </w:rPr>
        <w:lastRenderedPageBreak/>
        <w:t>Occupational Safety and Health Act</w:t>
      </w:r>
    </w:p>
    <w:p w14:paraId="669CAB56"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07D8A03F" w14:textId="6A8AB708" w:rsidR="00E978DD" w:rsidRPr="00F467FC" w:rsidRDefault="00E978DD" w:rsidP="00E978DD">
      <w:pPr>
        <w:shd w:val="clear" w:color="auto" w:fill="FFFFFF"/>
        <w:spacing w:line="240" w:lineRule="atLeast"/>
        <w:textAlignment w:val="baseline"/>
        <w:rPr>
          <w:rFonts w:eastAsia="Times New Roman" w:cstheme="minorHAnsi"/>
        </w:rPr>
      </w:pPr>
      <w:r w:rsidRPr="00F467FC">
        <w:rPr>
          <w:rFonts w:eastAsia="Times New Roman" w:cstheme="minorHAnsi"/>
          <w:i/>
          <w:iCs/>
          <w:bdr w:val="none" w:sz="0" w:space="0" w:color="auto" w:frame="1"/>
        </w:rPr>
        <w:t>Public Law, Statute and Regulations</w:t>
      </w:r>
    </w:p>
    <w:p w14:paraId="1C8841E4" w14:textId="77777777" w:rsidR="00E978DD" w:rsidRPr="00F467FC" w:rsidRDefault="00E978DD"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Occupational Safety and Health Act of 1970. Public Law 91-596, as amended, codified at 29 U.S.C. 651 </w:t>
      </w:r>
      <w:r w:rsidRPr="00F467FC">
        <w:rPr>
          <w:rFonts w:eastAsia="Times New Roman" w:cstheme="minorHAnsi"/>
          <w:i/>
          <w:iCs/>
          <w:bdr w:val="none" w:sz="0" w:space="0" w:color="auto" w:frame="1"/>
        </w:rPr>
        <w:t>et seq</w:t>
      </w:r>
      <w:r w:rsidRPr="00F467FC">
        <w:rPr>
          <w:rFonts w:eastAsia="Times New Roman" w:cstheme="minorHAnsi"/>
        </w:rPr>
        <w:t>. Available at</w:t>
      </w:r>
      <w:r w:rsidRPr="00F467FC">
        <w:rPr>
          <w:rFonts w:eastAsia="Times New Roman" w:cstheme="minorHAnsi"/>
          <w:color w:val="737373"/>
        </w:rPr>
        <w:t> </w:t>
      </w:r>
      <w:hyperlink r:id="rId155" w:tgtFrame="_blank" w:tooltip="http://www.osha.gov/law-regs.html" w:history="1">
        <w:r w:rsidRPr="00F467FC">
          <w:rPr>
            <w:rFonts w:eastAsia="Times New Roman" w:cstheme="minorHAnsi"/>
            <w:color w:val="0F88B8"/>
            <w:u w:val="single"/>
            <w:bdr w:val="none" w:sz="0" w:space="0" w:color="auto" w:frame="1"/>
          </w:rPr>
          <w:t>http://www.osha.gov/law-regs.html</w:t>
        </w:r>
      </w:hyperlink>
      <w:r w:rsidRPr="00F467FC">
        <w:rPr>
          <w:rFonts w:eastAsia="Times New Roman" w:cstheme="minorHAnsi"/>
          <w:color w:val="737373"/>
        </w:rPr>
        <w:t>.</w:t>
      </w:r>
    </w:p>
    <w:p w14:paraId="161A9EE8" w14:textId="77777777" w:rsidR="00BC71D0" w:rsidRDefault="00BC71D0" w:rsidP="00E978DD">
      <w:pPr>
        <w:shd w:val="clear" w:color="auto" w:fill="FFFFFF"/>
        <w:spacing w:line="240" w:lineRule="atLeast"/>
        <w:textAlignment w:val="baseline"/>
        <w:rPr>
          <w:rFonts w:eastAsia="Times New Roman" w:cstheme="minorHAnsi"/>
        </w:rPr>
      </w:pPr>
    </w:p>
    <w:p w14:paraId="325499BA" w14:textId="2365DEA1" w:rsidR="00E978DD" w:rsidRPr="00F467FC" w:rsidRDefault="00E978DD"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"Occupational Safety and Health Administration, Department of Labor." 29 C.F.R. Parts 1900-1910. Available at</w:t>
      </w:r>
      <w:r w:rsidRPr="00F467FC">
        <w:rPr>
          <w:rFonts w:eastAsia="Times New Roman" w:cstheme="minorHAnsi"/>
          <w:color w:val="737373"/>
        </w:rPr>
        <w:t> </w:t>
      </w:r>
      <w:hyperlink r:id="rId156" w:tgtFrame="_blank" w:tooltip="http://www.ecfr.gov/cgi-bin/text-idx?SID=449145ee248d8381a44e34f33379e3f6&amp;amp;c=ecfr&amp;amp;tpl=/ecfrbrowse/Title29/29cfrv5_02.tpl" w:history="1">
        <w:r w:rsidRPr="00F467FC">
          <w:rPr>
            <w:rFonts w:eastAsia="Times New Roman" w:cstheme="minorHAnsi"/>
            <w:color w:val="0F88B8"/>
            <w:u w:val="single"/>
            <w:bdr w:val="none" w:sz="0" w:space="0" w:color="auto" w:frame="1"/>
          </w:rPr>
          <w:t>http://www.ecfr.gov/cgi-bin/text-idx?SID=449145ee248d8381a44e34f33379e3f6&amp;c=ecfr&amp;tpl=/ecfrbrowse/Title29/29cfrv5_02.tpl</w:t>
        </w:r>
      </w:hyperlink>
      <w:r w:rsidRPr="00F467FC">
        <w:rPr>
          <w:rFonts w:eastAsia="Times New Roman" w:cstheme="minorHAnsi"/>
          <w:color w:val="737373"/>
        </w:rPr>
        <w:t>.</w:t>
      </w:r>
    </w:p>
    <w:p w14:paraId="6C8C96E7" w14:textId="77777777" w:rsidR="00BC71D0" w:rsidRDefault="00BC71D0" w:rsidP="00E978DD">
      <w:pPr>
        <w:shd w:val="clear" w:color="auto" w:fill="FFFFFF"/>
        <w:spacing w:after="225" w:line="240" w:lineRule="atLeast"/>
        <w:textAlignment w:val="baseline"/>
        <w:rPr>
          <w:rFonts w:eastAsia="Times New Roman" w:cstheme="minorHAnsi"/>
        </w:rPr>
      </w:pPr>
    </w:p>
    <w:p w14:paraId="729A3C80" w14:textId="164EEAA6" w:rsidR="00E978DD" w:rsidRPr="00BC71D0" w:rsidRDefault="00E978DD" w:rsidP="00BC71D0">
      <w:pPr>
        <w:shd w:val="clear" w:color="auto" w:fill="FFFFFF"/>
        <w:spacing w:line="240" w:lineRule="atLeast"/>
        <w:textAlignment w:val="baseline"/>
        <w:rPr>
          <w:rFonts w:eastAsia="Times New Roman" w:cstheme="minorHAnsi"/>
          <w:i/>
        </w:rPr>
      </w:pPr>
      <w:r w:rsidRPr="00BC71D0">
        <w:rPr>
          <w:rFonts w:eastAsia="Times New Roman" w:cstheme="minorHAnsi"/>
          <w:i/>
        </w:rPr>
        <w:t>Offices/Programs/Activities</w:t>
      </w:r>
    </w:p>
    <w:p w14:paraId="220FE2BA" w14:textId="77777777" w:rsidR="00E978DD" w:rsidRPr="00F467FC" w:rsidRDefault="00E978DD"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U.S. Department of Labor, Occupational Safety and Health Administration. Available at</w:t>
      </w:r>
      <w:r w:rsidRPr="00F467FC">
        <w:rPr>
          <w:rFonts w:eastAsia="Times New Roman" w:cstheme="minorHAnsi"/>
          <w:color w:val="737373"/>
        </w:rPr>
        <w:t> </w:t>
      </w:r>
      <w:hyperlink r:id="rId157" w:tgtFrame="_blank" w:tooltip="http://www.osha.gov" w:history="1">
        <w:r w:rsidRPr="00F467FC">
          <w:rPr>
            <w:rFonts w:eastAsia="Times New Roman" w:cstheme="minorHAnsi"/>
            <w:color w:val="0F88B8"/>
            <w:u w:val="single"/>
            <w:bdr w:val="none" w:sz="0" w:space="0" w:color="auto" w:frame="1"/>
          </w:rPr>
          <w:t>http://www.osha.gov</w:t>
        </w:r>
      </w:hyperlink>
      <w:r w:rsidRPr="00F467FC">
        <w:rPr>
          <w:rFonts w:eastAsia="Times New Roman" w:cstheme="minorHAnsi"/>
          <w:color w:val="737373"/>
        </w:rPr>
        <w:t>.</w:t>
      </w:r>
    </w:p>
    <w:p w14:paraId="6D00429C"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5679C685" w14:textId="70BBBAF5" w:rsidR="00E978DD" w:rsidRPr="00F467FC" w:rsidRDefault="00E978DD" w:rsidP="00E978DD">
      <w:pPr>
        <w:shd w:val="clear" w:color="auto" w:fill="FFFFFF"/>
        <w:spacing w:line="240" w:lineRule="atLeast"/>
        <w:textAlignment w:val="baseline"/>
        <w:rPr>
          <w:rFonts w:eastAsia="Times New Roman" w:cstheme="minorHAnsi"/>
        </w:rPr>
      </w:pPr>
      <w:r w:rsidRPr="00F467FC">
        <w:rPr>
          <w:rFonts w:eastAsia="Times New Roman" w:cstheme="minorHAnsi"/>
          <w:i/>
          <w:iCs/>
          <w:bdr w:val="none" w:sz="0" w:space="0" w:color="auto" w:frame="1"/>
        </w:rPr>
        <w:t>Other Resources</w:t>
      </w:r>
    </w:p>
    <w:p w14:paraId="18C1CB10" w14:textId="77777777" w:rsidR="00E978DD" w:rsidRPr="00F467FC" w:rsidRDefault="00E978DD"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U.S. Department of Labor, Occupational Safety and Health Administration. "Emergency Preparedness and Response." Available at </w:t>
      </w:r>
      <w:hyperlink r:id="rId158" w:tgtFrame="_blank" w:tooltip="http://www.osha.gov/SLTC/emergencypreparedness/index.html" w:history="1">
        <w:r w:rsidRPr="00F467FC">
          <w:rPr>
            <w:rFonts w:eastAsia="Times New Roman" w:cstheme="minorHAnsi"/>
            <w:color w:val="0F88B8"/>
            <w:u w:val="single"/>
            <w:bdr w:val="none" w:sz="0" w:space="0" w:color="auto" w:frame="1"/>
          </w:rPr>
          <w:t>http://www.osha.gov/SLTC/emergencypreparedness/index.html</w:t>
        </w:r>
      </w:hyperlink>
      <w:r w:rsidRPr="00F467FC">
        <w:rPr>
          <w:rFonts w:eastAsia="Times New Roman" w:cstheme="minorHAnsi"/>
          <w:color w:val="737373"/>
        </w:rPr>
        <w:t>.</w:t>
      </w:r>
    </w:p>
    <w:p w14:paraId="6073A20D" w14:textId="77777777" w:rsidR="00BC71D0" w:rsidRDefault="00BC71D0" w:rsidP="00E978DD">
      <w:pPr>
        <w:shd w:val="clear" w:color="auto" w:fill="FFFFFF"/>
        <w:spacing w:line="240" w:lineRule="atLeast"/>
        <w:textAlignment w:val="baseline"/>
        <w:rPr>
          <w:rFonts w:eastAsia="Times New Roman" w:cstheme="minorHAnsi"/>
        </w:rPr>
      </w:pPr>
    </w:p>
    <w:p w14:paraId="5D97EA1F" w14:textId="3E085362" w:rsidR="00E978DD" w:rsidRPr="00F467FC" w:rsidRDefault="00E978DD"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U.S. Department of Labor, Occupational Safety and Health Administration. Information about OSHA for Workers. Available at </w:t>
      </w:r>
      <w:hyperlink r:id="rId159" w:tgtFrame="_blank" w:tooltip="http://www.osha.gov/workers.html" w:history="1">
        <w:r w:rsidRPr="00F467FC">
          <w:rPr>
            <w:rFonts w:eastAsia="Times New Roman" w:cstheme="minorHAnsi"/>
            <w:color w:val="0F88B8"/>
            <w:u w:val="single"/>
            <w:bdr w:val="none" w:sz="0" w:space="0" w:color="auto" w:frame="1"/>
          </w:rPr>
          <w:t>http://www.osha.gov/workers.html</w:t>
        </w:r>
      </w:hyperlink>
      <w:r w:rsidRPr="00F467FC">
        <w:rPr>
          <w:rFonts w:eastAsia="Times New Roman" w:cstheme="minorHAnsi"/>
          <w:color w:val="737373"/>
        </w:rPr>
        <w:t>. </w:t>
      </w:r>
    </w:p>
    <w:p w14:paraId="1E6D1797" w14:textId="77777777" w:rsidR="00BC71D0" w:rsidRDefault="00BC71D0" w:rsidP="00E978DD">
      <w:pPr>
        <w:shd w:val="clear" w:color="auto" w:fill="FFFFFF"/>
        <w:spacing w:line="240" w:lineRule="atLeast"/>
        <w:textAlignment w:val="baseline"/>
        <w:rPr>
          <w:rFonts w:eastAsia="Times New Roman" w:cstheme="minorHAnsi"/>
        </w:rPr>
      </w:pPr>
    </w:p>
    <w:p w14:paraId="27FD81C7" w14:textId="4F1CC98D" w:rsidR="00E978DD" w:rsidRPr="00F467FC" w:rsidRDefault="00E978DD"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U.S. Department of Labor, Occupational Safety and Health Administration. "OSHA Coverage of State and Local Government Workers." Available at </w:t>
      </w:r>
      <w:hyperlink r:id="rId160" w:tgtFrame="_blank" w:tooltip="http://www.osha.gov/workers/index.html" w:history="1">
        <w:r w:rsidRPr="00F467FC">
          <w:rPr>
            <w:rFonts w:eastAsia="Times New Roman" w:cstheme="minorHAnsi"/>
            <w:color w:val="0F88B8"/>
            <w:u w:val="single"/>
            <w:bdr w:val="none" w:sz="0" w:space="0" w:color="auto" w:frame="1"/>
          </w:rPr>
          <w:t>http://www.osha.gov/workers/index.html</w:t>
        </w:r>
      </w:hyperlink>
      <w:r w:rsidRPr="00F467FC">
        <w:rPr>
          <w:rFonts w:eastAsia="Times New Roman" w:cstheme="minorHAnsi"/>
          <w:color w:val="737373"/>
        </w:rPr>
        <w:t>. </w:t>
      </w:r>
    </w:p>
    <w:p w14:paraId="436872F4" w14:textId="77777777" w:rsidR="00E978DD" w:rsidRPr="00F467FC" w:rsidRDefault="00E978DD" w:rsidP="00E978DD">
      <w:pPr>
        <w:shd w:val="clear" w:color="auto" w:fill="FFFFFF"/>
        <w:spacing w:after="225" w:line="240" w:lineRule="atLeast"/>
        <w:textAlignment w:val="baseline"/>
        <w:rPr>
          <w:rFonts w:eastAsia="Times New Roman" w:cstheme="minorHAnsi"/>
        </w:rPr>
      </w:pPr>
      <w:r w:rsidRPr="00F467FC">
        <w:rPr>
          <w:rFonts w:eastAsia="Times New Roman" w:cstheme="minorHAnsi"/>
        </w:rPr>
        <w:t> </w:t>
      </w:r>
    </w:p>
    <w:p w14:paraId="190ED54E" w14:textId="77777777" w:rsidR="00E978DD" w:rsidRPr="00F467FC" w:rsidRDefault="00E978DD" w:rsidP="00E978DD">
      <w:pPr>
        <w:shd w:val="clear" w:color="auto" w:fill="FFFFFF"/>
        <w:spacing w:line="240" w:lineRule="atLeast"/>
        <w:textAlignment w:val="baseline"/>
        <w:rPr>
          <w:rFonts w:eastAsia="Times New Roman" w:cstheme="minorHAnsi"/>
        </w:rPr>
      </w:pPr>
      <w:r w:rsidRPr="00F467FC">
        <w:rPr>
          <w:rFonts w:eastAsia="Times New Roman" w:cstheme="minorHAnsi"/>
          <w:b/>
          <w:bCs/>
          <w:bdr w:val="none" w:sz="0" w:space="0" w:color="auto" w:frame="1"/>
        </w:rPr>
        <w:t>Public Health Security and Bioterrorism Response Act</w:t>
      </w:r>
    </w:p>
    <w:p w14:paraId="50C34B1B"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6919E2EE" w14:textId="5A2ECEE0" w:rsidR="00E978DD" w:rsidRPr="00F467FC" w:rsidRDefault="00E978DD" w:rsidP="00E978DD">
      <w:pPr>
        <w:shd w:val="clear" w:color="auto" w:fill="FFFFFF"/>
        <w:spacing w:line="240" w:lineRule="atLeast"/>
        <w:textAlignment w:val="baseline"/>
        <w:rPr>
          <w:rFonts w:eastAsia="Times New Roman" w:cstheme="minorHAnsi"/>
        </w:rPr>
      </w:pPr>
      <w:r w:rsidRPr="00F467FC">
        <w:rPr>
          <w:rFonts w:eastAsia="Times New Roman" w:cstheme="minorHAnsi"/>
          <w:i/>
          <w:iCs/>
          <w:bdr w:val="none" w:sz="0" w:space="0" w:color="auto" w:frame="1"/>
        </w:rPr>
        <w:t>Public Law, Statute and Regulations</w:t>
      </w:r>
    </w:p>
    <w:p w14:paraId="2123BD3F" w14:textId="77777777" w:rsidR="00E978DD" w:rsidRPr="00F467FC" w:rsidRDefault="00E978DD"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Public Health Security and Bioterrorism Response Act of 2002. Pub. L. 107-188. Available at</w:t>
      </w:r>
      <w:r w:rsidRPr="00F467FC">
        <w:rPr>
          <w:rFonts w:eastAsia="Times New Roman" w:cstheme="minorHAnsi"/>
          <w:color w:val="737373"/>
        </w:rPr>
        <w:t> </w:t>
      </w:r>
      <w:hyperlink r:id="rId161" w:tgtFrame="_blank" w:tooltip="http://www.gpo.gov/fdsys/pkg/PLAW-107publ188/html/PLAW-107publ188.htm" w:history="1">
        <w:r w:rsidRPr="00F467FC">
          <w:rPr>
            <w:rFonts w:eastAsia="Times New Roman" w:cstheme="minorHAnsi"/>
            <w:color w:val="0F88B8"/>
            <w:u w:val="single"/>
            <w:bdr w:val="none" w:sz="0" w:space="0" w:color="auto" w:frame="1"/>
          </w:rPr>
          <w:t>http://www.gpo.gov/fdsys/pkg/PLAW-107publ188/html/PLAW-107publ188.htm</w:t>
        </w:r>
      </w:hyperlink>
      <w:r w:rsidRPr="00F467FC">
        <w:rPr>
          <w:rFonts w:eastAsia="Times New Roman" w:cstheme="minorHAnsi"/>
          <w:color w:val="737373"/>
        </w:rPr>
        <w:t>.</w:t>
      </w:r>
    </w:p>
    <w:p w14:paraId="731FEC3B" w14:textId="77777777" w:rsidR="00E978DD" w:rsidRPr="00F467FC" w:rsidRDefault="00E978DD" w:rsidP="00E978DD">
      <w:pPr>
        <w:shd w:val="clear" w:color="auto" w:fill="FFFFFF"/>
        <w:spacing w:after="225" w:line="240" w:lineRule="atLeast"/>
        <w:textAlignment w:val="baseline"/>
        <w:rPr>
          <w:rFonts w:eastAsia="Times New Roman" w:cstheme="minorHAnsi"/>
        </w:rPr>
      </w:pPr>
      <w:r w:rsidRPr="00F467FC">
        <w:rPr>
          <w:rFonts w:eastAsia="Times New Roman" w:cstheme="minorHAnsi"/>
        </w:rPr>
        <w:t> </w:t>
      </w:r>
    </w:p>
    <w:p w14:paraId="2AB6852D" w14:textId="77777777" w:rsidR="00E978DD" w:rsidRPr="00F467FC" w:rsidRDefault="00E978DD" w:rsidP="00E978DD">
      <w:pPr>
        <w:shd w:val="clear" w:color="auto" w:fill="FFFFFF"/>
        <w:spacing w:line="240" w:lineRule="atLeast"/>
        <w:textAlignment w:val="baseline"/>
        <w:rPr>
          <w:rFonts w:eastAsia="Times New Roman" w:cstheme="minorHAnsi"/>
        </w:rPr>
      </w:pPr>
      <w:r w:rsidRPr="00F467FC">
        <w:rPr>
          <w:rFonts w:eastAsia="Times New Roman" w:cstheme="minorHAnsi"/>
          <w:b/>
          <w:bCs/>
          <w:bdr w:val="none" w:sz="0" w:space="0" w:color="auto" w:frame="1"/>
        </w:rPr>
        <w:t>Right to Privacy</w:t>
      </w:r>
    </w:p>
    <w:p w14:paraId="371FDEFF" w14:textId="77777777" w:rsidR="00E978DD" w:rsidRPr="00F467FC" w:rsidRDefault="00E978DD"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 xml:space="preserve">See </w:t>
      </w:r>
      <w:r w:rsidRPr="00F467FC">
        <w:rPr>
          <w:rFonts w:eastAsia="Times New Roman" w:cstheme="minorHAnsi"/>
          <w:color w:val="737373"/>
        </w:rPr>
        <w:t>"</w:t>
      </w:r>
      <w:hyperlink r:id="rId162" w:anchor="Individual-Rights" w:history="1">
        <w:r w:rsidRPr="00F467FC">
          <w:rPr>
            <w:rFonts w:eastAsia="Times New Roman" w:cstheme="minorHAnsi"/>
            <w:i/>
            <w:iCs/>
            <w:color w:val="0F88B8"/>
            <w:u w:val="single"/>
            <w:bdr w:val="none" w:sz="0" w:space="0" w:color="auto" w:frame="1"/>
          </w:rPr>
          <w:t>Individual Rights vs. Police Powers</w:t>
        </w:r>
      </w:hyperlink>
      <w:r w:rsidRPr="00F467FC">
        <w:rPr>
          <w:rFonts w:eastAsia="Times New Roman" w:cstheme="minorHAnsi"/>
          <w:color w:val="737373"/>
        </w:rPr>
        <w:t>"</w:t>
      </w:r>
    </w:p>
    <w:p w14:paraId="7D9FF59F"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5CBAB9B2" w14:textId="6F251B94" w:rsidR="00E978DD" w:rsidRPr="00F467FC" w:rsidRDefault="00E978DD" w:rsidP="00E978DD">
      <w:pPr>
        <w:shd w:val="clear" w:color="auto" w:fill="FFFFFF"/>
        <w:spacing w:line="240" w:lineRule="atLeast"/>
        <w:textAlignment w:val="baseline"/>
        <w:rPr>
          <w:rFonts w:eastAsia="Times New Roman" w:cstheme="minorHAnsi"/>
        </w:rPr>
      </w:pPr>
      <w:r w:rsidRPr="00F467FC">
        <w:rPr>
          <w:rFonts w:eastAsia="Times New Roman" w:cstheme="minorHAnsi"/>
          <w:i/>
          <w:iCs/>
          <w:bdr w:val="none" w:sz="0" w:space="0" w:color="auto" w:frame="1"/>
        </w:rPr>
        <w:t>Resources</w:t>
      </w:r>
    </w:p>
    <w:p w14:paraId="0272D26F" w14:textId="77777777" w:rsidR="00E978DD" w:rsidRPr="00F467FC" w:rsidRDefault="00E978DD" w:rsidP="00E978DD">
      <w:pPr>
        <w:shd w:val="clear" w:color="auto" w:fill="FFFFFF"/>
        <w:spacing w:line="240" w:lineRule="atLeast"/>
        <w:textAlignment w:val="baseline"/>
        <w:rPr>
          <w:rFonts w:eastAsia="Times New Roman" w:cstheme="minorHAnsi"/>
          <w:color w:val="737373"/>
        </w:rPr>
      </w:pPr>
      <w:proofErr w:type="spellStart"/>
      <w:r w:rsidRPr="00F467FC">
        <w:rPr>
          <w:rFonts w:eastAsia="Times New Roman" w:cstheme="minorHAnsi"/>
        </w:rPr>
        <w:t>Gorkin</w:t>
      </w:r>
      <w:proofErr w:type="spellEnd"/>
      <w:r w:rsidRPr="00F467FC">
        <w:rPr>
          <w:rFonts w:eastAsia="Times New Roman" w:cstheme="minorHAnsi"/>
        </w:rPr>
        <w:t>, R. "The Constitutional Right to Information Privacy: </w:t>
      </w:r>
      <w:r w:rsidRPr="00F467FC">
        <w:rPr>
          <w:rFonts w:eastAsia="Times New Roman" w:cstheme="minorHAnsi"/>
          <w:i/>
          <w:iCs/>
          <w:bdr w:val="none" w:sz="0" w:space="0" w:color="auto" w:frame="1"/>
        </w:rPr>
        <w:t>NASA v. Nelson</w:t>
      </w:r>
      <w:r w:rsidRPr="00F467FC">
        <w:rPr>
          <w:rFonts w:eastAsia="Times New Roman" w:cstheme="minorHAnsi"/>
        </w:rPr>
        <w:t>." 2012. Available at </w:t>
      </w:r>
      <w:hyperlink r:id="rId163" w:tgtFrame="_blank" w:tooltip="http://scholarship.law.duke.edu/cgi/viewcontent.cgi?article=1063&amp;amp;context=djclpp_sidebar" w:history="1">
        <w:r w:rsidRPr="00F467FC">
          <w:rPr>
            <w:rFonts w:eastAsia="Times New Roman" w:cstheme="minorHAnsi"/>
            <w:color w:val="0F88B8"/>
            <w:u w:val="single"/>
            <w:bdr w:val="none" w:sz="0" w:space="0" w:color="auto" w:frame="1"/>
          </w:rPr>
          <w:t>http://scholarship.law.duke.edu/cgi/viewcontent.cgi?article=1063&amp;context=djclpp_sidebar</w:t>
        </w:r>
      </w:hyperlink>
      <w:r w:rsidRPr="00F467FC">
        <w:rPr>
          <w:rFonts w:eastAsia="Times New Roman" w:cstheme="minorHAnsi"/>
          <w:color w:val="737373"/>
        </w:rPr>
        <w:t>.</w:t>
      </w:r>
    </w:p>
    <w:p w14:paraId="09FFADF7" w14:textId="77777777" w:rsidR="00E978DD" w:rsidRPr="00F467FC" w:rsidRDefault="00E978DD" w:rsidP="00E978DD">
      <w:pPr>
        <w:shd w:val="clear" w:color="auto" w:fill="FFFFFF"/>
        <w:spacing w:after="225" w:line="240" w:lineRule="atLeast"/>
        <w:textAlignment w:val="baseline"/>
        <w:rPr>
          <w:rFonts w:eastAsia="Times New Roman" w:cstheme="minorHAnsi"/>
        </w:rPr>
      </w:pPr>
      <w:r w:rsidRPr="00F467FC">
        <w:rPr>
          <w:rFonts w:eastAsia="Times New Roman" w:cstheme="minorHAnsi"/>
        </w:rPr>
        <w:t> </w:t>
      </w:r>
    </w:p>
    <w:p w14:paraId="30C194B5" w14:textId="77777777" w:rsidR="00E978DD" w:rsidRPr="00F467FC" w:rsidRDefault="00E978DD" w:rsidP="00E978DD">
      <w:pPr>
        <w:shd w:val="clear" w:color="auto" w:fill="FFFFFF"/>
        <w:spacing w:line="240" w:lineRule="atLeast"/>
        <w:textAlignment w:val="baseline"/>
        <w:rPr>
          <w:rFonts w:eastAsia="Times New Roman" w:cstheme="minorHAnsi"/>
        </w:rPr>
      </w:pPr>
      <w:r w:rsidRPr="00F467FC">
        <w:rPr>
          <w:rFonts w:eastAsia="Times New Roman" w:cstheme="minorHAnsi"/>
          <w:b/>
          <w:bCs/>
          <w:bdr w:val="none" w:sz="0" w:space="0" w:color="auto" w:frame="1"/>
        </w:rPr>
        <w:t>Surveillance, Public Health</w:t>
      </w:r>
    </w:p>
    <w:p w14:paraId="744B9A40"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0D72A22A" w14:textId="7C9ED483" w:rsidR="00E978DD" w:rsidRPr="00F467FC" w:rsidRDefault="00E978DD" w:rsidP="00E978DD">
      <w:pPr>
        <w:shd w:val="clear" w:color="auto" w:fill="FFFFFF"/>
        <w:spacing w:line="240" w:lineRule="atLeast"/>
        <w:textAlignment w:val="baseline"/>
        <w:rPr>
          <w:rFonts w:eastAsia="Times New Roman" w:cstheme="minorHAnsi"/>
        </w:rPr>
      </w:pPr>
      <w:r w:rsidRPr="00F467FC">
        <w:rPr>
          <w:rFonts w:eastAsia="Times New Roman" w:cstheme="minorHAnsi"/>
          <w:i/>
          <w:iCs/>
          <w:bdr w:val="none" w:sz="0" w:space="0" w:color="auto" w:frame="1"/>
        </w:rPr>
        <w:t>Offices/Programs/Activities</w:t>
      </w:r>
    </w:p>
    <w:p w14:paraId="01C3D541" w14:textId="77777777" w:rsidR="00E978DD" w:rsidRPr="00F467FC" w:rsidRDefault="00E978DD" w:rsidP="00E978DD">
      <w:pPr>
        <w:shd w:val="clear" w:color="auto" w:fill="FFFFFF"/>
        <w:spacing w:line="240" w:lineRule="atLeast"/>
        <w:textAlignment w:val="baseline"/>
        <w:rPr>
          <w:rFonts w:eastAsia="Times New Roman" w:cstheme="minorHAnsi"/>
        </w:rPr>
      </w:pPr>
      <w:r w:rsidRPr="00F467FC">
        <w:rPr>
          <w:rFonts w:eastAsia="Times New Roman" w:cstheme="minorHAnsi"/>
        </w:rPr>
        <w:t>CDC. "CDC Surveillance Resource Center." Available at </w:t>
      </w:r>
      <w:hyperlink r:id="rId164" w:tgtFrame="_blank" w:tooltip="http://www.cdc.gov/surveillancepractice" w:history="1">
        <w:r w:rsidRPr="00F467FC">
          <w:rPr>
            <w:rFonts w:eastAsia="Times New Roman" w:cstheme="minorHAnsi"/>
            <w:u w:val="single"/>
            <w:bdr w:val="none" w:sz="0" w:space="0" w:color="auto" w:frame="1"/>
          </w:rPr>
          <w:t>http://www.cdc.gov/surveillancepractice</w:t>
        </w:r>
      </w:hyperlink>
      <w:r w:rsidRPr="00F467FC">
        <w:rPr>
          <w:rFonts w:eastAsia="Times New Roman" w:cstheme="minorHAnsi"/>
        </w:rPr>
        <w:t>.</w:t>
      </w:r>
    </w:p>
    <w:p w14:paraId="50D8CBFB" w14:textId="77777777" w:rsidR="00E978DD" w:rsidRPr="00F467FC" w:rsidRDefault="00E978DD" w:rsidP="00E978DD">
      <w:pPr>
        <w:shd w:val="clear" w:color="auto" w:fill="FFFFFF"/>
        <w:spacing w:line="240" w:lineRule="atLeast"/>
        <w:textAlignment w:val="baseline"/>
        <w:rPr>
          <w:rFonts w:eastAsia="Times New Roman" w:cstheme="minorHAnsi"/>
        </w:rPr>
      </w:pPr>
      <w:r w:rsidRPr="00F467FC">
        <w:rPr>
          <w:rFonts w:eastAsia="Times New Roman" w:cstheme="minorHAnsi"/>
          <w:i/>
          <w:iCs/>
          <w:bdr w:val="none" w:sz="0" w:space="0" w:color="auto" w:frame="1"/>
        </w:rPr>
        <w:t>Other Resources</w:t>
      </w:r>
    </w:p>
    <w:p w14:paraId="51BCC50B" w14:textId="77777777" w:rsidR="00BC71D0" w:rsidRDefault="00BC71D0" w:rsidP="00E978DD">
      <w:pPr>
        <w:shd w:val="clear" w:color="auto" w:fill="FFFFFF"/>
        <w:spacing w:line="240" w:lineRule="atLeast"/>
        <w:textAlignment w:val="baseline"/>
        <w:rPr>
          <w:rFonts w:eastAsia="Times New Roman" w:cstheme="minorHAnsi"/>
        </w:rPr>
      </w:pPr>
    </w:p>
    <w:p w14:paraId="28164892" w14:textId="13698269" w:rsidR="00E978DD" w:rsidRPr="00F467FC" w:rsidRDefault="00E978DD"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lastRenderedPageBreak/>
        <w:t>CDC. "Emergency Preparedness and Response: Surveillance." Available at</w:t>
      </w:r>
      <w:r w:rsidRPr="00F467FC">
        <w:rPr>
          <w:rFonts w:eastAsia="Times New Roman" w:cstheme="minorHAnsi"/>
          <w:color w:val="737373"/>
        </w:rPr>
        <w:t> </w:t>
      </w:r>
      <w:hyperlink r:id="rId165" w:tgtFrame="_blank" w:tooltip="http://www.bt.cdc.gov/episurv" w:history="1">
        <w:r w:rsidRPr="00F467FC">
          <w:rPr>
            <w:rFonts w:eastAsia="Times New Roman" w:cstheme="minorHAnsi"/>
            <w:color w:val="0F88B8"/>
            <w:u w:val="single"/>
            <w:bdr w:val="none" w:sz="0" w:space="0" w:color="auto" w:frame="1"/>
          </w:rPr>
          <w:t>http://www.bt.cdc.gov/episurv</w:t>
        </w:r>
      </w:hyperlink>
      <w:r w:rsidRPr="00F467FC">
        <w:rPr>
          <w:rFonts w:eastAsia="Times New Roman" w:cstheme="minorHAnsi"/>
          <w:color w:val="737373"/>
        </w:rPr>
        <w:t>.</w:t>
      </w:r>
    </w:p>
    <w:p w14:paraId="1D7C81B3" w14:textId="77777777" w:rsidR="00BC71D0" w:rsidRDefault="00BC71D0" w:rsidP="00E978DD">
      <w:pPr>
        <w:shd w:val="clear" w:color="auto" w:fill="FFFFFF"/>
        <w:spacing w:line="240" w:lineRule="atLeast"/>
        <w:textAlignment w:val="baseline"/>
        <w:rPr>
          <w:rFonts w:eastAsia="Times New Roman" w:cstheme="minorHAnsi"/>
        </w:rPr>
      </w:pPr>
    </w:p>
    <w:p w14:paraId="79EADCCE" w14:textId="51E01B19" w:rsidR="00E978DD" w:rsidRPr="00F467FC" w:rsidRDefault="00E978DD"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CDC. "National Notifiable Diseases Surveillance System (NNDSS)." Available at </w:t>
      </w:r>
      <w:hyperlink r:id="rId166" w:tgtFrame="_blank" w:tooltip="http://wwwn.cdc.gov/nndss/" w:history="1">
        <w:r w:rsidRPr="00F467FC">
          <w:rPr>
            <w:rFonts w:eastAsia="Times New Roman" w:cstheme="minorHAnsi"/>
            <w:color w:val="0F88B8"/>
            <w:u w:val="single"/>
            <w:bdr w:val="none" w:sz="0" w:space="0" w:color="auto" w:frame="1"/>
          </w:rPr>
          <w:t>http://wwwn.cdc.gov/nndss/</w:t>
        </w:r>
      </w:hyperlink>
      <w:r w:rsidRPr="00F467FC">
        <w:rPr>
          <w:rFonts w:eastAsia="Times New Roman" w:cstheme="minorHAnsi"/>
          <w:color w:val="737373"/>
        </w:rPr>
        <w:t>.</w:t>
      </w:r>
    </w:p>
    <w:p w14:paraId="4225CDE3" w14:textId="77777777" w:rsidR="00E978DD" w:rsidRPr="00F467FC" w:rsidRDefault="00E978DD" w:rsidP="00E978DD">
      <w:pPr>
        <w:shd w:val="clear" w:color="auto" w:fill="FFFFFF"/>
        <w:spacing w:line="240" w:lineRule="atLeast"/>
        <w:textAlignment w:val="baseline"/>
        <w:rPr>
          <w:rFonts w:eastAsia="Times New Roman" w:cstheme="minorHAnsi"/>
        </w:rPr>
      </w:pPr>
      <w:r w:rsidRPr="00F467FC">
        <w:rPr>
          <w:rFonts w:eastAsia="Times New Roman" w:cstheme="minorHAnsi"/>
          <w:b/>
          <w:bCs/>
          <w:bdr w:val="none" w:sz="0" w:space="0" w:color="auto" w:frame="1"/>
        </w:rPr>
        <w:t> </w:t>
      </w:r>
    </w:p>
    <w:p w14:paraId="3F584B77" w14:textId="77777777" w:rsidR="00E978DD" w:rsidRPr="00F467FC" w:rsidRDefault="00E978DD" w:rsidP="00E978DD">
      <w:pPr>
        <w:shd w:val="clear" w:color="auto" w:fill="FFFFFF"/>
        <w:spacing w:line="240" w:lineRule="atLeast"/>
        <w:textAlignment w:val="baseline"/>
        <w:rPr>
          <w:rFonts w:eastAsia="Times New Roman" w:cstheme="minorHAnsi"/>
        </w:rPr>
      </w:pPr>
      <w:r w:rsidRPr="00F467FC">
        <w:rPr>
          <w:rFonts w:eastAsia="Times New Roman" w:cstheme="minorHAnsi"/>
          <w:b/>
          <w:bCs/>
          <w:bdr w:val="none" w:sz="0" w:space="0" w:color="auto" w:frame="1"/>
        </w:rPr>
        <w:t>Syndromic Surveillance</w:t>
      </w:r>
    </w:p>
    <w:p w14:paraId="3953F171" w14:textId="77777777" w:rsidR="00E978DD" w:rsidRPr="00F467FC" w:rsidRDefault="00E978DD"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 xml:space="preserve">See also </w:t>
      </w:r>
      <w:r w:rsidRPr="00F467FC">
        <w:rPr>
          <w:rFonts w:eastAsia="Times New Roman" w:cstheme="minorHAnsi"/>
          <w:color w:val="737373"/>
        </w:rPr>
        <w:t>"</w:t>
      </w:r>
      <w:hyperlink r:id="rId167" w:anchor="Surveillance" w:history="1">
        <w:r w:rsidRPr="00F467FC">
          <w:rPr>
            <w:rFonts w:eastAsia="Times New Roman" w:cstheme="minorHAnsi"/>
            <w:i/>
            <w:iCs/>
            <w:color w:val="0F88B8"/>
            <w:u w:val="single"/>
            <w:bdr w:val="none" w:sz="0" w:space="0" w:color="auto" w:frame="1"/>
          </w:rPr>
          <w:t>Surveillance</w:t>
        </w:r>
      </w:hyperlink>
      <w:r w:rsidRPr="00F467FC">
        <w:rPr>
          <w:rFonts w:eastAsia="Times New Roman" w:cstheme="minorHAnsi"/>
          <w:color w:val="737373"/>
        </w:rPr>
        <w:t>"</w:t>
      </w:r>
    </w:p>
    <w:p w14:paraId="28EDAB90"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64625464" w14:textId="4C886DEB" w:rsidR="00E978DD" w:rsidRPr="00F467FC" w:rsidRDefault="00E978DD" w:rsidP="00E978DD">
      <w:pPr>
        <w:shd w:val="clear" w:color="auto" w:fill="FFFFFF"/>
        <w:spacing w:line="240" w:lineRule="atLeast"/>
        <w:textAlignment w:val="baseline"/>
        <w:rPr>
          <w:rFonts w:eastAsia="Times New Roman" w:cstheme="minorHAnsi"/>
        </w:rPr>
      </w:pPr>
      <w:r w:rsidRPr="00F467FC">
        <w:rPr>
          <w:rFonts w:eastAsia="Times New Roman" w:cstheme="minorHAnsi"/>
          <w:i/>
          <w:iCs/>
          <w:bdr w:val="none" w:sz="0" w:space="0" w:color="auto" w:frame="1"/>
        </w:rPr>
        <w:t>Resources</w:t>
      </w:r>
    </w:p>
    <w:p w14:paraId="2B4C6017" w14:textId="77777777" w:rsidR="00E978DD" w:rsidRPr="00F467FC" w:rsidRDefault="00E978DD"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Association of State and Territorial Health Officers (ASTHO). "Information Management for State Health Officials: The Impact of the HIPAA Privacy Rule on Syndromic Surveillance." 2004. Available at</w:t>
      </w:r>
      <w:r w:rsidRPr="00F467FC">
        <w:rPr>
          <w:rFonts w:eastAsia="Times New Roman" w:cstheme="minorHAnsi"/>
          <w:color w:val="737373"/>
          <w:u w:val="single"/>
          <w:bdr w:val="none" w:sz="0" w:space="0" w:color="auto" w:frame="1"/>
        </w:rPr>
        <w:t> </w:t>
      </w:r>
      <w:bookmarkStart w:id="0" w:name="_Hlk346707553"/>
      <w:bookmarkEnd w:id="0"/>
      <w:r w:rsidRPr="00F467FC">
        <w:rPr>
          <w:rFonts w:eastAsia="Times New Roman" w:cstheme="minorHAnsi"/>
          <w:color w:val="737373"/>
        </w:rPr>
        <w:fldChar w:fldCharType="begin"/>
      </w:r>
      <w:r w:rsidRPr="00F467FC">
        <w:rPr>
          <w:rFonts w:eastAsia="Times New Roman" w:cstheme="minorHAnsi"/>
          <w:color w:val="737373"/>
        </w:rPr>
        <w:instrText xml:space="preserve"> HYPERLINK "http://www.astho.org/Programs/e-Health/Privacy/Materials/The-Impact-of-the-HIPAA-Privacy-Rule-on-Syndromic-Surveillance-(2004)/" \o "http://www.astho.org/Programs/e-Health/Privacy/Materials/The-Impact-of-the-HIPAA-Privacy-Rule-on-Syndromic-Surveillance-(2004)/" </w:instrText>
      </w:r>
      <w:r w:rsidRPr="00F467FC">
        <w:rPr>
          <w:rFonts w:eastAsia="Times New Roman" w:cstheme="minorHAnsi"/>
          <w:color w:val="737373"/>
        </w:rPr>
        <w:fldChar w:fldCharType="separate"/>
      </w:r>
      <w:r w:rsidRPr="00F467FC">
        <w:rPr>
          <w:rFonts w:eastAsia="Times New Roman" w:cstheme="minorHAnsi"/>
          <w:color w:val="0F88B8"/>
          <w:u w:val="single"/>
          <w:bdr w:val="none" w:sz="0" w:space="0" w:color="auto" w:frame="1"/>
        </w:rPr>
        <w:t>http://www.astho.org/Programs/e-Health/Privacy/Materials/The-Impact-of-the-HIPAA-Privacy-Rule-on-Syndromic-Surveillance-(2004)/</w:t>
      </w:r>
      <w:r w:rsidRPr="00F467FC">
        <w:rPr>
          <w:rFonts w:eastAsia="Times New Roman" w:cstheme="minorHAnsi"/>
          <w:color w:val="737373"/>
        </w:rPr>
        <w:fldChar w:fldCharType="end"/>
      </w:r>
      <w:r w:rsidRPr="00F467FC">
        <w:rPr>
          <w:rFonts w:eastAsia="Times New Roman" w:cstheme="minorHAnsi"/>
          <w:color w:val="737373"/>
        </w:rPr>
        <w:t>.</w:t>
      </w:r>
    </w:p>
    <w:p w14:paraId="3C56814E" w14:textId="77777777" w:rsidR="00BC71D0" w:rsidRDefault="00BC71D0" w:rsidP="00E978DD">
      <w:pPr>
        <w:shd w:val="clear" w:color="auto" w:fill="FFFFFF"/>
        <w:spacing w:line="240" w:lineRule="atLeast"/>
        <w:textAlignment w:val="baseline"/>
        <w:rPr>
          <w:rFonts w:eastAsia="Times New Roman" w:cstheme="minorHAnsi"/>
        </w:rPr>
      </w:pPr>
    </w:p>
    <w:p w14:paraId="2C0F0B14" w14:textId="40DB68F6" w:rsidR="00E978DD" w:rsidRPr="00F467FC" w:rsidRDefault="00E978DD"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CDC. "Overview of Syndromic Surveillance: What is Syndromic Surveillance?" </w:t>
      </w:r>
      <w:r w:rsidRPr="00F467FC">
        <w:rPr>
          <w:rFonts w:eastAsia="Times New Roman" w:cstheme="minorHAnsi"/>
          <w:i/>
          <w:iCs/>
          <w:bdr w:val="none" w:sz="0" w:space="0" w:color="auto" w:frame="1"/>
        </w:rPr>
        <w:t>Morbidity and Mortality Weekly Report</w:t>
      </w:r>
      <w:r w:rsidRPr="00F467FC">
        <w:rPr>
          <w:rFonts w:eastAsia="Times New Roman" w:cstheme="minorHAnsi"/>
        </w:rPr>
        <w:t> 2004:53 5-11. Available at </w:t>
      </w:r>
      <w:hyperlink r:id="rId168" w:tgtFrame="_blank" w:tooltip="http://www.cdc.gov/mmwr/preview/mmwrhtml/su5301a3.htm" w:history="1">
        <w:r w:rsidRPr="00F467FC">
          <w:rPr>
            <w:rFonts w:eastAsia="Times New Roman" w:cstheme="minorHAnsi"/>
            <w:color w:val="0F88B8"/>
            <w:u w:val="single"/>
            <w:bdr w:val="none" w:sz="0" w:space="0" w:color="auto" w:frame="1"/>
          </w:rPr>
          <w:t>http://www.cdc.gov/mmwr/preview/mmwrhtml/su5301a3.htm</w:t>
        </w:r>
      </w:hyperlink>
      <w:r w:rsidRPr="00F467FC">
        <w:rPr>
          <w:rFonts w:eastAsia="Times New Roman" w:cstheme="minorHAnsi"/>
          <w:color w:val="737373"/>
        </w:rPr>
        <w:t>.</w:t>
      </w:r>
    </w:p>
    <w:p w14:paraId="5828C4FF" w14:textId="77777777" w:rsidR="00E978DD" w:rsidRPr="00F467FC" w:rsidRDefault="00E978DD" w:rsidP="00E978DD">
      <w:pPr>
        <w:shd w:val="clear" w:color="auto" w:fill="FFFFFF"/>
        <w:spacing w:after="225" w:line="240" w:lineRule="atLeast"/>
        <w:textAlignment w:val="baseline"/>
        <w:rPr>
          <w:rFonts w:eastAsia="Times New Roman" w:cstheme="minorHAnsi"/>
        </w:rPr>
      </w:pPr>
      <w:r w:rsidRPr="00F467FC">
        <w:rPr>
          <w:rFonts w:eastAsia="Times New Roman" w:cstheme="minorHAnsi"/>
          <w:color w:val="737373"/>
        </w:rPr>
        <w:t> </w:t>
      </w:r>
    </w:p>
    <w:p w14:paraId="2F1A5676" w14:textId="77777777" w:rsidR="00E978DD" w:rsidRPr="00F467FC" w:rsidRDefault="00E978DD" w:rsidP="00E978DD">
      <w:pPr>
        <w:shd w:val="clear" w:color="auto" w:fill="FFFFFF"/>
        <w:spacing w:line="240" w:lineRule="atLeast"/>
        <w:textAlignment w:val="baseline"/>
        <w:rPr>
          <w:rFonts w:eastAsia="Times New Roman" w:cstheme="minorHAnsi"/>
        </w:rPr>
      </w:pPr>
      <w:r w:rsidRPr="00F467FC">
        <w:rPr>
          <w:rFonts w:eastAsia="Times New Roman" w:cstheme="minorHAnsi"/>
          <w:b/>
          <w:bCs/>
          <w:bdr w:val="none" w:sz="0" w:space="0" w:color="auto" w:frame="1"/>
        </w:rPr>
        <w:t>U.S.A. Patriot Act</w:t>
      </w:r>
    </w:p>
    <w:p w14:paraId="12E7236E" w14:textId="77777777" w:rsidR="00BC71D0" w:rsidRDefault="00BC71D0" w:rsidP="00E978DD">
      <w:pPr>
        <w:shd w:val="clear" w:color="auto" w:fill="FFFFFF"/>
        <w:spacing w:line="240" w:lineRule="atLeast"/>
        <w:textAlignment w:val="baseline"/>
        <w:rPr>
          <w:rFonts w:eastAsia="Times New Roman" w:cstheme="minorHAnsi"/>
          <w:i/>
          <w:iCs/>
          <w:bdr w:val="none" w:sz="0" w:space="0" w:color="auto" w:frame="1"/>
        </w:rPr>
      </w:pPr>
    </w:p>
    <w:p w14:paraId="2073AEF5" w14:textId="5DAB624E" w:rsidR="00E978DD" w:rsidRPr="00F467FC" w:rsidRDefault="00E978DD" w:rsidP="00E978DD">
      <w:pPr>
        <w:shd w:val="clear" w:color="auto" w:fill="FFFFFF"/>
        <w:spacing w:line="240" w:lineRule="atLeast"/>
        <w:textAlignment w:val="baseline"/>
        <w:rPr>
          <w:rFonts w:eastAsia="Times New Roman" w:cstheme="minorHAnsi"/>
        </w:rPr>
      </w:pPr>
      <w:bookmarkStart w:id="1" w:name="_GoBack"/>
      <w:bookmarkEnd w:id="1"/>
      <w:r w:rsidRPr="00F467FC">
        <w:rPr>
          <w:rFonts w:eastAsia="Times New Roman" w:cstheme="minorHAnsi"/>
          <w:i/>
          <w:iCs/>
          <w:bdr w:val="none" w:sz="0" w:space="0" w:color="auto" w:frame="1"/>
        </w:rPr>
        <w:t>Public Law, Statute and Regulations</w:t>
      </w:r>
    </w:p>
    <w:p w14:paraId="110BA86D" w14:textId="77777777" w:rsidR="00E978DD" w:rsidRPr="00F467FC" w:rsidRDefault="00E978DD"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U.S.A. Patriot Act of 2001. P.L. 107-56. Available at </w:t>
      </w:r>
      <w:hyperlink r:id="rId169" w:tgtFrame="_blank" w:tooltip="http://www.gpo.gov/fdsys/pkg/PLAW-107publ56/pdf/PLAW-107publ56.pdf" w:history="1">
        <w:r w:rsidRPr="00F467FC">
          <w:rPr>
            <w:rFonts w:eastAsia="Times New Roman" w:cstheme="minorHAnsi"/>
            <w:color w:val="0F88B8"/>
            <w:u w:val="single"/>
            <w:bdr w:val="none" w:sz="0" w:space="0" w:color="auto" w:frame="1"/>
          </w:rPr>
          <w:t>http://www.gpo.gov/fdsys/pkg/PLAW-107publ56/pdf/PLAW-107publ56.pdf</w:t>
        </w:r>
      </w:hyperlink>
      <w:r w:rsidRPr="00F467FC">
        <w:rPr>
          <w:rFonts w:eastAsia="Times New Roman" w:cstheme="minorHAnsi"/>
          <w:color w:val="737373"/>
        </w:rPr>
        <w:t>.</w:t>
      </w:r>
    </w:p>
    <w:p w14:paraId="074912A7" w14:textId="77777777" w:rsidR="00E978DD" w:rsidRPr="00F467FC" w:rsidRDefault="00E978DD" w:rsidP="00E978DD">
      <w:pPr>
        <w:shd w:val="clear" w:color="auto" w:fill="FFFFFF"/>
        <w:spacing w:after="225" w:line="240" w:lineRule="atLeast"/>
        <w:textAlignment w:val="baseline"/>
        <w:rPr>
          <w:rFonts w:eastAsia="Times New Roman" w:cstheme="minorHAnsi"/>
        </w:rPr>
      </w:pPr>
      <w:r w:rsidRPr="00F467FC">
        <w:rPr>
          <w:rFonts w:eastAsia="Times New Roman" w:cstheme="minorHAnsi"/>
        </w:rPr>
        <w:t> </w:t>
      </w:r>
    </w:p>
    <w:p w14:paraId="195D34DC" w14:textId="77777777" w:rsidR="00E978DD" w:rsidRPr="00F467FC" w:rsidRDefault="00E978DD" w:rsidP="00E978DD">
      <w:pPr>
        <w:shd w:val="clear" w:color="auto" w:fill="FFFFFF"/>
        <w:spacing w:line="240" w:lineRule="atLeast"/>
        <w:textAlignment w:val="baseline"/>
        <w:rPr>
          <w:rFonts w:eastAsia="Times New Roman" w:cstheme="minorHAnsi"/>
        </w:rPr>
      </w:pPr>
      <w:r w:rsidRPr="00F467FC">
        <w:rPr>
          <w:rFonts w:eastAsia="Times New Roman" w:cstheme="minorHAnsi"/>
          <w:b/>
          <w:bCs/>
          <w:bdr w:val="none" w:sz="0" w:space="0" w:color="auto" w:frame="1"/>
        </w:rPr>
        <w:t>Workplace Preparedness</w:t>
      </w:r>
    </w:p>
    <w:p w14:paraId="27C1AB7F" w14:textId="77777777" w:rsidR="00E978DD" w:rsidRPr="00F467FC" w:rsidRDefault="00E978DD"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 xml:space="preserve">See </w:t>
      </w:r>
      <w:r w:rsidRPr="00F467FC">
        <w:rPr>
          <w:rFonts w:eastAsia="Times New Roman" w:cstheme="minorHAnsi"/>
          <w:color w:val="737373"/>
        </w:rPr>
        <w:t>"</w:t>
      </w:r>
      <w:hyperlink r:id="rId170" w:anchor="Business-and-Employer" w:history="1">
        <w:r w:rsidRPr="00F467FC">
          <w:rPr>
            <w:rFonts w:eastAsia="Times New Roman" w:cstheme="minorHAnsi"/>
            <w:i/>
            <w:iCs/>
            <w:color w:val="0F88B8"/>
            <w:u w:val="single"/>
            <w:bdr w:val="none" w:sz="0" w:space="0" w:color="auto" w:frame="1"/>
          </w:rPr>
          <w:t>Business and Employer Planning and Preparedness</w:t>
        </w:r>
      </w:hyperlink>
      <w:r w:rsidRPr="00F467FC">
        <w:rPr>
          <w:rFonts w:eastAsia="Times New Roman" w:cstheme="minorHAnsi"/>
          <w:color w:val="737373"/>
        </w:rPr>
        <w:t>"</w:t>
      </w:r>
    </w:p>
    <w:p w14:paraId="7232FE41" w14:textId="77777777" w:rsidR="00E978DD" w:rsidRPr="00F467FC" w:rsidRDefault="00E978DD">
      <w:pPr>
        <w:rPr>
          <w:rFonts w:cstheme="minorHAnsi"/>
        </w:rPr>
      </w:pPr>
    </w:p>
    <w:sectPr w:rsidR="00E978DD" w:rsidRPr="00F467FC">
      <w:footerReference w:type="default" r:id="rId17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47265F" w14:textId="77777777" w:rsidR="003519DD" w:rsidRDefault="003519DD" w:rsidP="003519DD">
      <w:r>
        <w:separator/>
      </w:r>
    </w:p>
  </w:endnote>
  <w:endnote w:type="continuationSeparator" w:id="0">
    <w:p w14:paraId="708E930D" w14:textId="77777777" w:rsidR="003519DD" w:rsidRDefault="003519DD" w:rsidP="00351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6657308"/>
      <w:docPartObj>
        <w:docPartGallery w:val="Page Numbers (Bottom of Page)"/>
        <w:docPartUnique/>
      </w:docPartObj>
    </w:sdtPr>
    <w:sdtEndPr>
      <w:rPr>
        <w:noProof/>
      </w:rPr>
    </w:sdtEndPr>
    <w:sdtContent>
      <w:p w14:paraId="557DD4DC" w14:textId="60598E37" w:rsidR="003519DD" w:rsidRDefault="003519DD" w:rsidP="003519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4AA1F1" w14:textId="77777777" w:rsidR="003519DD" w:rsidRDefault="003519DD" w:rsidP="003519DD">
      <w:r>
        <w:separator/>
      </w:r>
    </w:p>
  </w:footnote>
  <w:footnote w:type="continuationSeparator" w:id="0">
    <w:p w14:paraId="203AF1E8" w14:textId="77777777" w:rsidR="003519DD" w:rsidRDefault="003519DD" w:rsidP="003519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8DD"/>
    <w:rsid w:val="00151278"/>
    <w:rsid w:val="003519DD"/>
    <w:rsid w:val="00476446"/>
    <w:rsid w:val="00923CE4"/>
    <w:rsid w:val="00B75B7F"/>
    <w:rsid w:val="00BC71D0"/>
    <w:rsid w:val="00E978DD"/>
    <w:rsid w:val="00EF6C8D"/>
    <w:rsid w:val="00F46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732EB12"/>
  <w15:chartTrackingRefBased/>
  <w15:docId w15:val="{88AB5B1E-530C-4A64-827E-24AA8DA02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978D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978D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8D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978DD"/>
    <w:rPr>
      <w:rFonts w:ascii="Times New Roman" w:eastAsia="Times New Roman" w:hAnsi="Times New Roman" w:cs="Times New Roman"/>
      <w:b/>
      <w:bCs/>
      <w:sz w:val="36"/>
      <w:szCs w:val="36"/>
    </w:rPr>
  </w:style>
  <w:style w:type="paragraph" w:customStyle="1" w:styleId="msonormal0">
    <w:name w:val="msonormal"/>
    <w:basedOn w:val="Normal"/>
    <w:rsid w:val="00E978DD"/>
    <w:pPr>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E978DD"/>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978DD"/>
    <w:rPr>
      <w:color w:val="0000FF"/>
      <w:u w:val="single"/>
    </w:rPr>
  </w:style>
  <w:style w:type="character" w:styleId="FollowedHyperlink">
    <w:name w:val="FollowedHyperlink"/>
    <w:basedOn w:val="DefaultParagraphFont"/>
    <w:uiPriority w:val="99"/>
    <w:semiHidden/>
    <w:unhideWhenUsed/>
    <w:rsid w:val="00E978DD"/>
    <w:rPr>
      <w:color w:val="800080"/>
      <w:u w:val="single"/>
    </w:rPr>
  </w:style>
  <w:style w:type="paragraph" w:styleId="Header">
    <w:name w:val="header"/>
    <w:basedOn w:val="Normal"/>
    <w:link w:val="HeaderChar"/>
    <w:uiPriority w:val="99"/>
    <w:unhideWhenUsed/>
    <w:rsid w:val="003519DD"/>
    <w:pPr>
      <w:tabs>
        <w:tab w:val="center" w:pos="4680"/>
        <w:tab w:val="right" w:pos="9360"/>
      </w:tabs>
    </w:pPr>
  </w:style>
  <w:style w:type="character" w:customStyle="1" w:styleId="HeaderChar">
    <w:name w:val="Header Char"/>
    <w:basedOn w:val="DefaultParagraphFont"/>
    <w:link w:val="Header"/>
    <w:uiPriority w:val="99"/>
    <w:rsid w:val="003519DD"/>
  </w:style>
  <w:style w:type="paragraph" w:styleId="Footer">
    <w:name w:val="footer"/>
    <w:basedOn w:val="Normal"/>
    <w:link w:val="FooterChar"/>
    <w:uiPriority w:val="99"/>
    <w:unhideWhenUsed/>
    <w:rsid w:val="003519DD"/>
    <w:pPr>
      <w:tabs>
        <w:tab w:val="center" w:pos="4680"/>
        <w:tab w:val="right" w:pos="9360"/>
      </w:tabs>
    </w:pPr>
  </w:style>
  <w:style w:type="character" w:customStyle="1" w:styleId="FooterChar">
    <w:name w:val="Footer Char"/>
    <w:basedOn w:val="DefaultParagraphFont"/>
    <w:link w:val="Footer"/>
    <w:uiPriority w:val="99"/>
    <w:rsid w:val="00351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395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stho.org/Programs/Preparedness/Public-Health-Emergency-Law/Public-Health-and-Information-Sharing-Toolkit/Information-Sharing-Toolkit-Supplemental-Materials/" TargetMode="External"/><Relationship Id="rId117" Type="http://schemas.openxmlformats.org/officeDocument/2006/relationships/hyperlink" Target="http://www.hhs.gov/ocr/privacy/hipaa/understanding/special/emergency/decisiontoolintro.html" TargetMode="External"/><Relationship Id="rId21" Type="http://schemas.openxmlformats.org/officeDocument/2006/relationships/hyperlink" Target="http://www.astho.org/Programs/Preparedness/Public-Health-Emergency-Law/Public-Health-and-Information-Sharing-Toolkit/Information-Sharing-Toolkit-Supplemental-Materials/" TargetMode="External"/><Relationship Id="rId42" Type="http://schemas.openxmlformats.org/officeDocument/2006/relationships/hyperlink" Target="http://www.cdc.gov/phpr/capabilities/DSLR_capabilities_July.pdf" TargetMode="External"/><Relationship Id="rId47" Type="http://schemas.openxmlformats.org/officeDocument/2006/relationships/hyperlink" Target="http://www.astho.org/Programs/Preparedness/Public-Health-Emergency-Law/Public-Health-and-Information-Sharing-Toolkit/Information-Sharing-Toolkit-Supplemental-Materials/" TargetMode="External"/><Relationship Id="rId63" Type="http://schemas.openxmlformats.org/officeDocument/2006/relationships/hyperlink" Target="http://www.dol.gov/odep/topics/EmergencyPreparedness.htm" TargetMode="External"/><Relationship Id="rId68" Type="http://schemas.openxmlformats.org/officeDocument/2006/relationships/hyperlink" Target="http://www.law.cornell.edu/constitution" TargetMode="External"/><Relationship Id="rId84" Type="http://schemas.openxmlformats.org/officeDocument/2006/relationships/hyperlink" Target="http://hipaacow.org/wp-content/uploads/2013/04/2013-Occupational-Health-Services-Whitepaper-4-15-13-FINAL.doc" TargetMode="External"/><Relationship Id="rId89" Type="http://schemas.openxmlformats.org/officeDocument/2006/relationships/hyperlink" Target="http://www.gpo.gov/fdsys/pkg/FR-2011-12-02/pdf/2011-30683.pdf" TargetMode="External"/><Relationship Id="rId112" Type="http://schemas.openxmlformats.org/officeDocument/2006/relationships/hyperlink" Target="http://www2.ed.gov/policy/gen/guid/fpco/doc/ferpa-hipaa-guidance.pdf" TargetMode="External"/><Relationship Id="rId133" Type="http://schemas.openxmlformats.org/officeDocument/2006/relationships/hyperlink" Target="http://www.dhs.gov/files/programs/gc_1156877184684.shtm" TargetMode="External"/><Relationship Id="rId138" Type="http://schemas.openxmlformats.org/officeDocument/2006/relationships/hyperlink" Target="http://ise.gov/background-and-authorities" TargetMode="External"/><Relationship Id="rId154" Type="http://schemas.openxmlformats.org/officeDocument/2006/relationships/hyperlink" Target="http://www.law.cornell.edu/uscode/text/50/chapter-15" TargetMode="External"/><Relationship Id="rId159" Type="http://schemas.openxmlformats.org/officeDocument/2006/relationships/hyperlink" Target="http://www.osha.gov/workers.html" TargetMode="External"/><Relationship Id="rId170" Type="http://schemas.openxmlformats.org/officeDocument/2006/relationships/hyperlink" Target="http://www.astho.org/Programs/Preparedness/Public-Health-Emergency-Law/Public-Health-and-Information-Sharing-Toolkit/Information-Sharing-Toolkit-Supplemental-Materials/" TargetMode="External"/><Relationship Id="rId16" Type="http://schemas.openxmlformats.org/officeDocument/2006/relationships/hyperlink" Target="http://www.astho.org/Programs/Preparedness/Public-Health-Emergency-Law/Public-Health-and-Information-Sharing-Toolkit/Information-Sharing-Toolkit-Supplemental-Materials/" TargetMode="External"/><Relationship Id="rId107" Type="http://schemas.openxmlformats.org/officeDocument/2006/relationships/hyperlink" Target="http://www.hhs.gov/ocr/privacy/hipaa/understanding/coveredentities/hitechblurb.html" TargetMode="External"/><Relationship Id="rId11" Type="http://schemas.openxmlformats.org/officeDocument/2006/relationships/hyperlink" Target="http://www.astho.org/Programs/Preparedness/Public-Health-Emergency-Law/Public-Health-and-Information-Sharing-Toolkit/Information-Sharing-Toolkit-Supplemental-Materials/" TargetMode="External"/><Relationship Id="rId32" Type="http://schemas.openxmlformats.org/officeDocument/2006/relationships/hyperlink" Target="http://www.astho.org/Programs/Preparedness/Public-Health-Emergency-Law/Public-Health-and-Information-Sharing-Toolkit/Information-Sharing-Toolkit-Supplemental-Materials/" TargetMode="External"/><Relationship Id="rId37" Type="http://schemas.openxmlformats.org/officeDocument/2006/relationships/hyperlink" Target="http://www.astho.org/Programs/Preparedness/Public-Health-Emergency-Law/Public-Health-and-Information-Sharing-Toolkit/Information-Sharing-Toolkit-Supplemental-Materials/" TargetMode="External"/><Relationship Id="rId53" Type="http://schemas.openxmlformats.org/officeDocument/2006/relationships/hyperlink" Target="http://www.ada.gov/" TargetMode="External"/><Relationship Id="rId58" Type="http://schemas.openxmlformats.org/officeDocument/2006/relationships/hyperlink" Target="http://www.astho.org/Programs/Preparedness/Public-Health-Emergency-Law/Public-Health-and-Information-Sharing-Toolkit/Information-Sharing-Toolkit-Supplemental-Materials/" TargetMode="External"/><Relationship Id="rId74" Type="http://schemas.openxmlformats.org/officeDocument/2006/relationships/hyperlink" Target="http://www.nasemso.org/Projects/DomesticPreparedness/documents/JIMOUFinal.pdf" TargetMode="External"/><Relationship Id="rId79" Type="http://schemas.openxmlformats.org/officeDocument/2006/relationships/hyperlink" Target="http://www.healthit.gov/" TargetMode="External"/><Relationship Id="rId102" Type="http://schemas.openxmlformats.org/officeDocument/2006/relationships/hyperlink" Target="http://caselaw.lp.findlaw.com/cgi-bin/getcase.pl?court=us&amp;vol=387&amp;invol=541" TargetMode="External"/><Relationship Id="rId123" Type="http://schemas.openxmlformats.org/officeDocument/2006/relationships/hyperlink" Target="http://caselaw.lp.findlaw.com/scripts/getcase.pl?court=us&amp;vol=000&amp;invol=99-936" TargetMode="External"/><Relationship Id="rId128" Type="http://schemas.openxmlformats.org/officeDocument/2006/relationships/hyperlink" Target="http://www.dhs.gov/information-sharing" TargetMode="External"/><Relationship Id="rId144" Type="http://schemas.openxmlformats.org/officeDocument/2006/relationships/hyperlink" Target="http://www.nasemso.org/Projects/DomesticPreparedness/documents/JIMOUFinal.pdf" TargetMode="External"/><Relationship Id="rId149" Type="http://schemas.openxmlformats.org/officeDocument/2006/relationships/hyperlink" Target="http://www.cdc.gov/phlp/docs/CrimEpiHandbook2011.pdf" TargetMode="External"/><Relationship Id="rId5" Type="http://schemas.openxmlformats.org/officeDocument/2006/relationships/endnotes" Target="endnotes.xml"/><Relationship Id="rId90" Type="http://schemas.openxmlformats.org/officeDocument/2006/relationships/hyperlink" Target="http://www2.ed.gov/policy/gen/guid/fpco/doc/ferpa-hipaa-guidance.pdf" TargetMode="External"/><Relationship Id="rId95" Type="http://schemas.openxmlformats.org/officeDocument/2006/relationships/hyperlink" Target="http://www2.ed.gov/policy/gen/guid/fpco/ferpa/library/suarezconflict.html" TargetMode="External"/><Relationship Id="rId160" Type="http://schemas.openxmlformats.org/officeDocument/2006/relationships/hyperlink" Target="https://www.osha.gov/workers/index.html" TargetMode="External"/><Relationship Id="rId165" Type="http://schemas.openxmlformats.org/officeDocument/2006/relationships/hyperlink" Target="http://www.bt.cdc.gov/episurv" TargetMode="External"/><Relationship Id="rId22" Type="http://schemas.openxmlformats.org/officeDocument/2006/relationships/hyperlink" Target="http://www.astho.org/Programs/Preparedness/Public-Health-Emergency-Law/Public-Health-and-Information-Sharing-Toolkit/Information-Sharing-Toolkit-Supplemental-Materials/" TargetMode="External"/><Relationship Id="rId27" Type="http://schemas.openxmlformats.org/officeDocument/2006/relationships/hyperlink" Target="http://www.astho.org/Programs/Preparedness/Public-Health-Emergency-Law/Public-Health-and-Information-Sharing-Toolkit/Information-Sharing-Toolkit-Supplemental-Materials/" TargetMode="External"/><Relationship Id="rId43" Type="http://schemas.openxmlformats.org/officeDocument/2006/relationships/hyperlink" Target="http://library.ahima.org/xpedio/groups/public/documents/ahima/bok1_048641.hcsp?dDocName=bok1_048641" TargetMode="External"/><Relationship Id="rId48" Type="http://schemas.openxmlformats.org/officeDocument/2006/relationships/hyperlink" Target="http://www.eeoc.gov/laws/statutes/ada.cfm" TargetMode="External"/><Relationship Id="rId64" Type="http://schemas.openxmlformats.org/officeDocument/2006/relationships/hyperlink" Target="http://eeoc.gov/facts/evacuation.html" TargetMode="External"/><Relationship Id="rId69" Type="http://schemas.openxmlformats.org/officeDocument/2006/relationships/hyperlink" Target="http://www.it.ojp.gov/docdownloader.aspx?ddid=1269" TargetMode="External"/><Relationship Id="rId113" Type="http://schemas.openxmlformats.org/officeDocument/2006/relationships/hyperlink" Target="http://www.hhs.gov/ocr/privacy/hipaa/understanding/summary/index.html" TargetMode="External"/><Relationship Id="rId118" Type="http://schemas.openxmlformats.org/officeDocument/2006/relationships/hyperlink" Target="http://www.hhs.gov/ocr/privacy/hipaa/faq/index.html" TargetMode="External"/><Relationship Id="rId134" Type="http://schemas.openxmlformats.org/officeDocument/2006/relationships/hyperlink" Target="http://www.it.ojp.gov/documents/fusion_center_guidelines_law_enforcement.pdf" TargetMode="External"/><Relationship Id="rId139" Type="http://schemas.openxmlformats.org/officeDocument/2006/relationships/hyperlink" Target="http://www.astho.org/Programs/Preparedness/Public-Health-Emergency-Law/Public-Health-and-Information-Sharing-Toolkit/Information-Sharing-Toolkit-Supplemental-Materials/" TargetMode="External"/><Relationship Id="rId80" Type="http://schemas.openxmlformats.org/officeDocument/2006/relationships/hyperlink" Target="http://www.cdc.gov/ehrmeaningfuluse" TargetMode="External"/><Relationship Id="rId85" Type="http://schemas.openxmlformats.org/officeDocument/2006/relationships/hyperlink" Target="http://www.eeoc.gov/facts/ada18.html" TargetMode="External"/><Relationship Id="rId150" Type="http://schemas.openxmlformats.org/officeDocument/2006/relationships/hyperlink" Target="https://www.ncjrs.gov/pdffiles1/bja/214333.pdf" TargetMode="External"/><Relationship Id="rId155" Type="http://schemas.openxmlformats.org/officeDocument/2006/relationships/hyperlink" Target="http://www.osha.gov/law-regs.html" TargetMode="External"/><Relationship Id="rId171" Type="http://schemas.openxmlformats.org/officeDocument/2006/relationships/footer" Target="footer1.xml"/><Relationship Id="rId12" Type="http://schemas.openxmlformats.org/officeDocument/2006/relationships/hyperlink" Target="http://www.astho.org/Programs/Preparedness/Public-Health-Emergency-Law/Public-Health-and-Information-Sharing-Toolkit/Information-Sharing-Toolkit-Supplemental-Materials/" TargetMode="External"/><Relationship Id="rId17" Type="http://schemas.openxmlformats.org/officeDocument/2006/relationships/hyperlink" Target="http://www.astho.org/Programs/Preparedness/Public-Health-Emergency-Law/Public-Health-and-Information-Sharing-Toolkit/Information-Sharing-Toolkit-Supplemental-Materials/" TargetMode="External"/><Relationship Id="rId33" Type="http://schemas.openxmlformats.org/officeDocument/2006/relationships/hyperlink" Target="http://www.astho.org/Programs/Preparedness/Public-Health-Emergency-Law/Public-Health-and-Information-Sharing-Toolkit/Information-Sharing-Toolkit-Supplemental-Materials/" TargetMode="External"/><Relationship Id="rId38" Type="http://schemas.openxmlformats.org/officeDocument/2006/relationships/hyperlink" Target="http://www.astho.org/Programs/Preparedness/Public-Health-Emergency-Law/Public-Health-and-Information-Sharing-Toolkit/Information-Sharing-Toolkit-Supplemental-Materials/" TargetMode="External"/><Relationship Id="rId59" Type="http://schemas.openxmlformats.org/officeDocument/2006/relationships/hyperlink" Target="http://www.flu.gov/planning-preparedness/business/guidance.pdf" TargetMode="External"/><Relationship Id="rId103" Type="http://schemas.openxmlformats.org/officeDocument/2006/relationships/hyperlink" Target="http://www.rcfp.org/open-government-guide" TargetMode="External"/><Relationship Id="rId108" Type="http://schemas.openxmlformats.org/officeDocument/2006/relationships/hyperlink" Target="http://frwebgate.access.gpo.gov/cgi-bin/getdoc.cgi?dbname=104_cong_public_laws&amp;docid=f:publ191.104" TargetMode="External"/><Relationship Id="rId124" Type="http://schemas.openxmlformats.org/officeDocument/2006/relationships/hyperlink" Target="http://caselaw.lp.findlaw.com/cgi-bin/getcase.pl?court=us&amp;vol=197&amp;invol=11" TargetMode="External"/><Relationship Id="rId129" Type="http://schemas.openxmlformats.org/officeDocument/2006/relationships/hyperlink" Target="http://www.it.ojp.gov/default.aspx?area=nationalInitiatives&amp;page=1181" TargetMode="External"/><Relationship Id="rId54" Type="http://schemas.openxmlformats.org/officeDocument/2006/relationships/hyperlink" Target="http://www.eeoc.gov/eeoc/index.cfm" TargetMode="External"/><Relationship Id="rId70" Type="http://schemas.openxmlformats.org/officeDocument/2006/relationships/hyperlink" Target="http://www.aclu.org/files/pdfs/privacy/fusion_update_20080729.pdf" TargetMode="External"/><Relationship Id="rId75" Type="http://schemas.openxmlformats.org/officeDocument/2006/relationships/hyperlink" Target="http://www.dhs.gov/sites/default/files/publications/CII-Act-508.pdf" TargetMode="External"/><Relationship Id="rId91" Type="http://schemas.openxmlformats.org/officeDocument/2006/relationships/hyperlink" Target="http://www2.ed.gov/policy/gen/guid/fpco/ferpa/index.html" TargetMode="External"/><Relationship Id="rId96" Type="http://schemas.openxmlformats.org/officeDocument/2006/relationships/hyperlink" Target="http://www2.ed.gov/policy/gen/guid/fpco/ferpa/library/baiseunmslc.html" TargetMode="External"/><Relationship Id="rId140" Type="http://schemas.openxmlformats.org/officeDocument/2006/relationships/hyperlink" Target="http://www.astho.org/Programs/Preparedness/Public-Health-Emergency-Law/Public-Health-and-Information-Sharing-Toolkit/Information-Sharing-Toolkit-Supplemental-Materials/" TargetMode="External"/><Relationship Id="rId145" Type="http://schemas.openxmlformats.org/officeDocument/2006/relationships/hyperlink" Target="http://www.cdc.gov/phlp/publications/forensicepidemiology/index.html" TargetMode="External"/><Relationship Id="rId161" Type="http://schemas.openxmlformats.org/officeDocument/2006/relationships/hyperlink" Target="http://www.gpo.gov/fdsys/pkg/PLAW-107publ188/html/PLAW-107publ188.htm" TargetMode="External"/><Relationship Id="rId166" Type="http://schemas.openxmlformats.org/officeDocument/2006/relationships/hyperlink" Target="http://wwwn.cdc.gov/nndss/" TargetMode="External"/><Relationship Id="rId1" Type="http://schemas.openxmlformats.org/officeDocument/2006/relationships/styles" Target="styles.xml"/><Relationship Id="rId6" Type="http://schemas.openxmlformats.org/officeDocument/2006/relationships/hyperlink" Target="mailto:communications@astho.org" TargetMode="External"/><Relationship Id="rId15" Type="http://schemas.openxmlformats.org/officeDocument/2006/relationships/hyperlink" Target="http://www.astho.org/Programs/Preparedness/Public-Health-Emergency-Law/Public-Health-and-Information-Sharing-Toolkit/Information-Sharing-Toolkit-Supplemental-Materials/" TargetMode="External"/><Relationship Id="rId23" Type="http://schemas.openxmlformats.org/officeDocument/2006/relationships/hyperlink" Target="http://www.astho.org/Programs/Preparedness/Public-Health-Emergency-Law/Public-Health-and-Information-Sharing-Toolkit/Information-Sharing-Toolkit-Supplemental-Materials/" TargetMode="External"/><Relationship Id="rId28" Type="http://schemas.openxmlformats.org/officeDocument/2006/relationships/hyperlink" Target="http://www.astho.org/Programs/Preparedness/Public-Health-Emergency-Law/Public-Health-and-Information-Sharing-Toolkit/Information-Sharing-Toolkit-Supplemental-Materials/" TargetMode="External"/><Relationship Id="rId36" Type="http://schemas.openxmlformats.org/officeDocument/2006/relationships/hyperlink" Target="http://www.astho.org/Programs/Preparedness/Public-Health-Emergency-Law/Public-Health-and-Information-Sharing-Toolkit/Information-Sharing-Toolkit-Supplemental-Materials/" TargetMode="External"/><Relationship Id="rId49" Type="http://schemas.openxmlformats.org/officeDocument/2006/relationships/hyperlink" Target="http://www.ada.gov/pubs/ada.htm" TargetMode="External"/><Relationship Id="rId57" Type="http://schemas.openxmlformats.org/officeDocument/2006/relationships/hyperlink" Target="http://www.ada.gov/q%26aeng02.htm" TargetMode="External"/><Relationship Id="rId106" Type="http://schemas.openxmlformats.org/officeDocument/2006/relationships/hyperlink" Target="http://www.hhs.gov/ocr/privacy/hipaa/understanding/coveredentities/hitechact.pdf" TargetMode="External"/><Relationship Id="rId114" Type="http://schemas.openxmlformats.org/officeDocument/2006/relationships/hyperlink" Target="http://www.hhs.gov/ocr/privacy/index.html" TargetMode="External"/><Relationship Id="rId119" Type="http://schemas.openxmlformats.org/officeDocument/2006/relationships/hyperlink" Target="http://www.hhs.gov/ocr/privacy/hipaa/faq/disclosures_for_law_enforcement_purposes/505.html" TargetMode="External"/><Relationship Id="rId127" Type="http://schemas.openxmlformats.org/officeDocument/2006/relationships/hyperlink" Target="http://sph-dev.sites.unc.edu/files/2013/08/oconnor.pdf" TargetMode="External"/><Relationship Id="rId10" Type="http://schemas.openxmlformats.org/officeDocument/2006/relationships/hyperlink" Target="http://www.astho.org/Programs/Preparedness/Public-Health-Emergency-Law/Public-Health-and-Information-Sharing-Toolkit/Information-Sharing-Toolkit-Supplemental-Materials/" TargetMode="External"/><Relationship Id="rId31" Type="http://schemas.openxmlformats.org/officeDocument/2006/relationships/hyperlink" Target="http://www.astho.org/Programs/Preparedness/Public-Health-Emergency-Law/Public-Health-and-Information-Sharing-Toolkit/Information-Sharing-Toolkit-Supplemental-Materials/" TargetMode="External"/><Relationship Id="rId44" Type="http://schemas.openxmlformats.org/officeDocument/2006/relationships/hyperlink" Target="http://www.healthinfolaw.org/" TargetMode="External"/><Relationship Id="rId52" Type="http://schemas.openxmlformats.org/officeDocument/2006/relationships/hyperlink" Target="http://www.ecfr.gov/cgi-bin/text-idx?c=ecfr&amp;SID=b9f754926538462babadcb0803fa971c&amp;rgn=div5&amp;view=text&amp;node=29:4.1.4.1.20&amp;idno=29" TargetMode="External"/><Relationship Id="rId60" Type="http://schemas.openxmlformats.org/officeDocument/2006/relationships/hyperlink" Target="http://www.osha.gov/Publications/influenza_pandemic.html" TargetMode="External"/><Relationship Id="rId65" Type="http://schemas.openxmlformats.org/officeDocument/2006/relationships/hyperlink" Target="http://www.eeoc.gov/facts/pandemic_flu.html" TargetMode="External"/><Relationship Id="rId73" Type="http://schemas.openxmlformats.org/officeDocument/2006/relationships/hyperlink" Target="http://cdc.gov/phlp/docs/CDC_BJA_Framework.pdf" TargetMode="External"/><Relationship Id="rId78" Type="http://schemas.openxmlformats.org/officeDocument/2006/relationships/hyperlink" Target="http://www.astho.org/Programs/Preparedness/Public-Health-Emergency-Law/Public-Health-and-Information-Sharing-Toolkit/Information-Sharing-Toolkit-Supplemental-Materials/" TargetMode="External"/><Relationship Id="rId81" Type="http://schemas.openxmlformats.org/officeDocument/2006/relationships/hyperlink" Target="http://www.hhs.gov/ocr/privacy/hipaa/understanding/special/healthit/index.html" TargetMode="External"/><Relationship Id="rId86" Type="http://schemas.openxmlformats.org/officeDocument/2006/relationships/hyperlink" Target="http://www.ncbi.nlm.nih.gov/pmc/articles/PMC1804110" TargetMode="External"/><Relationship Id="rId94" Type="http://schemas.openxmlformats.org/officeDocument/2006/relationships/hyperlink" Target="http://www2.ed.gov/policy/gen/guid/fpco/ferpa/library/oakland_ca.html" TargetMode="External"/><Relationship Id="rId99" Type="http://schemas.openxmlformats.org/officeDocument/2006/relationships/hyperlink" Target="http://www.law.cornell.edu/constitution" TargetMode="External"/><Relationship Id="rId101" Type="http://schemas.openxmlformats.org/officeDocument/2006/relationships/hyperlink" Target="http://caselaw.lp.findlaw.com/scripts/getcase.pl?court=us&amp;vol=000&amp;invol=99-936" TargetMode="External"/><Relationship Id="rId122" Type="http://schemas.openxmlformats.org/officeDocument/2006/relationships/hyperlink" Target="http://www.dhs.gov/" TargetMode="External"/><Relationship Id="rId130" Type="http://schemas.openxmlformats.org/officeDocument/2006/relationships/hyperlink" Target="http://ise.gov/" TargetMode="External"/><Relationship Id="rId135" Type="http://schemas.openxmlformats.org/officeDocument/2006/relationships/hyperlink" Target="http://www.it.ojp.gov/docdownloader.aspx?ddid=1269" TargetMode="External"/><Relationship Id="rId143" Type="http://schemas.openxmlformats.org/officeDocument/2006/relationships/hyperlink" Target="http://www.astho.org/Programs/e-Health/Privacy/Materials/Public-Health,-Law-Enforcement,-and-Privacy-Issues/" TargetMode="External"/><Relationship Id="rId148" Type="http://schemas.openxmlformats.org/officeDocument/2006/relationships/hyperlink" Target="http://www.hhs.gov/ocr/privacy/hipaa/faq/disclosures_for_law_enforcement_purposes/505.html" TargetMode="External"/><Relationship Id="rId151" Type="http://schemas.openxmlformats.org/officeDocument/2006/relationships/hyperlink" Target="http://ise.gov/law-enforcement-information-sharing" TargetMode="External"/><Relationship Id="rId156" Type="http://schemas.openxmlformats.org/officeDocument/2006/relationships/hyperlink" Target="http://www.ecfr.gov/cgi-bin/text-idx?SID=449145ee248d8381a44e34f33379e3f6&amp;c=ecfr&amp;tpl=/ecfrbrowse/Title29/29cfrv5_02.tpl" TargetMode="External"/><Relationship Id="rId164" Type="http://schemas.openxmlformats.org/officeDocument/2006/relationships/hyperlink" Target="http://www.cdc.gov/surveillancepractice" TargetMode="External"/><Relationship Id="rId169" Type="http://schemas.openxmlformats.org/officeDocument/2006/relationships/hyperlink" Target="http://www.gpo.gov/fdsys/pkg/PLAW-107publ56/pdf/PLAW-107publ56.pdf" TargetMode="External"/><Relationship Id="rId4" Type="http://schemas.openxmlformats.org/officeDocument/2006/relationships/footnotes" Target="footnotes.xml"/><Relationship Id="rId9" Type="http://schemas.openxmlformats.org/officeDocument/2006/relationships/hyperlink" Target="http://www.astho.org/Programs/Preparedness/Public-Health-Emergency-Law/Public-Health-and-Information-Sharing-Toolkit/Information-Sharing-Toolkit-Supplemental-Materials/" TargetMode="External"/><Relationship Id="rId172" Type="http://schemas.openxmlformats.org/officeDocument/2006/relationships/fontTable" Target="fontTable.xml"/><Relationship Id="rId13" Type="http://schemas.openxmlformats.org/officeDocument/2006/relationships/hyperlink" Target="http://www.astho.org/Programs/Preparedness/Public-Health-Emergency-Law/Public-Health-and-Information-Sharing-Toolkit/Information-Sharing-Toolkit-Supplemental-Materials/" TargetMode="External"/><Relationship Id="rId18" Type="http://schemas.openxmlformats.org/officeDocument/2006/relationships/hyperlink" Target="http://www.astho.org/Programs/Preparedness/Public-Health-Emergency-Law/Public-Health-and-Information-Sharing-Toolkit/Information-Sharing-Toolkit-Supplemental-Materials/" TargetMode="External"/><Relationship Id="rId39" Type="http://schemas.openxmlformats.org/officeDocument/2006/relationships/hyperlink" Target="http://www.astho.org/Programs/Preparedness/Public-Health-Emergency-Law/Public-Health-and-Information-Sharing-Toolkit/Information-Sharing-Toolkit-Supplemental-Materials/" TargetMode="External"/><Relationship Id="rId109" Type="http://schemas.openxmlformats.org/officeDocument/2006/relationships/hyperlink" Target="http://www.hhs.gov/ocr/privacy/hipaa/understanding/coveredentities/introdution.html" TargetMode="External"/><Relationship Id="rId34" Type="http://schemas.openxmlformats.org/officeDocument/2006/relationships/hyperlink" Target="http://www.astho.org/Programs/Preparedness/Public-Health-Emergency-Law/Public-Health-and-Information-Sharing-Toolkit/Information-Sharing-Toolkit-Supplemental-Materials/" TargetMode="External"/><Relationship Id="rId50" Type="http://schemas.openxmlformats.org/officeDocument/2006/relationships/hyperlink" Target="http://www.ecfr.gov/cgi-bin/text-idx?c=ecfr&amp;SID=b9f754926538462babadcb0803fa971c&amp;rgn=div5&amp;view=text&amp;node=29:4.1.4.1.20&amp;idno=29" TargetMode="External"/><Relationship Id="rId55" Type="http://schemas.openxmlformats.org/officeDocument/2006/relationships/hyperlink" Target="http://www.usdoj.gov/crt/ada/pcatoolkit/chap7emergencymgmtadd1.htm" TargetMode="External"/><Relationship Id="rId76" Type="http://schemas.openxmlformats.org/officeDocument/2006/relationships/hyperlink" Target="http://www.dhs.gov/protected-critical-infrastructure-information-pcii-program" TargetMode="External"/><Relationship Id="rId97" Type="http://schemas.openxmlformats.org/officeDocument/2006/relationships/hyperlink" Target="http://www.astho.org/Programs/Preparedness/Public-Health-Emergency-Law/Public-Health-and-Information-Sharing-Toolkit/Information-Sharing-Toolkit-Supplemental-Materials/" TargetMode="External"/><Relationship Id="rId104" Type="http://schemas.openxmlformats.org/officeDocument/2006/relationships/hyperlink" Target="http://www.astho.org/Programs/Preparedness/Public-Health-Emergency-Law/Public-Health-and-Information-Sharing-Toolkit/Information-Sharing-Toolkit-Supplemental-Materials/" TargetMode="External"/><Relationship Id="rId120" Type="http://schemas.openxmlformats.org/officeDocument/2006/relationships/hyperlink" Target="http://www.hhs.gov/ocr/privacy/hipaa/understanding/special/publichealth/index.html" TargetMode="External"/><Relationship Id="rId125" Type="http://schemas.openxmlformats.org/officeDocument/2006/relationships/hyperlink" Target="http://www.law.cornell.edu/supct/html/historics/USSC_CR_0428_0052_ZS.html" TargetMode="External"/><Relationship Id="rId141" Type="http://schemas.openxmlformats.org/officeDocument/2006/relationships/hyperlink" Target="http://www.gpo.gov/fdsys/pkg/PLAW-108publ458/pdf/PLAW-108publ458.pdf" TargetMode="External"/><Relationship Id="rId146" Type="http://schemas.openxmlformats.org/officeDocument/2006/relationships/hyperlink" Target="http://onlinelibrary.wiley.com/doi/10.1111/j.1748-720X.2003.tb00135.x/abstract" TargetMode="External"/><Relationship Id="rId167" Type="http://schemas.openxmlformats.org/officeDocument/2006/relationships/hyperlink" Target="http://www.astho.org/Programs/Preparedness/Public-Health-Emergency-Law/Public-Health-and-Information-Sharing-Toolkit/Information-Sharing-Toolkit-Supplemental-Materials/" TargetMode="External"/><Relationship Id="rId7" Type="http://schemas.openxmlformats.org/officeDocument/2006/relationships/hyperlink" Target="http://www.astho.org/Programs/Preparedness/Public-Health-Emergency-Law/Public-Health-and-Information-Sharing-Toolkit/Information-Sharing-Toolkit-Supplemental-Materials/" TargetMode="External"/><Relationship Id="rId71" Type="http://schemas.openxmlformats.org/officeDocument/2006/relationships/hyperlink" Target="http://www.astho.org/Programs/Preparedness/Public-Health-Emergency-Law/Public-Health-and-Information-Sharing-Toolkit/Information-Sharing-Toolkit-Supplemental-Materials/" TargetMode="External"/><Relationship Id="rId92" Type="http://schemas.openxmlformats.org/officeDocument/2006/relationships/hyperlink" Target="http://www2.ed.gov/policy/gen/guid/fpco/pdf/ferpa-h1n1.pdf" TargetMode="External"/><Relationship Id="rId162" Type="http://schemas.openxmlformats.org/officeDocument/2006/relationships/hyperlink" Target="http://www.astho.org/Programs/Preparedness/Public-Health-Emergency-Law/Public-Health-and-Information-Sharing-Toolkit/Information-Sharing-Toolkit-Supplemental-Materials/" TargetMode="External"/><Relationship Id="rId2" Type="http://schemas.openxmlformats.org/officeDocument/2006/relationships/settings" Target="settings.xml"/><Relationship Id="rId29" Type="http://schemas.openxmlformats.org/officeDocument/2006/relationships/hyperlink" Target="http://www.astho.org/Programs/Preparedness/Public-Health-Emergency-Law/Public-Health-and-Information-Sharing-Toolkit/Information-Sharing-Toolkit-Supplemental-Materials/" TargetMode="External"/><Relationship Id="rId24" Type="http://schemas.openxmlformats.org/officeDocument/2006/relationships/hyperlink" Target="http://www.astho.org/Programs/Preparedness/Public-Health-Emergency-Law/Public-Health-and-Information-Sharing-Toolkit/Information-Sharing-Toolkit-Supplemental-Materials/" TargetMode="External"/><Relationship Id="rId40" Type="http://schemas.openxmlformats.org/officeDocument/2006/relationships/hyperlink" Target="http://www.cdc.gov/phlp/publications/topic/emergency.html" TargetMode="External"/><Relationship Id="rId45" Type="http://schemas.openxmlformats.org/officeDocument/2006/relationships/hyperlink" Target="http://sharps.org/wp-content/uploads/PRITTS-REPORT1.pdf" TargetMode="External"/><Relationship Id="rId66" Type="http://schemas.openxmlformats.org/officeDocument/2006/relationships/hyperlink" Target="http://www.astho.org/Programs/Preparedness/Public-Health-Emergency-Law/Public-Health-and-Information-Sharing-Toolkit/Information-Sharing-Toolkit-Supplemental-Materials/" TargetMode="External"/><Relationship Id="rId87" Type="http://schemas.openxmlformats.org/officeDocument/2006/relationships/hyperlink" Target="http://www.gpo.gov/fdsys/pkg/USCODE-2009-title20/pdf/USCODE-2009-title20-chap31-subchapIII-part4-sec1232g.pdf" TargetMode="External"/><Relationship Id="rId110" Type="http://schemas.openxmlformats.org/officeDocument/2006/relationships/hyperlink" Target="http://www.hhs.gov/ocr/privacy/hipaa/understanding/coveredentities/De-identification/guidance.html" TargetMode="External"/><Relationship Id="rId115" Type="http://schemas.openxmlformats.org/officeDocument/2006/relationships/hyperlink" Target="http://www.law.umaryland.edu/marshall/crsreports/crsdocuments/RL3163401242005.pdf" TargetMode="External"/><Relationship Id="rId131" Type="http://schemas.openxmlformats.org/officeDocument/2006/relationships/hyperlink" Target="http://www.google.com/url?sa=t&amp;rct=j&amp;q=&amp;esrc=s&amp;source=web&amp;cd=1&amp;cad=rja&amp;uact=8&amp;ved=0CB4QFjAAahUKEwil3bjS5YDIAhVEWh4KHeacDRE&amp;url=http%3A%2F%2Fwww.hsgac.senate.gov%2Fdownload%2Freport_federal-support-for-and-involvement-in-state-and-local-fusions-centers&amp;usg=AFQjCNEY5sKmzFYKts_5F0R5KDR-3QwwZg&amp;sig2=VczPOqNUPYSjMd9Pxc3cLQ" TargetMode="External"/><Relationship Id="rId136" Type="http://schemas.openxmlformats.org/officeDocument/2006/relationships/hyperlink" Target="http://www.it.ojp.gov/default.aspx?area=nationalInitiatives&amp;page=1181" TargetMode="External"/><Relationship Id="rId157" Type="http://schemas.openxmlformats.org/officeDocument/2006/relationships/hyperlink" Target="http://www.osha.gov/" TargetMode="External"/><Relationship Id="rId61" Type="http://schemas.openxmlformats.org/officeDocument/2006/relationships/hyperlink" Target="http://www.flu.gov/planning-preparedness/business/index.html" TargetMode="External"/><Relationship Id="rId82" Type="http://schemas.openxmlformats.org/officeDocument/2006/relationships/hyperlink" Target="http://www.healthit.gov/policy-researchers-implementers/meaningful-use" TargetMode="External"/><Relationship Id="rId152" Type="http://schemas.openxmlformats.org/officeDocument/2006/relationships/hyperlink" Target="http://www.astho.org/Programs/Preparedness/Public-Health-Emergency-Law/Public-Health-and-Information-Sharing-Toolkit/Information-Sharing-Toolkit-Supplemental-Materials/" TargetMode="External"/><Relationship Id="rId173" Type="http://schemas.openxmlformats.org/officeDocument/2006/relationships/theme" Target="theme/theme1.xml"/><Relationship Id="rId19" Type="http://schemas.openxmlformats.org/officeDocument/2006/relationships/hyperlink" Target="http://www.astho.org/Programs/Preparedness/Public-Health-Emergency-Law/Public-Health-and-Information-Sharing-Toolkit/Information-Sharing-Toolkit-Supplemental-Materials/" TargetMode="External"/><Relationship Id="rId14" Type="http://schemas.openxmlformats.org/officeDocument/2006/relationships/hyperlink" Target="http://www.astho.org/Programs/Preparedness/Public-Health-Emergency-Law/Public-Health-and-Information-Sharing-Toolkit/Information-Sharing-Toolkit-Supplemental-Materials/" TargetMode="External"/><Relationship Id="rId30" Type="http://schemas.openxmlformats.org/officeDocument/2006/relationships/hyperlink" Target="http://www.astho.org/Programs/Preparedness/Public-Health-Emergency-Law/Public-Health-and-Information-Sharing-Toolkit/Information-Sharing-Toolkit-Supplemental-Materials/" TargetMode="External"/><Relationship Id="rId35" Type="http://schemas.openxmlformats.org/officeDocument/2006/relationships/hyperlink" Target="http://www.astho.org/Programs/Preparedness/Public-Health-Emergency-Law/Public-Health-and-Information-Sharing-Toolkit/Information-Sharing-Toolkit-Supplemental-Materials/" TargetMode="External"/><Relationship Id="rId56" Type="http://schemas.openxmlformats.org/officeDocument/2006/relationships/hyperlink" Target="http://www.eeoc.gov/facts/pandemic_flu.html" TargetMode="External"/><Relationship Id="rId77" Type="http://schemas.openxmlformats.org/officeDocument/2006/relationships/hyperlink" Target="http://www.astho.org/Programs/Preparedness/Public-Health-Emergency-Law/Public-Health-and-Information-Sharing-Toolkit/Information-Sharing-Toolkit-Supplemental-Materials/" TargetMode="External"/><Relationship Id="rId100" Type="http://schemas.openxmlformats.org/officeDocument/2006/relationships/hyperlink" Target="http://caselaw.lp.findlaw.com/cgi-bin/getcase.pl?court=us&amp;vol=387&amp;invol=523" TargetMode="External"/><Relationship Id="rId105" Type="http://schemas.openxmlformats.org/officeDocument/2006/relationships/hyperlink" Target="http://www.astho.org/Programs/Preparedness/Public-Health-Emergency-Law/Public-Health-and-Information-Sharing-Toolkit/Information-Sharing-Toolkit-Supplemental-Materials/" TargetMode="External"/><Relationship Id="rId126" Type="http://schemas.openxmlformats.org/officeDocument/2006/relationships/hyperlink" Target="http://www.law.cornell.edu/supct/html/historics/USSC_CR_0429_0589_ZO.html" TargetMode="External"/><Relationship Id="rId147" Type="http://schemas.openxmlformats.org/officeDocument/2006/relationships/hyperlink" Target="http://www.sog.unc.edu/sites/www.sog.unc.edu/files/additional_files/LE-May%202013.pdf" TargetMode="External"/><Relationship Id="rId168" Type="http://schemas.openxmlformats.org/officeDocument/2006/relationships/hyperlink" Target="http://www.cdc.gov/mmwr/preview/mmwrhtml/su5301a3.htm" TargetMode="External"/><Relationship Id="rId8" Type="http://schemas.openxmlformats.org/officeDocument/2006/relationships/hyperlink" Target="http://www.astho.org/Programs/Preparedness/Public-Health-Emergency-Law/Public-Health-and-Information-Sharing-Toolkit/Information-Sharing-Toolkit-Supplemental-Materials/" TargetMode="External"/><Relationship Id="rId51" Type="http://schemas.openxmlformats.org/officeDocument/2006/relationships/hyperlink" Target="http://www.ecfr.gov/cgi-bin/text-idx?c=ecfr&amp;SID=e321b407b06a7492fa21011485e818de&amp;rgn=div5&amp;view=text&amp;node=28:1.0.1.1.36&amp;idno=28" TargetMode="External"/><Relationship Id="rId72" Type="http://schemas.openxmlformats.org/officeDocument/2006/relationships/hyperlink" Target="http://www.fema.gov/pdf/emergency/nrf/nrf-core.pdf" TargetMode="External"/><Relationship Id="rId93" Type="http://schemas.openxmlformats.org/officeDocument/2006/relationships/hyperlink" Target="http://www2.ed.gov/policy/gen/guid/fpco/pdf/ferpa-disaster-guidance.pdf" TargetMode="External"/><Relationship Id="rId98" Type="http://schemas.openxmlformats.org/officeDocument/2006/relationships/hyperlink" Target="http://www.astho.org/Programs/Preparedness/Public-Health-Emergency-Law/Public-Health-and-Information-Sharing-Toolkit/Information-Sharing-Toolkit-Supplemental-Materials/" TargetMode="External"/><Relationship Id="rId121" Type="http://schemas.openxmlformats.org/officeDocument/2006/relationships/hyperlink" Target="http://www.gpo.gov/fdsys/pkg/PLAW-107publ296/pdf/PLAW-107publ296.pdf" TargetMode="External"/><Relationship Id="rId142" Type="http://schemas.openxmlformats.org/officeDocument/2006/relationships/hyperlink" Target="http://www.astho.org/Programs/Preparedness/Public-Health-Emergency-Law/Public-Health-and-Information-Sharing-Toolkit/Information-Sharing-Toolkit-Supplemental-Materials/" TargetMode="External"/><Relationship Id="rId163" Type="http://schemas.openxmlformats.org/officeDocument/2006/relationships/hyperlink" Target="http://scholarship.law.duke.edu/cgi/viewcontent.cgi?article=1063&amp;context=djclpp_sidebar" TargetMode="External"/><Relationship Id="rId3" Type="http://schemas.openxmlformats.org/officeDocument/2006/relationships/webSettings" Target="webSettings.xml"/><Relationship Id="rId25" Type="http://schemas.openxmlformats.org/officeDocument/2006/relationships/hyperlink" Target="http://www.astho.org/Programs/Preparedness/Public-Health-Emergency-Law/Public-Health-and-Information-Sharing-Toolkit/Information-Sharing-Toolkit-Supplemental-Materials/" TargetMode="External"/><Relationship Id="rId46" Type="http://schemas.openxmlformats.org/officeDocument/2006/relationships/hyperlink" Target="http://sharps.org/wp-content/uploads/PRITTS-REPORT2.pdf" TargetMode="External"/><Relationship Id="rId67" Type="http://schemas.openxmlformats.org/officeDocument/2006/relationships/hyperlink" Target="http://www.astho.org/Programs/Preparedness/Public-Health-Emergency-Law/Public-Health-and-Information-Sharing-Toolkit/Information-Sharing-Toolkit-Supplemental-Materials/" TargetMode="External"/><Relationship Id="rId116" Type="http://schemas.openxmlformats.org/officeDocument/2006/relationships/hyperlink" Target="http://www.sog.unc.edu/sites/www.sog.unc.edu/files/additional_files/LE-May%202013.pdf" TargetMode="External"/><Relationship Id="rId137" Type="http://schemas.openxmlformats.org/officeDocument/2006/relationships/hyperlink" Target="http://www.it.ojp.gov/default.aspx?area=nationalInitiatives&amp;page=1181" TargetMode="External"/><Relationship Id="rId158" Type="http://schemas.openxmlformats.org/officeDocument/2006/relationships/hyperlink" Target="http://www.osha.gov/SLTC/emergencypreparedness/index.html" TargetMode="External"/><Relationship Id="rId20" Type="http://schemas.openxmlformats.org/officeDocument/2006/relationships/hyperlink" Target="http://www.astho.org/Programs/Preparedness/Public-Health-Emergency-Law/Public-Health-and-Information-Sharing-Toolkit/Information-Sharing-Toolkit-Supplemental-Materials/" TargetMode="External"/><Relationship Id="rId41" Type="http://schemas.openxmlformats.org/officeDocument/2006/relationships/hyperlink" Target="http://www.fema.gov/pdf/emergency/nrf/nrf-core.pdf" TargetMode="External"/><Relationship Id="rId62" Type="http://schemas.openxmlformats.org/officeDocument/2006/relationships/hyperlink" Target="http://www.osha.gov/dsg/topics/pandemicflu/index.html" TargetMode="External"/><Relationship Id="rId83" Type="http://schemas.openxmlformats.org/officeDocument/2006/relationships/hyperlink" Target="http://www.astho.org/Programs/Preparedness/Public-Health-Emergency-Law/Public-Health-and-Information-Sharing-Toolkit/Information-Sharing-Toolkit-Supplemental-Materials/" TargetMode="External"/><Relationship Id="rId88" Type="http://schemas.openxmlformats.org/officeDocument/2006/relationships/hyperlink" Target="http://www.ecfr.gov/cgi-bin/text-idx?c=ecfr&amp;SID=e6995dd27bbb4145f812c2db6cf0198f&amp;tpl=/ecfrbrowse/Title34/34cfr99_main_02.tpl" TargetMode="External"/><Relationship Id="rId111" Type="http://schemas.openxmlformats.org/officeDocument/2006/relationships/hyperlink" Target="http://www.cdc.gov/mmwr/preview/mmwrhtml/m2e411a1.htm" TargetMode="External"/><Relationship Id="rId132" Type="http://schemas.openxmlformats.org/officeDocument/2006/relationships/hyperlink" Target="http://www.dhs.gov/files/programs/gc_1296484657738.shtm" TargetMode="External"/><Relationship Id="rId153" Type="http://schemas.openxmlformats.org/officeDocument/2006/relationships/hyperlink" Target="http://healthjournalism.org/secondarypage-details.php?id=9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13</Pages>
  <Words>8222</Words>
  <Characters>46867</Characters>
  <Application>Microsoft Office Word</Application>
  <DocSecurity>0</DocSecurity>
  <Lines>390</Lines>
  <Paragraphs>109</Paragraphs>
  <ScaleCrop>false</ScaleCrop>
  <Company/>
  <LinksUpToDate>false</LinksUpToDate>
  <CharactersWithSpaces>54980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6</cp:revision>
  <dcterms:created xsi:type="dcterms:W3CDTF">2019-04-23T16:25:00Z</dcterms:created>
  <dcterms:modified xsi:type="dcterms:W3CDTF">2019-04-25T21:50:00Z</dcterms:modified>
</cp:coreProperties>
</file>