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77102" w14:textId="77777777" w:rsidR="00AE0BC2" w:rsidRPr="00271C32" w:rsidRDefault="00AE0BC2" w:rsidP="00950A15">
      <w:pPr>
        <w:spacing w:line="360" w:lineRule="auto"/>
        <w:rPr>
          <w:rFonts w:eastAsia="Times New Roman" w:cstheme="minorHAnsi"/>
          <w:b/>
          <w:bCs/>
          <w:color w:val="3C3030"/>
          <w:sz w:val="24"/>
          <w:szCs w:val="24"/>
        </w:rPr>
      </w:pPr>
      <w:r w:rsidRPr="00271C32">
        <w:rPr>
          <w:rFonts w:eastAsia="Times New Roman" w:cstheme="minorHAnsi"/>
          <w:b/>
          <w:bCs/>
          <w:color w:val="3C3030"/>
          <w:sz w:val="24"/>
          <w:szCs w:val="24"/>
        </w:rPr>
        <w:t>ASTHO Legal Preparedness Series and EAI Toolkit Overview</w:t>
      </w:r>
    </w:p>
    <w:p w14:paraId="29F72EEC" w14:textId="77777777" w:rsidR="00AE0BC2" w:rsidRPr="00271C32" w:rsidRDefault="00AE0BC2" w:rsidP="00950A15">
      <w:pPr>
        <w:spacing w:line="360" w:lineRule="auto"/>
        <w:textAlignment w:val="baseline"/>
        <w:rPr>
          <w:rFonts w:eastAsia="Times New Roman" w:cstheme="minorHAnsi"/>
          <w:szCs w:val="20"/>
        </w:rPr>
      </w:pPr>
      <w:r w:rsidRPr="00271C32">
        <w:rPr>
          <w:rFonts w:eastAsia="Times New Roman" w:cstheme="minorHAnsi"/>
          <w:szCs w:val="20"/>
        </w:rPr>
        <w:t>The </w:t>
      </w:r>
      <w:r w:rsidRPr="00271C32">
        <w:rPr>
          <w:rFonts w:eastAsia="Times New Roman" w:cstheme="minorHAnsi"/>
          <w:i/>
          <w:iCs/>
          <w:szCs w:val="20"/>
          <w:bdr w:val="none" w:sz="0" w:space="0" w:color="auto" w:frame="1"/>
        </w:rPr>
        <w:t>Emergency Authority &amp; Immunity (EAI) Toolkit </w:t>
      </w:r>
      <w:r w:rsidRPr="00271C32">
        <w:rPr>
          <w:rFonts w:eastAsia="Times New Roman" w:cstheme="minorHAnsi"/>
          <w:szCs w:val="20"/>
        </w:rPr>
        <w:t>addresses key concepts regarding federal and state emergency declarations and the various response authorities and liability protections these declarations can initiate. The toolkit component documents are designed to be used as a resource to assist in education, training, and planning activities to prepare for emergencies, as well as to serve as a quick reference resource during an emergency response to an event. The </w:t>
      </w:r>
      <w:r w:rsidRPr="00271C32">
        <w:rPr>
          <w:rFonts w:eastAsia="Times New Roman" w:cstheme="minorHAnsi"/>
          <w:i/>
          <w:iCs/>
          <w:szCs w:val="20"/>
          <w:bdr w:val="none" w:sz="0" w:space="0" w:color="auto" w:frame="1"/>
        </w:rPr>
        <w:t>EAI Toolkit </w:t>
      </w:r>
      <w:r w:rsidRPr="00271C32">
        <w:rPr>
          <w:rFonts w:eastAsia="Times New Roman" w:cstheme="minorHAnsi"/>
          <w:szCs w:val="20"/>
        </w:rPr>
        <w:t>is one of six toolkits in ASTHO’s Legal Preparedness Toolkit Series. Please see the Introduction document for additional background on the project and the other toolkits. </w:t>
      </w:r>
    </w:p>
    <w:p w14:paraId="277A1829" w14:textId="77777777" w:rsidR="00271C32" w:rsidRPr="00271C32" w:rsidRDefault="00271C32" w:rsidP="00950A15">
      <w:pPr>
        <w:spacing w:line="360" w:lineRule="auto"/>
        <w:rPr>
          <w:rFonts w:eastAsia="Times New Roman" w:cstheme="minorHAnsi"/>
          <w:b/>
          <w:bCs/>
          <w:sz w:val="28"/>
          <w:szCs w:val="24"/>
        </w:rPr>
      </w:pPr>
    </w:p>
    <w:p w14:paraId="0ACFDB5F" w14:textId="7776E69D" w:rsidR="00AE0BC2" w:rsidRPr="00271C32" w:rsidRDefault="00AE0BC2" w:rsidP="00950A15">
      <w:pPr>
        <w:spacing w:line="360" w:lineRule="auto"/>
        <w:rPr>
          <w:rFonts w:eastAsia="Times New Roman" w:cstheme="minorHAnsi"/>
          <w:b/>
          <w:bCs/>
          <w:color w:val="3C3030"/>
          <w:sz w:val="24"/>
          <w:szCs w:val="24"/>
        </w:rPr>
      </w:pPr>
      <w:r w:rsidRPr="00271C32">
        <w:rPr>
          <w:rFonts w:eastAsia="Times New Roman" w:cstheme="minorHAnsi"/>
          <w:b/>
          <w:bCs/>
          <w:color w:val="3C3030"/>
          <w:sz w:val="24"/>
          <w:szCs w:val="24"/>
        </w:rPr>
        <w:t>Intended Audiences</w:t>
      </w:r>
    </w:p>
    <w:p w14:paraId="631F7180" w14:textId="77777777" w:rsidR="00AE0BC2" w:rsidRPr="00271C32" w:rsidRDefault="00AE0BC2" w:rsidP="00950A15">
      <w:pPr>
        <w:spacing w:line="360" w:lineRule="auto"/>
        <w:textAlignment w:val="baseline"/>
        <w:rPr>
          <w:rFonts w:eastAsia="Times New Roman" w:cstheme="minorHAnsi"/>
          <w:szCs w:val="20"/>
        </w:rPr>
      </w:pPr>
      <w:r w:rsidRPr="00271C32">
        <w:rPr>
          <w:rFonts w:eastAsia="Times New Roman" w:cstheme="minorHAnsi"/>
          <w:i/>
          <w:iCs/>
          <w:szCs w:val="20"/>
          <w:bdr w:val="none" w:sz="0" w:space="0" w:color="auto" w:frame="1"/>
        </w:rPr>
        <w:t>These documents are specifically designed to address the different needs of discrete audiences within a state health agency:</w:t>
      </w:r>
    </w:p>
    <w:p w14:paraId="485218DC" w14:textId="77777777" w:rsidR="00AE0BC2" w:rsidRPr="00271C32" w:rsidRDefault="00AE0BC2" w:rsidP="00950A15">
      <w:pPr>
        <w:pStyle w:val="ListParagraph"/>
        <w:numPr>
          <w:ilvl w:val="0"/>
          <w:numId w:val="9"/>
        </w:numPr>
        <w:spacing w:after="120" w:line="360" w:lineRule="auto"/>
        <w:contextualSpacing w:val="0"/>
        <w:textAlignment w:val="baseline"/>
        <w:rPr>
          <w:rFonts w:eastAsia="Times New Roman" w:cstheme="minorHAnsi"/>
          <w:szCs w:val="20"/>
        </w:rPr>
      </w:pPr>
      <w:r w:rsidRPr="00271C32">
        <w:rPr>
          <w:rFonts w:eastAsia="Times New Roman" w:cstheme="minorHAnsi"/>
          <w:szCs w:val="20"/>
        </w:rPr>
        <w:t xml:space="preserve">State health officers, agency directors, or other senior governmental officials may find the executive overviews and fact sheets of </w:t>
      </w:r>
      <w:proofErr w:type="gramStart"/>
      <w:r w:rsidRPr="00271C32">
        <w:rPr>
          <w:rFonts w:eastAsia="Times New Roman" w:cstheme="minorHAnsi"/>
          <w:szCs w:val="20"/>
        </w:rPr>
        <w:t>particular interest</w:t>
      </w:r>
      <w:proofErr w:type="gramEnd"/>
      <w:r w:rsidRPr="00271C32">
        <w:rPr>
          <w:rFonts w:eastAsia="Times New Roman" w:cstheme="minorHAnsi"/>
          <w:szCs w:val="20"/>
        </w:rPr>
        <w:t>.</w:t>
      </w:r>
    </w:p>
    <w:p w14:paraId="10909634" w14:textId="77777777" w:rsidR="00AE0BC2" w:rsidRPr="00271C32" w:rsidRDefault="00AE0BC2" w:rsidP="00950A15">
      <w:pPr>
        <w:pStyle w:val="ListParagraph"/>
        <w:numPr>
          <w:ilvl w:val="0"/>
          <w:numId w:val="9"/>
        </w:numPr>
        <w:spacing w:after="120" w:line="360" w:lineRule="auto"/>
        <w:contextualSpacing w:val="0"/>
        <w:textAlignment w:val="baseline"/>
        <w:rPr>
          <w:rFonts w:eastAsia="Times New Roman" w:cstheme="minorHAnsi"/>
          <w:szCs w:val="20"/>
        </w:rPr>
      </w:pPr>
      <w:r w:rsidRPr="00271C32">
        <w:rPr>
          <w:rFonts w:eastAsia="Times New Roman" w:cstheme="minorHAnsi"/>
          <w:szCs w:val="20"/>
        </w:rPr>
        <w:t xml:space="preserve">Preparedness directors and other programmatic staff will find the fact sheets, issue briefs, state analysis guides, and resource materials useful in understanding and gaining more in-depth knowledge about </w:t>
      </w:r>
      <w:proofErr w:type="gramStart"/>
      <w:r w:rsidRPr="00271C32">
        <w:rPr>
          <w:rFonts w:eastAsia="Times New Roman" w:cstheme="minorHAnsi"/>
          <w:szCs w:val="20"/>
        </w:rPr>
        <w:t>particular concepts</w:t>
      </w:r>
      <w:proofErr w:type="gramEnd"/>
      <w:r w:rsidRPr="00271C32">
        <w:rPr>
          <w:rFonts w:eastAsia="Times New Roman" w:cstheme="minorHAnsi"/>
          <w:szCs w:val="20"/>
        </w:rPr>
        <w:t xml:space="preserve"> and legal issues.</w:t>
      </w:r>
    </w:p>
    <w:p w14:paraId="15DEFA0C" w14:textId="77777777" w:rsidR="00AE0BC2" w:rsidRPr="00271C32" w:rsidRDefault="00AE0BC2" w:rsidP="00950A15">
      <w:pPr>
        <w:pStyle w:val="ListParagraph"/>
        <w:numPr>
          <w:ilvl w:val="0"/>
          <w:numId w:val="9"/>
        </w:numPr>
        <w:spacing w:after="120" w:line="360" w:lineRule="auto"/>
        <w:contextualSpacing w:val="0"/>
        <w:textAlignment w:val="baseline"/>
        <w:rPr>
          <w:rFonts w:eastAsia="Times New Roman" w:cstheme="minorHAnsi"/>
          <w:szCs w:val="20"/>
        </w:rPr>
      </w:pPr>
      <w:r w:rsidRPr="00271C32">
        <w:rPr>
          <w:rFonts w:eastAsia="Times New Roman" w:cstheme="minorHAnsi"/>
          <w:szCs w:val="20"/>
        </w:rPr>
        <w:t xml:space="preserve">Legal counsel will find the fact sheets about </w:t>
      </w:r>
      <w:proofErr w:type="gramStart"/>
      <w:r w:rsidRPr="00271C32">
        <w:rPr>
          <w:rFonts w:eastAsia="Times New Roman" w:cstheme="minorHAnsi"/>
          <w:szCs w:val="20"/>
        </w:rPr>
        <w:t>particular federal</w:t>
      </w:r>
      <w:proofErr w:type="gramEnd"/>
      <w:r w:rsidRPr="00271C32">
        <w:rPr>
          <w:rFonts w:eastAsia="Times New Roman" w:cstheme="minorHAnsi"/>
          <w:szCs w:val="20"/>
        </w:rPr>
        <w:t xml:space="preserve"> laws and regulations, issue briefs, state analysis guides, and citations within the resource materials a good basis from which to conduct additional research and analyze their particular state’s authorities on these issues.</w:t>
      </w:r>
    </w:p>
    <w:p w14:paraId="262B57D5" w14:textId="11FDB1F1" w:rsidR="00AE0BC2" w:rsidRPr="00271C32" w:rsidRDefault="00AE0BC2" w:rsidP="00950A15">
      <w:pPr>
        <w:pStyle w:val="ListParagraph"/>
        <w:numPr>
          <w:ilvl w:val="0"/>
          <w:numId w:val="9"/>
        </w:numPr>
        <w:spacing w:after="120" w:line="360" w:lineRule="auto"/>
        <w:contextualSpacing w:val="0"/>
        <w:textAlignment w:val="baseline"/>
        <w:rPr>
          <w:rFonts w:eastAsia="Times New Roman" w:cstheme="minorHAnsi"/>
          <w:szCs w:val="20"/>
        </w:rPr>
      </w:pPr>
      <w:r w:rsidRPr="00271C32">
        <w:rPr>
          <w:rFonts w:eastAsia="Times New Roman" w:cstheme="minorHAnsi"/>
          <w:szCs w:val="20"/>
        </w:rPr>
        <w:t>The current issue updates are a good resource for all audiences to learn the latest developments on issues related to the toolkit topic.</w:t>
      </w:r>
    </w:p>
    <w:p w14:paraId="4CA0243F" w14:textId="77777777" w:rsidR="00271C32" w:rsidRPr="00271C32" w:rsidRDefault="00271C32" w:rsidP="00950A15">
      <w:pPr>
        <w:spacing w:line="360" w:lineRule="auto"/>
        <w:textAlignment w:val="baseline"/>
        <w:rPr>
          <w:rFonts w:eastAsia="Times New Roman" w:cstheme="minorHAnsi"/>
          <w:szCs w:val="20"/>
        </w:rPr>
      </w:pPr>
    </w:p>
    <w:p w14:paraId="67D54611" w14:textId="77777777" w:rsidR="00AE0BC2" w:rsidRPr="00271C32" w:rsidRDefault="00AE0BC2" w:rsidP="00950A15">
      <w:pPr>
        <w:spacing w:line="360" w:lineRule="auto"/>
        <w:rPr>
          <w:rFonts w:eastAsia="Times New Roman" w:cstheme="minorHAnsi"/>
          <w:b/>
          <w:bCs/>
          <w:color w:val="3C3030"/>
          <w:sz w:val="24"/>
          <w:szCs w:val="24"/>
        </w:rPr>
      </w:pPr>
      <w:r w:rsidRPr="00271C32">
        <w:rPr>
          <w:rFonts w:eastAsia="Times New Roman" w:cstheme="minorHAnsi"/>
          <w:b/>
          <w:bCs/>
          <w:color w:val="3C3030"/>
          <w:sz w:val="24"/>
          <w:szCs w:val="24"/>
        </w:rPr>
        <w:t>EAI Toolkit Contents</w:t>
      </w:r>
    </w:p>
    <w:p w14:paraId="45C7EDE4" w14:textId="77777777" w:rsidR="00271C32" w:rsidRPr="00271C32" w:rsidRDefault="00AE0BC2" w:rsidP="00950A15">
      <w:pPr>
        <w:spacing w:line="360" w:lineRule="auto"/>
        <w:textAlignment w:val="baseline"/>
        <w:rPr>
          <w:rFonts w:eastAsia="Times New Roman" w:cstheme="minorHAnsi"/>
          <w:b/>
          <w:bCs/>
          <w:bdr w:val="none" w:sz="0" w:space="0" w:color="auto" w:frame="1"/>
        </w:rPr>
      </w:pPr>
      <w:r w:rsidRPr="00271C32">
        <w:rPr>
          <w:rFonts w:eastAsia="Times New Roman" w:cstheme="minorHAnsi"/>
          <w:i/>
          <w:iCs/>
          <w:bdr w:val="none" w:sz="0" w:space="0" w:color="auto" w:frame="1"/>
        </w:rPr>
        <w:t>All documents are listed alphabetically within each document category</w:t>
      </w:r>
      <w:r w:rsidRPr="00271C32">
        <w:rPr>
          <w:rFonts w:eastAsia="Times New Roman" w:cstheme="minorHAnsi"/>
        </w:rPr>
        <w:br/>
      </w:r>
    </w:p>
    <w:p w14:paraId="7BEDE326" w14:textId="6CC4679D" w:rsidR="00AE0BC2" w:rsidRPr="00271C32" w:rsidRDefault="00AE0BC2" w:rsidP="00950A15">
      <w:pPr>
        <w:spacing w:after="120" w:line="360" w:lineRule="auto"/>
        <w:textAlignment w:val="baseline"/>
        <w:rPr>
          <w:rFonts w:eastAsia="Times New Roman" w:cstheme="minorHAnsi"/>
        </w:rPr>
      </w:pPr>
      <w:r w:rsidRPr="00271C32">
        <w:rPr>
          <w:rFonts w:eastAsia="Times New Roman" w:cstheme="minorHAnsi"/>
          <w:b/>
          <w:bCs/>
          <w:bdr w:val="none" w:sz="0" w:space="0" w:color="auto" w:frame="1"/>
        </w:rPr>
        <w:t>Executive Overviews</w:t>
      </w:r>
      <w:r w:rsidRPr="00271C32">
        <w:rPr>
          <w:rFonts w:eastAsia="Times New Roman" w:cstheme="minorHAnsi"/>
        </w:rPr>
        <w:br/>
      </w:r>
      <w:r w:rsidRPr="00271C32">
        <w:rPr>
          <w:rFonts w:eastAsia="Times New Roman" w:cstheme="minorHAnsi"/>
          <w:i/>
          <w:iCs/>
          <w:bdr w:val="none" w:sz="0" w:space="0" w:color="auto" w:frame="1"/>
        </w:rPr>
        <w:t>One-page snapshots of key concepts and issues</w:t>
      </w:r>
    </w:p>
    <w:p w14:paraId="70301500" w14:textId="77777777" w:rsidR="00AE0BC2" w:rsidRPr="00271C32" w:rsidRDefault="00950A15" w:rsidP="00950A15">
      <w:pPr>
        <w:pStyle w:val="ListParagraph"/>
        <w:numPr>
          <w:ilvl w:val="0"/>
          <w:numId w:val="10"/>
        </w:numPr>
        <w:spacing w:after="120" w:line="360" w:lineRule="auto"/>
        <w:contextualSpacing w:val="0"/>
        <w:textAlignment w:val="baseline"/>
        <w:rPr>
          <w:rFonts w:eastAsia="Times New Roman" w:cstheme="minorHAnsi"/>
        </w:rPr>
      </w:pPr>
      <w:hyperlink r:id="rId7" w:tooltip="Key Emergency Authority and Immunity Concepts" w:history="1">
        <w:r w:rsidR="00AE0BC2" w:rsidRPr="00271C32">
          <w:rPr>
            <w:rFonts w:eastAsia="Times New Roman" w:cstheme="minorHAnsi"/>
            <w:color w:val="0F88B8"/>
            <w:u w:val="single"/>
            <w:bdr w:val="none" w:sz="0" w:space="0" w:color="auto" w:frame="1"/>
          </w:rPr>
          <w:t>Key Emergency Authority and Immunity Concepts</w:t>
        </w:r>
      </w:hyperlink>
    </w:p>
    <w:p w14:paraId="7FA285ED" w14:textId="77777777" w:rsidR="00AE0BC2" w:rsidRPr="00271C32" w:rsidRDefault="00950A15" w:rsidP="00950A15">
      <w:pPr>
        <w:pStyle w:val="ListParagraph"/>
        <w:numPr>
          <w:ilvl w:val="0"/>
          <w:numId w:val="10"/>
        </w:numPr>
        <w:spacing w:after="120" w:line="360" w:lineRule="auto"/>
        <w:contextualSpacing w:val="0"/>
        <w:textAlignment w:val="baseline"/>
        <w:rPr>
          <w:rFonts w:eastAsia="Times New Roman" w:cstheme="minorHAnsi"/>
        </w:rPr>
      </w:pPr>
      <w:hyperlink r:id="rId8" w:tooltip="Key Federal Laws and Policies Regarding Emergency Authority and Immunity" w:history="1">
        <w:r w:rsidR="00AE0BC2" w:rsidRPr="00271C32">
          <w:rPr>
            <w:rFonts w:eastAsia="Times New Roman" w:cstheme="minorHAnsi"/>
            <w:color w:val="0F88B8"/>
            <w:u w:val="single"/>
            <w:bdr w:val="none" w:sz="0" w:space="0" w:color="auto" w:frame="1"/>
          </w:rPr>
          <w:t>Key Federal Laws and Policies Regarding Emergency Authority and Immunity</w:t>
        </w:r>
      </w:hyperlink>
    </w:p>
    <w:p w14:paraId="2E3AA9FB" w14:textId="77777777" w:rsidR="00271C32" w:rsidRPr="00271C32" w:rsidRDefault="00271C32" w:rsidP="00950A15">
      <w:pPr>
        <w:spacing w:line="360" w:lineRule="auto"/>
        <w:textAlignment w:val="baseline"/>
        <w:rPr>
          <w:rFonts w:eastAsia="Times New Roman" w:cstheme="minorHAnsi"/>
          <w:b/>
          <w:bCs/>
          <w:bdr w:val="none" w:sz="0" w:space="0" w:color="auto" w:frame="1"/>
        </w:rPr>
      </w:pPr>
    </w:p>
    <w:p w14:paraId="18F8C8B7" w14:textId="69657F10" w:rsidR="00AE0BC2" w:rsidRPr="00271C32" w:rsidRDefault="00AE0BC2" w:rsidP="00950A15">
      <w:pPr>
        <w:spacing w:after="120" w:line="360" w:lineRule="auto"/>
        <w:textAlignment w:val="baseline"/>
        <w:rPr>
          <w:rFonts w:eastAsia="Times New Roman" w:cstheme="minorHAnsi"/>
          <w:i/>
          <w:iCs/>
          <w:bdr w:val="none" w:sz="0" w:space="0" w:color="auto" w:frame="1"/>
        </w:rPr>
      </w:pPr>
      <w:r w:rsidRPr="00271C32">
        <w:rPr>
          <w:rFonts w:eastAsia="Times New Roman" w:cstheme="minorHAnsi"/>
          <w:b/>
          <w:bCs/>
          <w:bdr w:val="none" w:sz="0" w:space="0" w:color="auto" w:frame="1"/>
        </w:rPr>
        <w:t>Fact Sheets</w:t>
      </w:r>
      <w:r w:rsidRPr="00271C32">
        <w:rPr>
          <w:rFonts w:eastAsia="Times New Roman" w:cstheme="minorHAnsi"/>
        </w:rPr>
        <w:br/>
      </w:r>
      <w:r w:rsidRPr="00271C32">
        <w:rPr>
          <w:rFonts w:eastAsia="Times New Roman" w:cstheme="minorHAnsi"/>
          <w:i/>
          <w:iCs/>
          <w:bdr w:val="none" w:sz="0" w:space="0" w:color="auto" w:frame="1"/>
        </w:rPr>
        <w:t>One-page documents addressing fundamental issues or legal authorities</w:t>
      </w:r>
    </w:p>
    <w:p w14:paraId="1B38D273"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9" w:tooltip="Emergency Declarations and Authorities" w:history="1">
        <w:r w:rsidR="00AE0BC2" w:rsidRPr="00271C32">
          <w:rPr>
            <w:rFonts w:eastAsia="Times New Roman" w:cstheme="minorHAnsi"/>
            <w:color w:val="0F88B8"/>
            <w:u w:val="single"/>
            <w:bdr w:val="none" w:sz="0" w:space="0" w:color="auto" w:frame="1"/>
          </w:rPr>
          <w:t>Emergency Declarations and Authorities</w:t>
        </w:r>
      </w:hyperlink>
    </w:p>
    <w:p w14:paraId="6DEE4191"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0" w:tooltip="Emergency Management Assistance Compact" w:history="1">
        <w:r w:rsidR="00AE0BC2" w:rsidRPr="00271C32">
          <w:rPr>
            <w:rFonts w:eastAsia="Times New Roman" w:cstheme="minorHAnsi"/>
            <w:color w:val="0F88B8"/>
            <w:u w:val="single"/>
            <w:bdr w:val="none" w:sz="0" w:space="0" w:color="auto" w:frame="1"/>
          </w:rPr>
          <w:t>Emergency Management Assistance Compact</w:t>
        </w:r>
      </w:hyperlink>
    </w:p>
    <w:p w14:paraId="685655EE"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1" w:tooltip="Federal Emergency Preparedness Directives and Systems" w:history="1">
        <w:r w:rsidR="00AE0BC2" w:rsidRPr="00271C32">
          <w:rPr>
            <w:rFonts w:eastAsia="Times New Roman" w:cstheme="minorHAnsi"/>
            <w:color w:val="0F88B8"/>
            <w:u w:val="single"/>
            <w:bdr w:val="none" w:sz="0" w:space="0" w:color="auto" w:frame="1"/>
          </w:rPr>
          <w:t>Federal Emergency Preparedness Directives and Systems</w:t>
        </w:r>
      </w:hyperlink>
    </w:p>
    <w:p w14:paraId="532B67D9"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2" w:tooltip="Immunity Issues in Emergencies" w:history="1">
        <w:r w:rsidR="00AE0BC2" w:rsidRPr="00271C32">
          <w:rPr>
            <w:rFonts w:eastAsia="Times New Roman" w:cstheme="minorHAnsi"/>
            <w:color w:val="0F88B8"/>
            <w:u w:val="single"/>
            <w:bdr w:val="none" w:sz="0" w:space="0" w:color="auto" w:frame="1"/>
          </w:rPr>
          <w:t>Immunity Issues in Emergencies</w:t>
        </w:r>
      </w:hyperlink>
    </w:p>
    <w:p w14:paraId="433BC83F"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3" w:tooltip="Liability Issues and Emergencies" w:history="1">
        <w:r w:rsidR="00AE0BC2" w:rsidRPr="00271C32">
          <w:rPr>
            <w:rFonts w:eastAsia="Times New Roman" w:cstheme="minorHAnsi"/>
            <w:color w:val="0F88B8"/>
            <w:u w:val="single"/>
            <w:bdr w:val="none" w:sz="0" w:space="0" w:color="auto" w:frame="1"/>
          </w:rPr>
          <w:t>Liability Issues and Emergencies</w:t>
        </w:r>
      </w:hyperlink>
    </w:p>
    <w:p w14:paraId="677DFF9C"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4" w:tooltip="Mutual Aid and Assistance Agreements" w:history="1">
        <w:r w:rsidR="00AE0BC2" w:rsidRPr="00271C32">
          <w:rPr>
            <w:rFonts w:eastAsia="Times New Roman" w:cstheme="minorHAnsi"/>
            <w:color w:val="0F88B8"/>
            <w:u w:val="single"/>
            <w:bdr w:val="none" w:sz="0" w:space="0" w:color="auto" w:frame="1"/>
          </w:rPr>
          <w:t>Mutual Aid and Assistance Agreements</w:t>
        </w:r>
      </w:hyperlink>
    </w:p>
    <w:p w14:paraId="67C404FF"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5" w:tooltip="National Emergencies Act, Sections 201 and 301" w:history="1">
        <w:r w:rsidR="00AE0BC2" w:rsidRPr="00271C32">
          <w:rPr>
            <w:rFonts w:eastAsia="Times New Roman" w:cstheme="minorHAnsi"/>
            <w:color w:val="0F88B8"/>
            <w:u w:val="single"/>
            <w:bdr w:val="none" w:sz="0" w:space="0" w:color="auto" w:frame="1"/>
          </w:rPr>
          <w:t>National Emergencies Act, Sections 201 and 301</w:t>
        </w:r>
      </w:hyperlink>
    </w:p>
    <w:p w14:paraId="6600981B"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6" w:tooltip="Pandemic and All Hazards Preparedness Act" w:history="1">
        <w:r w:rsidR="00AE0BC2" w:rsidRPr="00271C32">
          <w:rPr>
            <w:rFonts w:eastAsia="Times New Roman" w:cstheme="minorHAnsi"/>
            <w:color w:val="0F88B8"/>
            <w:u w:val="single"/>
            <w:bdr w:val="none" w:sz="0" w:space="0" w:color="auto" w:frame="1"/>
          </w:rPr>
          <w:t>Pandemic and All Hazards Preparedness Act</w:t>
        </w:r>
      </w:hyperlink>
    </w:p>
    <w:p w14:paraId="3FD82C1C"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7" w:tooltip="Public Health Service Act, Section 319: Public Health Emergencies" w:history="1">
        <w:r w:rsidR="00AE0BC2" w:rsidRPr="00271C32">
          <w:rPr>
            <w:rFonts w:eastAsia="Times New Roman" w:cstheme="minorHAnsi"/>
            <w:color w:val="0F88B8"/>
            <w:u w:val="single"/>
            <w:bdr w:val="none" w:sz="0" w:space="0" w:color="auto" w:frame="1"/>
          </w:rPr>
          <w:t>Public Health Service Act, Section 319: Public Health Emergencies</w:t>
        </w:r>
      </w:hyperlink>
    </w:p>
    <w:p w14:paraId="63210204"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8" w:tooltip="Public Readiness and Emergency Preparedness Act" w:history="1">
        <w:r w:rsidR="00AE0BC2" w:rsidRPr="00271C32">
          <w:rPr>
            <w:rFonts w:eastAsia="Times New Roman" w:cstheme="minorHAnsi"/>
            <w:color w:val="0F88B8"/>
            <w:u w:val="single"/>
            <w:bdr w:val="none" w:sz="0" w:space="0" w:color="auto" w:frame="1"/>
          </w:rPr>
          <w:t>Public Readiness and Emergency Preparedness Act</w:t>
        </w:r>
      </w:hyperlink>
    </w:p>
    <w:p w14:paraId="0457371D"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19" w:tooltip="Robert T. Stafford Disaster Relief and Emergency Assistance Act" w:history="1">
        <w:r w:rsidR="00AE0BC2" w:rsidRPr="00271C32">
          <w:rPr>
            <w:rFonts w:eastAsia="Times New Roman" w:cstheme="minorHAnsi"/>
            <w:color w:val="0F88B8"/>
            <w:u w:val="single"/>
            <w:bdr w:val="none" w:sz="0" w:space="0" w:color="auto" w:frame="1"/>
          </w:rPr>
          <w:t>Robert T. Stafford Disaster Relief and Emergency Assistance Act</w:t>
        </w:r>
      </w:hyperlink>
    </w:p>
    <w:p w14:paraId="20E9F6FA"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20" w:tooltip="Social Security Act Section 1135 Waivers" w:history="1">
        <w:r w:rsidR="00AE0BC2" w:rsidRPr="00271C32">
          <w:rPr>
            <w:rFonts w:eastAsia="Times New Roman" w:cstheme="minorHAnsi"/>
            <w:color w:val="0F88B8"/>
            <w:u w:val="single"/>
            <w:bdr w:val="none" w:sz="0" w:space="0" w:color="auto" w:frame="1"/>
          </w:rPr>
          <w:t>Social Security Act Section 1135 Waivers</w:t>
        </w:r>
      </w:hyperlink>
    </w:p>
    <w:p w14:paraId="4AB4AB70" w14:textId="77777777" w:rsidR="00AE0BC2" w:rsidRPr="00271C32" w:rsidRDefault="00950A15" w:rsidP="00950A15">
      <w:pPr>
        <w:pStyle w:val="ListParagraph"/>
        <w:numPr>
          <w:ilvl w:val="0"/>
          <w:numId w:val="11"/>
        </w:numPr>
        <w:spacing w:after="120" w:line="360" w:lineRule="auto"/>
        <w:contextualSpacing w:val="0"/>
        <w:textAlignment w:val="baseline"/>
        <w:rPr>
          <w:rFonts w:eastAsia="Times New Roman" w:cstheme="minorHAnsi"/>
        </w:rPr>
      </w:pPr>
      <w:hyperlink r:id="rId21" w:tooltip="Workers’ Compensation Issues in Emergencies" w:history="1">
        <w:r w:rsidR="00AE0BC2" w:rsidRPr="00271C32">
          <w:rPr>
            <w:rFonts w:eastAsia="Times New Roman" w:cstheme="minorHAnsi"/>
            <w:color w:val="0F88B8"/>
            <w:u w:val="single"/>
            <w:bdr w:val="none" w:sz="0" w:space="0" w:color="auto" w:frame="1"/>
          </w:rPr>
          <w:t>Workers’ Compensation Issues in Emergencies</w:t>
        </w:r>
      </w:hyperlink>
    </w:p>
    <w:p w14:paraId="2C03224D" w14:textId="77777777" w:rsidR="00271C32" w:rsidRPr="00271C32" w:rsidRDefault="00271C32" w:rsidP="00950A15">
      <w:pPr>
        <w:spacing w:line="360" w:lineRule="auto"/>
        <w:textAlignment w:val="baseline"/>
        <w:rPr>
          <w:rFonts w:eastAsia="Times New Roman" w:cstheme="minorHAnsi"/>
          <w:b/>
          <w:bCs/>
          <w:bdr w:val="none" w:sz="0" w:space="0" w:color="auto" w:frame="1"/>
        </w:rPr>
      </w:pPr>
      <w:bookmarkStart w:id="0" w:name="_GoBack"/>
      <w:bookmarkEnd w:id="0"/>
    </w:p>
    <w:p w14:paraId="1021C0A1" w14:textId="1B97DCED" w:rsidR="00AE0BC2" w:rsidRPr="00271C32" w:rsidRDefault="00AE0BC2" w:rsidP="00950A15">
      <w:pPr>
        <w:spacing w:after="120" w:line="360" w:lineRule="auto"/>
        <w:textAlignment w:val="baseline"/>
        <w:rPr>
          <w:rFonts w:eastAsia="Times New Roman" w:cstheme="minorHAnsi"/>
        </w:rPr>
      </w:pPr>
      <w:r w:rsidRPr="00271C32">
        <w:rPr>
          <w:rFonts w:eastAsia="Times New Roman" w:cstheme="minorHAnsi"/>
          <w:b/>
          <w:bCs/>
          <w:bdr w:val="none" w:sz="0" w:space="0" w:color="auto" w:frame="1"/>
        </w:rPr>
        <w:t>Issue Briefs</w:t>
      </w:r>
      <w:r w:rsidRPr="00271C32">
        <w:rPr>
          <w:rFonts w:eastAsia="Times New Roman" w:cstheme="minorHAnsi"/>
        </w:rPr>
        <w:br/>
      </w:r>
      <w:r w:rsidRPr="00271C32">
        <w:rPr>
          <w:rFonts w:eastAsia="Times New Roman" w:cstheme="minorHAnsi"/>
          <w:i/>
          <w:iCs/>
          <w:bdr w:val="none" w:sz="0" w:space="0" w:color="auto" w:frame="1"/>
        </w:rPr>
        <w:t>In-depth information and analyses of fundamental issues</w:t>
      </w:r>
    </w:p>
    <w:p w14:paraId="79E7AB43" w14:textId="77777777" w:rsidR="00AE0BC2" w:rsidRPr="00271C32" w:rsidRDefault="00950A15" w:rsidP="00950A15">
      <w:pPr>
        <w:pStyle w:val="ListParagraph"/>
        <w:numPr>
          <w:ilvl w:val="0"/>
          <w:numId w:val="12"/>
        </w:numPr>
        <w:spacing w:line="360" w:lineRule="auto"/>
        <w:textAlignment w:val="baseline"/>
        <w:rPr>
          <w:rFonts w:eastAsia="Times New Roman" w:cstheme="minorHAnsi"/>
        </w:rPr>
      </w:pPr>
      <w:hyperlink r:id="rId22" w:tooltip="Liability, Immunity, and Workers’ Compensation Issues in Public Health Emergencies" w:history="1">
        <w:r w:rsidR="00AE0BC2" w:rsidRPr="00271C32">
          <w:rPr>
            <w:rFonts w:eastAsia="Times New Roman" w:cstheme="minorHAnsi"/>
            <w:color w:val="0F88B8"/>
            <w:u w:val="single"/>
            <w:bdr w:val="none" w:sz="0" w:space="0" w:color="auto" w:frame="1"/>
          </w:rPr>
          <w:t>Liability, Immunity, and Workers’ Compensation Issues in Public Health Emergencies</w:t>
        </w:r>
      </w:hyperlink>
    </w:p>
    <w:p w14:paraId="4C8EFA26" w14:textId="77777777" w:rsidR="00271C32" w:rsidRPr="00271C32" w:rsidRDefault="00271C32" w:rsidP="00950A15">
      <w:pPr>
        <w:spacing w:line="360" w:lineRule="auto"/>
        <w:textAlignment w:val="baseline"/>
        <w:rPr>
          <w:rFonts w:eastAsia="Times New Roman" w:cstheme="minorHAnsi"/>
          <w:b/>
          <w:bCs/>
          <w:bdr w:val="none" w:sz="0" w:space="0" w:color="auto" w:frame="1"/>
        </w:rPr>
      </w:pPr>
    </w:p>
    <w:p w14:paraId="47A2342F" w14:textId="0F47B247" w:rsidR="00AE0BC2" w:rsidRPr="00271C32" w:rsidRDefault="00AE0BC2" w:rsidP="00950A15">
      <w:pPr>
        <w:spacing w:line="360" w:lineRule="auto"/>
        <w:textAlignment w:val="baseline"/>
        <w:rPr>
          <w:rFonts w:eastAsia="Times New Roman" w:cstheme="minorHAnsi"/>
        </w:rPr>
      </w:pPr>
      <w:r w:rsidRPr="00271C32">
        <w:rPr>
          <w:rFonts w:eastAsia="Times New Roman" w:cstheme="minorHAnsi"/>
          <w:b/>
          <w:bCs/>
          <w:bdr w:val="none" w:sz="0" w:space="0" w:color="auto" w:frame="1"/>
        </w:rPr>
        <w:t>State Analysis Guides</w:t>
      </w:r>
      <w:r w:rsidRPr="00271C32">
        <w:rPr>
          <w:rFonts w:eastAsia="Times New Roman" w:cstheme="minorHAnsi"/>
        </w:rPr>
        <w:br/>
      </w:r>
      <w:r w:rsidRPr="00271C32">
        <w:rPr>
          <w:rFonts w:eastAsia="Times New Roman" w:cstheme="minorHAnsi"/>
          <w:i/>
          <w:iCs/>
          <w:bdr w:val="none" w:sz="0" w:space="0" w:color="auto" w:frame="1"/>
        </w:rPr>
        <w:t>Aids to assist states in identifying and analyzing their own statutes, regulations, and policies</w:t>
      </w:r>
    </w:p>
    <w:p w14:paraId="34B8B8E1" w14:textId="77777777" w:rsidR="00AE0BC2" w:rsidRPr="00271C32" w:rsidRDefault="00950A15" w:rsidP="00950A15">
      <w:pPr>
        <w:pStyle w:val="ListParagraph"/>
        <w:numPr>
          <w:ilvl w:val="0"/>
          <w:numId w:val="12"/>
        </w:numPr>
        <w:spacing w:after="120" w:line="360" w:lineRule="auto"/>
        <w:contextualSpacing w:val="0"/>
        <w:textAlignment w:val="baseline"/>
        <w:rPr>
          <w:rFonts w:eastAsia="Times New Roman" w:cstheme="minorHAnsi"/>
        </w:rPr>
      </w:pPr>
      <w:hyperlink r:id="rId23" w:tooltip="Emergency Declarations and Authorities" w:history="1">
        <w:r w:rsidR="00AE0BC2" w:rsidRPr="00271C32">
          <w:rPr>
            <w:rFonts w:eastAsia="Times New Roman" w:cstheme="minorHAnsi"/>
            <w:color w:val="0F88B8"/>
            <w:u w:val="single"/>
            <w:bdr w:val="none" w:sz="0" w:space="0" w:color="auto" w:frame="1"/>
          </w:rPr>
          <w:t>Emergency Declarations and Authorities</w:t>
        </w:r>
      </w:hyperlink>
      <w:r w:rsidR="00AE0BC2" w:rsidRPr="00271C32">
        <w:rPr>
          <w:rFonts w:eastAsia="Times New Roman" w:cstheme="minorHAnsi"/>
          <w:color w:val="737373"/>
        </w:rPr>
        <w:t> </w:t>
      </w:r>
      <w:r w:rsidR="00AE0BC2" w:rsidRPr="00271C32">
        <w:rPr>
          <w:rFonts w:eastAsia="Times New Roman" w:cstheme="minorHAnsi"/>
        </w:rPr>
        <w:t>(Word document will download)</w:t>
      </w:r>
    </w:p>
    <w:p w14:paraId="2D99665B" w14:textId="77777777" w:rsidR="00AE0BC2" w:rsidRPr="00271C32" w:rsidRDefault="00950A15" w:rsidP="00950A15">
      <w:pPr>
        <w:pStyle w:val="ListParagraph"/>
        <w:numPr>
          <w:ilvl w:val="0"/>
          <w:numId w:val="12"/>
        </w:numPr>
        <w:spacing w:after="120" w:line="360" w:lineRule="auto"/>
        <w:contextualSpacing w:val="0"/>
        <w:textAlignment w:val="baseline"/>
        <w:rPr>
          <w:rFonts w:eastAsia="Times New Roman" w:cstheme="minorHAnsi"/>
        </w:rPr>
      </w:pPr>
      <w:hyperlink r:id="rId24" w:tooltip="Liability, Immunity, and Workers’ Compensation Issues" w:history="1">
        <w:r w:rsidR="00AE0BC2" w:rsidRPr="00271C32">
          <w:rPr>
            <w:rFonts w:eastAsia="Times New Roman" w:cstheme="minorHAnsi"/>
            <w:color w:val="0F88B8"/>
            <w:u w:val="single"/>
            <w:bdr w:val="none" w:sz="0" w:space="0" w:color="auto" w:frame="1"/>
          </w:rPr>
          <w:t>Liability, Immunity, and Workers’ Compensation Issues</w:t>
        </w:r>
      </w:hyperlink>
      <w:r w:rsidR="00AE0BC2" w:rsidRPr="00271C32">
        <w:rPr>
          <w:rFonts w:eastAsia="Times New Roman" w:cstheme="minorHAnsi"/>
        </w:rPr>
        <w:t> (Word document will download)</w:t>
      </w:r>
    </w:p>
    <w:p w14:paraId="6566316F" w14:textId="77777777" w:rsidR="00271C32" w:rsidRPr="002D4237" w:rsidRDefault="00271C32" w:rsidP="00950A15">
      <w:pPr>
        <w:spacing w:line="360" w:lineRule="auto"/>
        <w:textAlignment w:val="baseline"/>
        <w:rPr>
          <w:rFonts w:eastAsia="Times New Roman" w:cstheme="minorHAnsi"/>
          <w:b/>
          <w:bCs/>
          <w:bdr w:val="none" w:sz="0" w:space="0" w:color="auto" w:frame="1"/>
        </w:rPr>
      </w:pPr>
    </w:p>
    <w:p w14:paraId="70F889FF" w14:textId="241F7207" w:rsidR="00AE0BC2" w:rsidRPr="002D4237" w:rsidRDefault="00AE0BC2" w:rsidP="00950A15">
      <w:pPr>
        <w:spacing w:after="120" w:line="360" w:lineRule="auto"/>
        <w:textAlignment w:val="baseline"/>
        <w:rPr>
          <w:rFonts w:eastAsia="Times New Roman" w:cstheme="minorHAnsi"/>
        </w:rPr>
      </w:pPr>
      <w:r w:rsidRPr="002D4237">
        <w:rPr>
          <w:rFonts w:eastAsia="Times New Roman" w:cstheme="minorHAnsi"/>
          <w:b/>
          <w:bCs/>
          <w:bdr w:val="none" w:sz="0" w:space="0" w:color="auto" w:frame="1"/>
        </w:rPr>
        <w:t>Current Issues and Updates</w:t>
      </w:r>
      <w:r w:rsidRPr="002D4237">
        <w:rPr>
          <w:rFonts w:eastAsia="Times New Roman" w:cstheme="minorHAnsi"/>
        </w:rPr>
        <w:br/>
      </w:r>
      <w:r w:rsidRPr="002D4237">
        <w:rPr>
          <w:rFonts w:eastAsia="Times New Roman" w:cstheme="minorHAnsi"/>
          <w:i/>
          <w:iCs/>
          <w:bdr w:val="none" w:sz="0" w:space="0" w:color="auto" w:frame="1"/>
        </w:rPr>
        <w:t>Periodic updates on new and evolving issues</w:t>
      </w:r>
    </w:p>
    <w:p w14:paraId="09D2ECC8" w14:textId="77777777" w:rsidR="00AE0BC2" w:rsidRPr="002D4237" w:rsidRDefault="00950A15" w:rsidP="00950A15">
      <w:pPr>
        <w:pStyle w:val="ListParagraph"/>
        <w:numPr>
          <w:ilvl w:val="0"/>
          <w:numId w:val="13"/>
        </w:numPr>
        <w:spacing w:after="120" w:line="360" w:lineRule="auto"/>
        <w:contextualSpacing w:val="0"/>
        <w:textAlignment w:val="baseline"/>
        <w:rPr>
          <w:rFonts w:eastAsia="Times New Roman" w:cstheme="minorHAnsi"/>
        </w:rPr>
      </w:pPr>
      <w:hyperlink r:id="rId25" w:tooltip="Winter 2012—Pandemic and All-Hazards Preparedness Act Reauthorization" w:history="1">
        <w:r w:rsidR="00AE0BC2" w:rsidRPr="002D4237">
          <w:rPr>
            <w:rFonts w:eastAsia="Times New Roman" w:cstheme="minorHAnsi"/>
            <w:color w:val="0F88B8"/>
            <w:u w:val="single"/>
            <w:bdr w:val="none" w:sz="0" w:space="0" w:color="auto" w:frame="1"/>
          </w:rPr>
          <w:t>Winter 2012—Pandemic and All-Hazards Preparedness Act Reauthorization</w:t>
        </w:r>
      </w:hyperlink>
    </w:p>
    <w:p w14:paraId="7BD272EB" w14:textId="77777777" w:rsidR="00AE0BC2" w:rsidRPr="002D4237" w:rsidRDefault="00950A15" w:rsidP="00950A15">
      <w:pPr>
        <w:pStyle w:val="ListParagraph"/>
        <w:numPr>
          <w:ilvl w:val="0"/>
          <w:numId w:val="13"/>
        </w:numPr>
        <w:spacing w:after="120" w:line="360" w:lineRule="auto"/>
        <w:contextualSpacing w:val="0"/>
        <w:textAlignment w:val="baseline"/>
        <w:rPr>
          <w:rFonts w:eastAsia="Times New Roman" w:cstheme="minorHAnsi"/>
        </w:rPr>
      </w:pPr>
      <w:hyperlink r:id="rId26" w:tooltip="Summer 2011—New Presidential Policy Directive Replaces HSPD-8" w:history="1">
        <w:r w:rsidR="00AE0BC2" w:rsidRPr="002D4237">
          <w:rPr>
            <w:rFonts w:eastAsia="Times New Roman" w:cstheme="minorHAnsi"/>
            <w:color w:val="0F88B8"/>
            <w:u w:val="single"/>
            <w:bdr w:val="none" w:sz="0" w:space="0" w:color="auto" w:frame="1"/>
          </w:rPr>
          <w:t>Summer 2011—New Presidential Policy Directive Replaces HSPD-8</w:t>
        </w:r>
      </w:hyperlink>
    </w:p>
    <w:p w14:paraId="78072EF9" w14:textId="77777777" w:rsidR="00271C32" w:rsidRPr="002D4237" w:rsidRDefault="00271C32" w:rsidP="00950A15">
      <w:pPr>
        <w:spacing w:line="360" w:lineRule="auto"/>
        <w:textAlignment w:val="baseline"/>
        <w:rPr>
          <w:rFonts w:eastAsia="Times New Roman" w:cstheme="minorHAnsi"/>
          <w:b/>
          <w:bCs/>
          <w:bdr w:val="none" w:sz="0" w:space="0" w:color="auto" w:frame="1"/>
        </w:rPr>
      </w:pPr>
    </w:p>
    <w:p w14:paraId="538F9F66" w14:textId="1C8366B0" w:rsidR="00AE0BC2" w:rsidRPr="002D4237" w:rsidRDefault="00AE0BC2" w:rsidP="00950A15">
      <w:pPr>
        <w:spacing w:after="120" w:line="360" w:lineRule="auto"/>
        <w:textAlignment w:val="baseline"/>
        <w:rPr>
          <w:rFonts w:eastAsia="Times New Roman" w:cstheme="minorHAnsi"/>
        </w:rPr>
      </w:pPr>
      <w:r w:rsidRPr="002D4237">
        <w:rPr>
          <w:rFonts w:eastAsia="Times New Roman" w:cstheme="minorHAnsi"/>
          <w:b/>
          <w:bCs/>
          <w:bdr w:val="none" w:sz="0" w:space="0" w:color="auto" w:frame="1"/>
        </w:rPr>
        <w:t>Resource Materials</w:t>
      </w:r>
      <w:r w:rsidRPr="002D4237">
        <w:rPr>
          <w:rFonts w:eastAsia="Times New Roman" w:cstheme="minorHAnsi"/>
        </w:rPr>
        <w:br/>
      </w:r>
      <w:r w:rsidRPr="002D4237">
        <w:rPr>
          <w:rFonts w:eastAsia="Times New Roman" w:cstheme="minorHAnsi"/>
          <w:i/>
          <w:iCs/>
          <w:bdr w:val="none" w:sz="0" w:space="0" w:color="auto" w:frame="1"/>
        </w:rPr>
        <w:t>Bibliographies and links to key agencies, organization, laws, and other documents</w:t>
      </w:r>
    </w:p>
    <w:p w14:paraId="47E2F9F9" w14:textId="77777777" w:rsidR="00AE0BC2" w:rsidRPr="002D4237" w:rsidRDefault="00950A15" w:rsidP="00950A15">
      <w:pPr>
        <w:numPr>
          <w:ilvl w:val="0"/>
          <w:numId w:val="8"/>
        </w:numPr>
        <w:spacing w:line="360" w:lineRule="auto"/>
        <w:ind w:left="0"/>
        <w:textAlignment w:val="baseline"/>
        <w:rPr>
          <w:rFonts w:eastAsia="Times New Roman" w:cstheme="minorHAnsi"/>
        </w:rPr>
      </w:pPr>
      <w:hyperlink r:id="rId27" w:tooltip="Emergency Authority and Immunity Resource Materials Document" w:history="1">
        <w:r w:rsidR="00AE0BC2" w:rsidRPr="00271C32">
          <w:rPr>
            <w:rFonts w:eastAsia="Times New Roman" w:cstheme="minorHAnsi"/>
            <w:color w:val="0F88B8"/>
            <w:u w:val="single"/>
            <w:bdr w:val="none" w:sz="0" w:space="0" w:color="auto" w:frame="1"/>
          </w:rPr>
          <w:t>Emergency Authority and Immunity Resource Materials Document</w:t>
        </w:r>
      </w:hyperlink>
    </w:p>
    <w:p w14:paraId="699CB134" w14:textId="77777777" w:rsidR="00AE0BC2" w:rsidRPr="00271C32" w:rsidRDefault="00AE0BC2" w:rsidP="00950A15">
      <w:pPr>
        <w:spacing w:line="360" w:lineRule="auto"/>
        <w:textAlignment w:val="baseline"/>
        <w:rPr>
          <w:rFonts w:eastAsia="Times New Roman" w:cstheme="minorHAnsi"/>
          <w:color w:val="737373"/>
        </w:rPr>
      </w:pPr>
      <w:r w:rsidRPr="00271C32">
        <w:rPr>
          <w:rFonts w:eastAsia="Times New Roman" w:cstheme="minorHAnsi"/>
          <w:color w:val="737373"/>
        </w:rPr>
        <w:t> </w:t>
      </w:r>
    </w:p>
    <w:p w14:paraId="7CEEFD05" w14:textId="77777777" w:rsidR="00AE0BC2" w:rsidRPr="00271C32" w:rsidRDefault="00AE0BC2" w:rsidP="00950A15">
      <w:pPr>
        <w:spacing w:line="360" w:lineRule="auto"/>
        <w:rPr>
          <w:rFonts w:cstheme="minorHAnsi"/>
        </w:rPr>
      </w:pPr>
    </w:p>
    <w:sectPr w:rsidR="00AE0BC2" w:rsidRPr="00271C32">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77F3D" w14:textId="77777777" w:rsidR="003B17DD" w:rsidRDefault="003B17DD" w:rsidP="003B17DD">
      <w:r>
        <w:separator/>
      </w:r>
    </w:p>
  </w:endnote>
  <w:endnote w:type="continuationSeparator" w:id="0">
    <w:p w14:paraId="49D17284" w14:textId="77777777" w:rsidR="003B17DD" w:rsidRDefault="003B17DD" w:rsidP="003B1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5433258"/>
      <w:docPartObj>
        <w:docPartGallery w:val="Page Numbers (Bottom of Page)"/>
        <w:docPartUnique/>
      </w:docPartObj>
    </w:sdtPr>
    <w:sdtEndPr>
      <w:rPr>
        <w:noProof/>
      </w:rPr>
    </w:sdtEndPr>
    <w:sdtContent>
      <w:p w14:paraId="60FE12C1" w14:textId="455246A8" w:rsidR="003B17DD" w:rsidRDefault="003B17DD" w:rsidP="003B17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71DF5" w14:textId="77777777" w:rsidR="003B17DD" w:rsidRDefault="003B17DD" w:rsidP="003B17DD">
      <w:r>
        <w:separator/>
      </w:r>
    </w:p>
  </w:footnote>
  <w:footnote w:type="continuationSeparator" w:id="0">
    <w:p w14:paraId="3BACB7DB" w14:textId="77777777" w:rsidR="003B17DD" w:rsidRDefault="003B17DD" w:rsidP="003B17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7892"/>
    <w:multiLevelType w:val="hybridMultilevel"/>
    <w:tmpl w:val="77740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82209D"/>
    <w:multiLevelType w:val="hybridMultilevel"/>
    <w:tmpl w:val="C5700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E4207E"/>
    <w:multiLevelType w:val="hybridMultilevel"/>
    <w:tmpl w:val="951E08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42421E2"/>
    <w:multiLevelType w:val="hybridMultilevel"/>
    <w:tmpl w:val="44C6E4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6E4512"/>
    <w:multiLevelType w:val="multilevel"/>
    <w:tmpl w:val="27287A6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320076AF"/>
    <w:multiLevelType w:val="multilevel"/>
    <w:tmpl w:val="DC08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3D1AEB"/>
    <w:multiLevelType w:val="multilevel"/>
    <w:tmpl w:val="AF386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F86864"/>
    <w:multiLevelType w:val="multilevel"/>
    <w:tmpl w:val="23D2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A14EF7"/>
    <w:multiLevelType w:val="hybridMultilevel"/>
    <w:tmpl w:val="2F82D9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BFC4B21"/>
    <w:multiLevelType w:val="multilevel"/>
    <w:tmpl w:val="00F2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4E39DA"/>
    <w:multiLevelType w:val="multilevel"/>
    <w:tmpl w:val="3DD4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175C1D"/>
    <w:multiLevelType w:val="multilevel"/>
    <w:tmpl w:val="325C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852948"/>
    <w:multiLevelType w:val="multilevel"/>
    <w:tmpl w:val="C696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10"/>
  </w:num>
  <w:num w:numId="4">
    <w:abstractNumId w:val="4"/>
  </w:num>
  <w:num w:numId="5">
    <w:abstractNumId w:val="12"/>
  </w:num>
  <w:num w:numId="6">
    <w:abstractNumId w:val="11"/>
  </w:num>
  <w:num w:numId="7">
    <w:abstractNumId w:val="5"/>
  </w:num>
  <w:num w:numId="8">
    <w:abstractNumId w:val="7"/>
  </w:num>
  <w:num w:numId="9">
    <w:abstractNumId w:val="3"/>
  </w:num>
  <w:num w:numId="10">
    <w:abstractNumId w:val="8"/>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BC2"/>
    <w:rsid w:val="00151278"/>
    <w:rsid w:val="00271C32"/>
    <w:rsid w:val="002D4237"/>
    <w:rsid w:val="003B17DD"/>
    <w:rsid w:val="00476446"/>
    <w:rsid w:val="00950A15"/>
    <w:rsid w:val="00AE0BC2"/>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68CF"/>
  <w15:chartTrackingRefBased/>
  <w15:docId w15:val="{BC3ADD63-4C5D-4E77-8F2C-36B6682F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E0BC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0BC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AE0BC2"/>
    <w:rPr>
      <w:color w:val="0000FF"/>
      <w:u w:val="single"/>
    </w:rPr>
  </w:style>
  <w:style w:type="paragraph" w:styleId="NormalWeb">
    <w:name w:val="Normal (Web)"/>
    <w:basedOn w:val="Normal"/>
    <w:uiPriority w:val="99"/>
    <w:semiHidden/>
    <w:unhideWhenUsed/>
    <w:rsid w:val="00AE0BC2"/>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AE0BC2"/>
    <w:rPr>
      <w:i/>
      <w:iCs/>
    </w:rPr>
  </w:style>
  <w:style w:type="character" w:styleId="Strong">
    <w:name w:val="Strong"/>
    <w:basedOn w:val="DefaultParagraphFont"/>
    <w:uiPriority w:val="22"/>
    <w:qFormat/>
    <w:rsid w:val="00AE0BC2"/>
    <w:rPr>
      <w:b/>
      <w:bCs/>
    </w:rPr>
  </w:style>
  <w:style w:type="paragraph" w:styleId="BalloonText">
    <w:name w:val="Balloon Text"/>
    <w:basedOn w:val="Normal"/>
    <w:link w:val="BalloonTextChar"/>
    <w:uiPriority w:val="99"/>
    <w:semiHidden/>
    <w:unhideWhenUsed/>
    <w:rsid w:val="00AE0B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BC2"/>
    <w:rPr>
      <w:rFonts w:ascii="Segoe UI" w:hAnsi="Segoe UI" w:cs="Segoe UI"/>
      <w:sz w:val="18"/>
      <w:szCs w:val="18"/>
    </w:rPr>
  </w:style>
  <w:style w:type="paragraph" w:styleId="Header">
    <w:name w:val="header"/>
    <w:basedOn w:val="Normal"/>
    <w:link w:val="HeaderChar"/>
    <w:uiPriority w:val="99"/>
    <w:unhideWhenUsed/>
    <w:rsid w:val="003B17DD"/>
    <w:pPr>
      <w:tabs>
        <w:tab w:val="center" w:pos="4680"/>
        <w:tab w:val="right" w:pos="9360"/>
      </w:tabs>
    </w:pPr>
  </w:style>
  <w:style w:type="character" w:customStyle="1" w:styleId="HeaderChar">
    <w:name w:val="Header Char"/>
    <w:basedOn w:val="DefaultParagraphFont"/>
    <w:link w:val="Header"/>
    <w:uiPriority w:val="99"/>
    <w:rsid w:val="003B17DD"/>
  </w:style>
  <w:style w:type="paragraph" w:styleId="Footer">
    <w:name w:val="footer"/>
    <w:basedOn w:val="Normal"/>
    <w:link w:val="FooterChar"/>
    <w:uiPriority w:val="99"/>
    <w:unhideWhenUsed/>
    <w:rsid w:val="003B17DD"/>
    <w:pPr>
      <w:tabs>
        <w:tab w:val="center" w:pos="4680"/>
        <w:tab w:val="right" w:pos="9360"/>
      </w:tabs>
    </w:pPr>
  </w:style>
  <w:style w:type="character" w:customStyle="1" w:styleId="FooterChar">
    <w:name w:val="Footer Char"/>
    <w:basedOn w:val="DefaultParagraphFont"/>
    <w:link w:val="Footer"/>
    <w:uiPriority w:val="99"/>
    <w:rsid w:val="003B17DD"/>
  </w:style>
  <w:style w:type="paragraph" w:styleId="ListParagraph">
    <w:name w:val="List Paragraph"/>
    <w:basedOn w:val="Normal"/>
    <w:uiPriority w:val="34"/>
    <w:qFormat/>
    <w:rsid w:val="00271C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05838">
      <w:bodyDiv w:val="1"/>
      <w:marLeft w:val="0"/>
      <w:marRight w:val="0"/>
      <w:marTop w:val="0"/>
      <w:marBottom w:val="0"/>
      <w:divBdr>
        <w:top w:val="none" w:sz="0" w:space="0" w:color="auto"/>
        <w:left w:val="none" w:sz="0" w:space="0" w:color="auto"/>
        <w:bottom w:val="none" w:sz="0" w:space="0" w:color="auto"/>
        <w:right w:val="none" w:sz="0" w:space="0" w:color="auto"/>
      </w:divBdr>
      <w:divsChild>
        <w:div w:id="304356976">
          <w:marLeft w:val="180"/>
          <w:marRight w:val="0"/>
          <w:marTop w:val="0"/>
          <w:marBottom w:val="0"/>
          <w:divBdr>
            <w:top w:val="dotted" w:sz="2" w:space="0" w:color="CCCCCC"/>
            <w:left w:val="dotted" w:sz="2" w:space="0" w:color="CCCCCC"/>
            <w:bottom w:val="dotted" w:sz="2" w:space="0" w:color="CCCCCC"/>
            <w:right w:val="dotted" w:sz="2" w:space="0" w:color="CCCCCC"/>
          </w:divBdr>
        </w:div>
        <w:div w:id="1103501737">
          <w:marLeft w:val="0"/>
          <w:marRight w:val="270"/>
          <w:marTop w:val="0"/>
          <w:marBottom w:val="0"/>
          <w:divBdr>
            <w:top w:val="none" w:sz="0" w:space="0" w:color="auto"/>
            <w:left w:val="none" w:sz="0" w:space="0" w:color="auto"/>
            <w:bottom w:val="none" w:sz="0" w:space="0" w:color="auto"/>
            <w:right w:val="none" w:sz="0" w:space="0" w:color="auto"/>
          </w:divBdr>
          <w:divsChild>
            <w:div w:id="12430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Key-Federal-Laws-and-Policies-Regarding-Emergency-Authority-and-Immunity/" TargetMode="External"/><Relationship Id="rId13" Type="http://schemas.openxmlformats.org/officeDocument/2006/relationships/hyperlink" Target="http://www.astho.org/Programs/Preparedness/Public-Health-Emergency-Law/Emergency-Authority-and-Immunity-Toolkit/Liability-Issues-in-Emergencies-Fact-Sheet/" TargetMode="External"/><Relationship Id="rId18" Type="http://schemas.openxmlformats.org/officeDocument/2006/relationships/hyperlink" Target="http://www.astho.org/Programs/Preparedness/Public-Health-Emergency-Law/Emergency-Authority-and-Immunity-Toolkit/Public-Readiness-and-Emergency-Preparedness-Act-Fact-Sheet/" TargetMode="External"/><Relationship Id="rId26" Type="http://schemas.openxmlformats.org/officeDocument/2006/relationships/hyperlink" Target="http://www.astho.org/Programs/Preparedness/Public-Health-Emergency-Law/Emergency-Authority-and-Immunity-Toolkit/Emergency-Authority-and-Immunity-Current-Issues-Summer-2011/" TargetMode="External"/><Relationship Id="rId3" Type="http://schemas.openxmlformats.org/officeDocument/2006/relationships/settings" Target="settings.xml"/><Relationship Id="rId21" Type="http://schemas.openxmlformats.org/officeDocument/2006/relationships/hyperlink" Target="http://www.astho.org/Programs/Preparedness/Public-Health-Emergency-Law/Emergency-Authority-and-Immunity-Toolkit/Workers--Compensation-Issues-in-Emergencies-Fact-Sheet/" TargetMode="External"/><Relationship Id="rId7" Type="http://schemas.openxmlformats.org/officeDocument/2006/relationships/hyperlink" Target="http://www.astho.org/Programs/Preparedness/Public-Health-Emergency-Law/Emergency-Authority-and-Immunity-Toolkit/Key-Emergency-Authority-and-Immunity-Concepts/" TargetMode="External"/><Relationship Id="rId12" Type="http://schemas.openxmlformats.org/officeDocument/2006/relationships/hyperlink" Target="http://www.astho.org/Programs/Preparedness/Public-Health-Emergency-Law/Emergency-Authority-and-Immunity-Toolkit/Immunity-Issues-in-Emergencies-Fact-Sheet/" TargetMode="External"/><Relationship Id="rId17" Type="http://schemas.openxmlformats.org/officeDocument/2006/relationships/hyperlink" Target="http://www.astho.org/Programs/Preparedness/Public-Health-Emergency-Law/Emergency-Authority-and-Immunity-Toolkit/Public-Health-Service-Act,-Section-319-Fact-Sheet/" TargetMode="External"/><Relationship Id="rId25" Type="http://schemas.openxmlformats.org/officeDocument/2006/relationships/hyperlink" Target="http://www.astho.org/Programs/Preparedness/Public-Health-Emergency-Law/Emergency-Authority-and-Immunity-Toolkit/Emergency-Authority-and-Immunity-Current-Issues-and-Updates-Winter-2012/" TargetMode="External"/><Relationship Id="rId2" Type="http://schemas.openxmlformats.org/officeDocument/2006/relationships/styles" Target="styles.xml"/><Relationship Id="rId16" Type="http://schemas.openxmlformats.org/officeDocument/2006/relationships/hyperlink" Target="http://www.astho.org/Programs/Preparedness/Public-Health-Emergency-Law/Emergency-Authority-and-Immunity-Toolkit/Pandemic-and-All-Hazards-Preparedness-Act-Fact-Sheet/" TargetMode="External"/><Relationship Id="rId20" Type="http://schemas.openxmlformats.org/officeDocument/2006/relationships/hyperlink" Target="http://www.astho.org/Programs/Preparedness/Public-Health-Emergency-Law/Emergency-Authority-and-Immunity-Toolkit/Social-Security-Act,-Section-1135-Waiver-Authority-in-National-Emergencies-Fact-Sheet/"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Authority-and-Immunity-Toolkit/Federal-Emergency-Preparedness-Directives-and-Systems-Fact-Sheet/" TargetMode="External"/><Relationship Id="rId24" Type="http://schemas.openxmlformats.org/officeDocument/2006/relationships/hyperlink" Target="http://www.astho.org/Programs/Preparedness/Public-Health-Emergency-Law/Emergency-Authority-and-Immunity-Toolkit/Liability,-Immunity,-and-Workers%E2%80%99-Compensation-Issues-State-Analysis-Guide/"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Emergency-Authority-and-Immunity-Toolkit/National-Emergencies-Act,-Sections-201-and-301-Fact-Sheet/" TargetMode="External"/><Relationship Id="rId23" Type="http://schemas.openxmlformats.org/officeDocument/2006/relationships/hyperlink" Target="http://www.astho.org/Programs/Preparedness/Public-Health-Emergency-Law/Emergency-Authority-and-Immunity-Toolkit/Emergency-Declarations-and-Authorities-State-Analysis-Guide/" TargetMode="External"/><Relationship Id="rId28" Type="http://schemas.openxmlformats.org/officeDocument/2006/relationships/footer" Target="footer1.xml"/><Relationship Id="rId10" Type="http://schemas.openxmlformats.org/officeDocument/2006/relationships/hyperlink" Target="http://www.astho.org/Programs/Preparedness/Public-Health-Emergency-Law/Emergency-Authority-and-Immunity-Toolkit/Emergency-Management-Assistance-Compact-Fact-Sheet/" TargetMode="External"/><Relationship Id="rId19" Type="http://schemas.openxmlformats.org/officeDocument/2006/relationships/hyperlink" Target="http://www.astho.org/Programs/Preparedness/Public-Health-Emergency-Law/Emergency-Authority-and-Immunity-Toolkit/Robert-T--Stafford-Disaster-Relief-and-Emergency-Assistance-Act-Fact-Sheet/"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Declarations-and-Authorities-Fact-Sheet/" TargetMode="External"/><Relationship Id="rId14" Type="http://schemas.openxmlformats.org/officeDocument/2006/relationships/hyperlink" Target="http://www.astho.org/Programs/Preparedness/Public-Health-Emergency-Law/Emergency-Authority-and-Immunity-Toolkit/Mutual-Aid-and-Assistance-Agreements-Fact-Sheet/" TargetMode="External"/><Relationship Id="rId22" Type="http://schemas.openxmlformats.org/officeDocument/2006/relationships/hyperlink" Target="http://www.astho.org/Programs/Preparedness/Public-Health-Emergency-Law/Emergency-Authority-and-Immunity-Toolkit/Liability,-Immunity,-and-Workers%E2%80%99-Compensation-Issues-in-Public-Health-Emergencies-Issue-Brief/" TargetMode="External"/><Relationship Id="rId27" Type="http://schemas.openxmlformats.org/officeDocument/2006/relationships/hyperlink" Target="http://www.astho.org/Programs/Preparedness/Public-Health-Emergency-Law/Emergency-Authority-and-Immunity-Toolkit/Emergency-Authority-and-Immunity-Toolkit-Supplemental-Material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3</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cp:revision>
  <dcterms:created xsi:type="dcterms:W3CDTF">2019-04-23T15:51:00Z</dcterms:created>
  <dcterms:modified xsi:type="dcterms:W3CDTF">2019-04-27T20:06:00Z</dcterms:modified>
</cp:coreProperties>
</file>