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49E31" w14:textId="77777777" w:rsidR="00E516AE" w:rsidRPr="00E516AE" w:rsidRDefault="00E516AE" w:rsidP="001123B3">
      <w:pPr>
        <w:spacing w:after="120"/>
        <w:rPr>
          <w:rFonts w:eastAsia="Times New Roman" w:cs="Helvetica"/>
          <w:b/>
          <w:bCs/>
          <w:color w:val="333333"/>
          <w:spacing w:val="15"/>
          <w:kern w:val="36"/>
          <w:sz w:val="28"/>
          <w:szCs w:val="28"/>
        </w:rPr>
      </w:pPr>
      <w:r w:rsidRPr="00E516AE">
        <w:rPr>
          <w:rFonts w:eastAsia="Times New Roman" w:cs="Helvetica"/>
          <w:b/>
          <w:bCs/>
          <w:color w:val="333333"/>
          <w:spacing w:val="15"/>
          <w:kern w:val="36"/>
          <w:sz w:val="28"/>
          <w:szCs w:val="28"/>
        </w:rPr>
        <w:t>National Emergencies Act, Sections 201 and 301</w:t>
      </w:r>
    </w:p>
    <w:p w14:paraId="7985AB7E" w14:textId="1B458577" w:rsidR="00E516AE" w:rsidRDefault="00E516AE" w:rsidP="001123B3">
      <w:pPr>
        <w:spacing w:after="120"/>
        <w:rPr>
          <w:rFonts w:eastAsia="Times New Roman" w:cs="Arial"/>
          <w:b/>
          <w:bCs/>
          <w:color w:val="3C3030"/>
          <w:sz w:val="24"/>
          <w:szCs w:val="24"/>
        </w:rPr>
      </w:pPr>
      <w:r w:rsidRPr="00E516AE">
        <w:rPr>
          <w:rFonts w:eastAsia="Times New Roman" w:cs="Arial"/>
          <w:b/>
          <w:bCs/>
          <w:color w:val="3C3030"/>
          <w:sz w:val="24"/>
          <w:szCs w:val="24"/>
        </w:rPr>
        <w:t>Fact Sheet</w:t>
      </w:r>
    </w:p>
    <w:p w14:paraId="551DD62F" w14:textId="77777777" w:rsidR="001123B3" w:rsidRPr="00E516AE" w:rsidRDefault="001123B3" w:rsidP="004778C7">
      <w:pPr>
        <w:spacing w:line="480" w:lineRule="auto"/>
        <w:rPr>
          <w:rFonts w:eastAsia="Times New Roman" w:cs="Arial"/>
          <w:b/>
          <w:bCs/>
          <w:color w:val="3C3030"/>
          <w:sz w:val="24"/>
          <w:szCs w:val="24"/>
        </w:rPr>
      </w:pPr>
    </w:p>
    <w:p w14:paraId="1810FDFB" w14:textId="77777777" w:rsidR="00E516AE" w:rsidRPr="00E516AE" w:rsidRDefault="00E516AE" w:rsidP="004778C7">
      <w:pPr>
        <w:spacing w:line="480" w:lineRule="auto"/>
        <w:rPr>
          <w:rFonts w:eastAsia="Times New Roman" w:cs="Arial"/>
          <w:b/>
          <w:bCs/>
          <w:color w:val="3C3030"/>
          <w:sz w:val="24"/>
          <w:szCs w:val="24"/>
        </w:rPr>
      </w:pPr>
      <w:r w:rsidRPr="00E516AE">
        <w:rPr>
          <w:rFonts w:eastAsia="Times New Roman" w:cs="Arial"/>
          <w:b/>
          <w:bCs/>
          <w:color w:val="3C3030"/>
          <w:sz w:val="24"/>
          <w:szCs w:val="24"/>
        </w:rPr>
        <w:t>Overview</w:t>
      </w:r>
    </w:p>
    <w:p w14:paraId="5EEC4DBD" w14:textId="17A16CE1" w:rsidR="00E516AE" w:rsidRPr="00E516AE" w:rsidRDefault="00E516AE" w:rsidP="004778C7">
      <w:pPr>
        <w:shd w:val="clear" w:color="auto" w:fill="FFFFFF"/>
        <w:spacing w:line="480" w:lineRule="auto"/>
        <w:textAlignment w:val="baseline"/>
        <w:rPr>
          <w:rFonts w:eastAsia="Times New Roman" w:cs="Arial"/>
        </w:rPr>
      </w:pPr>
      <w:r w:rsidRPr="00E516AE">
        <w:rPr>
          <w:rFonts w:eastAsia="Times New Roman" w:cs="Arial"/>
        </w:rPr>
        <w:t>The </w:t>
      </w:r>
      <w:hyperlink r:id="rId7" w:anchor="National-Emergencies-Act-(NEA),-Section-201-and-301" w:tooltip="National Emergencies Act (NEA)" w:history="1">
        <w:r w:rsidRPr="00E516AE">
          <w:rPr>
            <w:rFonts w:eastAsia="Times New Roman" w:cs="Arial"/>
            <w:bdr w:val="none" w:sz="0" w:space="0" w:color="auto" w:frame="1"/>
          </w:rPr>
          <w:t>National Emergencies Act (NEA)</w:t>
        </w:r>
      </w:hyperlink>
      <w:r w:rsidRPr="00E516AE">
        <w:rPr>
          <w:rFonts w:eastAsia="Times New Roman" w:cs="Arial"/>
        </w:rPr>
        <w:t> authorizes the president to declare a “national emergency.”</w:t>
      </w:r>
      <w:r w:rsidRPr="00E516AE">
        <w:rPr>
          <w:rFonts w:eastAsia="Times New Roman" w:cs="Arial"/>
          <w:bdr w:val="none" w:sz="0" w:space="0" w:color="auto" w:frame="1"/>
          <w:vertAlign w:val="superscript"/>
        </w:rPr>
        <w:t>1</w:t>
      </w:r>
      <w:r w:rsidRPr="00E516AE">
        <w:rPr>
          <w:rFonts w:eastAsia="Times New Roman" w:cs="Arial"/>
        </w:rPr>
        <w:t> A declaration under NEA triggers emergency authorities contained in other federal statutes. Past NEA declarations have addressed, among other things, the imposition of export controls and limitations on transactions and property from specified nations.</w:t>
      </w:r>
      <w:r w:rsidRPr="00E516AE">
        <w:rPr>
          <w:rFonts w:eastAsia="Times New Roman" w:cs="Arial"/>
          <w:bdr w:val="none" w:sz="0" w:space="0" w:color="auto" w:frame="1"/>
          <w:vertAlign w:val="superscript"/>
        </w:rPr>
        <w:t>2</w:t>
      </w:r>
      <w:r w:rsidRPr="00E516AE">
        <w:rPr>
          <w:rFonts w:eastAsia="Times New Roman" w:cs="Arial"/>
        </w:rPr>
        <w:t xml:space="preserve"> A national emergency was declared in 2001 after the September 11th terrorist attacks and has been renewed every year since then. </w:t>
      </w:r>
    </w:p>
    <w:p w14:paraId="6FB91E1B" w14:textId="77777777" w:rsidR="001123B3" w:rsidRPr="002A0C57" w:rsidRDefault="001123B3" w:rsidP="004778C7">
      <w:pPr>
        <w:spacing w:line="480" w:lineRule="auto"/>
        <w:rPr>
          <w:rFonts w:eastAsia="Times New Roman" w:cs="Arial"/>
          <w:b/>
          <w:bCs/>
        </w:rPr>
      </w:pPr>
    </w:p>
    <w:p w14:paraId="2A6F3769" w14:textId="15AED8A0" w:rsidR="00E516AE" w:rsidRPr="00E516AE" w:rsidRDefault="00E516AE" w:rsidP="004778C7">
      <w:pPr>
        <w:spacing w:line="480" w:lineRule="auto"/>
        <w:rPr>
          <w:rFonts w:eastAsia="Times New Roman" w:cs="Arial"/>
          <w:b/>
          <w:bCs/>
          <w:color w:val="3C3030"/>
          <w:sz w:val="24"/>
          <w:szCs w:val="24"/>
        </w:rPr>
      </w:pPr>
      <w:r w:rsidRPr="00E516AE">
        <w:rPr>
          <w:rFonts w:eastAsia="Times New Roman" w:cs="Arial"/>
          <w:b/>
          <w:bCs/>
          <w:color w:val="3C3030"/>
          <w:sz w:val="24"/>
          <w:szCs w:val="24"/>
        </w:rPr>
        <w:t>What the Law Does</w:t>
      </w:r>
    </w:p>
    <w:p w14:paraId="07AD7244" w14:textId="26DAACE9" w:rsidR="00E516AE" w:rsidRPr="00E516AE" w:rsidRDefault="00E516AE" w:rsidP="004778C7">
      <w:pPr>
        <w:shd w:val="clear" w:color="auto" w:fill="FFFFFF"/>
        <w:spacing w:line="480" w:lineRule="auto"/>
        <w:textAlignment w:val="baseline"/>
        <w:rPr>
          <w:rFonts w:eastAsia="Times New Roman" w:cs="Arial"/>
        </w:rPr>
      </w:pPr>
      <w:r w:rsidRPr="00E516AE">
        <w:rPr>
          <w:rFonts w:eastAsia="Times New Roman" w:cs="Arial"/>
        </w:rPr>
        <w:t>The NEA authorizes the president to declare a national emergency, which declaration activates emergency powers contained in other federal statutes.</w:t>
      </w:r>
      <w:r w:rsidRPr="00E516AE">
        <w:rPr>
          <w:rFonts w:eastAsia="Times New Roman" w:cs="Arial"/>
          <w:bdr w:val="none" w:sz="0" w:space="0" w:color="auto" w:frame="1"/>
          <w:vertAlign w:val="superscript"/>
        </w:rPr>
        <w:t>3</w:t>
      </w:r>
      <w:r w:rsidRPr="00E516AE">
        <w:rPr>
          <w:rFonts w:eastAsia="Times New Roman" w:cs="Arial"/>
        </w:rPr>
        <w:t>During the 2009 H1N1 influenza pandemic, the president’s declaration of a national emergency under the NEA, coupled with the HHS secretary’s prior determination of a public health emergency under </w:t>
      </w:r>
      <w:hyperlink r:id="rId8" w:anchor="Public-Health-Service-Act,-Section-319" w:tooltip="Section 319 of the Public Health Service Act (PHSA)" w:history="1">
        <w:r w:rsidRPr="00E516AE">
          <w:rPr>
            <w:rFonts w:eastAsia="Times New Roman" w:cs="Arial"/>
            <w:color w:val="0F88B8"/>
            <w:bdr w:val="none" w:sz="0" w:space="0" w:color="auto" w:frame="1"/>
          </w:rPr>
          <w:t>Section 319 of the Public Health Service Act (PHSA)</w:t>
        </w:r>
      </w:hyperlink>
      <w:r w:rsidRPr="00E516AE">
        <w:rPr>
          <w:rFonts w:eastAsia="Times New Roman" w:cs="Arial"/>
          <w:color w:val="737373"/>
        </w:rPr>
        <w:t xml:space="preserve">, </w:t>
      </w:r>
      <w:r w:rsidRPr="00E516AE">
        <w:rPr>
          <w:rFonts w:eastAsia="Times New Roman" w:cs="Arial"/>
        </w:rPr>
        <w:t>permitted the activation of </w:t>
      </w:r>
      <w:hyperlink r:id="rId9" w:anchor="Social-Security-Act,-Section-1135" w:tooltip="Social Security Act (SSA) Section 1135 waiver" w:history="1">
        <w:r w:rsidRPr="00E516AE">
          <w:rPr>
            <w:rFonts w:eastAsia="Times New Roman" w:cs="Arial"/>
            <w:color w:val="0F88B8"/>
            <w:bdr w:val="none" w:sz="0" w:space="0" w:color="auto" w:frame="1"/>
          </w:rPr>
          <w:t>Social Security Act (SSA) Sectio</w:t>
        </w:r>
        <w:r w:rsidRPr="00E516AE">
          <w:rPr>
            <w:rFonts w:eastAsia="Times New Roman" w:cs="Arial"/>
            <w:color w:val="0F88B8"/>
            <w:bdr w:val="none" w:sz="0" w:space="0" w:color="auto" w:frame="1"/>
          </w:rPr>
          <w:t>n</w:t>
        </w:r>
        <w:r w:rsidRPr="00E516AE">
          <w:rPr>
            <w:rFonts w:eastAsia="Times New Roman" w:cs="Arial"/>
            <w:color w:val="0F88B8"/>
            <w:bdr w:val="none" w:sz="0" w:space="0" w:color="auto" w:frame="1"/>
          </w:rPr>
          <w:t xml:space="preserve"> 1135 waiver</w:t>
        </w:r>
      </w:hyperlink>
      <w:r w:rsidRPr="00E516AE">
        <w:rPr>
          <w:rFonts w:eastAsia="Times New Roman" w:cs="Arial"/>
          <w:color w:val="737373"/>
        </w:rPr>
        <w:t> </w:t>
      </w:r>
      <w:r w:rsidRPr="00E516AE">
        <w:rPr>
          <w:rFonts w:eastAsia="Times New Roman" w:cs="Arial"/>
        </w:rPr>
        <w:t>authorities. (See Figure A for the text of the 2009 H1N1 NEA declaration.) </w:t>
      </w:r>
    </w:p>
    <w:p w14:paraId="56E5E1BF" w14:textId="77777777" w:rsidR="002A0C57" w:rsidRPr="002A0C57" w:rsidRDefault="002A0C57" w:rsidP="004778C7">
      <w:pPr>
        <w:spacing w:line="480" w:lineRule="auto"/>
        <w:rPr>
          <w:rFonts w:eastAsia="Times New Roman" w:cs="Arial"/>
          <w:b/>
          <w:bCs/>
          <w:color w:val="3C3030"/>
        </w:rPr>
      </w:pPr>
    </w:p>
    <w:p w14:paraId="24055A3F" w14:textId="2E2830D3" w:rsidR="00E516AE" w:rsidRPr="00E516AE" w:rsidRDefault="00E516AE" w:rsidP="004778C7">
      <w:pPr>
        <w:spacing w:line="480" w:lineRule="auto"/>
        <w:rPr>
          <w:rFonts w:eastAsia="Times New Roman" w:cs="Arial"/>
          <w:b/>
          <w:bCs/>
          <w:color w:val="3C3030"/>
          <w:sz w:val="24"/>
          <w:szCs w:val="24"/>
        </w:rPr>
      </w:pPr>
      <w:r w:rsidRPr="00E516AE">
        <w:rPr>
          <w:rFonts w:eastAsia="Times New Roman" w:cs="Arial"/>
          <w:b/>
          <w:bCs/>
          <w:color w:val="3C3030"/>
          <w:sz w:val="24"/>
          <w:szCs w:val="24"/>
        </w:rPr>
        <w:t>How the Law Works</w:t>
      </w:r>
    </w:p>
    <w:p w14:paraId="7C63D78F" w14:textId="77777777" w:rsidR="00E516AE" w:rsidRPr="00E516AE" w:rsidRDefault="00E516AE" w:rsidP="004778C7">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 xml:space="preserve">The NEA does not provide any specific emergency authority on its </w:t>
      </w:r>
      <w:proofErr w:type="gramStart"/>
      <w:r w:rsidRPr="00E516AE">
        <w:rPr>
          <w:rFonts w:eastAsia="Times New Roman" w:cs="Arial"/>
          <w:color w:val="000000" w:themeColor="text1"/>
        </w:rPr>
        <w:t>own, but</w:t>
      </w:r>
      <w:proofErr w:type="gramEnd"/>
      <w:r w:rsidRPr="00E516AE">
        <w:rPr>
          <w:rFonts w:eastAsia="Times New Roman" w:cs="Arial"/>
          <w:color w:val="000000" w:themeColor="text1"/>
        </w:rPr>
        <w:t xml:space="preserve"> relies on emergency authorities provided in other statutes. A national emergency declaration allows for the activation of these other statutory authorities. Emergency statutory provisions are not activated automatically, however; they must be specifically identified in the president’s declaration before these authorities may be given effect. </w:t>
      </w:r>
    </w:p>
    <w:p w14:paraId="60E085BA" w14:textId="77777777" w:rsidR="00D17E25" w:rsidRPr="00D17E25" w:rsidRDefault="00D17E25" w:rsidP="004778C7">
      <w:pPr>
        <w:spacing w:line="480" w:lineRule="auto"/>
        <w:rPr>
          <w:rFonts w:eastAsia="Times New Roman" w:cs="Arial"/>
          <w:b/>
          <w:bCs/>
          <w:color w:val="000000" w:themeColor="text1"/>
        </w:rPr>
      </w:pPr>
    </w:p>
    <w:p w14:paraId="1D517D64" w14:textId="209DCD7A" w:rsidR="00E516AE" w:rsidRPr="00E516AE" w:rsidRDefault="00E516AE" w:rsidP="004778C7">
      <w:pPr>
        <w:spacing w:line="480" w:lineRule="auto"/>
        <w:rPr>
          <w:rFonts w:eastAsia="Times New Roman" w:cs="Arial"/>
          <w:b/>
          <w:bCs/>
          <w:color w:val="000000" w:themeColor="text1"/>
        </w:rPr>
      </w:pPr>
      <w:r w:rsidRPr="00E516AE">
        <w:rPr>
          <w:rFonts w:eastAsia="Times New Roman" w:cs="Arial"/>
          <w:b/>
          <w:bCs/>
          <w:color w:val="000000" w:themeColor="text1"/>
        </w:rPr>
        <w:t>Declaration</w:t>
      </w:r>
    </w:p>
    <w:p w14:paraId="5A44234B" w14:textId="4734B1B8" w:rsidR="00E516AE" w:rsidRPr="00E516AE" w:rsidRDefault="00E516AE" w:rsidP="004778C7">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NEA Section 201 authorizes the president to declare a national emergency. The proclamation of a national emergency must be immediately transmitted to Congress and published in the </w:t>
      </w:r>
      <w:r w:rsidRPr="00E516AE">
        <w:rPr>
          <w:rFonts w:eastAsia="Times New Roman" w:cs="Arial"/>
          <w:i/>
          <w:iCs/>
          <w:color w:val="000000" w:themeColor="text1"/>
          <w:bdr w:val="none" w:sz="0" w:space="0" w:color="auto" w:frame="1"/>
        </w:rPr>
        <w:t>Federal Register</w:t>
      </w:r>
      <w:r w:rsidRPr="00E516AE">
        <w:rPr>
          <w:rFonts w:eastAsia="Times New Roman" w:cs="Arial"/>
          <w:color w:val="000000" w:themeColor="text1"/>
        </w:rPr>
        <w:t>.</w:t>
      </w:r>
      <w:r w:rsidRPr="00E516AE">
        <w:rPr>
          <w:rFonts w:eastAsia="Times New Roman" w:cs="Arial"/>
          <w:color w:val="000000" w:themeColor="text1"/>
          <w:bdr w:val="none" w:sz="0" w:space="0" w:color="auto" w:frame="1"/>
          <w:vertAlign w:val="superscript"/>
        </w:rPr>
        <w:t>1,2</w:t>
      </w:r>
      <w:r w:rsidRPr="00E516AE">
        <w:rPr>
          <w:rFonts w:eastAsia="Times New Roman" w:cs="Arial"/>
          <w:color w:val="000000" w:themeColor="text1"/>
        </w:rPr>
        <w:t> Under NEA Section 301, statutory emergency authorities enabled by the national emergency declaration cannot be exercised until the president specifies the provisions of law under which the president or other officials will act. Such specification may be made either in the declaration or in subsequent Executive Orders published in the</w:t>
      </w:r>
      <w:r w:rsidR="00D17E25" w:rsidRPr="00D17E25">
        <w:rPr>
          <w:rFonts w:eastAsia="Times New Roman" w:cs="Arial"/>
          <w:color w:val="000000" w:themeColor="text1"/>
        </w:rPr>
        <w:t xml:space="preserve"> </w:t>
      </w:r>
      <w:r w:rsidRPr="00E516AE">
        <w:rPr>
          <w:rFonts w:eastAsia="Times New Roman" w:cs="Arial"/>
          <w:i/>
          <w:iCs/>
          <w:color w:val="000000" w:themeColor="text1"/>
          <w:bdr w:val="none" w:sz="0" w:space="0" w:color="auto" w:frame="1"/>
        </w:rPr>
        <w:t>Federal Register </w:t>
      </w:r>
      <w:r w:rsidRPr="00E516AE">
        <w:rPr>
          <w:rFonts w:eastAsia="Times New Roman" w:cs="Arial"/>
          <w:color w:val="000000" w:themeColor="text1"/>
        </w:rPr>
        <w:t>and transmitted to Congress.</w:t>
      </w:r>
    </w:p>
    <w:p w14:paraId="16A85857" w14:textId="77777777" w:rsidR="00D17E25" w:rsidRPr="00D17E25" w:rsidRDefault="00D17E25" w:rsidP="004778C7">
      <w:pPr>
        <w:spacing w:line="480" w:lineRule="auto"/>
        <w:rPr>
          <w:rFonts w:eastAsia="Times New Roman" w:cs="Arial"/>
          <w:b/>
          <w:bCs/>
          <w:color w:val="000000" w:themeColor="text1"/>
        </w:rPr>
      </w:pPr>
    </w:p>
    <w:p w14:paraId="030AD668" w14:textId="20772A8E" w:rsidR="00E516AE" w:rsidRPr="00E516AE" w:rsidRDefault="00E516AE" w:rsidP="004778C7">
      <w:pPr>
        <w:spacing w:line="480" w:lineRule="auto"/>
        <w:rPr>
          <w:rFonts w:eastAsia="Times New Roman" w:cs="Arial"/>
          <w:b/>
          <w:bCs/>
          <w:color w:val="000000" w:themeColor="text1"/>
        </w:rPr>
      </w:pPr>
      <w:r w:rsidRPr="00E516AE">
        <w:rPr>
          <w:rFonts w:eastAsia="Times New Roman" w:cs="Arial"/>
          <w:b/>
          <w:bCs/>
          <w:color w:val="000000" w:themeColor="text1"/>
        </w:rPr>
        <w:t>Termination</w:t>
      </w:r>
    </w:p>
    <w:p w14:paraId="51D0054F" w14:textId="77777777" w:rsidR="00E516AE" w:rsidRPr="00E516AE" w:rsidRDefault="00E516AE" w:rsidP="004778C7">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A national emergency can be terminated if the president issues a proclamation or if Congress enacts a joint resolution terminating the emergency. A national emergency will terminate automatically upon the anniversary of the proclamation unless the president renews the proclamation by transmitting notice to Congress within a 90-day period prior to the anniversary date and publishing it in the </w:t>
      </w:r>
      <w:r w:rsidRPr="00E516AE">
        <w:rPr>
          <w:rFonts w:eastAsia="Times New Roman" w:cs="Arial"/>
          <w:i/>
          <w:iCs/>
          <w:color w:val="000000" w:themeColor="text1"/>
          <w:bdr w:val="none" w:sz="0" w:space="0" w:color="auto" w:frame="1"/>
        </w:rPr>
        <w:t>Federal Register</w:t>
      </w:r>
      <w:r w:rsidRPr="00E516AE">
        <w:rPr>
          <w:rFonts w:eastAsia="Times New Roman" w:cs="Arial"/>
          <w:color w:val="000000" w:themeColor="text1"/>
        </w:rPr>
        <w:t>.</w:t>
      </w:r>
    </w:p>
    <w:p w14:paraId="000FDEA4" w14:textId="77777777" w:rsidR="00D17E25" w:rsidRPr="00D17E25" w:rsidRDefault="00D17E25" w:rsidP="004778C7">
      <w:pPr>
        <w:spacing w:line="480" w:lineRule="auto"/>
        <w:rPr>
          <w:rFonts w:eastAsia="Times New Roman" w:cs="Arial"/>
          <w:b/>
          <w:bCs/>
          <w:color w:val="000000" w:themeColor="text1"/>
        </w:rPr>
      </w:pPr>
    </w:p>
    <w:p w14:paraId="34688404" w14:textId="5351B169" w:rsidR="00E516AE" w:rsidRPr="00E516AE" w:rsidRDefault="00E516AE" w:rsidP="004778C7">
      <w:pPr>
        <w:spacing w:line="480" w:lineRule="auto"/>
        <w:rPr>
          <w:rFonts w:eastAsia="Times New Roman" w:cs="Arial"/>
          <w:b/>
          <w:bCs/>
          <w:color w:val="000000" w:themeColor="text1"/>
        </w:rPr>
      </w:pPr>
      <w:r w:rsidRPr="00E516AE">
        <w:rPr>
          <w:rFonts w:eastAsia="Times New Roman" w:cs="Arial"/>
          <w:b/>
          <w:bCs/>
          <w:color w:val="000000" w:themeColor="text1"/>
        </w:rPr>
        <w:t>Immunity and Liability Issues</w:t>
      </w:r>
    </w:p>
    <w:p w14:paraId="289D4F8B" w14:textId="77777777" w:rsidR="00E516AE" w:rsidRPr="00E516AE" w:rsidRDefault="00E516AE" w:rsidP="004778C7">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The national emergency provisions of the NEA do not address liability issues or provide any immunity. The act could be used to activate emergency authorities in other federal statutes that provide immunity during emergency events.</w:t>
      </w:r>
    </w:p>
    <w:p w14:paraId="66F1D313" w14:textId="77777777" w:rsidR="00D17E25" w:rsidRPr="00D17E25" w:rsidRDefault="00D17E25" w:rsidP="004778C7">
      <w:pPr>
        <w:spacing w:line="480" w:lineRule="auto"/>
        <w:rPr>
          <w:rFonts w:eastAsia="Times New Roman" w:cs="Arial"/>
          <w:b/>
          <w:bCs/>
          <w:color w:val="000000" w:themeColor="text1"/>
        </w:rPr>
      </w:pPr>
    </w:p>
    <w:p w14:paraId="360142EA" w14:textId="7BDCF6B7" w:rsidR="00E516AE" w:rsidRPr="00E516AE" w:rsidRDefault="00E516AE" w:rsidP="004778C7">
      <w:pPr>
        <w:spacing w:line="480" w:lineRule="auto"/>
        <w:rPr>
          <w:rFonts w:eastAsia="Times New Roman" w:cs="Arial"/>
          <w:b/>
          <w:bCs/>
          <w:color w:val="3C3030"/>
          <w:sz w:val="24"/>
          <w:szCs w:val="24"/>
        </w:rPr>
      </w:pPr>
      <w:r w:rsidRPr="00E516AE">
        <w:rPr>
          <w:rFonts w:eastAsia="Times New Roman" w:cs="Arial"/>
          <w:b/>
          <w:bCs/>
          <w:color w:val="3C3030"/>
          <w:sz w:val="24"/>
          <w:szCs w:val="24"/>
        </w:rPr>
        <w:t>How the Law Affects States</w:t>
      </w:r>
    </w:p>
    <w:p w14:paraId="6970E66B" w14:textId="77777777" w:rsidR="00E516AE" w:rsidRPr="00E516AE" w:rsidRDefault="00E516AE" w:rsidP="004778C7">
      <w:pPr>
        <w:shd w:val="clear" w:color="auto" w:fill="FFFFFF"/>
        <w:spacing w:line="480" w:lineRule="auto"/>
        <w:textAlignment w:val="baseline"/>
        <w:rPr>
          <w:rFonts w:eastAsia="Times New Roman" w:cs="Arial"/>
          <w:color w:val="000000" w:themeColor="text1"/>
        </w:rPr>
      </w:pPr>
      <w:r w:rsidRPr="00E516AE">
        <w:rPr>
          <w:rFonts w:eastAsia="Times New Roman" w:cs="Arial"/>
          <w:color w:val="000000" w:themeColor="text1"/>
        </w:rPr>
        <w:t>National emergency declarations under the NEA can impact states through the federal statutory emergency authorities activated once the NEA declaration is made. The most recent example of this effect was the activation of SSA Section 1135 waiver authority during the H1N1 influenza pandemic. </w:t>
      </w:r>
    </w:p>
    <w:p w14:paraId="10BD3F5E" w14:textId="1890B047" w:rsidR="00D17E25" w:rsidRDefault="005E0237" w:rsidP="001123B3">
      <w:pPr>
        <w:rPr>
          <w:rFonts w:eastAsia="Times New Roman" w:cs="Arial"/>
          <w:b/>
          <w:bCs/>
          <w:color w:val="000000" w:themeColor="text1"/>
        </w:rPr>
      </w:pPr>
      <w:r w:rsidRPr="005E0237">
        <w:rPr>
          <w:rFonts w:eastAsia="Times New Roman" w:cs="Arial"/>
          <w:b/>
          <w:bCs/>
          <w:noProof/>
          <w:color w:val="000000" w:themeColor="text1"/>
        </w:rPr>
        <w:lastRenderedPageBreak/>
        <mc:AlternateContent>
          <mc:Choice Requires="wps">
            <w:drawing>
              <wp:anchor distT="45720" distB="45720" distL="114300" distR="114300" simplePos="0" relativeHeight="251659264" behindDoc="0" locked="0" layoutInCell="1" allowOverlap="1" wp14:anchorId="021FC7E8" wp14:editId="5C96AAEC">
                <wp:simplePos x="0" y="0"/>
                <wp:positionH relativeFrom="margin">
                  <wp:posOffset>0</wp:posOffset>
                </wp:positionH>
                <wp:positionV relativeFrom="paragraph">
                  <wp:posOffset>353695</wp:posOffset>
                </wp:positionV>
                <wp:extent cx="5876290" cy="1404620"/>
                <wp:effectExtent l="0" t="0" r="10160" b="158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404620"/>
                        </a:xfrm>
                        <a:prstGeom prst="rect">
                          <a:avLst/>
                        </a:prstGeom>
                        <a:solidFill>
                          <a:srgbClr val="FFFFFF"/>
                        </a:solidFill>
                        <a:ln w="9525">
                          <a:solidFill>
                            <a:srgbClr val="000000"/>
                          </a:solidFill>
                          <a:miter lim="800000"/>
                          <a:headEnd/>
                          <a:tailEnd/>
                        </a:ln>
                      </wps:spPr>
                      <wps:txbx>
                        <w:txbxContent>
                          <w:p w14:paraId="459B8D00" w14:textId="57518EA7" w:rsidR="005E0237" w:rsidRPr="00E516AE" w:rsidRDefault="005E0237" w:rsidP="005E0237">
                            <w:pPr>
                              <w:jc w:val="center"/>
                              <w:rPr>
                                <w:rFonts w:eastAsia="Times New Roman" w:cs="Arial"/>
                                <w:b/>
                                <w:bCs/>
                                <w:color w:val="000000" w:themeColor="text1"/>
                              </w:rPr>
                            </w:pPr>
                            <w:r w:rsidRPr="00E516AE">
                              <w:rPr>
                                <w:rFonts w:eastAsia="Times New Roman" w:cs="Arial"/>
                                <w:b/>
                                <w:bCs/>
                                <w:color w:val="000000" w:themeColor="text1"/>
                              </w:rPr>
                              <w:t>FIGURE A</w:t>
                            </w:r>
                          </w:p>
                          <w:p w14:paraId="668839D6" w14:textId="77777777" w:rsidR="00736E92" w:rsidRDefault="005E0237" w:rsidP="005E0237">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3E5D39CF" w14:textId="77777777" w:rsidR="00736E92"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 </w:t>
                            </w:r>
                            <w:r w:rsidRPr="00E516AE">
                              <w:rPr>
                                <w:rFonts w:eastAsia="Times New Roman" w:cs="Arial"/>
                                <w:color w:val="000000" w:themeColor="text1"/>
                              </w:rPr>
                              <w:br/>
                              <w:t>BY THE PRESIDENT OF THE UNITED STATES OF AMERICA</w:t>
                            </w:r>
                          </w:p>
                          <w:p w14:paraId="7BAFB954" w14:textId="4E87537E" w:rsidR="005E0237"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 </w:t>
                            </w:r>
                            <w:r w:rsidRPr="00E516AE">
                              <w:rPr>
                                <w:rFonts w:eastAsia="Times New Roman" w:cs="Arial"/>
                                <w:color w:val="000000" w:themeColor="text1"/>
                              </w:rPr>
                              <w:br/>
                              <w:t>October 24, 2009</w:t>
                            </w:r>
                          </w:p>
                          <w:p w14:paraId="7B7D0DAA" w14:textId="389AF532" w:rsidR="005E0237" w:rsidRPr="00E516AE" w:rsidRDefault="005E0237" w:rsidP="005E0237">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r w:rsidRPr="00E516AE">
                              <w:rPr>
                                <w:rFonts w:eastAsia="Times New Roman" w:cs="Arial"/>
                                <w:color w:val="000000" w:themeColor="text1"/>
                                <w:bdr w:val="none" w:sz="0" w:space="0" w:color="auto" w:frame="1"/>
                                <w:vertAlign w:val="superscript"/>
                              </w:rPr>
                              <w:t>4</w:t>
                            </w:r>
                          </w:p>
                          <w:p w14:paraId="0B44A6C0" w14:textId="2DFCD3AE" w:rsidR="005E0237" w:rsidRDefault="005E023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FC7E8" id="_x0000_t202" coordsize="21600,21600" o:spt="202" path="m,l,21600r21600,l21600,xe">
                <v:stroke joinstyle="miter"/>
                <v:path gradientshapeok="t" o:connecttype="rect"/>
              </v:shapetype>
              <v:shape id="Text Box 2" o:spid="_x0000_s1026" type="#_x0000_t202" style="position:absolute;margin-left:0;margin-top:27.85pt;width:462.7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yIw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">
                <v:textbox style="mso-fit-shape-to-text:t">
                  <w:txbxContent>
                    <w:p w14:paraId="459B8D00" w14:textId="57518EA7" w:rsidR="005E0237" w:rsidRPr="00E516AE" w:rsidRDefault="005E0237" w:rsidP="005E0237">
                      <w:pPr>
                        <w:jc w:val="center"/>
                        <w:rPr>
                          <w:rFonts w:eastAsia="Times New Roman" w:cs="Arial"/>
                          <w:b/>
                          <w:bCs/>
                          <w:color w:val="000000" w:themeColor="text1"/>
                        </w:rPr>
                      </w:pPr>
                      <w:r w:rsidRPr="00E516AE">
                        <w:rPr>
                          <w:rFonts w:eastAsia="Times New Roman" w:cs="Arial"/>
                          <w:b/>
                          <w:bCs/>
                          <w:color w:val="000000" w:themeColor="text1"/>
                        </w:rPr>
                        <w:t>FIGURE A</w:t>
                      </w:r>
                    </w:p>
                    <w:p w14:paraId="668839D6" w14:textId="77777777" w:rsidR="00736E92" w:rsidRDefault="005E0237" w:rsidP="005E0237">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3E5D39CF" w14:textId="77777777" w:rsidR="00736E92"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 </w:t>
                      </w:r>
                      <w:r w:rsidRPr="00E516AE">
                        <w:rPr>
                          <w:rFonts w:eastAsia="Times New Roman" w:cs="Arial"/>
                          <w:color w:val="000000" w:themeColor="text1"/>
                        </w:rPr>
                        <w:br/>
                        <w:t>BY THE PRESIDENT OF THE UNITED STATES OF AMERICA</w:t>
                      </w:r>
                    </w:p>
                    <w:p w14:paraId="7BAFB954" w14:textId="4E87537E" w:rsidR="005E0237" w:rsidRDefault="005E0237" w:rsidP="00736E92">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 </w:t>
                      </w:r>
                      <w:r w:rsidRPr="00E516AE">
                        <w:rPr>
                          <w:rFonts w:eastAsia="Times New Roman" w:cs="Arial"/>
                          <w:color w:val="000000" w:themeColor="text1"/>
                        </w:rPr>
                        <w:br/>
                        <w:t>October 24, 2009</w:t>
                      </w:r>
                    </w:p>
                    <w:p w14:paraId="7B7D0DAA" w14:textId="389AF532" w:rsidR="005E0237" w:rsidRPr="00E516AE" w:rsidRDefault="005E0237" w:rsidP="005E0237">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r w:rsidRPr="00E516AE">
                        <w:rPr>
                          <w:rFonts w:eastAsia="Times New Roman" w:cs="Arial"/>
                          <w:color w:val="000000" w:themeColor="text1"/>
                          <w:bdr w:val="none" w:sz="0" w:space="0" w:color="auto" w:frame="1"/>
                          <w:vertAlign w:val="superscript"/>
                        </w:rPr>
                        <w:t>4</w:t>
                      </w:r>
                    </w:p>
                    <w:p w14:paraId="0B44A6C0" w14:textId="2DFCD3AE" w:rsidR="005E0237" w:rsidRDefault="005E0237"/>
                  </w:txbxContent>
                </v:textbox>
                <w10:wrap type="topAndBottom" anchorx="margin"/>
              </v:shape>
            </w:pict>
          </mc:Fallback>
        </mc:AlternateContent>
      </w:r>
    </w:p>
    <w:p w14:paraId="1D020C73" w14:textId="5C1A033A" w:rsidR="005E0237" w:rsidRPr="00D17E25" w:rsidRDefault="005E0237" w:rsidP="001123B3">
      <w:pPr>
        <w:rPr>
          <w:rFonts w:eastAsia="Times New Roman" w:cs="Arial"/>
          <w:b/>
          <w:bCs/>
          <w:color w:val="000000" w:themeColor="text1"/>
        </w:rPr>
      </w:pPr>
    </w:p>
    <w:p w14:paraId="2734662F" w14:textId="77777777" w:rsidR="00D17E25" w:rsidRDefault="00D17E25" w:rsidP="001123B3">
      <w:pPr>
        <w:rPr>
          <w:rFonts w:eastAsia="Times New Roman" w:cs="Arial"/>
          <w:b/>
          <w:bCs/>
          <w:color w:val="3C3030"/>
          <w:sz w:val="24"/>
          <w:szCs w:val="24"/>
        </w:rPr>
      </w:pPr>
    </w:p>
    <w:p w14:paraId="746C46EE" w14:textId="624A9A5C" w:rsidR="00D17E25" w:rsidRDefault="00D17E25" w:rsidP="001123B3">
      <w:pPr>
        <w:rPr>
          <w:rFonts w:eastAsia="Times New Roman" w:cs="Arial"/>
          <w:b/>
          <w:bCs/>
          <w:color w:val="3C3030"/>
          <w:sz w:val="24"/>
          <w:szCs w:val="24"/>
        </w:rPr>
      </w:pPr>
      <w:r>
        <w:rPr>
          <w:rFonts w:eastAsia="Times New Roman" w:cs="Arial"/>
          <w:b/>
          <w:bCs/>
          <w:color w:val="3C3030"/>
          <w:sz w:val="24"/>
          <w:szCs w:val="24"/>
        </w:rPr>
        <w:t>__________________________________________________________________</w:t>
      </w:r>
    </w:p>
    <w:p w14:paraId="63109DE0" w14:textId="77777777" w:rsidR="00D17E25" w:rsidRDefault="00D17E25" w:rsidP="001123B3">
      <w:pPr>
        <w:rPr>
          <w:rFonts w:eastAsia="Times New Roman" w:cs="Arial"/>
          <w:b/>
          <w:bCs/>
          <w:color w:val="3C3030"/>
          <w:sz w:val="24"/>
          <w:szCs w:val="24"/>
        </w:rPr>
      </w:pPr>
    </w:p>
    <w:p w14:paraId="2848D019" w14:textId="2040E3B4" w:rsidR="00E516AE" w:rsidRPr="00E516AE" w:rsidRDefault="00E516AE" w:rsidP="004778C7">
      <w:pPr>
        <w:spacing w:line="480" w:lineRule="auto"/>
        <w:rPr>
          <w:rFonts w:eastAsia="Times New Roman" w:cs="Arial"/>
          <w:b/>
          <w:bCs/>
          <w:color w:val="3C3030"/>
          <w:sz w:val="24"/>
          <w:szCs w:val="24"/>
        </w:rPr>
      </w:pPr>
      <w:r w:rsidRPr="00E516AE">
        <w:rPr>
          <w:rFonts w:eastAsia="Times New Roman" w:cs="Arial"/>
          <w:b/>
          <w:bCs/>
          <w:color w:val="3C3030"/>
          <w:sz w:val="24"/>
          <w:szCs w:val="24"/>
        </w:rPr>
        <w:t>Sources</w:t>
      </w:r>
      <w:bookmarkStart w:id="0" w:name="_GoBack"/>
      <w:bookmarkEnd w:id="0"/>
    </w:p>
    <w:p w14:paraId="0C641DAF" w14:textId="77777777" w:rsidR="00E516AE" w:rsidRPr="00E516AE" w:rsidRDefault="00E516AE" w:rsidP="004778C7">
      <w:pPr>
        <w:numPr>
          <w:ilvl w:val="0"/>
          <w:numId w:val="1"/>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National Emergencies Act, Pub. L. No. 94-412. Codified in part at 50 U.S.C. §§ 1621, 1631.</w:t>
      </w:r>
    </w:p>
    <w:p w14:paraId="77D38ACD" w14:textId="022CED9D" w:rsidR="00E516AE" w:rsidRPr="00E516AE" w:rsidRDefault="00E516AE" w:rsidP="004778C7">
      <w:pPr>
        <w:numPr>
          <w:ilvl w:val="0"/>
          <w:numId w:val="1"/>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Relyea H. Congressional Research Service. </w:t>
      </w:r>
      <w:r w:rsidRPr="00E516AE">
        <w:rPr>
          <w:rFonts w:eastAsia="Times New Roman" w:cs="Arial"/>
          <w:i/>
          <w:iCs/>
          <w:color w:val="000000" w:themeColor="text1"/>
          <w:szCs w:val="20"/>
          <w:bdr w:val="none" w:sz="0" w:space="0" w:color="auto" w:frame="1"/>
        </w:rPr>
        <w:t>National Emergency Powers</w:t>
      </w:r>
      <w:r w:rsidR="00DF3C93" w:rsidRPr="00DF3C93">
        <w:rPr>
          <w:rFonts w:eastAsia="Times New Roman" w:cs="Arial"/>
          <w:i/>
          <w:iCs/>
          <w:color w:val="000000" w:themeColor="text1"/>
          <w:szCs w:val="20"/>
          <w:bdr w:val="none" w:sz="0" w:space="0" w:color="auto" w:frame="1"/>
        </w:rPr>
        <w:t xml:space="preserve"> </w:t>
      </w:r>
      <w:r w:rsidRPr="00E516AE">
        <w:rPr>
          <w:rFonts w:eastAsia="Times New Roman" w:cs="Arial"/>
          <w:color w:val="000000" w:themeColor="text1"/>
          <w:szCs w:val="20"/>
        </w:rPr>
        <w:t>(98-505). August 30, 2007. Available at </w:t>
      </w:r>
      <w:hyperlink r:id="rId10" w:tooltip="www.law.umaryland.edu/marshall/crsreports/crsdocuments/98505_08302007.pdf" w:history="1">
        <w:r w:rsidRPr="00E516AE">
          <w:rPr>
            <w:rFonts w:eastAsia="Times New Roman" w:cs="Arial"/>
            <w:color w:val="0F88B8"/>
            <w:szCs w:val="20"/>
            <w:bdr w:val="none" w:sz="0" w:space="0" w:color="auto" w:frame="1"/>
          </w:rPr>
          <w:t>www.law.umaryland.edu/marshall/crsreports/crsdocuments/98505_08302007.pdf</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0980DE93" w14:textId="77777777" w:rsidR="00E516AE" w:rsidRPr="00E516AE" w:rsidRDefault="00E516AE" w:rsidP="004778C7">
      <w:pPr>
        <w:numPr>
          <w:ilvl w:val="0"/>
          <w:numId w:val="1"/>
        </w:numPr>
        <w:spacing w:line="480" w:lineRule="auto"/>
        <w:ind w:left="450"/>
        <w:textAlignment w:val="baseline"/>
        <w:rPr>
          <w:rFonts w:eastAsia="Times New Roman" w:cs="Arial"/>
          <w:color w:val="000000" w:themeColor="text1"/>
          <w:szCs w:val="20"/>
        </w:rPr>
      </w:pPr>
      <w:proofErr w:type="spellStart"/>
      <w:r w:rsidRPr="00E516AE">
        <w:rPr>
          <w:rFonts w:eastAsia="Times New Roman" w:cs="Arial"/>
          <w:color w:val="000000" w:themeColor="text1"/>
          <w:szCs w:val="20"/>
        </w:rPr>
        <w:t>Swendiman</w:t>
      </w:r>
      <w:proofErr w:type="spellEnd"/>
      <w:r w:rsidRPr="00E516AE">
        <w:rPr>
          <w:rFonts w:eastAsia="Times New Roman" w:cs="Arial"/>
          <w:color w:val="000000" w:themeColor="text1"/>
          <w:szCs w:val="20"/>
        </w:rPr>
        <w:t xml:space="preserve"> K and Jones NL. Congressional Research Service.</w:t>
      </w:r>
      <w:r w:rsidRPr="00E516AE">
        <w:rPr>
          <w:rFonts w:eastAsia="Times New Roman" w:cs="Arial"/>
          <w:i/>
          <w:iCs/>
          <w:color w:val="000000" w:themeColor="text1"/>
          <w:szCs w:val="20"/>
          <w:bdr w:val="none" w:sz="0" w:space="0" w:color="auto" w:frame="1"/>
        </w:rPr>
        <w:t> The 2009 Influenza Pandemic: Selected Legal Issues</w:t>
      </w:r>
      <w:r w:rsidRPr="00E516AE">
        <w:rPr>
          <w:rFonts w:eastAsia="Times New Roman" w:cs="Arial"/>
          <w:color w:val="000000" w:themeColor="text1"/>
          <w:szCs w:val="20"/>
        </w:rPr>
        <w:t xml:space="preserve"> (R40560). October 29, 2009. Available </w:t>
      </w:r>
      <w:r w:rsidRPr="00E516AE">
        <w:rPr>
          <w:rFonts w:eastAsia="Times New Roman" w:cs="Arial"/>
          <w:color w:val="000000" w:themeColor="text1"/>
          <w:szCs w:val="20"/>
        </w:rPr>
        <w:lastRenderedPageBreak/>
        <w:t>at</w:t>
      </w:r>
      <w:r w:rsidRPr="00E516AE">
        <w:rPr>
          <w:rFonts w:eastAsia="Times New Roman" w:cs="Arial"/>
          <w:color w:val="737373"/>
          <w:szCs w:val="20"/>
        </w:rPr>
        <w:t> </w:t>
      </w:r>
      <w:hyperlink r:id="rId11" w:tooltip="www.law.umaryland.edu/marshall/crsreports/crsdocuments/R40560B_05212009.pdf" w:history="1">
        <w:r w:rsidRPr="00E516AE">
          <w:rPr>
            <w:rFonts w:eastAsia="Times New Roman" w:cs="Arial"/>
            <w:color w:val="0F88B8"/>
            <w:szCs w:val="20"/>
            <w:bdr w:val="none" w:sz="0" w:space="0" w:color="auto" w:frame="1"/>
          </w:rPr>
          <w:t>www.law.umaryland.edu/marshall/crsreports/crsdocuments/R40560B_05212009.pdf</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2FE769DF" w14:textId="77777777" w:rsidR="00E516AE" w:rsidRPr="00E516AE" w:rsidRDefault="00E516AE" w:rsidP="004778C7">
      <w:pPr>
        <w:numPr>
          <w:ilvl w:val="0"/>
          <w:numId w:val="1"/>
        </w:numPr>
        <w:spacing w:line="480" w:lineRule="auto"/>
        <w:ind w:left="450"/>
        <w:textAlignment w:val="baseline"/>
        <w:rPr>
          <w:rFonts w:eastAsia="Times New Roman" w:cs="Arial"/>
          <w:color w:val="000000" w:themeColor="text1"/>
          <w:szCs w:val="20"/>
        </w:rPr>
      </w:pPr>
      <w:r w:rsidRPr="00E516AE">
        <w:rPr>
          <w:rFonts w:eastAsia="Times New Roman" w:cs="Arial"/>
          <w:color w:val="000000" w:themeColor="text1"/>
          <w:szCs w:val="20"/>
        </w:rPr>
        <w:t>White House, “Declaration of a National Emergency with Respect to the 2009 H1N1 Influenza Pandemic.” October 24, 2009. Available at </w:t>
      </w:r>
      <w:hyperlink r:id="rId12" w:tooltip="www.whitehouse.gov/the-press-office/declaration-a-national-emergency-with-respect-2009-h1n1-influenza-pandemic-0" w:history="1">
        <w:r w:rsidRPr="00E516AE">
          <w:rPr>
            <w:rFonts w:eastAsia="Times New Roman" w:cs="Arial"/>
            <w:color w:val="0F88B8"/>
            <w:szCs w:val="20"/>
            <w:bdr w:val="none" w:sz="0" w:space="0" w:color="auto" w:frame="1"/>
          </w:rPr>
          <w:t>www.whitehouse.gov/the-press-office/declaration-a-national-emergency-with-respect-2009-h1n1-influenza-pandemic-0</w:t>
        </w:r>
      </w:hyperlink>
      <w:r w:rsidRPr="00E516AE">
        <w:rPr>
          <w:rFonts w:eastAsia="Times New Roman" w:cs="Arial"/>
          <w:color w:val="737373"/>
          <w:szCs w:val="20"/>
        </w:rPr>
        <w:t xml:space="preserve">. </w:t>
      </w:r>
      <w:r w:rsidRPr="00E516AE">
        <w:rPr>
          <w:rFonts w:eastAsia="Times New Roman" w:cs="Arial"/>
          <w:color w:val="000000" w:themeColor="text1"/>
          <w:szCs w:val="20"/>
        </w:rPr>
        <w:t>Accessed January 31, 2012.</w:t>
      </w:r>
    </w:p>
    <w:p w14:paraId="3D563325" w14:textId="77777777" w:rsidR="00B75B7F" w:rsidRPr="00DF3C93" w:rsidRDefault="00B75B7F" w:rsidP="004778C7">
      <w:pPr>
        <w:spacing w:line="480" w:lineRule="auto"/>
        <w:rPr>
          <w:color w:val="000000" w:themeColor="text1"/>
          <w:sz w:val="24"/>
        </w:rPr>
      </w:pPr>
    </w:p>
    <w:sectPr w:rsidR="00B75B7F" w:rsidRPr="00DF3C9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D26E0" w14:textId="77777777" w:rsidR="00B1288F" w:rsidRDefault="00B1288F" w:rsidP="00B1288F">
      <w:r>
        <w:separator/>
      </w:r>
    </w:p>
  </w:endnote>
  <w:endnote w:type="continuationSeparator" w:id="0">
    <w:p w14:paraId="595F642A" w14:textId="77777777" w:rsidR="00B1288F" w:rsidRDefault="00B1288F" w:rsidP="00B1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677309"/>
      <w:docPartObj>
        <w:docPartGallery w:val="Page Numbers (Bottom of Page)"/>
        <w:docPartUnique/>
      </w:docPartObj>
    </w:sdtPr>
    <w:sdtEndPr>
      <w:rPr>
        <w:noProof/>
      </w:rPr>
    </w:sdtEndPr>
    <w:sdtContent>
      <w:p w14:paraId="091B3373" w14:textId="30741D15" w:rsidR="00B1288F" w:rsidRDefault="00B1288F" w:rsidP="00B12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66196" w14:textId="77777777" w:rsidR="00B1288F" w:rsidRDefault="00B1288F" w:rsidP="00B1288F">
      <w:r>
        <w:separator/>
      </w:r>
    </w:p>
  </w:footnote>
  <w:footnote w:type="continuationSeparator" w:id="0">
    <w:p w14:paraId="73B75EA5" w14:textId="77777777" w:rsidR="00B1288F" w:rsidRDefault="00B1288F" w:rsidP="00B12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20753"/>
    <w:multiLevelType w:val="multilevel"/>
    <w:tmpl w:val="331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E"/>
    <w:rsid w:val="001123B3"/>
    <w:rsid w:val="00151278"/>
    <w:rsid w:val="002A0C57"/>
    <w:rsid w:val="00476446"/>
    <w:rsid w:val="004778C7"/>
    <w:rsid w:val="005E0237"/>
    <w:rsid w:val="00736E92"/>
    <w:rsid w:val="00B1288F"/>
    <w:rsid w:val="00B75B7F"/>
    <w:rsid w:val="00CE2B1D"/>
    <w:rsid w:val="00D17E25"/>
    <w:rsid w:val="00DF3C93"/>
    <w:rsid w:val="00E5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EF2B"/>
  <w15:chartTrackingRefBased/>
  <w15:docId w15:val="{14BF8B60-7C34-447E-B51B-606B8167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516A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516A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516A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16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16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16A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16AE"/>
    <w:rPr>
      <w:color w:val="0000FF"/>
      <w:u w:val="single"/>
    </w:rPr>
  </w:style>
  <w:style w:type="character" w:styleId="Emphasis">
    <w:name w:val="Emphasis"/>
    <w:basedOn w:val="DefaultParagraphFont"/>
    <w:uiPriority w:val="20"/>
    <w:qFormat/>
    <w:rsid w:val="00E516AE"/>
    <w:rPr>
      <w:i/>
      <w:iCs/>
    </w:rPr>
  </w:style>
  <w:style w:type="paragraph" w:styleId="Header">
    <w:name w:val="header"/>
    <w:basedOn w:val="Normal"/>
    <w:link w:val="HeaderChar"/>
    <w:uiPriority w:val="99"/>
    <w:unhideWhenUsed/>
    <w:rsid w:val="00B1288F"/>
    <w:pPr>
      <w:tabs>
        <w:tab w:val="center" w:pos="4680"/>
        <w:tab w:val="right" w:pos="9360"/>
      </w:tabs>
    </w:pPr>
  </w:style>
  <w:style w:type="character" w:customStyle="1" w:styleId="HeaderChar">
    <w:name w:val="Header Char"/>
    <w:basedOn w:val="DefaultParagraphFont"/>
    <w:link w:val="Header"/>
    <w:uiPriority w:val="99"/>
    <w:rsid w:val="00B1288F"/>
  </w:style>
  <w:style w:type="paragraph" w:styleId="Footer">
    <w:name w:val="footer"/>
    <w:basedOn w:val="Normal"/>
    <w:link w:val="FooterChar"/>
    <w:uiPriority w:val="99"/>
    <w:unhideWhenUsed/>
    <w:rsid w:val="00B1288F"/>
    <w:pPr>
      <w:tabs>
        <w:tab w:val="center" w:pos="4680"/>
        <w:tab w:val="right" w:pos="9360"/>
      </w:tabs>
    </w:pPr>
  </w:style>
  <w:style w:type="character" w:customStyle="1" w:styleId="FooterChar">
    <w:name w:val="Footer Char"/>
    <w:basedOn w:val="DefaultParagraphFont"/>
    <w:link w:val="Footer"/>
    <w:uiPriority w:val="99"/>
    <w:rsid w:val="00B1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01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whitehouse.gov/the-press-office/declaration-a-national-emergency-with-respect-2009-h1n1-influenza-pandemic-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w.umaryland.edu/marshall/crsreports/crsdocuments/R40560B_0521200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aw.umaryland.edu/marshall/crsreports/crsdocuments/98505_08302007.pdf"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cp:revision>
  <dcterms:created xsi:type="dcterms:W3CDTF">2019-05-01T14:52:00Z</dcterms:created>
  <dcterms:modified xsi:type="dcterms:W3CDTF">2019-05-01T15:16:00Z</dcterms:modified>
</cp:coreProperties>
</file>