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97F80" w14:textId="77777777" w:rsidR="00B52F0F" w:rsidRPr="00B52F0F" w:rsidRDefault="00B52F0F" w:rsidP="00D86D48">
      <w:pPr>
        <w:spacing w:after="120"/>
        <w:rPr>
          <w:rFonts w:eastAsia="Times New Roman" w:cs="Helvetica"/>
          <w:b/>
          <w:bCs/>
          <w:color w:val="333333"/>
          <w:spacing w:val="15"/>
          <w:kern w:val="36"/>
          <w:sz w:val="28"/>
          <w:szCs w:val="28"/>
        </w:rPr>
      </w:pPr>
      <w:r w:rsidRPr="00B52F0F">
        <w:rPr>
          <w:rFonts w:eastAsia="Times New Roman" w:cs="Helvetica"/>
          <w:b/>
          <w:bCs/>
          <w:color w:val="333333"/>
          <w:spacing w:val="15"/>
          <w:kern w:val="36"/>
          <w:sz w:val="28"/>
          <w:szCs w:val="28"/>
        </w:rPr>
        <w:t>Pandemic and All-Hazards Preparedness Act</w:t>
      </w:r>
    </w:p>
    <w:p w14:paraId="1D9D13E4" w14:textId="77777777" w:rsidR="00B52F0F" w:rsidRPr="00B52F0F" w:rsidRDefault="00B52F0F" w:rsidP="00D86D48">
      <w:pPr>
        <w:rPr>
          <w:rFonts w:eastAsia="Times New Roman" w:cs="Arial"/>
          <w:b/>
          <w:bCs/>
          <w:color w:val="3C3030"/>
          <w:sz w:val="24"/>
          <w:szCs w:val="24"/>
        </w:rPr>
      </w:pPr>
      <w:r w:rsidRPr="00B52F0F">
        <w:rPr>
          <w:rFonts w:eastAsia="Times New Roman" w:cs="Arial"/>
          <w:b/>
          <w:bCs/>
          <w:color w:val="3C3030"/>
          <w:sz w:val="24"/>
          <w:szCs w:val="24"/>
        </w:rPr>
        <w:t>Fact Sheet</w:t>
      </w:r>
    </w:p>
    <w:p w14:paraId="2E10C2C2" w14:textId="2ABB7EC7" w:rsidR="00B52F0F" w:rsidRPr="00B52F0F" w:rsidRDefault="00B52F0F" w:rsidP="00D86D48">
      <w:pPr>
        <w:shd w:val="clear" w:color="auto" w:fill="FFFFFF"/>
        <w:spacing w:line="480" w:lineRule="auto"/>
        <w:textAlignment w:val="baseline"/>
        <w:rPr>
          <w:rFonts w:eastAsia="Times New Roman" w:cs="Arial"/>
          <w:color w:val="737373"/>
          <w:sz w:val="20"/>
          <w:szCs w:val="20"/>
        </w:rPr>
      </w:pPr>
    </w:p>
    <w:p w14:paraId="540C5767" w14:textId="77777777" w:rsidR="00B52F0F" w:rsidRPr="00B52F0F" w:rsidRDefault="00B52F0F" w:rsidP="00D86D48">
      <w:pPr>
        <w:spacing w:line="480" w:lineRule="auto"/>
        <w:rPr>
          <w:rFonts w:eastAsia="Times New Roman" w:cs="Arial"/>
          <w:b/>
          <w:bCs/>
          <w:color w:val="3C3030"/>
          <w:sz w:val="24"/>
          <w:szCs w:val="24"/>
        </w:rPr>
      </w:pPr>
      <w:r w:rsidRPr="00B52F0F">
        <w:rPr>
          <w:rFonts w:eastAsia="Times New Roman" w:cs="Arial"/>
          <w:b/>
          <w:bCs/>
          <w:color w:val="3C3030"/>
          <w:sz w:val="24"/>
          <w:szCs w:val="24"/>
        </w:rPr>
        <w:t>Overview</w:t>
      </w:r>
    </w:p>
    <w:p w14:paraId="18ABBCD4" w14:textId="77777777" w:rsidR="000250FC" w:rsidRDefault="00B52F0F" w:rsidP="00D86D48">
      <w:pPr>
        <w:shd w:val="clear" w:color="auto" w:fill="FFFFFF"/>
        <w:spacing w:line="480" w:lineRule="auto"/>
        <w:textAlignment w:val="baseline"/>
        <w:rPr>
          <w:rFonts w:eastAsia="Times New Roman" w:cs="Arial"/>
          <w:color w:val="000000" w:themeColor="text1"/>
        </w:rPr>
      </w:pPr>
      <w:r w:rsidRPr="00B52F0F">
        <w:rPr>
          <w:rFonts w:eastAsia="Times New Roman" w:cs="Arial"/>
          <w:color w:val="000000" w:themeColor="text1"/>
        </w:rPr>
        <w:t>The </w:t>
      </w:r>
      <w:hyperlink r:id="rId7" w:anchor="Pandemic-and-All-Hazards-Preparedness-Act-(PAHPA)" w:tooltip="Pandemic and All-Hazards Preparedness Act (PAHPA)" w:history="1">
        <w:r w:rsidRPr="00B52F0F">
          <w:rPr>
            <w:rFonts w:eastAsia="Times New Roman" w:cs="Arial"/>
            <w:color w:val="0F88B8"/>
            <w:bdr w:val="none" w:sz="0" w:space="0" w:color="auto" w:frame="1"/>
          </w:rPr>
          <w:t>Pandemic and All-Hazards Preparedness Act (PAHPA)</w:t>
        </w:r>
      </w:hyperlink>
      <w:r w:rsidRPr="00B52F0F">
        <w:rPr>
          <w:rFonts w:eastAsia="Times New Roman" w:cs="Arial"/>
          <w:color w:val="000000" w:themeColor="text1"/>
          <w:bdr w:val="none" w:sz="0" w:space="0" w:color="auto" w:frame="1"/>
          <w:vertAlign w:val="superscript"/>
        </w:rPr>
        <w:t>1</w:t>
      </w:r>
      <w:r w:rsidRPr="00B52F0F">
        <w:rPr>
          <w:rFonts w:eastAsia="Times New Roman" w:cs="Arial"/>
          <w:color w:val="737373"/>
        </w:rPr>
        <w:t> </w:t>
      </w:r>
      <w:r w:rsidRPr="00B52F0F">
        <w:rPr>
          <w:rFonts w:eastAsia="Times New Roman" w:cs="Arial"/>
          <w:color w:val="000000" w:themeColor="text1"/>
        </w:rPr>
        <w:t>was enacted to “improve the Nation’s public health and medical preparedness and response capabilities for emergencies, whether deliberate, accidental, or natural.”</w:t>
      </w:r>
      <w:r w:rsidRPr="00B52F0F">
        <w:rPr>
          <w:rFonts w:eastAsia="Times New Roman" w:cs="Arial"/>
          <w:color w:val="000000" w:themeColor="text1"/>
          <w:bdr w:val="none" w:sz="0" w:space="0" w:color="auto" w:frame="1"/>
          <w:vertAlign w:val="superscript"/>
        </w:rPr>
        <w:t>2</w:t>
      </w:r>
      <w:r w:rsidRPr="00B52F0F">
        <w:rPr>
          <w:rFonts w:eastAsia="Times New Roman" w:cs="Arial"/>
          <w:color w:val="000000" w:themeColor="text1"/>
        </w:rPr>
        <w:t> PAHPA amends the Public Health Service Act to address the organization of public health emergency preparedness and response activities. It also authorizes new programs and initiatives concerning medical surge capacity, the development of countermeasures to biological threats, and the capacity of states and localities to prepare for and respond to public health emergencies.</w:t>
      </w:r>
    </w:p>
    <w:p w14:paraId="4C26BE4F" w14:textId="77777777" w:rsidR="000250FC" w:rsidRDefault="000250FC" w:rsidP="00D86D48">
      <w:pPr>
        <w:shd w:val="clear" w:color="auto" w:fill="FFFFFF"/>
        <w:spacing w:line="480" w:lineRule="auto"/>
        <w:textAlignment w:val="baseline"/>
        <w:rPr>
          <w:rFonts w:eastAsia="Times New Roman" w:cs="Arial"/>
          <w:color w:val="000000" w:themeColor="text1"/>
        </w:rPr>
      </w:pPr>
    </w:p>
    <w:p w14:paraId="610268F4" w14:textId="77777777" w:rsidR="000250FC" w:rsidRDefault="00B52F0F" w:rsidP="00D86D48">
      <w:pPr>
        <w:shd w:val="clear" w:color="auto" w:fill="FFFFFF"/>
        <w:spacing w:line="480" w:lineRule="auto"/>
        <w:textAlignment w:val="baseline"/>
        <w:rPr>
          <w:rFonts w:eastAsia="Times New Roman" w:cs="Arial"/>
          <w:color w:val="000000" w:themeColor="text1"/>
        </w:rPr>
      </w:pPr>
      <w:r w:rsidRPr="00B52F0F">
        <w:rPr>
          <w:rFonts w:eastAsia="Times New Roman" w:cs="Arial"/>
          <w:color w:val="000000" w:themeColor="text1"/>
        </w:rPr>
        <w:t>As of March 2012, Congress is in the process of reauthorizing PAHPA, with the House and Senate each adopting its own version. While there are many similarities between the two bills, Congress is likely to convene a conference committee to reconcile the differences between them. The legislation ultimately passed may or may not affect the provisions of PAHPA as described below. Please see </w:t>
      </w:r>
      <w:hyperlink r:id="rId8" w:tooltip="ASTHO EAI Current Issues Winter 2012" w:history="1">
        <w:r w:rsidRPr="00B52F0F">
          <w:rPr>
            <w:rFonts w:eastAsia="Times New Roman" w:cs="Arial"/>
            <w:color w:val="000000" w:themeColor="text1"/>
            <w:bdr w:val="none" w:sz="0" w:space="0" w:color="auto" w:frame="1"/>
          </w:rPr>
          <w:t>ASTHO EAI Current Issues Winter 2012</w:t>
        </w:r>
      </w:hyperlink>
      <w:r w:rsidRPr="00B52F0F">
        <w:rPr>
          <w:rFonts w:eastAsia="Times New Roman" w:cs="Arial"/>
          <w:color w:val="000000" w:themeColor="text1"/>
        </w:rPr>
        <w:t xml:space="preserve"> for more information about reauthorization. </w:t>
      </w:r>
    </w:p>
    <w:p w14:paraId="5C2122DA" w14:textId="77777777" w:rsidR="000250FC" w:rsidRDefault="000250FC" w:rsidP="00D86D48">
      <w:pPr>
        <w:shd w:val="clear" w:color="auto" w:fill="FFFFFF"/>
        <w:spacing w:line="480" w:lineRule="auto"/>
        <w:textAlignment w:val="baseline"/>
        <w:rPr>
          <w:rFonts w:eastAsia="Times New Roman" w:cs="Arial"/>
          <w:color w:val="000000" w:themeColor="text1"/>
        </w:rPr>
      </w:pPr>
    </w:p>
    <w:p w14:paraId="2DCD5F3B" w14:textId="77777777" w:rsidR="00B52F0F" w:rsidRPr="00B52F0F" w:rsidRDefault="00B52F0F" w:rsidP="00D86D48">
      <w:pPr>
        <w:spacing w:line="480" w:lineRule="auto"/>
        <w:rPr>
          <w:rFonts w:eastAsia="Times New Roman" w:cs="Arial"/>
          <w:b/>
          <w:bCs/>
          <w:color w:val="3C3030"/>
          <w:sz w:val="24"/>
          <w:szCs w:val="24"/>
        </w:rPr>
      </w:pPr>
      <w:r w:rsidRPr="00B52F0F">
        <w:rPr>
          <w:rFonts w:eastAsia="Times New Roman" w:cs="Arial"/>
          <w:b/>
          <w:bCs/>
          <w:color w:val="3C3030"/>
          <w:sz w:val="24"/>
          <w:szCs w:val="24"/>
        </w:rPr>
        <w:t>What the Law Does</w:t>
      </w:r>
    </w:p>
    <w:p w14:paraId="7D405AFE" w14:textId="77777777" w:rsidR="000250FC" w:rsidRDefault="000250FC" w:rsidP="00D86D48">
      <w:pPr>
        <w:spacing w:line="480" w:lineRule="auto"/>
        <w:rPr>
          <w:rFonts w:eastAsia="Times New Roman" w:cs="Arial"/>
          <w:b/>
          <w:bCs/>
          <w:color w:val="737373"/>
          <w:sz w:val="20"/>
          <w:szCs w:val="20"/>
        </w:rPr>
      </w:pPr>
    </w:p>
    <w:p w14:paraId="3ACB2AFB" w14:textId="5AD24A2C" w:rsidR="00B52F0F" w:rsidRDefault="00B52F0F" w:rsidP="00D86D48">
      <w:pPr>
        <w:spacing w:line="480" w:lineRule="auto"/>
        <w:rPr>
          <w:rFonts w:eastAsia="Times New Roman" w:cs="Arial"/>
          <w:b/>
          <w:bCs/>
          <w:color w:val="000000" w:themeColor="text1"/>
        </w:rPr>
      </w:pPr>
      <w:r w:rsidRPr="00B52F0F">
        <w:rPr>
          <w:rFonts w:eastAsia="Times New Roman" w:cs="Arial"/>
          <w:b/>
          <w:bCs/>
          <w:color w:val="000000" w:themeColor="text1"/>
        </w:rPr>
        <w:t>National Preparedness and Response, Leadership, Organization, and Planning</w:t>
      </w:r>
    </w:p>
    <w:p w14:paraId="50746F19" w14:textId="77777777" w:rsidR="000250FC" w:rsidRPr="00B52F0F" w:rsidRDefault="000250FC" w:rsidP="00D86D48">
      <w:pPr>
        <w:spacing w:line="480" w:lineRule="auto"/>
        <w:rPr>
          <w:rFonts w:eastAsia="Times New Roman" w:cs="Arial"/>
          <w:b/>
          <w:bCs/>
          <w:color w:val="000000" w:themeColor="text1"/>
        </w:rPr>
      </w:pPr>
    </w:p>
    <w:p w14:paraId="1F3CC324" w14:textId="755AC086" w:rsidR="00B52F0F" w:rsidRPr="00C15B11" w:rsidRDefault="00B52F0F" w:rsidP="00D86D48">
      <w:pPr>
        <w:pStyle w:val="ListParagraph"/>
        <w:numPr>
          <w:ilvl w:val="0"/>
          <w:numId w:val="12"/>
        </w:numPr>
        <w:spacing w:line="480" w:lineRule="auto"/>
        <w:ind w:left="360"/>
        <w:textAlignment w:val="baseline"/>
        <w:rPr>
          <w:rFonts w:eastAsia="Times New Roman" w:cs="Arial"/>
          <w:color w:val="000000" w:themeColor="text1"/>
        </w:rPr>
      </w:pPr>
      <w:r w:rsidRPr="00C15B11">
        <w:rPr>
          <w:rFonts w:eastAsia="Times New Roman" w:cs="Arial"/>
          <w:b/>
          <w:bCs/>
          <w:color w:val="000000" w:themeColor="text1"/>
          <w:bdr w:val="none" w:sz="0" w:space="0" w:color="auto" w:frame="1"/>
        </w:rPr>
        <w:t>Leadership and Organization—</w:t>
      </w:r>
      <w:r w:rsidRPr="00C15B11">
        <w:rPr>
          <w:rFonts w:eastAsia="Times New Roman" w:cs="Arial"/>
          <w:color w:val="000000" w:themeColor="text1"/>
        </w:rPr>
        <w:t xml:space="preserve">PAHPA designates the secretary of the Department Health and Human Services (HHS) as the lead federal official for public health emergency preparedness and response. The act establishes the position of Assistant Secretary for Preparedness and Response to advise the HHS secretary on federal public health and medical preparedness and response, oversee </w:t>
      </w:r>
      <w:r w:rsidRPr="00C15B11">
        <w:rPr>
          <w:rFonts w:eastAsia="Times New Roman" w:cs="Arial"/>
          <w:color w:val="000000" w:themeColor="text1"/>
        </w:rPr>
        <w:lastRenderedPageBreak/>
        <w:t>the development of countermeasures, and provide logistical support for federal responses to public health emergencies. The act requires the secretary to submit the </w:t>
      </w:r>
      <w:hyperlink r:id="rId9" w:anchor="National-Health-Security-Strategy" w:tooltip="National Health Security Strategy" w:history="1">
        <w:r w:rsidRPr="00C15B11">
          <w:rPr>
            <w:rFonts w:eastAsia="Times New Roman" w:cs="Arial"/>
            <w:color w:val="0F88B8"/>
            <w:bdr w:val="none" w:sz="0" w:space="0" w:color="auto" w:frame="1"/>
          </w:rPr>
          <w:t>National Health Security Strategy</w:t>
        </w:r>
      </w:hyperlink>
      <w:r w:rsidRPr="00C15B11">
        <w:rPr>
          <w:rFonts w:eastAsia="Times New Roman" w:cs="Arial"/>
          <w:color w:val="737373"/>
        </w:rPr>
        <w:t> </w:t>
      </w:r>
      <w:r w:rsidRPr="00C15B11">
        <w:rPr>
          <w:rFonts w:eastAsia="Times New Roman" w:cs="Arial"/>
          <w:color w:val="000000" w:themeColor="text1"/>
        </w:rPr>
        <w:t>for public health emergency preparedness and response to Congress.</w:t>
      </w:r>
    </w:p>
    <w:p w14:paraId="3598DD46" w14:textId="77777777" w:rsidR="000250FC" w:rsidRPr="00B52F0F" w:rsidRDefault="000250FC" w:rsidP="00D86D48">
      <w:pPr>
        <w:spacing w:line="480" w:lineRule="auto"/>
        <w:textAlignment w:val="baseline"/>
        <w:rPr>
          <w:rFonts w:eastAsia="Times New Roman" w:cs="Arial"/>
          <w:color w:val="000000" w:themeColor="text1"/>
        </w:rPr>
      </w:pPr>
    </w:p>
    <w:p w14:paraId="7916FB64" w14:textId="1DD6E841" w:rsidR="00B52F0F" w:rsidRPr="00C15B11" w:rsidRDefault="00B52F0F" w:rsidP="00D86D48">
      <w:pPr>
        <w:pStyle w:val="ListParagraph"/>
        <w:numPr>
          <w:ilvl w:val="0"/>
          <w:numId w:val="12"/>
        </w:numPr>
        <w:spacing w:line="480" w:lineRule="auto"/>
        <w:ind w:left="360"/>
        <w:textAlignment w:val="baseline"/>
        <w:rPr>
          <w:rFonts w:eastAsia="Times New Roman" w:cs="Arial"/>
          <w:color w:val="000000" w:themeColor="text1"/>
        </w:rPr>
      </w:pPr>
      <w:r w:rsidRPr="00C15B11">
        <w:rPr>
          <w:rFonts w:eastAsia="Times New Roman" w:cs="Arial"/>
          <w:b/>
          <w:bCs/>
          <w:color w:val="000000" w:themeColor="text1"/>
          <w:bdr w:val="none" w:sz="0" w:space="0" w:color="auto" w:frame="1"/>
        </w:rPr>
        <w:t>Planning for At-Risk Populations—</w:t>
      </w:r>
      <w:r w:rsidRPr="00C15B11">
        <w:rPr>
          <w:rFonts w:eastAsia="Times New Roman" w:cs="Arial"/>
          <w:color w:val="000000" w:themeColor="text1"/>
        </w:rPr>
        <w:t>PAHPA requires the secretary to consider the public health and medical needs of </w:t>
      </w:r>
      <w:hyperlink r:id="rId10" w:anchor="At-Risk" w:tooltip="at-risk individuals" w:history="1">
        <w:r w:rsidRPr="00C15B11">
          <w:rPr>
            <w:rFonts w:eastAsia="Times New Roman" w:cs="Arial"/>
            <w:color w:val="0F88B8"/>
            <w:bdr w:val="none" w:sz="0" w:space="0" w:color="auto" w:frame="1"/>
          </w:rPr>
          <w:t>at-risk individuals</w:t>
        </w:r>
      </w:hyperlink>
      <w:r w:rsidRPr="00C15B11">
        <w:rPr>
          <w:rFonts w:eastAsia="Times New Roman" w:cs="Arial"/>
          <w:color w:val="737373"/>
        </w:rPr>
        <w:t> </w:t>
      </w:r>
      <w:r w:rsidRPr="00C15B11">
        <w:rPr>
          <w:rFonts w:eastAsia="Times New Roman" w:cs="Arial"/>
          <w:color w:val="000000" w:themeColor="text1"/>
        </w:rPr>
        <w:t>during public health emergencies. HHS defines “at-risk” as “those individuals specifically recognized as at-risk in the statute, i.e., children, senior citizens, and pregnant women, as well as those individuals who may need additional response assistance” such as those with physical or mental disabilities and those with limited English proficiency.</w:t>
      </w:r>
      <w:r w:rsidRPr="00C15B11">
        <w:rPr>
          <w:rFonts w:eastAsia="Times New Roman" w:cs="Arial"/>
          <w:color w:val="000000" w:themeColor="text1"/>
          <w:bdr w:val="none" w:sz="0" w:space="0" w:color="auto" w:frame="1"/>
          <w:vertAlign w:val="superscript"/>
        </w:rPr>
        <w:t>4</w:t>
      </w:r>
      <w:r w:rsidRPr="00C15B11">
        <w:rPr>
          <w:rFonts w:eastAsia="Times New Roman" w:cs="Arial"/>
          <w:color w:val="000000" w:themeColor="text1"/>
        </w:rPr>
        <w:t> The secretary must consider the needs of at-risk individuals in guidance given to recipients of state and local public health grants and in the composition of the contents of the Strategic National Stockpile. The secretary is also required to oversee an advisory committee on at-risk persons and disseminate novel and best practices on outreach to and care of the at-risk before, during, and after public health emergencies.</w:t>
      </w:r>
    </w:p>
    <w:p w14:paraId="5898B4BE" w14:textId="77777777" w:rsidR="000250FC" w:rsidRPr="00B52F0F" w:rsidRDefault="000250FC" w:rsidP="00D86D48">
      <w:pPr>
        <w:spacing w:line="480" w:lineRule="auto"/>
        <w:textAlignment w:val="baseline"/>
        <w:rPr>
          <w:rFonts w:eastAsia="Times New Roman" w:cs="Arial"/>
          <w:color w:val="000000" w:themeColor="text1"/>
        </w:rPr>
      </w:pPr>
    </w:p>
    <w:p w14:paraId="01B717D4" w14:textId="446DA55D" w:rsidR="00B52F0F" w:rsidRDefault="00B52F0F" w:rsidP="00D86D48">
      <w:pPr>
        <w:spacing w:line="480" w:lineRule="auto"/>
        <w:rPr>
          <w:rFonts w:eastAsia="Times New Roman" w:cs="Arial"/>
          <w:b/>
          <w:bCs/>
          <w:color w:val="000000" w:themeColor="text1"/>
        </w:rPr>
      </w:pPr>
      <w:r w:rsidRPr="00B52F0F">
        <w:rPr>
          <w:rFonts w:eastAsia="Times New Roman" w:cs="Arial"/>
          <w:b/>
          <w:bCs/>
          <w:color w:val="000000" w:themeColor="text1"/>
        </w:rPr>
        <w:t>Public Health Preparedness Capacity</w:t>
      </w:r>
    </w:p>
    <w:p w14:paraId="3D6DBFF2" w14:textId="77777777" w:rsidR="000250FC" w:rsidRPr="00B52F0F" w:rsidRDefault="000250FC" w:rsidP="00D86D48">
      <w:pPr>
        <w:spacing w:line="480" w:lineRule="auto"/>
        <w:rPr>
          <w:rFonts w:eastAsia="Times New Roman" w:cs="Arial"/>
          <w:b/>
          <w:bCs/>
          <w:color w:val="000000" w:themeColor="text1"/>
        </w:rPr>
      </w:pPr>
    </w:p>
    <w:p w14:paraId="6819D417" w14:textId="5E1BC9A3" w:rsidR="00B52F0F" w:rsidRPr="00C15B11" w:rsidRDefault="00B52F0F" w:rsidP="00D86D48">
      <w:pPr>
        <w:pStyle w:val="ListParagraph"/>
        <w:numPr>
          <w:ilvl w:val="0"/>
          <w:numId w:val="11"/>
        </w:numPr>
        <w:spacing w:line="480" w:lineRule="auto"/>
        <w:ind w:left="360"/>
        <w:textAlignment w:val="baseline"/>
        <w:rPr>
          <w:rFonts w:eastAsia="Times New Roman" w:cs="Arial"/>
          <w:color w:val="000000" w:themeColor="text1"/>
        </w:rPr>
      </w:pPr>
      <w:r w:rsidRPr="00C15B11">
        <w:rPr>
          <w:rFonts w:eastAsia="Times New Roman" w:cs="Arial"/>
          <w:b/>
          <w:bCs/>
          <w:color w:val="000000" w:themeColor="text1"/>
          <w:bdr w:val="none" w:sz="0" w:space="0" w:color="auto" w:frame="1"/>
        </w:rPr>
        <w:t>State and Local Emergency Preparedness—</w:t>
      </w:r>
      <w:r w:rsidRPr="00C15B11">
        <w:rPr>
          <w:rFonts w:eastAsia="Times New Roman" w:cs="Arial"/>
          <w:color w:val="000000" w:themeColor="text1"/>
        </w:rPr>
        <w:t>PAHPA creates and expands programs to enhance the public health system’s capacity to monitor and respond to public health emergencies. The act expands grant programs for state and local public health emergency preparedness activities and mandates the use of evidence-based benchmarks and standards to measure levels of preparedness.</w:t>
      </w:r>
    </w:p>
    <w:p w14:paraId="6B134C93" w14:textId="77777777" w:rsidR="000250FC" w:rsidRPr="00B52F0F" w:rsidRDefault="000250FC" w:rsidP="00D86D48">
      <w:pPr>
        <w:spacing w:line="480" w:lineRule="auto"/>
        <w:textAlignment w:val="baseline"/>
        <w:rPr>
          <w:rFonts w:eastAsia="Times New Roman" w:cs="Arial"/>
          <w:color w:val="000000" w:themeColor="text1"/>
        </w:rPr>
      </w:pPr>
    </w:p>
    <w:p w14:paraId="41EA596A" w14:textId="7F291F1E" w:rsidR="00B52F0F" w:rsidRPr="00C15B11" w:rsidRDefault="00B52F0F" w:rsidP="00D86D48">
      <w:pPr>
        <w:pStyle w:val="ListParagraph"/>
        <w:numPr>
          <w:ilvl w:val="0"/>
          <w:numId w:val="11"/>
        </w:numPr>
        <w:spacing w:line="480" w:lineRule="auto"/>
        <w:ind w:left="360"/>
        <w:textAlignment w:val="baseline"/>
        <w:rPr>
          <w:rFonts w:eastAsia="Times New Roman" w:cs="Arial"/>
          <w:color w:val="000000" w:themeColor="text1"/>
        </w:rPr>
      </w:pPr>
      <w:r w:rsidRPr="00C15B11">
        <w:rPr>
          <w:rFonts w:eastAsia="Times New Roman" w:cs="Arial"/>
          <w:b/>
          <w:bCs/>
          <w:color w:val="000000" w:themeColor="text1"/>
          <w:bdr w:val="none" w:sz="0" w:space="0" w:color="auto" w:frame="1"/>
        </w:rPr>
        <w:t>Public Health Workforce Capacity—</w:t>
      </w:r>
      <w:r w:rsidRPr="00C15B11">
        <w:rPr>
          <w:rFonts w:eastAsia="Times New Roman" w:cs="Arial"/>
          <w:color w:val="000000" w:themeColor="text1"/>
        </w:rPr>
        <w:t xml:space="preserve">PAHPA establishes a demonstration loan repayment program for eligible National Health Service Corps participants who agree to complete their service in a state, </w:t>
      </w:r>
      <w:r w:rsidRPr="00C15B11">
        <w:rPr>
          <w:rFonts w:eastAsia="Times New Roman" w:cs="Arial"/>
          <w:color w:val="000000" w:themeColor="text1"/>
        </w:rPr>
        <w:lastRenderedPageBreak/>
        <w:t>local, or tribal health department in a health professional shortage area or area at risk for public health emergencies. The act also requires the secretary to establish requirements to ensure the readiness of the Commissioned Corps to respond to urgent or emergency public healthcare needs that cannot otherwise be met at the federal, state, and local levels.</w:t>
      </w:r>
    </w:p>
    <w:p w14:paraId="679BC685" w14:textId="77777777" w:rsidR="000250FC" w:rsidRPr="00B52F0F" w:rsidRDefault="000250FC" w:rsidP="00D86D48">
      <w:pPr>
        <w:spacing w:line="480" w:lineRule="auto"/>
        <w:textAlignment w:val="baseline"/>
        <w:rPr>
          <w:rFonts w:eastAsia="Times New Roman" w:cs="Arial"/>
          <w:color w:val="000000" w:themeColor="text1"/>
        </w:rPr>
      </w:pPr>
    </w:p>
    <w:p w14:paraId="567506EE" w14:textId="3669749E" w:rsidR="00B52F0F" w:rsidRPr="00C15B11" w:rsidRDefault="00B52F0F" w:rsidP="00D86D48">
      <w:pPr>
        <w:pStyle w:val="ListParagraph"/>
        <w:numPr>
          <w:ilvl w:val="0"/>
          <w:numId w:val="11"/>
        </w:numPr>
        <w:spacing w:line="480" w:lineRule="auto"/>
        <w:ind w:left="360"/>
        <w:textAlignment w:val="baseline"/>
        <w:rPr>
          <w:rFonts w:eastAsia="Times New Roman" w:cs="Arial"/>
          <w:color w:val="000000" w:themeColor="text1"/>
        </w:rPr>
      </w:pPr>
      <w:r w:rsidRPr="00C15B11">
        <w:rPr>
          <w:rFonts w:eastAsia="Times New Roman" w:cs="Arial"/>
          <w:b/>
          <w:bCs/>
          <w:color w:val="000000" w:themeColor="text1"/>
          <w:bdr w:val="none" w:sz="0" w:space="0" w:color="auto" w:frame="1"/>
        </w:rPr>
        <w:t>Situational Awareness Capacity—</w:t>
      </w:r>
      <w:r w:rsidRPr="00C15B11">
        <w:rPr>
          <w:rFonts w:eastAsia="Times New Roman" w:cs="Arial"/>
          <w:color w:val="000000" w:themeColor="text1"/>
        </w:rPr>
        <w:t>PAHPA authorizes the creation of a near-real-time electronic nationwide public health situational awareness capability though an interoperable network to share data to enhance early detection and rapid response to public health emergencies. The act authorizes the creation of systems to track the initial distribution of federally purchased influenza vaccine during an influenza pandemic.</w:t>
      </w:r>
    </w:p>
    <w:p w14:paraId="06AB92BD" w14:textId="77777777" w:rsidR="000250FC" w:rsidRPr="00B52F0F" w:rsidRDefault="000250FC" w:rsidP="00D86D48">
      <w:pPr>
        <w:spacing w:line="480" w:lineRule="auto"/>
        <w:textAlignment w:val="baseline"/>
        <w:rPr>
          <w:rFonts w:eastAsia="Times New Roman" w:cs="Arial"/>
          <w:color w:val="000000" w:themeColor="text1"/>
        </w:rPr>
      </w:pPr>
    </w:p>
    <w:p w14:paraId="6297C6FA" w14:textId="5E6DA5DA" w:rsidR="00B52F0F" w:rsidRPr="000250FC" w:rsidRDefault="00B52F0F" w:rsidP="00D86D48">
      <w:pPr>
        <w:spacing w:line="480" w:lineRule="auto"/>
        <w:rPr>
          <w:rFonts w:eastAsia="Times New Roman" w:cs="Arial"/>
          <w:b/>
          <w:bCs/>
          <w:color w:val="000000" w:themeColor="text1"/>
        </w:rPr>
      </w:pPr>
      <w:r w:rsidRPr="00B52F0F">
        <w:rPr>
          <w:rFonts w:eastAsia="Times New Roman" w:cs="Arial"/>
          <w:b/>
          <w:bCs/>
          <w:color w:val="000000" w:themeColor="text1"/>
        </w:rPr>
        <w:t>All-Hazards Medical Surge Capacity</w:t>
      </w:r>
    </w:p>
    <w:p w14:paraId="2F807F2D" w14:textId="77777777" w:rsidR="000250FC" w:rsidRPr="00B52F0F" w:rsidRDefault="000250FC" w:rsidP="00D86D48">
      <w:pPr>
        <w:spacing w:line="480" w:lineRule="auto"/>
        <w:rPr>
          <w:rFonts w:eastAsia="Times New Roman" w:cs="Arial"/>
          <w:b/>
          <w:bCs/>
          <w:color w:val="000000" w:themeColor="text1"/>
        </w:rPr>
      </w:pPr>
    </w:p>
    <w:p w14:paraId="73B961F3" w14:textId="67AFCA96" w:rsidR="00B52F0F" w:rsidRDefault="00B52F0F" w:rsidP="00D86D48">
      <w:pPr>
        <w:numPr>
          <w:ilvl w:val="0"/>
          <w:numId w:val="10"/>
        </w:numPr>
        <w:spacing w:line="480" w:lineRule="auto"/>
        <w:ind w:left="360"/>
        <w:textAlignment w:val="baseline"/>
        <w:rPr>
          <w:rFonts w:eastAsia="Times New Roman" w:cs="Arial"/>
          <w:color w:val="000000" w:themeColor="text1"/>
        </w:rPr>
      </w:pPr>
      <w:r w:rsidRPr="00B52F0F">
        <w:rPr>
          <w:rFonts w:eastAsia="Times New Roman" w:cs="Arial"/>
          <w:b/>
          <w:bCs/>
          <w:color w:val="000000" w:themeColor="text1"/>
          <w:bdr w:val="none" w:sz="0" w:space="0" w:color="auto" w:frame="1"/>
        </w:rPr>
        <w:t>Medical Surge Capacity—</w:t>
      </w:r>
      <w:r w:rsidRPr="00B52F0F">
        <w:rPr>
          <w:rFonts w:eastAsia="Times New Roman" w:cs="Arial"/>
          <w:color w:val="000000" w:themeColor="text1"/>
        </w:rPr>
        <w:t>PAHPA directs the secretary to assess the nation’s medical surge capacity by reviewing the </w:t>
      </w:r>
      <w:hyperlink r:id="rId11" w:anchor="National-Disaster-Medical-System-(NDMS)" w:tooltip="National Disaster Medical System" w:history="1">
        <w:r w:rsidRPr="00B52F0F">
          <w:rPr>
            <w:rFonts w:eastAsia="Times New Roman" w:cs="Arial"/>
            <w:color w:val="0F88B8"/>
            <w:bdr w:val="none" w:sz="0" w:space="0" w:color="auto" w:frame="1"/>
          </w:rPr>
          <w:t>National Disaster Medical System</w:t>
        </w:r>
      </w:hyperlink>
      <w:r w:rsidRPr="00B52F0F">
        <w:rPr>
          <w:rFonts w:eastAsia="Times New Roman" w:cs="Arial"/>
          <w:color w:val="000000" w:themeColor="text1"/>
        </w:rPr>
        <w:t>, evaluating the feasibility of improving HHS's capacity to provide medical surge capacity to local communities and analyzing the potential for using federal facilities as healthcare facilities during public health emergencies. The act expands programs to improve hospital preparedness for public health emergencies to include grants to improve surge capacity.</w:t>
      </w:r>
    </w:p>
    <w:p w14:paraId="5DFBCDEF" w14:textId="77777777" w:rsidR="000250FC" w:rsidRPr="00B52F0F" w:rsidRDefault="000250FC" w:rsidP="00D86D48">
      <w:pPr>
        <w:spacing w:line="480" w:lineRule="auto"/>
        <w:textAlignment w:val="baseline"/>
        <w:rPr>
          <w:rFonts w:eastAsia="Times New Roman" w:cs="Arial"/>
          <w:color w:val="000000" w:themeColor="text1"/>
        </w:rPr>
      </w:pPr>
    </w:p>
    <w:p w14:paraId="29EF8E28" w14:textId="6F9BB929" w:rsidR="00B52F0F" w:rsidRDefault="00B52F0F" w:rsidP="00D86D48">
      <w:pPr>
        <w:numPr>
          <w:ilvl w:val="0"/>
          <w:numId w:val="10"/>
        </w:numPr>
        <w:spacing w:line="480" w:lineRule="auto"/>
        <w:ind w:left="360"/>
        <w:textAlignment w:val="baseline"/>
        <w:rPr>
          <w:rFonts w:eastAsia="Times New Roman" w:cs="Arial"/>
          <w:color w:val="000000" w:themeColor="text1"/>
        </w:rPr>
      </w:pPr>
      <w:r w:rsidRPr="00B52F0F">
        <w:rPr>
          <w:rFonts w:eastAsia="Times New Roman" w:cs="Arial"/>
          <w:b/>
          <w:bCs/>
          <w:color w:val="000000" w:themeColor="text1"/>
          <w:bdr w:val="none" w:sz="0" w:space="0" w:color="auto" w:frame="1"/>
        </w:rPr>
        <w:t>Medical Reserve Corps and Volunteers—</w:t>
      </w:r>
      <w:r w:rsidRPr="00B52F0F">
        <w:rPr>
          <w:rFonts w:eastAsia="Times New Roman" w:cs="Arial"/>
          <w:color w:val="000000" w:themeColor="text1"/>
        </w:rPr>
        <w:t>PAHPA requires HHS to link </w:t>
      </w:r>
      <w:hyperlink r:id="rId12" w:anchor="Medical-Reserve-Corps-(MRC)" w:tooltip="Medical Reserve Corps" w:history="1">
        <w:r w:rsidRPr="00B52F0F">
          <w:rPr>
            <w:rFonts w:eastAsia="Times New Roman" w:cs="Arial"/>
            <w:color w:val="0F88B8"/>
            <w:bdr w:val="none" w:sz="0" w:space="0" w:color="auto" w:frame="1"/>
          </w:rPr>
          <w:t>Medical Reserve Corps</w:t>
        </w:r>
      </w:hyperlink>
      <w:r w:rsidRPr="00B52F0F">
        <w:rPr>
          <w:rFonts w:eastAsia="Times New Roman" w:cs="Arial"/>
          <w:color w:val="737373"/>
        </w:rPr>
        <w:t> </w:t>
      </w:r>
      <w:r w:rsidRPr="00B52F0F">
        <w:rPr>
          <w:rFonts w:eastAsia="Times New Roman" w:cs="Arial"/>
          <w:color w:val="000000" w:themeColor="text1"/>
        </w:rPr>
        <w:t>and existing state verification systems into a single national interoperable network of systems—</w:t>
      </w:r>
      <w:hyperlink r:id="rId13" w:anchor="Emergency-System" w:tooltip="Emergency System for Advance Registration of Volunteer Health Professionals (ESAR-VHP)" w:history="1">
        <w:r w:rsidRPr="00B52F0F">
          <w:rPr>
            <w:rFonts w:eastAsia="Times New Roman" w:cs="Arial"/>
            <w:color w:val="000000" w:themeColor="text1"/>
            <w:bdr w:val="none" w:sz="0" w:space="0" w:color="auto" w:frame="1"/>
          </w:rPr>
          <w:t>Emergency System for Advance Registration of Volunteer Health Professionals (ESAR-VHP)</w:t>
        </w:r>
      </w:hyperlink>
      <w:r w:rsidRPr="00B52F0F">
        <w:rPr>
          <w:rFonts w:eastAsia="Times New Roman" w:cs="Arial"/>
          <w:color w:val="000000" w:themeColor="text1"/>
        </w:rPr>
        <w:t>—to verify the credentials and licenses of healthcare professionals who volunteer in emergencies.</w:t>
      </w:r>
    </w:p>
    <w:p w14:paraId="441B559A" w14:textId="77777777" w:rsidR="000250FC" w:rsidRPr="00B52F0F" w:rsidRDefault="000250FC" w:rsidP="00D86D48">
      <w:pPr>
        <w:spacing w:line="480" w:lineRule="auto"/>
        <w:textAlignment w:val="baseline"/>
        <w:rPr>
          <w:rFonts w:eastAsia="Times New Roman" w:cs="Arial"/>
          <w:color w:val="000000" w:themeColor="text1"/>
        </w:rPr>
      </w:pPr>
    </w:p>
    <w:p w14:paraId="662D5724" w14:textId="201823D1" w:rsidR="00B52F0F" w:rsidRPr="00C15B11" w:rsidRDefault="00B52F0F" w:rsidP="00D86D48">
      <w:pPr>
        <w:pStyle w:val="ListParagraph"/>
        <w:numPr>
          <w:ilvl w:val="0"/>
          <w:numId w:val="10"/>
        </w:numPr>
        <w:spacing w:line="480" w:lineRule="auto"/>
        <w:ind w:left="360"/>
        <w:rPr>
          <w:rFonts w:eastAsia="Times New Roman" w:cs="Arial"/>
          <w:b/>
          <w:bCs/>
          <w:color w:val="000000" w:themeColor="text1"/>
        </w:rPr>
      </w:pPr>
      <w:r w:rsidRPr="00C15B11">
        <w:rPr>
          <w:rFonts w:eastAsia="Times New Roman" w:cs="Arial"/>
          <w:b/>
          <w:bCs/>
          <w:color w:val="000000" w:themeColor="text1"/>
        </w:rPr>
        <w:t>Pandemic and Biodefense Vaccine and Drug Development</w:t>
      </w:r>
    </w:p>
    <w:p w14:paraId="5922C22B" w14:textId="77777777" w:rsidR="000250FC" w:rsidRPr="00B52F0F" w:rsidRDefault="000250FC" w:rsidP="00D86D48">
      <w:pPr>
        <w:spacing w:line="480" w:lineRule="auto"/>
        <w:rPr>
          <w:rFonts w:eastAsia="Times New Roman" w:cs="Arial"/>
          <w:b/>
          <w:bCs/>
          <w:color w:val="000000" w:themeColor="text1"/>
        </w:rPr>
      </w:pPr>
    </w:p>
    <w:p w14:paraId="7474EC46" w14:textId="553538B4" w:rsidR="00B52F0F" w:rsidRPr="000250FC" w:rsidRDefault="00B52F0F" w:rsidP="00D86D48">
      <w:pPr>
        <w:numPr>
          <w:ilvl w:val="0"/>
          <w:numId w:val="10"/>
        </w:numPr>
        <w:spacing w:line="480" w:lineRule="auto"/>
        <w:ind w:left="360"/>
        <w:textAlignment w:val="baseline"/>
        <w:rPr>
          <w:rFonts w:eastAsia="Times New Roman" w:cs="Arial"/>
          <w:color w:val="000000" w:themeColor="text1"/>
        </w:rPr>
      </w:pPr>
      <w:r w:rsidRPr="00B52F0F">
        <w:rPr>
          <w:rFonts w:eastAsia="Times New Roman" w:cs="Arial"/>
          <w:color w:val="000000" w:themeColor="text1"/>
        </w:rPr>
        <w:t>PAHPA establishes the </w:t>
      </w:r>
      <w:hyperlink r:id="rId14" w:anchor="Biomedical-Advanced" w:tooltip="Biomedical Advanced Research and Development Authority (BARDA)" w:history="1">
        <w:r w:rsidRPr="00B52F0F">
          <w:rPr>
            <w:rFonts w:eastAsia="Times New Roman" w:cs="Arial"/>
            <w:color w:val="0F88B8"/>
            <w:bdr w:val="none" w:sz="0" w:space="0" w:color="auto" w:frame="1"/>
          </w:rPr>
          <w:t>Biomedical Advanced Research and Development Authority (BARDA)</w:t>
        </w:r>
      </w:hyperlink>
      <w:r w:rsidRPr="00B52F0F">
        <w:rPr>
          <w:rFonts w:eastAsia="Times New Roman" w:cs="Arial"/>
          <w:color w:val="737373"/>
        </w:rPr>
        <w:t> </w:t>
      </w:r>
      <w:r w:rsidRPr="00B52F0F">
        <w:rPr>
          <w:rFonts w:eastAsia="Times New Roman" w:cs="Arial"/>
          <w:color w:val="000000" w:themeColor="text1"/>
        </w:rPr>
        <w:t>within HHS to foster the rapid development of drugs and vaccines (countermeasures and products) against highly infectious pathogens. The act establishes the Biodefense Medical Countermeasure Development Fund to pay for development contracts with the makers of the countermeasures and products.</w:t>
      </w:r>
    </w:p>
    <w:p w14:paraId="75CD2A07" w14:textId="77777777" w:rsidR="000250FC" w:rsidRPr="00B52F0F" w:rsidRDefault="000250FC" w:rsidP="00D86D48">
      <w:pPr>
        <w:spacing w:line="480" w:lineRule="auto"/>
        <w:textAlignment w:val="baseline"/>
        <w:rPr>
          <w:rFonts w:eastAsia="Times New Roman" w:cs="Arial"/>
          <w:color w:val="000000" w:themeColor="text1"/>
        </w:rPr>
      </w:pPr>
    </w:p>
    <w:p w14:paraId="44991E5C" w14:textId="77777777" w:rsidR="00B52F0F" w:rsidRPr="00B52F0F" w:rsidRDefault="00B52F0F" w:rsidP="00D86D48">
      <w:pPr>
        <w:spacing w:line="480" w:lineRule="auto"/>
        <w:rPr>
          <w:rFonts w:eastAsia="Times New Roman" w:cs="Arial"/>
          <w:b/>
          <w:bCs/>
          <w:color w:val="3C3030"/>
          <w:sz w:val="24"/>
          <w:szCs w:val="24"/>
        </w:rPr>
      </w:pPr>
      <w:r w:rsidRPr="00B52F0F">
        <w:rPr>
          <w:rFonts w:eastAsia="Times New Roman" w:cs="Arial"/>
          <w:b/>
          <w:bCs/>
          <w:color w:val="3C3030"/>
          <w:sz w:val="24"/>
          <w:szCs w:val="24"/>
        </w:rPr>
        <w:t>Immunity and Liability Issues</w:t>
      </w:r>
    </w:p>
    <w:p w14:paraId="36395E54" w14:textId="77777777" w:rsidR="000250FC" w:rsidRDefault="00B52F0F" w:rsidP="00D86D48">
      <w:pPr>
        <w:shd w:val="clear" w:color="auto" w:fill="FFFFFF"/>
        <w:spacing w:line="480" w:lineRule="auto"/>
        <w:textAlignment w:val="baseline"/>
        <w:rPr>
          <w:rFonts w:eastAsia="Times New Roman" w:cs="Arial"/>
          <w:color w:val="737373"/>
          <w:szCs w:val="20"/>
        </w:rPr>
      </w:pPr>
      <w:r w:rsidRPr="00B52F0F">
        <w:rPr>
          <w:rFonts w:eastAsia="Times New Roman" w:cs="Arial"/>
          <w:color w:val="000000" w:themeColor="text1"/>
          <w:szCs w:val="20"/>
        </w:rPr>
        <w:t>PAHPA does not contain any new grants of immunity or other liability and compensation protections. Some activities or persons addressed in PAHPA may be eligible for liability protection through other federal laws; thus, public health and medical volunteers may be eligible, depending on the program they deploy though (e.g., the Medical Reserve Corps) for liability protection under such federal laws as the Federal Tort Claims Act or the Volunteer Protection Act. Persons who are involved with certain activities related to countermeasures may be eligible for liability protection under the </w:t>
      </w:r>
      <w:hyperlink r:id="rId15" w:anchor="Public-Readiness-and-Emergency-Preparedness-Act" w:tooltip="Public Readiness and Emergency Preparedness Act (PREP Act)" w:history="1">
        <w:r w:rsidRPr="00B52F0F">
          <w:rPr>
            <w:rFonts w:eastAsia="Times New Roman" w:cs="Arial"/>
            <w:color w:val="0F88B8"/>
            <w:szCs w:val="20"/>
            <w:bdr w:val="none" w:sz="0" w:space="0" w:color="auto" w:frame="1"/>
          </w:rPr>
          <w:t>Public Readiness and Emergency Preparedness Act (PREP Act)</w:t>
        </w:r>
      </w:hyperlink>
      <w:r w:rsidRPr="00B52F0F">
        <w:rPr>
          <w:rFonts w:eastAsia="Times New Roman" w:cs="Arial"/>
          <w:color w:val="737373"/>
          <w:szCs w:val="20"/>
        </w:rPr>
        <w:t> </w:t>
      </w:r>
      <w:r w:rsidRPr="00B52F0F">
        <w:rPr>
          <w:rFonts w:eastAsia="Times New Roman" w:cs="Arial"/>
          <w:color w:val="000000" w:themeColor="text1"/>
          <w:szCs w:val="20"/>
        </w:rPr>
        <w:t>if they fall into one of the covered classes. </w:t>
      </w:r>
    </w:p>
    <w:p w14:paraId="412E7CAC" w14:textId="28246DF0" w:rsidR="00B52F0F" w:rsidRPr="00B52F0F" w:rsidRDefault="00B52F0F" w:rsidP="00D86D48">
      <w:pPr>
        <w:shd w:val="clear" w:color="auto" w:fill="FFFFFF"/>
        <w:spacing w:line="480" w:lineRule="auto"/>
        <w:textAlignment w:val="baseline"/>
        <w:rPr>
          <w:rFonts w:eastAsia="Times New Roman" w:cs="Arial"/>
          <w:color w:val="000000" w:themeColor="text1"/>
          <w:szCs w:val="20"/>
        </w:rPr>
      </w:pPr>
    </w:p>
    <w:p w14:paraId="2F71B6BD" w14:textId="77777777" w:rsidR="00B52F0F" w:rsidRPr="00B52F0F" w:rsidRDefault="00B52F0F" w:rsidP="00D86D48">
      <w:pPr>
        <w:spacing w:line="480" w:lineRule="auto"/>
        <w:rPr>
          <w:rFonts w:eastAsia="Times New Roman" w:cs="Arial"/>
          <w:b/>
          <w:bCs/>
          <w:color w:val="3C3030"/>
          <w:sz w:val="24"/>
          <w:szCs w:val="24"/>
        </w:rPr>
      </w:pPr>
      <w:r w:rsidRPr="00B52F0F">
        <w:rPr>
          <w:rFonts w:eastAsia="Times New Roman" w:cs="Arial"/>
          <w:b/>
          <w:bCs/>
          <w:color w:val="3C3030"/>
          <w:sz w:val="24"/>
          <w:szCs w:val="24"/>
        </w:rPr>
        <w:t>How the Law Works</w:t>
      </w:r>
    </w:p>
    <w:p w14:paraId="71BAFB93" w14:textId="77777777" w:rsidR="000250FC" w:rsidRPr="00C15B11" w:rsidRDefault="00B52F0F" w:rsidP="00D86D48">
      <w:pPr>
        <w:shd w:val="clear" w:color="auto" w:fill="FFFFFF"/>
        <w:spacing w:line="480" w:lineRule="auto"/>
        <w:textAlignment w:val="baseline"/>
        <w:rPr>
          <w:rFonts w:eastAsia="Times New Roman" w:cs="Arial"/>
          <w:color w:val="000000" w:themeColor="text1"/>
          <w:szCs w:val="20"/>
        </w:rPr>
      </w:pPr>
      <w:r w:rsidRPr="00B52F0F">
        <w:rPr>
          <w:rFonts w:eastAsia="Times New Roman" w:cs="Arial"/>
          <w:color w:val="000000" w:themeColor="text1"/>
          <w:szCs w:val="20"/>
        </w:rPr>
        <w:t xml:space="preserve">PAHPA is primarily authorizing legislation that directs HHS to establish positions and programs related to public health emergency preparedness and response. HHS has issued </w:t>
      </w:r>
      <w:proofErr w:type="gramStart"/>
      <w:r w:rsidRPr="00B52F0F">
        <w:rPr>
          <w:rFonts w:eastAsia="Times New Roman" w:cs="Arial"/>
          <w:color w:val="000000" w:themeColor="text1"/>
          <w:szCs w:val="20"/>
        </w:rPr>
        <w:t>a number of</w:t>
      </w:r>
      <w:proofErr w:type="gramEnd"/>
      <w:r w:rsidRPr="00B52F0F">
        <w:rPr>
          <w:rFonts w:eastAsia="Times New Roman" w:cs="Arial"/>
          <w:color w:val="000000" w:themeColor="text1"/>
          <w:szCs w:val="20"/>
        </w:rPr>
        <w:t xml:space="preserve"> progress reports about the status of its efforts to implement PAHPA. </w:t>
      </w:r>
    </w:p>
    <w:p w14:paraId="41F7F8D1" w14:textId="77777777" w:rsidR="000250FC" w:rsidRPr="00C15B11" w:rsidRDefault="000250FC" w:rsidP="00D86D48">
      <w:pPr>
        <w:shd w:val="clear" w:color="auto" w:fill="FFFFFF"/>
        <w:spacing w:line="480" w:lineRule="auto"/>
        <w:textAlignment w:val="baseline"/>
        <w:rPr>
          <w:rFonts w:eastAsia="Times New Roman" w:cs="Arial"/>
          <w:color w:val="000000" w:themeColor="text1"/>
          <w:szCs w:val="20"/>
        </w:rPr>
      </w:pPr>
    </w:p>
    <w:p w14:paraId="13769FD9" w14:textId="77777777" w:rsidR="00B52F0F" w:rsidRPr="00B52F0F" w:rsidRDefault="00B52F0F" w:rsidP="008B651C">
      <w:pPr>
        <w:keepNext/>
        <w:spacing w:line="480" w:lineRule="auto"/>
        <w:rPr>
          <w:rFonts w:eastAsia="Times New Roman" w:cs="Arial"/>
          <w:b/>
          <w:bCs/>
          <w:color w:val="3C3030"/>
          <w:sz w:val="24"/>
          <w:szCs w:val="24"/>
        </w:rPr>
      </w:pPr>
      <w:r w:rsidRPr="00B52F0F">
        <w:rPr>
          <w:rFonts w:eastAsia="Times New Roman" w:cs="Arial"/>
          <w:b/>
          <w:bCs/>
          <w:color w:val="3C3030"/>
          <w:sz w:val="24"/>
          <w:szCs w:val="24"/>
        </w:rPr>
        <w:lastRenderedPageBreak/>
        <w:t>How the Law Affe</w:t>
      </w:r>
      <w:bookmarkStart w:id="0" w:name="_GoBack"/>
      <w:bookmarkEnd w:id="0"/>
      <w:r w:rsidRPr="00B52F0F">
        <w:rPr>
          <w:rFonts w:eastAsia="Times New Roman" w:cs="Arial"/>
          <w:b/>
          <w:bCs/>
          <w:color w:val="3C3030"/>
          <w:sz w:val="24"/>
          <w:szCs w:val="24"/>
        </w:rPr>
        <w:t>cts States</w:t>
      </w:r>
    </w:p>
    <w:p w14:paraId="48DEFD68" w14:textId="77777777" w:rsidR="00B52F0F" w:rsidRPr="00B52F0F" w:rsidRDefault="00B52F0F" w:rsidP="00D86D48">
      <w:pPr>
        <w:shd w:val="clear" w:color="auto" w:fill="FFFFFF"/>
        <w:spacing w:after="120" w:line="480" w:lineRule="auto"/>
        <w:textAlignment w:val="baseline"/>
        <w:rPr>
          <w:rFonts w:eastAsia="Times New Roman" w:cs="Arial"/>
          <w:color w:val="000000" w:themeColor="text1"/>
          <w:szCs w:val="20"/>
        </w:rPr>
      </w:pPr>
      <w:r w:rsidRPr="00B52F0F">
        <w:rPr>
          <w:rFonts w:eastAsia="Times New Roman" w:cs="Arial"/>
          <w:color w:val="000000" w:themeColor="text1"/>
          <w:szCs w:val="20"/>
        </w:rPr>
        <w:t xml:space="preserve">PAHPA impacts the states through the organizational structures and programs it established within HHS. Many of the offices and programs within HHS that state public health preparedness programs interact with </w:t>
      </w:r>
      <w:proofErr w:type="gramStart"/>
      <w:r w:rsidRPr="00B52F0F">
        <w:rPr>
          <w:rFonts w:eastAsia="Times New Roman" w:cs="Arial"/>
          <w:color w:val="000000" w:themeColor="text1"/>
          <w:szCs w:val="20"/>
        </w:rPr>
        <w:t>on a daily basis</w:t>
      </w:r>
      <w:proofErr w:type="gramEnd"/>
      <w:r w:rsidRPr="00B52F0F">
        <w:rPr>
          <w:rFonts w:eastAsia="Times New Roman" w:cs="Arial"/>
          <w:color w:val="000000" w:themeColor="text1"/>
          <w:szCs w:val="20"/>
        </w:rPr>
        <w:t xml:space="preserve"> were developed or refined through PAHPA, including:</w:t>
      </w:r>
    </w:p>
    <w:p w14:paraId="2DAC53C0" w14:textId="77777777" w:rsidR="00B52F0F" w:rsidRPr="00C15B11" w:rsidRDefault="00B52F0F" w:rsidP="00D86D48">
      <w:pPr>
        <w:pStyle w:val="ListParagraph"/>
        <w:numPr>
          <w:ilvl w:val="0"/>
          <w:numId w:val="9"/>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The office of the </w:t>
      </w:r>
      <w:hyperlink r:id="rId16" w:anchor="HHS-Office-of-the-Assistant-Secretary-for-Preparedness-and-Response-(ASPR)" w:tooltip="Assistant Secretary for Preparedness and Response (HHS ASPR)" w:history="1">
        <w:r w:rsidRPr="00C15B11">
          <w:rPr>
            <w:rFonts w:eastAsia="Times New Roman" w:cs="Arial"/>
            <w:color w:val="0F88B8"/>
            <w:szCs w:val="20"/>
            <w:bdr w:val="none" w:sz="0" w:space="0" w:color="auto" w:frame="1"/>
          </w:rPr>
          <w:t>Assistant Secretary for Preparedness and Response (HHS ASPR)</w:t>
        </w:r>
      </w:hyperlink>
      <w:r w:rsidRPr="00C15B11">
        <w:rPr>
          <w:rFonts w:eastAsia="Times New Roman" w:cs="Arial"/>
          <w:color w:val="737373"/>
          <w:szCs w:val="20"/>
        </w:rPr>
        <w:t>.</w:t>
      </w:r>
    </w:p>
    <w:p w14:paraId="4715C5D7" w14:textId="77777777" w:rsidR="00B52F0F" w:rsidRPr="00C15B11" w:rsidRDefault="00B52F0F" w:rsidP="00D86D48">
      <w:pPr>
        <w:pStyle w:val="ListParagraph"/>
        <w:numPr>
          <w:ilvl w:val="0"/>
          <w:numId w:val="9"/>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Grant programs such as the Public Health Emergency Preparedness Program, Hospital Preparedness Program, and Healthcare Facility Partnership Program.</w:t>
      </w:r>
    </w:p>
    <w:p w14:paraId="2953A1D3" w14:textId="77777777" w:rsidR="00B52F0F" w:rsidRPr="00C15B11" w:rsidRDefault="00B52F0F" w:rsidP="00D86D48">
      <w:pPr>
        <w:pStyle w:val="ListParagraph"/>
        <w:numPr>
          <w:ilvl w:val="0"/>
          <w:numId w:val="9"/>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Guidance regarding at-risk populations generated through PAHPA-supported initiatives.</w:t>
      </w:r>
    </w:p>
    <w:p w14:paraId="0873D188" w14:textId="4001C94C" w:rsidR="00B52F0F" w:rsidRPr="00C15B11" w:rsidRDefault="00B52F0F" w:rsidP="00D86D48">
      <w:pPr>
        <w:pStyle w:val="ListParagraph"/>
        <w:numPr>
          <w:ilvl w:val="0"/>
          <w:numId w:val="9"/>
        </w:numPr>
        <w:spacing w:line="480" w:lineRule="auto"/>
        <w:textAlignment w:val="baseline"/>
        <w:rPr>
          <w:rFonts w:eastAsia="Times New Roman" w:cs="Arial"/>
          <w:color w:val="000000" w:themeColor="text1"/>
          <w:szCs w:val="20"/>
        </w:rPr>
      </w:pPr>
      <w:r w:rsidRPr="00C15B11">
        <w:rPr>
          <w:rFonts w:eastAsia="Times New Roman" w:cs="Arial"/>
          <w:color w:val="000000" w:themeColor="text1"/>
          <w:szCs w:val="20"/>
        </w:rPr>
        <w:t>Registration of volunteer health professionals into ESAR-VHP-compliant databases.</w:t>
      </w:r>
    </w:p>
    <w:p w14:paraId="1F9444EC" w14:textId="77777777" w:rsidR="00C15B11" w:rsidRPr="00B52F0F" w:rsidRDefault="00C15B11" w:rsidP="00D86D48">
      <w:pPr>
        <w:spacing w:line="480" w:lineRule="auto"/>
        <w:textAlignment w:val="baseline"/>
        <w:rPr>
          <w:rFonts w:eastAsia="Times New Roman" w:cs="Arial"/>
          <w:color w:val="000000" w:themeColor="text1"/>
          <w:szCs w:val="20"/>
        </w:rPr>
      </w:pPr>
    </w:p>
    <w:p w14:paraId="5E39F285" w14:textId="77777777" w:rsidR="00B52F0F" w:rsidRPr="00B52F0F" w:rsidRDefault="00B52F0F" w:rsidP="00D86D48">
      <w:pPr>
        <w:spacing w:line="480" w:lineRule="auto"/>
        <w:rPr>
          <w:rFonts w:eastAsia="Times New Roman" w:cs="Arial"/>
          <w:b/>
          <w:bCs/>
          <w:color w:val="3C3030"/>
          <w:sz w:val="24"/>
          <w:szCs w:val="24"/>
        </w:rPr>
      </w:pPr>
      <w:r w:rsidRPr="00B52F0F">
        <w:rPr>
          <w:rFonts w:eastAsia="Times New Roman" w:cs="Arial"/>
          <w:b/>
          <w:bCs/>
          <w:color w:val="3C3030"/>
          <w:sz w:val="24"/>
          <w:szCs w:val="24"/>
        </w:rPr>
        <w:t>Practice Notes</w:t>
      </w:r>
    </w:p>
    <w:p w14:paraId="7019C748" w14:textId="77777777" w:rsidR="00B52F0F" w:rsidRPr="00C15B11" w:rsidRDefault="00B52F0F" w:rsidP="00D86D48">
      <w:pPr>
        <w:pStyle w:val="ListParagraph"/>
        <w:numPr>
          <w:ilvl w:val="0"/>
          <w:numId w:val="8"/>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the offices and/or agencies in your state that interact with HHS ASPR and its various programs. These state offices will most likely be in the state public health agency, but some programs might be housed in state homeland security or emergency management agencies.</w:t>
      </w:r>
    </w:p>
    <w:p w14:paraId="27FF15BC" w14:textId="77777777" w:rsidR="00B52F0F" w:rsidRPr="00C15B11" w:rsidRDefault="00B52F0F" w:rsidP="00D86D48">
      <w:pPr>
        <w:pStyle w:val="ListParagraph"/>
        <w:numPr>
          <w:ilvl w:val="0"/>
          <w:numId w:val="8"/>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and understand the HHS ASPR grants your state receives and the programmatic and administrative requirements of each.</w:t>
      </w:r>
    </w:p>
    <w:p w14:paraId="7FF19B72" w14:textId="77777777" w:rsidR="00B52F0F" w:rsidRPr="00C15B11" w:rsidRDefault="00B52F0F" w:rsidP="00D86D48">
      <w:pPr>
        <w:pStyle w:val="ListParagraph"/>
        <w:numPr>
          <w:ilvl w:val="0"/>
          <w:numId w:val="8"/>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and understand any parallel state statutory or regulatory requirements in the program areas addressed by PAHPA.</w:t>
      </w:r>
    </w:p>
    <w:p w14:paraId="72E54F8F" w14:textId="1624E32F" w:rsidR="00B52F0F" w:rsidRPr="00C15B11" w:rsidRDefault="00B52F0F" w:rsidP="00D86D48">
      <w:pPr>
        <w:pStyle w:val="ListParagraph"/>
        <w:numPr>
          <w:ilvl w:val="0"/>
          <w:numId w:val="8"/>
        </w:numPr>
        <w:spacing w:after="120" w:line="480" w:lineRule="auto"/>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requirements and expectations within PAHPA (e.g., performance measures, matching requirements, partnering requirements) and determine how these affect your state’s preparedness program.</w:t>
      </w:r>
    </w:p>
    <w:p w14:paraId="202C4690" w14:textId="5D9BB689" w:rsidR="00C15B11" w:rsidRDefault="00C15B11" w:rsidP="00D86D48">
      <w:pPr>
        <w:spacing w:line="480" w:lineRule="auto"/>
        <w:textAlignment w:val="baseline"/>
        <w:rPr>
          <w:rFonts w:eastAsia="Times New Roman" w:cs="Arial"/>
          <w:color w:val="000000" w:themeColor="text1"/>
          <w:szCs w:val="20"/>
        </w:rPr>
      </w:pPr>
    </w:p>
    <w:p w14:paraId="39B696C3" w14:textId="6962D478" w:rsidR="00C15B11" w:rsidRDefault="00C15B11" w:rsidP="00D86D48">
      <w:pPr>
        <w:spacing w:line="480" w:lineRule="auto"/>
        <w:textAlignment w:val="baseline"/>
        <w:rPr>
          <w:rFonts w:eastAsia="Times New Roman" w:cs="Arial"/>
          <w:color w:val="000000" w:themeColor="text1"/>
          <w:szCs w:val="20"/>
        </w:rPr>
      </w:pPr>
      <w:r>
        <w:rPr>
          <w:rFonts w:eastAsia="Times New Roman" w:cs="Arial"/>
          <w:color w:val="000000" w:themeColor="text1"/>
          <w:szCs w:val="20"/>
        </w:rPr>
        <w:lastRenderedPageBreak/>
        <w:t>__________________________________________________________________________</w:t>
      </w:r>
    </w:p>
    <w:p w14:paraId="0F7DFB14" w14:textId="77777777" w:rsidR="00C15B11" w:rsidRPr="00B52F0F" w:rsidRDefault="00C15B11" w:rsidP="00D86D48">
      <w:pPr>
        <w:spacing w:line="480" w:lineRule="auto"/>
        <w:textAlignment w:val="baseline"/>
        <w:rPr>
          <w:rFonts w:eastAsia="Times New Roman" w:cs="Arial"/>
          <w:color w:val="000000" w:themeColor="text1"/>
          <w:szCs w:val="20"/>
        </w:rPr>
      </w:pPr>
    </w:p>
    <w:p w14:paraId="622A178F" w14:textId="77777777" w:rsidR="00B52F0F" w:rsidRPr="00B52F0F" w:rsidRDefault="00B52F0F" w:rsidP="00D86D48">
      <w:pPr>
        <w:spacing w:line="480" w:lineRule="auto"/>
        <w:rPr>
          <w:rFonts w:eastAsia="Times New Roman" w:cs="Arial"/>
          <w:b/>
          <w:bCs/>
          <w:color w:val="3C3030"/>
          <w:sz w:val="24"/>
          <w:szCs w:val="24"/>
        </w:rPr>
      </w:pPr>
      <w:r w:rsidRPr="00B52F0F">
        <w:rPr>
          <w:rFonts w:eastAsia="Times New Roman" w:cs="Arial"/>
          <w:b/>
          <w:bCs/>
          <w:color w:val="3C3030"/>
          <w:sz w:val="24"/>
          <w:szCs w:val="24"/>
        </w:rPr>
        <w:t>Sources</w:t>
      </w:r>
    </w:p>
    <w:p w14:paraId="03D6B779" w14:textId="77777777" w:rsidR="00B52F0F" w:rsidRPr="00B52F0F" w:rsidRDefault="00B52F0F" w:rsidP="00D86D48">
      <w:pPr>
        <w:numPr>
          <w:ilvl w:val="0"/>
          <w:numId w:val="7"/>
        </w:numPr>
        <w:spacing w:line="480" w:lineRule="auto"/>
        <w:ind w:left="450"/>
        <w:textAlignment w:val="baseline"/>
        <w:rPr>
          <w:rFonts w:eastAsia="Times New Roman" w:cs="Arial"/>
          <w:color w:val="000000" w:themeColor="text1"/>
          <w:szCs w:val="20"/>
        </w:rPr>
      </w:pPr>
      <w:r w:rsidRPr="00B52F0F">
        <w:rPr>
          <w:rFonts w:eastAsia="Times New Roman" w:cs="Arial"/>
          <w:color w:val="000000" w:themeColor="text1"/>
          <w:szCs w:val="20"/>
        </w:rPr>
        <w:t>Pandemic and All-Hazards Preparedness Act of 2006, Pub. L. No. 109-417. Codified, in part, in the Public Health Service Act, 42 U.S.C. 201 et seq.</w:t>
      </w:r>
    </w:p>
    <w:p w14:paraId="5F494D5C" w14:textId="77777777" w:rsidR="00B52F0F" w:rsidRPr="00B52F0F" w:rsidRDefault="00B52F0F" w:rsidP="00D86D48">
      <w:pPr>
        <w:numPr>
          <w:ilvl w:val="0"/>
          <w:numId w:val="7"/>
        </w:numPr>
        <w:spacing w:line="480" w:lineRule="auto"/>
        <w:ind w:left="450"/>
        <w:textAlignment w:val="baseline"/>
        <w:rPr>
          <w:rFonts w:eastAsia="Times New Roman" w:cs="Arial"/>
          <w:color w:val="000000" w:themeColor="text1"/>
          <w:szCs w:val="20"/>
        </w:rPr>
      </w:pPr>
      <w:r w:rsidRPr="00B52F0F">
        <w:rPr>
          <w:rFonts w:eastAsia="Times New Roman" w:cs="Arial"/>
          <w:color w:val="000000" w:themeColor="text1"/>
          <w:szCs w:val="20"/>
        </w:rPr>
        <w:t>Department of Health and Human Services. “Pandemic and All-Hazards Preparedness Act” webpage. Available at </w:t>
      </w:r>
      <w:hyperlink r:id="rId17" w:tooltip="www.phe.gov/Preparedness/legal/pahpa/Pages/default.aspx" w:history="1">
        <w:r w:rsidRPr="00B52F0F">
          <w:rPr>
            <w:rFonts w:eastAsia="Times New Roman" w:cs="Arial"/>
            <w:color w:val="0F88B8"/>
            <w:szCs w:val="20"/>
            <w:bdr w:val="none" w:sz="0" w:space="0" w:color="auto" w:frame="1"/>
          </w:rPr>
          <w:t>www.phe.gov/Preparedness/legal/pahpa/Pages/default.aspx</w:t>
        </w:r>
      </w:hyperlink>
      <w:r w:rsidRPr="00B52F0F">
        <w:rPr>
          <w:rFonts w:eastAsia="Times New Roman" w:cs="Arial"/>
          <w:color w:val="737373"/>
          <w:szCs w:val="20"/>
        </w:rPr>
        <w:t xml:space="preserve">. </w:t>
      </w:r>
      <w:r w:rsidRPr="00B52F0F">
        <w:rPr>
          <w:rFonts w:eastAsia="Times New Roman" w:cs="Arial"/>
          <w:color w:val="000000" w:themeColor="text1"/>
          <w:szCs w:val="20"/>
        </w:rPr>
        <w:t>Accessed January 31, 2012.</w:t>
      </w:r>
    </w:p>
    <w:p w14:paraId="1A29A94D" w14:textId="77777777" w:rsidR="00B52F0F" w:rsidRPr="00B52F0F" w:rsidRDefault="00B52F0F" w:rsidP="00D86D48">
      <w:pPr>
        <w:numPr>
          <w:ilvl w:val="0"/>
          <w:numId w:val="7"/>
        </w:numPr>
        <w:spacing w:line="480" w:lineRule="auto"/>
        <w:ind w:left="450"/>
        <w:textAlignment w:val="baseline"/>
        <w:rPr>
          <w:rFonts w:eastAsia="Times New Roman" w:cs="Arial"/>
          <w:color w:val="000000" w:themeColor="text1"/>
          <w:szCs w:val="20"/>
        </w:rPr>
      </w:pPr>
      <w:r w:rsidRPr="00B52F0F">
        <w:rPr>
          <w:rFonts w:eastAsia="Times New Roman" w:cs="Arial"/>
          <w:color w:val="000000" w:themeColor="text1"/>
          <w:szCs w:val="20"/>
        </w:rPr>
        <w:t>Congressional Research Service, Summary of Public Law 109-417. December 19, 2006.</w:t>
      </w:r>
    </w:p>
    <w:p w14:paraId="4B50B182" w14:textId="77777777" w:rsidR="00B52F0F" w:rsidRPr="00B52F0F" w:rsidRDefault="00B52F0F" w:rsidP="00D86D48">
      <w:pPr>
        <w:numPr>
          <w:ilvl w:val="0"/>
          <w:numId w:val="7"/>
        </w:numPr>
        <w:spacing w:line="480" w:lineRule="auto"/>
        <w:ind w:left="450"/>
        <w:textAlignment w:val="baseline"/>
        <w:rPr>
          <w:rFonts w:eastAsia="Times New Roman" w:cs="Arial"/>
          <w:color w:val="000000" w:themeColor="text1"/>
          <w:szCs w:val="20"/>
        </w:rPr>
      </w:pPr>
      <w:r w:rsidRPr="00B52F0F">
        <w:rPr>
          <w:rFonts w:eastAsia="Times New Roman" w:cs="Arial"/>
          <w:color w:val="000000" w:themeColor="text1"/>
          <w:szCs w:val="20"/>
        </w:rPr>
        <w:t>Department of Health and Human Services. </w:t>
      </w:r>
      <w:r w:rsidRPr="00B52F0F">
        <w:rPr>
          <w:rFonts w:eastAsia="Times New Roman" w:cs="Arial"/>
          <w:i/>
          <w:iCs/>
          <w:color w:val="000000" w:themeColor="text1"/>
          <w:szCs w:val="20"/>
          <w:bdr w:val="none" w:sz="0" w:space="0" w:color="auto" w:frame="1"/>
        </w:rPr>
        <w:t>Pandemic and All-Hazards Preparedness Act: Progress Report on the Implementation of Provisions Addressing At-Risk Individuals</w:t>
      </w:r>
      <w:r w:rsidRPr="00B52F0F">
        <w:rPr>
          <w:rFonts w:eastAsia="Times New Roman" w:cs="Arial"/>
          <w:color w:val="000000" w:themeColor="text1"/>
          <w:szCs w:val="20"/>
        </w:rPr>
        <w:t>. August 2008. Available at </w:t>
      </w:r>
      <w:hyperlink r:id="rId18" w:tooltip="www.phe.gov/Preparedness/legal/pahpa/Documents/pahpa-at-risk-report0901.pdf" w:history="1">
        <w:r w:rsidRPr="00B52F0F">
          <w:rPr>
            <w:rFonts w:eastAsia="Times New Roman" w:cs="Arial"/>
            <w:color w:val="0F88B8"/>
            <w:szCs w:val="20"/>
            <w:bdr w:val="none" w:sz="0" w:space="0" w:color="auto" w:frame="1"/>
          </w:rPr>
          <w:t>www.phe.gov/Preparedness/legal/pahpa/Documents/pahpa-at-risk-report0901.pdf</w:t>
        </w:r>
      </w:hyperlink>
      <w:r w:rsidRPr="00B52F0F">
        <w:rPr>
          <w:rFonts w:eastAsia="Times New Roman" w:cs="Arial"/>
          <w:color w:val="737373"/>
          <w:szCs w:val="20"/>
        </w:rPr>
        <w:t xml:space="preserve">. </w:t>
      </w:r>
      <w:r w:rsidRPr="00B52F0F">
        <w:rPr>
          <w:rFonts w:eastAsia="Times New Roman" w:cs="Arial"/>
          <w:color w:val="000000" w:themeColor="text1"/>
          <w:szCs w:val="20"/>
        </w:rPr>
        <w:t>Accessed January 31, 2012.</w:t>
      </w:r>
    </w:p>
    <w:p w14:paraId="0B877089" w14:textId="77777777" w:rsidR="00B75B7F" w:rsidRPr="00C15B11" w:rsidRDefault="00B75B7F" w:rsidP="00D86D48">
      <w:pPr>
        <w:spacing w:line="480" w:lineRule="auto"/>
        <w:rPr>
          <w:sz w:val="24"/>
        </w:rPr>
      </w:pPr>
    </w:p>
    <w:sectPr w:rsidR="00B75B7F" w:rsidRPr="00C15B11">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6A777" w14:textId="77777777" w:rsidR="00DF51A0" w:rsidRDefault="00DF51A0" w:rsidP="00DF51A0">
      <w:r>
        <w:separator/>
      </w:r>
    </w:p>
  </w:endnote>
  <w:endnote w:type="continuationSeparator" w:id="0">
    <w:p w14:paraId="01E5DC27" w14:textId="77777777" w:rsidR="00DF51A0" w:rsidRDefault="00DF51A0" w:rsidP="00DF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1383391"/>
      <w:docPartObj>
        <w:docPartGallery w:val="Page Numbers (Bottom of Page)"/>
        <w:docPartUnique/>
      </w:docPartObj>
    </w:sdtPr>
    <w:sdtEndPr>
      <w:rPr>
        <w:noProof/>
      </w:rPr>
    </w:sdtEndPr>
    <w:sdtContent>
      <w:p w14:paraId="58FBB992" w14:textId="40296627" w:rsidR="00DF51A0" w:rsidRDefault="00DF51A0" w:rsidP="00DF51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816E3" w14:textId="77777777" w:rsidR="00DF51A0" w:rsidRDefault="00DF51A0" w:rsidP="00DF51A0">
      <w:r>
        <w:separator/>
      </w:r>
    </w:p>
  </w:footnote>
  <w:footnote w:type="continuationSeparator" w:id="0">
    <w:p w14:paraId="011B837D" w14:textId="77777777" w:rsidR="00DF51A0" w:rsidRDefault="00DF51A0" w:rsidP="00DF5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25BC4"/>
    <w:multiLevelType w:val="hybridMultilevel"/>
    <w:tmpl w:val="676AD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E72DE5"/>
    <w:multiLevelType w:val="hybridMultilevel"/>
    <w:tmpl w:val="A6B4C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C815B8"/>
    <w:multiLevelType w:val="multilevel"/>
    <w:tmpl w:val="B48E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74654"/>
    <w:multiLevelType w:val="hybridMultilevel"/>
    <w:tmpl w:val="AC84D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4F3959"/>
    <w:multiLevelType w:val="multilevel"/>
    <w:tmpl w:val="8F6A5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FF0EB4"/>
    <w:multiLevelType w:val="multilevel"/>
    <w:tmpl w:val="7BE0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AC4CD2"/>
    <w:multiLevelType w:val="multilevel"/>
    <w:tmpl w:val="AE8A7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0751B5"/>
    <w:multiLevelType w:val="hybridMultilevel"/>
    <w:tmpl w:val="C78CF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55269BD"/>
    <w:multiLevelType w:val="multilevel"/>
    <w:tmpl w:val="6E367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0163B7"/>
    <w:multiLevelType w:val="multilevel"/>
    <w:tmpl w:val="80DE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E5406F"/>
    <w:multiLevelType w:val="hybridMultilevel"/>
    <w:tmpl w:val="4F365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3D17228"/>
    <w:multiLevelType w:val="multilevel"/>
    <w:tmpl w:val="5A141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2"/>
  </w:num>
  <w:num w:numId="4">
    <w:abstractNumId w:val="8"/>
  </w:num>
  <w:num w:numId="5">
    <w:abstractNumId w:val="9"/>
  </w:num>
  <w:num w:numId="6">
    <w:abstractNumId w:val="4"/>
  </w:num>
  <w:num w:numId="7">
    <w:abstractNumId w:val="6"/>
  </w:num>
  <w:num w:numId="8">
    <w:abstractNumId w:val="10"/>
  </w:num>
  <w:num w:numId="9">
    <w:abstractNumId w:val="7"/>
  </w:num>
  <w:num w:numId="10">
    <w:abstractNumId w:val="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F0F"/>
    <w:rsid w:val="000250FC"/>
    <w:rsid w:val="00151278"/>
    <w:rsid w:val="00476446"/>
    <w:rsid w:val="008B651C"/>
    <w:rsid w:val="00B52F0F"/>
    <w:rsid w:val="00B75B7F"/>
    <w:rsid w:val="00C15B11"/>
    <w:rsid w:val="00D86D48"/>
    <w:rsid w:val="00DF51A0"/>
    <w:rsid w:val="00FC1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1388"/>
  <w15:chartTrackingRefBased/>
  <w15:docId w15:val="{3144DC50-86CA-4D8A-8294-270F0925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52F0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52F0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52F0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F0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52F0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52F0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52F0F"/>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52F0F"/>
    <w:rPr>
      <w:color w:val="0000FF"/>
      <w:u w:val="single"/>
    </w:rPr>
  </w:style>
  <w:style w:type="character" w:styleId="Strong">
    <w:name w:val="Strong"/>
    <w:basedOn w:val="DefaultParagraphFont"/>
    <w:uiPriority w:val="22"/>
    <w:qFormat/>
    <w:rsid w:val="00B52F0F"/>
    <w:rPr>
      <w:b/>
      <w:bCs/>
    </w:rPr>
  </w:style>
  <w:style w:type="character" w:styleId="Emphasis">
    <w:name w:val="Emphasis"/>
    <w:basedOn w:val="DefaultParagraphFont"/>
    <w:uiPriority w:val="20"/>
    <w:qFormat/>
    <w:rsid w:val="00B52F0F"/>
    <w:rPr>
      <w:i/>
      <w:iCs/>
    </w:rPr>
  </w:style>
  <w:style w:type="paragraph" w:styleId="Header">
    <w:name w:val="header"/>
    <w:basedOn w:val="Normal"/>
    <w:link w:val="HeaderChar"/>
    <w:uiPriority w:val="99"/>
    <w:unhideWhenUsed/>
    <w:rsid w:val="00DF51A0"/>
    <w:pPr>
      <w:tabs>
        <w:tab w:val="center" w:pos="4680"/>
        <w:tab w:val="right" w:pos="9360"/>
      </w:tabs>
    </w:pPr>
  </w:style>
  <w:style w:type="character" w:customStyle="1" w:styleId="HeaderChar">
    <w:name w:val="Header Char"/>
    <w:basedOn w:val="DefaultParagraphFont"/>
    <w:link w:val="Header"/>
    <w:uiPriority w:val="99"/>
    <w:rsid w:val="00DF51A0"/>
  </w:style>
  <w:style w:type="paragraph" w:styleId="Footer">
    <w:name w:val="footer"/>
    <w:basedOn w:val="Normal"/>
    <w:link w:val="FooterChar"/>
    <w:uiPriority w:val="99"/>
    <w:unhideWhenUsed/>
    <w:rsid w:val="00DF51A0"/>
    <w:pPr>
      <w:tabs>
        <w:tab w:val="center" w:pos="4680"/>
        <w:tab w:val="right" w:pos="9360"/>
      </w:tabs>
    </w:pPr>
  </w:style>
  <w:style w:type="character" w:customStyle="1" w:styleId="FooterChar">
    <w:name w:val="Footer Char"/>
    <w:basedOn w:val="DefaultParagraphFont"/>
    <w:link w:val="Footer"/>
    <w:uiPriority w:val="99"/>
    <w:rsid w:val="00DF51A0"/>
  </w:style>
  <w:style w:type="paragraph" w:styleId="ListParagraph">
    <w:name w:val="List Paragraph"/>
    <w:basedOn w:val="Normal"/>
    <w:uiPriority w:val="34"/>
    <w:qFormat/>
    <w:rsid w:val="00C15B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6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Current-Issues-and-Updates-Winter-2012/" TargetMode="External"/><Relationship Id="rId13" Type="http://schemas.openxmlformats.org/officeDocument/2006/relationships/hyperlink" Target="http://www.astho.org/Programs/Preparedness/Public-Health-Emergency-Law/Emergency-Authority-and-Immunity-Toolkit/Emergency-Authority-and-Immunity-Toolkit-Supplemental-Materials/" TargetMode="External"/><Relationship Id="rId18" Type="http://schemas.openxmlformats.org/officeDocument/2006/relationships/hyperlink" Target="http://www.phe.gov/Preparedness/legal/pahpa/Documents/pahpa-at-risk-report0901.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astho.org/Programs/Preparedness/Public-Health-Emergency-Law/Emergency-Authority-and-Immunity-Toolkit/Emergency-Authority-and-Immunity-Toolkit-Supplemental-Materials/" TargetMode="External"/><Relationship Id="rId17" Type="http://schemas.openxmlformats.org/officeDocument/2006/relationships/hyperlink" Target="http://www.phe.gov/Preparedness/legal/pahpa/Pages/default.aspx" TargetMode="External"/><Relationship Id="rId2" Type="http://schemas.openxmlformats.org/officeDocument/2006/relationships/styles" Target="styles.xml"/><Relationship Id="rId16" Type="http://schemas.openxmlformats.org/officeDocument/2006/relationships/hyperlink" Target="http://www.astho.org/Programs/Preparedness/Public-Health-Emergency-Law/Emergency-Authority-and-Immunity-Toolkit/Emergency-Authority-and-Immunity-Toolkit-Supplemental-Material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Authority-and-Immunity-Toolkit/Emergency-Authority-and-Immunity-Toolkit-Supplemental-Materials/" TargetMode="External"/><Relationship Id="rId5" Type="http://schemas.openxmlformats.org/officeDocument/2006/relationships/footnotes" Target="footnotes.xml"/><Relationship Id="rId15" Type="http://schemas.openxmlformats.org/officeDocument/2006/relationships/hyperlink" Target="http://www.astho.org/Programs/Preparedness/Public-Health-Emergency-Law/Emergency-Authority-and-Immunity-Toolkit/Emergency-Authority-and-Immunity-Toolkit-Supplemental-Materials/" TargetMode="Externa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hyperlink" Target="http://www.astho.org/Programs/Preparedness/Public-Health-Emergency-Law/Emergency-Authority-and-Immunity-Toolkit/Emergency-Authority-and-Immunity-Toolkit-Supplemental-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1775</Words>
  <Characters>10121</Characters>
  <Application>Microsoft Office Word</Application>
  <DocSecurity>0</DocSecurity>
  <Lines>84</Lines>
  <Paragraphs>23</Paragraphs>
  <ScaleCrop>false</ScaleCrop>
  <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2019-05-01T15:17:00Z</dcterms:created>
  <dcterms:modified xsi:type="dcterms:W3CDTF">2019-05-01T15:27:00Z</dcterms:modified>
</cp:coreProperties>
</file>