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B41C1" w14:textId="77777777" w:rsidR="0099702B" w:rsidRPr="0099702B" w:rsidRDefault="0099702B" w:rsidP="00EB12E6">
      <w:pPr>
        <w:spacing w:after="120"/>
        <w:rPr>
          <w:rFonts w:eastAsia="Times New Roman" w:cs="Helvetica"/>
          <w:b/>
          <w:bCs/>
          <w:color w:val="333333"/>
          <w:spacing w:val="15"/>
          <w:kern w:val="36"/>
          <w:sz w:val="28"/>
          <w:szCs w:val="28"/>
        </w:rPr>
      </w:pPr>
      <w:r w:rsidRPr="0099702B">
        <w:rPr>
          <w:rFonts w:eastAsia="Times New Roman" w:cs="Helvetica"/>
          <w:b/>
          <w:bCs/>
          <w:color w:val="333333"/>
          <w:spacing w:val="15"/>
          <w:kern w:val="36"/>
          <w:sz w:val="28"/>
          <w:szCs w:val="28"/>
        </w:rPr>
        <w:t>Liability, Immunity, and Workers’ Compensation Issues in Public Health Emergencies</w:t>
      </w:r>
    </w:p>
    <w:p w14:paraId="55C6735C" w14:textId="77777777"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Issue Brief</w:t>
      </w:r>
    </w:p>
    <w:p w14:paraId="39447FFE" w14:textId="7668F669" w:rsidR="0099702B" w:rsidRPr="0099702B" w:rsidRDefault="0099702B" w:rsidP="00EB12E6">
      <w:pPr>
        <w:shd w:val="clear" w:color="auto" w:fill="FFFFFF"/>
        <w:spacing w:line="360" w:lineRule="auto"/>
        <w:textAlignment w:val="baseline"/>
        <w:rPr>
          <w:rFonts w:eastAsia="Times New Roman" w:cs="Arial"/>
          <w:color w:val="000000" w:themeColor="text1"/>
          <w:szCs w:val="20"/>
        </w:rPr>
      </w:pPr>
    </w:p>
    <w:p w14:paraId="13EEF883" w14:textId="77777777"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Overview</w:t>
      </w:r>
    </w:p>
    <w:p w14:paraId="14499411" w14:textId="77777777" w:rsidR="00770415" w:rsidRDefault="00770415" w:rsidP="00EB12E6">
      <w:pPr>
        <w:shd w:val="clear" w:color="auto" w:fill="FFFFFF"/>
        <w:spacing w:line="360" w:lineRule="auto"/>
        <w:textAlignment w:val="baseline"/>
        <w:rPr>
          <w:rFonts w:eastAsia="Times New Roman" w:cs="Arial"/>
          <w:color w:val="000000" w:themeColor="text1"/>
          <w:szCs w:val="20"/>
        </w:rPr>
      </w:pPr>
    </w:p>
    <w:p w14:paraId="620207FA" w14:textId="7E801F9C" w:rsidR="00F86AF4" w:rsidRPr="00F86AF4"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Concerns about potential liabilities regularly arise during emergency response situations. Individual government employees, volunteers, and healthcare providers, as well as entities such as businesses and nonprofit organizations, worry about potential liability for their actions during an emergency. Liability occurs when a person or entity is found to be legally responsible for their actions or their failure to act. Volunteers and others participating in emergency response activities also raise questions about their ability to obtain coverage under state workers’ compensation programs for injuries received while participating in the response.</w:t>
      </w:r>
    </w:p>
    <w:p w14:paraId="21E43EFD" w14:textId="77777777" w:rsidR="00F86AF4" w:rsidRPr="00F86AF4" w:rsidRDefault="00F86AF4" w:rsidP="00EB12E6">
      <w:pPr>
        <w:shd w:val="clear" w:color="auto" w:fill="FFFFFF"/>
        <w:spacing w:line="360" w:lineRule="auto"/>
        <w:textAlignment w:val="baseline"/>
        <w:rPr>
          <w:rFonts w:eastAsia="Times New Roman" w:cs="Arial"/>
          <w:color w:val="000000" w:themeColor="text1"/>
          <w:szCs w:val="20"/>
        </w:rPr>
      </w:pPr>
    </w:p>
    <w:p w14:paraId="51C066C5" w14:textId="0780BA18" w:rsidR="0099702B" w:rsidRPr="00F86AF4"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Federal and state statutory protections against liability have been created to address the concerns of volunteers and others involved in emergency response, as well as to ensure that there are adequate numbers of medical, public health, and other individuals and institutions to participate in response efforts. These various laws work together to form a patchwork of liability protections. These protections, however, can be highly dependent on the nature of the services provided by the person (volunteer vs. paid employee) and the extent of protections provided under the program the person is participating in. This issue brief describes some of the possible theories of liability that could arise from emergency response activities and reviews liability protections and workers’ compensation frameworks for individuals and entities. The brief is intended to provide general information on the topics presented and is not intended to provide legal advice. </w:t>
      </w:r>
    </w:p>
    <w:p w14:paraId="4621532D" w14:textId="77777777" w:rsidR="00F86AF4" w:rsidRPr="0099702B" w:rsidRDefault="00F86AF4" w:rsidP="00EB12E6">
      <w:pPr>
        <w:shd w:val="clear" w:color="auto" w:fill="FFFFFF"/>
        <w:spacing w:line="360" w:lineRule="auto"/>
        <w:textAlignment w:val="baseline"/>
        <w:rPr>
          <w:rFonts w:eastAsia="Times New Roman" w:cs="Arial"/>
          <w:color w:val="000000" w:themeColor="text1"/>
          <w:szCs w:val="20"/>
        </w:rPr>
      </w:pPr>
    </w:p>
    <w:p w14:paraId="5D3381B6" w14:textId="77777777"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Potential Areas of Liability</w:t>
      </w:r>
    </w:p>
    <w:p w14:paraId="61B950D1" w14:textId="77777777" w:rsidR="00770415" w:rsidRDefault="00770415" w:rsidP="00EB12E6">
      <w:pPr>
        <w:shd w:val="clear" w:color="auto" w:fill="FFFFFF"/>
        <w:spacing w:line="360" w:lineRule="auto"/>
        <w:textAlignment w:val="baseline"/>
        <w:rPr>
          <w:rFonts w:eastAsia="Times New Roman" w:cs="Arial"/>
          <w:color w:val="000000" w:themeColor="text1"/>
          <w:szCs w:val="20"/>
        </w:rPr>
      </w:pPr>
    </w:p>
    <w:p w14:paraId="1C03FD69" w14:textId="65C21555"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Individuals and organizations who participate in emergency response activities can potentially be liable under </w:t>
      </w:r>
      <w:proofErr w:type="gramStart"/>
      <w:r w:rsidRPr="0099702B">
        <w:rPr>
          <w:rFonts w:eastAsia="Times New Roman" w:cs="Arial"/>
          <w:color w:val="000000" w:themeColor="text1"/>
          <w:szCs w:val="20"/>
        </w:rPr>
        <w:t>a number of</w:t>
      </w:r>
      <w:proofErr w:type="gramEnd"/>
      <w:r w:rsidRPr="0099702B">
        <w:rPr>
          <w:rFonts w:eastAsia="Times New Roman" w:cs="Arial"/>
          <w:color w:val="000000" w:themeColor="text1"/>
          <w:szCs w:val="20"/>
        </w:rPr>
        <w:t xml:space="preserve"> theories of civil and criminal liability. While many of the parties and activities involved in emergency response are covered under one or more liability protections and waivers (see later sections in this issue brief), there remains the potential for liability, especially for egregious conduct or the </w:t>
      </w:r>
      <w:proofErr w:type="gramStart"/>
      <w:r w:rsidRPr="0099702B">
        <w:rPr>
          <w:rFonts w:eastAsia="Times New Roman" w:cs="Arial"/>
          <w:color w:val="000000" w:themeColor="text1"/>
          <w:szCs w:val="20"/>
        </w:rPr>
        <w:t>particular circumstance</w:t>
      </w:r>
      <w:proofErr w:type="gramEnd"/>
      <w:r w:rsidRPr="0099702B">
        <w:rPr>
          <w:rFonts w:eastAsia="Times New Roman" w:cs="Arial"/>
          <w:color w:val="000000" w:themeColor="text1"/>
          <w:szCs w:val="20"/>
        </w:rPr>
        <w:t xml:space="preserve"> of an emergency event and the response to it. This section </w:t>
      </w:r>
      <w:r w:rsidRPr="0099702B">
        <w:rPr>
          <w:rFonts w:eastAsia="Times New Roman" w:cs="Arial"/>
          <w:color w:val="000000" w:themeColor="text1"/>
          <w:szCs w:val="20"/>
        </w:rPr>
        <w:lastRenderedPageBreak/>
        <w:t>identifies potential bases for liability, with emphasis on civil liability issues. Within the emergency response context, civil liability claims are the most likely to arise, particularly negligence. Other potential civil liability claims discussed in the section include intentional torts, violations of statutory or regulatory requirements, strict liability, and constitutional violations. This section identifies potential theories of liability, but it should not be considered a comprehensive treatment of the theories listed or of all the potential areas for liability. </w:t>
      </w:r>
    </w:p>
    <w:p w14:paraId="112CF900" w14:textId="77777777" w:rsidR="00F86AF4" w:rsidRPr="00F86AF4" w:rsidRDefault="00F86AF4" w:rsidP="00EB12E6">
      <w:pPr>
        <w:spacing w:line="360" w:lineRule="auto"/>
        <w:rPr>
          <w:rFonts w:eastAsia="Times New Roman" w:cs="Arial"/>
          <w:b/>
          <w:bCs/>
          <w:color w:val="000000" w:themeColor="text1"/>
          <w:sz w:val="28"/>
          <w:szCs w:val="24"/>
        </w:rPr>
      </w:pPr>
    </w:p>
    <w:p w14:paraId="601D53E6" w14:textId="706FEEE7"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Direct and Vicarious Liability</w:t>
      </w:r>
    </w:p>
    <w:p w14:paraId="46D0B5B7" w14:textId="77777777" w:rsidR="00770415" w:rsidRDefault="00770415" w:rsidP="00EB12E6">
      <w:pPr>
        <w:shd w:val="clear" w:color="auto" w:fill="FFFFFF"/>
        <w:spacing w:line="360" w:lineRule="auto"/>
        <w:textAlignment w:val="baseline"/>
        <w:rPr>
          <w:rFonts w:eastAsia="Times New Roman" w:cs="Arial"/>
          <w:color w:val="000000" w:themeColor="text1"/>
          <w:szCs w:val="20"/>
        </w:rPr>
      </w:pPr>
    </w:p>
    <w:p w14:paraId="60288594" w14:textId="1D5E5432"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Both individuals and organizational entities can potentially be held liable for their own actions, as well as the actions of another person or entity. </w:t>
      </w:r>
    </w:p>
    <w:p w14:paraId="48A65FAA" w14:textId="77777777" w:rsidR="00F86AF4" w:rsidRPr="00F86AF4" w:rsidRDefault="00F86AF4" w:rsidP="00EB12E6">
      <w:pPr>
        <w:spacing w:line="360" w:lineRule="auto"/>
        <w:rPr>
          <w:rFonts w:eastAsia="Times New Roman" w:cs="Arial"/>
          <w:b/>
          <w:bCs/>
          <w:color w:val="000000" w:themeColor="text1"/>
          <w:szCs w:val="20"/>
        </w:rPr>
      </w:pPr>
    </w:p>
    <w:p w14:paraId="0D99759B" w14:textId="055929D4"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Direct Liability</w:t>
      </w:r>
    </w:p>
    <w:p w14:paraId="534171EE" w14:textId="10F694F2" w:rsidR="0099702B" w:rsidRPr="00F86AF4"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Within the context of the law, liability (or direct liability) means that a person or entity is legally responsible for their actions or failure to act. In general, in order to prove a </w:t>
      </w:r>
      <w:proofErr w:type="gramStart"/>
      <w:r w:rsidRPr="0099702B">
        <w:rPr>
          <w:rFonts w:eastAsia="Times New Roman" w:cs="Arial"/>
          <w:color w:val="000000" w:themeColor="text1"/>
          <w:szCs w:val="20"/>
        </w:rPr>
        <w:t>liability</w:t>
      </w:r>
      <w:proofErr w:type="gramEnd"/>
      <w:r w:rsidRPr="0099702B">
        <w:rPr>
          <w:rFonts w:eastAsia="Times New Roman" w:cs="Arial"/>
          <w:color w:val="000000" w:themeColor="text1"/>
          <w:szCs w:val="20"/>
        </w:rPr>
        <w:t xml:space="preserve"> claim a plaintiff must show that the defendant had a duty not to harm the plaintiff but failed in this duty, which failure resulted in harm to the plaintiff. An individual person or an organizational entity like a corporation, hospital, nonprofit organization, or government may be held liable. A hospital, for instance, could be held liable for failing to protect the safety of its patients if a plaintiff can show that the hospital deviated from its standard of care, the hospital had actual or constructive knowledge of the problems giving rise to the injury, and there was a causal link between the hospital’s conduct and the plaintiff’s harm. As will be discussed below, determining what standard of care should apply during an emergency is an important consideration in assessing liability. </w:t>
      </w:r>
    </w:p>
    <w:p w14:paraId="5EBCBA44" w14:textId="77777777" w:rsidR="00F86AF4" w:rsidRPr="0099702B" w:rsidRDefault="00F86AF4" w:rsidP="00EB12E6">
      <w:pPr>
        <w:shd w:val="clear" w:color="auto" w:fill="FFFFFF"/>
        <w:spacing w:line="360" w:lineRule="auto"/>
        <w:textAlignment w:val="baseline"/>
        <w:rPr>
          <w:rFonts w:eastAsia="Times New Roman" w:cs="Arial"/>
          <w:color w:val="000000" w:themeColor="text1"/>
          <w:szCs w:val="20"/>
        </w:rPr>
      </w:pPr>
    </w:p>
    <w:p w14:paraId="10BCA143" w14:textId="77777777"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Vicarious Liability</w:t>
      </w:r>
    </w:p>
    <w:p w14:paraId="2F834D19" w14:textId="09429EF2" w:rsidR="0099702B" w:rsidRPr="00F86AF4"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Vicarious liability is a type of secondary liability. It occurs when a person or entity is held legally responsible for the actions, or failure to act, of another person with whom they have a </w:t>
      </w:r>
      <w:proofErr w:type="gramStart"/>
      <w:r w:rsidRPr="0099702B">
        <w:rPr>
          <w:rFonts w:eastAsia="Times New Roman" w:cs="Arial"/>
          <w:color w:val="000000" w:themeColor="text1"/>
          <w:szCs w:val="20"/>
        </w:rPr>
        <w:t>particular legal</w:t>
      </w:r>
      <w:proofErr w:type="gramEnd"/>
      <w:r w:rsidRPr="0099702B">
        <w:rPr>
          <w:rFonts w:eastAsia="Times New Roman" w:cs="Arial"/>
          <w:color w:val="000000" w:themeColor="text1"/>
          <w:szCs w:val="20"/>
        </w:rPr>
        <w:t xml:space="preserve"> relationship. This is primarily seen in the context of an employer being held responsible for the actions of its employee, which is also known as the legal principle of </w:t>
      </w:r>
      <w:proofErr w:type="spellStart"/>
      <w:r w:rsidRPr="0099702B">
        <w:rPr>
          <w:rFonts w:eastAsia="Times New Roman" w:cs="Arial"/>
          <w:color w:val="000000" w:themeColor="text1"/>
          <w:szCs w:val="20"/>
        </w:rPr>
        <w:t>respondeat</w:t>
      </w:r>
      <w:proofErr w:type="spellEnd"/>
      <w:r w:rsidRPr="0099702B">
        <w:rPr>
          <w:rFonts w:eastAsia="Times New Roman" w:cs="Arial"/>
          <w:color w:val="000000" w:themeColor="text1"/>
          <w:szCs w:val="20"/>
        </w:rPr>
        <w:t xml:space="preserve"> superior. Vicarious liability also extends to a corporation, nonprofit, or other entity for the acts or omissions of its agents, like an officer or director. This occurs, for example, when an aid organization is sued for the negligent or intentional acts of a physician who is an employee or volunteer for the group. </w:t>
      </w:r>
    </w:p>
    <w:p w14:paraId="5BD84E07" w14:textId="77777777" w:rsidR="00F86AF4" w:rsidRPr="0099702B" w:rsidRDefault="00F86AF4" w:rsidP="00EB12E6">
      <w:pPr>
        <w:shd w:val="clear" w:color="auto" w:fill="FFFFFF"/>
        <w:spacing w:line="360" w:lineRule="auto"/>
        <w:textAlignment w:val="baseline"/>
        <w:rPr>
          <w:rFonts w:eastAsia="Times New Roman" w:cs="Arial"/>
          <w:color w:val="000000" w:themeColor="text1"/>
          <w:szCs w:val="20"/>
        </w:rPr>
      </w:pPr>
    </w:p>
    <w:p w14:paraId="5B31960A" w14:textId="77777777"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Ostensible Agency</w:t>
      </w:r>
    </w:p>
    <w:p w14:paraId="1855F54C" w14:textId="31B0D8B2" w:rsidR="0099702B" w:rsidRPr="00F86AF4"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Some entities try to limit their potential for vicarious liability by designating persons as independent contractors rather than as employees or agents. This approach can be effective to limit liability; however, the courts can disregard the independent contractor relationship and find an entity vicariously liable through the legal principle of ostensible agency. This form of agency finds that an employer/principal can be liable for the actions of an independent contractor (or other non-employee/non-agent) if the employer/principal holds the contractor out as an employee or agent of the employer/principal and a third party believes that the contractor acts on the employer/principal’s behalf. </w:t>
      </w:r>
    </w:p>
    <w:p w14:paraId="6875F9A1" w14:textId="77777777" w:rsidR="00F86AF4" w:rsidRPr="0099702B" w:rsidRDefault="00F86AF4" w:rsidP="00EB12E6">
      <w:pPr>
        <w:shd w:val="clear" w:color="auto" w:fill="FFFFFF"/>
        <w:spacing w:line="360" w:lineRule="auto"/>
        <w:textAlignment w:val="baseline"/>
        <w:rPr>
          <w:rFonts w:eastAsia="Times New Roman" w:cs="Arial"/>
          <w:color w:val="000000" w:themeColor="text1"/>
          <w:szCs w:val="20"/>
        </w:rPr>
      </w:pPr>
    </w:p>
    <w:p w14:paraId="34B01B28" w14:textId="77777777"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Civil Liability</w:t>
      </w:r>
    </w:p>
    <w:p w14:paraId="2D6FA888" w14:textId="77777777" w:rsidR="00770415" w:rsidRDefault="00770415" w:rsidP="00EB12E6">
      <w:pPr>
        <w:shd w:val="clear" w:color="auto" w:fill="FFFFFF"/>
        <w:spacing w:line="360" w:lineRule="auto"/>
        <w:textAlignment w:val="baseline"/>
        <w:rPr>
          <w:rFonts w:eastAsia="Times New Roman" w:cs="Arial"/>
          <w:color w:val="000000" w:themeColor="text1"/>
          <w:szCs w:val="20"/>
        </w:rPr>
      </w:pPr>
    </w:p>
    <w:p w14:paraId="630EB05C" w14:textId="4FD8061F"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Civil liability is the most likely area in which liability issues arise in the emergency response context. Civil liabilities take a variety of forms—negligence, intentional harms (battery), privacy violations, discrimination, or misrepresentations by a </w:t>
      </w:r>
      <w:proofErr w:type="gramStart"/>
      <w:r w:rsidRPr="0099702B">
        <w:rPr>
          <w:rFonts w:eastAsia="Times New Roman" w:cs="Arial"/>
          <w:color w:val="000000" w:themeColor="text1"/>
          <w:szCs w:val="20"/>
        </w:rPr>
        <w:t>volunteer or other responders</w:t>
      </w:r>
      <w:proofErr w:type="gramEnd"/>
      <w:r w:rsidRPr="0099702B">
        <w:rPr>
          <w:rFonts w:eastAsia="Times New Roman" w:cs="Arial"/>
          <w:color w:val="000000" w:themeColor="text1"/>
          <w:szCs w:val="20"/>
        </w:rPr>
        <w:t>. Liability extends to individual persons as well as organizational entities like corporations and nonprofits. As discussed above, entities may be found vicariously liable for the actions, or failures to act, of their employees, agents, officers, or directors. If a person or entity is found liable for causing the harm, the aggrieved party can seek monetary compensation and, in some instances, an injunction against current or future action by the liable party. </w:t>
      </w:r>
    </w:p>
    <w:p w14:paraId="193F52B3" w14:textId="77777777" w:rsidR="00F86AF4" w:rsidRPr="00F86AF4" w:rsidRDefault="00F86AF4" w:rsidP="00EB12E6">
      <w:pPr>
        <w:spacing w:line="360" w:lineRule="auto"/>
        <w:rPr>
          <w:rFonts w:eastAsia="Times New Roman" w:cs="Arial"/>
          <w:b/>
          <w:bCs/>
          <w:color w:val="000000" w:themeColor="text1"/>
          <w:szCs w:val="20"/>
        </w:rPr>
      </w:pPr>
    </w:p>
    <w:p w14:paraId="4590A9AA" w14:textId="2FACF4FD"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Intentional and Unintentional Torts</w:t>
      </w:r>
    </w:p>
    <w:p w14:paraId="189DFFA6" w14:textId="77777777" w:rsidR="00F86AF4"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A tort is an action in which an actor (a person or entity) either intentionally or unintentionally causes harm to another person or property. A tort claim allows a person to sue the actor in civil court for the harm. This is contrasted with criminal charges in which the government prosecutes an actor/defendant or with contractual claims in which the parties to a contract sue over the terms of the contract. Unintentional torts occur when an actor harms another person or property through their actions but did not intend the harm. Negligence is the most common type of unintentional tort (see the discussion of negligence below). </w:t>
      </w:r>
    </w:p>
    <w:p w14:paraId="45CE0A02" w14:textId="77777777" w:rsidR="00F86AF4" w:rsidRDefault="00F86AF4" w:rsidP="00EB12E6">
      <w:pPr>
        <w:shd w:val="clear" w:color="auto" w:fill="FFFFFF"/>
        <w:spacing w:line="360" w:lineRule="auto"/>
        <w:textAlignment w:val="baseline"/>
        <w:rPr>
          <w:rFonts w:eastAsia="Times New Roman" w:cs="Arial"/>
          <w:color w:val="000000" w:themeColor="text1"/>
          <w:szCs w:val="20"/>
        </w:rPr>
      </w:pPr>
    </w:p>
    <w:p w14:paraId="59C9BC58" w14:textId="54FD775A" w:rsid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lastRenderedPageBreak/>
        <w:t xml:space="preserve">Intentional torts occur when a person intends to harm a person or touches a person with the intent of harming them. Thus, battery is considered an intentional tort in addition to </w:t>
      </w:r>
      <w:proofErr w:type="gramStart"/>
      <w:r w:rsidRPr="0099702B">
        <w:rPr>
          <w:rFonts w:eastAsia="Times New Roman" w:cs="Arial"/>
          <w:color w:val="000000" w:themeColor="text1"/>
          <w:szCs w:val="20"/>
        </w:rPr>
        <w:t>being</w:t>
      </w:r>
      <w:proofErr w:type="gramEnd"/>
      <w:r w:rsidRPr="0099702B">
        <w:rPr>
          <w:rFonts w:eastAsia="Times New Roman" w:cs="Arial"/>
          <w:color w:val="000000" w:themeColor="text1"/>
          <w:szCs w:val="20"/>
        </w:rPr>
        <w:t xml:space="preserve"> a potential criminal violation. In the healthcare context, conducting a medical procedure on a patient without first obtaining the patient’s informed consent could be construed, among other things, as the intentional tort of battery. Other intentional torts include assault, conversion (i.e., theft), intentional infliction of emotional distress, fraud, misrepresentation, false imprisonment, and trespass.</w:t>
      </w:r>
    </w:p>
    <w:p w14:paraId="1AD89163" w14:textId="014E46B4" w:rsidR="00F86AF4" w:rsidRDefault="00F86AF4" w:rsidP="00EB12E6">
      <w:pPr>
        <w:shd w:val="clear" w:color="auto" w:fill="FFFFFF"/>
        <w:spacing w:line="360" w:lineRule="auto"/>
        <w:textAlignment w:val="baseline"/>
        <w:rPr>
          <w:rFonts w:eastAsia="Times New Roman" w:cs="Arial"/>
          <w:color w:val="000000" w:themeColor="text1"/>
          <w:szCs w:val="20"/>
        </w:rPr>
      </w:pPr>
    </w:p>
    <w:p w14:paraId="2B4B50CA" w14:textId="67C60335"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Defenses to Intentional Torts</w:t>
      </w:r>
    </w:p>
    <w:p w14:paraId="0367208A" w14:textId="4C1336A4" w:rsidR="0099702B" w:rsidRPr="0099702B" w:rsidRDefault="0099702B"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There are </w:t>
      </w:r>
      <w:proofErr w:type="gramStart"/>
      <w:r w:rsidRPr="0099702B">
        <w:rPr>
          <w:rFonts w:eastAsia="Times New Roman" w:cs="Arial"/>
          <w:color w:val="000000" w:themeColor="text1"/>
          <w:szCs w:val="20"/>
        </w:rPr>
        <w:t>a number of</w:t>
      </w:r>
      <w:proofErr w:type="gramEnd"/>
      <w:r w:rsidRPr="0099702B">
        <w:rPr>
          <w:rFonts w:eastAsia="Times New Roman" w:cs="Arial"/>
          <w:color w:val="000000" w:themeColor="text1"/>
          <w:szCs w:val="20"/>
        </w:rPr>
        <w:t xml:space="preserve"> potential defenses to intentional torts, two of which may be generally applicable in emergency response scenarios:</w:t>
      </w:r>
    </w:p>
    <w:p w14:paraId="265808BB" w14:textId="74D9F9CC" w:rsidR="0099702B" w:rsidRDefault="0099702B" w:rsidP="00EB12E6">
      <w:pPr>
        <w:pStyle w:val="ListParagraph"/>
        <w:numPr>
          <w:ilvl w:val="0"/>
          <w:numId w:val="14"/>
        </w:numPr>
        <w:spacing w:line="360" w:lineRule="auto"/>
        <w:textAlignment w:val="baseline"/>
        <w:rPr>
          <w:rFonts w:eastAsia="Times New Roman" w:cs="Arial"/>
          <w:color w:val="000000" w:themeColor="text1"/>
          <w:szCs w:val="20"/>
        </w:rPr>
      </w:pPr>
      <w:r w:rsidRPr="00770415">
        <w:rPr>
          <w:rFonts w:eastAsia="Times New Roman" w:cs="Arial"/>
          <w:b/>
          <w:bCs/>
          <w:color w:val="000000" w:themeColor="text1"/>
          <w:szCs w:val="20"/>
          <w:bdr w:val="none" w:sz="0" w:space="0" w:color="auto" w:frame="1"/>
        </w:rPr>
        <w:t>Consent—</w:t>
      </w:r>
      <w:r w:rsidRPr="00770415">
        <w:rPr>
          <w:rFonts w:eastAsia="Times New Roman" w:cs="Arial"/>
          <w:color w:val="000000" w:themeColor="text1"/>
          <w:szCs w:val="20"/>
        </w:rPr>
        <w:t>A person can give express consent through written or oral assent. Implied consent may be inferred from a person’s actions. Thus, a person who gives informed consent before being given a vaccine or drug may be deemed to have assented to its administration. However, questions about whether consent was truly informed and if the treatment stayed within the bounds of the consent are questions that can arise in this scenario. Consent can also be implied in situations in which emergency medical treatment is provided to victims who are unconscious or unable to provide consent in the absence of a third party who is eligible to give consent on behalf of the victim.</w:t>
      </w:r>
    </w:p>
    <w:p w14:paraId="6950EE0F" w14:textId="77777777" w:rsidR="00770415" w:rsidRPr="00770415" w:rsidRDefault="00770415" w:rsidP="00EB12E6">
      <w:pPr>
        <w:pStyle w:val="ListParagraph"/>
        <w:spacing w:line="360" w:lineRule="auto"/>
        <w:ind w:left="360"/>
        <w:textAlignment w:val="baseline"/>
        <w:rPr>
          <w:rFonts w:eastAsia="Times New Roman" w:cs="Arial"/>
          <w:color w:val="000000" w:themeColor="text1"/>
          <w:szCs w:val="20"/>
        </w:rPr>
      </w:pPr>
    </w:p>
    <w:p w14:paraId="1A53A30F" w14:textId="77777777" w:rsidR="0099702B" w:rsidRPr="00770415" w:rsidRDefault="0099702B" w:rsidP="00EB12E6">
      <w:pPr>
        <w:pStyle w:val="ListParagraph"/>
        <w:numPr>
          <w:ilvl w:val="0"/>
          <w:numId w:val="14"/>
        </w:numPr>
        <w:spacing w:line="360" w:lineRule="auto"/>
        <w:textAlignment w:val="baseline"/>
        <w:rPr>
          <w:rFonts w:eastAsia="Times New Roman" w:cs="Arial"/>
          <w:color w:val="000000" w:themeColor="text1"/>
          <w:szCs w:val="20"/>
        </w:rPr>
      </w:pPr>
      <w:r w:rsidRPr="00770415">
        <w:rPr>
          <w:rFonts w:eastAsia="Times New Roman" w:cs="Arial"/>
          <w:b/>
          <w:bCs/>
          <w:color w:val="000000" w:themeColor="text1"/>
          <w:szCs w:val="20"/>
          <w:bdr w:val="none" w:sz="0" w:space="0" w:color="auto" w:frame="1"/>
        </w:rPr>
        <w:t>Necessity—</w:t>
      </w:r>
      <w:r w:rsidRPr="00770415">
        <w:rPr>
          <w:rFonts w:eastAsia="Times New Roman" w:cs="Arial"/>
          <w:color w:val="000000" w:themeColor="text1"/>
          <w:szCs w:val="20"/>
        </w:rPr>
        <w:t>If committing an intentional tort is necessary to avoid a greater harm, then a defendant is justified in committing the tort. Public necessity, in which a defendant appropriates or harms the private property of another to protect the community, is a defense to liability. When the government takes or uses property, even if for public necessity, issues arise as to whether the taking or use of the property (real estate or personal property) is covered by sovereign immunity or subject to paying compensation to the property owner.</w:t>
      </w:r>
    </w:p>
    <w:p w14:paraId="3C630CA4" w14:textId="77777777" w:rsidR="00770415" w:rsidRDefault="00770415" w:rsidP="00EB12E6">
      <w:pPr>
        <w:spacing w:line="360" w:lineRule="auto"/>
        <w:rPr>
          <w:rFonts w:eastAsia="Times New Roman" w:cs="Arial"/>
          <w:b/>
          <w:bCs/>
          <w:color w:val="000000" w:themeColor="text1"/>
          <w:szCs w:val="20"/>
        </w:rPr>
      </w:pPr>
    </w:p>
    <w:p w14:paraId="15A347F9" w14:textId="603DC2B2"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Negligence</w:t>
      </w:r>
    </w:p>
    <w:p w14:paraId="04BD3173" w14:textId="77777777" w:rsidR="00770415"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Negligence is a type of tort law that addresses unintentional wrongful conduct that harms another. It is the theory most likely to be used to assert claims arising from emergency response situations. Negligence occurs when a person or entity fails to use ordinary care in their actions or by their failure to </w:t>
      </w:r>
      <w:proofErr w:type="gramStart"/>
      <w:r w:rsidRPr="0099702B">
        <w:rPr>
          <w:rFonts w:eastAsia="Times New Roman" w:cs="Arial"/>
          <w:color w:val="000000" w:themeColor="text1"/>
          <w:szCs w:val="20"/>
        </w:rPr>
        <w:t>take action</w:t>
      </w:r>
      <w:proofErr w:type="gramEnd"/>
      <w:r w:rsidRPr="0099702B">
        <w:rPr>
          <w:rFonts w:eastAsia="Times New Roman" w:cs="Arial"/>
          <w:color w:val="000000" w:themeColor="text1"/>
          <w:szCs w:val="20"/>
        </w:rPr>
        <w:t>. Ordinary care generally means the amount of care that a reasonable person would take under similar circumstances. The standard of care applied to a physician or other person with specialized skills may be different than an ordinary care standard. </w:t>
      </w:r>
    </w:p>
    <w:p w14:paraId="5CC3E8CA" w14:textId="77777777" w:rsidR="00770415" w:rsidRDefault="00770415" w:rsidP="00EB12E6">
      <w:pPr>
        <w:shd w:val="clear" w:color="auto" w:fill="FFFFFF"/>
        <w:spacing w:line="360" w:lineRule="auto"/>
        <w:textAlignment w:val="baseline"/>
        <w:rPr>
          <w:rFonts w:eastAsia="Times New Roman" w:cs="Arial"/>
          <w:color w:val="000000" w:themeColor="text1"/>
          <w:szCs w:val="20"/>
        </w:rPr>
      </w:pPr>
    </w:p>
    <w:p w14:paraId="340CE6E9" w14:textId="740D7DDD" w:rsid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 specific elements of a negligence claim are: (1) the defendant owes the plaintiff a duty of care (including a duty of ordinary care); (2) the defendant breached that duty by failing to meet the applicable standard of care; (3) the defendant’s actions resulted in harm to the plaintiff; and (4) the defendant’s breach of duty was the cause of the plaintiff’s injury. </w:t>
      </w:r>
    </w:p>
    <w:p w14:paraId="38754973" w14:textId="77777777" w:rsidR="00770415" w:rsidRPr="0099702B" w:rsidRDefault="00770415" w:rsidP="00EB12E6">
      <w:pPr>
        <w:shd w:val="clear" w:color="auto" w:fill="FFFFFF"/>
        <w:spacing w:line="360" w:lineRule="auto"/>
        <w:textAlignment w:val="baseline"/>
        <w:rPr>
          <w:rFonts w:eastAsia="Times New Roman" w:cs="Arial"/>
          <w:color w:val="000000" w:themeColor="text1"/>
          <w:sz w:val="24"/>
          <w:szCs w:val="20"/>
        </w:rPr>
      </w:pPr>
    </w:p>
    <w:p w14:paraId="6E034F1C" w14:textId="77777777"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Determining the Standard of Care</w:t>
      </w:r>
    </w:p>
    <w:p w14:paraId="3312C56B" w14:textId="77777777" w:rsidR="00770415"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The basic standard of care applied in negligence cases is determined by what a reasonable person would do in similar circumstances. Even outside of the context of a governmentally declared emergency, most states allow juries to consider </w:t>
      </w:r>
      <w:proofErr w:type="gramStart"/>
      <w:r w:rsidRPr="0099702B">
        <w:rPr>
          <w:rFonts w:eastAsia="Times New Roman" w:cs="Arial"/>
          <w:color w:val="000000" w:themeColor="text1"/>
          <w:szCs w:val="20"/>
        </w:rPr>
        <w:t>whether or not</w:t>
      </w:r>
      <w:proofErr w:type="gramEnd"/>
      <w:r w:rsidRPr="0099702B">
        <w:rPr>
          <w:rFonts w:eastAsia="Times New Roman" w:cs="Arial"/>
          <w:color w:val="000000" w:themeColor="text1"/>
          <w:szCs w:val="20"/>
        </w:rPr>
        <w:t xml:space="preserve"> a defendant was acting under emergency circumstances to determine whether the defendant’s actions were reasonable. While assessing the reasonableness of a defendant’s actions </w:t>
      </w:r>
      <w:proofErr w:type="gramStart"/>
      <w:r w:rsidRPr="0099702B">
        <w:rPr>
          <w:rFonts w:eastAsia="Times New Roman" w:cs="Arial"/>
          <w:color w:val="000000" w:themeColor="text1"/>
          <w:szCs w:val="20"/>
        </w:rPr>
        <w:t>in light of</w:t>
      </w:r>
      <w:proofErr w:type="gramEnd"/>
      <w:r w:rsidRPr="0099702B">
        <w:rPr>
          <w:rFonts w:eastAsia="Times New Roman" w:cs="Arial"/>
          <w:color w:val="000000" w:themeColor="text1"/>
          <w:szCs w:val="20"/>
        </w:rPr>
        <w:t xml:space="preserve"> emergency conditions will not necessarily be a complete defense to liability, it may help to reduce the judgment against a defendant. It also demonstrates that the concept of standard of care is already seen as a flexible one that can account for the circumstances under which the conduct occurs.</w:t>
      </w:r>
    </w:p>
    <w:p w14:paraId="2AF0465D" w14:textId="77777777" w:rsidR="00770415" w:rsidRDefault="00770415" w:rsidP="00EB12E6">
      <w:pPr>
        <w:shd w:val="clear" w:color="auto" w:fill="FFFFFF"/>
        <w:spacing w:line="360" w:lineRule="auto"/>
        <w:textAlignment w:val="baseline"/>
        <w:rPr>
          <w:rFonts w:eastAsia="Times New Roman" w:cs="Arial"/>
          <w:color w:val="000000" w:themeColor="text1"/>
          <w:szCs w:val="20"/>
        </w:rPr>
      </w:pPr>
    </w:p>
    <w:p w14:paraId="0FFED68B" w14:textId="2EAB915F"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Determining the appropriate standard of care to apply during widespread or prolonged emergency events like a pandemic has been the subject of much discussion. These discussions have focused on trying to determine “altered,” “disaster,” or “alternative” standards of care for emergency and disaster situations. Federal and state governments, as well as other academic and private sector organizations, have created discussion and planning guides to engage stakeholders in addressing this sensitive but important issue. </w:t>
      </w:r>
    </w:p>
    <w:p w14:paraId="56EE6CF5" w14:textId="77777777" w:rsidR="00770415" w:rsidRDefault="00770415" w:rsidP="00EB12E6">
      <w:pPr>
        <w:spacing w:line="360" w:lineRule="auto"/>
        <w:rPr>
          <w:rFonts w:eastAsia="Times New Roman" w:cs="Arial"/>
          <w:b/>
          <w:bCs/>
          <w:color w:val="000000" w:themeColor="text1"/>
          <w:szCs w:val="20"/>
        </w:rPr>
      </w:pPr>
    </w:p>
    <w:p w14:paraId="3E793F3B" w14:textId="2FA13802"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Theories of Negligence</w:t>
      </w:r>
    </w:p>
    <w:p w14:paraId="4C7B7EC5" w14:textId="77777777" w:rsidR="0099702B" w:rsidRPr="0099702B" w:rsidRDefault="0099702B"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Within the area of negligence, there are </w:t>
      </w:r>
      <w:proofErr w:type="gramStart"/>
      <w:r w:rsidRPr="0099702B">
        <w:rPr>
          <w:rFonts w:eastAsia="Times New Roman" w:cs="Arial"/>
          <w:color w:val="000000" w:themeColor="text1"/>
          <w:szCs w:val="20"/>
        </w:rPr>
        <w:t>a number of</w:t>
      </w:r>
      <w:proofErr w:type="gramEnd"/>
      <w:r w:rsidRPr="0099702B">
        <w:rPr>
          <w:rFonts w:eastAsia="Times New Roman" w:cs="Arial"/>
          <w:color w:val="000000" w:themeColor="text1"/>
          <w:szCs w:val="20"/>
        </w:rPr>
        <w:t xml:space="preserve"> theories that could apply in the emergency response context.</w:t>
      </w:r>
    </w:p>
    <w:p w14:paraId="38BB1838" w14:textId="2FF12DC5" w:rsidR="0099702B" w:rsidRDefault="0099702B" w:rsidP="00EB12E6">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Medical Malpractice—</w:t>
      </w:r>
      <w:r w:rsidRPr="0099702B">
        <w:rPr>
          <w:rFonts w:eastAsia="Times New Roman" w:cs="Arial"/>
          <w:color w:val="000000" w:themeColor="text1"/>
          <w:szCs w:val="20"/>
        </w:rPr>
        <w:t>Healthcare professionals may be subject to medical malpractice claims, which are a type of negligence claim. The elements of proof for a medical malpractice claim are the same as for negligence: the healthcare professional owed a duty of care to the patient, which duty was breached by failing to use the knowledge and skills of the profession (standard of care), directly resulting in the injury to the patient. Failure to provide information upon which a patient can give informed consent can be a basis for malpractice.</w:t>
      </w:r>
    </w:p>
    <w:p w14:paraId="52759916" w14:textId="77777777" w:rsidR="00770415" w:rsidRPr="0099702B" w:rsidRDefault="00770415" w:rsidP="00EB12E6">
      <w:pPr>
        <w:spacing w:line="360" w:lineRule="auto"/>
        <w:ind w:left="360"/>
        <w:textAlignment w:val="baseline"/>
        <w:rPr>
          <w:rFonts w:eastAsia="Times New Roman" w:cs="Arial"/>
          <w:color w:val="000000" w:themeColor="text1"/>
          <w:szCs w:val="20"/>
        </w:rPr>
      </w:pPr>
    </w:p>
    <w:p w14:paraId="7C9CEF36" w14:textId="047EB584" w:rsidR="0099702B" w:rsidRDefault="0099702B" w:rsidP="00EB12E6">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Scope of Practice—</w:t>
      </w:r>
      <w:r w:rsidRPr="0099702B">
        <w:rPr>
          <w:rFonts w:eastAsia="Times New Roman" w:cs="Arial"/>
          <w:color w:val="000000" w:themeColor="text1"/>
          <w:szCs w:val="20"/>
        </w:rPr>
        <w:t>A licensed healthcare provider such as a nurse or physician assistant may be subject to negligence claims for exceeding scope of practice by making decisions or undertaking tasks beyond what state law permits for their profession. Because states differ in how they define the scope of practice for a given profession (e.g., EMTs), questions about scope of practice frequently arise in mutual aid situations in which licensed healthcare professionals are providing care in another state from the one in which they are licensed. Mutual aid agreements like the Emergency Management Assistance Compact (EMAC) help to resolve questions about scope of practice (see discussion below).</w:t>
      </w:r>
    </w:p>
    <w:p w14:paraId="0C06383D" w14:textId="77777777" w:rsidR="00770415" w:rsidRPr="0099702B" w:rsidRDefault="00770415" w:rsidP="00EB12E6">
      <w:pPr>
        <w:spacing w:line="360" w:lineRule="auto"/>
        <w:textAlignment w:val="baseline"/>
        <w:rPr>
          <w:rFonts w:eastAsia="Times New Roman" w:cs="Arial"/>
          <w:color w:val="000000" w:themeColor="text1"/>
          <w:szCs w:val="20"/>
        </w:rPr>
      </w:pPr>
    </w:p>
    <w:p w14:paraId="2B91E6C6" w14:textId="154CC9D7" w:rsidR="0099702B" w:rsidRDefault="0099702B" w:rsidP="00EB12E6">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Failure to Plan or Prepare—</w:t>
      </w:r>
      <w:r w:rsidRPr="0099702B">
        <w:rPr>
          <w:rFonts w:eastAsia="Times New Roman" w:cs="Arial"/>
          <w:color w:val="000000" w:themeColor="text1"/>
          <w:szCs w:val="20"/>
        </w:rPr>
        <w:t>Healthcare facilities like hospitals could face negligence charges based on the theory that they failed to plan or prepare for an emergency. With the large number of publications, planning guides, and other resources available to help healthcare facilities plan and exercise how they will respond to an emergency, any facility that fails to undertake emergency planning and keep those plans current, as well as conduct training and exercises with staff, may subject itself to potential negligence claims for failure to plan or prepare.</w:t>
      </w:r>
    </w:p>
    <w:p w14:paraId="3DE80C15" w14:textId="77777777" w:rsidR="00770415" w:rsidRPr="0099702B" w:rsidRDefault="00770415" w:rsidP="00EB12E6">
      <w:pPr>
        <w:spacing w:line="360" w:lineRule="auto"/>
        <w:textAlignment w:val="baseline"/>
        <w:rPr>
          <w:rFonts w:eastAsia="Times New Roman" w:cs="Arial"/>
          <w:color w:val="000000" w:themeColor="text1"/>
          <w:szCs w:val="20"/>
        </w:rPr>
      </w:pPr>
    </w:p>
    <w:p w14:paraId="174F1306" w14:textId="52306BC3" w:rsidR="0099702B" w:rsidRDefault="0099702B" w:rsidP="00EB12E6">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Breach of Privacy and Confidentiality—</w:t>
      </w:r>
      <w:r w:rsidRPr="0099702B">
        <w:rPr>
          <w:rFonts w:eastAsia="Times New Roman" w:cs="Arial"/>
          <w:color w:val="000000" w:themeColor="text1"/>
          <w:szCs w:val="20"/>
        </w:rPr>
        <w:t>There are torts that address negligent violations of privacy and confidentiality, in addition to intentional breaches. Individuals and organizational entities could be liable for failing to take adequate precautions to protect patients’ privacy and confidentiality during emergencies. There are federal statutes such as the Health Insurance Portability and Accountability Act (HIPAA) and Family Educational Rights and Privacy Act (FERPA), as well as state privacy and confidentiality statutes that can give rise to potential statutory and regulatory violations independent of tort-based privacy and confidentiality claims. A negligent breach of privacy and confidentiality could occur, for example, if patient records are left unattended and open to public view in an alternate care site used to triage victims of a disaster.</w:t>
      </w:r>
    </w:p>
    <w:p w14:paraId="571B0F7B" w14:textId="77777777" w:rsidR="00770415" w:rsidRDefault="00770415" w:rsidP="00EB12E6">
      <w:pPr>
        <w:pStyle w:val="ListParagraph"/>
        <w:spacing w:line="360" w:lineRule="auto"/>
        <w:rPr>
          <w:rFonts w:eastAsia="Times New Roman" w:cs="Arial"/>
          <w:color w:val="000000" w:themeColor="text1"/>
          <w:szCs w:val="20"/>
        </w:rPr>
      </w:pPr>
    </w:p>
    <w:p w14:paraId="4D8747CA" w14:textId="77777777" w:rsidR="00763876" w:rsidRDefault="0099702B" w:rsidP="00EB12E6">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Premises Liability—</w:t>
      </w:r>
      <w:r w:rsidRPr="0099702B">
        <w:rPr>
          <w:rFonts w:eastAsia="Times New Roman" w:cs="Arial"/>
          <w:color w:val="000000" w:themeColor="text1"/>
          <w:szCs w:val="20"/>
        </w:rPr>
        <w:t xml:space="preserve">Premises liability holds a person or entity in possession of a premises or piece of land responsible for certain injuries to persons present on the land or premises. Traditionally a finding of premises liability turns on the whether the defendant was in possession of the premises and the status of the plaintiff. Possession </w:t>
      </w:r>
      <w:proofErr w:type="gramStart"/>
      <w:r w:rsidRPr="0099702B">
        <w:rPr>
          <w:rFonts w:eastAsia="Times New Roman" w:cs="Arial"/>
          <w:color w:val="000000" w:themeColor="text1"/>
          <w:szCs w:val="20"/>
        </w:rPr>
        <w:t>is considered to be</w:t>
      </w:r>
      <w:proofErr w:type="gramEnd"/>
      <w:r w:rsidRPr="0099702B">
        <w:rPr>
          <w:rFonts w:eastAsia="Times New Roman" w:cs="Arial"/>
          <w:color w:val="000000" w:themeColor="text1"/>
          <w:szCs w:val="20"/>
        </w:rPr>
        <w:t xml:space="preserve"> ownership of the premises or control of the premises (e.g., a company leasing a building). A plaintiff may </w:t>
      </w:r>
      <w:proofErr w:type="gramStart"/>
      <w:r w:rsidRPr="0099702B">
        <w:rPr>
          <w:rFonts w:eastAsia="Times New Roman" w:cs="Arial"/>
          <w:color w:val="000000" w:themeColor="text1"/>
          <w:szCs w:val="20"/>
        </w:rPr>
        <w:t>be considered to be</w:t>
      </w:r>
      <w:proofErr w:type="gramEnd"/>
      <w:r w:rsidRPr="0099702B">
        <w:rPr>
          <w:rFonts w:eastAsia="Times New Roman" w:cs="Arial"/>
          <w:color w:val="000000" w:themeColor="text1"/>
          <w:szCs w:val="20"/>
        </w:rPr>
        <w:t xml:space="preserve"> an invitee, a </w:t>
      </w:r>
      <w:r w:rsidRPr="0099702B">
        <w:rPr>
          <w:rFonts w:eastAsia="Times New Roman" w:cs="Arial"/>
          <w:color w:val="000000" w:themeColor="text1"/>
          <w:szCs w:val="20"/>
        </w:rPr>
        <w:lastRenderedPageBreak/>
        <w:t xml:space="preserve">licensee, or a trespasser on the premises. An invitee is a person invited to be on the premises for the commercial gain or business purposes of the </w:t>
      </w:r>
      <w:proofErr w:type="gramStart"/>
      <w:r w:rsidRPr="0099702B">
        <w:rPr>
          <w:rFonts w:eastAsia="Times New Roman" w:cs="Arial"/>
          <w:color w:val="000000" w:themeColor="text1"/>
          <w:szCs w:val="20"/>
        </w:rPr>
        <w:t>premises</w:t>
      </w:r>
      <w:proofErr w:type="gramEnd"/>
      <w:r w:rsidRPr="0099702B">
        <w:rPr>
          <w:rFonts w:eastAsia="Times New Roman" w:cs="Arial"/>
          <w:color w:val="000000" w:themeColor="text1"/>
          <w:szCs w:val="20"/>
        </w:rPr>
        <w:t xml:space="preserve"> possessor. A licensee is a person invited to be on the premises with the express or implied permission of the </w:t>
      </w:r>
      <w:proofErr w:type="gramStart"/>
      <w:r w:rsidRPr="0099702B">
        <w:rPr>
          <w:rFonts w:eastAsia="Times New Roman" w:cs="Arial"/>
          <w:color w:val="000000" w:themeColor="text1"/>
          <w:szCs w:val="20"/>
        </w:rPr>
        <w:t>premises</w:t>
      </w:r>
      <w:proofErr w:type="gramEnd"/>
      <w:r w:rsidRPr="0099702B">
        <w:rPr>
          <w:rFonts w:eastAsia="Times New Roman" w:cs="Arial"/>
          <w:color w:val="000000" w:themeColor="text1"/>
          <w:szCs w:val="20"/>
        </w:rPr>
        <w:t xml:space="preserve"> possessor for a purpose other than the business or commercial interest of the possessor. A trespasser is person who does not have the express or implied permission of the possessor to be on the premises and is not performing any duty for the </w:t>
      </w:r>
      <w:proofErr w:type="gramStart"/>
      <w:r w:rsidRPr="0099702B">
        <w:rPr>
          <w:rFonts w:eastAsia="Times New Roman" w:cs="Arial"/>
          <w:color w:val="000000" w:themeColor="text1"/>
          <w:szCs w:val="20"/>
        </w:rPr>
        <w:t>premises</w:t>
      </w:r>
      <w:proofErr w:type="gramEnd"/>
      <w:r w:rsidRPr="0099702B">
        <w:rPr>
          <w:rFonts w:eastAsia="Times New Roman" w:cs="Arial"/>
          <w:color w:val="000000" w:themeColor="text1"/>
          <w:szCs w:val="20"/>
        </w:rPr>
        <w:t xml:space="preserve"> owner. Possessors owe a duty of care to invitees and licenses, but generally not to trespassers. In some states, a general reasonable person standard has replaced the above traditional analysis based on the status of the person entering the premises. Under the reasonable person standard, the premises possessor owes a duty of reasonable care to anyone entering the premises, regardless of their relationship to the </w:t>
      </w:r>
      <w:proofErr w:type="gramStart"/>
      <w:r w:rsidRPr="0099702B">
        <w:rPr>
          <w:rFonts w:eastAsia="Times New Roman" w:cs="Arial"/>
          <w:color w:val="000000" w:themeColor="text1"/>
          <w:szCs w:val="20"/>
        </w:rPr>
        <w:t>premises</w:t>
      </w:r>
      <w:proofErr w:type="gramEnd"/>
      <w:r w:rsidRPr="0099702B">
        <w:rPr>
          <w:rFonts w:eastAsia="Times New Roman" w:cs="Arial"/>
          <w:color w:val="000000" w:themeColor="text1"/>
          <w:szCs w:val="20"/>
        </w:rPr>
        <w:t xml:space="preserve"> possessor. </w:t>
      </w:r>
    </w:p>
    <w:p w14:paraId="1973ED71" w14:textId="77777777" w:rsidR="00763876" w:rsidRDefault="00763876" w:rsidP="00EB12E6">
      <w:pPr>
        <w:spacing w:line="360" w:lineRule="auto"/>
        <w:ind w:left="360"/>
        <w:textAlignment w:val="baseline"/>
        <w:rPr>
          <w:rFonts w:eastAsia="Times New Roman" w:cs="Arial"/>
          <w:b/>
          <w:bCs/>
          <w:color w:val="000000" w:themeColor="text1"/>
          <w:szCs w:val="20"/>
          <w:bdr w:val="none" w:sz="0" w:space="0" w:color="auto" w:frame="1"/>
        </w:rPr>
      </w:pPr>
    </w:p>
    <w:p w14:paraId="4F997F88" w14:textId="4867AB92" w:rsidR="0099702B" w:rsidRDefault="0099702B" w:rsidP="00EB12E6">
      <w:pPr>
        <w:spacing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 xml:space="preserve">Concerns about potential liability based on premises liability can arise in the emergency response context in instances when facilities and properties are used for preparedness and response activities. This can include the use of hospitals, clinics, and other facilities (schools, convention centers, malls) for alternate care sites to triage and treat victims of an emergency. Businesses and other private property owners who volunteer use of their property as points of distribution (POD) for medicine and supplies also voice concerns about liability issues. This is especially true among those hosting “open” PODs in which members of the public will visit the property. “Closed” PODs serve a more narrowly defined population, such as the employees of a business hosting the POD, which can </w:t>
      </w:r>
      <w:proofErr w:type="gramStart"/>
      <w:r w:rsidRPr="0099702B">
        <w:rPr>
          <w:rFonts w:eastAsia="Times New Roman" w:cs="Arial"/>
          <w:color w:val="000000" w:themeColor="text1"/>
          <w:szCs w:val="20"/>
        </w:rPr>
        <w:t>prevent</w:t>
      </w:r>
      <w:proofErr w:type="gramEnd"/>
      <w:r w:rsidRPr="0099702B">
        <w:rPr>
          <w:rFonts w:eastAsia="Times New Roman" w:cs="Arial"/>
          <w:color w:val="000000" w:themeColor="text1"/>
          <w:szCs w:val="20"/>
        </w:rPr>
        <w:t xml:space="preserve"> or limit liability claims based on a theory of premises liability.</w:t>
      </w:r>
    </w:p>
    <w:p w14:paraId="4C2DE484" w14:textId="77777777" w:rsidR="00763876" w:rsidRPr="0099702B" w:rsidRDefault="00763876" w:rsidP="00EB12E6">
      <w:pPr>
        <w:spacing w:line="360" w:lineRule="auto"/>
        <w:ind w:left="360"/>
        <w:textAlignment w:val="baseline"/>
        <w:rPr>
          <w:rFonts w:eastAsia="Times New Roman" w:cs="Arial"/>
          <w:color w:val="000000" w:themeColor="text1"/>
          <w:szCs w:val="20"/>
        </w:rPr>
      </w:pPr>
    </w:p>
    <w:p w14:paraId="4EBE60A4" w14:textId="17A48C0C" w:rsidR="0099702B" w:rsidRDefault="0099702B" w:rsidP="00EB12E6">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Negligence Per Se—</w:t>
      </w:r>
      <w:r w:rsidRPr="0099702B">
        <w:rPr>
          <w:rFonts w:eastAsia="Times New Roman" w:cs="Arial"/>
          <w:color w:val="000000" w:themeColor="text1"/>
          <w:szCs w:val="20"/>
        </w:rPr>
        <w:t>This theory allows a statute or regulation to be used to set the standard of care when determining negligence. In order to find negligence per se, the plaintiff must be in the category of persons the statute was intended to protect and the injury must be one that the statute was intended to prevent. Negligence per se is a subset of both negligence and statutory violations; however, all negligence claims do not require violation of a statute to be successful, and all violations of statutes do not constitute negligence per se.</w:t>
      </w:r>
    </w:p>
    <w:p w14:paraId="1E9D7803" w14:textId="77777777" w:rsidR="00763876" w:rsidRPr="0099702B" w:rsidRDefault="00763876" w:rsidP="00EB12E6">
      <w:pPr>
        <w:spacing w:line="360" w:lineRule="auto"/>
        <w:ind w:left="360"/>
        <w:textAlignment w:val="baseline"/>
        <w:rPr>
          <w:rFonts w:eastAsia="Times New Roman" w:cs="Arial"/>
          <w:color w:val="000000" w:themeColor="text1"/>
          <w:szCs w:val="20"/>
        </w:rPr>
      </w:pPr>
    </w:p>
    <w:p w14:paraId="788E646B" w14:textId="1A11C1CA" w:rsidR="0099702B" w:rsidRDefault="0099702B" w:rsidP="00EB12E6">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Gross Negligence—</w:t>
      </w:r>
      <w:r w:rsidRPr="0099702B">
        <w:rPr>
          <w:rFonts w:eastAsia="Times New Roman" w:cs="Arial"/>
          <w:color w:val="000000" w:themeColor="text1"/>
          <w:szCs w:val="20"/>
        </w:rPr>
        <w:t>This is conduct or failure to act which is so reckless that it demonstrates disregard for whether an injury or harm will occur. Acts of gross negligence (also noted as willful or wanton conduct) are not covered under statutes that provide immunity or other liability protections to emergency response participants.</w:t>
      </w:r>
    </w:p>
    <w:p w14:paraId="36442CCA" w14:textId="77777777" w:rsidR="00763876" w:rsidRPr="0099702B" w:rsidRDefault="00763876" w:rsidP="00EB12E6">
      <w:pPr>
        <w:spacing w:line="360" w:lineRule="auto"/>
        <w:textAlignment w:val="baseline"/>
        <w:rPr>
          <w:rFonts w:eastAsia="Times New Roman" w:cs="Arial"/>
          <w:color w:val="000000" w:themeColor="text1"/>
          <w:szCs w:val="20"/>
        </w:rPr>
      </w:pPr>
    </w:p>
    <w:p w14:paraId="09AF4BD8" w14:textId="77777777" w:rsidR="0099702B" w:rsidRPr="00763876" w:rsidRDefault="0099702B" w:rsidP="00EB12E6">
      <w:pPr>
        <w:spacing w:line="360" w:lineRule="auto"/>
        <w:rPr>
          <w:rFonts w:eastAsia="Times New Roman" w:cs="Arial"/>
          <w:b/>
          <w:bCs/>
          <w:color w:val="000000" w:themeColor="text1"/>
          <w:szCs w:val="20"/>
        </w:rPr>
      </w:pPr>
      <w:r w:rsidRPr="00763876">
        <w:rPr>
          <w:rFonts w:eastAsia="Times New Roman" w:cs="Arial"/>
          <w:b/>
          <w:bCs/>
          <w:color w:val="000000" w:themeColor="text1"/>
          <w:szCs w:val="20"/>
        </w:rPr>
        <w:t>Defenses to Negligence Claims</w:t>
      </w:r>
    </w:p>
    <w:p w14:paraId="24FD5165" w14:textId="77777777" w:rsidR="0099702B" w:rsidRPr="00763876" w:rsidRDefault="0099702B" w:rsidP="00EB12E6">
      <w:pPr>
        <w:shd w:val="clear" w:color="auto" w:fill="FFFFFF"/>
        <w:spacing w:after="120" w:line="360" w:lineRule="auto"/>
        <w:textAlignment w:val="baseline"/>
        <w:rPr>
          <w:rFonts w:eastAsia="Times New Roman" w:cs="Arial"/>
          <w:color w:val="000000" w:themeColor="text1"/>
          <w:szCs w:val="20"/>
        </w:rPr>
      </w:pPr>
      <w:r w:rsidRPr="00763876">
        <w:rPr>
          <w:rFonts w:eastAsia="Times New Roman" w:cs="Arial"/>
          <w:color w:val="000000" w:themeColor="text1"/>
          <w:szCs w:val="20"/>
        </w:rPr>
        <w:t>There are several potential defenses to negligence claims, including contributory and comparative negligence, assumption of risk, and immunity.</w:t>
      </w:r>
    </w:p>
    <w:p w14:paraId="252864D0" w14:textId="4197D11D" w:rsidR="0099702B" w:rsidRDefault="0099702B" w:rsidP="00EB12E6">
      <w:pPr>
        <w:pStyle w:val="ListParagraph"/>
        <w:numPr>
          <w:ilvl w:val="0"/>
          <w:numId w:val="16"/>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Contributory and Comparative Negligence—</w:t>
      </w:r>
      <w:r w:rsidRPr="00F260D9">
        <w:rPr>
          <w:rFonts w:eastAsia="Times New Roman" w:cs="Arial"/>
          <w:color w:val="000000" w:themeColor="text1"/>
          <w:szCs w:val="20"/>
        </w:rPr>
        <w:t xml:space="preserve">Contributory negligence occurs when a plaintiff’s actions contributed to the harm. It acts as a complete defense to negligence such that a defendant will not be held liable for his or her actions because the plaintiff’s actions added to the harm. Because of the perceived harshness of this approach, most states have rejected contributory negligence and instead have adopted comparative negligence. With comparative negligence, the plaintiff may still be entitled to damages even if his </w:t>
      </w:r>
      <w:proofErr w:type="gramStart"/>
      <w:r w:rsidRPr="00F260D9">
        <w:rPr>
          <w:rFonts w:eastAsia="Times New Roman" w:cs="Arial"/>
          <w:color w:val="000000" w:themeColor="text1"/>
          <w:szCs w:val="20"/>
        </w:rPr>
        <w:t>action’s</w:t>
      </w:r>
      <w:proofErr w:type="gramEnd"/>
      <w:r w:rsidRPr="00F260D9">
        <w:rPr>
          <w:rFonts w:eastAsia="Times New Roman" w:cs="Arial"/>
          <w:color w:val="000000" w:themeColor="text1"/>
          <w:szCs w:val="20"/>
        </w:rPr>
        <w:t xml:space="preserve"> contributed to the harm; the amount of compensation awarded to a plaintiff may be reduced to account for role he or she played in causing the harm.</w:t>
      </w:r>
    </w:p>
    <w:p w14:paraId="783E28F6" w14:textId="77777777" w:rsidR="00F260D9" w:rsidRPr="00F260D9" w:rsidRDefault="00F260D9" w:rsidP="00EB12E6">
      <w:pPr>
        <w:pStyle w:val="ListParagraph"/>
        <w:spacing w:line="360" w:lineRule="auto"/>
        <w:ind w:left="360"/>
        <w:textAlignment w:val="baseline"/>
        <w:rPr>
          <w:rFonts w:eastAsia="Times New Roman" w:cs="Arial"/>
          <w:color w:val="000000" w:themeColor="text1"/>
          <w:szCs w:val="20"/>
        </w:rPr>
      </w:pPr>
    </w:p>
    <w:p w14:paraId="19B0403A" w14:textId="03B666FF" w:rsidR="0099702B" w:rsidRDefault="0099702B" w:rsidP="00EB12E6">
      <w:pPr>
        <w:pStyle w:val="ListParagraph"/>
        <w:numPr>
          <w:ilvl w:val="0"/>
          <w:numId w:val="16"/>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Assumption of Risk—</w:t>
      </w:r>
      <w:r w:rsidRPr="00F260D9">
        <w:rPr>
          <w:rFonts w:eastAsia="Times New Roman" w:cs="Arial"/>
          <w:color w:val="000000" w:themeColor="text1"/>
          <w:szCs w:val="20"/>
        </w:rPr>
        <w:t xml:space="preserve">Traditionally, assumption of risk </w:t>
      </w:r>
      <w:proofErr w:type="gramStart"/>
      <w:r w:rsidRPr="00F260D9">
        <w:rPr>
          <w:rFonts w:eastAsia="Times New Roman" w:cs="Arial"/>
          <w:color w:val="000000" w:themeColor="text1"/>
          <w:szCs w:val="20"/>
        </w:rPr>
        <w:t>was seen as</w:t>
      </w:r>
      <w:proofErr w:type="gramEnd"/>
      <w:r w:rsidRPr="00F260D9">
        <w:rPr>
          <w:rFonts w:eastAsia="Times New Roman" w:cs="Arial"/>
          <w:color w:val="000000" w:themeColor="text1"/>
          <w:szCs w:val="20"/>
        </w:rPr>
        <w:t xml:space="preserve"> a complete bar to recovery if a plaintiff understood the risk and voluntarily assumed the risk. Express assumption occurs when a person agrees to accept a risk. Implied assumption of risk can occur when a person’s actions indicate he or she has accepted the </w:t>
      </w:r>
      <w:proofErr w:type="gramStart"/>
      <w:r w:rsidRPr="00F260D9">
        <w:rPr>
          <w:rFonts w:eastAsia="Times New Roman" w:cs="Arial"/>
          <w:color w:val="000000" w:themeColor="text1"/>
          <w:szCs w:val="20"/>
        </w:rPr>
        <w:t>risk, but</w:t>
      </w:r>
      <w:proofErr w:type="gramEnd"/>
      <w:r w:rsidRPr="00F260D9">
        <w:rPr>
          <w:rFonts w:eastAsia="Times New Roman" w:cs="Arial"/>
          <w:color w:val="000000" w:themeColor="text1"/>
          <w:szCs w:val="20"/>
        </w:rPr>
        <w:t xml:space="preserve"> has not specifically agreed to it. In some states, implied assumption of risk has been incorporated into the concept of comparative negligence, so it is no longer a complete bar to recovery but can reduce the amount, if any, awarded to the plaintiff.</w:t>
      </w:r>
    </w:p>
    <w:p w14:paraId="079A0168" w14:textId="77777777" w:rsidR="00F260D9" w:rsidRPr="00F260D9" w:rsidRDefault="00F260D9" w:rsidP="00EB12E6">
      <w:pPr>
        <w:spacing w:line="360" w:lineRule="auto"/>
        <w:textAlignment w:val="baseline"/>
        <w:rPr>
          <w:rFonts w:eastAsia="Times New Roman" w:cs="Arial"/>
          <w:color w:val="000000" w:themeColor="text1"/>
          <w:szCs w:val="20"/>
        </w:rPr>
      </w:pPr>
    </w:p>
    <w:p w14:paraId="199CC18C" w14:textId="77777777" w:rsidR="0099702B" w:rsidRPr="00F260D9" w:rsidRDefault="0099702B" w:rsidP="00EB12E6">
      <w:pPr>
        <w:pStyle w:val="ListParagraph"/>
        <w:numPr>
          <w:ilvl w:val="0"/>
          <w:numId w:val="16"/>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Immunity—</w:t>
      </w:r>
      <w:r w:rsidRPr="00F260D9">
        <w:rPr>
          <w:rFonts w:eastAsia="Times New Roman" w:cs="Arial"/>
          <w:color w:val="000000" w:themeColor="text1"/>
          <w:szCs w:val="20"/>
        </w:rPr>
        <w:t>Immunity protects defendants from potential tort liabilities. The most significant defense to negligence claims arising in the context of an emergency response scenario is the defense of immunity. Specific sources of immunity are discussed in detail later in this issue brief.</w:t>
      </w:r>
    </w:p>
    <w:p w14:paraId="32DDB546" w14:textId="77777777" w:rsidR="00770415" w:rsidRDefault="00770415" w:rsidP="00EB12E6">
      <w:pPr>
        <w:spacing w:line="360" w:lineRule="auto"/>
        <w:rPr>
          <w:rFonts w:eastAsia="Times New Roman" w:cs="Arial"/>
          <w:b/>
          <w:bCs/>
          <w:color w:val="3C3030"/>
          <w:sz w:val="24"/>
          <w:szCs w:val="24"/>
        </w:rPr>
      </w:pPr>
    </w:p>
    <w:p w14:paraId="2DB9CE7C" w14:textId="60C9A577"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Strict Liability</w:t>
      </w:r>
    </w:p>
    <w:p w14:paraId="2A5D24C1" w14:textId="77777777" w:rsidR="00F260D9" w:rsidRPr="00F260D9" w:rsidRDefault="00F260D9" w:rsidP="00EB12E6">
      <w:pPr>
        <w:shd w:val="clear" w:color="auto" w:fill="FFFFFF"/>
        <w:spacing w:line="360" w:lineRule="auto"/>
        <w:textAlignment w:val="baseline"/>
        <w:rPr>
          <w:rFonts w:eastAsia="Times New Roman" w:cs="Arial"/>
          <w:color w:val="000000" w:themeColor="text1"/>
          <w:szCs w:val="20"/>
        </w:rPr>
      </w:pPr>
    </w:p>
    <w:p w14:paraId="4C332E7B" w14:textId="39C08939"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Strict liability is another tort theory in which civil liability can arise. Strict liability occurs when the manufacture, possession, or use of inherently dangerous equipment or materials is </w:t>
      </w:r>
      <w:proofErr w:type="gramStart"/>
      <w:r w:rsidRPr="0099702B">
        <w:rPr>
          <w:rFonts w:eastAsia="Times New Roman" w:cs="Arial"/>
          <w:color w:val="000000" w:themeColor="text1"/>
          <w:szCs w:val="20"/>
        </w:rPr>
        <w:t>sufficient</w:t>
      </w:r>
      <w:proofErr w:type="gramEnd"/>
      <w:r w:rsidRPr="0099702B">
        <w:rPr>
          <w:rFonts w:eastAsia="Times New Roman" w:cs="Arial"/>
          <w:color w:val="000000" w:themeColor="text1"/>
          <w:szCs w:val="20"/>
        </w:rPr>
        <w:t xml:space="preserve"> to find the possessor/user liable for damages for the harm caused by the equipment or materials; no finding of intent, negligence, or fault is required for strict liability to attach. Strict liability most frequently arises in the context of defective manufactured </w:t>
      </w:r>
      <w:proofErr w:type="gramStart"/>
      <w:r w:rsidRPr="0099702B">
        <w:rPr>
          <w:rFonts w:eastAsia="Times New Roman" w:cs="Arial"/>
          <w:color w:val="000000" w:themeColor="text1"/>
          <w:szCs w:val="20"/>
        </w:rPr>
        <w:t>products, but</w:t>
      </w:r>
      <w:proofErr w:type="gramEnd"/>
      <w:r w:rsidRPr="0099702B">
        <w:rPr>
          <w:rFonts w:eastAsia="Times New Roman" w:cs="Arial"/>
          <w:color w:val="000000" w:themeColor="text1"/>
          <w:szCs w:val="20"/>
        </w:rPr>
        <w:t xml:space="preserve"> can also apply to items like inappropriately used </w:t>
      </w:r>
      <w:r w:rsidRPr="0099702B">
        <w:rPr>
          <w:rFonts w:eastAsia="Times New Roman" w:cs="Arial"/>
          <w:color w:val="000000" w:themeColor="text1"/>
          <w:szCs w:val="20"/>
        </w:rPr>
        <w:lastRenderedPageBreak/>
        <w:t xml:space="preserve">explosives and toxic substances or the possession of wild animals. Potential claims against manufacturers of vaccines, drugs, or medical equipment used in public health emergencies could arise under the theory of strict product liability for defects in the design, manufacturing, or labeling of an item. From the perspective of persons and entities involved in most emergency preparedness and response situations, a strict liability claim is not likely to occur; however, as with all legal claims, the legal theories put forth and the outcome of a case depends on the facts in that </w:t>
      </w:r>
      <w:proofErr w:type="gramStart"/>
      <w:r w:rsidRPr="0099702B">
        <w:rPr>
          <w:rFonts w:eastAsia="Times New Roman" w:cs="Arial"/>
          <w:color w:val="000000" w:themeColor="text1"/>
          <w:szCs w:val="20"/>
        </w:rPr>
        <w:t>particular case</w:t>
      </w:r>
      <w:proofErr w:type="gramEnd"/>
      <w:r w:rsidRPr="0099702B">
        <w:rPr>
          <w:rFonts w:eastAsia="Times New Roman" w:cs="Arial"/>
          <w:color w:val="000000" w:themeColor="text1"/>
          <w:szCs w:val="20"/>
        </w:rPr>
        <w:t>. The Public Readiness and Emergency Preparedness Act (PREP Act) was enacted to provide immunity from tort liability for claims of loss caused by the manufacture, testing, distribution, administration, and use of countermeasures (see below). </w:t>
      </w:r>
    </w:p>
    <w:p w14:paraId="0A800ECC" w14:textId="77777777" w:rsidR="00F260D9" w:rsidRPr="00F260D9" w:rsidRDefault="00F260D9" w:rsidP="00EB12E6">
      <w:pPr>
        <w:spacing w:line="360" w:lineRule="auto"/>
        <w:rPr>
          <w:rFonts w:eastAsia="Times New Roman" w:cs="Arial"/>
          <w:b/>
          <w:bCs/>
          <w:color w:val="000000" w:themeColor="text1"/>
          <w:sz w:val="28"/>
          <w:szCs w:val="24"/>
        </w:rPr>
      </w:pPr>
    </w:p>
    <w:p w14:paraId="628B10CE" w14:textId="5257B9CF"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Statutory and Regulatory Violations</w:t>
      </w:r>
    </w:p>
    <w:p w14:paraId="2164B662" w14:textId="77777777" w:rsidR="00F260D9" w:rsidRPr="00F260D9" w:rsidRDefault="00F260D9" w:rsidP="00EB12E6">
      <w:pPr>
        <w:shd w:val="clear" w:color="auto" w:fill="FFFFFF"/>
        <w:spacing w:line="360" w:lineRule="auto"/>
        <w:textAlignment w:val="baseline"/>
        <w:rPr>
          <w:rFonts w:eastAsia="Times New Roman" w:cs="Arial"/>
          <w:color w:val="000000" w:themeColor="text1"/>
          <w:szCs w:val="20"/>
        </w:rPr>
      </w:pPr>
    </w:p>
    <w:p w14:paraId="613CACE7" w14:textId="77777777" w:rsidR="00F260D9"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Statutes and regulations establish legal requirements for persons and entities. Violations of statutes and regulations can give rise to charges made by a governmental entity of criminal, civil, and administrative wrongs. To the extent that federal and state governments have waived sovereign immunity, governments and officials in their individual capacities may be subject to lawsuits for statutory or regulatory violations. In addition to the right of parties to bring contractual and tort-based claims, state and federal laws may also specifically allow individual persons and entities to sue others based on violations of statutes or regulations (known as a private cause of action). </w:t>
      </w:r>
    </w:p>
    <w:p w14:paraId="7F6EE29C" w14:textId="77777777" w:rsidR="00F260D9" w:rsidRDefault="00F260D9" w:rsidP="00EB12E6">
      <w:pPr>
        <w:shd w:val="clear" w:color="auto" w:fill="FFFFFF"/>
        <w:spacing w:line="360" w:lineRule="auto"/>
        <w:textAlignment w:val="baseline"/>
        <w:rPr>
          <w:rFonts w:eastAsia="Times New Roman" w:cs="Arial"/>
          <w:color w:val="000000" w:themeColor="text1"/>
          <w:szCs w:val="20"/>
        </w:rPr>
      </w:pPr>
    </w:p>
    <w:p w14:paraId="0C108CCD" w14:textId="2579C44F" w:rsid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There are many potential areas in which state and federal statutory and regulatory requirements could be intentionally or inadvertently violated during an emergency response scenario. Governors have the authority to temporarily waive or suspend regulatory and potentially some statutory requirements during a declared state emergency. Similarly, the HHS secretary is authorized under Social Security Act (SSA) Section 1135 to waive certain requirements during public health emergencies. Under their waiver authorities, states can evaluate which requirements to retain and which to temporarily suspend to ease compliance and facilitate response and recovery efforts. Several potential areas in which claims arising from violations of federal and state statutes and regulations may occur during emergencies are discussed below. This discussion, however, does not represent a comprehensive treatment of these and other potential issues. </w:t>
      </w:r>
    </w:p>
    <w:p w14:paraId="4B6CC152" w14:textId="77777777" w:rsidR="00F260D9" w:rsidRPr="0099702B" w:rsidRDefault="00F260D9" w:rsidP="00EB12E6">
      <w:pPr>
        <w:shd w:val="clear" w:color="auto" w:fill="FFFFFF"/>
        <w:spacing w:line="360" w:lineRule="auto"/>
        <w:textAlignment w:val="baseline"/>
        <w:rPr>
          <w:rFonts w:eastAsia="Times New Roman" w:cs="Arial"/>
          <w:color w:val="000000" w:themeColor="text1"/>
          <w:szCs w:val="20"/>
        </w:rPr>
      </w:pPr>
    </w:p>
    <w:p w14:paraId="71F63F67" w14:textId="1D0E0ABD" w:rsidR="0099702B" w:rsidRDefault="0099702B" w:rsidP="00EB12E6">
      <w:pPr>
        <w:keepNext/>
        <w:spacing w:line="360" w:lineRule="auto"/>
        <w:rPr>
          <w:rFonts w:eastAsia="Times New Roman" w:cs="Arial"/>
          <w:b/>
          <w:bCs/>
          <w:color w:val="000000" w:themeColor="text1"/>
          <w:szCs w:val="20"/>
        </w:rPr>
      </w:pPr>
      <w:r w:rsidRPr="0099702B">
        <w:rPr>
          <w:rFonts w:eastAsia="Times New Roman" w:cs="Arial"/>
          <w:b/>
          <w:bCs/>
          <w:color w:val="000000" w:themeColor="text1"/>
          <w:szCs w:val="20"/>
        </w:rPr>
        <w:lastRenderedPageBreak/>
        <w:t>Federal Statutory and Regulatory Violations</w:t>
      </w:r>
    </w:p>
    <w:p w14:paraId="3EBEB121" w14:textId="77777777" w:rsidR="00F260D9" w:rsidRPr="0099702B" w:rsidRDefault="00F260D9" w:rsidP="00EB12E6">
      <w:pPr>
        <w:spacing w:line="360" w:lineRule="auto"/>
        <w:rPr>
          <w:rFonts w:eastAsia="Times New Roman" w:cs="Arial"/>
          <w:bCs/>
          <w:color w:val="000000" w:themeColor="text1"/>
          <w:szCs w:val="20"/>
        </w:rPr>
      </w:pPr>
    </w:p>
    <w:p w14:paraId="47E0749E" w14:textId="77777777" w:rsidR="00F260D9"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Section 1983 Civil Rights Violation. </w:t>
      </w:r>
      <w:r w:rsidRPr="0099702B">
        <w:rPr>
          <w:rFonts w:eastAsia="Times New Roman" w:cs="Arial"/>
          <w:color w:val="000000" w:themeColor="text1"/>
          <w:szCs w:val="20"/>
        </w:rPr>
        <w:t>42 U.S.C. Section 1983, which addresses civil actions for deprivation of rights, could be used as a basis to allege civil rights violations in the context of an emergency response scenario. Local, state, and federal officials can be sued in their individual capacities if they used their position to deprive individuals of their U.S. Constitutional and other legal rights. State governments as entities are protected from Section 1983 claims by the 11th Amendment to the Constitution, which prohibits lawsuits against state governmental entities by private individuals. Local governments as entities can be sued under Section 1983 because they are not covered by 11th Amendment protections. </w:t>
      </w:r>
      <w:r w:rsidRPr="0099702B">
        <w:rPr>
          <w:rFonts w:eastAsia="Times New Roman" w:cs="Arial"/>
          <w:color w:val="000000" w:themeColor="text1"/>
          <w:szCs w:val="20"/>
        </w:rPr>
        <w:br/>
      </w:r>
      <w:r w:rsidRPr="0099702B">
        <w:rPr>
          <w:rFonts w:eastAsia="Times New Roman" w:cs="Arial"/>
          <w:color w:val="000000" w:themeColor="text1"/>
          <w:szCs w:val="20"/>
        </w:rPr>
        <w:br/>
      </w:r>
      <w:r w:rsidRPr="0099702B">
        <w:rPr>
          <w:rFonts w:eastAsia="Times New Roman" w:cs="Arial"/>
          <w:b/>
          <w:bCs/>
          <w:color w:val="000000" w:themeColor="text1"/>
          <w:szCs w:val="20"/>
          <w:bdr w:val="none" w:sz="0" w:space="0" w:color="auto" w:frame="1"/>
        </w:rPr>
        <w:t>Americans with Disabilities Act (ADA).</w:t>
      </w:r>
      <w:r w:rsidRPr="0099702B">
        <w:rPr>
          <w:rFonts w:eastAsia="Times New Roman" w:cs="Arial"/>
          <w:color w:val="000000" w:themeColor="text1"/>
          <w:szCs w:val="20"/>
        </w:rPr>
        <w:t xml:space="preserve"> The Americans with Disabilities Act (ADA) prohibits discrimination based on disability in the areas of employment, public services, public accommodations, commercial facilities, transportation, and telecommunications. Specifically, ADA Title II (public services/transportation) and Title III (public accommodations/transportation) require that persons with disabilities be entitled to equal opportunity to access and benefit from these services. There is a private cause of action in the ADA, which has been interpreted by the U.S. Supreme Court to apply to state governments </w:t>
      </w:r>
      <w:proofErr w:type="gramStart"/>
      <w:r w:rsidRPr="0099702B">
        <w:rPr>
          <w:rFonts w:eastAsia="Times New Roman" w:cs="Arial"/>
          <w:color w:val="000000" w:themeColor="text1"/>
          <w:szCs w:val="20"/>
        </w:rPr>
        <w:t>in spite of</w:t>
      </w:r>
      <w:proofErr w:type="gramEnd"/>
      <w:r w:rsidRPr="0099702B">
        <w:rPr>
          <w:rFonts w:eastAsia="Times New Roman" w:cs="Arial"/>
          <w:color w:val="000000" w:themeColor="text1"/>
          <w:szCs w:val="20"/>
        </w:rPr>
        <w:t xml:space="preserve"> 11th Amendment immunity protections. Entities required to comply with the ADA can assert that accommodating persons with disabilities would cause an undue hardship, which generally means an imposition of significant difficulty or expense relative to the operation of a program or service. Where a </w:t>
      </w:r>
      <w:proofErr w:type="gramStart"/>
      <w:r w:rsidRPr="0099702B">
        <w:rPr>
          <w:rFonts w:eastAsia="Times New Roman" w:cs="Arial"/>
          <w:color w:val="000000" w:themeColor="text1"/>
          <w:szCs w:val="20"/>
        </w:rPr>
        <w:t>particular accommodation</w:t>
      </w:r>
      <w:proofErr w:type="gramEnd"/>
      <w:r w:rsidRPr="0099702B">
        <w:rPr>
          <w:rFonts w:eastAsia="Times New Roman" w:cs="Arial"/>
          <w:color w:val="000000" w:themeColor="text1"/>
          <w:szCs w:val="20"/>
        </w:rPr>
        <w:t xml:space="preserve"> would result in an undue hardship, an entity must determine if another accommodation is available that would not result in an undue hardship. The Pandemic and All-Hazards Preparedness Act (PAHPA) required, among other things, that the HHS secretary consider the needs of at-risk and special populations when planning for and responding to emergencies. Federal preparedness grants to states and localities require that the needs of at-risk and special populations are likewise considered in their emergency preparedness and response activities. </w:t>
      </w:r>
      <w:r w:rsidRPr="0099702B">
        <w:rPr>
          <w:rFonts w:eastAsia="Times New Roman" w:cs="Arial"/>
          <w:color w:val="000000" w:themeColor="text1"/>
          <w:szCs w:val="20"/>
        </w:rPr>
        <w:br/>
      </w:r>
      <w:r w:rsidRPr="0099702B">
        <w:rPr>
          <w:rFonts w:eastAsia="Times New Roman" w:cs="Arial"/>
          <w:color w:val="000000" w:themeColor="text1"/>
          <w:szCs w:val="20"/>
        </w:rPr>
        <w:br/>
      </w:r>
      <w:r w:rsidRPr="0099702B">
        <w:rPr>
          <w:rFonts w:eastAsia="Times New Roman" w:cs="Arial"/>
          <w:b/>
          <w:bCs/>
          <w:color w:val="000000" w:themeColor="text1"/>
          <w:szCs w:val="20"/>
          <w:bdr w:val="none" w:sz="0" w:space="0" w:color="auto" w:frame="1"/>
        </w:rPr>
        <w:t>Emergency Medical Treatment and Active Labor Act (EMTALA).</w:t>
      </w:r>
      <w:r w:rsidRPr="0099702B">
        <w:rPr>
          <w:rFonts w:eastAsia="Times New Roman" w:cs="Arial"/>
          <w:color w:val="000000" w:themeColor="text1"/>
          <w:szCs w:val="20"/>
        </w:rPr>
        <w:t xml:space="preserve"> EMTALA requires that hospital emergency rooms screen all patients who seek care for emergency medical conditions regardless of the patients’ ability to pay or citizenship status. The act applies to hospitals that participate in Medicare and allows for administrative penalties and a private cause of action for individuals. When there has been a public health emergency determination under Section 319 of the Public Health Service Act, the HHS secretary can use SSA Section 1135 to temporarily waive or suspend certain EMTALA requirements. </w:t>
      </w:r>
      <w:r w:rsidRPr="0099702B">
        <w:rPr>
          <w:rFonts w:eastAsia="Times New Roman" w:cs="Arial"/>
          <w:color w:val="000000" w:themeColor="text1"/>
          <w:szCs w:val="20"/>
        </w:rPr>
        <w:lastRenderedPageBreak/>
        <w:t>However, these waivers expire within 72 hours before full compliance is again required. When a public health emergency involves a pandemic infectious disease, waivers of EMTALA sanctions can extend through the duration of the public health emergency. </w:t>
      </w:r>
    </w:p>
    <w:p w14:paraId="1210AE2F" w14:textId="77777777" w:rsidR="00F260D9" w:rsidRDefault="00F260D9" w:rsidP="00EB12E6">
      <w:pPr>
        <w:shd w:val="clear" w:color="auto" w:fill="FFFFFF"/>
        <w:spacing w:line="360" w:lineRule="auto"/>
        <w:textAlignment w:val="baseline"/>
        <w:rPr>
          <w:rFonts w:eastAsia="Times New Roman" w:cs="Arial"/>
          <w:color w:val="000000" w:themeColor="text1"/>
          <w:szCs w:val="20"/>
        </w:rPr>
      </w:pPr>
    </w:p>
    <w:p w14:paraId="0EEB55B2" w14:textId="5E86C22D" w:rsid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Health Insurance Portability and Accountability Act (HIPAA).</w:t>
      </w:r>
      <w:r w:rsidRPr="0099702B">
        <w:rPr>
          <w:rFonts w:eastAsia="Times New Roman" w:cs="Arial"/>
          <w:color w:val="000000" w:themeColor="text1"/>
          <w:szCs w:val="20"/>
        </w:rPr>
        <w:t> Among other things, HIPAA protects the confidentiality of a person’s individually identifiable health information. HIPAA does not provide for a private cause of action to allow individuals the ability to sue directly; however, individuals can file a complaint with the HHS Office for Civil Rights, which will investigate the claim. HHS can seek a range of enforcement mechanisms from voluntary compliance to monetary penalties, if warranted. During an emergency event it may not be possible for a hospital to adhere to some HIPAA privacy requirements. As with EMTALA, certain HIPAA requirements regarding patient information at hospitals operating under an emergency plan can be temporarily waived under SSA Section 1135 waiver. Again, however, these waivers expire within 72 hours before full compliance is again required. </w:t>
      </w:r>
    </w:p>
    <w:p w14:paraId="72D40ED0" w14:textId="77777777" w:rsidR="00F260D9" w:rsidRPr="0099702B" w:rsidRDefault="00F260D9" w:rsidP="00EB12E6">
      <w:pPr>
        <w:shd w:val="clear" w:color="auto" w:fill="FFFFFF"/>
        <w:spacing w:line="360" w:lineRule="auto"/>
        <w:textAlignment w:val="baseline"/>
        <w:rPr>
          <w:rFonts w:eastAsia="Times New Roman" w:cs="Arial"/>
          <w:color w:val="000000" w:themeColor="text1"/>
          <w:szCs w:val="20"/>
        </w:rPr>
      </w:pPr>
    </w:p>
    <w:p w14:paraId="75434A21" w14:textId="4C4932EE" w:rsid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Statutory and Regulatory Violations</w:t>
      </w:r>
    </w:p>
    <w:p w14:paraId="2F33A78F" w14:textId="77777777" w:rsidR="00F260D9" w:rsidRPr="0099702B" w:rsidRDefault="00F260D9" w:rsidP="00EB12E6">
      <w:pPr>
        <w:spacing w:line="360" w:lineRule="auto"/>
        <w:rPr>
          <w:rFonts w:eastAsia="Times New Roman" w:cs="Arial"/>
          <w:b/>
          <w:bCs/>
          <w:color w:val="000000" w:themeColor="text1"/>
          <w:szCs w:val="20"/>
        </w:rPr>
      </w:pPr>
    </w:p>
    <w:p w14:paraId="04BBBA5E" w14:textId="77777777" w:rsidR="00FC3301"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State Civil Rights and Anti-Discrimination Laws. </w:t>
      </w:r>
      <w:r w:rsidRPr="0099702B">
        <w:rPr>
          <w:rFonts w:eastAsia="Times New Roman" w:cs="Arial"/>
          <w:color w:val="000000" w:themeColor="text1"/>
          <w:szCs w:val="20"/>
        </w:rPr>
        <w:t>States may have parallel statutory and constitutional protections that protect civil rights and prohibit discrimination by state or local officials. These state authorities could be used to claim a civil rights violation or disparate treatment during an emergency response. </w:t>
      </w:r>
    </w:p>
    <w:p w14:paraId="03FF7435" w14:textId="77777777" w:rsidR="00FC3301" w:rsidRDefault="00FC3301" w:rsidP="00EB12E6">
      <w:pPr>
        <w:shd w:val="clear" w:color="auto" w:fill="FFFFFF"/>
        <w:spacing w:line="360" w:lineRule="auto"/>
        <w:textAlignment w:val="baseline"/>
        <w:rPr>
          <w:rFonts w:eastAsia="Times New Roman" w:cs="Arial"/>
          <w:color w:val="000000" w:themeColor="text1"/>
          <w:szCs w:val="20"/>
        </w:rPr>
      </w:pPr>
    </w:p>
    <w:p w14:paraId="317FC43B" w14:textId="47650011"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State Professional Licensure Requirements. </w:t>
      </w:r>
      <w:r w:rsidRPr="0099702B">
        <w:rPr>
          <w:rFonts w:eastAsia="Times New Roman" w:cs="Arial"/>
          <w:color w:val="000000" w:themeColor="text1"/>
          <w:szCs w:val="20"/>
        </w:rPr>
        <w:t>Each state determines the requirements for licensure and the permitted scope of practice for healthcare and other professions regulated by the state. Healthcare and other licensed volunteers (e.g., architects, engineers) who cross state lines to provide emergency services during a disaster could be found liable for unlicensed practice if they are not properly permitted to assist via a mutual aid agreement like the EMAC or through other emergency response mechanisms recognized by a state, such as the U.S. National Disaster Medical System. </w:t>
      </w:r>
    </w:p>
    <w:p w14:paraId="32BD769D" w14:textId="77777777" w:rsidR="00F260D9" w:rsidRDefault="00F260D9" w:rsidP="00EB12E6">
      <w:pPr>
        <w:spacing w:line="360" w:lineRule="auto"/>
        <w:rPr>
          <w:rFonts w:eastAsia="Times New Roman" w:cs="Arial"/>
          <w:b/>
          <w:bCs/>
          <w:color w:val="3C3030"/>
          <w:sz w:val="24"/>
          <w:szCs w:val="24"/>
        </w:rPr>
      </w:pPr>
    </w:p>
    <w:p w14:paraId="0D97E92C" w14:textId="41F64E00" w:rsidR="0099702B" w:rsidRDefault="0099702B" w:rsidP="00EB12E6">
      <w:pPr>
        <w:keepNext/>
        <w:keepLines/>
        <w:spacing w:line="360" w:lineRule="auto"/>
        <w:rPr>
          <w:rFonts w:eastAsia="Times New Roman" w:cs="Arial"/>
          <w:b/>
          <w:bCs/>
          <w:color w:val="3C3030"/>
          <w:sz w:val="24"/>
          <w:szCs w:val="24"/>
        </w:rPr>
      </w:pPr>
      <w:r w:rsidRPr="0099702B">
        <w:rPr>
          <w:rFonts w:eastAsia="Times New Roman" w:cs="Arial"/>
          <w:b/>
          <w:bCs/>
          <w:color w:val="3C3030"/>
          <w:sz w:val="24"/>
          <w:szCs w:val="24"/>
        </w:rPr>
        <w:lastRenderedPageBreak/>
        <w:t>Constitutional Violations</w:t>
      </w:r>
    </w:p>
    <w:p w14:paraId="211B219B" w14:textId="77777777" w:rsidR="00EB12E6" w:rsidRPr="0099702B" w:rsidRDefault="00EB12E6" w:rsidP="00EB12E6">
      <w:pPr>
        <w:keepNext/>
        <w:keepLines/>
        <w:spacing w:line="360" w:lineRule="auto"/>
        <w:rPr>
          <w:rFonts w:eastAsia="Times New Roman" w:cs="Arial"/>
          <w:b/>
          <w:bCs/>
          <w:color w:val="3C3030"/>
          <w:sz w:val="24"/>
          <w:szCs w:val="24"/>
        </w:rPr>
      </w:pPr>
    </w:p>
    <w:p w14:paraId="17D8F961" w14:textId="297C42FF" w:rsidR="0099702B" w:rsidRPr="0099702B" w:rsidRDefault="0099702B" w:rsidP="00EB12E6">
      <w:pPr>
        <w:keepLines/>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 U.S. Constitution, the Bill of Rights, and state constitutions identify fundamental rights that can give rise to claims if these rights are violated. Parties could assert constitutional claims against public officials and entities in addition to tort claims, including violations of the following rights:</w:t>
      </w:r>
    </w:p>
    <w:p w14:paraId="79E3C125"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Freedom of speech and association (1st Amendment).</w:t>
      </w:r>
    </w:p>
    <w:p w14:paraId="3175B083"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Unreasonable searches and seizures (4th Amendment).</w:t>
      </w:r>
    </w:p>
    <w:p w14:paraId="0B01660A"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Cruel and unusual punishment (8th Amendment).</w:t>
      </w:r>
    </w:p>
    <w:p w14:paraId="4FB435F2"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Due process (5th and 14th Amendments)—Prohibits federal and state governments from depriving persons of life, liberty, or property without due process of law.</w:t>
      </w:r>
    </w:p>
    <w:p w14:paraId="4F86541D" w14:textId="77777777" w:rsidR="0099702B" w:rsidRPr="00FC3301" w:rsidRDefault="0099702B" w:rsidP="00EB12E6">
      <w:pPr>
        <w:pStyle w:val="ListParagraph"/>
        <w:numPr>
          <w:ilvl w:val="0"/>
          <w:numId w:val="17"/>
        </w:numPr>
        <w:spacing w:line="360" w:lineRule="auto"/>
        <w:textAlignment w:val="baseline"/>
        <w:rPr>
          <w:rFonts w:eastAsia="Times New Roman" w:cs="Arial"/>
          <w:color w:val="000000" w:themeColor="text1"/>
          <w:szCs w:val="20"/>
        </w:rPr>
      </w:pPr>
      <w:r w:rsidRPr="00FC3301">
        <w:rPr>
          <w:rFonts w:eastAsia="Times New Roman" w:cs="Arial"/>
          <w:color w:val="000000" w:themeColor="text1"/>
          <w:szCs w:val="20"/>
        </w:rPr>
        <w:t>Equal protection (14th Amendment)—Violations in which a person or group of persons are denied equal protection under state and federal laws.</w:t>
      </w:r>
    </w:p>
    <w:p w14:paraId="1FA90230" w14:textId="77777777" w:rsidR="00FC3301" w:rsidRDefault="00FC3301" w:rsidP="00EB12E6">
      <w:pPr>
        <w:shd w:val="clear" w:color="auto" w:fill="FFFFFF"/>
        <w:spacing w:line="360" w:lineRule="auto"/>
        <w:textAlignment w:val="baseline"/>
        <w:rPr>
          <w:rFonts w:eastAsia="Times New Roman" w:cs="Arial"/>
          <w:color w:val="000000" w:themeColor="text1"/>
          <w:szCs w:val="20"/>
        </w:rPr>
      </w:pPr>
    </w:p>
    <w:p w14:paraId="6F55B626" w14:textId="6D92468A"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Parallel violations grounded on state constitutional claims, as well as on other claims specific to a state’s constitution, should also be considered. </w:t>
      </w:r>
    </w:p>
    <w:p w14:paraId="57D17C3A" w14:textId="77777777" w:rsidR="00FC3301" w:rsidRPr="00FC3301" w:rsidRDefault="00FC3301" w:rsidP="00EB12E6">
      <w:pPr>
        <w:spacing w:line="360" w:lineRule="auto"/>
        <w:rPr>
          <w:rFonts w:eastAsia="Times New Roman" w:cs="Arial"/>
          <w:bCs/>
          <w:color w:val="3C3030"/>
          <w:szCs w:val="24"/>
        </w:rPr>
      </w:pPr>
    </w:p>
    <w:p w14:paraId="4639B2EF" w14:textId="08C06438"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Criminal Liability</w:t>
      </w:r>
    </w:p>
    <w:p w14:paraId="07B8AE4D" w14:textId="77777777" w:rsidR="00FC3301" w:rsidRPr="00FC3301" w:rsidRDefault="00FC3301" w:rsidP="00EB12E6">
      <w:pPr>
        <w:shd w:val="clear" w:color="auto" w:fill="FFFFFF"/>
        <w:spacing w:line="360" w:lineRule="auto"/>
        <w:textAlignment w:val="baseline"/>
        <w:rPr>
          <w:rFonts w:eastAsia="Times New Roman" w:cs="Arial"/>
          <w:color w:val="000000" w:themeColor="text1"/>
          <w:szCs w:val="20"/>
        </w:rPr>
      </w:pPr>
    </w:p>
    <w:p w14:paraId="2E9260A7" w14:textId="31C5AE33"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As with civil liability, both individuals and organizational entities can be liable for criminal sanctions based on their actions during an emergency response event. Criminal prosecutions of first responders, healthcare providers, and volunteers involved in emergency response activities are most likely to occur where there has been egregious or willful misconduct on the part of the actor. Ultimately, however, the decision to seek prosecution in any given situation is a matter of prosecutorial discretion and, where required, the decision of a grand jury to indict. Even where there are statutory liability protections available to emergency response participants, they generally exclude coverage for criminal acts, willful or wanton actions, and gross negligence. </w:t>
      </w:r>
    </w:p>
    <w:p w14:paraId="46DE0F89" w14:textId="77777777" w:rsidR="00FC3301" w:rsidRPr="00FC3301" w:rsidRDefault="00FC3301" w:rsidP="00EB12E6">
      <w:pPr>
        <w:spacing w:line="360" w:lineRule="auto"/>
        <w:rPr>
          <w:rFonts w:eastAsia="Times New Roman" w:cs="Arial"/>
          <w:b/>
          <w:bCs/>
          <w:color w:val="000000" w:themeColor="text1"/>
          <w:sz w:val="28"/>
          <w:szCs w:val="24"/>
        </w:rPr>
      </w:pPr>
    </w:p>
    <w:p w14:paraId="4092BABD" w14:textId="2E64852E" w:rsidR="0099702B" w:rsidRPr="0099702B" w:rsidRDefault="0099702B" w:rsidP="00EB12E6">
      <w:pPr>
        <w:keepNext/>
        <w:keepLines/>
        <w:spacing w:line="360" w:lineRule="auto"/>
        <w:rPr>
          <w:rFonts w:eastAsia="Times New Roman" w:cs="Arial"/>
          <w:b/>
          <w:bCs/>
          <w:color w:val="3C3030"/>
          <w:sz w:val="24"/>
          <w:szCs w:val="24"/>
        </w:rPr>
      </w:pPr>
      <w:r w:rsidRPr="0099702B">
        <w:rPr>
          <w:rFonts w:eastAsia="Times New Roman" w:cs="Arial"/>
          <w:b/>
          <w:bCs/>
          <w:color w:val="3C3030"/>
          <w:sz w:val="24"/>
          <w:szCs w:val="24"/>
        </w:rPr>
        <w:t>Liability Protections and Immunities</w:t>
      </w:r>
    </w:p>
    <w:p w14:paraId="308D3C8D" w14:textId="77777777" w:rsidR="00FC3301" w:rsidRPr="0079749B" w:rsidRDefault="00FC3301" w:rsidP="00EB12E6">
      <w:pPr>
        <w:shd w:val="clear" w:color="auto" w:fill="FFFFFF"/>
        <w:spacing w:line="360" w:lineRule="auto"/>
        <w:textAlignment w:val="baseline"/>
        <w:rPr>
          <w:rFonts w:eastAsia="Times New Roman" w:cs="Arial"/>
          <w:color w:val="000000" w:themeColor="text1"/>
          <w:sz w:val="20"/>
          <w:szCs w:val="20"/>
        </w:rPr>
      </w:pPr>
    </w:p>
    <w:p w14:paraId="2AAE38EA" w14:textId="77777777" w:rsidR="00FC3301" w:rsidRPr="0079749B" w:rsidRDefault="0099702B" w:rsidP="00EB12E6">
      <w:pPr>
        <w:keepLines/>
        <w:shd w:val="clear" w:color="auto" w:fill="FFFFFF"/>
        <w:spacing w:line="360" w:lineRule="auto"/>
        <w:textAlignment w:val="baseline"/>
        <w:rPr>
          <w:rFonts w:eastAsia="Times New Roman" w:cs="Arial"/>
          <w:color w:val="000000" w:themeColor="text1"/>
          <w:szCs w:val="20"/>
        </w:rPr>
      </w:pPr>
      <w:bookmarkStart w:id="0" w:name="_GoBack"/>
      <w:bookmarkEnd w:id="0"/>
      <w:r w:rsidRPr="0099702B">
        <w:rPr>
          <w:rFonts w:eastAsia="Times New Roman" w:cs="Arial"/>
          <w:color w:val="000000" w:themeColor="text1"/>
          <w:szCs w:val="20"/>
        </w:rPr>
        <w:lastRenderedPageBreak/>
        <w:t xml:space="preserve">While the foregoing list of potential theories of liability for various actors involved in emergency preparedness and response activities can seem daunting, there are significant sources of liability protection available at the state and federal levels. Many of these protections were newly developed or refined within the last decade. Others are fundamental principles of governmental immunity that continue to evolve as our understanding of modern emergencies likewise evolves. What has emerged is a mosaic of protections that can provide varying degrees of coverage: the extent to which liability protections are available to an individual, entity, or class will depend on the actor, the law providing the protections, and the circumstances surrounding a </w:t>
      </w:r>
      <w:proofErr w:type="gramStart"/>
      <w:r w:rsidRPr="0099702B">
        <w:rPr>
          <w:rFonts w:eastAsia="Times New Roman" w:cs="Arial"/>
          <w:color w:val="000000" w:themeColor="text1"/>
          <w:szCs w:val="20"/>
        </w:rPr>
        <w:t>particular emergency</w:t>
      </w:r>
      <w:proofErr w:type="gramEnd"/>
      <w:r w:rsidRPr="0099702B">
        <w:rPr>
          <w:rFonts w:eastAsia="Times New Roman" w:cs="Arial"/>
          <w:color w:val="000000" w:themeColor="text1"/>
          <w:szCs w:val="20"/>
        </w:rPr>
        <w:t xml:space="preserve"> response. </w:t>
      </w:r>
    </w:p>
    <w:p w14:paraId="02ACCDEC" w14:textId="77777777" w:rsidR="00FC3301" w:rsidRPr="0079749B" w:rsidRDefault="00FC3301" w:rsidP="00EB12E6">
      <w:pPr>
        <w:shd w:val="clear" w:color="auto" w:fill="FFFFFF"/>
        <w:spacing w:line="360" w:lineRule="auto"/>
        <w:textAlignment w:val="baseline"/>
        <w:rPr>
          <w:rFonts w:eastAsia="Times New Roman" w:cs="Arial"/>
          <w:color w:val="000000" w:themeColor="text1"/>
          <w:szCs w:val="20"/>
        </w:rPr>
      </w:pPr>
    </w:p>
    <w:p w14:paraId="5812B6DB" w14:textId="3D3115A3" w:rsidR="0099702B" w:rsidRPr="0099702B" w:rsidRDefault="0099702B" w:rsidP="00EB12E6">
      <w:pPr>
        <w:shd w:val="clear" w:color="auto" w:fill="FFFFFF"/>
        <w:spacing w:line="360" w:lineRule="auto"/>
        <w:textAlignment w:val="baseline"/>
        <w:rPr>
          <w:rFonts w:eastAsia="Times New Roman" w:cs="Arial"/>
          <w:color w:val="000000" w:themeColor="text1"/>
          <w:sz w:val="20"/>
          <w:szCs w:val="20"/>
        </w:rPr>
      </w:pPr>
      <w:r w:rsidRPr="0099702B">
        <w:rPr>
          <w:rFonts w:eastAsia="Times New Roman" w:cs="Arial"/>
          <w:color w:val="000000" w:themeColor="text1"/>
          <w:szCs w:val="20"/>
        </w:rPr>
        <w:t>This section reviews available federal and state immunity and liability protections, highlights the actors covered, and discusses the types and extent of liability protections provided. This section provides an overview of potential liability protections; it is not intended to be a comprehensive listing or analysis of these or other available protections</w:t>
      </w:r>
      <w:r w:rsidRPr="0099702B">
        <w:rPr>
          <w:rFonts w:eastAsia="Times New Roman" w:cs="Arial"/>
          <w:color w:val="000000" w:themeColor="text1"/>
          <w:sz w:val="20"/>
          <w:szCs w:val="20"/>
        </w:rPr>
        <w:t>. </w:t>
      </w:r>
    </w:p>
    <w:p w14:paraId="743986BA" w14:textId="77777777" w:rsidR="00FC3301" w:rsidRPr="0079749B" w:rsidRDefault="00FC3301" w:rsidP="00EB12E6">
      <w:pPr>
        <w:spacing w:line="360" w:lineRule="auto"/>
        <w:rPr>
          <w:rFonts w:eastAsia="Times New Roman" w:cs="Arial"/>
          <w:b/>
          <w:bCs/>
          <w:color w:val="000000" w:themeColor="text1"/>
          <w:szCs w:val="24"/>
        </w:rPr>
      </w:pPr>
    </w:p>
    <w:p w14:paraId="60FDD35D" w14:textId="1F17EF06"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Federal Liability Protections and Immunities</w:t>
      </w:r>
    </w:p>
    <w:p w14:paraId="04A26E88" w14:textId="77777777" w:rsidR="0099702B" w:rsidRPr="0099702B" w:rsidRDefault="0099702B" w:rsidP="00EB12E6">
      <w:pPr>
        <w:shd w:val="clear" w:color="auto" w:fill="FFFFFF"/>
        <w:spacing w:line="360" w:lineRule="auto"/>
        <w:textAlignment w:val="baseline"/>
        <w:rPr>
          <w:rFonts w:eastAsia="Times New Roman" w:cs="Arial"/>
          <w:color w:val="000000" w:themeColor="text1"/>
          <w:szCs w:val="20"/>
        </w:rPr>
      </w:pPr>
    </w:p>
    <w:p w14:paraId="6676FF6A" w14:textId="77777777"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Federal Governmental/Sovereign Immunity</w:t>
      </w:r>
    </w:p>
    <w:p w14:paraId="7E31858F" w14:textId="77777777"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 federal government’s sovereign immunity has its roots in the English common law that became the foundation of the U.S. legal system as the nation developed. The common law doctrine of sovereign immunity holds that the “king”—the state—cannot commit an illegal act and therefore cannot be sued. This doctrine has been modified through court decisions and laws like the Federal Tort Claims Act to allow suits against federal government employees and agents in certain circumstances. In the context of emergency response, one way to protect volunteers is to designate them as unpaid employees of the federal government. In doing this, the volunteers would be able to assert the liability protections afforded to federal employees. </w:t>
      </w:r>
    </w:p>
    <w:p w14:paraId="441F245D" w14:textId="77777777" w:rsidR="0079749B" w:rsidRPr="0079749B" w:rsidRDefault="0079749B" w:rsidP="00EB12E6">
      <w:pPr>
        <w:spacing w:line="360" w:lineRule="auto"/>
        <w:rPr>
          <w:rFonts w:eastAsia="Times New Roman" w:cs="Arial"/>
          <w:b/>
          <w:bCs/>
          <w:color w:val="000000" w:themeColor="text1"/>
          <w:szCs w:val="20"/>
        </w:rPr>
      </w:pPr>
    </w:p>
    <w:p w14:paraId="4CDDA90C" w14:textId="365DB615"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Federal Tort Claims Act (FTCA)</w:t>
      </w:r>
    </w:p>
    <w:p w14:paraId="48E7C760" w14:textId="77777777" w:rsidR="0079749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The FTCA is generally the exclusive path by which individuals can seek compensation when injured by federal employees acting within the scope of their work. The FTCA immunizes federal government employees from tort liability by substituting the federal government as the defendant in certain types of suits brought against the federal government. Specifically, the act allows suits for “injury or loss of property, or personal injury or death caused by the negligent or wrongful act or omission of any </w:t>
      </w:r>
      <w:r w:rsidRPr="0099702B">
        <w:rPr>
          <w:rFonts w:eastAsia="Times New Roman" w:cs="Arial"/>
          <w:color w:val="000000" w:themeColor="text1"/>
          <w:szCs w:val="20"/>
        </w:rPr>
        <w:lastRenderedPageBreak/>
        <w:t>employee of the government while acting within the scope of his office or employment, under circumstances where the United States, if a private person, would be liable to the claimant in accordance with the law of the place where the act or omission occurred.”</w:t>
      </w:r>
    </w:p>
    <w:p w14:paraId="56FA6533" w14:textId="77777777" w:rsidR="0079749B" w:rsidRDefault="0079749B" w:rsidP="00EB12E6">
      <w:pPr>
        <w:shd w:val="clear" w:color="auto" w:fill="FFFFFF"/>
        <w:spacing w:line="360" w:lineRule="auto"/>
        <w:textAlignment w:val="baseline"/>
        <w:rPr>
          <w:rFonts w:eastAsia="Times New Roman" w:cs="Arial"/>
          <w:color w:val="000000" w:themeColor="text1"/>
          <w:szCs w:val="20"/>
        </w:rPr>
      </w:pPr>
    </w:p>
    <w:p w14:paraId="6EAB12FD" w14:textId="5A22C334" w:rsidR="0099702B" w:rsidRPr="0099702B" w:rsidRDefault="0099702B"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Prior to filing suit under the FTCA, a claimant must present a claim to the federal agency under which the claim arises. If the agency denies the claim or fails to </w:t>
      </w:r>
      <w:proofErr w:type="gramStart"/>
      <w:r w:rsidRPr="0099702B">
        <w:rPr>
          <w:rFonts w:eastAsia="Times New Roman" w:cs="Arial"/>
          <w:color w:val="000000" w:themeColor="text1"/>
          <w:szCs w:val="20"/>
        </w:rPr>
        <w:t>take action</w:t>
      </w:r>
      <w:proofErr w:type="gramEnd"/>
      <w:r w:rsidRPr="0099702B">
        <w:rPr>
          <w:rFonts w:eastAsia="Times New Roman" w:cs="Arial"/>
          <w:color w:val="000000" w:themeColor="text1"/>
          <w:szCs w:val="20"/>
        </w:rPr>
        <w:t xml:space="preserve"> on it within a specified time period, a claimant can file suit in federal district court. If a suit is brought, the federal government stands in as the defendant in place of a federal employee sued for actions within the scope of employment. Lawsuits under the FTCA are decided by a judge rather than a jury. Coverage under the FTCA does not require that an emergency declaration be in place before immunity attaches.</w:t>
      </w:r>
    </w:p>
    <w:p w14:paraId="340467C0" w14:textId="77777777" w:rsidR="0099702B" w:rsidRPr="000844A3" w:rsidRDefault="0099702B" w:rsidP="00EB12E6">
      <w:pPr>
        <w:pStyle w:val="ListParagraph"/>
        <w:numPr>
          <w:ilvl w:val="0"/>
          <w:numId w:val="18"/>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Actors—</w:t>
      </w:r>
      <w:r w:rsidRPr="000844A3">
        <w:rPr>
          <w:rFonts w:eastAsia="Times New Roman" w:cs="Arial"/>
          <w:color w:val="000000" w:themeColor="text1"/>
          <w:szCs w:val="20"/>
        </w:rPr>
        <w:t>The FTCA covers all government employees, including volunteers; it does not cover volunteers in nongovernmental settings.</w:t>
      </w:r>
    </w:p>
    <w:p w14:paraId="280D03B3" w14:textId="77777777" w:rsidR="0099702B" w:rsidRPr="000844A3" w:rsidRDefault="0099702B" w:rsidP="00EB12E6">
      <w:pPr>
        <w:pStyle w:val="ListParagraph"/>
        <w:numPr>
          <w:ilvl w:val="0"/>
          <w:numId w:val="18"/>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Protections—</w:t>
      </w:r>
      <w:r w:rsidRPr="000844A3">
        <w:rPr>
          <w:rFonts w:eastAsia="Times New Roman" w:cs="Arial"/>
          <w:color w:val="000000" w:themeColor="text1"/>
          <w:szCs w:val="20"/>
        </w:rPr>
        <w:t>The FTCA contains a number of exceptions under which the United States may not be held liable even though a private employer could be held liable under state law; among these exceptions are: (1) the performance of discretionary functions; (2) commission of intentional torts; (3) injuries sustained by military personnel incident to their service. Federal employees may still be sued for violating the U.S. Constitution or a federal statute that authorizes suit against an individual (see liability discussion above).</w:t>
      </w:r>
    </w:p>
    <w:p w14:paraId="1653A06E" w14:textId="77777777" w:rsidR="0099702B" w:rsidRPr="000844A3" w:rsidRDefault="0099702B" w:rsidP="00EB12E6">
      <w:pPr>
        <w:pStyle w:val="ListParagraph"/>
        <w:numPr>
          <w:ilvl w:val="0"/>
          <w:numId w:val="18"/>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Relation to State Laws—</w:t>
      </w:r>
      <w:r w:rsidRPr="000844A3">
        <w:rPr>
          <w:rFonts w:eastAsia="Times New Roman" w:cs="Arial"/>
          <w:color w:val="000000" w:themeColor="text1"/>
          <w:szCs w:val="20"/>
        </w:rPr>
        <w:t>Federal employees are immune from suit under state tort law.</w:t>
      </w:r>
    </w:p>
    <w:p w14:paraId="4F6D4BDF" w14:textId="77777777" w:rsidR="000844A3" w:rsidRDefault="000844A3" w:rsidP="00EB12E6">
      <w:pPr>
        <w:spacing w:line="360" w:lineRule="auto"/>
        <w:rPr>
          <w:rFonts w:eastAsia="Times New Roman" w:cs="Arial"/>
          <w:b/>
          <w:bCs/>
          <w:color w:val="000000" w:themeColor="text1"/>
          <w:szCs w:val="20"/>
        </w:rPr>
      </w:pPr>
    </w:p>
    <w:p w14:paraId="213E4A7E" w14:textId="191B8295"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Volunteer Protection Act</w:t>
      </w:r>
    </w:p>
    <w:p w14:paraId="6DBC95E4" w14:textId="77777777" w:rsidR="0099702B" w:rsidRPr="0099702B" w:rsidRDefault="0099702B"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 federal Volunteer Protection Act (VPA) provides immunity for volunteers of nonprofit organizations or governmental entities against claims of ordinary negligence. The act does not require that an emergency declaration be in place for its protections to apply.</w:t>
      </w:r>
    </w:p>
    <w:p w14:paraId="76CF4F06" w14:textId="77777777" w:rsidR="0099702B" w:rsidRPr="000844A3" w:rsidRDefault="0099702B" w:rsidP="00EB12E6">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Actors—</w:t>
      </w:r>
      <w:r w:rsidRPr="000844A3">
        <w:rPr>
          <w:rFonts w:eastAsia="Times New Roman" w:cs="Arial"/>
          <w:color w:val="000000" w:themeColor="text1"/>
          <w:szCs w:val="20"/>
        </w:rPr>
        <w:t>The VPA protects individual volunteers who are working without compensation and within their scope of responsibility for a governmental entity or nonprofit organization. VPA does not protect volunteers working in businesses (including for-profit hospitals) and organizational entities of any type (including nonprofit or governmental organizations) that use volunteers.</w:t>
      </w:r>
    </w:p>
    <w:p w14:paraId="0A179B7C" w14:textId="77777777" w:rsidR="0099702B" w:rsidRPr="000844A3" w:rsidRDefault="0099702B" w:rsidP="00EB12E6">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Protections—</w:t>
      </w:r>
      <w:r w:rsidRPr="000844A3">
        <w:rPr>
          <w:rFonts w:eastAsia="Times New Roman" w:cs="Arial"/>
          <w:color w:val="000000" w:themeColor="text1"/>
          <w:szCs w:val="20"/>
        </w:rPr>
        <w:t xml:space="preserve">The VPA shields volunteers from ordinary negligence. It does not protect volunteers from liability for: (1) actions beyond ordinary negligence (e.g., gross negligence); (2) actions for </w:t>
      </w:r>
      <w:r w:rsidRPr="000844A3">
        <w:rPr>
          <w:rFonts w:eastAsia="Times New Roman" w:cs="Arial"/>
          <w:color w:val="000000" w:themeColor="text1"/>
          <w:szCs w:val="20"/>
        </w:rPr>
        <w:lastRenderedPageBreak/>
        <w:t>which the volunteer is not properly licensed or insured; (3) operation of a motor or other vehicle that requires a license and insurance; or (4) for any criminal conduct or civil rights violations. A plaintiff’s right to recover is limited to punitive damages from a protected volunteer; the VPA does not provide for payment of defense costs or payment of a judgment or settlement. The act also does not prohibit a nonprofit or governmental entity from suing its own volunteers.</w:t>
      </w:r>
    </w:p>
    <w:p w14:paraId="46B492BA" w14:textId="77777777" w:rsidR="0099702B" w:rsidRPr="000844A3" w:rsidRDefault="0099702B" w:rsidP="00EB12E6">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Relation to State Laws—</w:t>
      </w:r>
      <w:r w:rsidRPr="000844A3">
        <w:rPr>
          <w:rFonts w:eastAsia="Times New Roman" w:cs="Arial"/>
          <w:color w:val="000000" w:themeColor="text1"/>
          <w:szCs w:val="20"/>
        </w:rPr>
        <w:t>The VPA expressly preempts state volunteer protection laws that provide less coverage than the VPA; states can adopt laws that provide greater protections than the VPA.</w:t>
      </w:r>
    </w:p>
    <w:p w14:paraId="0FFE9720" w14:textId="77777777" w:rsidR="000844A3" w:rsidRDefault="000844A3" w:rsidP="00EB12E6">
      <w:pPr>
        <w:spacing w:line="360" w:lineRule="auto"/>
        <w:rPr>
          <w:rFonts w:eastAsia="Times New Roman" w:cs="Arial"/>
          <w:b/>
          <w:bCs/>
          <w:color w:val="000000" w:themeColor="text1"/>
          <w:szCs w:val="20"/>
        </w:rPr>
      </w:pPr>
    </w:p>
    <w:p w14:paraId="186DC9A2" w14:textId="02A85CD9"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Public Readiness and Emergency Preparedness Act (PREP Act)</w:t>
      </w:r>
    </w:p>
    <w:p w14:paraId="46DCFA15" w14:textId="77777777" w:rsidR="0099702B" w:rsidRPr="0099702B" w:rsidRDefault="0099702B"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The Public Readiness and Emergency Preparedness Act of 2005 (PREP Act) authorizes the HHS Secretary to issue a declaration that provides immunity from tort liability for claims of loss caused by countermeasures (vaccines, drugs, products) against diseases or other threats of public health emergencies. The PREP Act added new authorities under the Public Health Service Act to address concerns about potential liability associated with the development and administration of countermeasures. A separate public health emergency determination under Public Health Service Act Section 319 or an emergency declaration under another statute is not required for PREP Act immunities to take </w:t>
      </w:r>
      <w:proofErr w:type="spellStart"/>
      <w:r w:rsidRPr="0099702B">
        <w:rPr>
          <w:rFonts w:eastAsia="Times New Roman" w:cs="Arial"/>
          <w:color w:val="000000" w:themeColor="text1"/>
          <w:szCs w:val="20"/>
        </w:rPr>
        <w:t>affect</w:t>
      </w:r>
      <w:proofErr w:type="spellEnd"/>
      <w:r w:rsidRPr="0099702B">
        <w:rPr>
          <w:rFonts w:eastAsia="Times New Roman" w:cs="Arial"/>
          <w:color w:val="000000" w:themeColor="text1"/>
          <w:szCs w:val="20"/>
        </w:rPr>
        <w:t>.</w:t>
      </w:r>
    </w:p>
    <w:p w14:paraId="2672D43E" w14:textId="77777777" w:rsidR="0099702B" w:rsidRPr="001C40BE" w:rsidRDefault="0099702B" w:rsidP="00EB12E6">
      <w:pPr>
        <w:pStyle w:val="ListParagraph"/>
        <w:numPr>
          <w:ilvl w:val="0"/>
          <w:numId w:val="20"/>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Actors—</w:t>
      </w:r>
      <w:r w:rsidRPr="001C40BE">
        <w:rPr>
          <w:rFonts w:eastAsia="Times New Roman" w:cs="Arial"/>
          <w:color w:val="000000" w:themeColor="text1"/>
          <w:szCs w:val="20"/>
        </w:rPr>
        <w:t>The PREP Act covers individual persons and entities. Covered persons may, at the secretary’s discretion, include manufacturers, distributors, program planners (i.e., individuals and entities involved in planning and administering programs for distribution of a countermeasure), and qualified persons who prescribe, administer, or dispense countermeasures (i.e., healthcare and other providers), as well as the United States. Officials, agents, and employees of any of these entities or persons are also covered persons.</w:t>
      </w:r>
    </w:p>
    <w:p w14:paraId="1E45157C" w14:textId="77777777" w:rsidR="0099702B" w:rsidRPr="001C40BE" w:rsidRDefault="0099702B" w:rsidP="00EB12E6">
      <w:pPr>
        <w:pStyle w:val="ListParagraph"/>
        <w:numPr>
          <w:ilvl w:val="0"/>
          <w:numId w:val="20"/>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Activities Covered—</w:t>
      </w:r>
      <w:r w:rsidRPr="001C40BE">
        <w:rPr>
          <w:rFonts w:eastAsia="Times New Roman" w:cs="Arial"/>
          <w:color w:val="000000" w:themeColor="text1"/>
          <w:szCs w:val="20"/>
        </w:rPr>
        <w:t>The immunity applies to the development, manufacture, testing, distribution, administration, and use of countermeasures.</w:t>
      </w:r>
    </w:p>
    <w:p w14:paraId="5B55EA0C" w14:textId="77777777" w:rsidR="0099702B" w:rsidRPr="001C40BE" w:rsidRDefault="0099702B" w:rsidP="00EB12E6">
      <w:pPr>
        <w:pStyle w:val="ListParagraph"/>
        <w:numPr>
          <w:ilvl w:val="0"/>
          <w:numId w:val="20"/>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Countermeasures Covered—</w:t>
      </w:r>
      <w:r w:rsidRPr="001C40BE">
        <w:rPr>
          <w:rFonts w:eastAsia="Times New Roman" w:cs="Arial"/>
          <w:color w:val="000000" w:themeColor="text1"/>
          <w:szCs w:val="20"/>
        </w:rPr>
        <w:t>Countermeasures can include vaccines, drugs, or medical devices to be used against chemical, biological, radiological, and nuclear agents of terrorism, epidemics, and pandemics.</w:t>
      </w:r>
    </w:p>
    <w:p w14:paraId="0A00AA73" w14:textId="77777777" w:rsidR="0099702B" w:rsidRPr="001C40BE" w:rsidRDefault="0099702B" w:rsidP="00EB12E6">
      <w:pPr>
        <w:pStyle w:val="ListParagraph"/>
        <w:numPr>
          <w:ilvl w:val="0"/>
          <w:numId w:val="20"/>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Protections—</w:t>
      </w:r>
      <w:r w:rsidRPr="001C40BE">
        <w:rPr>
          <w:rFonts w:eastAsia="Times New Roman" w:cs="Arial"/>
          <w:color w:val="000000" w:themeColor="text1"/>
          <w:szCs w:val="20"/>
        </w:rPr>
        <w:t xml:space="preserve">The PREP Act provides immunity from tort liability (except for willful misconduct) for the condition or fear of death, physical, mental, emotional, injury, illness, or disability. Immunity </w:t>
      </w:r>
      <w:r w:rsidRPr="001C40BE">
        <w:rPr>
          <w:rFonts w:eastAsia="Times New Roman" w:cs="Arial"/>
          <w:color w:val="000000" w:themeColor="text1"/>
          <w:szCs w:val="20"/>
        </w:rPr>
        <w:lastRenderedPageBreak/>
        <w:t>includes covering claims for medical monitoring and the loss or damage to property, including business interruption. Claims must have a causal relationship to the development, distribution, administration, or use of the covered countermeasure. The PREP Act also authorizes an emergency fund, the Countermeasures Injury Compensation Program (CICP), to provide compensation for injuries directly caused by administration or use of a countermeasure covered by the HHS secretary’s declaration. </w:t>
      </w:r>
      <w:r w:rsidRPr="001C40BE">
        <w:rPr>
          <w:rFonts w:eastAsia="Times New Roman" w:cs="Arial"/>
          <w:color w:val="000000" w:themeColor="text1"/>
          <w:szCs w:val="20"/>
        </w:rPr>
        <w:br/>
      </w:r>
      <w:r w:rsidRPr="001C40BE">
        <w:rPr>
          <w:rFonts w:eastAsia="Times New Roman" w:cs="Arial"/>
          <w:color w:val="000000" w:themeColor="text1"/>
          <w:szCs w:val="20"/>
        </w:rPr>
        <w:br/>
        <w:t>A PREP Act declaration by the HHS secretary only relates to providing immunity from liability for the covered persons and activities related to covered countermeasures. The act’s liability protections do not apply where the liability arose from willful misconduct. It also does not protect individuals who violate a person’s civil rights or who violate the ADA, among other exceptions. Furthermore, the PREP Act does not automatically protect everyone involved in a medical response to an emergency. Liability protection under the PREP Act is limited to a specific emergency and includes only the countermeasures and other conditions listed in the PREP Act declaration.</w:t>
      </w:r>
    </w:p>
    <w:p w14:paraId="40DA5609" w14:textId="77777777" w:rsidR="0079749B" w:rsidRDefault="0079749B" w:rsidP="00EB12E6">
      <w:pPr>
        <w:spacing w:line="360" w:lineRule="auto"/>
        <w:rPr>
          <w:rFonts w:eastAsia="Times New Roman" w:cs="Arial"/>
          <w:b/>
          <w:bCs/>
          <w:color w:val="3C3030"/>
          <w:sz w:val="24"/>
          <w:szCs w:val="24"/>
        </w:rPr>
      </w:pPr>
    </w:p>
    <w:p w14:paraId="5697BA51" w14:textId="79C2CA5D"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State Liability Protections and Immunities</w:t>
      </w:r>
    </w:p>
    <w:p w14:paraId="4F66EB7C" w14:textId="77777777" w:rsidR="0079749B" w:rsidRPr="002A2B2D" w:rsidRDefault="0079749B" w:rsidP="00EB12E6">
      <w:pPr>
        <w:spacing w:line="360" w:lineRule="auto"/>
        <w:rPr>
          <w:rFonts w:eastAsia="Times New Roman" w:cs="Arial"/>
          <w:b/>
          <w:bCs/>
          <w:color w:val="000000" w:themeColor="text1"/>
          <w:szCs w:val="20"/>
        </w:rPr>
      </w:pPr>
    </w:p>
    <w:p w14:paraId="15D3ACA4" w14:textId="132361AD"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Governmental/Sovereign Immunity</w:t>
      </w:r>
    </w:p>
    <w:p w14:paraId="7492C2AD" w14:textId="77777777"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State governments are immune from lawsuits under sovereign immunity conferred by the 11th Amendment of the U.S. Constitution. Like the federal government, some states have waived this immunity in certain circumstances through state tort claims or state claims acts. These acts generally immunize government employees from tort liability for acts or omissions committed within their scope of employment. Some states cap the amount of money damages available from a judgment against the state and frequently prohibit the recovery of punitive damages against the state. Some states extend these protections to volunteers; others declare them unpaid state employees during an emergency. </w:t>
      </w:r>
    </w:p>
    <w:p w14:paraId="7D5B1074" w14:textId="77777777" w:rsidR="002A2B2D" w:rsidRPr="002A2B2D" w:rsidRDefault="002A2B2D" w:rsidP="00EB12E6">
      <w:pPr>
        <w:spacing w:line="360" w:lineRule="auto"/>
        <w:rPr>
          <w:rFonts w:eastAsia="Times New Roman" w:cs="Arial"/>
          <w:b/>
          <w:bCs/>
          <w:color w:val="000000" w:themeColor="text1"/>
          <w:szCs w:val="20"/>
        </w:rPr>
      </w:pPr>
    </w:p>
    <w:p w14:paraId="3D436268" w14:textId="101E9EC9"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Tort Claims Acts</w:t>
      </w:r>
    </w:p>
    <w:p w14:paraId="5D22F77C" w14:textId="77777777"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State tort claims acts are generally modeled after the FTCA and are the most common type of statutory waiver of sovereign immunity. These types of laws either abolish state sovereign immunity generally and provide immunity in only specific </w:t>
      </w:r>
      <w:proofErr w:type="gramStart"/>
      <w:r w:rsidRPr="0099702B">
        <w:rPr>
          <w:rFonts w:eastAsia="Times New Roman" w:cs="Arial"/>
          <w:color w:val="000000" w:themeColor="text1"/>
          <w:szCs w:val="20"/>
        </w:rPr>
        <w:t>circumstances, or</w:t>
      </w:r>
      <w:proofErr w:type="gramEnd"/>
      <w:r w:rsidRPr="0099702B">
        <w:rPr>
          <w:rFonts w:eastAsia="Times New Roman" w:cs="Arial"/>
          <w:color w:val="000000" w:themeColor="text1"/>
          <w:szCs w:val="20"/>
        </w:rPr>
        <w:t xml:space="preserve"> preserve sovereign immunity generally but identify certain exceptions in which immunity is waived. </w:t>
      </w:r>
    </w:p>
    <w:p w14:paraId="7BFFB57C" w14:textId="77777777" w:rsidR="002A2B2D" w:rsidRPr="002A2B2D" w:rsidRDefault="002A2B2D" w:rsidP="00EB12E6">
      <w:pPr>
        <w:spacing w:line="360" w:lineRule="auto"/>
        <w:rPr>
          <w:rFonts w:eastAsia="Times New Roman" w:cs="Arial"/>
          <w:b/>
          <w:bCs/>
          <w:color w:val="000000" w:themeColor="text1"/>
          <w:szCs w:val="20"/>
        </w:rPr>
      </w:pPr>
    </w:p>
    <w:p w14:paraId="217D49BC" w14:textId="01BE48E9"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lastRenderedPageBreak/>
        <w:t>State Claims Acts</w:t>
      </w:r>
    </w:p>
    <w:p w14:paraId="5E82642C" w14:textId="77777777"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State claims acts are contrasted with state tort claims acts. Claims acts limit state sovereign immunity by establishing procedures for making claims against the state, which are overseen by a special claims court. The claims courts are empowered to decide claims, limit the amount of damages, and find exceptions to liability. </w:t>
      </w:r>
    </w:p>
    <w:p w14:paraId="51FD4190" w14:textId="77777777" w:rsidR="002A2B2D" w:rsidRPr="002A2B2D" w:rsidRDefault="002A2B2D" w:rsidP="00EB12E6">
      <w:pPr>
        <w:spacing w:line="360" w:lineRule="auto"/>
        <w:rPr>
          <w:rFonts w:eastAsia="Times New Roman" w:cs="Arial"/>
          <w:b/>
          <w:bCs/>
          <w:color w:val="000000" w:themeColor="text1"/>
          <w:szCs w:val="20"/>
        </w:rPr>
      </w:pPr>
    </w:p>
    <w:p w14:paraId="4B49D2A3" w14:textId="1BE241A6"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Emergency Powers Statutes</w:t>
      </w:r>
    </w:p>
    <w:p w14:paraId="6A228B35" w14:textId="77777777"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State emergency laws can trigger additional powers, suspend certain administrative requirements, and provide or enhance liability protections to specified responders upon a gubernatorial declaration of emergency. These emergency statutes may include liability protections for specified groups of volunteers and other responders that are more tailored to their services (e.g., health, fire, law enforcement, or engineering). These statutes can extend the rights and immunities provided to governmental employees to volunteers performing work that is eligible for coverage under governmental immunity and state tort claims acts. There is a wide range in the types and degrees of coverage provided to volunteers under emergency powers statutes. The provisions can be broad or duplicative of other provisions in state law. </w:t>
      </w:r>
    </w:p>
    <w:p w14:paraId="7868EC94" w14:textId="77777777" w:rsidR="002A2B2D" w:rsidRDefault="002A2B2D" w:rsidP="00EB12E6">
      <w:pPr>
        <w:spacing w:line="360" w:lineRule="auto"/>
        <w:rPr>
          <w:rFonts w:eastAsia="Times New Roman" w:cs="Arial"/>
          <w:b/>
          <w:bCs/>
          <w:color w:val="000000" w:themeColor="text1"/>
          <w:szCs w:val="20"/>
        </w:rPr>
      </w:pPr>
    </w:p>
    <w:p w14:paraId="4A4361D8" w14:textId="35D99D00"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General Volunteer Protection Statutes</w:t>
      </w:r>
    </w:p>
    <w:p w14:paraId="160D8366" w14:textId="77777777" w:rsidR="0099702B" w:rsidRPr="0099702B" w:rsidRDefault="0099702B" w:rsidP="00EB12E6">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All states have some statutory protections for volunteers. The federal VPA (see above) preempts state laws that are less protective than the </w:t>
      </w:r>
      <w:proofErr w:type="gramStart"/>
      <w:r w:rsidRPr="0099702B">
        <w:rPr>
          <w:rFonts w:eastAsia="Times New Roman" w:cs="Arial"/>
          <w:color w:val="000000" w:themeColor="text1"/>
          <w:szCs w:val="20"/>
        </w:rPr>
        <w:t>VPA, but</w:t>
      </w:r>
      <w:proofErr w:type="gramEnd"/>
      <w:r w:rsidRPr="0099702B">
        <w:rPr>
          <w:rFonts w:eastAsia="Times New Roman" w:cs="Arial"/>
          <w:color w:val="000000" w:themeColor="text1"/>
          <w:szCs w:val="20"/>
        </w:rPr>
        <w:t xml:space="preserve"> allows states to pass laws with greater protections. Generally, like the VPA, these statutes do not require that an emergency declaration be in place, apply to uncompensated individual volunteers for nonprofit and governmental entities only, and apply only to individual persons and not to organizations. However, because each state’s approach is different, it is important to identify what actors, actions, and liability protections are covered and those that are not under a specific state’s statute. </w:t>
      </w:r>
    </w:p>
    <w:p w14:paraId="40D22878" w14:textId="77777777" w:rsidR="002A2B2D" w:rsidRDefault="002A2B2D" w:rsidP="00EB12E6">
      <w:pPr>
        <w:spacing w:line="360" w:lineRule="auto"/>
        <w:rPr>
          <w:rFonts w:eastAsia="Times New Roman" w:cs="Arial"/>
          <w:b/>
          <w:bCs/>
          <w:color w:val="000000" w:themeColor="text1"/>
          <w:szCs w:val="20"/>
        </w:rPr>
      </w:pPr>
    </w:p>
    <w:p w14:paraId="1F76910F" w14:textId="6C48D2F6"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Healthcare Volunteer Protection Statutes</w:t>
      </w:r>
    </w:p>
    <w:p w14:paraId="22A7BE59" w14:textId="77777777"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Many states have also adopted specific liability protections for volunteer health professionals (VHPs) in addition to or to supplement their emergency powers and general volunteer protection statutes. Like the VPA, VHP protection statutes confer immunity to volunteers from civil liability provided that certain conditions are met and are not dependent on the existence of an emergency declaration. </w:t>
      </w:r>
    </w:p>
    <w:p w14:paraId="6D4A3F10" w14:textId="77777777" w:rsidR="002A2B2D" w:rsidRDefault="002A2B2D" w:rsidP="00EB12E6">
      <w:pPr>
        <w:spacing w:line="360" w:lineRule="auto"/>
        <w:rPr>
          <w:rFonts w:eastAsia="Times New Roman" w:cs="Arial"/>
          <w:b/>
          <w:bCs/>
          <w:color w:val="000000" w:themeColor="text1"/>
          <w:szCs w:val="20"/>
        </w:rPr>
      </w:pPr>
    </w:p>
    <w:p w14:paraId="183E2444" w14:textId="59675C3C"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lastRenderedPageBreak/>
        <w:t>Uniform Emergency Volunteer Health Practitioners Act (UEVHPA)</w:t>
      </w:r>
    </w:p>
    <w:p w14:paraId="23020691" w14:textId="77777777"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Some states have adopted the Uniform Emergency Volunteer Health Practitioners Act (UEVHPA), which is uniform model law adopted by the Uniform Law Commission. The UEVHPA was conceived </w:t>
      </w:r>
      <w:proofErr w:type="gramStart"/>
      <w:r w:rsidRPr="0099702B">
        <w:rPr>
          <w:rFonts w:eastAsia="Times New Roman" w:cs="Arial"/>
          <w:color w:val="000000" w:themeColor="text1"/>
          <w:szCs w:val="20"/>
        </w:rPr>
        <w:t>as a way to</w:t>
      </w:r>
      <w:proofErr w:type="gramEnd"/>
      <w:r w:rsidRPr="0099702B">
        <w:rPr>
          <w:rFonts w:eastAsia="Times New Roman" w:cs="Arial"/>
          <w:color w:val="000000" w:themeColor="text1"/>
          <w:szCs w:val="20"/>
        </w:rPr>
        <w:t xml:space="preserve"> further supplement the number of VHPs who can rapidly respond to emergency events, particularly since traditional mutual aid approaches were viewed as insufficient to rapidly deploy VHPs. The UEVHPA permits health professionals to register either in advance of or during an emergency to provide volunteer services in an enacting state. Under the UEVHPA, VHPs can register through governmentally established registration systems (e.g., ESAR-VHP or Medical Reserve Corps) or with registration systems established by disaster relief organizations, licensing boards, or national or multi-state systems established by associations of licensing boards or health professionals. UVEHPA liability protections become effective upon the state emergency declaration. </w:t>
      </w:r>
    </w:p>
    <w:p w14:paraId="57E8C399" w14:textId="77777777" w:rsidR="002A2B2D" w:rsidRDefault="002A2B2D" w:rsidP="00EB12E6">
      <w:pPr>
        <w:spacing w:line="360" w:lineRule="auto"/>
        <w:rPr>
          <w:rFonts w:eastAsia="Times New Roman" w:cs="Arial"/>
          <w:b/>
          <w:bCs/>
          <w:color w:val="000000" w:themeColor="text1"/>
          <w:szCs w:val="20"/>
        </w:rPr>
      </w:pPr>
    </w:p>
    <w:p w14:paraId="1FC2B58E" w14:textId="54623DC6"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Good Samaritan Laws</w:t>
      </w:r>
    </w:p>
    <w:p w14:paraId="0BBBCA00" w14:textId="77777777"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Good Samaritan laws can provide liability protection to volunteers who are near an emergency event and respond to help victims. No formal emergency declaration or activation of the volunteer as part of an emergency response force is required for Good Samaritan liability protections to attach. Every state has a Good Samaritan statute, but the actors eligible for coverage and qualifying circumstances under which care is delivered varies. Generally, Good Samaritan statutes cover the spontaneous rendering of aid and reduce the standard of care that would normally be required of the person supplying aid (e.g., a doctor or nurse helping a victim at the scene of an accident) to account for the exigent circumstances in which the care is being delivered. These laws generally do not apply to employees on duty (e.g., EMTs) and may not apply for pre-arranged or compensated volunteers. Good Samaritan laws provide limited immunity from civil liability for ordinary negligence to protected volunteers; they do not provide payment for defense costs, judgments, or settlements. As with other volunteer protection statutes, Good Samaritan laws do not cover egregious conduct. </w:t>
      </w:r>
    </w:p>
    <w:p w14:paraId="22FF3428" w14:textId="77777777" w:rsidR="002A2B2D" w:rsidRDefault="002A2B2D" w:rsidP="00EB12E6">
      <w:pPr>
        <w:spacing w:line="360" w:lineRule="auto"/>
        <w:rPr>
          <w:rFonts w:eastAsia="Times New Roman" w:cs="Arial"/>
          <w:b/>
          <w:bCs/>
          <w:color w:val="000000" w:themeColor="text1"/>
          <w:szCs w:val="20"/>
        </w:rPr>
      </w:pPr>
    </w:p>
    <w:p w14:paraId="3E412B6E" w14:textId="17A4A94A"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Entity Liability Statutes</w:t>
      </w:r>
    </w:p>
    <w:p w14:paraId="652BF519" w14:textId="77777777" w:rsidR="0099702B" w:rsidRPr="0099702B" w:rsidRDefault="0099702B"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While liability protections for organizations and entities are generally less robust than they are for individuals, some entity protections exist and more have been developed in recent years in acknowledgment of the important role that businesses and nonprofit organizations play during emergencies. Removing the potential for liability for entities that assist in an emergency response is </w:t>
      </w:r>
      <w:r w:rsidRPr="0099702B">
        <w:rPr>
          <w:rFonts w:eastAsia="Times New Roman" w:cs="Arial"/>
          <w:color w:val="000000" w:themeColor="text1"/>
          <w:szCs w:val="20"/>
        </w:rPr>
        <w:lastRenderedPageBreak/>
        <w:t xml:space="preserve">seen </w:t>
      </w:r>
      <w:proofErr w:type="gramStart"/>
      <w:r w:rsidRPr="0099702B">
        <w:rPr>
          <w:rFonts w:eastAsia="Times New Roman" w:cs="Arial"/>
          <w:color w:val="000000" w:themeColor="text1"/>
          <w:szCs w:val="20"/>
        </w:rPr>
        <w:t>as a way to</w:t>
      </w:r>
      <w:proofErr w:type="gramEnd"/>
      <w:r w:rsidRPr="0099702B">
        <w:rPr>
          <w:rFonts w:eastAsia="Times New Roman" w:cs="Arial"/>
          <w:color w:val="000000" w:themeColor="text1"/>
          <w:szCs w:val="20"/>
        </w:rPr>
        <w:t xml:space="preserve"> ensure their participation in a response and therefore make planning for and responding to an event more efficient.</w:t>
      </w:r>
    </w:p>
    <w:p w14:paraId="6266ADA0" w14:textId="0A540882" w:rsidR="0099702B" w:rsidRDefault="0099702B" w:rsidP="00EB12E6">
      <w:pPr>
        <w:pStyle w:val="ListParagraph"/>
        <w:numPr>
          <w:ilvl w:val="0"/>
          <w:numId w:val="21"/>
        </w:numPr>
        <w:spacing w:line="360" w:lineRule="auto"/>
        <w:textAlignment w:val="baseline"/>
        <w:rPr>
          <w:rFonts w:eastAsia="Times New Roman" w:cs="Arial"/>
          <w:color w:val="000000" w:themeColor="text1"/>
          <w:szCs w:val="20"/>
        </w:rPr>
      </w:pPr>
      <w:r w:rsidRPr="003241AC">
        <w:rPr>
          <w:rFonts w:eastAsia="Times New Roman" w:cs="Arial"/>
          <w:b/>
          <w:bCs/>
          <w:color w:val="000000" w:themeColor="text1"/>
          <w:szCs w:val="20"/>
          <w:bdr w:val="none" w:sz="0" w:space="0" w:color="auto" w:frame="1"/>
        </w:rPr>
        <w:t>The Public/Private Legal Preparedness Initiative—</w:t>
      </w:r>
      <w:r w:rsidRPr="003241AC">
        <w:rPr>
          <w:rFonts w:eastAsia="Times New Roman" w:cs="Arial"/>
          <w:color w:val="000000" w:themeColor="text1"/>
          <w:szCs w:val="20"/>
        </w:rPr>
        <w:t>There has been an effort in recent years to extend Good Samaritan liability protections to entities. The Public/Private Legal Preparedness Initiative comprises various state-level coalitions of interested stakeholders from public health, emergency management, business, nonprofit entities, professional associations, and academia seeking to adopt Good Samaritan entity liability protections. Sample legislation that amends a state’s Good Samaritan law: (1) extends liability protection to cover business and nonprofit entities acting in good faith during an emergency; (2) links coverage to a gubernatorial emergency declaration; (3) applies coverage only where emergency activities are conducted in coordination with the state; and (4) includes coverage for pre-event planning and training activities that take place prior to the declared emergency.</w:t>
      </w:r>
    </w:p>
    <w:p w14:paraId="54D713C7" w14:textId="77777777" w:rsidR="003241AC" w:rsidRPr="003241AC" w:rsidRDefault="003241AC" w:rsidP="00EB12E6">
      <w:pPr>
        <w:pStyle w:val="ListParagraph"/>
        <w:spacing w:line="360" w:lineRule="auto"/>
        <w:ind w:left="360"/>
        <w:textAlignment w:val="baseline"/>
        <w:rPr>
          <w:rFonts w:eastAsia="Times New Roman" w:cs="Arial"/>
          <w:color w:val="000000" w:themeColor="text1"/>
          <w:szCs w:val="20"/>
        </w:rPr>
      </w:pPr>
    </w:p>
    <w:p w14:paraId="181FC265" w14:textId="77777777" w:rsidR="0099702B" w:rsidRPr="003241AC" w:rsidRDefault="0099702B" w:rsidP="00EB12E6">
      <w:pPr>
        <w:pStyle w:val="ListParagraph"/>
        <w:numPr>
          <w:ilvl w:val="0"/>
          <w:numId w:val="21"/>
        </w:numPr>
        <w:spacing w:line="360" w:lineRule="auto"/>
        <w:textAlignment w:val="baseline"/>
        <w:rPr>
          <w:rFonts w:eastAsia="Times New Roman" w:cs="Arial"/>
          <w:color w:val="000000" w:themeColor="text1"/>
          <w:szCs w:val="20"/>
        </w:rPr>
      </w:pPr>
      <w:r w:rsidRPr="003241AC">
        <w:rPr>
          <w:rFonts w:eastAsia="Times New Roman" w:cs="Arial"/>
          <w:b/>
          <w:bCs/>
          <w:color w:val="000000" w:themeColor="text1"/>
          <w:szCs w:val="20"/>
          <w:bdr w:val="none" w:sz="0" w:space="0" w:color="auto" w:frame="1"/>
        </w:rPr>
        <w:t>Uniform Emergency Volunteer Health Practitioners Act—</w:t>
      </w:r>
      <w:r w:rsidRPr="003241AC">
        <w:rPr>
          <w:rFonts w:eastAsia="Times New Roman" w:cs="Arial"/>
          <w:color w:val="000000" w:themeColor="text1"/>
          <w:szCs w:val="20"/>
        </w:rPr>
        <w:t>Another effort to provide entity liability protection is contained in UEVHPA. UEVHPA offers two alternatives to states for protecting volunteer health professionals during emergencies: Alternative A grants individual and entity liability protections for volunteer health professionals. Alternative B grants protection only to individuals who are uncompensated volunteers based on the criteria in the federal Volunteer Protection Act.</w:t>
      </w:r>
    </w:p>
    <w:p w14:paraId="660A2277" w14:textId="77777777" w:rsidR="003241AC" w:rsidRDefault="003241AC" w:rsidP="00EB12E6">
      <w:pPr>
        <w:spacing w:line="360" w:lineRule="auto"/>
        <w:rPr>
          <w:rFonts w:eastAsia="Times New Roman" w:cs="Arial"/>
          <w:b/>
          <w:bCs/>
          <w:color w:val="000000" w:themeColor="text1"/>
          <w:szCs w:val="20"/>
        </w:rPr>
      </w:pPr>
    </w:p>
    <w:p w14:paraId="15716C6B" w14:textId="5A1EAE1B"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Mutual Aid Agreements</w:t>
      </w:r>
    </w:p>
    <w:p w14:paraId="3B59028A" w14:textId="061E04A0" w:rsid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Mutual aid agreements are mechanisms through which jurisdictions can </w:t>
      </w:r>
      <w:proofErr w:type="gramStart"/>
      <w:r w:rsidRPr="0099702B">
        <w:rPr>
          <w:rFonts w:eastAsia="Times New Roman" w:cs="Arial"/>
          <w:color w:val="000000" w:themeColor="text1"/>
          <w:szCs w:val="20"/>
        </w:rPr>
        <w:t>provide assistance to</w:t>
      </w:r>
      <w:proofErr w:type="gramEnd"/>
      <w:r w:rsidRPr="0099702B">
        <w:rPr>
          <w:rFonts w:eastAsia="Times New Roman" w:cs="Arial"/>
          <w:color w:val="000000" w:themeColor="text1"/>
          <w:szCs w:val="20"/>
        </w:rPr>
        <w:t xml:space="preserve"> other jurisdictions during emergencies. These agreements also generally include provisions for reimbursing expenses, providing liability protections to governmental personnel and volunteers who provide aid, and awarding compensation for injuries to personnel deployed under the agreement.</w:t>
      </w:r>
    </w:p>
    <w:p w14:paraId="48A42127" w14:textId="77777777" w:rsidR="00C91B48" w:rsidRPr="0099702B" w:rsidRDefault="00C91B48" w:rsidP="00EB12E6">
      <w:pPr>
        <w:shd w:val="clear" w:color="auto" w:fill="FFFFFF"/>
        <w:spacing w:line="360" w:lineRule="auto"/>
        <w:textAlignment w:val="baseline"/>
        <w:rPr>
          <w:rFonts w:eastAsia="Times New Roman" w:cs="Arial"/>
          <w:color w:val="000000" w:themeColor="text1"/>
          <w:szCs w:val="20"/>
        </w:rPr>
      </w:pPr>
    </w:p>
    <w:p w14:paraId="60C32E6A" w14:textId="12162AF8" w:rsidR="0099702B" w:rsidRDefault="0099702B" w:rsidP="00EB12E6">
      <w:pPr>
        <w:pStyle w:val="ListParagraph"/>
        <w:numPr>
          <w:ilvl w:val="0"/>
          <w:numId w:val="22"/>
        </w:numPr>
        <w:spacing w:line="360" w:lineRule="auto"/>
        <w:textAlignment w:val="baseline"/>
        <w:rPr>
          <w:rFonts w:eastAsia="Times New Roman" w:cs="Arial"/>
          <w:color w:val="000000" w:themeColor="text1"/>
          <w:szCs w:val="20"/>
        </w:rPr>
      </w:pPr>
      <w:r w:rsidRPr="00C91B48">
        <w:rPr>
          <w:rFonts w:eastAsia="Times New Roman" w:cs="Arial"/>
          <w:b/>
          <w:bCs/>
          <w:color w:val="000000" w:themeColor="text1"/>
          <w:szCs w:val="20"/>
          <w:bdr w:val="none" w:sz="0" w:space="0" w:color="auto" w:frame="1"/>
        </w:rPr>
        <w:t>Emergency Management Assistance Compact—</w:t>
      </w:r>
      <w:r w:rsidRPr="00C91B48">
        <w:rPr>
          <w:rFonts w:eastAsia="Times New Roman" w:cs="Arial"/>
          <w:color w:val="000000" w:themeColor="text1"/>
          <w:szCs w:val="20"/>
        </w:rPr>
        <w:t xml:space="preserve">EMAC is the most widely adopted mutual aid agreement in the United Sates; it has been adopted by all states, the District of Columbia, and some territories. Congress ratified EMAC in 1996. EMAC provides an organized structure through which a state can request aid from other states during an emergency. Under EMAC, when officers or employees of one state provide aid to another state, they </w:t>
      </w:r>
      <w:proofErr w:type="gramStart"/>
      <w:r w:rsidRPr="00C91B48">
        <w:rPr>
          <w:rFonts w:eastAsia="Times New Roman" w:cs="Arial"/>
          <w:color w:val="000000" w:themeColor="text1"/>
          <w:szCs w:val="20"/>
        </w:rPr>
        <w:t>are considered to be</w:t>
      </w:r>
      <w:proofErr w:type="gramEnd"/>
      <w:r w:rsidRPr="00C91B48">
        <w:rPr>
          <w:rFonts w:eastAsia="Times New Roman" w:cs="Arial"/>
          <w:color w:val="000000" w:themeColor="text1"/>
          <w:szCs w:val="20"/>
        </w:rPr>
        <w:t xml:space="preserve"> agents of the state receiving aid for tort and immunity purposes. Covered individuals and the state itself are immune from tort liability for acts or omissions committed in good faith while rendering aid or providing </w:t>
      </w:r>
      <w:r w:rsidRPr="00C91B48">
        <w:rPr>
          <w:rFonts w:eastAsia="Times New Roman" w:cs="Arial"/>
          <w:color w:val="000000" w:themeColor="text1"/>
          <w:szCs w:val="20"/>
        </w:rPr>
        <w:lastRenderedPageBreak/>
        <w:t>supplies and equipment. EMAC also provides reciprocity for individuals who hold a license, certificate, or other authorization to practice medicine or other skilled professions to provide those services in the receiving state, subject to any limitations imposed by the receiving state. EMAC only applies to persons properly dispatched in response to an EMAC request. Immunity protections and license reciprocity will not automatically extend to volunteers who provide services outside of EMAC. Volunteers would have to be made temporary government employees to be covered under EMAC.</w:t>
      </w:r>
    </w:p>
    <w:p w14:paraId="777B14B4" w14:textId="77777777" w:rsidR="00C91B48" w:rsidRPr="00C91B48" w:rsidRDefault="00C91B48" w:rsidP="00EB12E6">
      <w:pPr>
        <w:pStyle w:val="ListParagraph"/>
        <w:spacing w:line="360" w:lineRule="auto"/>
        <w:ind w:left="360"/>
        <w:textAlignment w:val="baseline"/>
        <w:rPr>
          <w:rFonts w:eastAsia="Times New Roman" w:cs="Arial"/>
          <w:color w:val="000000" w:themeColor="text1"/>
          <w:szCs w:val="20"/>
        </w:rPr>
      </w:pPr>
    </w:p>
    <w:p w14:paraId="3AD880E2" w14:textId="77777777" w:rsidR="0099702B" w:rsidRPr="00C91B48" w:rsidRDefault="0099702B" w:rsidP="00EB12E6">
      <w:pPr>
        <w:pStyle w:val="ListParagraph"/>
        <w:numPr>
          <w:ilvl w:val="0"/>
          <w:numId w:val="22"/>
        </w:numPr>
        <w:spacing w:line="360" w:lineRule="auto"/>
        <w:textAlignment w:val="baseline"/>
        <w:rPr>
          <w:rFonts w:eastAsia="Times New Roman" w:cs="Arial"/>
          <w:color w:val="000000" w:themeColor="text1"/>
          <w:szCs w:val="20"/>
        </w:rPr>
      </w:pPr>
      <w:r w:rsidRPr="00C91B48">
        <w:rPr>
          <w:rFonts w:eastAsia="Times New Roman" w:cs="Arial"/>
          <w:b/>
          <w:bCs/>
          <w:color w:val="000000" w:themeColor="text1"/>
          <w:szCs w:val="20"/>
          <w:bdr w:val="none" w:sz="0" w:space="0" w:color="auto" w:frame="1"/>
        </w:rPr>
        <w:t>Other Mutual Aid Agreements—</w:t>
      </w:r>
      <w:r w:rsidRPr="00C91B48">
        <w:rPr>
          <w:rFonts w:eastAsia="Times New Roman" w:cs="Arial"/>
          <w:color w:val="000000" w:themeColor="text1"/>
          <w:szCs w:val="20"/>
        </w:rPr>
        <w:t xml:space="preserve">In addition to EMAC, emergency mutual aid agreements can exist between states and tribes, between individual states or groups of states, between localities in a state, or internationally. Depending on the particulars of the agreement, states may enter various mutual aid arrangements as another way to </w:t>
      </w:r>
      <w:proofErr w:type="gramStart"/>
      <w:r w:rsidRPr="00C91B48">
        <w:rPr>
          <w:rFonts w:eastAsia="Times New Roman" w:cs="Arial"/>
          <w:color w:val="000000" w:themeColor="text1"/>
          <w:szCs w:val="20"/>
        </w:rPr>
        <w:t>provide assistance to</w:t>
      </w:r>
      <w:proofErr w:type="gramEnd"/>
      <w:r w:rsidRPr="00C91B48">
        <w:rPr>
          <w:rFonts w:eastAsia="Times New Roman" w:cs="Arial"/>
          <w:color w:val="000000" w:themeColor="text1"/>
          <w:szCs w:val="20"/>
        </w:rPr>
        <w:t xml:space="preserve"> affected jurisdictions while providing liability protections to government employees and others participating in the response.</w:t>
      </w:r>
    </w:p>
    <w:p w14:paraId="6D782969" w14:textId="77777777" w:rsidR="002A2B2D" w:rsidRDefault="002A2B2D" w:rsidP="00EB12E6">
      <w:pPr>
        <w:spacing w:line="360" w:lineRule="auto"/>
        <w:rPr>
          <w:rFonts w:eastAsia="Times New Roman" w:cs="Arial"/>
          <w:b/>
          <w:bCs/>
          <w:color w:val="3C3030"/>
          <w:sz w:val="24"/>
          <w:szCs w:val="24"/>
        </w:rPr>
      </w:pPr>
    </w:p>
    <w:p w14:paraId="1ED538EB" w14:textId="7BC91D5B"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Workers’ Compensation and Disability Issues</w:t>
      </w:r>
    </w:p>
    <w:p w14:paraId="7202E221" w14:textId="77777777" w:rsidR="00C91B48" w:rsidRDefault="00C91B48" w:rsidP="00EB12E6">
      <w:pPr>
        <w:shd w:val="clear" w:color="auto" w:fill="FFFFFF"/>
        <w:spacing w:line="360" w:lineRule="auto"/>
        <w:textAlignment w:val="baseline"/>
        <w:rPr>
          <w:rFonts w:eastAsia="Times New Roman" w:cs="Arial"/>
          <w:color w:val="000000" w:themeColor="text1"/>
          <w:szCs w:val="20"/>
        </w:rPr>
      </w:pPr>
    </w:p>
    <w:p w14:paraId="74F5488A" w14:textId="6972BE7E"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Government employees, contractors, and volunteers may be injured and disabled </w:t>
      </w:r>
      <w:proofErr w:type="gramStart"/>
      <w:r w:rsidRPr="0099702B">
        <w:rPr>
          <w:rFonts w:eastAsia="Times New Roman" w:cs="Arial"/>
          <w:color w:val="000000" w:themeColor="text1"/>
          <w:szCs w:val="20"/>
        </w:rPr>
        <w:t>during the course of</w:t>
      </w:r>
      <w:proofErr w:type="gramEnd"/>
      <w:r w:rsidRPr="0099702B">
        <w:rPr>
          <w:rFonts w:eastAsia="Times New Roman" w:cs="Arial"/>
          <w:color w:val="000000" w:themeColor="text1"/>
          <w:szCs w:val="20"/>
        </w:rPr>
        <w:t xml:space="preserve"> responding to an emergency. A person’s ability to obtain workers’ compensation for injuries or lost wages is a significant question for those responding to emergency events. In deciding the issue, </w:t>
      </w:r>
      <w:proofErr w:type="gramStart"/>
      <w:r w:rsidRPr="0099702B">
        <w:rPr>
          <w:rFonts w:eastAsia="Times New Roman" w:cs="Arial"/>
          <w:color w:val="000000" w:themeColor="text1"/>
          <w:szCs w:val="20"/>
        </w:rPr>
        <w:t>a number of</w:t>
      </w:r>
      <w:proofErr w:type="gramEnd"/>
      <w:r w:rsidRPr="0099702B">
        <w:rPr>
          <w:rFonts w:eastAsia="Times New Roman" w:cs="Arial"/>
          <w:color w:val="000000" w:themeColor="text1"/>
          <w:szCs w:val="20"/>
        </w:rPr>
        <w:t xml:space="preserve"> factors can affect the analysis such as the parameters of a state’s workers’ compensation laws, the person’s status while responding (employee or volunteer), the systems or programs under which a person deploys, and events surrounding the injury. Sick leave and disability insurance may provide an additional or alternative source of compensation for persons involved in emergency response activities, although not all persons may have access to these mechanisms. </w:t>
      </w:r>
    </w:p>
    <w:p w14:paraId="149B94B8" w14:textId="77777777" w:rsidR="00C91B48" w:rsidRDefault="00C91B48" w:rsidP="00EB12E6">
      <w:pPr>
        <w:spacing w:line="360" w:lineRule="auto"/>
        <w:rPr>
          <w:rFonts w:eastAsia="Times New Roman" w:cs="Arial"/>
          <w:b/>
          <w:bCs/>
          <w:color w:val="3C3030"/>
          <w:sz w:val="24"/>
          <w:szCs w:val="24"/>
        </w:rPr>
      </w:pPr>
    </w:p>
    <w:p w14:paraId="00ECC6AE" w14:textId="4B5846A9"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Workers’ Compensation</w:t>
      </w:r>
    </w:p>
    <w:p w14:paraId="5B71FEB1" w14:textId="77777777" w:rsidR="00C91B48" w:rsidRPr="00C91B48" w:rsidRDefault="00C91B48" w:rsidP="00EB12E6">
      <w:pPr>
        <w:shd w:val="clear" w:color="auto" w:fill="FFFFFF"/>
        <w:spacing w:line="360" w:lineRule="auto"/>
        <w:textAlignment w:val="baseline"/>
        <w:rPr>
          <w:rFonts w:eastAsia="Times New Roman" w:cs="Arial"/>
          <w:color w:val="000000" w:themeColor="text1"/>
          <w:szCs w:val="20"/>
        </w:rPr>
      </w:pPr>
    </w:p>
    <w:p w14:paraId="5D9BD753" w14:textId="77777777" w:rsidR="00C91B48"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Workers’ compensation programs provide benefits to workers who are injured during the scope and course of their employment. Workers’ compensation laws are enacted and administered by states. Every state, the District of Columbia, and the territories have a workers’ compensation program. Each program is unique and the requirements for coverage and the types and amounts of benefits vary from state to state. Although state workers’ compensation programs cover </w:t>
      </w:r>
      <w:proofErr w:type="gramStart"/>
      <w:r w:rsidRPr="0099702B">
        <w:rPr>
          <w:rFonts w:eastAsia="Times New Roman" w:cs="Arial"/>
          <w:color w:val="000000" w:themeColor="text1"/>
          <w:szCs w:val="20"/>
        </w:rPr>
        <w:t>a majority of</w:t>
      </w:r>
      <w:proofErr w:type="gramEnd"/>
      <w:r w:rsidRPr="0099702B">
        <w:rPr>
          <w:rFonts w:eastAsia="Times New Roman" w:cs="Arial"/>
          <w:color w:val="000000" w:themeColor="text1"/>
          <w:szCs w:val="20"/>
        </w:rPr>
        <w:t xml:space="preserve"> workers, certain </w:t>
      </w:r>
      <w:r w:rsidRPr="0099702B">
        <w:rPr>
          <w:rFonts w:eastAsia="Times New Roman" w:cs="Arial"/>
          <w:color w:val="000000" w:themeColor="text1"/>
          <w:szCs w:val="20"/>
        </w:rPr>
        <w:lastRenderedPageBreak/>
        <w:t>types of organizations or activities are exempted from coverage under workers’ compensation programs, including employees of nonprofit, charitable, or religious institutions; employees of small businesses under a specified size; and workers in hazardous occupations. Some states further exempt domestic service, agricultural employment, casual laborers, and state and local government employees. Some of these groups are provided coverage though other mechanisms such disability insurance that is provided by an employer as a full or partial benefit or negotiated through union agreements. </w:t>
      </w:r>
    </w:p>
    <w:p w14:paraId="2DE14CD2" w14:textId="77777777" w:rsidR="00C91B48" w:rsidRDefault="00C91B48" w:rsidP="00EB12E6">
      <w:pPr>
        <w:shd w:val="clear" w:color="auto" w:fill="FFFFFF"/>
        <w:spacing w:line="360" w:lineRule="auto"/>
        <w:textAlignment w:val="baseline"/>
        <w:rPr>
          <w:rFonts w:eastAsia="Times New Roman" w:cs="Arial"/>
          <w:color w:val="000000" w:themeColor="text1"/>
          <w:szCs w:val="20"/>
        </w:rPr>
      </w:pPr>
    </w:p>
    <w:p w14:paraId="33AF1867" w14:textId="77777777" w:rsidR="00C91B48"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Workers’ compensation is primarily an employer-funded system. Workers’ compensation laws require employers to purchase workers’ compensation insurance policies through state-sponsored or commercial insurance providers or provide coverage through self-insurance in which the employer demonstrates to the state its financial ability to cover potential liabilities. Before the advent of workers’ compensation laws, workers had to file tort claims against their employers in court to recover for injuries received on the job. The outcome of litigation was uncertain for workers, who could lose, and for employers, who could be subject to large judgments. Workers’ compensation laws </w:t>
      </w:r>
      <w:proofErr w:type="gramStart"/>
      <w:r w:rsidRPr="0099702B">
        <w:rPr>
          <w:rFonts w:eastAsia="Times New Roman" w:cs="Arial"/>
          <w:color w:val="000000" w:themeColor="text1"/>
          <w:szCs w:val="20"/>
        </w:rPr>
        <w:t>were seen as</w:t>
      </w:r>
      <w:proofErr w:type="gramEnd"/>
      <w:r w:rsidRPr="0099702B">
        <w:rPr>
          <w:rFonts w:eastAsia="Times New Roman" w:cs="Arial"/>
          <w:color w:val="000000" w:themeColor="text1"/>
          <w:szCs w:val="20"/>
        </w:rPr>
        <w:t xml:space="preserve"> a way to make the outcome of incidents more predictable for all parties: workers’ benefits would be paid without having to prove fault by the employer and the scope of potential liability for employers would be more clearly defined. State workers’ compensation systems became the exclusive remedy for injured workers. State compensation programs are administered by various regulatory bodies in different ways, including departments or divisions of labor, insurance departments or commissions, or free-standing commissions or special boards. Workers’ compensation is an important and significant source of insurance in the United States; only Social Security Disability Insurance (SSDI) and Medicare surpass state workers’ compensation programs as a source of support for disabled workers. </w:t>
      </w:r>
    </w:p>
    <w:p w14:paraId="66BBA5C9" w14:textId="77777777" w:rsidR="00C91B48" w:rsidRDefault="00C91B48" w:rsidP="00EB12E6">
      <w:pPr>
        <w:shd w:val="clear" w:color="auto" w:fill="FFFFFF"/>
        <w:spacing w:line="360" w:lineRule="auto"/>
        <w:textAlignment w:val="baseline"/>
        <w:rPr>
          <w:rFonts w:eastAsia="Times New Roman" w:cs="Arial"/>
          <w:color w:val="000000" w:themeColor="text1"/>
          <w:szCs w:val="20"/>
        </w:rPr>
      </w:pPr>
    </w:p>
    <w:p w14:paraId="35AEE8F4" w14:textId="77777777" w:rsidR="00C91B48"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Workers’ compensation programs have some similarities and differences from SSDI and Medicare in several respects. Generally, workers’ compensation: (1) covers medical expenses for work-related injuries immediately after an injury; (2) provides short-term or temporary disability benefits (e.g., lost wages) after a waiting period of up to one week; (3) pays permanent partial and total disability benefits; (4) provides rehabilitation and re-training benefits for persons who cannot return to their prior careers; and (5) pays survivor benefits. Workers are immediately eligible for workers’ compensation benefits from their first day of employment. </w:t>
      </w:r>
    </w:p>
    <w:p w14:paraId="57D83843" w14:textId="77777777" w:rsidR="006D2E3A" w:rsidRDefault="006D2E3A" w:rsidP="00EB12E6">
      <w:pPr>
        <w:shd w:val="clear" w:color="auto" w:fill="FFFFFF"/>
        <w:spacing w:line="360" w:lineRule="auto"/>
        <w:textAlignment w:val="baseline"/>
        <w:rPr>
          <w:rFonts w:eastAsia="Times New Roman" w:cs="Arial"/>
          <w:color w:val="000000" w:themeColor="text1"/>
          <w:szCs w:val="20"/>
        </w:rPr>
      </w:pPr>
    </w:p>
    <w:p w14:paraId="168EAE19" w14:textId="3AC89D57"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lastRenderedPageBreak/>
        <w:t xml:space="preserve">SSDI provides benefits to workers with long-term disabilities arising from any cause, not just those that are work-related. In contrast to workers’ compensation, SSDI benefits require that workers have a substantial work history because SSDI is viewed as an earned right. SSDI benefits begin after a five-month waiting period; Medicare benefits begin twenty-nine months after the onset of a medically verified inability to work. SSDI only pays benefits when the nature of a person’s disabilities </w:t>
      </w:r>
      <w:proofErr w:type="gramStart"/>
      <w:r w:rsidRPr="0099702B">
        <w:rPr>
          <w:rFonts w:eastAsia="Times New Roman" w:cs="Arial"/>
          <w:color w:val="000000" w:themeColor="text1"/>
          <w:szCs w:val="20"/>
        </w:rPr>
        <w:t>make</w:t>
      </w:r>
      <w:proofErr w:type="gramEnd"/>
      <w:r w:rsidRPr="0099702B">
        <w:rPr>
          <w:rFonts w:eastAsia="Times New Roman" w:cs="Arial"/>
          <w:color w:val="000000" w:themeColor="text1"/>
          <w:szCs w:val="20"/>
        </w:rPr>
        <w:t xml:space="preserve"> them unable to engage in substantial paid work, although SSDI continues to pay benefits even if there is some limited self-employment or other work to transition the person back into full-time work. Like workers’ compensation, SSDI pays for rehabilitation services and survivor benefits to families of deceased workers. </w:t>
      </w:r>
    </w:p>
    <w:p w14:paraId="474A88E3" w14:textId="77777777" w:rsidR="00C91B48" w:rsidRDefault="00C91B48" w:rsidP="00EB12E6">
      <w:pPr>
        <w:spacing w:line="360" w:lineRule="auto"/>
        <w:rPr>
          <w:rFonts w:eastAsia="Times New Roman" w:cs="Arial"/>
          <w:b/>
          <w:bCs/>
          <w:color w:val="3C3030"/>
          <w:sz w:val="24"/>
          <w:szCs w:val="24"/>
        </w:rPr>
      </w:pPr>
    </w:p>
    <w:p w14:paraId="7AB9A0FD" w14:textId="3F44A3BE"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Compensation Acts and Funds</w:t>
      </w:r>
    </w:p>
    <w:p w14:paraId="6A7293D0" w14:textId="77777777" w:rsidR="00C91B48" w:rsidRPr="006D2E3A" w:rsidRDefault="00C91B48" w:rsidP="00EB12E6">
      <w:pPr>
        <w:shd w:val="clear" w:color="auto" w:fill="FFFFFF"/>
        <w:spacing w:line="360" w:lineRule="auto"/>
        <w:textAlignment w:val="baseline"/>
        <w:rPr>
          <w:rFonts w:eastAsia="Times New Roman" w:cs="Arial"/>
          <w:color w:val="000000" w:themeColor="text1"/>
          <w:szCs w:val="20"/>
        </w:rPr>
      </w:pPr>
    </w:p>
    <w:p w14:paraId="3E62002F" w14:textId="117256A4" w:rsidR="0099702B" w:rsidRPr="0099702B" w:rsidRDefault="0099702B"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There are federal and state laws that set up specific mechanisms or funds to compensate a specific group of persons based on occupation or involvement in a specific injurious event. Examples of such programs include:</w:t>
      </w:r>
    </w:p>
    <w:p w14:paraId="50ADED74" w14:textId="0F5FC1A6" w:rsidR="0099702B" w:rsidRPr="003422D5" w:rsidRDefault="0099702B" w:rsidP="00EB12E6">
      <w:pPr>
        <w:pStyle w:val="ListParagraph"/>
        <w:numPr>
          <w:ilvl w:val="0"/>
          <w:numId w:val="23"/>
        </w:numPr>
        <w:spacing w:line="360" w:lineRule="auto"/>
        <w:ind w:left="360"/>
        <w:textAlignment w:val="baseline"/>
        <w:rPr>
          <w:rFonts w:eastAsia="Times New Roman" w:cs="Arial"/>
          <w:color w:val="000000" w:themeColor="text1"/>
          <w:szCs w:val="20"/>
        </w:rPr>
      </w:pPr>
      <w:r w:rsidRPr="003422D5">
        <w:rPr>
          <w:rFonts w:eastAsia="Times New Roman" w:cs="Arial"/>
          <w:b/>
          <w:bCs/>
          <w:color w:val="000000" w:themeColor="text1"/>
          <w:szCs w:val="20"/>
          <w:bdr w:val="none" w:sz="0" w:space="0" w:color="auto" w:frame="1"/>
        </w:rPr>
        <w:t>The Federal Employees’ Compensation Act (FECA)—</w:t>
      </w:r>
      <w:r w:rsidRPr="003422D5">
        <w:rPr>
          <w:rFonts w:eastAsia="Times New Roman" w:cs="Arial"/>
          <w:color w:val="000000" w:themeColor="text1"/>
          <w:szCs w:val="20"/>
        </w:rPr>
        <w:t xml:space="preserve">FECA provides workers’ compensation to civilian federal employees who are injured or killed </w:t>
      </w:r>
      <w:proofErr w:type="gramStart"/>
      <w:r w:rsidRPr="003422D5">
        <w:rPr>
          <w:rFonts w:eastAsia="Times New Roman" w:cs="Arial"/>
          <w:color w:val="000000" w:themeColor="text1"/>
          <w:szCs w:val="20"/>
        </w:rPr>
        <w:t>during the course of</w:t>
      </w:r>
      <w:proofErr w:type="gramEnd"/>
      <w:r w:rsidRPr="003422D5">
        <w:rPr>
          <w:rFonts w:eastAsia="Times New Roman" w:cs="Arial"/>
          <w:color w:val="000000" w:themeColor="text1"/>
          <w:szCs w:val="20"/>
        </w:rPr>
        <w:t xml:space="preserve"> their duties. An injured employee, or the family of an injured employee, is entitled to coverage for medical services unless the injury was self-inflicted or occurred as a result of the employee’s own willful misconduct, including the employee’s intoxication. Volunteers who deploy under federal programs like the National Disaster Medical System are covered under FECA.</w:t>
      </w:r>
    </w:p>
    <w:p w14:paraId="6794A4F1" w14:textId="77777777" w:rsidR="006D2E3A" w:rsidRPr="0099702B" w:rsidRDefault="006D2E3A" w:rsidP="00EB12E6">
      <w:pPr>
        <w:spacing w:line="360" w:lineRule="auto"/>
        <w:textAlignment w:val="baseline"/>
        <w:rPr>
          <w:rFonts w:eastAsia="Times New Roman" w:cs="Arial"/>
          <w:color w:val="000000" w:themeColor="text1"/>
          <w:szCs w:val="20"/>
        </w:rPr>
      </w:pPr>
    </w:p>
    <w:p w14:paraId="3B7B67F0" w14:textId="4C888EC3" w:rsidR="0099702B" w:rsidRPr="003422D5" w:rsidRDefault="0099702B" w:rsidP="00EB12E6">
      <w:pPr>
        <w:pStyle w:val="ListParagraph"/>
        <w:numPr>
          <w:ilvl w:val="0"/>
          <w:numId w:val="23"/>
        </w:numPr>
        <w:spacing w:line="360" w:lineRule="auto"/>
        <w:ind w:left="360"/>
        <w:textAlignment w:val="baseline"/>
        <w:rPr>
          <w:rFonts w:eastAsia="Times New Roman" w:cs="Arial"/>
          <w:color w:val="000000" w:themeColor="text1"/>
          <w:szCs w:val="20"/>
        </w:rPr>
      </w:pPr>
      <w:r w:rsidRPr="003422D5">
        <w:rPr>
          <w:rFonts w:eastAsia="Times New Roman" w:cs="Arial"/>
          <w:b/>
          <w:bCs/>
          <w:color w:val="000000" w:themeColor="text1"/>
          <w:szCs w:val="20"/>
          <w:bdr w:val="none" w:sz="0" w:space="0" w:color="auto" w:frame="1"/>
        </w:rPr>
        <w:t>The Federal September 11th Victim Compensation Fund—</w:t>
      </w:r>
      <w:r w:rsidRPr="003422D5">
        <w:rPr>
          <w:rFonts w:eastAsia="Times New Roman" w:cs="Arial"/>
          <w:color w:val="000000" w:themeColor="text1"/>
          <w:szCs w:val="20"/>
        </w:rPr>
        <w:t>The fund, which is now closed, was provided as a no-fault alternative to tort litigation for individuals who were physically injured or killed as a result of the aircraft hijackings and crashes on September 11, 2001. The fund was designed to provide compensation for economic and noneconomic losses to individuals or relatives of deceased individuals arising from only physical injury or death; it did not cover other losses such as property loss.</w:t>
      </w:r>
    </w:p>
    <w:p w14:paraId="2DD9A72F" w14:textId="77777777" w:rsidR="006D2E3A" w:rsidRPr="0099702B" w:rsidRDefault="006D2E3A" w:rsidP="00EB12E6">
      <w:pPr>
        <w:spacing w:line="360" w:lineRule="auto"/>
        <w:textAlignment w:val="baseline"/>
        <w:rPr>
          <w:rFonts w:eastAsia="Times New Roman" w:cs="Arial"/>
          <w:color w:val="000000" w:themeColor="text1"/>
          <w:szCs w:val="20"/>
        </w:rPr>
      </w:pPr>
    </w:p>
    <w:p w14:paraId="01958294" w14:textId="5A48D1F1" w:rsidR="003422D5" w:rsidRDefault="0099702B" w:rsidP="00EB12E6">
      <w:pPr>
        <w:pStyle w:val="ListParagraph"/>
        <w:numPr>
          <w:ilvl w:val="0"/>
          <w:numId w:val="23"/>
        </w:numPr>
        <w:spacing w:line="360" w:lineRule="auto"/>
        <w:ind w:left="360"/>
        <w:textAlignment w:val="baseline"/>
        <w:rPr>
          <w:rFonts w:eastAsia="Times New Roman" w:cs="Arial"/>
          <w:color w:val="000000" w:themeColor="text1"/>
          <w:szCs w:val="20"/>
        </w:rPr>
      </w:pPr>
      <w:r w:rsidRPr="003422D5">
        <w:rPr>
          <w:rFonts w:eastAsia="Times New Roman" w:cs="Arial"/>
          <w:b/>
          <w:bCs/>
          <w:color w:val="000000" w:themeColor="text1"/>
          <w:szCs w:val="20"/>
          <w:bdr w:val="none" w:sz="0" w:space="0" w:color="auto" w:frame="1"/>
        </w:rPr>
        <w:t>New York State Workers’ Compensation Board Claims for Participation in World Trade Center Rescue, Recovery, or Clean-Up Operations—</w:t>
      </w:r>
      <w:r w:rsidRPr="003422D5">
        <w:rPr>
          <w:rFonts w:eastAsia="Times New Roman" w:cs="Arial"/>
          <w:color w:val="000000" w:themeColor="text1"/>
          <w:szCs w:val="20"/>
        </w:rPr>
        <w:t xml:space="preserve">The New York state legislature enacted modifications </w:t>
      </w:r>
      <w:r w:rsidRPr="003422D5">
        <w:rPr>
          <w:rFonts w:eastAsia="Times New Roman" w:cs="Arial"/>
          <w:color w:val="000000" w:themeColor="text1"/>
          <w:szCs w:val="20"/>
        </w:rPr>
        <w:lastRenderedPageBreak/>
        <w:t>to its workers’ compensation laws to expand the time for a participant in World Trade Center rescue, recovery, or clean-up operations who suffered, or may suffer in the future, from a qualifying condition to file a claim for workers' compensation for lost wages and medical benefits and to permit the board to reopen claims previously denied as untimely. </w:t>
      </w:r>
    </w:p>
    <w:p w14:paraId="56BD8E57" w14:textId="77777777" w:rsidR="003422D5" w:rsidRPr="003422D5" w:rsidRDefault="003422D5" w:rsidP="00EB12E6">
      <w:pPr>
        <w:pStyle w:val="ListParagraph"/>
        <w:spacing w:line="360" w:lineRule="auto"/>
        <w:rPr>
          <w:rFonts w:eastAsia="Times New Roman" w:cs="Arial"/>
          <w:color w:val="000000" w:themeColor="text1"/>
          <w:szCs w:val="20"/>
        </w:rPr>
      </w:pPr>
    </w:p>
    <w:p w14:paraId="084F3224" w14:textId="17BCC1E7" w:rsidR="0099702B" w:rsidRPr="0099702B" w:rsidRDefault="0099702B" w:rsidP="00EB12E6">
      <w:pPr>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There are other federal workers’ compensation programs, including U.S. Department of Veterans Affairs’ programs for military veterans; the Longshore and Harbor Workers' Compensation Act; Energy Employees Occupational Illness Compensation Program Act; and the Black Lung Benefits Act for coal miners suffering from black lung disease.</w:t>
      </w:r>
    </w:p>
    <w:p w14:paraId="307B9068" w14:textId="77777777" w:rsidR="006D2E3A" w:rsidRPr="00ED4B79" w:rsidRDefault="006D2E3A" w:rsidP="00EB12E6">
      <w:pPr>
        <w:spacing w:line="360" w:lineRule="auto"/>
        <w:rPr>
          <w:rFonts w:eastAsia="Times New Roman" w:cs="Arial"/>
          <w:bCs/>
          <w:color w:val="3C3030"/>
          <w:szCs w:val="24"/>
        </w:rPr>
      </w:pPr>
    </w:p>
    <w:p w14:paraId="61433B49" w14:textId="3D48E4BA"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Sick Leave and Disability Insurance</w:t>
      </w:r>
    </w:p>
    <w:p w14:paraId="7E05CA3B" w14:textId="77777777" w:rsidR="00ED4B79" w:rsidRPr="00F557C7" w:rsidRDefault="00ED4B79" w:rsidP="00EB12E6">
      <w:pPr>
        <w:shd w:val="clear" w:color="auto" w:fill="FFFFFF"/>
        <w:spacing w:line="360" w:lineRule="auto"/>
        <w:textAlignment w:val="baseline"/>
        <w:rPr>
          <w:rFonts w:eastAsia="Times New Roman" w:cs="Arial"/>
          <w:color w:val="000000" w:themeColor="text1"/>
          <w:szCs w:val="20"/>
        </w:rPr>
      </w:pPr>
    </w:p>
    <w:p w14:paraId="6B463FCD" w14:textId="3F676E78" w:rsidR="0099702B" w:rsidRPr="0099702B" w:rsidRDefault="0099702B" w:rsidP="00EB12E6">
      <w:pPr>
        <w:shd w:val="clear" w:color="auto" w:fill="FFFFFF"/>
        <w:spacing w:after="120" w:line="360" w:lineRule="auto"/>
        <w:textAlignment w:val="baseline"/>
        <w:rPr>
          <w:rFonts w:eastAsia="Times New Roman" w:cs="Arial"/>
          <w:color w:val="000000" w:themeColor="text1"/>
          <w:szCs w:val="20"/>
        </w:rPr>
      </w:pPr>
      <w:r w:rsidRPr="0099702B">
        <w:rPr>
          <w:rFonts w:eastAsia="Times New Roman" w:cs="Arial"/>
          <w:color w:val="000000" w:themeColor="text1"/>
          <w:szCs w:val="20"/>
        </w:rPr>
        <w:t>Some workers may have coverage for work-related or non-work-related injuries through paid sick leave, temporary disability benefits, and long-term disability insurance. Companies typically provide sick leave and disability insurance voluntarily, although it can be a negotiated benefit through union contracts; it is mandatory in only a few states. These benefits may provide an additional or alternative source of compensation for persons involved in emergency response activities whose status or activities during a response may not qualify them or fully qualify them for a state’s workers’ compensation program. The outcome in a given situation depends on the particulars of a state’s laws, the parameters of a disability policy, and the activities and role of the person while participating in the emergency response.</w:t>
      </w:r>
    </w:p>
    <w:p w14:paraId="010A84FA" w14:textId="11972DCE" w:rsidR="0099702B" w:rsidRDefault="0099702B" w:rsidP="00EB12E6">
      <w:pPr>
        <w:pStyle w:val="ListParagraph"/>
        <w:numPr>
          <w:ilvl w:val="0"/>
          <w:numId w:val="24"/>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Sick Leave—</w:t>
      </w:r>
      <w:r w:rsidRPr="00F557C7">
        <w:rPr>
          <w:rFonts w:eastAsia="Times New Roman" w:cs="Arial"/>
          <w:color w:val="000000" w:themeColor="text1"/>
          <w:szCs w:val="20"/>
        </w:rPr>
        <w:t>If a person has employer-provided sick leave, it typically covers the total amount of their wages for a few weeks. About a third of private sector employees are not provided paid sick leave.</w:t>
      </w:r>
    </w:p>
    <w:p w14:paraId="6FC504C9" w14:textId="77777777" w:rsidR="00F557C7" w:rsidRPr="00F557C7" w:rsidRDefault="00F557C7" w:rsidP="00EB12E6">
      <w:pPr>
        <w:pStyle w:val="ListParagraph"/>
        <w:spacing w:line="360" w:lineRule="auto"/>
        <w:ind w:left="360"/>
        <w:textAlignment w:val="baseline"/>
        <w:rPr>
          <w:rFonts w:eastAsia="Times New Roman" w:cs="Arial"/>
          <w:color w:val="000000" w:themeColor="text1"/>
          <w:szCs w:val="20"/>
        </w:rPr>
      </w:pPr>
    </w:p>
    <w:p w14:paraId="0B9C14B5" w14:textId="745581C3" w:rsidR="0099702B" w:rsidRDefault="0099702B" w:rsidP="00EB12E6">
      <w:pPr>
        <w:pStyle w:val="ListParagraph"/>
        <w:numPr>
          <w:ilvl w:val="0"/>
          <w:numId w:val="24"/>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Short-Term Disability—</w:t>
      </w:r>
      <w:r w:rsidRPr="00F557C7">
        <w:rPr>
          <w:rFonts w:eastAsia="Times New Roman" w:cs="Arial"/>
          <w:color w:val="000000" w:themeColor="text1"/>
          <w:szCs w:val="20"/>
        </w:rPr>
        <w:t>Short-term disability benefits or disability insurance provides coverage for the period after sick leave benefits are exhausted and until long-term disability becomes available, if needed. Short-term disability benefits/insurance generally covers up to at least half of a worker’s wages for up to six months. Private short-term disability insurance covers more than a third of private sector employees.</w:t>
      </w:r>
    </w:p>
    <w:p w14:paraId="0F6001AA" w14:textId="77777777" w:rsidR="00F557C7" w:rsidRPr="00F557C7" w:rsidRDefault="00F557C7" w:rsidP="00EB12E6">
      <w:pPr>
        <w:spacing w:line="360" w:lineRule="auto"/>
        <w:textAlignment w:val="baseline"/>
        <w:rPr>
          <w:rFonts w:eastAsia="Times New Roman" w:cs="Arial"/>
          <w:color w:val="000000" w:themeColor="text1"/>
          <w:szCs w:val="20"/>
        </w:rPr>
      </w:pPr>
    </w:p>
    <w:p w14:paraId="7DD32BD5" w14:textId="480FEE1C" w:rsidR="0099702B" w:rsidRDefault="0099702B" w:rsidP="00EB12E6">
      <w:pPr>
        <w:pStyle w:val="ListParagraph"/>
        <w:numPr>
          <w:ilvl w:val="0"/>
          <w:numId w:val="24"/>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Long-Term Disability—</w:t>
      </w:r>
      <w:r w:rsidRPr="00F557C7">
        <w:rPr>
          <w:rFonts w:eastAsia="Times New Roman" w:cs="Arial"/>
          <w:color w:val="000000" w:themeColor="text1"/>
          <w:szCs w:val="20"/>
        </w:rPr>
        <w:t xml:space="preserve">Long-term disability for persons deemed permanently unable to work usually begins after a waiting period of up to six months or short-term disability benefits end. Long-term </w:t>
      </w:r>
      <w:r w:rsidRPr="00F557C7">
        <w:rPr>
          <w:rFonts w:eastAsia="Times New Roman" w:cs="Arial"/>
          <w:color w:val="000000" w:themeColor="text1"/>
          <w:szCs w:val="20"/>
        </w:rPr>
        <w:lastRenderedPageBreak/>
        <w:t>disability insurance generally replaces at least half or more of a disabled worker’s wages until the person reaches retirement age. Private long-term disability insurance covers about a third of private sector employees; it is most commonly held by professional and management-level workers. The benefit an injured worker receives is generally reduced if the person receives workers’ compensation or Social Security disability benefits.</w:t>
      </w:r>
    </w:p>
    <w:p w14:paraId="262E8BAE" w14:textId="77777777" w:rsidR="00F557C7" w:rsidRPr="00F557C7" w:rsidRDefault="00F557C7" w:rsidP="00EB12E6">
      <w:pPr>
        <w:spacing w:line="360" w:lineRule="auto"/>
        <w:textAlignment w:val="baseline"/>
        <w:rPr>
          <w:rFonts w:eastAsia="Times New Roman" w:cs="Arial"/>
          <w:color w:val="000000" w:themeColor="text1"/>
          <w:szCs w:val="20"/>
        </w:rPr>
      </w:pPr>
    </w:p>
    <w:p w14:paraId="29458C0B" w14:textId="77777777" w:rsidR="0099702B" w:rsidRPr="0099702B"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While sick leave and disability insurance provide another avenue for benefits if a volunteer or responder is unable to qualify for coverage under a state’s workers’ compensation program, not all persons have access to these additional resources unless an employer offers </w:t>
      </w:r>
      <w:proofErr w:type="gramStart"/>
      <w:r w:rsidRPr="0099702B">
        <w:rPr>
          <w:rFonts w:eastAsia="Times New Roman" w:cs="Arial"/>
          <w:color w:val="000000" w:themeColor="text1"/>
          <w:szCs w:val="20"/>
        </w:rPr>
        <w:t>them</w:t>
      </w:r>
      <w:proofErr w:type="gramEnd"/>
      <w:r w:rsidRPr="0099702B">
        <w:rPr>
          <w:rFonts w:eastAsia="Times New Roman" w:cs="Arial"/>
          <w:color w:val="000000" w:themeColor="text1"/>
          <w:szCs w:val="20"/>
        </w:rPr>
        <w:t xml:space="preserve"> or a person obtains an individual disability policy. The specifics of a disability policy dictate whether coverage is available for only work-related injuries or will also cover non-work-related injuries (e.g., while volunteering during an emergency event). </w:t>
      </w:r>
    </w:p>
    <w:p w14:paraId="3051A239" w14:textId="77777777" w:rsidR="00F557C7" w:rsidRDefault="00F557C7" w:rsidP="00EB12E6">
      <w:pPr>
        <w:spacing w:line="360" w:lineRule="auto"/>
        <w:rPr>
          <w:rFonts w:eastAsia="Times New Roman" w:cs="Arial"/>
          <w:b/>
          <w:bCs/>
          <w:color w:val="3C3030"/>
          <w:sz w:val="24"/>
          <w:szCs w:val="24"/>
        </w:rPr>
      </w:pPr>
    </w:p>
    <w:p w14:paraId="6C1A5564" w14:textId="3EC540BF"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Key Issues Regarding Workers’ Compensation in Emergency Response</w:t>
      </w:r>
    </w:p>
    <w:p w14:paraId="3193D0FB" w14:textId="77777777" w:rsidR="00F557C7" w:rsidRPr="00CA7A57" w:rsidRDefault="00F557C7" w:rsidP="00EB12E6">
      <w:pPr>
        <w:shd w:val="clear" w:color="auto" w:fill="FFFFFF"/>
        <w:spacing w:line="360" w:lineRule="auto"/>
        <w:textAlignment w:val="baseline"/>
        <w:rPr>
          <w:rFonts w:eastAsia="Times New Roman" w:cs="Arial"/>
          <w:color w:val="000000" w:themeColor="text1"/>
          <w:szCs w:val="20"/>
        </w:rPr>
      </w:pPr>
    </w:p>
    <w:p w14:paraId="49A0B567" w14:textId="77777777" w:rsidR="00CA7A57"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 xml:space="preserve">Because of the variability in state laws and other factors related to the activities and status of an individual participating in an emergency response, a single determination of eligibility for compensation is not possible. Instead, such an analysis must consider </w:t>
      </w:r>
      <w:proofErr w:type="gramStart"/>
      <w:r w:rsidRPr="0099702B">
        <w:rPr>
          <w:rFonts w:eastAsia="Times New Roman" w:cs="Arial"/>
          <w:color w:val="000000" w:themeColor="text1"/>
          <w:szCs w:val="20"/>
        </w:rPr>
        <w:t>a number of</w:t>
      </w:r>
      <w:proofErr w:type="gramEnd"/>
      <w:r w:rsidRPr="0099702B">
        <w:rPr>
          <w:rFonts w:eastAsia="Times New Roman" w:cs="Arial"/>
          <w:color w:val="000000" w:themeColor="text1"/>
          <w:szCs w:val="20"/>
        </w:rPr>
        <w:t xml:space="preserve"> factors when addressing workers’ compensation issues within the context of an emergency response scenario. </w:t>
      </w:r>
    </w:p>
    <w:p w14:paraId="2680FD78" w14:textId="77777777" w:rsidR="00CA7A57" w:rsidRDefault="00CA7A57" w:rsidP="00EB12E6">
      <w:pPr>
        <w:shd w:val="clear" w:color="auto" w:fill="FFFFFF"/>
        <w:spacing w:line="360" w:lineRule="auto"/>
        <w:textAlignment w:val="baseline"/>
        <w:rPr>
          <w:rFonts w:eastAsia="Times New Roman" w:cs="Arial"/>
          <w:color w:val="000000" w:themeColor="text1"/>
          <w:szCs w:val="20"/>
        </w:rPr>
      </w:pPr>
    </w:p>
    <w:p w14:paraId="5BFC2951" w14:textId="77777777" w:rsidR="00CA7A57"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Which state’s law applies? </w:t>
      </w:r>
      <w:r w:rsidRPr="0099702B">
        <w:rPr>
          <w:rFonts w:eastAsia="Times New Roman" w:cs="Arial"/>
          <w:color w:val="000000" w:themeColor="text1"/>
          <w:szCs w:val="20"/>
        </w:rPr>
        <w:t xml:space="preserve">When a person responds to an emergency in another state, an issue can arise as to which state’s workers’ compensation law should apply if the responder is injured—the state receiving the aid (host state) or the injured responder’s home state. Some deployment mechanisms and mutual aid agreements determine this issue in advance. EMAC stipulates that the state </w:t>
      </w:r>
      <w:proofErr w:type="gramStart"/>
      <w:r w:rsidRPr="0099702B">
        <w:rPr>
          <w:rFonts w:eastAsia="Times New Roman" w:cs="Arial"/>
          <w:color w:val="000000" w:themeColor="text1"/>
          <w:szCs w:val="20"/>
        </w:rPr>
        <w:t>providing assistance</w:t>
      </w:r>
      <w:proofErr w:type="gramEnd"/>
      <w:r w:rsidRPr="0099702B">
        <w:rPr>
          <w:rFonts w:eastAsia="Times New Roman" w:cs="Arial"/>
          <w:color w:val="000000" w:themeColor="text1"/>
          <w:szCs w:val="20"/>
        </w:rPr>
        <w:t xml:space="preserve"> (the home state) is responsible for paying compensation and death benefits in the same manner and terms as if the injury or death were sustained in the home state. UEVHPA, discussed above, also addresses workers’ compensation issues. It provides that any volunteer health professional harmed or killed during an emergency may elect workers’ compensation protections of the host state as a payer of last resort. State emergency response and other volunteer protection statutes may require the issuance of a state or federally declared emergency before compensation coverage is available. </w:t>
      </w:r>
    </w:p>
    <w:p w14:paraId="22E5FD48" w14:textId="77777777" w:rsidR="00CA7A57" w:rsidRDefault="00CA7A57" w:rsidP="00EB12E6">
      <w:pPr>
        <w:shd w:val="clear" w:color="auto" w:fill="FFFFFF"/>
        <w:spacing w:line="360" w:lineRule="auto"/>
        <w:textAlignment w:val="baseline"/>
        <w:rPr>
          <w:rFonts w:eastAsia="Times New Roman" w:cs="Arial"/>
          <w:color w:val="000000" w:themeColor="text1"/>
          <w:szCs w:val="20"/>
        </w:rPr>
      </w:pPr>
    </w:p>
    <w:p w14:paraId="682A998E" w14:textId="77777777" w:rsidR="00CA7A57"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lastRenderedPageBreak/>
        <w:t>Who is covered under a state’s workers’ compensation law?</w:t>
      </w:r>
      <w:r w:rsidRPr="0099702B">
        <w:rPr>
          <w:rFonts w:eastAsia="Times New Roman" w:cs="Arial"/>
          <w:color w:val="000000" w:themeColor="text1"/>
          <w:szCs w:val="20"/>
        </w:rPr>
        <w:t> State workers’ compensation laws can expressly exclude coverage for volunteers. In the absence of a state law extending workers’ compensation to volunteers, unpaid persons involved in an emergency response are not covered because they are not “employees.” Some state laws that address volunteer health professionals in emergencies may include compensation, but this benefit may be mitigated if coverage is optional and an employer exercises a right to opt out or if the VHP in not appropriately registered with a volunteer registration system recognized by the state. </w:t>
      </w:r>
    </w:p>
    <w:p w14:paraId="6DE9A193" w14:textId="77777777" w:rsidR="00CA7A57" w:rsidRDefault="00CA7A57" w:rsidP="00EB12E6">
      <w:pPr>
        <w:shd w:val="clear" w:color="auto" w:fill="FFFFFF"/>
        <w:spacing w:line="360" w:lineRule="auto"/>
        <w:textAlignment w:val="baseline"/>
        <w:rPr>
          <w:rFonts w:eastAsia="Times New Roman" w:cs="Arial"/>
          <w:color w:val="000000" w:themeColor="text1"/>
          <w:szCs w:val="20"/>
        </w:rPr>
      </w:pPr>
    </w:p>
    <w:p w14:paraId="33966FFC" w14:textId="77777777" w:rsidR="00CA7A57"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Who is the employer? </w:t>
      </w:r>
      <w:r w:rsidRPr="0099702B">
        <w:rPr>
          <w:rFonts w:eastAsia="Times New Roman" w:cs="Arial"/>
          <w:color w:val="000000" w:themeColor="text1"/>
          <w:szCs w:val="20"/>
        </w:rPr>
        <w:t>Determining who the “employer” of a volunteer or other person deployed in an emergency response situation is can dictate both which state law applies (if it is an interstate deployment) and what entity, if any, is responsible for paying compensation to an injured responder. A volunteer’s regular employer is not likely to be responsible for injuries to the volunteer because the volunteer is acting outside the course of his or her employment unless the employer offers to provide coverage. The hosting employer (which may be the state or municipal government where the volunteer is deployed) or the host institution (e.g., hospital) may be responsible for paying workers’ compensation. </w:t>
      </w:r>
    </w:p>
    <w:p w14:paraId="5FF9ED5D" w14:textId="77777777" w:rsidR="00CA7A57" w:rsidRDefault="00CA7A57" w:rsidP="00EB12E6">
      <w:pPr>
        <w:shd w:val="clear" w:color="auto" w:fill="FFFFFF"/>
        <w:spacing w:line="360" w:lineRule="auto"/>
        <w:textAlignment w:val="baseline"/>
        <w:rPr>
          <w:rFonts w:eastAsia="Times New Roman" w:cs="Arial"/>
          <w:color w:val="000000" w:themeColor="text1"/>
          <w:szCs w:val="20"/>
        </w:rPr>
      </w:pPr>
    </w:p>
    <w:p w14:paraId="3EDB4C60" w14:textId="77777777" w:rsidR="00CA7A57" w:rsidRDefault="0099702B" w:rsidP="00EB12E6">
      <w:pPr>
        <w:shd w:val="clear" w:color="auto" w:fill="FFFFFF"/>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What scope of activities are covered?</w:t>
      </w:r>
      <w:r w:rsidRPr="0099702B">
        <w:rPr>
          <w:rFonts w:eastAsia="Times New Roman" w:cs="Arial"/>
          <w:color w:val="000000" w:themeColor="text1"/>
          <w:szCs w:val="20"/>
        </w:rPr>
        <w:t> Eligibility for workers’ compensation benefits may be limited to injuries that occur within the scope of the responder’s employment. Determining what activities are within that scope, especially since the activities may occur under extreme conditions, is important in assessing eligibility for coverage. Further, it may be necessary to determine if the injury occurred when the responder was actively engaged in the task for which they were deployed (e.g., providing healthcare, assessing sanitary conditions) as opposed to some other activity incident to the deployment (e.g., meeting, loading, training, cooking). </w:t>
      </w:r>
    </w:p>
    <w:p w14:paraId="7422F771" w14:textId="77777777" w:rsidR="00CA7A57" w:rsidRDefault="00CA7A57" w:rsidP="00EB12E6">
      <w:pPr>
        <w:shd w:val="clear" w:color="auto" w:fill="FFFFFF"/>
        <w:spacing w:line="360" w:lineRule="auto"/>
        <w:textAlignment w:val="baseline"/>
        <w:rPr>
          <w:rFonts w:eastAsia="Times New Roman" w:cs="Arial"/>
          <w:color w:val="000000" w:themeColor="text1"/>
          <w:szCs w:val="20"/>
        </w:rPr>
      </w:pPr>
    </w:p>
    <w:p w14:paraId="2562E32C" w14:textId="77777777" w:rsidR="00CA7A57" w:rsidRDefault="00CA7A57" w:rsidP="00EB12E6">
      <w:pPr>
        <w:shd w:val="clear" w:color="auto" w:fill="FFFFFF"/>
        <w:spacing w:line="360" w:lineRule="auto"/>
        <w:textAlignment w:val="baseline"/>
        <w:rPr>
          <w:rFonts w:eastAsia="Times New Roman" w:cs="Arial"/>
          <w:color w:val="000000" w:themeColor="text1"/>
          <w:szCs w:val="20"/>
        </w:rPr>
      </w:pPr>
      <w:r>
        <w:rPr>
          <w:rFonts w:eastAsia="Times New Roman" w:cs="Arial"/>
          <w:color w:val="000000" w:themeColor="text1"/>
          <w:szCs w:val="20"/>
        </w:rPr>
        <w:t>____________________________________________________________________________</w:t>
      </w:r>
    </w:p>
    <w:p w14:paraId="6EBB77A5" w14:textId="77777777" w:rsidR="00CA7A57" w:rsidRDefault="00CA7A57" w:rsidP="00EB12E6">
      <w:pPr>
        <w:spacing w:line="360" w:lineRule="auto"/>
        <w:rPr>
          <w:rFonts w:eastAsia="Times New Roman" w:cs="Arial"/>
          <w:b/>
          <w:bCs/>
          <w:color w:val="3C3030"/>
          <w:sz w:val="24"/>
          <w:szCs w:val="24"/>
        </w:rPr>
      </w:pPr>
    </w:p>
    <w:p w14:paraId="5356134D" w14:textId="1092E72E"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Sources</w:t>
      </w:r>
    </w:p>
    <w:p w14:paraId="315D4A67" w14:textId="77777777" w:rsidR="00CA7A57" w:rsidRPr="00A76ED3" w:rsidRDefault="00CA7A57" w:rsidP="00EB12E6">
      <w:pPr>
        <w:spacing w:after="40" w:line="360" w:lineRule="auto"/>
        <w:rPr>
          <w:rFonts w:eastAsia="Times New Roman" w:cs="Arial"/>
          <w:b/>
          <w:bCs/>
          <w:color w:val="000000" w:themeColor="text1"/>
          <w:szCs w:val="20"/>
        </w:rPr>
      </w:pPr>
    </w:p>
    <w:p w14:paraId="282F4558" w14:textId="28E9EE07" w:rsidR="0099702B" w:rsidRPr="0099702B" w:rsidRDefault="0099702B" w:rsidP="00EB12E6">
      <w:pPr>
        <w:spacing w:after="40" w:line="360" w:lineRule="auto"/>
        <w:rPr>
          <w:rFonts w:eastAsia="Times New Roman" w:cs="Arial"/>
          <w:b/>
          <w:bCs/>
          <w:color w:val="000000" w:themeColor="text1"/>
          <w:szCs w:val="20"/>
        </w:rPr>
      </w:pPr>
      <w:r w:rsidRPr="0099702B">
        <w:rPr>
          <w:rFonts w:eastAsia="Times New Roman" w:cs="Arial"/>
          <w:b/>
          <w:bCs/>
          <w:color w:val="000000" w:themeColor="text1"/>
          <w:szCs w:val="20"/>
        </w:rPr>
        <w:t>Laws and Statutes</w:t>
      </w:r>
    </w:p>
    <w:p w14:paraId="388408AD" w14:textId="77777777" w:rsidR="0099702B" w:rsidRPr="0099702B" w:rsidRDefault="0099702B" w:rsidP="00EB12E6">
      <w:pPr>
        <w:numPr>
          <w:ilvl w:val="0"/>
          <w:numId w:val="12"/>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American with Disabilities Act, as amended, Titles II and III, Pub. L. No. 110-325. Codified at 42 U.S.C. §126.</w:t>
      </w:r>
    </w:p>
    <w:p w14:paraId="3C4DA82B" w14:textId="77777777" w:rsidR="0099702B" w:rsidRPr="0099702B" w:rsidRDefault="0099702B" w:rsidP="00EB12E6">
      <w:pPr>
        <w:numPr>
          <w:ilvl w:val="0"/>
          <w:numId w:val="12"/>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lastRenderedPageBreak/>
        <w:t>Civil Rights Act, as amended, Section 1983. Codified at 42 U.S.C. §1983.</w:t>
      </w:r>
    </w:p>
    <w:p w14:paraId="0A3952DD" w14:textId="77777777" w:rsidR="0099702B" w:rsidRPr="0099702B" w:rsidRDefault="0099702B" w:rsidP="00EB12E6">
      <w:pPr>
        <w:numPr>
          <w:ilvl w:val="0"/>
          <w:numId w:val="12"/>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Emergency Management Assistance Compact, Pub. L. No. 104-321.</w:t>
      </w:r>
    </w:p>
    <w:p w14:paraId="542CA893" w14:textId="77777777" w:rsidR="0099702B" w:rsidRPr="0099702B" w:rsidRDefault="0099702B" w:rsidP="00EB12E6">
      <w:pPr>
        <w:numPr>
          <w:ilvl w:val="0"/>
          <w:numId w:val="12"/>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Emergency Medical Treatment and Labor Act, as amended. Codified at 42 U.S.C. §1395dd.</w:t>
      </w:r>
    </w:p>
    <w:p w14:paraId="504BE365" w14:textId="77777777" w:rsidR="0099702B" w:rsidRPr="0099702B" w:rsidRDefault="0099702B" w:rsidP="00EB12E6">
      <w:pPr>
        <w:numPr>
          <w:ilvl w:val="0"/>
          <w:numId w:val="12"/>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Family Educational Rights and Privacy Act, as amended. Codified at 20 U.S.C. § 1232g.</w:t>
      </w:r>
    </w:p>
    <w:p w14:paraId="0A5F8B49" w14:textId="77777777" w:rsidR="0099702B" w:rsidRPr="0099702B" w:rsidRDefault="0099702B" w:rsidP="00EB12E6">
      <w:pPr>
        <w:numPr>
          <w:ilvl w:val="0"/>
          <w:numId w:val="12"/>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Federal Employees’ Compensation Act of 1993, Pub. L. No. 103-5. Codified at 5 U.S.C. §8101 et seq.</w:t>
      </w:r>
    </w:p>
    <w:p w14:paraId="0E6F3116" w14:textId="77777777" w:rsidR="0099702B" w:rsidRPr="0099702B" w:rsidRDefault="0099702B" w:rsidP="00EB12E6">
      <w:pPr>
        <w:numPr>
          <w:ilvl w:val="0"/>
          <w:numId w:val="12"/>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Federal Tort Claims Act, as amended. Codified at 28 U.S.C. §§1346(b), 2671-2680.</w:t>
      </w:r>
    </w:p>
    <w:p w14:paraId="5ABAC9FE" w14:textId="77777777" w:rsidR="0099702B" w:rsidRPr="0099702B" w:rsidRDefault="0099702B" w:rsidP="00EB12E6">
      <w:pPr>
        <w:numPr>
          <w:ilvl w:val="0"/>
          <w:numId w:val="12"/>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Health Insurance Portability and Accountability Act of 1996, Pub. L. No. 104-191. Codified at 42 U.S.C. §1320d et seq. and §300gg; and 29 U.S.C §1181 et seq.</w:t>
      </w:r>
    </w:p>
    <w:p w14:paraId="4AE40D88" w14:textId="77777777" w:rsidR="0099702B" w:rsidRPr="0099702B" w:rsidRDefault="0099702B" w:rsidP="00EB12E6">
      <w:pPr>
        <w:numPr>
          <w:ilvl w:val="0"/>
          <w:numId w:val="12"/>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Pandemic and All-Hazards Preparedness Act of 2006, Pub. L. No. 109-417. Codified, in part, in the Public Health Service Act, 42 U.S.C. §201 et seq.</w:t>
      </w:r>
    </w:p>
    <w:p w14:paraId="29E808B4" w14:textId="77777777" w:rsidR="0099702B" w:rsidRPr="0099702B" w:rsidRDefault="0099702B" w:rsidP="00EB12E6">
      <w:pPr>
        <w:numPr>
          <w:ilvl w:val="0"/>
          <w:numId w:val="12"/>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Public Health Service Act, Section 319. Codified at 42 U.S.C. §247d.</w:t>
      </w:r>
    </w:p>
    <w:p w14:paraId="45A2A341" w14:textId="77777777" w:rsidR="0099702B" w:rsidRPr="0099702B" w:rsidRDefault="0099702B" w:rsidP="00EB12E6">
      <w:pPr>
        <w:numPr>
          <w:ilvl w:val="0"/>
          <w:numId w:val="12"/>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Public Readiness and Emergency Preparedness Act of 2005. Pub. L. No. 109-417. Codified in the Public Health Service Act at 42 U.S.C. §§247d-6d, 247d-6e.</w:t>
      </w:r>
    </w:p>
    <w:p w14:paraId="0B5DC17E" w14:textId="77777777" w:rsidR="0099702B" w:rsidRPr="0099702B" w:rsidRDefault="0099702B" w:rsidP="00EB12E6">
      <w:pPr>
        <w:numPr>
          <w:ilvl w:val="0"/>
          <w:numId w:val="12"/>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Social Security Act, Section 1135, as amended. Codified at 42 U.S.C. §1320b-5.</w:t>
      </w:r>
    </w:p>
    <w:p w14:paraId="26D4C030" w14:textId="77777777" w:rsidR="0099702B" w:rsidRPr="0099702B" w:rsidRDefault="0099702B" w:rsidP="00EB12E6">
      <w:pPr>
        <w:numPr>
          <w:ilvl w:val="0"/>
          <w:numId w:val="12"/>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Volunteer Protection Act of 1977, Pub. L. No. Pub. L. 105-19. Codified at 42 USC §14501 et seq.</w:t>
      </w:r>
    </w:p>
    <w:p w14:paraId="17E333B1" w14:textId="77777777" w:rsidR="00A76ED3" w:rsidRPr="00A76ED3" w:rsidRDefault="00A76ED3" w:rsidP="00EB12E6">
      <w:pPr>
        <w:spacing w:after="40" w:line="360" w:lineRule="auto"/>
        <w:rPr>
          <w:rFonts w:eastAsia="Times New Roman" w:cs="Arial"/>
          <w:b/>
          <w:bCs/>
          <w:color w:val="000000" w:themeColor="text1"/>
          <w:szCs w:val="20"/>
        </w:rPr>
      </w:pPr>
    </w:p>
    <w:p w14:paraId="4ADDBADE" w14:textId="62A2BAC0"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Other Sources</w:t>
      </w:r>
    </w:p>
    <w:p w14:paraId="3756B0CA"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Centers for Disease Control and Prevention, Public Health Law Program. “Selected Federal Legal Authorities Pertinent to Public Health Emergencies.” September 2009. Available at </w:t>
      </w:r>
      <w:hyperlink r:id="rId7" w:tooltip="http://www2a.cdc.gov/phlp/EmergencyPrep/fedauthor.asp" w:history="1">
        <w:r w:rsidRPr="0099702B">
          <w:rPr>
            <w:rFonts w:eastAsia="Times New Roman" w:cs="Arial"/>
            <w:color w:val="0F88B8"/>
            <w:szCs w:val="20"/>
            <w:bdr w:val="none" w:sz="0" w:space="0" w:color="auto" w:frame="1"/>
          </w:rPr>
          <w:t>www.cdc.gov/phlp/docs/ph-emergencies.pdf</w:t>
        </w:r>
      </w:hyperlink>
      <w:r w:rsidRPr="0099702B">
        <w:rPr>
          <w:rFonts w:eastAsia="Times New Roman" w:cs="Arial"/>
          <w:color w:val="737373"/>
          <w:szCs w:val="20"/>
        </w:rPr>
        <w:t xml:space="preserve"> . </w:t>
      </w:r>
      <w:r w:rsidRPr="0099702B">
        <w:rPr>
          <w:rFonts w:eastAsia="Times New Roman" w:cs="Arial"/>
          <w:color w:val="000000" w:themeColor="text1"/>
          <w:szCs w:val="20"/>
        </w:rPr>
        <w:t>Accessed May 30, 2013. </w:t>
      </w:r>
    </w:p>
    <w:p w14:paraId="13C8FC91"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Centers for Disease Control and Prevention, Public Health Law Program. “Federal Public Health Emergency Law: Implications for State and Local Preparedness and Response” Facilitated Teleconference. April 28, 2009. Available at </w:t>
      </w:r>
      <w:hyperlink r:id="rId8" w:history="1">
        <w:r w:rsidRPr="0099702B">
          <w:rPr>
            <w:rFonts w:eastAsia="Times New Roman" w:cs="Arial"/>
            <w:color w:val="0F88B8"/>
            <w:szCs w:val="20"/>
            <w:bdr w:val="none" w:sz="0" w:space="0" w:color="auto" w:frame="1"/>
          </w:rPr>
          <w:t>www.bt.cdc.gov/coca/ppt/Federal_PH_Emergency_Law_042809.pps</w:t>
        </w:r>
      </w:hyperlink>
      <w:r w:rsidRPr="0099702B">
        <w:rPr>
          <w:rFonts w:eastAsia="Times New Roman" w:cs="Arial"/>
          <w:color w:val="737373"/>
          <w:szCs w:val="20"/>
        </w:rPr>
        <w:t xml:space="preserve"> . </w:t>
      </w:r>
      <w:r w:rsidRPr="0099702B">
        <w:rPr>
          <w:rFonts w:eastAsia="Times New Roman" w:cs="Arial"/>
          <w:color w:val="000000" w:themeColor="text1"/>
          <w:szCs w:val="20"/>
        </w:rPr>
        <w:t>Accessed May 30, 2013.</w:t>
      </w:r>
    </w:p>
    <w:p w14:paraId="208E0F95"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Chu V. Congressional Research Service. </w:t>
      </w:r>
      <w:r w:rsidRPr="0099702B">
        <w:rPr>
          <w:rFonts w:eastAsia="Times New Roman" w:cs="Arial"/>
          <w:i/>
          <w:iCs/>
          <w:color w:val="000000" w:themeColor="text1"/>
          <w:szCs w:val="20"/>
          <w:bdr w:val="none" w:sz="0" w:space="0" w:color="auto" w:frame="1"/>
        </w:rPr>
        <w:t>Emergency Response: Civil Liability of Volunteer Health Professionals </w:t>
      </w:r>
      <w:r w:rsidRPr="0099702B">
        <w:rPr>
          <w:rFonts w:eastAsia="Times New Roman" w:cs="Arial"/>
          <w:color w:val="000000" w:themeColor="text1"/>
          <w:szCs w:val="20"/>
        </w:rPr>
        <w:t>(R40176). January 19, 2011. Available at</w:t>
      </w:r>
      <w:r w:rsidRPr="0099702B">
        <w:rPr>
          <w:rFonts w:eastAsia="Times New Roman" w:cs="Arial"/>
          <w:color w:val="737373"/>
          <w:szCs w:val="20"/>
        </w:rPr>
        <w:t> </w:t>
      </w:r>
      <w:hyperlink r:id="rId9" w:history="1">
        <w:r w:rsidRPr="0099702B">
          <w:rPr>
            <w:rFonts w:eastAsia="Times New Roman" w:cs="Arial"/>
            <w:color w:val="0F88B8"/>
            <w:szCs w:val="20"/>
            <w:bdr w:val="none" w:sz="0" w:space="0" w:color="auto" w:frame="1"/>
          </w:rPr>
          <w:t>https://opencrs.com/document/R40176/</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04F896DB"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proofErr w:type="spellStart"/>
      <w:r w:rsidRPr="0099702B">
        <w:rPr>
          <w:rFonts w:eastAsia="Times New Roman" w:cs="Arial"/>
          <w:color w:val="000000" w:themeColor="text1"/>
          <w:szCs w:val="20"/>
        </w:rPr>
        <w:t>Swendiman</w:t>
      </w:r>
      <w:proofErr w:type="spellEnd"/>
      <w:r w:rsidRPr="0099702B">
        <w:rPr>
          <w:rFonts w:eastAsia="Times New Roman" w:cs="Arial"/>
          <w:color w:val="000000" w:themeColor="text1"/>
          <w:szCs w:val="20"/>
        </w:rPr>
        <w:t xml:space="preserve"> K and Jones NL. Congressional Research Service.</w:t>
      </w:r>
      <w:r w:rsidRPr="0099702B">
        <w:rPr>
          <w:rFonts w:eastAsia="Times New Roman" w:cs="Arial"/>
          <w:i/>
          <w:iCs/>
          <w:color w:val="000000" w:themeColor="text1"/>
          <w:szCs w:val="20"/>
          <w:bdr w:val="none" w:sz="0" w:space="0" w:color="auto" w:frame="1"/>
        </w:rPr>
        <w:t> The 2009 Influenza Pandemic: Selected Legal Issues </w:t>
      </w:r>
      <w:r w:rsidRPr="0099702B">
        <w:rPr>
          <w:rFonts w:eastAsia="Times New Roman" w:cs="Arial"/>
          <w:color w:val="000000" w:themeColor="text1"/>
          <w:szCs w:val="20"/>
        </w:rPr>
        <w:t>(R40560). October 29, 2009. Available at </w:t>
      </w:r>
      <w:hyperlink r:id="rId10" w:history="1">
        <w:r w:rsidRPr="0099702B">
          <w:rPr>
            <w:rFonts w:eastAsia="Times New Roman" w:cs="Arial"/>
            <w:color w:val="0F88B8"/>
            <w:szCs w:val="20"/>
            <w:bdr w:val="none" w:sz="0" w:space="0" w:color="auto" w:frame="1"/>
          </w:rPr>
          <w:t>https://opencrs.com/document/R40560/</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4FC00D39"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lastRenderedPageBreak/>
        <w:t xml:space="preserve">Farber DA. “Disaster Law and Inequality.” 25 Law &amp; </w:t>
      </w:r>
      <w:proofErr w:type="spellStart"/>
      <w:r w:rsidRPr="0099702B">
        <w:rPr>
          <w:rFonts w:eastAsia="Times New Roman" w:cs="Arial"/>
          <w:color w:val="000000" w:themeColor="text1"/>
          <w:szCs w:val="20"/>
        </w:rPr>
        <w:t>Ineq</w:t>
      </w:r>
      <w:proofErr w:type="spellEnd"/>
      <w:r w:rsidRPr="0099702B">
        <w:rPr>
          <w:rFonts w:eastAsia="Times New Roman" w:cs="Arial"/>
          <w:color w:val="000000" w:themeColor="text1"/>
          <w:szCs w:val="20"/>
        </w:rPr>
        <w:t>. 297 (2007).</w:t>
      </w:r>
    </w:p>
    <w:p w14:paraId="15C8305B"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Federal Emergency Management Agency. </w:t>
      </w:r>
      <w:r w:rsidRPr="0099702B">
        <w:rPr>
          <w:rFonts w:eastAsia="Times New Roman" w:cs="Arial"/>
          <w:i/>
          <w:iCs/>
          <w:color w:val="000000" w:themeColor="text1"/>
          <w:szCs w:val="20"/>
          <w:bdr w:val="none" w:sz="0" w:space="0" w:color="auto" w:frame="1"/>
        </w:rPr>
        <w:t>Citizen Corps Volunteer Liability Guide</w:t>
      </w:r>
      <w:r w:rsidRPr="0099702B">
        <w:rPr>
          <w:rFonts w:eastAsia="Times New Roman" w:cs="Arial"/>
          <w:color w:val="000000" w:themeColor="text1"/>
          <w:szCs w:val="20"/>
        </w:rPr>
        <w:t>. Undated. Available at</w:t>
      </w:r>
      <w:r w:rsidRPr="0099702B">
        <w:rPr>
          <w:rFonts w:eastAsia="Times New Roman" w:cs="Arial"/>
          <w:color w:val="737373"/>
          <w:szCs w:val="20"/>
        </w:rPr>
        <w:t> </w:t>
      </w:r>
      <w:hyperlink r:id="rId11" w:tooltip="www.citizencorps.gov" w:history="1">
        <w:r w:rsidRPr="0099702B">
          <w:rPr>
            <w:rFonts w:eastAsia="Times New Roman" w:cs="Arial"/>
            <w:color w:val="0F88B8"/>
            <w:szCs w:val="20"/>
            <w:bdr w:val="none" w:sz="0" w:space="0" w:color="auto" w:frame="1"/>
          </w:rPr>
          <w:t>www.citizencorps.gov</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3BF3D512"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Health Resources and Services Administration.</w:t>
      </w:r>
      <w:r w:rsidRPr="0099702B">
        <w:rPr>
          <w:rFonts w:eastAsia="Times New Roman" w:cs="Arial"/>
          <w:i/>
          <w:iCs/>
          <w:color w:val="000000" w:themeColor="text1"/>
          <w:szCs w:val="20"/>
          <w:bdr w:val="none" w:sz="0" w:space="0" w:color="auto" w:frame="1"/>
        </w:rPr>
        <w:t> Emergency System for Advance Registration of Volunteer Health Professionals (ESAR-VHP)—Legal and Regulatory Issues</w:t>
      </w:r>
      <w:r w:rsidRPr="0099702B">
        <w:rPr>
          <w:rFonts w:eastAsia="Times New Roman" w:cs="Arial"/>
          <w:color w:val="000000" w:themeColor="text1"/>
          <w:szCs w:val="20"/>
        </w:rPr>
        <w:t>. Draft Report. May 2006. Available at</w:t>
      </w:r>
      <w:r w:rsidRPr="0099702B">
        <w:rPr>
          <w:rFonts w:eastAsia="Times New Roman" w:cs="Arial"/>
          <w:color w:val="737373"/>
          <w:szCs w:val="20"/>
        </w:rPr>
        <w:t> </w:t>
      </w:r>
      <w:hyperlink r:id="rId12" w:history="1">
        <w:r w:rsidRPr="0099702B">
          <w:rPr>
            <w:rFonts w:eastAsia="Times New Roman" w:cs="Arial"/>
            <w:color w:val="0F88B8"/>
            <w:szCs w:val="20"/>
            <w:bdr w:val="none" w:sz="0" w:space="0" w:color="auto" w:frame="1"/>
          </w:rPr>
          <w:t>www.publichealthlaw.net/Projects/ESAR-VHP.php</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1441EE5B"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Hodges JG and Arias JJ. “Liability Risks and Protections for Volunteer Health Practitioners in Emergencies.” Presentation to The Public Health Law Network-Western Region. November 2010. Available at </w:t>
      </w:r>
      <w:hyperlink r:id="rId13" w:tooltip="www.publichealthlawnetwork.org" w:history="1">
        <w:r w:rsidRPr="0099702B">
          <w:rPr>
            <w:rFonts w:eastAsia="Times New Roman" w:cs="Arial"/>
            <w:color w:val="0F88B8"/>
            <w:szCs w:val="20"/>
            <w:bdr w:val="none" w:sz="0" w:space="0" w:color="auto" w:frame="1"/>
          </w:rPr>
          <w:t>www.publichealthlawnetwork.org</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4061D23B"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Hoffman S. “Responders’ Responsibility: Liability and Immunity in Public Health Emergencies.” 96 Geo. L.J. 1913, 1944. 2008.</w:t>
      </w:r>
    </w:p>
    <w:p w14:paraId="03CAEB9E"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International Association of Industrial Accident Boards and Commissions. Available at </w:t>
      </w:r>
      <w:hyperlink r:id="rId14" w:history="1">
        <w:r w:rsidRPr="0099702B">
          <w:rPr>
            <w:rFonts w:eastAsia="Times New Roman" w:cs="Arial"/>
            <w:color w:val="000000" w:themeColor="text1"/>
            <w:szCs w:val="20"/>
            <w:bdr w:val="none" w:sz="0" w:space="0" w:color="auto" w:frame="1"/>
          </w:rPr>
          <w:t>www.iaiabc.org</w:t>
        </w:r>
      </w:hyperlink>
      <w:r w:rsidRPr="0099702B">
        <w:rPr>
          <w:rFonts w:eastAsia="Times New Roman" w:cs="Arial"/>
          <w:color w:val="000000" w:themeColor="text1"/>
          <w:szCs w:val="20"/>
        </w:rPr>
        <w:t> . Accessed May 30, 2013.</w:t>
      </w:r>
    </w:p>
    <w:p w14:paraId="1ABDB922"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Sengupta I et al. National Academy of Social Insurance. </w:t>
      </w:r>
      <w:r w:rsidRPr="0099702B">
        <w:rPr>
          <w:rFonts w:eastAsia="Times New Roman" w:cs="Arial"/>
          <w:i/>
          <w:iCs/>
          <w:color w:val="000000" w:themeColor="text1"/>
          <w:szCs w:val="20"/>
          <w:bdr w:val="none" w:sz="0" w:space="0" w:color="auto" w:frame="1"/>
        </w:rPr>
        <w:t>Workers’ Compensation: Benefits, Coverage, and Costs, 2008</w:t>
      </w:r>
      <w:r w:rsidRPr="0099702B">
        <w:rPr>
          <w:rFonts w:eastAsia="Times New Roman" w:cs="Arial"/>
          <w:color w:val="000000" w:themeColor="text1"/>
          <w:szCs w:val="20"/>
        </w:rPr>
        <w:t>. September 2010. Available at </w:t>
      </w:r>
      <w:hyperlink r:id="rId15" w:tooltip="www.nasi.org/research/workers-compensation" w:history="1">
        <w:r w:rsidRPr="0099702B">
          <w:rPr>
            <w:rFonts w:eastAsia="Times New Roman" w:cs="Arial"/>
            <w:color w:val="0F88B8"/>
            <w:szCs w:val="20"/>
            <w:bdr w:val="none" w:sz="0" w:space="0" w:color="auto" w:frame="1"/>
          </w:rPr>
          <w:t>www.nasi.org/research/workers-compensation</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7B7411AF"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proofErr w:type="spellStart"/>
      <w:r w:rsidRPr="0099702B">
        <w:rPr>
          <w:rFonts w:eastAsia="Times New Roman" w:cs="Arial"/>
          <w:color w:val="000000" w:themeColor="text1"/>
          <w:szCs w:val="20"/>
        </w:rPr>
        <w:t>Mashaw</w:t>
      </w:r>
      <w:proofErr w:type="spellEnd"/>
      <w:r w:rsidRPr="0099702B">
        <w:rPr>
          <w:rFonts w:eastAsia="Times New Roman" w:cs="Arial"/>
          <w:color w:val="000000" w:themeColor="text1"/>
          <w:szCs w:val="20"/>
        </w:rPr>
        <w:t xml:space="preserve"> J and Reno V, eds. National Academy of Social Insurance. </w:t>
      </w:r>
      <w:r w:rsidRPr="0099702B">
        <w:rPr>
          <w:rFonts w:eastAsia="Times New Roman" w:cs="Arial"/>
          <w:i/>
          <w:iCs/>
          <w:color w:val="000000" w:themeColor="text1"/>
          <w:szCs w:val="20"/>
          <w:bdr w:val="none" w:sz="0" w:space="0" w:color="auto" w:frame="1"/>
        </w:rPr>
        <w:t>The Environment of Disability Income Policy: Programs, People, History, and Context: Interim Report of the Disability Policy Panel</w:t>
      </w:r>
      <w:r w:rsidRPr="0099702B">
        <w:rPr>
          <w:rFonts w:eastAsia="Times New Roman" w:cs="Arial"/>
          <w:color w:val="000000" w:themeColor="text1"/>
          <w:szCs w:val="20"/>
        </w:rPr>
        <w:t>. August 1996. Available at </w:t>
      </w:r>
      <w:hyperlink r:id="rId16" w:tooltip="www.nasi.org/research/1996/environment-disability-income-policy-programs-people-history" w:history="1">
        <w:r w:rsidRPr="0099702B">
          <w:rPr>
            <w:rFonts w:eastAsia="Times New Roman" w:cs="Arial"/>
            <w:color w:val="0F88B8"/>
            <w:szCs w:val="20"/>
            <w:bdr w:val="none" w:sz="0" w:space="0" w:color="auto" w:frame="1"/>
          </w:rPr>
          <w:t>www.nasi.org/research/1996/environment-disability-income-policy-programs-people-history</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2ED75997"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National Conference of State Legislatures. “State Sovereign Immunity and Tort Liability” webpage. Available at </w:t>
      </w:r>
      <w:hyperlink r:id="rId17" w:tooltip="www.ncsl.org/default.aspx?tabid=20628" w:history="1">
        <w:r w:rsidRPr="0099702B">
          <w:rPr>
            <w:rFonts w:eastAsia="Times New Roman" w:cs="Arial"/>
            <w:color w:val="0F88B8"/>
            <w:szCs w:val="20"/>
            <w:bdr w:val="none" w:sz="0" w:space="0" w:color="auto" w:frame="1"/>
          </w:rPr>
          <w:t>www.ncsl.org/default.aspx?tabid=20628</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1694C8CE"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New York State, Workers' Compensation Board. “Registration of Participation in World Trade Center Rescue, Recovery, or Clean-Up Operations” Sworn Statement Form. Available at </w:t>
      </w:r>
      <w:hyperlink r:id="rId18" w:tooltip="www.wcb.ny.gov/content/main/forms/AllForms.jsp" w:history="1">
        <w:r w:rsidRPr="0099702B">
          <w:rPr>
            <w:rFonts w:eastAsia="Times New Roman" w:cs="Arial"/>
            <w:color w:val="0F88B8"/>
            <w:szCs w:val="20"/>
            <w:bdr w:val="none" w:sz="0" w:space="0" w:color="auto" w:frame="1"/>
          </w:rPr>
          <w:t>www.wcb.ny.gov/content/main/forms/AllForms.jsp</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64E83D3B"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Nonprofit Risk Management Center. </w:t>
      </w:r>
      <w:r w:rsidRPr="0099702B">
        <w:rPr>
          <w:rFonts w:eastAsia="Times New Roman" w:cs="Arial"/>
          <w:i/>
          <w:iCs/>
          <w:color w:val="000000" w:themeColor="text1"/>
          <w:szCs w:val="20"/>
          <w:bdr w:val="none" w:sz="0" w:space="0" w:color="auto" w:frame="1"/>
        </w:rPr>
        <w:t>State Liability Laws for Charitable Organizations and Volunteers</w:t>
      </w:r>
      <w:r w:rsidRPr="0099702B">
        <w:rPr>
          <w:rFonts w:eastAsia="Times New Roman" w:cs="Arial"/>
          <w:color w:val="000000" w:themeColor="text1"/>
          <w:szCs w:val="20"/>
        </w:rPr>
        <w:t>. Updated as of December 2009. Available at</w:t>
      </w:r>
      <w:r w:rsidRPr="0099702B">
        <w:rPr>
          <w:rFonts w:eastAsia="Times New Roman" w:cs="Arial"/>
          <w:color w:val="737373"/>
          <w:szCs w:val="20"/>
        </w:rPr>
        <w:t> </w:t>
      </w:r>
      <w:hyperlink r:id="rId19" w:tooltip="www.probonopartner.org/FileLib/Documents/nonprofitriskmgmtstateliability.pdf" w:history="1">
        <w:r w:rsidRPr="0099702B">
          <w:rPr>
            <w:rFonts w:eastAsia="Times New Roman" w:cs="Arial"/>
            <w:color w:val="0F88B8"/>
            <w:szCs w:val="20"/>
            <w:bdr w:val="none" w:sz="0" w:space="0" w:color="auto" w:frame="1"/>
          </w:rPr>
          <w:t>www.probonopartner.org/FileLib/Documents/nonprofitriskmgmtstateliability.pdf</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3C81FBB1"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lastRenderedPageBreak/>
        <w:t>Public Entity Risk Institute. Presentation by C. Reiss to CAJPA Fall Conference 2008. “Disaster Volunteer Liability Issues.” Available at </w:t>
      </w:r>
      <w:hyperlink r:id="rId20" w:tooltip="https://www.riskinstitute.org/peri/images/file/Reiss-VolunteerLiability-CAJPA08.ppt" w:history="1">
        <w:r w:rsidRPr="0099702B">
          <w:rPr>
            <w:rFonts w:eastAsia="Times New Roman" w:cs="Arial"/>
            <w:color w:val="0F88B8"/>
            <w:szCs w:val="20"/>
            <w:bdr w:val="none" w:sz="0" w:space="0" w:color="auto" w:frame="1"/>
          </w:rPr>
          <w:t>https://www.riskinstitute.org/peri/images/file/Reiss-VolunteerLiability-CAJPA08.ppt</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61A1876C"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Public/Private Legal Preparedness Initiative. North Carolina Institute for Public Health. “Good Samaritan Entity Liability Protection Initiative” webpage. Available at</w:t>
      </w:r>
      <w:r w:rsidRPr="0099702B">
        <w:rPr>
          <w:rFonts w:eastAsia="Times New Roman" w:cs="Arial"/>
          <w:color w:val="737373"/>
          <w:szCs w:val="20"/>
        </w:rPr>
        <w:t> </w:t>
      </w:r>
      <w:hyperlink r:id="rId21" w:tooltip="http://nciph.sph.unc.edu/law/good_sam.htm" w:history="1">
        <w:r w:rsidRPr="0099702B">
          <w:rPr>
            <w:rFonts w:eastAsia="Times New Roman" w:cs="Arial"/>
            <w:color w:val="0F88B8"/>
            <w:szCs w:val="20"/>
            <w:bdr w:val="none" w:sz="0" w:space="0" w:color="auto" w:frame="1"/>
          </w:rPr>
          <w:t>http://nciph.sph.unc.edu/law/good_sam.htm</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0CD51713"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Uniform Emergency Volunteer Health Practitioners Act (UEVHPA). Uniform Law Commission. “Emergency Volunteer Health Practitioners” website. Available at </w:t>
      </w:r>
      <w:hyperlink r:id="rId22" w:tooltip="http://uniformlaws.org/Act.aspx?title=Emergency%20Volunteer%20Health%20Practitioners" w:history="1">
        <w:r w:rsidRPr="0099702B">
          <w:rPr>
            <w:rFonts w:eastAsia="Times New Roman" w:cs="Arial"/>
            <w:color w:val="0F88B8"/>
            <w:szCs w:val="20"/>
            <w:bdr w:val="none" w:sz="0" w:space="0" w:color="auto" w:frame="1"/>
          </w:rPr>
          <w:t>http://uniformlaws.org/Act.aspx?title=Emergency%20Volunteer%20Health%20Practitioners</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65E2E966"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U.S. Dept. of Justice. “The September 11th Victim Compensation Fund of 2001” webpage. Available at </w:t>
      </w:r>
      <w:hyperlink r:id="rId23" w:tooltip="www.justice.gov/archive/victimcompensation/index.html" w:history="1">
        <w:r w:rsidRPr="0099702B">
          <w:rPr>
            <w:rFonts w:eastAsia="Times New Roman" w:cs="Arial"/>
            <w:color w:val="0F88B8"/>
            <w:szCs w:val="20"/>
            <w:bdr w:val="none" w:sz="0" w:space="0" w:color="auto" w:frame="1"/>
          </w:rPr>
          <w:t>www.justice.gov/archive/victimcompensation/index.html</w:t>
        </w:r>
      </w:hyperlink>
      <w:r w:rsidRPr="0099702B">
        <w:rPr>
          <w:rFonts w:eastAsia="Times New Roman" w:cs="Arial"/>
          <w:color w:val="737373"/>
          <w:szCs w:val="20"/>
        </w:rPr>
        <w:t xml:space="preserve">. </w:t>
      </w:r>
      <w:r w:rsidRPr="0099702B">
        <w:rPr>
          <w:rFonts w:eastAsia="Times New Roman" w:cs="Arial"/>
          <w:color w:val="000000" w:themeColor="text1"/>
          <w:szCs w:val="20"/>
        </w:rPr>
        <w:t>Accessed May 30, 2013.</w:t>
      </w:r>
    </w:p>
    <w:p w14:paraId="4D20E26B" w14:textId="77777777" w:rsidR="0099702B" w:rsidRPr="0099702B" w:rsidRDefault="0099702B" w:rsidP="00EB12E6">
      <w:pPr>
        <w:numPr>
          <w:ilvl w:val="0"/>
          <w:numId w:val="13"/>
        </w:numPr>
        <w:spacing w:after="40" w:line="360" w:lineRule="auto"/>
        <w:ind w:left="0"/>
        <w:textAlignment w:val="baseline"/>
        <w:rPr>
          <w:rFonts w:eastAsia="Times New Roman" w:cs="Arial"/>
          <w:color w:val="000000" w:themeColor="text1"/>
          <w:szCs w:val="20"/>
        </w:rPr>
      </w:pPr>
      <w:r w:rsidRPr="0099702B">
        <w:rPr>
          <w:rFonts w:eastAsia="Times New Roman" w:cs="Arial"/>
          <w:color w:val="000000" w:themeColor="text1"/>
          <w:szCs w:val="20"/>
        </w:rPr>
        <w:t>U.S. Dept. of Labor. “Summary of the Major Laws of the Department of Labor” webpage. Available at </w:t>
      </w:r>
      <w:hyperlink r:id="rId24" w:tooltip="www.dol.gov/opa/aboutdol/lawsprog.htm" w:history="1">
        <w:r w:rsidRPr="0099702B">
          <w:rPr>
            <w:rFonts w:eastAsia="Times New Roman" w:cs="Arial"/>
            <w:color w:val="0F88B8"/>
            <w:szCs w:val="20"/>
            <w:bdr w:val="none" w:sz="0" w:space="0" w:color="auto" w:frame="1"/>
          </w:rPr>
          <w:t>www.do</w:t>
        </w:r>
        <w:r w:rsidRPr="0099702B">
          <w:rPr>
            <w:rFonts w:eastAsia="Times New Roman" w:cs="Arial"/>
            <w:color w:val="0F88B8"/>
            <w:szCs w:val="20"/>
            <w:bdr w:val="none" w:sz="0" w:space="0" w:color="auto" w:frame="1"/>
          </w:rPr>
          <w:t>l</w:t>
        </w:r>
        <w:r w:rsidRPr="0099702B">
          <w:rPr>
            <w:rFonts w:eastAsia="Times New Roman" w:cs="Arial"/>
            <w:color w:val="0F88B8"/>
            <w:szCs w:val="20"/>
            <w:bdr w:val="none" w:sz="0" w:space="0" w:color="auto" w:frame="1"/>
          </w:rPr>
          <w:t>.gov/opa/aboutdol/lawsprog.htm</w:t>
        </w:r>
      </w:hyperlink>
      <w:r w:rsidRPr="0099702B">
        <w:rPr>
          <w:rFonts w:eastAsia="Times New Roman" w:cs="Arial"/>
          <w:color w:val="000000" w:themeColor="text1"/>
          <w:szCs w:val="20"/>
        </w:rPr>
        <w:t>. Accessed May 30, 2013.</w:t>
      </w:r>
    </w:p>
    <w:p w14:paraId="02D98111" w14:textId="77777777" w:rsidR="00B75B7F" w:rsidRPr="00CA7A57" w:rsidRDefault="00B75B7F" w:rsidP="00EB12E6">
      <w:pPr>
        <w:spacing w:after="40" w:line="360" w:lineRule="auto"/>
        <w:rPr>
          <w:sz w:val="24"/>
        </w:rPr>
      </w:pPr>
    </w:p>
    <w:p w14:paraId="44C3455D" w14:textId="77777777" w:rsidR="00EB12E6" w:rsidRPr="00CA7A57" w:rsidRDefault="00EB12E6">
      <w:pPr>
        <w:spacing w:after="40" w:line="360" w:lineRule="auto"/>
        <w:rPr>
          <w:sz w:val="24"/>
        </w:rPr>
      </w:pPr>
    </w:p>
    <w:sectPr w:rsidR="00EB12E6" w:rsidRPr="00CA7A57">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522AC3" w14:textId="77777777" w:rsidR="00480D8E" w:rsidRDefault="00480D8E" w:rsidP="00477E52">
      <w:r>
        <w:separator/>
      </w:r>
    </w:p>
  </w:endnote>
  <w:endnote w:type="continuationSeparator" w:id="0">
    <w:p w14:paraId="5A64371B" w14:textId="77777777" w:rsidR="00480D8E" w:rsidRDefault="00480D8E" w:rsidP="0047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5049029"/>
      <w:docPartObj>
        <w:docPartGallery w:val="Page Numbers (Bottom of Page)"/>
        <w:docPartUnique/>
      </w:docPartObj>
    </w:sdtPr>
    <w:sdtEndPr>
      <w:rPr>
        <w:noProof/>
      </w:rPr>
    </w:sdtEndPr>
    <w:sdtContent>
      <w:p w14:paraId="539E0E42" w14:textId="72765AD4" w:rsidR="00477E52" w:rsidRDefault="00477E52" w:rsidP="00477E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0E2B75" w14:textId="77777777" w:rsidR="00480D8E" w:rsidRDefault="00480D8E" w:rsidP="00477E52">
      <w:r>
        <w:separator/>
      </w:r>
    </w:p>
  </w:footnote>
  <w:footnote w:type="continuationSeparator" w:id="0">
    <w:p w14:paraId="4E7AC213" w14:textId="77777777" w:rsidR="00480D8E" w:rsidRDefault="00480D8E" w:rsidP="00477E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4216B"/>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F476ED"/>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C435F0"/>
    <w:multiLevelType w:val="hybridMultilevel"/>
    <w:tmpl w:val="D3A64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9747C6"/>
    <w:multiLevelType w:val="hybridMultilevel"/>
    <w:tmpl w:val="63BCA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00AD8"/>
    <w:multiLevelType w:val="multilevel"/>
    <w:tmpl w:val="57B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46CA7"/>
    <w:multiLevelType w:val="multilevel"/>
    <w:tmpl w:val="29E8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2619D"/>
    <w:multiLevelType w:val="hybridMultilevel"/>
    <w:tmpl w:val="35E29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8D4748"/>
    <w:multiLevelType w:val="multilevel"/>
    <w:tmpl w:val="99E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663DDF"/>
    <w:multiLevelType w:val="multilevel"/>
    <w:tmpl w:val="AA1E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A126A2"/>
    <w:multiLevelType w:val="hybridMultilevel"/>
    <w:tmpl w:val="5BB0F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DDE4E29"/>
    <w:multiLevelType w:val="multilevel"/>
    <w:tmpl w:val="7CA6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75FAF"/>
    <w:multiLevelType w:val="multilevel"/>
    <w:tmpl w:val="F6DA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C35430"/>
    <w:multiLevelType w:val="multilevel"/>
    <w:tmpl w:val="FEDA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462722"/>
    <w:multiLevelType w:val="multilevel"/>
    <w:tmpl w:val="122C6F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4A1275D"/>
    <w:multiLevelType w:val="hybridMultilevel"/>
    <w:tmpl w:val="86529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166A51"/>
    <w:multiLevelType w:val="multilevel"/>
    <w:tmpl w:val="0C54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BB48BC"/>
    <w:multiLevelType w:val="hybridMultilevel"/>
    <w:tmpl w:val="0B92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C22A6D"/>
    <w:multiLevelType w:val="hybridMultilevel"/>
    <w:tmpl w:val="C2106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3B767C6"/>
    <w:multiLevelType w:val="multilevel"/>
    <w:tmpl w:val="B8E8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5D645D"/>
    <w:multiLevelType w:val="multilevel"/>
    <w:tmpl w:val="0A44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9709C1"/>
    <w:multiLevelType w:val="hybridMultilevel"/>
    <w:tmpl w:val="8FAAF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F0473F2"/>
    <w:multiLevelType w:val="multilevel"/>
    <w:tmpl w:val="DC60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575101"/>
    <w:multiLevelType w:val="multilevel"/>
    <w:tmpl w:val="BB9C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7"/>
  </w:num>
  <w:num w:numId="3">
    <w:abstractNumId w:val="5"/>
  </w:num>
  <w:num w:numId="4">
    <w:abstractNumId w:val="13"/>
  </w:num>
  <w:num w:numId="5">
    <w:abstractNumId w:val="12"/>
  </w:num>
  <w:num w:numId="6">
    <w:abstractNumId w:val="21"/>
  </w:num>
  <w:num w:numId="7">
    <w:abstractNumId w:val="8"/>
  </w:num>
  <w:num w:numId="8">
    <w:abstractNumId w:val="11"/>
  </w:num>
  <w:num w:numId="9">
    <w:abstractNumId w:val="19"/>
  </w:num>
  <w:num w:numId="10">
    <w:abstractNumId w:val="22"/>
  </w:num>
  <w:num w:numId="11">
    <w:abstractNumId w:val="18"/>
  </w:num>
  <w:num w:numId="12">
    <w:abstractNumId w:val="4"/>
  </w:num>
  <w:num w:numId="13">
    <w:abstractNumId w:val="15"/>
  </w:num>
  <w:num w:numId="14">
    <w:abstractNumId w:val="14"/>
  </w:num>
  <w:num w:numId="15">
    <w:abstractNumId w:val="1"/>
  </w:num>
  <w:num w:numId="16">
    <w:abstractNumId w:val="0"/>
  </w:num>
  <w:num w:numId="17">
    <w:abstractNumId w:val="3"/>
  </w:num>
  <w:num w:numId="18">
    <w:abstractNumId w:val="6"/>
  </w:num>
  <w:num w:numId="19">
    <w:abstractNumId w:val="17"/>
  </w:num>
  <w:num w:numId="20">
    <w:abstractNumId w:val="23"/>
  </w:num>
  <w:num w:numId="21">
    <w:abstractNumId w:val="9"/>
  </w:num>
  <w:num w:numId="22">
    <w:abstractNumId w:val="20"/>
  </w:num>
  <w:num w:numId="23">
    <w:abstractNumId w:val="16"/>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2B"/>
    <w:rsid w:val="000844A3"/>
    <w:rsid w:val="00151278"/>
    <w:rsid w:val="001C40BE"/>
    <w:rsid w:val="002A2B2D"/>
    <w:rsid w:val="003241AC"/>
    <w:rsid w:val="003422D5"/>
    <w:rsid w:val="00476446"/>
    <w:rsid w:val="00477E52"/>
    <w:rsid w:val="00480D8E"/>
    <w:rsid w:val="006D2E3A"/>
    <w:rsid w:val="00763876"/>
    <w:rsid w:val="00770415"/>
    <w:rsid w:val="0079749B"/>
    <w:rsid w:val="0099702B"/>
    <w:rsid w:val="00A76ED3"/>
    <w:rsid w:val="00B75B7F"/>
    <w:rsid w:val="00C91B48"/>
    <w:rsid w:val="00CA7A57"/>
    <w:rsid w:val="00EB12E6"/>
    <w:rsid w:val="00ED4B79"/>
    <w:rsid w:val="00F260D9"/>
    <w:rsid w:val="00F557C7"/>
    <w:rsid w:val="00F86AF4"/>
    <w:rsid w:val="00FC3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D0458"/>
  <w15:chartTrackingRefBased/>
  <w15:docId w15:val="{EA11D880-05F8-4069-B6BD-49576B30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702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702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702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02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70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70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702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9702B"/>
    <w:rPr>
      <w:color w:val="0000FF"/>
      <w:u w:val="single"/>
    </w:rPr>
  </w:style>
  <w:style w:type="character" w:styleId="Strong">
    <w:name w:val="Strong"/>
    <w:basedOn w:val="DefaultParagraphFont"/>
    <w:uiPriority w:val="22"/>
    <w:qFormat/>
    <w:rsid w:val="0099702B"/>
    <w:rPr>
      <w:b/>
      <w:bCs/>
    </w:rPr>
  </w:style>
  <w:style w:type="character" w:styleId="Emphasis">
    <w:name w:val="Emphasis"/>
    <w:basedOn w:val="DefaultParagraphFont"/>
    <w:uiPriority w:val="20"/>
    <w:qFormat/>
    <w:rsid w:val="0099702B"/>
    <w:rPr>
      <w:i/>
      <w:iCs/>
    </w:rPr>
  </w:style>
  <w:style w:type="paragraph" w:styleId="Header">
    <w:name w:val="header"/>
    <w:basedOn w:val="Normal"/>
    <w:link w:val="HeaderChar"/>
    <w:uiPriority w:val="99"/>
    <w:unhideWhenUsed/>
    <w:rsid w:val="00477E52"/>
    <w:pPr>
      <w:tabs>
        <w:tab w:val="center" w:pos="4680"/>
        <w:tab w:val="right" w:pos="9360"/>
      </w:tabs>
    </w:pPr>
  </w:style>
  <w:style w:type="character" w:customStyle="1" w:styleId="HeaderChar">
    <w:name w:val="Header Char"/>
    <w:basedOn w:val="DefaultParagraphFont"/>
    <w:link w:val="Header"/>
    <w:uiPriority w:val="99"/>
    <w:rsid w:val="00477E52"/>
  </w:style>
  <w:style w:type="paragraph" w:styleId="Footer">
    <w:name w:val="footer"/>
    <w:basedOn w:val="Normal"/>
    <w:link w:val="FooterChar"/>
    <w:uiPriority w:val="99"/>
    <w:unhideWhenUsed/>
    <w:rsid w:val="00477E52"/>
    <w:pPr>
      <w:tabs>
        <w:tab w:val="center" w:pos="4680"/>
        <w:tab w:val="right" w:pos="9360"/>
      </w:tabs>
    </w:pPr>
  </w:style>
  <w:style w:type="character" w:customStyle="1" w:styleId="FooterChar">
    <w:name w:val="Footer Char"/>
    <w:basedOn w:val="DefaultParagraphFont"/>
    <w:link w:val="Footer"/>
    <w:uiPriority w:val="99"/>
    <w:rsid w:val="00477E52"/>
  </w:style>
  <w:style w:type="paragraph" w:styleId="ListParagraph">
    <w:name w:val="List Paragraph"/>
    <w:basedOn w:val="Normal"/>
    <w:uiPriority w:val="34"/>
    <w:qFormat/>
    <w:rsid w:val="007704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62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t.cdc.gov/coca/ppt/Federal_PH_Emergency_Law_042809.pps" TargetMode="External"/><Relationship Id="rId13" Type="http://schemas.openxmlformats.org/officeDocument/2006/relationships/hyperlink" Target="http://www.publichealthlawnetwork.org/" TargetMode="External"/><Relationship Id="rId18" Type="http://schemas.openxmlformats.org/officeDocument/2006/relationships/hyperlink" Target="http://www.wcb.ny.gov/content/main/forms/AllForms.jsp"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nciph.sph.unc.edu/law/good_sam.htm" TargetMode="External"/><Relationship Id="rId7" Type="http://schemas.openxmlformats.org/officeDocument/2006/relationships/hyperlink" Target="http://www2a.cdc.gov/phlp/EmergencyPrep/fedauthor.asp" TargetMode="External"/><Relationship Id="rId12" Type="http://schemas.openxmlformats.org/officeDocument/2006/relationships/hyperlink" Target="http://www.publichealthlaw.net/Projects/ESAR-VHP.php" TargetMode="External"/><Relationship Id="rId17" Type="http://schemas.openxmlformats.org/officeDocument/2006/relationships/hyperlink" Target="http://www.ncsl.org/default.aspx?tabid=20628"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nasi.org/research/1996/environment-disability-income-policy-programs-people-history" TargetMode="External"/><Relationship Id="rId20" Type="http://schemas.openxmlformats.org/officeDocument/2006/relationships/hyperlink" Target="https://www.riskinstitute.org/peri/images/file/Reiss-VolunteerLiability-CAJPA08.pp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tizencorps.gov/" TargetMode="External"/><Relationship Id="rId24" Type="http://schemas.openxmlformats.org/officeDocument/2006/relationships/hyperlink" Target="http://www.dol.gov/opa/aboutdol/lawsprog.htm" TargetMode="External"/><Relationship Id="rId5" Type="http://schemas.openxmlformats.org/officeDocument/2006/relationships/footnotes" Target="footnotes.xml"/><Relationship Id="rId15" Type="http://schemas.openxmlformats.org/officeDocument/2006/relationships/hyperlink" Target="http://www.nasi.org/research/workers-compensation" TargetMode="External"/><Relationship Id="rId23" Type="http://schemas.openxmlformats.org/officeDocument/2006/relationships/hyperlink" Target="http://www.justice.gov/archive/victimcompensation/index.html" TargetMode="External"/><Relationship Id="rId10" Type="http://schemas.openxmlformats.org/officeDocument/2006/relationships/hyperlink" Target="https://opencrs.com/document/R40560/" TargetMode="External"/><Relationship Id="rId19" Type="http://schemas.openxmlformats.org/officeDocument/2006/relationships/hyperlink" Target="http://www.probonopartner.org/FileLib/Documents/nonprofitriskmgmtstateliability.pdf" TargetMode="External"/><Relationship Id="rId4" Type="http://schemas.openxmlformats.org/officeDocument/2006/relationships/webSettings" Target="webSettings.xml"/><Relationship Id="rId9" Type="http://schemas.openxmlformats.org/officeDocument/2006/relationships/hyperlink" Target="https://opencrs.com/document/R40176/" TargetMode="External"/><Relationship Id="rId14" Type="http://schemas.openxmlformats.org/officeDocument/2006/relationships/hyperlink" Target="http://www.iaiabc.org/" TargetMode="External"/><Relationship Id="rId22" Type="http://schemas.openxmlformats.org/officeDocument/2006/relationships/hyperlink" Target="http://uniformlaws.org/Act.aspx?title=Emergency%20Volunteer%20Health%20Practitioner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28</Pages>
  <Words>10139</Words>
  <Characters>57793</Characters>
  <Application>Microsoft Office Word</Application>
  <DocSecurity>0</DocSecurity>
  <Lines>481</Lines>
  <Paragraphs>135</Paragraphs>
  <ScaleCrop>false</ScaleCrop>
  <Company/>
  <LinksUpToDate>false</LinksUpToDate>
  <CharactersWithSpaces>67797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21</cp:revision>
  <dcterms:created xsi:type="dcterms:W3CDTF">2019-05-01T15:50:00Z</dcterms:created>
  <dcterms:modified xsi:type="dcterms:W3CDTF">2019-05-01T16:53:00Z</dcterms:modified>
</cp:coreProperties>
</file>