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FA2965" w14:textId="77777777" w:rsidR="00AF7D2C" w:rsidRDefault="00AF7D2C" w:rsidP="00AF7D2C">
      <w:pPr>
        <w:rPr>
          <w:rFonts w:ascii="Arial" w:hAnsi="Arial" w:cs="Arial"/>
          <w:b/>
          <w:color w:val="C00000"/>
          <w:sz w:val="24"/>
        </w:rPr>
      </w:pPr>
      <w:r>
        <w:rPr>
          <w:rFonts w:ascii="Arial" w:hAnsi="Arial" w:cs="Arial"/>
          <w:b/>
          <w:color w:val="C00000"/>
          <w:sz w:val="24"/>
        </w:rPr>
        <w:t>[</w:t>
      </w:r>
      <w:r>
        <w:rPr>
          <w:rFonts w:ascii="Arial" w:hAnsi="Arial" w:cs="Arial"/>
          <w:b/>
          <w:i/>
          <w:color w:val="C00000"/>
          <w:sz w:val="24"/>
        </w:rPr>
        <w:t>4/2019 PE Note:</w:t>
      </w:r>
      <w:r>
        <w:rPr>
          <w:rFonts w:ascii="Arial" w:hAnsi="Arial" w:cs="Arial"/>
          <w:b/>
          <w:color w:val="C00000"/>
          <w:sz w:val="24"/>
        </w:rPr>
        <w:t xml:space="preserve"> Do not plan on updating these documents; please note any comments you may have about content or formatting generally]</w:t>
      </w:r>
    </w:p>
    <w:p w14:paraId="55980EE1" w14:textId="7A12E593" w:rsidR="00B75B7F" w:rsidRDefault="00B75B7F"/>
    <w:p w14:paraId="5CC61291" w14:textId="77777777" w:rsidR="00AF7D2C" w:rsidRPr="00AF7D2C" w:rsidRDefault="00AF7D2C" w:rsidP="00AF7D2C">
      <w:pPr>
        <w:shd w:val="clear" w:color="auto" w:fill="FFFFFF"/>
        <w:spacing w:after="225"/>
        <w:textAlignment w:val="baseline"/>
        <w:outlineLvl w:val="0"/>
        <w:rPr>
          <w:rFonts w:ascii="Helvetica" w:eastAsia="Times New Roman" w:hAnsi="Helvetica" w:cs="Helvetica"/>
          <w:b/>
          <w:bCs/>
          <w:color w:val="333333"/>
          <w:spacing w:val="15"/>
          <w:kern w:val="36"/>
          <w:sz w:val="36"/>
          <w:szCs w:val="36"/>
        </w:rPr>
      </w:pPr>
      <w:r w:rsidRPr="00AF7D2C">
        <w:rPr>
          <w:rFonts w:ascii="Helvetica" w:eastAsia="Times New Roman" w:hAnsi="Helvetica" w:cs="Helvetica"/>
          <w:b/>
          <w:bCs/>
          <w:color w:val="333333"/>
          <w:spacing w:val="15"/>
          <w:kern w:val="36"/>
          <w:sz w:val="36"/>
          <w:szCs w:val="36"/>
        </w:rPr>
        <w:t>Current Issues and Updates</w:t>
      </w:r>
    </w:p>
    <w:p w14:paraId="35C33512" w14:textId="77777777" w:rsidR="00AF7D2C" w:rsidRPr="00AF7D2C" w:rsidRDefault="00AF7D2C" w:rsidP="00AF7D2C">
      <w:pPr>
        <w:shd w:val="clear" w:color="auto" w:fill="FFFFFF"/>
        <w:spacing w:after="225" w:line="240" w:lineRule="atLeast"/>
        <w:textAlignment w:val="baseline"/>
        <w:rPr>
          <w:rFonts w:ascii="Arial" w:eastAsia="Times New Roman" w:hAnsi="Arial" w:cs="Arial"/>
          <w:color w:val="737373"/>
          <w:sz w:val="20"/>
          <w:szCs w:val="20"/>
        </w:rPr>
      </w:pPr>
      <w:r w:rsidRPr="00AF7D2C">
        <w:rPr>
          <w:rFonts w:ascii="Arial" w:eastAsia="Times New Roman" w:hAnsi="Arial" w:cs="Arial"/>
          <w:color w:val="737373"/>
          <w:sz w:val="20"/>
          <w:szCs w:val="20"/>
        </w:rPr>
        <w:t> </w:t>
      </w:r>
    </w:p>
    <w:p w14:paraId="1CD7B8B3" w14:textId="77777777" w:rsidR="00AF7D2C" w:rsidRPr="00AF7D2C" w:rsidRDefault="00AF7D2C" w:rsidP="00AF7D2C">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AF7D2C">
        <w:rPr>
          <w:rFonts w:ascii="Arial" w:eastAsia="Times New Roman" w:hAnsi="Arial" w:cs="Arial"/>
          <w:b/>
          <w:bCs/>
          <w:color w:val="3C3030"/>
          <w:sz w:val="24"/>
          <w:szCs w:val="24"/>
        </w:rPr>
        <w:t>Winter 2012</w:t>
      </w:r>
    </w:p>
    <w:p w14:paraId="1AD5779B" w14:textId="7675E29E" w:rsidR="00AF7D2C" w:rsidRPr="00AF7D2C" w:rsidRDefault="00AF7D2C" w:rsidP="00AF7D2C">
      <w:pPr>
        <w:shd w:val="clear" w:color="auto" w:fill="FFFFFF"/>
        <w:spacing w:line="240" w:lineRule="atLeast"/>
        <w:textAlignment w:val="baseline"/>
        <w:rPr>
          <w:rFonts w:ascii="Arial" w:eastAsia="Times New Roman" w:hAnsi="Arial" w:cs="Arial"/>
          <w:color w:val="737373"/>
          <w:sz w:val="20"/>
          <w:szCs w:val="20"/>
        </w:rPr>
      </w:pPr>
      <w:r w:rsidRPr="00AF7D2C">
        <w:rPr>
          <w:rFonts w:ascii="Arial" w:eastAsia="Times New Roman" w:hAnsi="Arial" w:cs="Arial"/>
          <w:i/>
          <w:iCs/>
          <w:color w:val="737373"/>
          <w:sz w:val="20"/>
          <w:szCs w:val="20"/>
          <w:bdr w:val="none" w:sz="0" w:space="0" w:color="auto" w:frame="1"/>
        </w:rPr>
        <w:t>Current Issues and Updates provides periodic updates on new and evolving issues related to the topics covered in the ASTHO Emergency Authority and Immunity Toolkit. </w:t>
      </w:r>
      <w:r w:rsidRPr="00AF7D2C">
        <w:rPr>
          <w:rFonts w:ascii="Arial" w:eastAsia="Times New Roman" w:hAnsi="Arial" w:cs="Arial"/>
          <w:color w:val="737373"/>
          <w:sz w:val="20"/>
          <w:szCs w:val="20"/>
        </w:rPr>
        <w:t>(</w:t>
      </w:r>
      <w:hyperlink r:id="rId7" w:tooltip="Download a printable PDF." w:history="1">
        <w:r w:rsidRPr="00AF7D2C">
          <w:rPr>
            <w:rFonts w:ascii="Arial" w:eastAsia="Times New Roman" w:hAnsi="Arial" w:cs="Arial"/>
            <w:color w:val="0F88B8"/>
            <w:sz w:val="20"/>
            <w:szCs w:val="20"/>
            <w:u w:val="single"/>
            <w:bdr w:val="none" w:sz="0" w:space="0" w:color="auto" w:frame="1"/>
          </w:rPr>
          <w:t>Download a printable PDF.</w:t>
        </w:r>
      </w:hyperlink>
      <w:r w:rsidRPr="00AF7D2C">
        <w:rPr>
          <w:rFonts w:ascii="Arial" w:eastAsia="Times New Roman" w:hAnsi="Arial" w:cs="Arial"/>
          <w:color w:val="737373"/>
          <w:sz w:val="20"/>
          <w:szCs w:val="20"/>
        </w:rPr>
        <w:t>)</w:t>
      </w:r>
      <w:r w:rsidRPr="00AF7D2C">
        <w:rPr>
          <w:rFonts w:ascii="Arial" w:eastAsia="Times New Roman" w:hAnsi="Arial" w:cs="Arial"/>
          <w:color w:val="737373"/>
          <w:sz w:val="20"/>
          <w:szCs w:val="20"/>
        </w:rPr>
        <w:br/>
        <w:t> </w:t>
      </w:r>
    </w:p>
    <w:p w14:paraId="0A5A4137" w14:textId="77777777" w:rsidR="00AF7D2C" w:rsidRPr="00AF7D2C" w:rsidRDefault="00AF7D2C" w:rsidP="00AF7D2C">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AF7D2C">
        <w:rPr>
          <w:rFonts w:ascii="Arial" w:eastAsia="Times New Roman" w:hAnsi="Arial" w:cs="Arial"/>
          <w:b/>
          <w:bCs/>
          <w:color w:val="3C3030"/>
          <w:sz w:val="24"/>
          <w:szCs w:val="24"/>
        </w:rPr>
        <w:t>Pandemic and All-Hazards Preparedness Act Reauthorization</w:t>
      </w:r>
    </w:p>
    <w:p w14:paraId="43848E88" w14:textId="5C3B685C" w:rsidR="00AF7D2C" w:rsidRPr="00AF7D2C" w:rsidRDefault="00AF7D2C" w:rsidP="00AF7D2C">
      <w:pPr>
        <w:shd w:val="clear" w:color="auto" w:fill="FFFFFF"/>
        <w:spacing w:after="225" w:line="240" w:lineRule="atLeast"/>
        <w:textAlignment w:val="baseline"/>
        <w:rPr>
          <w:rFonts w:ascii="Arial" w:eastAsia="Times New Roman" w:hAnsi="Arial" w:cs="Arial"/>
          <w:color w:val="737373"/>
          <w:sz w:val="20"/>
          <w:szCs w:val="20"/>
        </w:rPr>
      </w:pPr>
      <w:r w:rsidRPr="00AF7D2C">
        <w:rPr>
          <w:rFonts w:ascii="Arial" w:eastAsia="Times New Roman" w:hAnsi="Arial" w:cs="Arial"/>
          <w:color w:val="737373"/>
          <w:sz w:val="20"/>
          <w:szCs w:val="20"/>
        </w:rPr>
        <w:t>Congress is continuing the process of reauthorizing the Pandemic and All-Hazards Preparedness Act (PAHPA), which was scheduled for reauthorization in 2011. As of March 2012, both the House and Senate have passed their own versions of the reauthorizing legislation. While there are many similarities between the two bills, Congress is likely to convene a conference committee to reconcile the differences between them. Once passed, the programs and authorities in PAHPA will be reauthorized for another five years. </w:t>
      </w:r>
      <w:r w:rsidRPr="00AF7D2C">
        <w:rPr>
          <w:rFonts w:ascii="Arial" w:eastAsia="Times New Roman" w:hAnsi="Arial" w:cs="Arial"/>
          <w:color w:val="737373"/>
          <w:sz w:val="20"/>
          <w:szCs w:val="20"/>
        </w:rPr>
        <w:br/>
      </w:r>
    </w:p>
    <w:p w14:paraId="4F5CD00C" w14:textId="77777777" w:rsidR="00AF7D2C" w:rsidRPr="00AF7D2C" w:rsidRDefault="00AF7D2C" w:rsidP="00AF7D2C">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AF7D2C">
        <w:rPr>
          <w:rFonts w:ascii="Arial" w:eastAsia="Times New Roman" w:hAnsi="Arial" w:cs="Arial"/>
          <w:b/>
          <w:bCs/>
          <w:color w:val="3C3030"/>
          <w:sz w:val="24"/>
          <w:szCs w:val="24"/>
        </w:rPr>
        <w:t>What PAHPA Currently Addresses</w:t>
      </w:r>
    </w:p>
    <w:p w14:paraId="36A631A1" w14:textId="77777777" w:rsidR="00AF7D2C" w:rsidRPr="00AF7D2C" w:rsidRDefault="00AF7D2C" w:rsidP="00AF7D2C">
      <w:pPr>
        <w:shd w:val="clear" w:color="auto" w:fill="FFFFFF"/>
        <w:spacing w:after="120" w:line="240" w:lineRule="atLeast"/>
        <w:textAlignment w:val="baseline"/>
        <w:rPr>
          <w:rFonts w:ascii="Arial" w:eastAsia="Times New Roman" w:hAnsi="Arial" w:cs="Arial"/>
          <w:color w:val="737373"/>
          <w:sz w:val="20"/>
          <w:szCs w:val="20"/>
        </w:rPr>
      </w:pPr>
      <w:r w:rsidRPr="00AF7D2C">
        <w:rPr>
          <w:rFonts w:ascii="Arial" w:eastAsia="Times New Roman" w:hAnsi="Arial" w:cs="Arial"/>
          <w:color w:val="737373"/>
          <w:sz w:val="20"/>
          <w:szCs w:val="20"/>
        </w:rPr>
        <w:t>PAHPA was first enacted in 2006 to improve the nation’s public health and medical preparedness and response capabilities for natural and manmade disasters. Specifically, PAHPA amended the Public Health Service Act to address the organization of public health emergency preparedness and response activities and authorized new programs and initiatives concerning medical surge capacity, the development of countermeasures to biological threats, and the capacity of states and localities to prepare for and respond to public health emergencies. </w:t>
      </w:r>
      <w:r w:rsidRPr="00AF7D2C">
        <w:rPr>
          <w:rFonts w:ascii="Arial" w:eastAsia="Times New Roman" w:hAnsi="Arial" w:cs="Arial"/>
          <w:color w:val="737373"/>
          <w:sz w:val="20"/>
          <w:szCs w:val="20"/>
        </w:rPr>
        <w:br/>
      </w:r>
      <w:r w:rsidRPr="00AF7D2C">
        <w:rPr>
          <w:rFonts w:ascii="Arial" w:eastAsia="Times New Roman" w:hAnsi="Arial" w:cs="Arial"/>
          <w:color w:val="737373"/>
          <w:sz w:val="20"/>
          <w:szCs w:val="20"/>
        </w:rPr>
        <w:br/>
        <w:t xml:space="preserve">PAHPA impacts the states through the organizational structures and programs it established within the Department of Health and Human Services (HHS). Many of the offices and programs within HHS that state public health preparedness programs interact with </w:t>
      </w:r>
      <w:proofErr w:type="gramStart"/>
      <w:r w:rsidRPr="00AF7D2C">
        <w:rPr>
          <w:rFonts w:ascii="Arial" w:eastAsia="Times New Roman" w:hAnsi="Arial" w:cs="Arial"/>
          <w:color w:val="737373"/>
          <w:sz w:val="20"/>
          <w:szCs w:val="20"/>
        </w:rPr>
        <w:t>on a daily basis</w:t>
      </w:r>
      <w:proofErr w:type="gramEnd"/>
      <w:r w:rsidRPr="00AF7D2C">
        <w:rPr>
          <w:rFonts w:ascii="Arial" w:eastAsia="Times New Roman" w:hAnsi="Arial" w:cs="Arial"/>
          <w:color w:val="737373"/>
          <w:sz w:val="20"/>
          <w:szCs w:val="20"/>
        </w:rPr>
        <w:t xml:space="preserve"> were developed or refined through PAHPA, including:</w:t>
      </w:r>
    </w:p>
    <w:p w14:paraId="20CABC17" w14:textId="77777777" w:rsidR="00AF7D2C" w:rsidRPr="00AF7D2C" w:rsidRDefault="00AF7D2C" w:rsidP="00AF7D2C">
      <w:pPr>
        <w:numPr>
          <w:ilvl w:val="0"/>
          <w:numId w:val="3"/>
        </w:numPr>
        <w:spacing w:after="120" w:line="255" w:lineRule="atLeast"/>
        <w:textAlignment w:val="baseline"/>
        <w:rPr>
          <w:rFonts w:ascii="Arial" w:eastAsia="Times New Roman" w:hAnsi="Arial" w:cs="Arial"/>
          <w:color w:val="737373"/>
          <w:sz w:val="20"/>
          <w:szCs w:val="20"/>
        </w:rPr>
      </w:pPr>
      <w:r w:rsidRPr="00AF7D2C">
        <w:rPr>
          <w:rFonts w:ascii="Arial" w:eastAsia="Times New Roman" w:hAnsi="Arial" w:cs="Arial"/>
          <w:color w:val="737373"/>
          <w:sz w:val="20"/>
          <w:szCs w:val="20"/>
        </w:rPr>
        <w:t>The Office of the Assistant Secretary for Preparedness and Response.</w:t>
      </w:r>
    </w:p>
    <w:p w14:paraId="1C9E8697" w14:textId="77777777" w:rsidR="00AF7D2C" w:rsidRPr="00AF7D2C" w:rsidRDefault="00AF7D2C" w:rsidP="00AF7D2C">
      <w:pPr>
        <w:numPr>
          <w:ilvl w:val="0"/>
          <w:numId w:val="3"/>
        </w:numPr>
        <w:spacing w:after="120" w:line="255" w:lineRule="atLeast"/>
        <w:textAlignment w:val="baseline"/>
        <w:rPr>
          <w:rFonts w:ascii="Arial" w:eastAsia="Times New Roman" w:hAnsi="Arial" w:cs="Arial"/>
          <w:color w:val="737373"/>
          <w:sz w:val="20"/>
          <w:szCs w:val="20"/>
        </w:rPr>
      </w:pPr>
      <w:r w:rsidRPr="00AF7D2C">
        <w:rPr>
          <w:rFonts w:ascii="Arial" w:eastAsia="Times New Roman" w:hAnsi="Arial" w:cs="Arial"/>
          <w:color w:val="737373"/>
          <w:sz w:val="20"/>
          <w:szCs w:val="20"/>
        </w:rPr>
        <w:t>Grant programs such as the Public Health Emergency Preparedness Program, Hospital Preparedness Program, and Healthcare Facility Partnership Program.</w:t>
      </w:r>
    </w:p>
    <w:p w14:paraId="089E063B" w14:textId="77777777" w:rsidR="00AF7D2C" w:rsidRPr="00AF7D2C" w:rsidRDefault="00AF7D2C" w:rsidP="00AF7D2C">
      <w:pPr>
        <w:numPr>
          <w:ilvl w:val="0"/>
          <w:numId w:val="3"/>
        </w:numPr>
        <w:spacing w:after="120" w:line="255" w:lineRule="atLeast"/>
        <w:textAlignment w:val="baseline"/>
        <w:rPr>
          <w:rFonts w:ascii="Arial" w:eastAsia="Times New Roman" w:hAnsi="Arial" w:cs="Arial"/>
          <w:color w:val="737373"/>
          <w:sz w:val="20"/>
          <w:szCs w:val="20"/>
        </w:rPr>
      </w:pPr>
      <w:r w:rsidRPr="00AF7D2C">
        <w:rPr>
          <w:rFonts w:ascii="Arial" w:eastAsia="Times New Roman" w:hAnsi="Arial" w:cs="Arial"/>
          <w:color w:val="737373"/>
          <w:sz w:val="20"/>
          <w:szCs w:val="20"/>
        </w:rPr>
        <w:t>Guidance regarding at-risk populations.</w:t>
      </w:r>
    </w:p>
    <w:p w14:paraId="3161C1D4" w14:textId="77777777" w:rsidR="00AF7D2C" w:rsidRPr="00AF7D2C" w:rsidRDefault="00AF7D2C" w:rsidP="00AF7D2C">
      <w:pPr>
        <w:numPr>
          <w:ilvl w:val="0"/>
          <w:numId w:val="3"/>
        </w:numPr>
        <w:spacing w:after="120" w:line="255" w:lineRule="atLeast"/>
        <w:textAlignment w:val="baseline"/>
        <w:rPr>
          <w:rFonts w:ascii="Arial" w:eastAsia="Times New Roman" w:hAnsi="Arial" w:cs="Arial"/>
          <w:color w:val="737373"/>
          <w:sz w:val="20"/>
          <w:szCs w:val="20"/>
        </w:rPr>
      </w:pPr>
      <w:r w:rsidRPr="00AF7D2C">
        <w:rPr>
          <w:rFonts w:ascii="Arial" w:eastAsia="Times New Roman" w:hAnsi="Arial" w:cs="Arial"/>
          <w:color w:val="737373"/>
          <w:sz w:val="20"/>
          <w:szCs w:val="20"/>
        </w:rPr>
        <w:t>Registration of volunteer health professionals into databases that comply with the HHS ESAR-VHP system (Emergency System for the Advance Registration of Volunteer Health Professionals).</w:t>
      </w:r>
    </w:p>
    <w:p w14:paraId="0E55A4EE" w14:textId="77777777" w:rsidR="00AF7D2C" w:rsidRPr="00AF7D2C" w:rsidRDefault="00AF7D2C" w:rsidP="00AF7D2C">
      <w:pPr>
        <w:pStyle w:val="ListParagraph"/>
        <w:numPr>
          <w:ilvl w:val="0"/>
          <w:numId w:val="3"/>
        </w:numPr>
        <w:shd w:val="clear" w:color="auto" w:fill="FFFFFF"/>
        <w:spacing w:after="120" w:line="240" w:lineRule="atLeast"/>
        <w:contextualSpacing w:val="0"/>
        <w:textAlignment w:val="baseline"/>
        <w:rPr>
          <w:rFonts w:ascii="Arial" w:eastAsia="Times New Roman" w:hAnsi="Arial" w:cs="Arial"/>
          <w:color w:val="737373"/>
          <w:sz w:val="20"/>
          <w:szCs w:val="20"/>
        </w:rPr>
      </w:pPr>
      <w:r w:rsidRPr="00AF7D2C">
        <w:rPr>
          <w:rFonts w:ascii="Arial" w:eastAsia="Times New Roman" w:hAnsi="Arial" w:cs="Arial"/>
          <w:color w:val="737373"/>
          <w:sz w:val="20"/>
          <w:szCs w:val="20"/>
        </w:rPr>
        <w:t>PAHPA also established the Biodefense Advanced Research and Development Authority (BARDA) within HHS to foster the rapid development of drugs and vaccines (countermeasures) against highly infectious pathogens. The act established the Biodefense Medical Countermeasure Development Fund to pay for development contracts with the makers of the countermeasures. </w:t>
      </w:r>
      <w:r w:rsidRPr="00AF7D2C">
        <w:rPr>
          <w:rFonts w:ascii="Arial" w:eastAsia="Times New Roman" w:hAnsi="Arial" w:cs="Arial"/>
          <w:color w:val="737373"/>
          <w:sz w:val="20"/>
          <w:szCs w:val="20"/>
        </w:rPr>
        <w:br/>
      </w:r>
      <w:r w:rsidRPr="00AF7D2C">
        <w:rPr>
          <w:rFonts w:ascii="Arial" w:eastAsia="Times New Roman" w:hAnsi="Arial" w:cs="Arial"/>
          <w:color w:val="737373"/>
          <w:sz w:val="20"/>
          <w:szCs w:val="20"/>
        </w:rPr>
        <w:br/>
        <w:t> </w:t>
      </w:r>
    </w:p>
    <w:p w14:paraId="06A4F9CF" w14:textId="77777777" w:rsidR="00AF7D2C" w:rsidRPr="00AF7D2C" w:rsidRDefault="00AF7D2C" w:rsidP="00AF7D2C">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AF7D2C">
        <w:rPr>
          <w:rFonts w:ascii="Arial" w:eastAsia="Times New Roman" w:hAnsi="Arial" w:cs="Arial"/>
          <w:b/>
          <w:bCs/>
          <w:color w:val="3C3030"/>
          <w:sz w:val="24"/>
          <w:szCs w:val="24"/>
        </w:rPr>
        <w:lastRenderedPageBreak/>
        <w:t>What PAHPA Reauthorization Addresses</w:t>
      </w:r>
    </w:p>
    <w:p w14:paraId="02102849" w14:textId="77777777" w:rsidR="00AF7D2C" w:rsidRPr="00AF7D2C" w:rsidRDefault="00AF7D2C" w:rsidP="00AF7D2C">
      <w:pPr>
        <w:shd w:val="clear" w:color="auto" w:fill="FFFFFF"/>
        <w:spacing w:after="120" w:line="240" w:lineRule="atLeast"/>
        <w:textAlignment w:val="baseline"/>
        <w:rPr>
          <w:rFonts w:ascii="Arial" w:eastAsia="Times New Roman" w:hAnsi="Arial" w:cs="Arial"/>
          <w:color w:val="737373"/>
          <w:sz w:val="20"/>
          <w:szCs w:val="20"/>
        </w:rPr>
      </w:pPr>
      <w:r w:rsidRPr="00AF7D2C">
        <w:rPr>
          <w:rFonts w:ascii="Arial" w:eastAsia="Times New Roman" w:hAnsi="Arial" w:cs="Arial"/>
          <w:color w:val="737373"/>
          <w:sz w:val="20"/>
          <w:szCs w:val="20"/>
        </w:rPr>
        <w:t>The House passed the “Pandemic and All-Hazards Preparedness Reauthorization Act of 2011” (HR 2405) on December 11, 2011. The Senate passed its version of the legislation, S 1855, on March 7, 2012. The text of HR 2405 and S 1855 are available through the Library of Congress’ Thomas website at </w:t>
      </w:r>
      <w:hyperlink r:id="rId8" w:history="1">
        <w:r w:rsidRPr="00AF7D2C">
          <w:rPr>
            <w:rFonts w:ascii="Arial" w:eastAsia="Times New Roman" w:hAnsi="Arial" w:cs="Arial"/>
            <w:color w:val="0F88B8"/>
            <w:sz w:val="20"/>
            <w:szCs w:val="20"/>
            <w:u w:val="single"/>
            <w:bdr w:val="none" w:sz="0" w:space="0" w:color="auto" w:frame="1"/>
          </w:rPr>
          <w:t>www.thomas.gov</w:t>
        </w:r>
      </w:hyperlink>
      <w:r w:rsidRPr="00AF7D2C">
        <w:rPr>
          <w:rFonts w:ascii="Arial" w:eastAsia="Times New Roman" w:hAnsi="Arial" w:cs="Arial"/>
          <w:color w:val="737373"/>
          <w:sz w:val="20"/>
          <w:szCs w:val="20"/>
        </w:rPr>
        <w:t>.  </w:t>
      </w:r>
      <w:r w:rsidRPr="00AF7D2C">
        <w:rPr>
          <w:rFonts w:ascii="Arial" w:eastAsia="Times New Roman" w:hAnsi="Arial" w:cs="Arial"/>
          <w:color w:val="737373"/>
          <w:sz w:val="20"/>
          <w:szCs w:val="20"/>
        </w:rPr>
        <w:br/>
      </w:r>
      <w:r w:rsidRPr="00AF7D2C">
        <w:rPr>
          <w:rFonts w:ascii="Arial" w:eastAsia="Times New Roman" w:hAnsi="Arial" w:cs="Arial"/>
          <w:color w:val="737373"/>
          <w:sz w:val="20"/>
          <w:szCs w:val="20"/>
        </w:rPr>
        <w:br/>
        <w:t xml:space="preserve">Overall, the House and Senate versions have similar provisions and funding levels, but the Senate version adds </w:t>
      </w:r>
      <w:proofErr w:type="gramStart"/>
      <w:r w:rsidRPr="00AF7D2C">
        <w:rPr>
          <w:rFonts w:ascii="Arial" w:eastAsia="Times New Roman" w:hAnsi="Arial" w:cs="Arial"/>
          <w:color w:val="737373"/>
          <w:sz w:val="20"/>
          <w:szCs w:val="20"/>
        </w:rPr>
        <w:t>a number of</w:t>
      </w:r>
      <w:proofErr w:type="gramEnd"/>
      <w:r w:rsidRPr="00AF7D2C">
        <w:rPr>
          <w:rFonts w:ascii="Arial" w:eastAsia="Times New Roman" w:hAnsi="Arial" w:cs="Arial"/>
          <w:color w:val="737373"/>
          <w:sz w:val="20"/>
          <w:szCs w:val="20"/>
        </w:rPr>
        <w:t xml:space="preserve"> provisions that are not in the House version. Both bills do not include any major reworking of existing programs authorized by the 2006 PAHPA; rather, the reauthorization bills </w:t>
      </w:r>
      <w:proofErr w:type="gramStart"/>
      <w:r w:rsidRPr="00AF7D2C">
        <w:rPr>
          <w:rFonts w:ascii="Arial" w:eastAsia="Times New Roman" w:hAnsi="Arial" w:cs="Arial"/>
          <w:color w:val="737373"/>
          <w:sz w:val="20"/>
          <w:szCs w:val="20"/>
        </w:rPr>
        <w:t>increases</w:t>
      </w:r>
      <w:proofErr w:type="gramEnd"/>
      <w:r w:rsidRPr="00AF7D2C">
        <w:rPr>
          <w:rFonts w:ascii="Arial" w:eastAsia="Times New Roman" w:hAnsi="Arial" w:cs="Arial"/>
          <w:color w:val="737373"/>
          <w:sz w:val="20"/>
          <w:szCs w:val="20"/>
        </w:rPr>
        <w:t xml:space="preserve"> responsibilities for HHS, clarifies legal authorities and requirements, and reauthorizes and funds key public health preparedness programs. The following list highlights some of the key provisions of the reauthorization bills relevant to public health but is not a comprehensive analysis of the House and Senate bills. Please refer to the actual text of the reauthorization bills.</w:t>
      </w:r>
      <w:bookmarkStart w:id="0" w:name="_GoBack"/>
    </w:p>
    <w:p w14:paraId="40E620D5" w14:textId="77777777" w:rsidR="00AF7D2C" w:rsidRPr="00AF7D2C" w:rsidRDefault="00AF7D2C" w:rsidP="00AF7D2C">
      <w:pPr>
        <w:pStyle w:val="ListParagraph"/>
        <w:numPr>
          <w:ilvl w:val="0"/>
          <w:numId w:val="4"/>
        </w:numPr>
        <w:spacing w:after="120" w:line="255" w:lineRule="atLeast"/>
        <w:contextualSpacing w:val="0"/>
        <w:textAlignment w:val="baseline"/>
        <w:rPr>
          <w:rFonts w:ascii="Arial" w:eastAsia="Times New Roman" w:hAnsi="Arial" w:cs="Arial"/>
          <w:color w:val="737373"/>
          <w:sz w:val="20"/>
          <w:szCs w:val="20"/>
        </w:rPr>
      </w:pPr>
      <w:r w:rsidRPr="00AF7D2C">
        <w:rPr>
          <w:rFonts w:ascii="Arial" w:eastAsia="Times New Roman" w:hAnsi="Arial" w:cs="Arial"/>
          <w:b/>
          <w:bCs/>
          <w:color w:val="737373"/>
          <w:sz w:val="20"/>
          <w:szCs w:val="20"/>
          <w:bdr w:val="none" w:sz="0" w:space="0" w:color="auto" w:frame="1"/>
        </w:rPr>
        <w:t>Reauthorizes key public health preparedness programs—</w:t>
      </w:r>
      <w:r w:rsidRPr="00AF7D2C">
        <w:rPr>
          <w:rFonts w:ascii="Arial" w:eastAsia="Times New Roman" w:hAnsi="Arial" w:cs="Arial"/>
          <w:color w:val="737373"/>
          <w:sz w:val="20"/>
          <w:szCs w:val="20"/>
        </w:rPr>
        <w:t>Both the House and Senate bills reauthorize the Public Health Preparedness Cooperative Agreement Program, the Hospital Preparedness Program, influenza pandemic vaccine tracking and distribution program, ESAR-VHP, the Medical Reserve Corps, and the Strategic National Stockpile.</w:t>
      </w:r>
    </w:p>
    <w:p w14:paraId="57865A94" w14:textId="77777777" w:rsidR="00AF7D2C" w:rsidRPr="00AF7D2C" w:rsidRDefault="00AF7D2C" w:rsidP="00AF7D2C">
      <w:pPr>
        <w:pStyle w:val="ListParagraph"/>
        <w:numPr>
          <w:ilvl w:val="0"/>
          <w:numId w:val="4"/>
        </w:numPr>
        <w:spacing w:after="120" w:line="255" w:lineRule="atLeast"/>
        <w:contextualSpacing w:val="0"/>
        <w:textAlignment w:val="baseline"/>
        <w:rPr>
          <w:rFonts w:ascii="Arial" w:eastAsia="Times New Roman" w:hAnsi="Arial" w:cs="Arial"/>
          <w:color w:val="737373"/>
          <w:sz w:val="20"/>
          <w:szCs w:val="20"/>
        </w:rPr>
      </w:pPr>
      <w:r w:rsidRPr="00AF7D2C">
        <w:rPr>
          <w:rFonts w:ascii="Arial" w:eastAsia="Times New Roman" w:hAnsi="Arial" w:cs="Arial"/>
          <w:b/>
          <w:bCs/>
          <w:color w:val="737373"/>
          <w:sz w:val="20"/>
          <w:szCs w:val="20"/>
          <w:bdr w:val="none" w:sz="0" w:space="0" w:color="auto" w:frame="1"/>
        </w:rPr>
        <w:t>Funds public health preparedness and medical countermeasures activities—</w:t>
      </w:r>
      <w:r w:rsidRPr="00AF7D2C">
        <w:rPr>
          <w:rFonts w:ascii="Arial" w:eastAsia="Times New Roman" w:hAnsi="Arial" w:cs="Arial"/>
          <w:color w:val="737373"/>
          <w:sz w:val="20"/>
          <w:szCs w:val="20"/>
        </w:rPr>
        <w:t>Both bills contain the same funding levels; however, the Senate version provides $522 million per year from FY 2012 to FY 2016 for the Strategic National Stockpile.</w:t>
      </w:r>
    </w:p>
    <w:bookmarkEnd w:id="0"/>
    <w:p w14:paraId="584DD062" w14:textId="3ACE69EC" w:rsidR="00AF7D2C" w:rsidRDefault="00AF7D2C" w:rsidP="00AF7D2C">
      <w:pPr>
        <w:pStyle w:val="ListParagraph"/>
        <w:numPr>
          <w:ilvl w:val="0"/>
          <w:numId w:val="4"/>
        </w:numPr>
        <w:spacing w:line="255" w:lineRule="atLeast"/>
        <w:textAlignment w:val="baseline"/>
        <w:rPr>
          <w:rFonts w:ascii="Arial" w:eastAsia="Times New Roman" w:hAnsi="Arial" w:cs="Arial"/>
          <w:color w:val="737373"/>
          <w:sz w:val="20"/>
          <w:szCs w:val="20"/>
        </w:rPr>
      </w:pPr>
      <w:r w:rsidRPr="00AF7D2C">
        <w:rPr>
          <w:rFonts w:ascii="Arial" w:eastAsia="Times New Roman" w:hAnsi="Arial" w:cs="Arial"/>
          <w:b/>
          <w:bCs/>
          <w:color w:val="737373"/>
          <w:sz w:val="20"/>
          <w:szCs w:val="20"/>
          <w:bdr w:val="none" w:sz="0" w:space="0" w:color="auto" w:frame="1"/>
        </w:rPr>
        <w:t>Provides increased flexibility and authority for emergency use of medical products in emergencies—</w:t>
      </w:r>
      <w:r w:rsidRPr="00AF7D2C">
        <w:rPr>
          <w:rFonts w:ascii="Arial" w:eastAsia="Times New Roman" w:hAnsi="Arial" w:cs="Arial"/>
          <w:color w:val="737373"/>
          <w:sz w:val="20"/>
          <w:szCs w:val="20"/>
        </w:rPr>
        <w:t>Both versions of the bill provide greater flexibility for HHS and the FDA to approve the use of medical products in emergencies but differ in some of their specific provisions. One or both of the bills address key emergency use issues including but not limited to: permitting the FDA to waive or limit current good manufacturing practice (CGMP) requirements for emergency use of a medical product, extending the expiration dates of stockpiled medical products (e.g., drugs) without issuing an Emergency Use Authorization (EUA), authorizing the mass dispensing of medical products without individual prescriptions for FDA-approved products, and authorizing the FDA to issue EUAs before an emergency is declared.</w:t>
      </w:r>
    </w:p>
    <w:p w14:paraId="1BC2626C" w14:textId="77777777" w:rsidR="00AF7D2C" w:rsidRPr="00AF7D2C" w:rsidRDefault="00AF7D2C" w:rsidP="00AF7D2C">
      <w:pPr>
        <w:pStyle w:val="ListParagraph"/>
        <w:spacing w:line="255" w:lineRule="atLeast"/>
        <w:ind w:left="360"/>
        <w:textAlignment w:val="baseline"/>
        <w:rPr>
          <w:rFonts w:ascii="Arial" w:eastAsia="Times New Roman" w:hAnsi="Arial" w:cs="Arial"/>
          <w:color w:val="737373"/>
          <w:sz w:val="20"/>
          <w:szCs w:val="20"/>
        </w:rPr>
      </w:pPr>
    </w:p>
    <w:p w14:paraId="3C4019AA" w14:textId="77777777" w:rsidR="00AF7D2C" w:rsidRPr="00AF7D2C" w:rsidRDefault="00AF7D2C" w:rsidP="00AF7D2C">
      <w:pPr>
        <w:shd w:val="clear" w:color="auto" w:fill="FFFFFF"/>
        <w:spacing w:line="240" w:lineRule="atLeast"/>
        <w:textAlignment w:val="baseline"/>
        <w:rPr>
          <w:rFonts w:ascii="Arial" w:eastAsia="Times New Roman" w:hAnsi="Arial" w:cs="Arial"/>
          <w:color w:val="737373"/>
          <w:sz w:val="20"/>
          <w:szCs w:val="20"/>
        </w:rPr>
      </w:pPr>
      <w:r w:rsidRPr="00AF7D2C">
        <w:rPr>
          <w:rFonts w:ascii="Arial" w:eastAsia="Times New Roman" w:hAnsi="Arial" w:cs="Arial"/>
          <w:color w:val="737373"/>
          <w:sz w:val="20"/>
          <w:szCs w:val="20"/>
        </w:rPr>
        <w:t>More information about PAHPA is available in the ASTHO fact sheet </w:t>
      </w:r>
      <w:hyperlink r:id="rId9" w:tooltip="Pandemic and All-Hazards Preparedness Act" w:history="1">
        <w:r w:rsidRPr="00AF7D2C">
          <w:rPr>
            <w:rFonts w:ascii="Arial" w:eastAsia="Times New Roman" w:hAnsi="Arial" w:cs="Arial"/>
            <w:color w:val="0F88B8"/>
            <w:sz w:val="20"/>
            <w:szCs w:val="20"/>
            <w:u w:val="single"/>
            <w:bdr w:val="none" w:sz="0" w:space="0" w:color="auto" w:frame="1"/>
          </w:rPr>
          <w:t>Pandemic and All-Hazards Preparedness Act</w:t>
        </w:r>
      </w:hyperlink>
      <w:r w:rsidRPr="00AF7D2C">
        <w:rPr>
          <w:rFonts w:ascii="Arial" w:eastAsia="Times New Roman" w:hAnsi="Arial" w:cs="Arial"/>
          <w:color w:val="737373"/>
          <w:sz w:val="20"/>
          <w:szCs w:val="20"/>
        </w:rPr>
        <w:t>. </w:t>
      </w:r>
      <w:r w:rsidRPr="00AF7D2C">
        <w:rPr>
          <w:rFonts w:ascii="Arial" w:eastAsia="Times New Roman" w:hAnsi="Arial" w:cs="Arial"/>
          <w:color w:val="737373"/>
          <w:sz w:val="20"/>
          <w:szCs w:val="20"/>
        </w:rPr>
        <w:br/>
      </w:r>
      <w:r w:rsidRPr="00AF7D2C">
        <w:rPr>
          <w:rFonts w:ascii="Arial" w:eastAsia="Times New Roman" w:hAnsi="Arial" w:cs="Arial"/>
          <w:color w:val="737373"/>
          <w:sz w:val="20"/>
          <w:szCs w:val="20"/>
        </w:rPr>
        <w:br/>
        <w:t>Information about ongoing PAHPA implementation at HHS is available on the Office of the Assistant Secretary for Preparedness and Response website at </w:t>
      </w:r>
      <w:hyperlink r:id="rId10" w:tooltip="www.phe.gov" w:history="1">
        <w:r w:rsidRPr="00AF7D2C">
          <w:rPr>
            <w:rFonts w:ascii="Arial" w:eastAsia="Times New Roman" w:hAnsi="Arial" w:cs="Arial"/>
            <w:color w:val="0F88B8"/>
            <w:sz w:val="20"/>
            <w:szCs w:val="20"/>
            <w:u w:val="single"/>
            <w:bdr w:val="none" w:sz="0" w:space="0" w:color="auto" w:frame="1"/>
          </w:rPr>
          <w:t>www.phe.gov</w:t>
        </w:r>
      </w:hyperlink>
      <w:r w:rsidRPr="00AF7D2C">
        <w:rPr>
          <w:rFonts w:ascii="Arial" w:eastAsia="Times New Roman" w:hAnsi="Arial" w:cs="Arial"/>
          <w:color w:val="737373"/>
          <w:sz w:val="20"/>
          <w:szCs w:val="20"/>
        </w:rPr>
        <w:t>.</w:t>
      </w:r>
      <w:r w:rsidRPr="00AF7D2C">
        <w:rPr>
          <w:rFonts w:ascii="Arial" w:eastAsia="Times New Roman" w:hAnsi="Arial" w:cs="Arial"/>
          <w:color w:val="737373"/>
          <w:sz w:val="20"/>
          <w:szCs w:val="20"/>
        </w:rPr>
        <w:br/>
        <w:t> </w:t>
      </w:r>
    </w:p>
    <w:p w14:paraId="41FE2918" w14:textId="77777777" w:rsidR="00AF7D2C" w:rsidRDefault="00AF7D2C"/>
    <w:sectPr w:rsidR="00AF7D2C">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D4A6F7" w14:textId="77777777" w:rsidR="00AF7D2C" w:rsidRDefault="00AF7D2C" w:rsidP="00AF7D2C">
      <w:r>
        <w:separator/>
      </w:r>
    </w:p>
  </w:endnote>
  <w:endnote w:type="continuationSeparator" w:id="0">
    <w:p w14:paraId="5FCFE8F4" w14:textId="77777777" w:rsidR="00AF7D2C" w:rsidRDefault="00AF7D2C" w:rsidP="00AF7D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6313859"/>
      <w:docPartObj>
        <w:docPartGallery w:val="Page Numbers (Bottom of Page)"/>
        <w:docPartUnique/>
      </w:docPartObj>
    </w:sdtPr>
    <w:sdtEndPr>
      <w:rPr>
        <w:noProof/>
      </w:rPr>
    </w:sdtEndPr>
    <w:sdtContent>
      <w:p w14:paraId="5EC60193" w14:textId="77502107" w:rsidR="00AF7D2C" w:rsidRDefault="00AF7D2C" w:rsidP="00AF7D2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12D97F" w14:textId="77777777" w:rsidR="00AF7D2C" w:rsidRDefault="00AF7D2C" w:rsidP="00AF7D2C">
      <w:r>
        <w:separator/>
      </w:r>
    </w:p>
  </w:footnote>
  <w:footnote w:type="continuationSeparator" w:id="0">
    <w:p w14:paraId="62D3FADE" w14:textId="77777777" w:rsidR="00AF7D2C" w:rsidRDefault="00AF7D2C" w:rsidP="00AF7D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5474D"/>
    <w:multiLevelType w:val="hybridMultilevel"/>
    <w:tmpl w:val="30F6CF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A83861"/>
    <w:multiLevelType w:val="multilevel"/>
    <w:tmpl w:val="1E227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1E49DD"/>
    <w:multiLevelType w:val="hybridMultilevel"/>
    <w:tmpl w:val="C2C6A3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7D685678"/>
    <w:multiLevelType w:val="multilevel"/>
    <w:tmpl w:val="E1E8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D2C"/>
    <w:rsid w:val="00151278"/>
    <w:rsid w:val="00476446"/>
    <w:rsid w:val="00AF7D2C"/>
    <w:rsid w:val="00B75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1CCB1"/>
  <w15:chartTrackingRefBased/>
  <w15:docId w15:val="{F4C7FA5B-4082-4DAD-995C-626DF3734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D2C"/>
  </w:style>
  <w:style w:type="paragraph" w:styleId="Heading1">
    <w:name w:val="heading 1"/>
    <w:basedOn w:val="Normal"/>
    <w:link w:val="Heading1Char"/>
    <w:uiPriority w:val="9"/>
    <w:qFormat/>
    <w:rsid w:val="00AF7D2C"/>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F7D2C"/>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7D2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F7D2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F7D2C"/>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AF7D2C"/>
    <w:rPr>
      <w:i/>
      <w:iCs/>
    </w:rPr>
  </w:style>
  <w:style w:type="character" w:styleId="Hyperlink">
    <w:name w:val="Hyperlink"/>
    <w:basedOn w:val="DefaultParagraphFont"/>
    <w:uiPriority w:val="99"/>
    <w:semiHidden/>
    <w:unhideWhenUsed/>
    <w:rsid w:val="00AF7D2C"/>
    <w:rPr>
      <w:color w:val="0000FF"/>
      <w:u w:val="single"/>
    </w:rPr>
  </w:style>
  <w:style w:type="character" w:styleId="Strong">
    <w:name w:val="Strong"/>
    <w:basedOn w:val="DefaultParagraphFont"/>
    <w:uiPriority w:val="22"/>
    <w:qFormat/>
    <w:rsid w:val="00AF7D2C"/>
    <w:rPr>
      <w:b/>
      <w:bCs/>
    </w:rPr>
  </w:style>
  <w:style w:type="paragraph" w:styleId="Header">
    <w:name w:val="header"/>
    <w:basedOn w:val="Normal"/>
    <w:link w:val="HeaderChar"/>
    <w:uiPriority w:val="99"/>
    <w:unhideWhenUsed/>
    <w:rsid w:val="00AF7D2C"/>
    <w:pPr>
      <w:tabs>
        <w:tab w:val="center" w:pos="4680"/>
        <w:tab w:val="right" w:pos="9360"/>
      </w:tabs>
    </w:pPr>
  </w:style>
  <w:style w:type="character" w:customStyle="1" w:styleId="HeaderChar">
    <w:name w:val="Header Char"/>
    <w:basedOn w:val="DefaultParagraphFont"/>
    <w:link w:val="Header"/>
    <w:uiPriority w:val="99"/>
    <w:rsid w:val="00AF7D2C"/>
  </w:style>
  <w:style w:type="paragraph" w:styleId="Footer">
    <w:name w:val="footer"/>
    <w:basedOn w:val="Normal"/>
    <w:link w:val="FooterChar"/>
    <w:uiPriority w:val="99"/>
    <w:unhideWhenUsed/>
    <w:rsid w:val="00AF7D2C"/>
    <w:pPr>
      <w:tabs>
        <w:tab w:val="center" w:pos="4680"/>
        <w:tab w:val="right" w:pos="9360"/>
      </w:tabs>
    </w:pPr>
  </w:style>
  <w:style w:type="character" w:customStyle="1" w:styleId="FooterChar">
    <w:name w:val="Footer Char"/>
    <w:basedOn w:val="DefaultParagraphFont"/>
    <w:link w:val="Footer"/>
    <w:uiPriority w:val="99"/>
    <w:rsid w:val="00AF7D2C"/>
  </w:style>
  <w:style w:type="paragraph" w:styleId="ListParagraph">
    <w:name w:val="List Paragraph"/>
    <w:basedOn w:val="Normal"/>
    <w:uiPriority w:val="34"/>
    <w:qFormat/>
    <w:rsid w:val="00AF7D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6774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omas.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stho.org/uploadedFiles/Programs/Preparedness/Public_Health_Emergency_Law/Emergency_Authority_and_Immunity_Toolkit/20-EAI%20Current%20Issues%20Winter%202012%20Final%203-12%20v2.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phe.gov/" TargetMode="External"/><Relationship Id="rId4" Type="http://schemas.openxmlformats.org/officeDocument/2006/relationships/webSettings" Target="webSettings.xml"/><Relationship Id="rId9" Type="http://schemas.openxmlformats.org/officeDocument/2006/relationships/hyperlink" Target="http://www.astho.org/Programs/Preparedness/Public-Health-Emergency-Law/Emergency-Authority-and-Immunity-Toolkit/Pandemic-and-All-Hazards-Preparedness-Act-Fact-She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881</Words>
  <Characters>5023</Characters>
  <Application>Microsoft Office Word</Application>
  <DocSecurity>0</DocSecurity>
  <Lines>41</Lines>
  <Paragraphs>11</Paragraphs>
  <ScaleCrop>false</ScaleCrop>
  <Company/>
  <LinksUpToDate>false</LinksUpToDate>
  <CharactersWithSpaces>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cp:revision>
  <dcterms:created xsi:type="dcterms:W3CDTF">2019-05-01T16:54:00Z</dcterms:created>
  <dcterms:modified xsi:type="dcterms:W3CDTF">2019-05-01T16:57:00Z</dcterms:modified>
</cp:coreProperties>
</file>