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003DC" w14:textId="77777777" w:rsidR="00D75B67" w:rsidRPr="002F2093" w:rsidRDefault="00D75B67" w:rsidP="001B6E3F">
      <w:pPr>
        <w:spacing w:line="480" w:lineRule="auto"/>
        <w:rPr>
          <w:rFonts w:eastAsia="Times New Roman" w:cstheme="minorHAnsi"/>
          <w:b/>
          <w:bCs/>
          <w:color w:val="3C3030"/>
          <w:sz w:val="24"/>
          <w:szCs w:val="24"/>
        </w:rPr>
      </w:pPr>
      <w:r w:rsidRPr="002F2093">
        <w:rPr>
          <w:rFonts w:eastAsia="Times New Roman" w:cstheme="minorHAnsi"/>
          <w:b/>
          <w:bCs/>
          <w:color w:val="3C3030"/>
          <w:sz w:val="24"/>
          <w:szCs w:val="24"/>
        </w:rPr>
        <w:t>Overview of ASTHO Public Health &amp; Information Sharing Toolkit</w:t>
      </w:r>
    </w:p>
    <w:p w14:paraId="3070FE57" w14:textId="77777777" w:rsidR="00D75B67" w:rsidRPr="00105592" w:rsidRDefault="00D75B67" w:rsidP="001B6E3F">
      <w:pPr>
        <w:spacing w:line="480" w:lineRule="auto"/>
        <w:textAlignment w:val="baseline"/>
        <w:rPr>
          <w:rFonts w:eastAsia="Times New Roman" w:cstheme="minorHAnsi"/>
          <w:color w:val="000000" w:themeColor="text1"/>
          <w:szCs w:val="20"/>
        </w:rPr>
      </w:pPr>
      <w:r w:rsidRPr="00105592">
        <w:rPr>
          <w:rFonts w:eastAsia="Times New Roman" w:cstheme="minorHAnsi"/>
          <w:i/>
          <w:iCs/>
          <w:color w:val="000000" w:themeColor="text1"/>
          <w:szCs w:val="20"/>
          <w:bdr w:val="none" w:sz="0" w:space="0" w:color="auto" w:frame="1"/>
        </w:rPr>
        <w:t>The Public Health &amp; Information Sharing (PH&amp;IS) Toolkit</w:t>
      </w:r>
      <w:r w:rsidRPr="00105592">
        <w:rPr>
          <w:rFonts w:eastAsia="Times New Roman" w:cstheme="minorHAnsi"/>
          <w:color w:val="000000" w:themeColor="text1"/>
          <w:szCs w:val="20"/>
        </w:rPr>
        <w:t> addresses key concepts regarding public health agencies' authority to collect, use, and share information to prepare and respond to a public health emergency. This toolkit addresses information sharing issues in general and when information sharing involves the workplace or law enforcement. The toolkit's component documents are designed to assist in education, training, and planning activities to prepare for emergencies, as well as to serve as a quick reference resource during an emergency response to an event. The </w:t>
      </w:r>
      <w:r w:rsidRPr="00105592">
        <w:rPr>
          <w:rFonts w:eastAsia="Times New Roman" w:cstheme="minorHAnsi"/>
          <w:i/>
          <w:iCs/>
          <w:color w:val="000000" w:themeColor="text1"/>
          <w:szCs w:val="20"/>
          <w:bdr w:val="none" w:sz="0" w:space="0" w:color="auto" w:frame="1"/>
        </w:rPr>
        <w:t>PH&amp;IS Toolkit</w:t>
      </w:r>
      <w:r w:rsidRPr="00105592">
        <w:rPr>
          <w:rFonts w:eastAsia="Times New Roman" w:cstheme="minorHAnsi"/>
          <w:color w:val="000000" w:themeColor="text1"/>
          <w:szCs w:val="20"/>
        </w:rPr>
        <w:t> is one of six toolkits in ASTHO's Legal Preparedness Series. Please </w:t>
      </w:r>
      <w:hyperlink r:id="rId7" w:tooltip="visit this page" w:history="1">
        <w:r w:rsidRPr="002F2093">
          <w:rPr>
            <w:rFonts w:eastAsia="Times New Roman" w:cstheme="minorHAnsi"/>
            <w:color w:val="0F88B8"/>
            <w:szCs w:val="20"/>
            <w:u w:val="single"/>
            <w:bdr w:val="none" w:sz="0" w:space="0" w:color="auto" w:frame="1"/>
          </w:rPr>
          <w:t>visit this page</w:t>
        </w:r>
      </w:hyperlink>
      <w:r w:rsidRPr="002F2093">
        <w:rPr>
          <w:rFonts w:eastAsia="Times New Roman" w:cstheme="minorHAnsi"/>
          <w:color w:val="737373"/>
          <w:szCs w:val="20"/>
        </w:rPr>
        <w:t> </w:t>
      </w:r>
      <w:r w:rsidRPr="00105592">
        <w:rPr>
          <w:rFonts w:eastAsia="Times New Roman" w:cstheme="minorHAnsi"/>
          <w:color w:val="000000" w:themeColor="text1"/>
          <w:szCs w:val="20"/>
        </w:rPr>
        <w:t>for additional background on the project and the other toolkits.</w:t>
      </w:r>
    </w:p>
    <w:p w14:paraId="4F16964E" w14:textId="77777777" w:rsidR="002F2093" w:rsidRPr="00105592" w:rsidRDefault="002F2093" w:rsidP="001B6E3F">
      <w:pPr>
        <w:spacing w:line="480" w:lineRule="auto"/>
        <w:rPr>
          <w:rFonts w:eastAsia="Times New Roman" w:cstheme="minorHAnsi"/>
          <w:b/>
          <w:bCs/>
          <w:color w:val="000000" w:themeColor="text1"/>
          <w:sz w:val="28"/>
          <w:szCs w:val="24"/>
        </w:rPr>
      </w:pPr>
    </w:p>
    <w:p w14:paraId="79DA2D56" w14:textId="17771969" w:rsidR="00D75B67" w:rsidRPr="002F2093" w:rsidRDefault="00D75B67" w:rsidP="001B6E3F">
      <w:pPr>
        <w:spacing w:line="480" w:lineRule="auto"/>
        <w:rPr>
          <w:rFonts w:eastAsia="Times New Roman" w:cstheme="minorHAnsi"/>
          <w:b/>
          <w:bCs/>
          <w:color w:val="3C3030"/>
          <w:sz w:val="24"/>
          <w:szCs w:val="24"/>
        </w:rPr>
      </w:pPr>
      <w:r w:rsidRPr="002F2093">
        <w:rPr>
          <w:rFonts w:eastAsia="Times New Roman" w:cstheme="minorHAnsi"/>
          <w:b/>
          <w:bCs/>
          <w:color w:val="3C3030"/>
          <w:sz w:val="24"/>
          <w:szCs w:val="24"/>
        </w:rPr>
        <w:t>Intended Audiences</w:t>
      </w:r>
    </w:p>
    <w:p w14:paraId="420A455C" w14:textId="77777777" w:rsidR="00D75B67" w:rsidRPr="00105592" w:rsidRDefault="00D75B67" w:rsidP="001B6E3F">
      <w:pPr>
        <w:spacing w:after="225" w:line="480" w:lineRule="auto"/>
        <w:textAlignment w:val="baseline"/>
        <w:rPr>
          <w:rFonts w:eastAsia="Times New Roman" w:cstheme="minorHAnsi"/>
          <w:color w:val="000000" w:themeColor="text1"/>
          <w:szCs w:val="20"/>
        </w:rPr>
      </w:pPr>
      <w:r w:rsidRPr="00105592">
        <w:rPr>
          <w:rFonts w:eastAsia="Times New Roman" w:cstheme="minorHAnsi"/>
          <w:color w:val="000000" w:themeColor="text1"/>
          <w:szCs w:val="20"/>
        </w:rPr>
        <w:t>These documents are specifically designed to address the different needs of discrete audiences within a state health agency, including:</w:t>
      </w:r>
    </w:p>
    <w:p w14:paraId="1F13C3D9" w14:textId="77777777" w:rsidR="00D75B67" w:rsidRPr="00105592" w:rsidRDefault="00D75B67" w:rsidP="001B6E3F">
      <w:pPr>
        <w:numPr>
          <w:ilvl w:val="0"/>
          <w:numId w:val="9"/>
        </w:numPr>
        <w:spacing w:after="120" w:line="480" w:lineRule="auto"/>
        <w:textAlignment w:val="baseline"/>
        <w:rPr>
          <w:rFonts w:eastAsia="Times New Roman" w:cstheme="minorHAnsi"/>
          <w:color w:val="000000" w:themeColor="text1"/>
          <w:szCs w:val="20"/>
        </w:rPr>
      </w:pPr>
      <w:r w:rsidRPr="00105592">
        <w:rPr>
          <w:rFonts w:eastAsia="Times New Roman" w:cstheme="minorHAnsi"/>
          <w:color w:val="000000" w:themeColor="text1"/>
          <w:szCs w:val="20"/>
        </w:rPr>
        <w:t>Executive overviews and fact sheets that are tailored to state health officers, agency directors, or other senior governmental officials.</w:t>
      </w:r>
    </w:p>
    <w:p w14:paraId="544D251C" w14:textId="77777777" w:rsidR="00D75B67" w:rsidRPr="00105592" w:rsidRDefault="00D75B67" w:rsidP="001B6E3F">
      <w:pPr>
        <w:numPr>
          <w:ilvl w:val="0"/>
          <w:numId w:val="9"/>
        </w:numPr>
        <w:spacing w:after="120" w:line="480" w:lineRule="auto"/>
        <w:textAlignment w:val="baseline"/>
        <w:rPr>
          <w:rFonts w:eastAsia="Times New Roman" w:cstheme="minorHAnsi"/>
          <w:color w:val="000000" w:themeColor="text1"/>
          <w:szCs w:val="20"/>
        </w:rPr>
      </w:pPr>
      <w:r w:rsidRPr="00105592">
        <w:rPr>
          <w:rFonts w:eastAsia="Times New Roman" w:cstheme="minorHAnsi"/>
          <w:color w:val="000000" w:themeColor="text1"/>
          <w:szCs w:val="20"/>
        </w:rPr>
        <w:t>Fact sheets, issue briefs, state analysis guides, and resource materials to help preparedness directors and other programmatic staff and privacy officers understand and gain more in-depth knowledge about concepts and legal issues.</w:t>
      </w:r>
    </w:p>
    <w:p w14:paraId="2E9595BD" w14:textId="77777777" w:rsidR="00D75B67" w:rsidRPr="00105592" w:rsidRDefault="00D75B67" w:rsidP="001B6E3F">
      <w:pPr>
        <w:numPr>
          <w:ilvl w:val="0"/>
          <w:numId w:val="9"/>
        </w:numPr>
        <w:spacing w:after="120" w:line="480" w:lineRule="auto"/>
        <w:textAlignment w:val="baseline"/>
        <w:rPr>
          <w:rFonts w:eastAsia="Times New Roman" w:cstheme="minorHAnsi"/>
          <w:color w:val="000000" w:themeColor="text1"/>
          <w:szCs w:val="20"/>
        </w:rPr>
      </w:pPr>
      <w:r w:rsidRPr="00105592">
        <w:rPr>
          <w:rFonts w:eastAsia="Times New Roman" w:cstheme="minorHAnsi"/>
          <w:color w:val="000000" w:themeColor="text1"/>
          <w:szCs w:val="20"/>
        </w:rPr>
        <w:t>Fact sheets about federal laws and regulations and the array of state laws that apply to public health information sharing; issue briefs; state analysis guides; and citations within the resource materials that legal counsel can use as a basis from which to conduct additional research and analyze their state’s authorities on these issues.</w:t>
      </w:r>
    </w:p>
    <w:p w14:paraId="44F6AEE9" w14:textId="77777777" w:rsidR="002F2093" w:rsidRPr="00105592" w:rsidRDefault="002F2093" w:rsidP="001B6E3F">
      <w:pPr>
        <w:spacing w:line="480" w:lineRule="auto"/>
        <w:rPr>
          <w:rFonts w:eastAsia="Times New Roman" w:cstheme="minorHAnsi"/>
          <w:b/>
          <w:bCs/>
          <w:color w:val="000000" w:themeColor="text1"/>
          <w:sz w:val="28"/>
          <w:szCs w:val="24"/>
        </w:rPr>
      </w:pPr>
    </w:p>
    <w:p w14:paraId="3B9E4316" w14:textId="3090FAEA" w:rsidR="00D75B67" w:rsidRPr="002F2093" w:rsidRDefault="00D75B67" w:rsidP="001B6E3F">
      <w:pPr>
        <w:spacing w:line="480" w:lineRule="auto"/>
        <w:rPr>
          <w:rFonts w:eastAsia="Times New Roman" w:cstheme="minorHAnsi"/>
          <w:b/>
          <w:bCs/>
          <w:color w:val="3C3030"/>
          <w:sz w:val="24"/>
          <w:szCs w:val="24"/>
        </w:rPr>
      </w:pPr>
      <w:bookmarkStart w:id="0" w:name="PH_Info_TOC_Top"/>
      <w:r w:rsidRPr="002F2093">
        <w:rPr>
          <w:rFonts w:eastAsia="Times New Roman" w:cstheme="minorHAnsi"/>
          <w:b/>
          <w:bCs/>
          <w:color w:val="3C3030"/>
          <w:sz w:val="24"/>
          <w:szCs w:val="24"/>
        </w:rPr>
        <w:t>Public Health &amp; Information Sharing Toolkit Contents</w:t>
      </w:r>
      <w:bookmarkEnd w:id="0"/>
    </w:p>
    <w:p w14:paraId="41806B26" w14:textId="77777777"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i/>
          <w:iCs/>
          <w:color w:val="000000" w:themeColor="text1"/>
          <w:bdr w:val="none" w:sz="0" w:space="0" w:color="auto" w:frame="1"/>
        </w:rPr>
        <w:t>All documents are listed alphabetically within each document category</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color w:val="000000" w:themeColor="text1"/>
        </w:rPr>
        <w:br/>
      </w:r>
      <w:r w:rsidRPr="00FD58B1">
        <w:rPr>
          <w:rFonts w:eastAsia="Times New Roman" w:cstheme="minorHAnsi"/>
          <w:b/>
          <w:bCs/>
          <w:color w:val="000000" w:themeColor="text1"/>
          <w:bdr w:val="none" w:sz="0" w:space="0" w:color="auto" w:frame="1"/>
        </w:rPr>
        <w:t>Executive Overviews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One-page snapshots of key concepts and issues</w:t>
      </w:r>
    </w:p>
    <w:p w14:paraId="769B6792" w14:textId="2BD20ECE" w:rsidR="00D75B67" w:rsidRPr="00BF7968" w:rsidRDefault="00BF7968" w:rsidP="001B6E3F">
      <w:pPr>
        <w:numPr>
          <w:ilvl w:val="0"/>
          <w:numId w:val="10"/>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"PH_Emp_Info_EO" \o "Public Health and Employee Information"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BF7968">
        <w:rPr>
          <w:rStyle w:val="Hyperlink"/>
          <w:rFonts w:eastAsia="Times New Roman" w:cstheme="minorHAnsi"/>
          <w:bdr w:val="none" w:sz="0" w:space="0" w:color="auto" w:frame="1"/>
        </w:rPr>
        <w:t>Public Health and Employee Informa</w:t>
      </w:r>
      <w:r w:rsidR="00D75B67" w:rsidRPr="00BF7968">
        <w:rPr>
          <w:rStyle w:val="Hyperlink"/>
          <w:rFonts w:eastAsia="Times New Roman" w:cstheme="minorHAnsi"/>
          <w:bdr w:val="none" w:sz="0" w:space="0" w:color="auto" w:frame="1"/>
        </w:rPr>
        <w:t>t</w:t>
      </w:r>
      <w:r w:rsidR="00D75B67" w:rsidRPr="00BF7968">
        <w:rPr>
          <w:rStyle w:val="Hyperlink"/>
          <w:rFonts w:eastAsia="Times New Roman" w:cstheme="minorHAnsi"/>
          <w:bdr w:val="none" w:sz="0" w:space="0" w:color="auto" w:frame="1"/>
        </w:rPr>
        <w:t>ion</w:t>
      </w:r>
    </w:p>
    <w:p w14:paraId="42E132EA" w14:textId="72D77945" w:rsidR="00D75B67" w:rsidRPr="00BF7968" w:rsidRDefault="00BF7968" w:rsidP="001B6E3F">
      <w:pPr>
        <w:numPr>
          <w:ilvl w:val="0"/>
          <w:numId w:val="10"/>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"PH_Info_Share_Key_EO" \o "Public Health and Information Sharing Key Issues"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BF7968">
        <w:rPr>
          <w:rStyle w:val="Hyperlink"/>
          <w:rFonts w:eastAsia="Times New Roman" w:cstheme="minorHAnsi"/>
          <w:bdr w:val="none" w:sz="0" w:space="0" w:color="auto" w:frame="1"/>
        </w:rPr>
        <w:t xml:space="preserve">Public Health and </w:t>
      </w:r>
      <w:r w:rsidR="00D75B67" w:rsidRPr="00BF7968">
        <w:rPr>
          <w:rStyle w:val="Hyperlink"/>
          <w:rFonts w:eastAsia="Times New Roman" w:cstheme="minorHAnsi"/>
          <w:bdr w:val="none" w:sz="0" w:space="0" w:color="auto" w:frame="1"/>
        </w:rPr>
        <w:t>I</w:t>
      </w:r>
      <w:r w:rsidR="00D75B67" w:rsidRPr="00BF7968">
        <w:rPr>
          <w:rStyle w:val="Hyperlink"/>
          <w:rFonts w:eastAsia="Times New Roman" w:cstheme="minorHAnsi"/>
          <w:bdr w:val="none" w:sz="0" w:space="0" w:color="auto" w:frame="1"/>
        </w:rPr>
        <w:t>nformation Sharing Key Issues</w:t>
      </w:r>
    </w:p>
    <w:p w14:paraId="6400E24A" w14:textId="27D8EFF4" w:rsidR="00FD58B1" w:rsidRDefault="00BF7968" w:rsidP="001B6E3F">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546B23FB" w14:textId="02D2973E"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Fact Sheets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Short documents addressing fundamental issues or legal authorities</w:t>
      </w:r>
      <w:r w:rsidRPr="00FD58B1">
        <w:rPr>
          <w:rFonts w:eastAsia="Times New Roman" w:cstheme="minorHAnsi"/>
          <w:color w:val="000000" w:themeColor="text1"/>
        </w:rPr>
        <w:t>  </w:t>
      </w:r>
    </w:p>
    <w:p w14:paraId="2D504062" w14:textId="383226F3" w:rsidR="00D75B67" w:rsidRPr="00BF7968" w:rsidRDefault="00BF7968" w:rsidP="001B6E3F">
      <w:pPr>
        <w:numPr>
          <w:ilvl w:val="0"/>
          <w:numId w:val="11"/>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"ADA_FS" \o "Americans with Disabilities Act"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BF7968">
        <w:rPr>
          <w:rStyle w:val="Hyperlink"/>
          <w:rFonts w:eastAsia="Times New Roman" w:cstheme="minorHAnsi"/>
          <w:bdr w:val="none" w:sz="0" w:space="0" w:color="auto" w:frame="1"/>
        </w:rPr>
        <w:t xml:space="preserve">Americans with </w:t>
      </w:r>
      <w:r w:rsidR="00D75B67" w:rsidRPr="00BF7968">
        <w:rPr>
          <w:rStyle w:val="Hyperlink"/>
          <w:rFonts w:eastAsia="Times New Roman" w:cstheme="minorHAnsi"/>
          <w:bdr w:val="none" w:sz="0" w:space="0" w:color="auto" w:frame="1"/>
        </w:rPr>
        <w:t>D</w:t>
      </w:r>
      <w:r w:rsidR="00D75B67" w:rsidRPr="00BF7968">
        <w:rPr>
          <w:rStyle w:val="Hyperlink"/>
          <w:rFonts w:eastAsia="Times New Roman" w:cstheme="minorHAnsi"/>
          <w:bdr w:val="none" w:sz="0" w:space="0" w:color="auto" w:frame="1"/>
        </w:rPr>
        <w:t>isabilities Act</w:t>
      </w:r>
    </w:p>
    <w:p w14:paraId="7AC2AE2A" w14:textId="38C958C5" w:rsidR="00D75B67" w:rsidRPr="00BF7968" w:rsidRDefault="00BF7968" w:rsidP="001B6E3F">
      <w:pPr>
        <w:numPr>
          <w:ilvl w:val="0"/>
          <w:numId w:val="11"/>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"PH_LegalAuthorities_FS" \o "Public Health Legal Authorities to Collect, Use, Share, and Protect Information"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BF7968">
        <w:rPr>
          <w:rStyle w:val="Hyperlink"/>
          <w:rFonts w:eastAsia="Times New Roman" w:cstheme="minorHAnsi"/>
          <w:bdr w:val="none" w:sz="0" w:space="0" w:color="auto" w:frame="1"/>
        </w:rPr>
        <w:t>Public Health Legal Aut</w:t>
      </w:r>
      <w:r w:rsidR="00D75B67" w:rsidRPr="00BF7968">
        <w:rPr>
          <w:rStyle w:val="Hyperlink"/>
          <w:rFonts w:eastAsia="Times New Roman" w:cstheme="minorHAnsi"/>
          <w:bdr w:val="none" w:sz="0" w:space="0" w:color="auto" w:frame="1"/>
        </w:rPr>
        <w:t>h</w:t>
      </w:r>
      <w:r w:rsidR="00D75B67" w:rsidRPr="00BF7968">
        <w:rPr>
          <w:rStyle w:val="Hyperlink"/>
          <w:rFonts w:eastAsia="Times New Roman" w:cstheme="minorHAnsi"/>
          <w:bdr w:val="none" w:sz="0" w:space="0" w:color="auto" w:frame="1"/>
        </w:rPr>
        <w:t>orities to Collect, Use, Share, and Protect Information</w:t>
      </w:r>
    </w:p>
    <w:p w14:paraId="4BCF4F52" w14:textId="74E9BF20" w:rsidR="00FD58B1" w:rsidRDefault="00BF7968" w:rsidP="001B6E3F">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19A074CD" w14:textId="10F616A4"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Issue Briefs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In-depth information and analyses of fundamental issues</w:t>
      </w:r>
    </w:p>
    <w:p w14:paraId="3BAD938C" w14:textId="4A34000E" w:rsidR="00D75B67" w:rsidRPr="00BF7968" w:rsidRDefault="00BF7968" w:rsidP="001B6E3F">
      <w:pPr>
        <w:numPr>
          <w:ilvl w:val="0"/>
          <w:numId w:val="12"/>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"InfoShare_LawEnforce_IB" \o "Authorities and Limitations in Sharing Information Between Public Health Agencies and Law Enforcement"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BF7968">
        <w:rPr>
          <w:rStyle w:val="Hyperlink"/>
          <w:rFonts w:eastAsia="Times New Roman" w:cstheme="minorHAnsi"/>
          <w:bdr w:val="none" w:sz="0" w:space="0" w:color="auto" w:frame="1"/>
        </w:rPr>
        <w:t>Authorities and Li</w:t>
      </w:r>
      <w:r w:rsidR="00D75B67" w:rsidRPr="00BF7968">
        <w:rPr>
          <w:rStyle w:val="Hyperlink"/>
          <w:rFonts w:eastAsia="Times New Roman" w:cstheme="minorHAnsi"/>
          <w:bdr w:val="none" w:sz="0" w:space="0" w:color="auto" w:frame="1"/>
        </w:rPr>
        <w:t>m</w:t>
      </w:r>
      <w:r w:rsidR="00D75B67" w:rsidRPr="00BF7968">
        <w:rPr>
          <w:rStyle w:val="Hyperlink"/>
          <w:rFonts w:eastAsia="Times New Roman" w:cstheme="minorHAnsi"/>
          <w:bdr w:val="none" w:sz="0" w:space="0" w:color="auto" w:frame="1"/>
        </w:rPr>
        <w:t>itations in Sharing Information Between Public Health Agencies and Law Enforcement</w:t>
      </w:r>
    </w:p>
    <w:p w14:paraId="0D0228BF" w14:textId="7E23F73F" w:rsidR="00D75B67" w:rsidRPr="00BF7968" w:rsidRDefault="00BF7968" w:rsidP="001B6E3F">
      <w:pPr>
        <w:numPr>
          <w:ilvl w:val="0"/>
          <w:numId w:val="12"/>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"PH_Employer_IB" \o "Public Health Agencies as Employers: Obtaining and Using Employee Health Information for Preparedness Planning and Response"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BF7968">
        <w:rPr>
          <w:rStyle w:val="Hyperlink"/>
          <w:rFonts w:eastAsia="Times New Roman" w:cstheme="minorHAnsi"/>
          <w:bdr w:val="none" w:sz="0" w:space="0" w:color="auto" w:frame="1"/>
        </w:rPr>
        <w:t>Public Health Agencies as Employ</w:t>
      </w:r>
      <w:r w:rsidR="00D75B67" w:rsidRPr="00BF7968">
        <w:rPr>
          <w:rStyle w:val="Hyperlink"/>
          <w:rFonts w:eastAsia="Times New Roman" w:cstheme="minorHAnsi"/>
          <w:bdr w:val="none" w:sz="0" w:space="0" w:color="auto" w:frame="1"/>
        </w:rPr>
        <w:t>e</w:t>
      </w:r>
      <w:r w:rsidR="00D75B67" w:rsidRPr="00BF7968">
        <w:rPr>
          <w:rStyle w:val="Hyperlink"/>
          <w:rFonts w:eastAsia="Times New Roman" w:cstheme="minorHAnsi"/>
          <w:bdr w:val="none" w:sz="0" w:space="0" w:color="auto" w:frame="1"/>
        </w:rPr>
        <w:t>rs: Obtaining and Using Employee Health Information for Preparedness Planning and Response</w:t>
      </w:r>
    </w:p>
    <w:p w14:paraId="26E1D46C" w14:textId="68A57B63" w:rsidR="00D75B67" w:rsidRPr="00BF7968" w:rsidRDefault="00BF7968" w:rsidP="001B6E3F">
      <w:pPr>
        <w:numPr>
          <w:ilvl w:val="0"/>
          <w:numId w:val="12"/>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"PH_CollectUseShare_IB" \o "Public Health Collection, Use, Sharing, and Protection of Information"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BF7968">
        <w:rPr>
          <w:rStyle w:val="Hyperlink"/>
          <w:rFonts w:eastAsia="Times New Roman" w:cstheme="minorHAnsi"/>
          <w:bdr w:val="none" w:sz="0" w:space="0" w:color="auto" w:frame="1"/>
        </w:rPr>
        <w:t xml:space="preserve">Public Health </w:t>
      </w:r>
      <w:r w:rsidR="00D75B67" w:rsidRPr="00BF7968">
        <w:rPr>
          <w:rStyle w:val="Hyperlink"/>
          <w:rFonts w:eastAsia="Times New Roman" w:cstheme="minorHAnsi"/>
          <w:bdr w:val="none" w:sz="0" w:space="0" w:color="auto" w:frame="1"/>
        </w:rPr>
        <w:t>C</w:t>
      </w:r>
      <w:r w:rsidR="00D75B67" w:rsidRPr="00BF7968">
        <w:rPr>
          <w:rStyle w:val="Hyperlink"/>
          <w:rFonts w:eastAsia="Times New Roman" w:cstheme="minorHAnsi"/>
          <w:bdr w:val="none" w:sz="0" w:space="0" w:color="auto" w:frame="1"/>
        </w:rPr>
        <w:t>ollection, Use, Sharing, and Protection of Information</w:t>
      </w:r>
    </w:p>
    <w:p w14:paraId="30ADC5E3" w14:textId="62E8ED32" w:rsidR="00FD58B1" w:rsidRDefault="00BF7968" w:rsidP="001B6E3F">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409EED14" w14:textId="6B22CA0A"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State Analysis Guides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Aids to assist states in identifying and analyzing their own statutes, regulations, and policies</w:t>
      </w:r>
    </w:p>
    <w:p w14:paraId="2BF9FACC" w14:textId="2C0B4DB0" w:rsidR="00D75B67" w:rsidRPr="006B0020" w:rsidRDefault="006B0020" w:rsidP="001B6E3F">
      <w:pPr>
        <w:numPr>
          <w:ilvl w:val="0"/>
          <w:numId w:val="13"/>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lastRenderedPageBreak/>
        <w:fldChar w:fldCharType="begin"/>
      </w:r>
      <w:r w:rsidR="00016694">
        <w:rPr>
          <w:rFonts w:eastAsia="Times New Roman" w:cstheme="minorHAnsi"/>
          <w:color w:val="0F88B8"/>
          <w:u w:val="single"/>
          <w:bdr w:val="none" w:sz="0" w:space="0" w:color="auto" w:frame="1"/>
        </w:rPr>
        <w:instrText>HYPERLINK  \l "EmployeeHealthInfo_SAG" \o "Public Health and Employee Information"</w:instrText>
      </w:r>
      <w:r w:rsidR="00016694">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6B0020">
        <w:rPr>
          <w:rStyle w:val="Hyperlink"/>
          <w:rFonts w:eastAsia="Times New Roman" w:cstheme="minorHAnsi"/>
          <w:bdr w:val="none" w:sz="0" w:space="0" w:color="auto" w:frame="1"/>
        </w:rPr>
        <w:t>Public Health and</w:t>
      </w:r>
      <w:r w:rsidR="00D75B67" w:rsidRPr="006B0020">
        <w:rPr>
          <w:rStyle w:val="Hyperlink"/>
          <w:rFonts w:eastAsia="Times New Roman" w:cstheme="minorHAnsi"/>
          <w:bdr w:val="none" w:sz="0" w:space="0" w:color="auto" w:frame="1"/>
        </w:rPr>
        <w:t xml:space="preserve"> </w:t>
      </w:r>
      <w:r w:rsidR="00D75B67" w:rsidRPr="006B0020">
        <w:rPr>
          <w:rStyle w:val="Hyperlink"/>
          <w:rFonts w:eastAsia="Times New Roman" w:cstheme="minorHAnsi"/>
          <w:bdr w:val="none" w:sz="0" w:space="0" w:color="auto" w:frame="1"/>
        </w:rPr>
        <w:t>E</w:t>
      </w:r>
      <w:r w:rsidR="00D75B67" w:rsidRPr="006B0020">
        <w:rPr>
          <w:rStyle w:val="Hyperlink"/>
          <w:rFonts w:eastAsia="Times New Roman" w:cstheme="minorHAnsi"/>
          <w:bdr w:val="none" w:sz="0" w:space="0" w:color="auto" w:frame="1"/>
        </w:rPr>
        <w:t>m</w:t>
      </w:r>
      <w:r w:rsidR="00D75B67" w:rsidRPr="006B0020">
        <w:rPr>
          <w:rStyle w:val="Hyperlink"/>
          <w:rFonts w:eastAsia="Times New Roman" w:cstheme="minorHAnsi"/>
          <w:bdr w:val="none" w:sz="0" w:space="0" w:color="auto" w:frame="1"/>
        </w:rPr>
        <w:t>ployee Infor</w:t>
      </w:r>
      <w:r w:rsidR="00D75B67" w:rsidRPr="006B0020">
        <w:rPr>
          <w:rStyle w:val="Hyperlink"/>
          <w:rFonts w:eastAsia="Times New Roman" w:cstheme="minorHAnsi"/>
          <w:bdr w:val="none" w:sz="0" w:space="0" w:color="auto" w:frame="1"/>
        </w:rPr>
        <w:t>m</w:t>
      </w:r>
      <w:r w:rsidR="00D75B67" w:rsidRPr="006B0020">
        <w:rPr>
          <w:rStyle w:val="Hyperlink"/>
          <w:rFonts w:eastAsia="Times New Roman" w:cstheme="minorHAnsi"/>
          <w:bdr w:val="none" w:sz="0" w:space="0" w:color="auto" w:frame="1"/>
        </w:rPr>
        <w:t>a</w:t>
      </w:r>
      <w:r w:rsidR="00D75B67" w:rsidRPr="006B0020">
        <w:rPr>
          <w:rStyle w:val="Hyperlink"/>
          <w:rFonts w:eastAsia="Times New Roman" w:cstheme="minorHAnsi"/>
          <w:bdr w:val="none" w:sz="0" w:space="0" w:color="auto" w:frame="1"/>
        </w:rPr>
        <w:t>t</w:t>
      </w:r>
      <w:r w:rsidR="00D75B67" w:rsidRPr="006B0020">
        <w:rPr>
          <w:rStyle w:val="Hyperlink"/>
          <w:rFonts w:eastAsia="Times New Roman" w:cstheme="minorHAnsi"/>
          <w:bdr w:val="none" w:sz="0" w:space="0" w:color="auto" w:frame="1"/>
        </w:rPr>
        <w:t>ion</w:t>
      </w:r>
    </w:p>
    <w:p w14:paraId="3017387B" w14:textId="5DBB4CEE" w:rsidR="00D75B67" w:rsidRPr="00D7729C" w:rsidRDefault="006B0020" w:rsidP="001B6E3F">
      <w:pPr>
        <w:numPr>
          <w:ilvl w:val="0"/>
          <w:numId w:val="13"/>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D7729C">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HYPERLINK  \l "PH_CollectUseShare_SAG" \o "Public Health Authorities and Information Sharing"</w:instrText>
      </w:r>
      <w:r>
        <w:rPr>
          <w:rFonts w:eastAsia="Times New Roman" w:cstheme="minorHAnsi"/>
          <w:color w:val="0F88B8"/>
          <w:u w:val="single"/>
          <w:bdr w:val="none" w:sz="0" w:space="0" w:color="auto" w:frame="1"/>
        </w:rPr>
      </w:r>
      <w:r w:rsidR="00D7729C">
        <w:rPr>
          <w:rFonts w:eastAsia="Times New Roman" w:cstheme="minorHAnsi"/>
          <w:color w:val="0F88B8"/>
          <w:u w:val="single"/>
          <w:bdr w:val="none" w:sz="0" w:space="0" w:color="auto" w:frame="1"/>
        </w:rPr>
        <w:fldChar w:fldCharType="separate"/>
      </w:r>
      <w:r w:rsidR="00D75B67" w:rsidRPr="00D7729C">
        <w:rPr>
          <w:rStyle w:val="Hyperlink"/>
          <w:rFonts w:eastAsia="Times New Roman" w:cstheme="minorHAnsi"/>
          <w:bdr w:val="none" w:sz="0" w:space="0" w:color="auto" w:frame="1"/>
        </w:rPr>
        <w:t>Public Health Authorities an</w:t>
      </w:r>
      <w:r w:rsidR="00D75B67" w:rsidRPr="00D7729C">
        <w:rPr>
          <w:rStyle w:val="Hyperlink"/>
          <w:rFonts w:eastAsia="Times New Roman" w:cstheme="minorHAnsi"/>
          <w:bdr w:val="none" w:sz="0" w:space="0" w:color="auto" w:frame="1"/>
        </w:rPr>
        <w:t>d</w:t>
      </w:r>
      <w:r w:rsidR="00D75B67" w:rsidRPr="00D7729C">
        <w:rPr>
          <w:rStyle w:val="Hyperlink"/>
          <w:rFonts w:eastAsia="Times New Roman" w:cstheme="minorHAnsi"/>
          <w:bdr w:val="none" w:sz="0" w:space="0" w:color="auto" w:frame="1"/>
        </w:rPr>
        <w:t xml:space="preserve"> </w:t>
      </w:r>
      <w:r w:rsidR="00D75B67" w:rsidRPr="00D7729C">
        <w:rPr>
          <w:rStyle w:val="Hyperlink"/>
          <w:rFonts w:eastAsia="Times New Roman" w:cstheme="minorHAnsi"/>
          <w:bdr w:val="none" w:sz="0" w:space="0" w:color="auto" w:frame="1"/>
        </w:rPr>
        <w:t>Information Sharing</w:t>
      </w:r>
      <w:r w:rsidR="00D75B67" w:rsidRPr="00D7729C">
        <w:rPr>
          <w:rStyle w:val="Hyperlink"/>
          <w:rFonts w:eastAsia="Times New Roman" w:cstheme="minorHAnsi"/>
        </w:rPr>
        <w:t> </w:t>
      </w:r>
    </w:p>
    <w:p w14:paraId="05DE8E65" w14:textId="78016515" w:rsidR="00D75B67" w:rsidRPr="00D7729C" w:rsidRDefault="00D7729C" w:rsidP="001B6E3F">
      <w:pPr>
        <w:numPr>
          <w:ilvl w:val="0"/>
          <w:numId w:val="13"/>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"InfoShare_LawEnforce_SAG" \o "Public Health Information Sharing with Law Enforcement"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D75B67" w:rsidRPr="00D7729C">
        <w:rPr>
          <w:rStyle w:val="Hyperlink"/>
          <w:rFonts w:eastAsia="Times New Roman" w:cstheme="minorHAnsi"/>
          <w:bdr w:val="none" w:sz="0" w:space="0" w:color="auto" w:frame="1"/>
        </w:rPr>
        <w:t>Public Health Information Sharing with Law Enforcement</w:t>
      </w:r>
      <w:r w:rsidR="00D75B67" w:rsidRPr="00D7729C">
        <w:rPr>
          <w:rStyle w:val="Hyperlink"/>
          <w:rFonts w:eastAsia="Times New Roman" w:cstheme="minorHAnsi"/>
        </w:rPr>
        <w:t> </w:t>
      </w:r>
    </w:p>
    <w:p w14:paraId="6E2D526B" w14:textId="38D8A581" w:rsidR="00FD58B1" w:rsidRDefault="00D7729C" w:rsidP="001B6E3F">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460965A6" w14:textId="158D70CE"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Current Issues and Updates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Periodic updates on new and evolving issues</w:t>
      </w:r>
    </w:p>
    <w:p w14:paraId="718D6A8B" w14:textId="77777777" w:rsidR="00D75B67" w:rsidRPr="001B6E3F" w:rsidRDefault="00D75B67" w:rsidP="001B6E3F">
      <w:pPr>
        <w:numPr>
          <w:ilvl w:val="0"/>
          <w:numId w:val="14"/>
        </w:numPr>
        <w:spacing w:line="480" w:lineRule="auto"/>
        <w:textAlignment w:val="baseline"/>
        <w:rPr>
          <w:rFonts w:eastAsia="Times New Roman" w:cstheme="minorHAnsi"/>
          <w:color w:val="000000" w:themeColor="text1"/>
        </w:rPr>
      </w:pPr>
      <w:r w:rsidRPr="001B6E3F">
        <w:rPr>
          <w:rFonts w:eastAsia="Times New Roman" w:cstheme="minorHAnsi"/>
          <w:color w:val="000000" w:themeColor="text1"/>
        </w:rPr>
        <w:t xml:space="preserve">No current issues and updates in the toolkit </w:t>
      </w:r>
      <w:proofErr w:type="gramStart"/>
      <w:r w:rsidRPr="001B6E3F">
        <w:rPr>
          <w:rFonts w:eastAsia="Times New Roman" w:cstheme="minorHAnsi"/>
          <w:color w:val="000000" w:themeColor="text1"/>
        </w:rPr>
        <w:t>at this time</w:t>
      </w:r>
      <w:proofErr w:type="gramEnd"/>
    </w:p>
    <w:p w14:paraId="68259C40" w14:textId="77777777" w:rsidR="00FD58B1" w:rsidRDefault="00FD58B1" w:rsidP="001B6E3F">
      <w:pPr>
        <w:spacing w:line="480" w:lineRule="auto"/>
        <w:textAlignment w:val="baseline"/>
        <w:rPr>
          <w:rFonts w:eastAsia="Times New Roman" w:cstheme="minorHAnsi"/>
          <w:b/>
          <w:bCs/>
          <w:color w:val="000000" w:themeColor="text1"/>
          <w:bdr w:val="none" w:sz="0" w:space="0" w:color="auto" w:frame="1"/>
        </w:rPr>
      </w:pPr>
    </w:p>
    <w:p w14:paraId="593D3D26" w14:textId="5BBFCCEE"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Resource Materials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Bibliographies and links to key agencies, organizations, laws, and other documents</w:t>
      </w:r>
    </w:p>
    <w:p w14:paraId="1D5FAEF4" w14:textId="343FAF02" w:rsidR="00D75B67" w:rsidRPr="006B0020" w:rsidRDefault="006B0020" w:rsidP="001B6E3F">
      <w:pPr>
        <w:numPr>
          <w:ilvl w:val="0"/>
          <w:numId w:val="14"/>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sidR="008F4E09">
        <w:rPr>
          <w:rFonts w:eastAsia="Times New Roman" w:cstheme="minorHAnsi"/>
          <w:color w:val="0F88B8"/>
          <w:u w:val="single"/>
          <w:bdr w:val="none" w:sz="0" w:space="0" w:color="auto" w:frame="1"/>
        </w:rPr>
        <w:instrText>HYPERLINK  \l "SuppMaterials" \o "Public Health and Information Sharing Supplemental Materials"</w:instrText>
      </w:r>
      <w:r w:rsidR="008F4E09">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Pr="006B0020">
        <w:rPr>
          <w:rStyle w:val="Hyperlink"/>
          <w:rFonts w:eastAsia="Times New Roman" w:cstheme="minorHAnsi"/>
          <w:bdr w:val="none" w:sz="0" w:space="0" w:color="auto" w:frame="1"/>
        </w:rPr>
        <w:t>Public Health and Information Sha</w:t>
      </w:r>
      <w:r w:rsidRPr="006B0020">
        <w:rPr>
          <w:rStyle w:val="Hyperlink"/>
          <w:rFonts w:eastAsia="Times New Roman" w:cstheme="minorHAnsi"/>
          <w:bdr w:val="none" w:sz="0" w:space="0" w:color="auto" w:frame="1"/>
        </w:rPr>
        <w:t>r</w:t>
      </w:r>
      <w:r w:rsidRPr="006B0020">
        <w:rPr>
          <w:rStyle w:val="Hyperlink"/>
          <w:rFonts w:eastAsia="Times New Roman" w:cstheme="minorHAnsi"/>
          <w:bdr w:val="none" w:sz="0" w:space="0" w:color="auto" w:frame="1"/>
        </w:rPr>
        <w:t>ing</w:t>
      </w:r>
    </w:p>
    <w:p w14:paraId="1D2E070A" w14:textId="60EAE02D" w:rsidR="00145779" w:rsidRDefault="006B0020">
      <w:pPr>
        <w:rPr>
          <w:rFonts w:cstheme="minorHAnsi"/>
        </w:rPr>
      </w:pPr>
      <w:r>
        <w:rPr>
          <w:rFonts w:eastAsia="Times New Roman" w:cstheme="minorHAnsi"/>
          <w:color w:val="0F88B8"/>
          <w:u w:val="single"/>
          <w:bdr w:val="none" w:sz="0" w:space="0" w:color="auto" w:frame="1"/>
        </w:rPr>
        <w:fldChar w:fldCharType="end"/>
      </w:r>
      <w:r w:rsidR="00145779">
        <w:rPr>
          <w:rFonts w:cstheme="minorHAnsi"/>
        </w:rPr>
        <w:br w:type="page"/>
      </w:r>
    </w:p>
    <w:p w14:paraId="6E172F36" w14:textId="77777777" w:rsidR="00F44300" w:rsidRPr="00B65D29" w:rsidRDefault="00F44300" w:rsidP="00363B01">
      <w:pPr>
        <w:spacing w:line="480" w:lineRule="auto"/>
        <w:rPr>
          <w:rFonts w:eastAsia="Times New Roman" w:cstheme="minorHAnsi"/>
          <w:b/>
          <w:bCs/>
          <w:color w:val="333333"/>
          <w:spacing w:val="15"/>
          <w:kern w:val="36"/>
          <w:sz w:val="28"/>
          <w:szCs w:val="28"/>
        </w:rPr>
      </w:pPr>
      <w:bookmarkStart w:id="1" w:name="PH_Emp_Info_EO"/>
      <w:r w:rsidRPr="00B65D29">
        <w:rPr>
          <w:rFonts w:eastAsia="Times New Roman" w:cstheme="minorHAnsi"/>
          <w:b/>
          <w:bCs/>
          <w:color w:val="333333"/>
          <w:spacing w:val="15"/>
          <w:kern w:val="36"/>
          <w:sz w:val="28"/>
          <w:szCs w:val="28"/>
        </w:rPr>
        <w:lastRenderedPageBreak/>
        <w:t>Public Health and Employee Information</w:t>
      </w:r>
      <w:bookmarkEnd w:id="1"/>
    </w:p>
    <w:p w14:paraId="0A7B128C" w14:textId="77777777" w:rsidR="00F44300" w:rsidRPr="00C06C48" w:rsidRDefault="00F44300" w:rsidP="00363B01">
      <w:pPr>
        <w:spacing w:line="480" w:lineRule="auto"/>
        <w:rPr>
          <w:rFonts w:eastAsia="Times New Roman" w:cstheme="minorHAnsi"/>
          <w:b/>
          <w:bCs/>
          <w:color w:val="3C3030"/>
          <w:sz w:val="24"/>
          <w:szCs w:val="24"/>
        </w:rPr>
      </w:pPr>
      <w:r w:rsidRPr="00C06C48">
        <w:rPr>
          <w:rFonts w:eastAsia="Times New Roman" w:cstheme="minorHAnsi"/>
          <w:b/>
          <w:bCs/>
          <w:color w:val="3C3030"/>
          <w:sz w:val="24"/>
          <w:szCs w:val="24"/>
        </w:rPr>
        <w:t>Executive Overview</w:t>
      </w:r>
    </w:p>
    <w:p w14:paraId="2E8335F0" w14:textId="77777777" w:rsidR="00F44300" w:rsidRPr="00985A98" w:rsidRDefault="00F44300" w:rsidP="00363B01">
      <w:pPr>
        <w:shd w:val="clear" w:color="auto" w:fill="FFFFFF"/>
        <w:spacing w:line="480" w:lineRule="auto"/>
        <w:textAlignment w:val="baseline"/>
        <w:rPr>
          <w:rFonts w:eastAsia="Times New Roman" w:cstheme="minorHAnsi"/>
          <w:color w:val="000000" w:themeColor="text1"/>
          <w:szCs w:val="20"/>
        </w:rPr>
      </w:pPr>
    </w:p>
    <w:p w14:paraId="7AB9110D" w14:textId="77777777" w:rsidR="00F44300" w:rsidRPr="00C06C48" w:rsidRDefault="00F44300" w:rsidP="00363B01">
      <w:pPr>
        <w:shd w:val="clear" w:color="auto" w:fill="FFFFFF"/>
        <w:spacing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This document provides a brief overview of important issues related to public health agencies' authority to collect and use information about their employees to ensure their workforces' health and safety, as well as continuity of operations during an emergency. Additional details on these and other issues are contained in other fact sheets and issue briefs in the ASTHO </w:t>
      </w:r>
      <w:r w:rsidRPr="00C06C48">
        <w:rPr>
          <w:rFonts w:eastAsia="Times New Roman" w:cstheme="minorHAnsi"/>
          <w:i/>
          <w:iCs/>
          <w:color w:val="000000" w:themeColor="text1"/>
          <w:szCs w:val="20"/>
          <w:bdr w:val="none" w:sz="0" w:space="0" w:color="auto" w:frame="1"/>
        </w:rPr>
        <w:t>Public Health &amp; Information Sharing Toolkit</w:t>
      </w:r>
      <w:r w:rsidRPr="00C06C48">
        <w:rPr>
          <w:rFonts w:eastAsia="Times New Roman" w:cstheme="minorHAnsi"/>
          <w:color w:val="000000" w:themeColor="text1"/>
          <w:szCs w:val="20"/>
        </w:rPr>
        <w:t xml:space="preserve">. </w:t>
      </w:r>
    </w:p>
    <w:p w14:paraId="28D009E6" w14:textId="77777777" w:rsidR="00F44300" w:rsidRPr="00985A98" w:rsidRDefault="00F44300" w:rsidP="00363B01">
      <w:pPr>
        <w:spacing w:line="480" w:lineRule="auto"/>
        <w:rPr>
          <w:rFonts w:eastAsia="Times New Roman" w:cstheme="minorHAnsi"/>
          <w:b/>
          <w:bCs/>
          <w:color w:val="000000" w:themeColor="text1"/>
          <w:szCs w:val="20"/>
        </w:rPr>
      </w:pPr>
    </w:p>
    <w:p w14:paraId="50187EDE" w14:textId="77777777" w:rsidR="00F44300" w:rsidRPr="00C06C48" w:rsidRDefault="00F44300"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Public Health Authority and Information</w:t>
      </w:r>
    </w:p>
    <w:p w14:paraId="56C7DAF8" w14:textId="77777777" w:rsidR="00F44300" w:rsidRPr="00C06C48" w:rsidRDefault="00F44300"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Generally, public health agencies have broad authority to obtain and use identifiable information about members of the public for public health purposes. Their authority may also allow them to share information when necessary with other public health agencies, law enforcement or, in compelling circumstances, with the public. In contrast, public health agencies are limited in their ability to seek health-related information about their employees. As employers, public health agencies are subject to laws that protect employees from health-related inquiries and medical examinations that may result in discrimination based on disability. At the same time, public health agencies must monitor the workplace to keep it safe for employees and members of the public with whom they interact. They also have a duty to plan for emergencies to ensure an adequate workforce to carry out essential functions.</w:t>
      </w:r>
    </w:p>
    <w:p w14:paraId="4C285182" w14:textId="77777777" w:rsidR="00F44300" w:rsidRPr="00C06C48" w:rsidRDefault="00F44300"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Protecting Employees from Discrimination Based on Disability</w:t>
      </w:r>
    </w:p>
    <w:p w14:paraId="41CBB3E8" w14:textId="77777777" w:rsidR="00F44300" w:rsidRPr="00C06C48" w:rsidRDefault="00F44300"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 xml:space="preserve">State and local public health agencies must comply with the federal Americans with Disabilities Act (ADA). ADA makes it illegal to discriminate against employees in the terms, conditions, and privileges of employment based on their actual or perceived disability or the disability of someone with whom they have a relationship. To prevent disability discrimination, employers are prohibited from asking </w:t>
      </w:r>
      <w:r w:rsidRPr="00C06C48">
        <w:rPr>
          <w:rFonts w:eastAsia="Times New Roman" w:cstheme="minorHAnsi"/>
          <w:color w:val="000000" w:themeColor="text1"/>
          <w:szCs w:val="20"/>
        </w:rPr>
        <w:lastRenderedPageBreak/>
        <w:t>employees questions that are likely to elicit information about a disability and from requiring medical examinations, except in limited situations that are job-related and consistent with business necessity.</w:t>
      </w:r>
    </w:p>
    <w:p w14:paraId="3EC1904A" w14:textId="77777777" w:rsidR="00F44300" w:rsidRPr="00C06C48" w:rsidRDefault="00F44300"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Protecting the Safety and Health of Employees</w:t>
      </w:r>
    </w:p>
    <w:p w14:paraId="22C94BE3" w14:textId="77777777" w:rsidR="00F44300" w:rsidRPr="00C06C48" w:rsidRDefault="00F44300"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Occupational safety and health standards adopted under the federal Occupational Safety and Health Act (OSH Act) apply to many, but not all, state and local public health agencies. The OSH Act requires employers to keep their workplace free of serious recognized hazards and to comply with specific standards established for certain hazards, such as exposure to hazardous materials or blood-borne pathogens. State occupational safety and health laws may apply to public health agencies in addition to, or in lieu of, federal standards. Medical surveillance may be indicated by these laws to ensure a safe and healthful workplace or to meet specific standards. ADA permits employers to obtain health-related information as required to comply with federal OSH Act standards, when applicable, and by state and local safety and health laws to the extent state and local laws are consistent with ADA. Inquiries and medical examinations are permitted if they are job-related and consistent with business necessity. An employee may be excluded from the workplace when necessary to protect the employee or others. Objective evidence must support disability-related inquiries, medical examination, and necessary exclusion. As part of a comprehensive emergency evacuation plan, ADA would also allow employers to ask employees whether they will require assistance in the event of an evacuation and, if so, what kind of assistance they will require.</w:t>
      </w:r>
    </w:p>
    <w:p w14:paraId="1F71179D" w14:textId="77777777" w:rsidR="00F44300" w:rsidRPr="00C06C48" w:rsidRDefault="00F44300"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Protecting the Public's Health During an Emergency</w:t>
      </w:r>
    </w:p>
    <w:p w14:paraId="50A394D6" w14:textId="77777777" w:rsidR="00F44300" w:rsidRPr="00C06C48" w:rsidRDefault="00F44300"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 xml:space="preserve">Emergency preparation requires planning to ensure an adequate workforce to manage the emergency and maintain vital services to the community. Employers need to collect information about their employees consistent with ADA. For example, although employers may survey employees about potential absences during a pandemic, employers may run afoul of ADA if their inquiries are likely to </w:t>
      </w:r>
      <w:r w:rsidRPr="00C06C48">
        <w:rPr>
          <w:rFonts w:eastAsia="Times New Roman" w:cstheme="minorHAnsi"/>
          <w:color w:val="000000" w:themeColor="text1"/>
          <w:szCs w:val="20"/>
        </w:rPr>
        <w:lastRenderedPageBreak/>
        <w:t>elicit information about a disability. For this reason, employers may want to ask employees if they would be unable to come to work for nonmedical reasons (such as curtailed transportation or the need to care for a child if schools or day-care centers were closed) or for medical reasons, without asking the employee to specify the reason that applies to him or her.</w:t>
      </w:r>
    </w:p>
    <w:p w14:paraId="14DD2EAC" w14:textId="77777777" w:rsidR="00153263" w:rsidRPr="00F93EAF" w:rsidRDefault="00153263" w:rsidP="00153263">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w:t>
        </w:r>
        <w:r w:rsidRPr="00F93EAF">
          <w:rPr>
            <w:rStyle w:val="Heading2Char"/>
            <w:rFonts w:asciiTheme="minorHAnsi" w:eastAsiaTheme="minorHAnsi" w:hAnsiTheme="minorHAnsi" w:cstheme="minorHAnsi"/>
            <w:color w:val="0070C0"/>
            <w:sz w:val="24"/>
          </w:rPr>
          <w:t>C</w:t>
        </w:r>
        <w:r w:rsidRPr="00F93EAF">
          <w:rPr>
            <w:rStyle w:val="Heading2Char"/>
            <w:rFonts w:asciiTheme="minorHAnsi" w:eastAsiaTheme="minorHAnsi" w:hAnsiTheme="minorHAnsi" w:cstheme="minorHAnsi"/>
            <w:color w:val="0070C0"/>
            <w:sz w:val="24"/>
          </w:rPr>
          <w:t xml:space="preserve"> Top]</w:t>
        </w:r>
      </w:hyperlink>
    </w:p>
    <w:p w14:paraId="7CC546B0" w14:textId="77777777" w:rsidR="008028EB" w:rsidRDefault="008028EB">
      <w:pPr>
        <w:rPr>
          <w:rFonts w:cstheme="minorHAnsi"/>
          <w:color w:val="000000" w:themeColor="text1"/>
          <w:sz w:val="24"/>
        </w:rPr>
      </w:pPr>
    </w:p>
    <w:p w14:paraId="2E91B56D" w14:textId="05CBF6BC" w:rsidR="008028EB" w:rsidRDefault="008028EB">
      <w:pPr>
        <w:rPr>
          <w:rFonts w:cstheme="minorHAnsi"/>
          <w:color w:val="000000" w:themeColor="text1"/>
          <w:sz w:val="24"/>
        </w:rPr>
      </w:pPr>
      <w:r>
        <w:rPr>
          <w:rFonts w:cstheme="minorHAnsi"/>
          <w:color w:val="000000" w:themeColor="text1"/>
          <w:sz w:val="24"/>
        </w:rPr>
        <w:br w:type="page"/>
      </w:r>
    </w:p>
    <w:p w14:paraId="0CC4FC93" w14:textId="77777777" w:rsidR="00F44300" w:rsidRPr="000B749C" w:rsidRDefault="00F44300" w:rsidP="00A34B7B">
      <w:pPr>
        <w:spacing w:line="480" w:lineRule="auto"/>
        <w:rPr>
          <w:rFonts w:eastAsia="Times New Roman" w:cstheme="minorHAnsi"/>
          <w:b/>
          <w:bCs/>
          <w:color w:val="000000" w:themeColor="text1"/>
          <w:spacing w:val="15"/>
          <w:kern w:val="36"/>
          <w:sz w:val="28"/>
          <w:szCs w:val="28"/>
        </w:rPr>
      </w:pPr>
      <w:bookmarkStart w:id="2" w:name="PH_Info_Share_Key_EO"/>
      <w:r w:rsidRPr="000B749C">
        <w:rPr>
          <w:rFonts w:eastAsia="Times New Roman" w:cstheme="minorHAnsi"/>
          <w:b/>
          <w:bCs/>
          <w:color w:val="000000" w:themeColor="text1"/>
          <w:spacing w:val="15"/>
          <w:kern w:val="36"/>
          <w:sz w:val="28"/>
          <w:szCs w:val="28"/>
        </w:rPr>
        <w:lastRenderedPageBreak/>
        <w:t>Public Health and Information Sharing Key Issues &amp; Concepts</w:t>
      </w:r>
      <w:bookmarkEnd w:id="2"/>
    </w:p>
    <w:p w14:paraId="7C1A4FCB" w14:textId="77777777" w:rsidR="00F44300" w:rsidRPr="00A34B7B" w:rsidRDefault="00F44300" w:rsidP="00A34B7B">
      <w:pPr>
        <w:spacing w:line="480" w:lineRule="auto"/>
        <w:rPr>
          <w:rFonts w:eastAsia="Times New Roman" w:cstheme="minorHAnsi"/>
          <w:b/>
          <w:bCs/>
          <w:color w:val="000000" w:themeColor="text1"/>
          <w:sz w:val="24"/>
          <w:szCs w:val="24"/>
        </w:rPr>
      </w:pPr>
    </w:p>
    <w:p w14:paraId="18740806" w14:textId="77777777" w:rsidR="00F44300" w:rsidRPr="000B749C" w:rsidRDefault="00F44300" w:rsidP="00A34B7B">
      <w:pPr>
        <w:spacing w:line="480" w:lineRule="auto"/>
        <w:rPr>
          <w:rFonts w:eastAsia="Times New Roman" w:cstheme="minorHAnsi"/>
          <w:b/>
          <w:bCs/>
          <w:color w:val="000000" w:themeColor="text1"/>
          <w:sz w:val="24"/>
          <w:szCs w:val="24"/>
        </w:rPr>
      </w:pPr>
      <w:r w:rsidRPr="000B749C">
        <w:rPr>
          <w:rFonts w:eastAsia="Times New Roman" w:cstheme="minorHAnsi"/>
          <w:b/>
          <w:bCs/>
          <w:color w:val="000000" w:themeColor="text1"/>
          <w:sz w:val="24"/>
          <w:szCs w:val="24"/>
        </w:rPr>
        <w:t>Executive Overview</w:t>
      </w:r>
    </w:p>
    <w:p w14:paraId="36648999" w14:textId="77777777" w:rsidR="00F44300" w:rsidRPr="000B749C" w:rsidRDefault="00F44300" w:rsidP="00A34B7B">
      <w:pPr>
        <w:shd w:val="clear" w:color="auto" w:fill="FFFFFF"/>
        <w:spacing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This document provides a brief overview of important issues and concepts related to public health agencies' authority to collect, use, and share information to prepare and respond to a public health emergency. Additional details on these and other concepts are contained in other fact sheets and issue briefs in the ASTHO </w:t>
      </w:r>
      <w:r w:rsidRPr="000B749C">
        <w:rPr>
          <w:rFonts w:eastAsia="Times New Roman" w:cstheme="minorHAnsi"/>
          <w:i/>
          <w:iCs/>
          <w:color w:val="000000" w:themeColor="text1"/>
          <w:szCs w:val="20"/>
          <w:bdr w:val="none" w:sz="0" w:space="0" w:color="auto" w:frame="1"/>
        </w:rPr>
        <w:t>Public Health &amp; Information Sharing Toolkit</w:t>
      </w:r>
      <w:r w:rsidRPr="000B749C">
        <w:rPr>
          <w:rFonts w:eastAsia="Times New Roman" w:cstheme="minorHAnsi"/>
          <w:color w:val="000000" w:themeColor="text1"/>
          <w:szCs w:val="20"/>
        </w:rPr>
        <w:t xml:space="preserve">. </w:t>
      </w:r>
    </w:p>
    <w:p w14:paraId="49FF8DFF" w14:textId="77777777" w:rsidR="00F44300" w:rsidRPr="00A34B7B" w:rsidRDefault="00F44300" w:rsidP="00A34B7B">
      <w:pPr>
        <w:spacing w:line="480" w:lineRule="auto"/>
        <w:rPr>
          <w:rFonts w:eastAsia="Times New Roman" w:cstheme="minorHAnsi"/>
          <w:b/>
          <w:bCs/>
          <w:color w:val="000000" w:themeColor="text1"/>
          <w:sz w:val="28"/>
          <w:szCs w:val="24"/>
        </w:rPr>
      </w:pPr>
    </w:p>
    <w:p w14:paraId="6BF73A30" w14:textId="77777777" w:rsidR="00F44300" w:rsidRPr="000B749C" w:rsidRDefault="00F44300" w:rsidP="00A34B7B">
      <w:pPr>
        <w:spacing w:line="480" w:lineRule="auto"/>
        <w:rPr>
          <w:rFonts w:eastAsia="Times New Roman" w:cstheme="minorHAnsi"/>
          <w:b/>
          <w:bCs/>
          <w:color w:val="000000" w:themeColor="text1"/>
          <w:sz w:val="24"/>
          <w:szCs w:val="24"/>
        </w:rPr>
      </w:pPr>
      <w:r w:rsidRPr="000B749C">
        <w:rPr>
          <w:rFonts w:eastAsia="Times New Roman" w:cstheme="minorHAnsi"/>
          <w:b/>
          <w:bCs/>
          <w:color w:val="000000" w:themeColor="text1"/>
          <w:sz w:val="24"/>
          <w:szCs w:val="24"/>
        </w:rPr>
        <w:t>Public Health Authority and Information</w:t>
      </w:r>
    </w:p>
    <w:p w14:paraId="06803961" w14:textId="77777777" w:rsidR="00F44300" w:rsidRPr="000B749C" w:rsidRDefault="00F44300" w:rsidP="00A34B7B">
      <w:pPr>
        <w:shd w:val="clear" w:color="auto" w:fill="FFFFFF"/>
        <w:spacing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Public health agencies must collect, use and share information to prevent disease and injury, as well as protect the public against natural, accidental, and intentional health threats. For this reason, "information sharing" is one of the 15 capabilities for national public health preparedness standards that CDC developed to assist state and local public health departments in their strategic planning.</w:t>
      </w:r>
      <w:r w:rsidRPr="000B749C">
        <w:rPr>
          <w:rFonts w:eastAsia="Times New Roman" w:cstheme="minorHAnsi"/>
          <w:color w:val="000000" w:themeColor="text1"/>
          <w:sz w:val="16"/>
          <w:szCs w:val="14"/>
          <w:bdr w:val="none" w:sz="0" w:space="0" w:color="auto" w:frame="1"/>
          <w:vertAlign w:val="superscript"/>
        </w:rPr>
        <w:t> </w:t>
      </w:r>
      <w:r w:rsidRPr="000B749C">
        <w:rPr>
          <w:rFonts w:eastAsia="Times New Roman" w:cstheme="minorHAnsi"/>
          <w:color w:val="000000" w:themeColor="text1"/>
          <w:szCs w:val="20"/>
        </w:rPr>
        <w:t> Public health agencies often need information that is personal or sensitive in nature. This may include information that identifies an individual, contains business proprietary information, or reveals critical infrastructure information or other details related to national and state security. Public health agencies need to understand their authority and limitations for information sharing activities.</w:t>
      </w:r>
    </w:p>
    <w:p w14:paraId="0025EE1F" w14:textId="77777777" w:rsidR="00F44300" w:rsidRPr="00A34B7B" w:rsidRDefault="00F44300" w:rsidP="00A34B7B">
      <w:pPr>
        <w:spacing w:line="480" w:lineRule="auto"/>
        <w:rPr>
          <w:rFonts w:eastAsia="Times New Roman" w:cstheme="minorHAnsi"/>
          <w:b/>
          <w:bCs/>
          <w:color w:val="000000" w:themeColor="text1"/>
          <w:szCs w:val="20"/>
        </w:rPr>
      </w:pPr>
    </w:p>
    <w:p w14:paraId="4A2CD15C" w14:textId="77777777" w:rsidR="00F44300" w:rsidRPr="000B749C" w:rsidRDefault="00F44300" w:rsidP="00A34B7B">
      <w:pPr>
        <w:spacing w:line="480" w:lineRule="auto"/>
        <w:rPr>
          <w:rFonts w:eastAsia="Times New Roman" w:cstheme="minorHAnsi"/>
          <w:b/>
          <w:bCs/>
          <w:color w:val="000000" w:themeColor="text1"/>
          <w:szCs w:val="20"/>
        </w:rPr>
      </w:pPr>
      <w:r w:rsidRPr="000B749C">
        <w:rPr>
          <w:rFonts w:eastAsia="Times New Roman" w:cstheme="minorHAnsi"/>
          <w:b/>
          <w:bCs/>
          <w:color w:val="000000" w:themeColor="text1"/>
          <w:szCs w:val="20"/>
        </w:rPr>
        <w:t>Collection and Use</w:t>
      </w:r>
    </w:p>
    <w:p w14:paraId="346895CF" w14:textId="77777777" w:rsidR="00F44300" w:rsidRPr="000B749C" w:rsidRDefault="00F44300" w:rsidP="00A34B7B">
      <w:pPr>
        <w:shd w:val="clear" w:color="auto" w:fill="FFFFFF"/>
        <w:spacing w:after="225"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 xml:space="preserve">Public health agencies have broad authority to require reporting and access to information for public health purposes. However, this authority is not absolute. State or federal laws may limit public health's authority to request certain information or prohibit data providers (such as healthcare providers, schools, and others) from releasing information. At times, data providers may deny access to identifiable </w:t>
      </w:r>
      <w:r w:rsidRPr="000B749C">
        <w:rPr>
          <w:rFonts w:eastAsia="Times New Roman" w:cstheme="minorHAnsi"/>
          <w:color w:val="000000" w:themeColor="text1"/>
          <w:szCs w:val="20"/>
        </w:rPr>
        <w:lastRenderedPageBreak/>
        <w:t>information because they misunderstand privacy laws that allow exceptions for public health. This means that public health agencies must understand the scope of their authority and be able to explain this authority to reluctant data providers. Individual rights-established by the United States Constitution or a state's constitution-may limit public health authority. Individuals and businesses often give consent for public health investigators to enter and search their premises, copy records, take specimens or samples for testing, and remove evidence that might be relevant to a public health concern. However, absent consent or another exception, under the Fourth Amendment, public health agencies must comply with U.S. constitutional requirements by obtaining an administrative warrant to search someone's premises or seize their property. Public health threats that may involve criminal activities present special challenges because of strict legal constraints that apply to collecting evidence for criminal prosecutions. To satisfy legal constraints and promote effective working relationships, public health agencies and law enforcement may benefit from joint investigative training and development of protocols.</w:t>
      </w:r>
    </w:p>
    <w:p w14:paraId="2B47F0D4" w14:textId="77777777" w:rsidR="00F44300" w:rsidRPr="000B749C" w:rsidRDefault="00F44300" w:rsidP="00A34B7B">
      <w:pPr>
        <w:spacing w:line="480" w:lineRule="auto"/>
        <w:rPr>
          <w:rFonts w:eastAsia="Times New Roman" w:cstheme="minorHAnsi"/>
          <w:b/>
          <w:bCs/>
          <w:color w:val="000000" w:themeColor="text1"/>
          <w:szCs w:val="20"/>
        </w:rPr>
      </w:pPr>
      <w:r w:rsidRPr="000B749C">
        <w:rPr>
          <w:rFonts w:eastAsia="Times New Roman" w:cstheme="minorHAnsi"/>
          <w:b/>
          <w:bCs/>
          <w:color w:val="000000" w:themeColor="text1"/>
          <w:szCs w:val="20"/>
        </w:rPr>
        <w:t>Sharing</w:t>
      </w:r>
    </w:p>
    <w:p w14:paraId="01EECB90" w14:textId="77777777" w:rsidR="00F44300" w:rsidRPr="000B749C" w:rsidRDefault="00F44300" w:rsidP="00A34B7B">
      <w:pPr>
        <w:shd w:val="clear" w:color="auto" w:fill="FFFFFF"/>
        <w:spacing w:after="225"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 xml:space="preserve">Broad authority to collect and use information for public health purposes means a concomitant duty to protect the privacy of identifiable information. This duty may be statutory, regulatory, or ethical. Regardless of the source, it is essential to ensure the public's trust and protect individuals from embarrassment, stigma, and discrimination that may result from disclosing personal information. However, some information sharing is necessary. Public health agencies must often decide whether to share identifiable information with other public or private sector entities that have a role in protecting or providing for the public's health or safety. There may be rare but compelling circumstances where it is necessary to disclose identifiable information to protect the public. State laws vary in addressing privacy concerns and the scope of permissible sharing. They also vary when information must be disclosed, for </w:t>
      </w:r>
      <w:r w:rsidRPr="000B749C">
        <w:rPr>
          <w:rFonts w:eastAsia="Times New Roman" w:cstheme="minorHAnsi"/>
          <w:color w:val="000000" w:themeColor="text1"/>
          <w:szCs w:val="20"/>
        </w:rPr>
        <w:lastRenderedPageBreak/>
        <w:t>example, in response to a request for information under a state's freedom of information or public records law (FOI laws).</w:t>
      </w:r>
    </w:p>
    <w:p w14:paraId="4103FEEC" w14:textId="77777777" w:rsidR="00F44300" w:rsidRPr="000B749C" w:rsidRDefault="00F44300" w:rsidP="00A34B7B">
      <w:pPr>
        <w:spacing w:line="480" w:lineRule="auto"/>
        <w:rPr>
          <w:rFonts w:eastAsia="Times New Roman" w:cstheme="minorHAnsi"/>
          <w:b/>
          <w:bCs/>
          <w:color w:val="000000" w:themeColor="text1"/>
          <w:szCs w:val="20"/>
        </w:rPr>
      </w:pPr>
      <w:r w:rsidRPr="000B749C">
        <w:rPr>
          <w:rFonts w:eastAsia="Times New Roman" w:cstheme="minorHAnsi"/>
          <w:b/>
          <w:bCs/>
          <w:color w:val="000000" w:themeColor="text1"/>
          <w:szCs w:val="20"/>
        </w:rPr>
        <w:t>Protection</w:t>
      </w:r>
    </w:p>
    <w:p w14:paraId="515772A3" w14:textId="77777777" w:rsidR="00F44300" w:rsidRPr="000B749C" w:rsidRDefault="00F44300" w:rsidP="00A34B7B">
      <w:pPr>
        <w:shd w:val="clear" w:color="auto" w:fill="FFFFFF"/>
        <w:spacing w:after="225"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FOI laws require that governmental agencies provide records upon request unless an exemption applies. This general policy of public disclosure may prove problematic when records contain personal or sensitive information, or preliminary or incomplete findings. Public health agencies need to understand the requirements under their states' FOI laws and specific exemptions that they may use to protect information when necessary.</w:t>
      </w:r>
    </w:p>
    <w:p w14:paraId="1D15C508" w14:textId="77777777" w:rsidR="00153263" w:rsidRPr="00F93EAF" w:rsidRDefault="00153263" w:rsidP="00153263">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[TOC</w:t>
        </w:r>
        <w:r w:rsidRPr="00F93EAF">
          <w:rPr>
            <w:rStyle w:val="Heading2Char"/>
            <w:rFonts w:asciiTheme="minorHAnsi" w:eastAsiaTheme="minorHAnsi" w:hAnsiTheme="minorHAnsi" w:cstheme="minorHAnsi"/>
            <w:color w:val="0070C0"/>
            <w:sz w:val="24"/>
          </w:rPr>
          <w:t xml:space="preserve"> </w:t>
        </w:r>
        <w:r w:rsidRPr="00F93EAF">
          <w:rPr>
            <w:rStyle w:val="Heading2Char"/>
            <w:rFonts w:asciiTheme="minorHAnsi" w:eastAsiaTheme="minorHAnsi" w:hAnsiTheme="minorHAnsi" w:cstheme="minorHAnsi"/>
            <w:color w:val="0070C0"/>
            <w:sz w:val="24"/>
          </w:rPr>
          <w:t>Top]</w:t>
        </w:r>
      </w:hyperlink>
    </w:p>
    <w:p w14:paraId="22D5ABF6" w14:textId="5776BC9D" w:rsidR="004505F9" w:rsidRDefault="004505F9">
      <w:pPr>
        <w:rPr>
          <w:rFonts w:cstheme="minorHAnsi"/>
          <w:color w:val="000000" w:themeColor="text1"/>
          <w:sz w:val="24"/>
        </w:rPr>
      </w:pPr>
      <w:r>
        <w:rPr>
          <w:rFonts w:cstheme="minorHAnsi"/>
          <w:color w:val="000000" w:themeColor="text1"/>
          <w:sz w:val="24"/>
        </w:rPr>
        <w:br w:type="page"/>
      </w:r>
    </w:p>
    <w:p w14:paraId="335242FC" w14:textId="77777777" w:rsidR="00F44300" w:rsidRPr="005627BC" w:rsidRDefault="00F44300" w:rsidP="0020369F">
      <w:pPr>
        <w:spacing w:line="480" w:lineRule="auto"/>
        <w:rPr>
          <w:rFonts w:ascii="Calibri" w:eastAsia="Times New Roman" w:hAnsi="Calibri" w:cs="Calibri"/>
          <w:b/>
          <w:bCs/>
          <w:color w:val="333333"/>
          <w:spacing w:val="15"/>
          <w:kern w:val="36"/>
          <w:sz w:val="28"/>
          <w:szCs w:val="28"/>
        </w:rPr>
      </w:pPr>
      <w:bookmarkStart w:id="3" w:name="ADA_FS"/>
      <w:r w:rsidRPr="005627BC">
        <w:rPr>
          <w:rFonts w:ascii="Calibri" w:eastAsia="Times New Roman" w:hAnsi="Calibri" w:cs="Calibri"/>
          <w:b/>
          <w:bCs/>
          <w:color w:val="333333"/>
          <w:spacing w:val="15"/>
          <w:kern w:val="36"/>
          <w:sz w:val="28"/>
          <w:szCs w:val="28"/>
        </w:rPr>
        <w:lastRenderedPageBreak/>
        <w:t>Americans With Disabilities Act</w:t>
      </w:r>
      <w:bookmarkEnd w:id="3"/>
    </w:p>
    <w:p w14:paraId="75E079DC" w14:textId="77777777" w:rsidR="00F44300" w:rsidRPr="005627BC" w:rsidRDefault="00F44300" w:rsidP="0020369F">
      <w:pPr>
        <w:spacing w:line="480" w:lineRule="auto"/>
        <w:rPr>
          <w:rFonts w:ascii="Calibri" w:eastAsia="Times New Roman" w:hAnsi="Calibri" w:cs="Calibri"/>
          <w:b/>
          <w:bCs/>
          <w:color w:val="3C3030"/>
          <w:sz w:val="24"/>
          <w:szCs w:val="24"/>
        </w:rPr>
      </w:pPr>
      <w:r w:rsidRPr="005627BC">
        <w:rPr>
          <w:rFonts w:ascii="Calibri" w:eastAsia="Times New Roman" w:hAnsi="Calibri" w:cs="Calibri"/>
          <w:b/>
          <w:bCs/>
          <w:color w:val="3C3030"/>
          <w:sz w:val="24"/>
          <w:szCs w:val="24"/>
        </w:rPr>
        <w:t>Fact Sheet</w:t>
      </w:r>
    </w:p>
    <w:p w14:paraId="3FAFF597" w14:textId="77777777" w:rsidR="00F44300" w:rsidRPr="001440C1" w:rsidRDefault="00F44300" w:rsidP="0020369F">
      <w:pPr>
        <w:spacing w:line="480" w:lineRule="auto"/>
        <w:rPr>
          <w:rFonts w:ascii="Calibri" w:eastAsia="Times New Roman" w:hAnsi="Calibri" w:cs="Calibri"/>
          <w:b/>
          <w:bCs/>
          <w:color w:val="000000" w:themeColor="text1"/>
          <w:sz w:val="20"/>
          <w:szCs w:val="20"/>
        </w:rPr>
      </w:pPr>
    </w:p>
    <w:p w14:paraId="5C6D87AE" w14:textId="77777777" w:rsidR="00F44300" w:rsidRPr="005627BC" w:rsidRDefault="00F44300"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Overview</w:t>
      </w:r>
    </w:p>
    <w:p w14:paraId="70FB18A4" w14:textId="77777777" w:rsidR="00F44300" w:rsidRPr="005627BC" w:rsidRDefault="00F44300" w:rsidP="0020369F">
      <w:pPr>
        <w:shd w:val="clear" w:color="auto" w:fill="FFFFFF"/>
        <w:spacing w:line="480" w:lineRule="auto"/>
        <w:textAlignment w:val="baseline"/>
        <w:rPr>
          <w:rFonts w:ascii="Calibri" w:eastAsia="Times New Roman" w:hAnsi="Calibri" w:cs="Calibri"/>
          <w:color w:val="737373"/>
        </w:rPr>
      </w:pPr>
      <w:r w:rsidRPr="005627BC">
        <w:rPr>
          <w:rFonts w:ascii="Calibri" w:eastAsia="Times New Roman" w:hAnsi="Calibri" w:cs="Calibri"/>
          <w:color w:val="000000" w:themeColor="text1"/>
        </w:rPr>
        <w:t>The Americans with Disabilities Act of 1990 (ADA)</w:t>
      </w:r>
      <w:r w:rsidRPr="005627BC">
        <w:rPr>
          <w:rFonts w:ascii="Calibri" w:eastAsia="Times New Roman" w:hAnsi="Calibri" w:cs="Calibri"/>
          <w:color w:val="000000" w:themeColor="text1"/>
          <w:bdr w:val="none" w:sz="0" w:space="0" w:color="auto" w:frame="1"/>
          <w:vertAlign w:val="superscript"/>
        </w:rPr>
        <w:t>1</w:t>
      </w:r>
      <w:r w:rsidRPr="005627BC">
        <w:rPr>
          <w:rFonts w:ascii="Calibri" w:eastAsia="Times New Roman" w:hAnsi="Calibri" w:cs="Calibri"/>
          <w:color w:val="000000" w:themeColor="text1"/>
        </w:rPr>
        <w:t xml:space="preserve"> is a federal law that gives civil rights protections to individuals with disabilities </w:t>
      </w:r>
      <w:proofErr w:type="gramStart"/>
      <w:r w:rsidRPr="005627BC">
        <w:rPr>
          <w:rFonts w:ascii="Calibri" w:eastAsia="Times New Roman" w:hAnsi="Calibri" w:cs="Calibri"/>
          <w:color w:val="000000" w:themeColor="text1"/>
        </w:rPr>
        <w:t>similar to</w:t>
      </w:r>
      <w:proofErr w:type="gramEnd"/>
      <w:r w:rsidRPr="005627BC">
        <w:rPr>
          <w:rFonts w:ascii="Calibri" w:eastAsia="Times New Roman" w:hAnsi="Calibri" w:cs="Calibri"/>
          <w:color w:val="000000" w:themeColor="text1"/>
        </w:rPr>
        <w:t xml:space="preserve"> those provided to individuals on the basis of race, color, sex, national origin, age, and religion. It guarantees equal opportunity for individuals with disabilities in public accommodations, employment, transportation, state and local government services, and telecommunications. The prohibition on disability discrimination in employment applies to most private employers and to all state and local government agencies.</w:t>
      </w:r>
      <w:r w:rsidRPr="005627BC">
        <w:rPr>
          <w:rFonts w:ascii="Calibri" w:eastAsia="Times New Roman" w:hAnsi="Calibri" w:cs="Calibri"/>
          <w:color w:val="000000" w:themeColor="text1"/>
          <w:bdr w:val="none" w:sz="0" w:space="0" w:color="auto" w:frame="1"/>
          <w:vertAlign w:val="superscript"/>
        </w:rPr>
        <w:t>2</w:t>
      </w:r>
      <w:r w:rsidRPr="005627BC">
        <w:rPr>
          <w:rFonts w:ascii="Calibri" w:eastAsia="Times New Roman" w:hAnsi="Calibri" w:cs="Calibri"/>
          <w:color w:val="000000" w:themeColor="text1"/>
        </w:rPr>
        <w:t> (See ASTHO </w:t>
      </w:r>
      <w:hyperlink r:id="rId8" w:tooltip="Public Health Agencies as Employers: Obtaining and Using Employee Health Information for Preparedness Planning and Response" w:history="1">
        <w:r w:rsidRPr="005627BC">
          <w:rPr>
            <w:rFonts w:ascii="Calibri" w:eastAsia="Times New Roman" w:hAnsi="Calibri" w:cs="Calibri"/>
            <w:i/>
            <w:iCs/>
            <w:color w:val="0F88B8"/>
            <w:u w:val="single"/>
            <w:bdr w:val="none" w:sz="0" w:space="0" w:color="auto" w:frame="1"/>
          </w:rPr>
          <w:t>Public Health Agencies as Employers: Obtaining and Using Employee Health Information for Preparedness Planning and Response</w:t>
        </w:r>
      </w:hyperlink>
      <w:r w:rsidRPr="005627BC">
        <w:rPr>
          <w:rFonts w:ascii="Calibri" w:eastAsia="Times New Roman" w:hAnsi="Calibri" w:cs="Calibri"/>
          <w:color w:val="737373"/>
        </w:rPr>
        <w:t> </w:t>
      </w:r>
      <w:r w:rsidRPr="005627BC">
        <w:rPr>
          <w:rFonts w:ascii="Calibri" w:eastAsia="Times New Roman" w:hAnsi="Calibri" w:cs="Calibri"/>
          <w:color w:val="000000" w:themeColor="text1"/>
        </w:rPr>
        <w:t xml:space="preserve">for a more detailed analysis of ADA's employment provisions.) </w:t>
      </w:r>
    </w:p>
    <w:p w14:paraId="6BED4423" w14:textId="77777777" w:rsidR="00F44300" w:rsidRPr="001440C1" w:rsidRDefault="00F44300" w:rsidP="0020369F">
      <w:pPr>
        <w:spacing w:line="480" w:lineRule="auto"/>
        <w:rPr>
          <w:rFonts w:ascii="Calibri" w:eastAsia="Times New Roman" w:hAnsi="Calibri" w:cs="Calibri"/>
          <w:b/>
          <w:bCs/>
          <w:color w:val="000000" w:themeColor="text1"/>
        </w:rPr>
      </w:pPr>
    </w:p>
    <w:p w14:paraId="085BD699" w14:textId="77777777" w:rsidR="00F44300" w:rsidRPr="005627BC" w:rsidRDefault="00F44300"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What the Law Does</w:t>
      </w:r>
    </w:p>
    <w:p w14:paraId="46446401" w14:textId="77777777" w:rsidR="00F44300" w:rsidRPr="001440C1"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Title I of ADA confers certain rights on individuals regarding disabilities. It makes it unlawful to discriminate in employment against a qualified individual with a disability.</w:t>
      </w:r>
      <w:r w:rsidRPr="005627BC">
        <w:rPr>
          <w:rFonts w:ascii="Calibri" w:eastAsia="Times New Roman" w:hAnsi="Calibri" w:cs="Calibri"/>
          <w:color w:val="000000" w:themeColor="text1"/>
          <w:bdr w:val="none" w:sz="0" w:space="0" w:color="auto" w:frame="1"/>
          <w:vertAlign w:val="superscript"/>
        </w:rPr>
        <w:t>3</w:t>
      </w:r>
      <w:r w:rsidRPr="005627BC">
        <w:rPr>
          <w:rFonts w:ascii="Calibri" w:eastAsia="Times New Roman" w:hAnsi="Calibri" w:cs="Calibri"/>
          <w:color w:val="000000" w:themeColor="text1"/>
        </w:rPr>
        <w:t> Title I also makes it unlawful to discriminate against an individual, whether disabled or not, because of a relationship or association with an individual with a known disability.</w:t>
      </w:r>
      <w:r w:rsidRPr="005627BC">
        <w:rPr>
          <w:rFonts w:ascii="Calibri" w:eastAsia="Times New Roman" w:hAnsi="Calibri" w:cs="Calibri"/>
          <w:color w:val="000000" w:themeColor="text1"/>
          <w:bdr w:val="none" w:sz="0" w:space="0" w:color="auto" w:frame="1"/>
          <w:vertAlign w:val="superscript"/>
        </w:rPr>
        <w:t>4</w:t>
      </w:r>
      <w:r w:rsidRPr="005627BC">
        <w:rPr>
          <w:rFonts w:ascii="Calibri" w:eastAsia="Times New Roman" w:hAnsi="Calibri" w:cs="Calibri"/>
          <w:color w:val="000000" w:themeColor="text1"/>
        </w:rPr>
        <w:t> This means that it is illegal for an employer to discriminate against an employee because his or her spouse is disabled.</w:t>
      </w:r>
    </w:p>
    <w:p w14:paraId="48BD4B96"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p>
    <w:p w14:paraId="21098F70"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To protect job applicants and employees from discrimination, ADA restricts questions that an employer may ask individuals about medical problems or disabilities, and restricts requests for medical examinations.</w:t>
      </w:r>
      <w:r w:rsidRPr="005627BC">
        <w:rPr>
          <w:rFonts w:ascii="Calibri" w:eastAsia="Times New Roman" w:hAnsi="Calibri" w:cs="Calibri"/>
          <w:color w:val="000000" w:themeColor="text1"/>
          <w:bdr w:val="none" w:sz="0" w:space="0" w:color="auto" w:frame="1"/>
          <w:vertAlign w:val="superscript"/>
        </w:rPr>
        <w:t>5</w:t>
      </w:r>
      <w:r w:rsidRPr="005627BC">
        <w:rPr>
          <w:rFonts w:ascii="Calibri" w:eastAsia="Times New Roman" w:hAnsi="Calibri" w:cs="Calibri"/>
          <w:color w:val="000000" w:themeColor="text1"/>
        </w:rPr>
        <w:t xml:space="preserve"> These restrictions affect information that public health agencies and other employers may obtain related to their workforce when preparing for a public health emergency to ensure </w:t>
      </w:r>
      <w:r w:rsidRPr="005627BC">
        <w:rPr>
          <w:rFonts w:ascii="Calibri" w:eastAsia="Times New Roman" w:hAnsi="Calibri" w:cs="Calibri"/>
          <w:color w:val="000000" w:themeColor="text1"/>
        </w:rPr>
        <w:lastRenderedPageBreak/>
        <w:t>continuity of operations and effective response. Title II of ADA applies Title I's provisions to state and local governments by making it illegal for state and local governmental agencies to discriminate against individuals based on disability in state and local government programs and activities, including employment.</w:t>
      </w:r>
      <w:r w:rsidRPr="005627BC">
        <w:rPr>
          <w:rFonts w:ascii="Calibri" w:eastAsia="Times New Roman" w:hAnsi="Calibri" w:cs="Calibri"/>
          <w:color w:val="000000" w:themeColor="text1"/>
          <w:bdr w:val="none" w:sz="0" w:space="0" w:color="auto" w:frame="1"/>
          <w:vertAlign w:val="superscript"/>
        </w:rPr>
        <w:t>6</w:t>
      </w:r>
    </w:p>
    <w:p w14:paraId="06D07C48" w14:textId="77777777" w:rsidR="00F44300" w:rsidRPr="001440C1" w:rsidRDefault="00F44300" w:rsidP="0020369F">
      <w:pPr>
        <w:spacing w:line="480" w:lineRule="auto"/>
        <w:rPr>
          <w:rFonts w:ascii="Calibri" w:eastAsia="Times New Roman" w:hAnsi="Calibri" w:cs="Calibri"/>
          <w:b/>
          <w:bCs/>
          <w:color w:val="000000" w:themeColor="text1"/>
        </w:rPr>
      </w:pPr>
    </w:p>
    <w:p w14:paraId="073C794D" w14:textId="77777777" w:rsidR="00F44300" w:rsidRPr="005627BC" w:rsidRDefault="00F44300"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Liability and Enforcement</w:t>
      </w:r>
    </w:p>
    <w:p w14:paraId="360639B8" w14:textId="77777777" w:rsidR="00F44300" w:rsidRPr="005627BC" w:rsidRDefault="00F44300" w:rsidP="0020369F">
      <w:pPr>
        <w:shd w:val="clear" w:color="auto" w:fill="FFFFFF"/>
        <w:spacing w:after="225"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Under Title I of ADA, individuals who believe they have been discriminated against in employment based on their disability can file a charge with the Equal Employment Opportunity Commission (EEOC). EEOC will investigate and initially attempt to resolve the charge through conciliation. Remedies include hiring, promotion, reinstatement, back pay, and attorney's fees. Reasonable accommodation is also available as a remedy. Individuals may file a lawsuit in federal court only after they receive a "right to sue letter" from EEOC.</w:t>
      </w:r>
    </w:p>
    <w:p w14:paraId="27E10AE8"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The U.S. Department of Justice (DOJ) enforces Title II of ADA. DOJ may file lawsuits in federal court to enforce ADA and may obtain court orders, including compensatory damages and back pay, to remedy discrimination and civil penalties. Because ADA establishes overlapping responsibilities in EEOC and DOJ regarding state and local government employment, EEOC and DOJ coordinate the federal enforcement effort to avoid duplication in investigative and enforcement activities.</w:t>
      </w:r>
      <w:r w:rsidRPr="005627BC">
        <w:rPr>
          <w:rFonts w:ascii="Calibri" w:eastAsia="Times New Roman" w:hAnsi="Calibri" w:cs="Calibri"/>
          <w:color w:val="000000" w:themeColor="text1"/>
          <w:bdr w:val="none" w:sz="0" w:space="0" w:color="auto" w:frame="1"/>
          <w:vertAlign w:val="superscript"/>
        </w:rPr>
        <w:t>7</w:t>
      </w:r>
    </w:p>
    <w:p w14:paraId="7F6C2F8F" w14:textId="77777777" w:rsidR="00F44300" w:rsidRPr="001440C1" w:rsidRDefault="00F44300" w:rsidP="0020369F">
      <w:pPr>
        <w:spacing w:line="480" w:lineRule="auto"/>
        <w:rPr>
          <w:rFonts w:ascii="Calibri" w:eastAsia="Times New Roman" w:hAnsi="Calibri" w:cs="Calibri"/>
          <w:b/>
          <w:bCs/>
          <w:color w:val="000000" w:themeColor="text1"/>
        </w:rPr>
      </w:pPr>
    </w:p>
    <w:p w14:paraId="74697383" w14:textId="77777777" w:rsidR="00F44300" w:rsidRPr="005627BC" w:rsidRDefault="00F44300"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How the Law Works</w:t>
      </w:r>
    </w:p>
    <w:p w14:paraId="0C815E75"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ADA provides that no entity covered by the law shall discriminate against a qualified individual on the basis of disability in regard to job application procedures, hiring, advancement, or discharge of employees, employee compensation, job training and other terms, or conditions or privileges of employment.</w:t>
      </w:r>
      <w:r w:rsidRPr="005627BC">
        <w:rPr>
          <w:rFonts w:ascii="Calibri" w:eastAsia="Times New Roman" w:hAnsi="Calibri" w:cs="Calibri"/>
          <w:color w:val="000000" w:themeColor="text1"/>
          <w:bdr w:val="none" w:sz="0" w:space="0" w:color="auto" w:frame="1"/>
          <w:vertAlign w:val="superscript"/>
        </w:rPr>
        <w:t>8</w:t>
      </w:r>
      <w:r w:rsidRPr="005627BC">
        <w:rPr>
          <w:rFonts w:ascii="Calibri" w:eastAsia="Times New Roman" w:hAnsi="Calibri" w:cs="Calibri"/>
          <w:color w:val="000000" w:themeColor="text1"/>
        </w:rPr>
        <w:t> ADA applies to individuals who have a disability or have a relationship or association with someone with a disability.</w:t>
      </w:r>
      <w:r w:rsidRPr="005627BC">
        <w:rPr>
          <w:rFonts w:ascii="Calibri" w:eastAsia="Times New Roman" w:hAnsi="Calibri" w:cs="Calibri"/>
          <w:color w:val="000000" w:themeColor="text1"/>
          <w:bdr w:val="none" w:sz="0" w:space="0" w:color="auto" w:frame="1"/>
          <w:vertAlign w:val="superscript"/>
        </w:rPr>
        <w:t>9</w:t>
      </w:r>
    </w:p>
    <w:p w14:paraId="5A115757" w14:textId="77777777" w:rsidR="00F44300" w:rsidRPr="001440C1" w:rsidRDefault="00F44300"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66507E38"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Covered Entities</w:t>
      </w:r>
      <w:r w:rsidRPr="005627BC">
        <w:rPr>
          <w:rFonts w:ascii="Calibri" w:eastAsia="Times New Roman" w:hAnsi="Calibri" w:cs="Calibri"/>
          <w:color w:val="000000" w:themeColor="text1"/>
        </w:rPr>
        <w:t> - ADA applies to private employers with 15 or more employees, state and local government employers regardless of the number of employees,</w:t>
      </w:r>
      <w:r w:rsidRPr="005627BC">
        <w:rPr>
          <w:rFonts w:ascii="Calibri" w:eastAsia="Times New Roman" w:hAnsi="Calibri" w:cs="Calibri"/>
          <w:color w:val="000000" w:themeColor="text1"/>
          <w:bdr w:val="none" w:sz="0" w:space="0" w:color="auto" w:frame="1"/>
          <w:vertAlign w:val="superscript"/>
        </w:rPr>
        <w:t>10</w:t>
      </w:r>
      <w:r w:rsidRPr="005627BC">
        <w:rPr>
          <w:rFonts w:ascii="Calibri" w:eastAsia="Times New Roman" w:hAnsi="Calibri" w:cs="Calibri"/>
          <w:color w:val="000000" w:themeColor="text1"/>
        </w:rPr>
        <w:t> and Congress.</w:t>
      </w:r>
      <w:r w:rsidRPr="005627BC">
        <w:rPr>
          <w:rFonts w:ascii="Calibri" w:eastAsia="Times New Roman" w:hAnsi="Calibri" w:cs="Calibri"/>
          <w:color w:val="000000" w:themeColor="text1"/>
          <w:bdr w:val="none" w:sz="0" w:space="0" w:color="auto" w:frame="1"/>
          <w:vertAlign w:val="superscript"/>
        </w:rPr>
        <w:t>11</w:t>
      </w:r>
      <w:r w:rsidRPr="005627BC">
        <w:rPr>
          <w:rFonts w:ascii="Calibri" w:eastAsia="Times New Roman" w:hAnsi="Calibri" w:cs="Calibri"/>
          <w:color w:val="000000" w:themeColor="text1"/>
        </w:rPr>
        <w:t> Section 501 of the Rehabilitation Act provides the same protections for federal employees and applicants for federal employment in the executive branch.</w:t>
      </w:r>
    </w:p>
    <w:p w14:paraId="39070D7A" w14:textId="77777777" w:rsidR="00F44300" w:rsidRPr="001440C1" w:rsidRDefault="00F44300" w:rsidP="0020369F">
      <w:pPr>
        <w:shd w:val="clear" w:color="auto" w:fill="FFFFFF"/>
        <w:spacing w:line="480" w:lineRule="auto"/>
        <w:textAlignment w:val="baseline"/>
        <w:rPr>
          <w:rFonts w:ascii="Calibri" w:eastAsia="Times New Roman" w:hAnsi="Calibri" w:cs="Calibri"/>
          <w:b/>
          <w:bCs/>
          <w:i/>
          <w:iCs/>
          <w:color w:val="000000" w:themeColor="text1"/>
          <w:sz w:val="20"/>
          <w:szCs w:val="20"/>
          <w:bdr w:val="none" w:sz="0" w:space="0" w:color="auto" w:frame="1"/>
        </w:rPr>
      </w:pPr>
    </w:p>
    <w:p w14:paraId="5E9CC0B5"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szCs w:val="20"/>
          <w:bdr w:val="none" w:sz="0" w:space="0" w:color="auto" w:frame="1"/>
        </w:rPr>
        <w:t>Q</w:t>
      </w:r>
      <w:r w:rsidRPr="005627BC">
        <w:rPr>
          <w:rFonts w:ascii="Calibri" w:eastAsia="Times New Roman" w:hAnsi="Calibri" w:cs="Calibri"/>
          <w:b/>
          <w:bCs/>
          <w:i/>
          <w:iCs/>
          <w:color w:val="000000" w:themeColor="text1"/>
          <w:bdr w:val="none" w:sz="0" w:space="0" w:color="auto" w:frame="1"/>
        </w:rPr>
        <w:t>ualified Individual</w:t>
      </w:r>
      <w:r w:rsidRPr="005627BC">
        <w:rPr>
          <w:rFonts w:ascii="Calibri" w:eastAsia="Times New Roman" w:hAnsi="Calibri" w:cs="Calibri"/>
          <w:color w:val="000000" w:themeColor="text1"/>
        </w:rPr>
        <w:t> - A qualified individual with a disability is a person who meets legitimate skill, experience, education, or other requirements of an employment position that he or she holds or seeks, and who can perform the essential functions of the position with or without reasonable accommodation.</w:t>
      </w:r>
      <w:r w:rsidRPr="005627BC">
        <w:rPr>
          <w:rFonts w:ascii="Calibri" w:eastAsia="Times New Roman" w:hAnsi="Calibri" w:cs="Calibri"/>
          <w:color w:val="000000" w:themeColor="text1"/>
          <w:bdr w:val="none" w:sz="0" w:space="0" w:color="auto" w:frame="1"/>
          <w:vertAlign w:val="superscript"/>
        </w:rPr>
        <w:t>12</w:t>
      </w:r>
    </w:p>
    <w:p w14:paraId="3E99D338" w14:textId="77777777" w:rsidR="00F44300" w:rsidRPr="001440C1" w:rsidRDefault="00F44300"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2E48E1AA" w14:textId="77777777" w:rsidR="00F44300" w:rsidRPr="001440C1"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Disability</w:t>
      </w:r>
      <w:r w:rsidRPr="005627BC">
        <w:rPr>
          <w:rFonts w:ascii="Calibri" w:eastAsia="Times New Roman" w:hAnsi="Calibri" w:cs="Calibri"/>
          <w:color w:val="000000" w:themeColor="text1"/>
        </w:rPr>
        <w:t> - An individual with a disability is a person who has a physical or mental impairment that substantially limits one or more major life activities, a person who has a history or record of such impairment, or a person who is perceived by others as having such impairment.</w:t>
      </w:r>
      <w:r w:rsidRPr="005627BC">
        <w:rPr>
          <w:rFonts w:ascii="Calibri" w:eastAsia="Times New Roman" w:hAnsi="Calibri" w:cs="Calibri"/>
          <w:color w:val="000000" w:themeColor="text1"/>
          <w:bdr w:val="none" w:sz="0" w:space="0" w:color="auto" w:frame="1"/>
          <w:vertAlign w:val="superscript"/>
        </w:rPr>
        <w:t>13</w:t>
      </w:r>
      <w:r w:rsidRPr="005627BC">
        <w:rPr>
          <w:rFonts w:ascii="Calibri" w:eastAsia="Times New Roman" w:hAnsi="Calibri" w:cs="Calibri"/>
          <w:color w:val="000000" w:themeColor="text1"/>
        </w:rPr>
        <w:t xml:space="preserve"> The determination of whether any particular condition is </w:t>
      </w:r>
    </w:p>
    <w:p w14:paraId="3D05F3D3"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considered a disability is made on a case-by-case basis. Impairments from minor illness, such as the common cold or seasonal influenza, that last only for a short period of time are typically not covered by ADA. Whether pandemic influenza is covered would depend on its severity and duration.</w:t>
      </w:r>
      <w:r w:rsidRPr="005627BC">
        <w:rPr>
          <w:rFonts w:ascii="Calibri" w:eastAsia="Times New Roman" w:hAnsi="Calibri" w:cs="Calibri"/>
          <w:color w:val="000000" w:themeColor="text1"/>
          <w:bdr w:val="none" w:sz="0" w:space="0" w:color="auto" w:frame="1"/>
          <w:vertAlign w:val="superscript"/>
        </w:rPr>
        <w:t>14</w:t>
      </w:r>
    </w:p>
    <w:p w14:paraId="2867C0EB" w14:textId="77777777" w:rsidR="00F44300" w:rsidRPr="001440C1" w:rsidRDefault="00F44300"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2F60B3FD" w14:textId="77777777" w:rsidR="00F44300" w:rsidRPr="005627BC" w:rsidRDefault="00F44300" w:rsidP="0020369F">
      <w:pPr>
        <w:shd w:val="clear" w:color="auto" w:fill="FFFFFF"/>
        <w:spacing w:after="120"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Restricted Activities</w:t>
      </w:r>
      <w:r w:rsidRPr="005627BC">
        <w:rPr>
          <w:rFonts w:ascii="Calibri" w:eastAsia="Times New Roman" w:hAnsi="Calibri" w:cs="Calibri"/>
          <w:color w:val="000000" w:themeColor="text1"/>
        </w:rPr>
        <w:t> - Employers may not ask about the existence, nature, or severity of a disability, except as follows:</w:t>
      </w:r>
    </w:p>
    <w:p w14:paraId="2BE5C8BA" w14:textId="77777777" w:rsidR="00F44300" w:rsidRPr="001440C1" w:rsidRDefault="00F44300" w:rsidP="00F44300">
      <w:pPr>
        <w:numPr>
          <w:ilvl w:val="0"/>
          <w:numId w:val="16"/>
        </w:numPr>
        <w:spacing w:after="120" w:line="480" w:lineRule="auto"/>
        <w:textAlignment w:val="baseline"/>
        <w:rPr>
          <w:rFonts w:ascii="Calibri" w:eastAsia="Times New Roman" w:hAnsi="Calibri" w:cs="Calibri"/>
          <w:color w:val="000000" w:themeColor="text1"/>
        </w:rPr>
      </w:pPr>
      <w:r w:rsidRPr="001440C1">
        <w:rPr>
          <w:rFonts w:ascii="Calibri" w:eastAsia="Times New Roman" w:hAnsi="Calibri" w:cs="Calibri"/>
          <w:color w:val="000000" w:themeColor="text1"/>
        </w:rPr>
        <w:t>Before a conditional offer of employment, ADA prohibits disability-related inquiries and medical examination. However, the employer is permitted to ask a job applicant whether they can perform the job and how they would perform the job.</w:t>
      </w:r>
      <w:r w:rsidRPr="001440C1">
        <w:rPr>
          <w:rFonts w:ascii="Calibri" w:eastAsia="Times New Roman" w:hAnsi="Calibri" w:cs="Calibri"/>
          <w:color w:val="000000" w:themeColor="text1"/>
          <w:bdr w:val="none" w:sz="0" w:space="0" w:color="auto" w:frame="1"/>
          <w:vertAlign w:val="superscript"/>
        </w:rPr>
        <w:t>15</w:t>
      </w:r>
    </w:p>
    <w:p w14:paraId="29525CEA" w14:textId="77777777" w:rsidR="00F44300" w:rsidRPr="001440C1" w:rsidRDefault="00F44300" w:rsidP="00F44300">
      <w:pPr>
        <w:numPr>
          <w:ilvl w:val="0"/>
          <w:numId w:val="16"/>
        </w:numPr>
        <w:spacing w:after="120" w:line="480" w:lineRule="auto"/>
        <w:textAlignment w:val="baseline"/>
        <w:rPr>
          <w:rFonts w:ascii="Calibri" w:eastAsia="Times New Roman" w:hAnsi="Calibri" w:cs="Calibri"/>
          <w:color w:val="000000" w:themeColor="text1"/>
        </w:rPr>
      </w:pPr>
      <w:r w:rsidRPr="001440C1">
        <w:rPr>
          <w:rFonts w:ascii="Calibri" w:eastAsia="Times New Roman" w:hAnsi="Calibri" w:cs="Calibri"/>
          <w:color w:val="000000" w:themeColor="text1"/>
        </w:rPr>
        <w:lastRenderedPageBreak/>
        <w:t>After a conditional offer of employment, but before an individual begins working, ADA permits disability-related inquiries and medical examinations if all entering employees in the same job category are subject to the same inquiries and examinations regardless of disability.</w:t>
      </w:r>
      <w:r w:rsidRPr="001440C1">
        <w:rPr>
          <w:rFonts w:ascii="Calibri" w:eastAsia="Times New Roman" w:hAnsi="Calibri" w:cs="Calibri"/>
          <w:color w:val="000000" w:themeColor="text1"/>
          <w:bdr w:val="none" w:sz="0" w:space="0" w:color="auto" w:frame="1"/>
          <w:vertAlign w:val="superscript"/>
        </w:rPr>
        <w:t>16</w:t>
      </w:r>
      <w:r w:rsidRPr="001440C1">
        <w:rPr>
          <w:rFonts w:ascii="Calibri" w:eastAsia="Times New Roman" w:hAnsi="Calibri" w:cs="Calibri"/>
          <w:color w:val="000000" w:themeColor="text1"/>
        </w:rPr>
        <w:t> However, if certain criteria are used to screen out an employee or employees with disabilities as a result of such an examination or inquiry, the exclusionary criteria must be job-related and consistent with business necessity, and performance of the essential job functions cannot be accomplished with reasonable accommodation.</w:t>
      </w:r>
    </w:p>
    <w:p w14:paraId="57C35293" w14:textId="77777777" w:rsidR="00F44300" w:rsidRPr="001440C1" w:rsidRDefault="00F44300" w:rsidP="00F44300">
      <w:pPr>
        <w:numPr>
          <w:ilvl w:val="0"/>
          <w:numId w:val="16"/>
        </w:numPr>
        <w:spacing w:after="120" w:line="480" w:lineRule="auto"/>
        <w:textAlignment w:val="baseline"/>
        <w:rPr>
          <w:rFonts w:ascii="Calibri" w:eastAsia="Times New Roman" w:hAnsi="Calibri" w:cs="Calibri"/>
          <w:color w:val="000000" w:themeColor="text1"/>
        </w:rPr>
      </w:pPr>
      <w:r w:rsidRPr="001440C1">
        <w:rPr>
          <w:rFonts w:ascii="Calibri" w:eastAsia="Times New Roman" w:hAnsi="Calibri" w:cs="Calibri"/>
          <w:color w:val="000000" w:themeColor="text1"/>
        </w:rPr>
        <w:t>During employment, an employer generally can only ask medical questions or require a medical exam if the employer needs medical documentation to support an employee's request for accommodation or if the employer has reason to believe an employee would not be able to perform a job successfully or safely because of a medical condition.</w:t>
      </w:r>
      <w:r w:rsidRPr="001440C1">
        <w:rPr>
          <w:rFonts w:ascii="Calibri" w:eastAsia="Times New Roman" w:hAnsi="Calibri" w:cs="Calibri"/>
          <w:color w:val="000000" w:themeColor="text1"/>
          <w:bdr w:val="none" w:sz="0" w:space="0" w:color="auto" w:frame="1"/>
          <w:vertAlign w:val="superscript"/>
        </w:rPr>
        <w:t>17</w:t>
      </w:r>
      <w:r w:rsidRPr="001440C1">
        <w:rPr>
          <w:rFonts w:ascii="Calibri" w:eastAsia="Times New Roman" w:hAnsi="Calibri" w:cs="Calibri"/>
          <w:color w:val="000000" w:themeColor="text1"/>
        </w:rPr>
        <w:t> Generally, the employer must have a reasonable belief, based on objective evidence, that an employee's ability to perform essential job functions will be impaired by a medical condition or an employee will pose a direct threat due to a medical condition.</w:t>
      </w:r>
    </w:p>
    <w:p w14:paraId="7B43BBDF" w14:textId="77777777" w:rsidR="00F44300" w:rsidRPr="001440C1" w:rsidRDefault="00F44300"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708B5E7B"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t>Permitted Activities</w:t>
      </w:r>
      <w:r w:rsidRPr="005627BC">
        <w:rPr>
          <w:rFonts w:ascii="Calibri" w:eastAsia="Times New Roman" w:hAnsi="Calibri" w:cs="Calibri"/>
          <w:color w:val="000000" w:themeColor="text1"/>
        </w:rPr>
        <w:t> - Employers are allowed to: obtain health-related information as required to comply with federal workplace safety and health laws, or state and local workplace safety and health laws to the extent that state and local laws are consistent with ADA;</w:t>
      </w:r>
      <w:r w:rsidRPr="005627BC">
        <w:rPr>
          <w:rFonts w:ascii="Calibri" w:eastAsia="Times New Roman" w:hAnsi="Calibri" w:cs="Calibri"/>
          <w:color w:val="000000" w:themeColor="text1"/>
          <w:bdr w:val="none" w:sz="0" w:space="0" w:color="auto" w:frame="1"/>
          <w:vertAlign w:val="superscript"/>
        </w:rPr>
        <w:t>18</w:t>
      </w:r>
      <w:r w:rsidRPr="005627BC">
        <w:rPr>
          <w:rFonts w:ascii="Calibri" w:eastAsia="Times New Roman" w:hAnsi="Calibri" w:cs="Calibri"/>
          <w:color w:val="000000" w:themeColor="text1"/>
        </w:rPr>
        <w:t> ask employees to self-identify whether they will require assistance in the event of an evacuation and, if so, what type of assistance they would need;</w:t>
      </w:r>
      <w:r w:rsidRPr="005627BC">
        <w:rPr>
          <w:rFonts w:ascii="Calibri" w:eastAsia="Times New Roman" w:hAnsi="Calibri" w:cs="Calibri"/>
          <w:color w:val="000000" w:themeColor="text1"/>
          <w:bdr w:val="none" w:sz="0" w:space="0" w:color="auto" w:frame="1"/>
          <w:vertAlign w:val="superscript"/>
        </w:rPr>
        <w:t>19</w:t>
      </w:r>
      <w:r w:rsidRPr="005627BC">
        <w:rPr>
          <w:rFonts w:ascii="Calibri" w:eastAsia="Times New Roman" w:hAnsi="Calibri" w:cs="Calibri"/>
          <w:color w:val="000000" w:themeColor="text1"/>
        </w:rPr>
        <w:t> and survey all employees about potential absences during a pandemic or other emergency (e.g. because of child care, transportation, disability, or other reasons), without requesting the employee to disclose the specific reason.</w:t>
      </w:r>
      <w:r w:rsidRPr="005627BC">
        <w:rPr>
          <w:rFonts w:ascii="Calibri" w:eastAsia="Times New Roman" w:hAnsi="Calibri" w:cs="Calibri"/>
          <w:color w:val="000000" w:themeColor="text1"/>
          <w:bdr w:val="none" w:sz="0" w:space="0" w:color="auto" w:frame="1"/>
          <w:vertAlign w:val="superscript"/>
        </w:rPr>
        <w:t>20</w:t>
      </w:r>
    </w:p>
    <w:p w14:paraId="2DB49A48" w14:textId="77777777" w:rsidR="00F44300" w:rsidRPr="001440C1" w:rsidRDefault="00F44300" w:rsidP="0020369F">
      <w:pPr>
        <w:shd w:val="clear" w:color="auto" w:fill="FFFFFF"/>
        <w:spacing w:line="480" w:lineRule="auto"/>
        <w:textAlignment w:val="baseline"/>
        <w:rPr>
          <w:rFonts w:ascii="Calibri" w:eastAsia="Times New Roman" w:hAnsi="Calibri" w:cs="Calibri"/>
          <w:b/>
          <w:bCs/>
          <w:i/>
          <w:iCs/>
          <w:color w:val="000000" w:themeColor="text1"/>
          <w:bdr w:val="none" w:sz="0" w:space="0" w:color="auto" w:frame="1"/>
        </w:rPr>
      </w:pPr>
    </w:p>
    <w:p w14:paraId="048F90E7"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b/>
          <w:bCs/>
          <w:i/>
          <w:iCs/>
          <w:color w:val="000000" w:themeColor="text1"/>
          <w:bdr w:val="none" w:sz="0" w:space="0" w:color="auto" w:frame="1"/>
        </w:rPr>
        <w:lastRenderedPageBreak/>
        <w:t>Reasonable Accommodation</w:t>
      </w:r>
      <w:r w:rsidRPr="005627BC">
        <w:rPr>
          <w:rFonts w:ascii="Calibri" w:eastAsia="Times New Roman" w:hAnsi="Calibri" w:cs="Calibri"/>
          <w:color w:val="000000" w:themeColor="text1"/>
        </w:rPr>
        <w:t> - ADA requires that employers make reasonable accommodation to the known physical or mental limitations of otherwise qualified individuals with disabilities, unless it results in undue hardship.</w:t>
      </w:r>
      <w:r w:rsidRPr="005627BC">
        <w:rPr>
          <w:rFonts w:ascii="Calibri" w:eastAsia="Times New Roman" w:hAnsi="Calibri" w:cs="Calibri"/>
          <w:color w:val="000000" w:themeColor="text1"/>
          <w:bdr w:val="none" w:sz="0" w:space="0" w:color="auto" w:frame="1"/>
          <w:vertAlign w:val="superscript"/>
        </w:rPr>
        <w:t>21 </w:t>
      </w:r>
      <w:r w:rsidRPr="005627BC">
        <w:rPr>
          <w:rFonts w:ascii="Calibri" w:eastAsia="Times New Roman" w:hAnsi="Calibri" w:cs="Calibri"/>
          <w:color w:val="000000" w:themeColor="text1"/>
        </w:rPr>
        <w:t>During a pandemic, reasonable accommodation may include telework, modified work schedules, and infection control strategies.</w:t>
      </w:r>
    </w:p>
    <w:p w14:paraId="12B6B21B" w14:textId="77777777" w:rsidR="00F44300" w:rsidRPr="001440C1" w:rsidRDefault="00F44300" w:rsidP="0020369F">
      <w:pPr>
        <w:spacing w:line="480" w:lineRule="auto"/>
        <w:rPr>
          <w:rFonts w:ascii="Calibri" w:eastAsia="Times New Roman" w:hAnsi="Calibri" w:cs="Calibri"/>
          <w:b/>
          <w:bCs/>
          <w:color w:val="000000" w:themeColor="text1"/>
        </w:rPr>
      </w:pPr>
    </w:p>
    <w:p w14:paraId="05DB7487" w14:textId="77777777" w:rsidR="00F44300" w:rsidRPr="005627BC" w:rsidRDefault="00F44300" w:rsidP="0020369F">
      <w:pPr>
        <w:spacing w:line="480" w:lineRule="auto"/>
        <w:rPr>
          <w:rFonts w:ascii="Calibri" w:eastAsia="Times New Roman" w:hAnsi="Calibri" w:cs="Calibri"/>
          <w:b/>
          <w:bCs/>
          <w:color w:val="000000" w:themeColor="text1"/>
        </w:rPr>
      </w:pPr>
      <w:r w:rsidRPr="005627BC">
        <w:rPr>
          <w:rFonts w:ascii="Calibri" w:eastAsia="Times New Roman" w:hAnsi="Calibri" w:cs="Calibri"/>
          <w:b/>
          <w:bCs/>
          <w:color w:val="000000" w:themeColor="text1"/>
        </w:rPr>
        <w:t>How the Law Affects States</w:t>
      </w:r>
    </w:p>
    <w:p w14:paraId="4F1213CB"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As employers, state and local governments must comply with ADA </w:t>
      </w:r>
      <w:proofErr w:type="gramStart"/>
      <w:r w:rsidRPr="005627BC">
        <w:rPr>
          <w:rFonts w:ascii="Calibri" w:eastAsia="Times New Roman" w:hAnsi="Calibri" w:cs="Calibri"/>
          <w:color w:val="000000" w:themeColor="text1"/>
        </w:rPr>
        <w:t>whether or not</w:t>
      </w:r>
      <w:proofErr w:type="gramEnd"/>
      <w:r w:rsidRPr="005627BC">
        <w:rPr>
          <w:rFonts w:ascii="Calibri" w:eastAsia="Times New Roman" w:hAnsi="Calibri" w:cs="Calibri"/>
          <w:color w:val="000000" w:themeColor="text1"/>
        </w:rPr>
        <w:t xml:space="preserve"> an emergency exists. ADA prohibits requests for medical examinations or disability-related inquiries absent an exception. An exception exists if an examination or inquiry is shown to be job-related and consistent with business necessity.</w:t>
      </w:r>
      <w:r w:rsidRPr="005627BC">
        <w:rPr>
          <w:rFonts w:ascii="Calibri" w:eastAsia="Times New Roman" w:hAnsi="Calibri" w:cs="Calibri"/>
          <w:color w:val="000000" w:themeColor="text1"/>
          <w:bdr w:val="none" w:sz="0" w:space="0" w:color="auto" w:frame="1"/>
          <w:vertAlign w:val="superscript"/>
        </w:rPr>
        <w:t>22</w:t>
      </w:r>
      <w:r w:rsidRPr="005627BC">
        <w:rPr>
          <w:rFonts w:ascii="Calibri" w:eastAsia="Times New Roman" w:hAnsi="Calibri" w:cs="Calibri"/>
          <w:color w:val="000000" w:themeColor="text1"/>
        </w:rPr>
        <w:t> This means that, generally, an employer may only obtain medical information where the employer reasonably believes an employee will be unable to perform the job or will pose a direct threat to him or herself or others, due to a medical condition. Medical information sought must be limited in scope to only information which is relevant to the inquiry. ADA's provisions limiting employment inquiries apply to all applicants and employees of covered employers, regardless of whether those individuals have disabilities.</w:t>
      </w:r>
      <w:r w:rsidRPr="005627BC">
        <w:rPr>
          <w:rFonts w:ascii="Calibri" w:eastAsia="Times New Roman" w:hAnsi="Calibri" w:cs="Calibri"/>
          <w:color w:val="000000" w:themeColor="text1"/>
          <w:bdr w:val="none" w:sz="0" w:space="0" w:color="auto" w:frame="1"/>
          <w:vertAlign w:val="superscript"/>
        </w:rPr>
        <w:t>23</w:t>
      </w:r>
    </w:p>
    <w:p w14:paraId="038E27CB" w14:textId="77777777" w:rsidR="00F44300" w:rsidRPr="001440C1" w:rsidRDefault="00F44300" w:rsidP="0020369F">
      <w:pPr>
        <w:spacing w:line="480" w:lineRule="auto"/>
        <w:rPr>
          <w:rFonts w:ascii="Calibri" w:eastAsia="Times New Roman" w:hAnsi="Calibri" w:cs="Calibri"/>
          <w:b/>
          <w:bCs/>
          <w:color w:val="000000" w:themeColor="text1"/>
          <w:szCs w:val="20"/>
        </w:rPr>
      </w:pPr>
    </w:p>
    <w:p w14:paraId="7F995070" w14:textId="77777777" w:rsidR="00F44300" w:rsidRPr="005627BC" w:rsidRDefault="00F44300" w:rsidP="0020369F">
      <w:pPr>
        <w:spacing w:line="480" w:lineRule="auto"/>
        <w:rPr>
          <w:rFonts w:ascii="Calibri" w:eastAsia="Times New Roman" w:hAnsi="Calibri" w:cs="Calibri"/>
          <w:b/>
          <w:bCs/>
          <w:color w:val="000000" w:themeColor="text1"/>
          <w:szCs w:val="20"/>
        </w:rPr>
      </w:pPr>
      <w:r w:rsidRPr="005627BC">
        <w:rPr>
          <w:rFonts w:ascii="Calibri" w:eastAsia="Times New Roman" w:hAnsi="Calibri" w:cs="Calibri"/>
          <w:b/>
          <w:bCs/>
          <w:color w:val="000000" w:themeColor="text1"/>
          <w:szCs w:val="20"/>
        </w:rPr>
        <w:t>Disclosure of Employee Health Information under ADA</w:t>
      </w:r>
    </w:p>
    <w:p w14:paraId="37AFD3A5"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szCs w:val="20"/>
        </w:rPr>
      </w:pPr>
      <w:r w:rsidRPr="005627BC">
        <w:rPr>
          <w:rFonts w:ascii="Calibri" w:eastAsia="Times New Roman" w:hAnsi="Calibri" w:cs="Calibri"/>
          <w:color w:val="000000" w:themeColor="text1"/>
          <w:szCs w:val="20"/>
        </w:rPr>
        <w:t>ADA requires that information obtained by an employer about an applicant's or employee's medical condition or history must be collected on separate forms, kept in separate medical files, and be treated as a confidential medical record.</w:t>
      </w:r>
      <w:r w:rsidRPr="005627BC">
        <w:rPr>
          <w:rFonts w:ascii="Calibri" w:eastAsia="Times New Roman" w:hAnsi="Calibri" w:cs="Calibri"/>
          <w:color w:val="000000" w:themeColor="text1"/>
          <w:sz w:val="16"/>
          <w:szCs w:val="14"/>
          <w:bdr w:val="none" w:sz="0" w:space="0" w:color="auto" w:frame="1"/>
          <w:vertAlign w:val="superscript"/>
        </w:rPr>
        <w:t>24</w:t>
      </w:r>
      <w:r w:rsidRPr="005627BC">
        <w:rPr>
          <w:rFonts w:ascii="Calibri" w:eastAsia="Times New Roman" w:hAnsi="Calibri" w:cs="Calibri"/>
          <w:color w:val="000000" w:themeColor="text1"/>
          <w:szCs w:val="20"/>
        </w:rPr>
        <w:t xml:space="preserve">Supervisors and managers may be informed regarding necessary restrictions on the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shall be provided with relevant information on </w:t>
      </w:r>
      <w:r w:rsidRPr="005627BC">
        <w:rPr>
          <w:rFonts w:ascii="Calibri" w:eastAsia="Times New Roman" w:hAnsi="Calibri" w:cs="Calibri"/>
          <w:color w:val="000000" w:themeColor="text1"/>
          <w:szCs w:val="20"/>
        </w:rPr>
        <w:lastRenderedPageBreak/>
        <w:t>request.</w:t>
      </w:r>
      <w:r w:rsidRPr="005627BC">
        <w:rPr>
          <w:rFonts w:ascii="Calibri" w:eastAsia="Times New Roman" w:hAnsi="Calibri" w:cs="Calibri"/>
          <w:color w:val="000000" w:themeColor="text1"/>
          <w:sz w:val="16"/>
          <w:szCs w:val="14"/>
          <w:bdr w:val="none" w:sz="0" w:space="0" w:color="auto" w:frame="1"/>
          <w:vertAlign w:val="superscript"/>
        </w:rPr>
        <w:t>25</w:t>
      </w:r>
      <w:r w:rsidRPr="005627BC">
        <w:rPr>
          <w:rFonts w:ascii="Calibri" w:eastAsia="Times New Roman" w:hAnsi="Calibri" w:cs="Calibri"/>
          <w:color w:val="000000" w:themeColor="text1"/>
          <w:szCs w:val="20"/>
        </w:rPr>
        <w:br/>
      </w:r>
      <w:r w:rsidRPr="005627BC">
        <w:rPr>
          <w:rFonts w:ascii="Calibri" w:eastAsia="Times New Roman" w:hAnsi="Calibri" w:cs="Calibri"/>
          <w:color w:val="000000" w:themeColor="text1"/>
          <w:szCs w:val="20"/>
        </w:rPr>
        <w:br/>
        <w:t>During a public health emergency, information regarding an employee's status may be released so long as that information does not disclose confidential medical information about the employee. For example, a public health agency could communicate, for the purpose of service continuity, that an employee is not currently at work and that the employee may be out of the office for several weeks, but the agency cannot disclose information about the nature of an employee's illness or injury. These confidentiality provisions would extend to media requests or other requests for information from outside entities. A public health agency must use care to safeguard the confidentiality of employee health information in order to fully comply with ADA.</w:t>
      </w:r>
    </w:p>
    <w:p w14:paraId="6F573DA0" w14:textId="77777777" w:rsidR="00F44300" w:rsidRPr="001440C1" w:rsidRDefault="00F44300" w:rsidP="0020369F">
      <w:pPr>
        <w:spacing w:line="480" w:lineRule="auto"/>
        <w:rPr>
          <w:rFonts w:ascii="Calibri" w:eastAsia="Times New Roman" w:hAnsi="Calibri" w:cs="Calibri"/>
          <w:b/>
          <w:bCs/>
          <w:color w:val="000000" w:themeColor="text1"/>
          <w:szCs w:val="24"/>
        </w:rPr>
      </w:pPr>
    </w:p>
    <w:p w14:paraId="00E4176B" w14:textId="77777777" w:rsidR="00F44300" w:rsidRPr="005627BC" w:rsidRDefault="00F44300" w:rsidP="0020369F">
      <w:pPr>
        <w:shd w:val="clear" w:color="auto" w:fill="FFFFFF"/>
        <w:spacing w:line="480" w:lineRule="auto"/>
        <w:textAlignment w:val="baseline"/>
        <w:rPr>
          <w:rFonts w:ascii="Calibri" w:eastAsia="Times New Roman" w:hAnsi="Calibri" w:cs="Calibri"/>
          <w:color w:val="000000" w:themeColor="text1"/>
          <w:szCs w:val="20"/>
        </w:rPr>
      </w:pPr>
      <w:r w:rsidRPr="005627BC">
        <w:rPr>
          <w:rFonts w:ascii="Calibri" w:eastAsia="Times New Roman" w:hAnsi="Calibri" w:cs="Calibri"/>
          <w:b/>
          <w:bCs/>
          <w:i/>
          <w:iCs/>
          <w:color w:val="000000" w:themeColor="text1"/>
          <w:szCs w:val="20"/>
          <w:bdr w:val="none" w:sz="0" w:space="0" w:color="auto" w:frame="1"/>
        </w:rPr>
        <w:t>Practice Notes</w:t>
      </w:r>
    </w:p>
    <w:p w14:paraId="496313C0" w14:textId="77777777" w:rsidR="00F44300" w:rsidRPr="001440C1" w:rsidRDefault="00F44300" w:rsidP="00F44300">
      <w:pPr>
        <w:numPr>
          <w:ilvl w:val="0"/>
          <w:numId w:val="17"/>
        </w:numPr>
        <w:spacing w:after="120" w:line="480" w:lineRule="auto"/>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Appoint a coordinator for workforce planning and continuity who is familiar with employment related laws and human resources policies and procedures.</w:t>
      </w:r>
    </w:p>
    <w:p w14:paraId="78F98936" w14:textId="77777777" w:rsidR="00F44300" w:rsidRPr="001440C1" w:rsidRDefault="00F44300" w:rsidP="00F44300">
      <w:pPr>
        <w:numPr>
          <w:ilvl w:val="0"/>
          <w:numId w:val="17"/>
        </w:numPr>
        <w:spacing w:after="120" w:line="480" w:lineRule="auto"/>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Identify information needed to protect workers and provide continuity of operations.</w:t>
      </w:r>
    </w:p>
    <w:p w14:paraId="1811C778" w14:textId="77777777" w:rsidR="00F44300" w:rsidRPr="001440C1" w:rsidRDefault="00F44300" w:rsidP="00F44300">
      <w:pPr>
        <w:numPr>
          <w:ilvl w:val="0"/>
          <w:numId w:val="17"/>
        </w:numPr>
        <w:spacing w:after="120" w:line="480" w:lineRule="auto"/>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Determine if the information is covered by laws that affect employees or their privacy, such as ADA, occupational safety and health laws, data practices or privacy laws, or other federal and state laws.</w:t>
      </w:r>
    </w:p>
    <w:p w14:paraId="7D1DFAF7" w14:textId="77777777" w:rsidR="00F44300" w:rsidRPr="001440C1" w:rsidRDefault="00F44300" w:rsidP="00F44300">
      <w:pPr>
        <w:numPr>
          <w:ilvl w:val="0"/>
          <w:numId w:val="17"/>
        </w:numPr>
        <w:spacing w:after="120" w:line="480" w:lineRule="auto"/>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If covered by ADA, identify information that may be collected for emergency preparedness and response consistent with ADA.</w:t>
      </w:r>
    </w:p>
    <w:p w14:paraId="0231D4AA" w14:textId="77777777" w:rsidR="00F44300" w:rsidRPr="001440C1" w:rsidRDefault="00F44300" w:rsidP="00F44300">
      <w:pPr>
        <w:numPr>
          <w:ilvl w:val="0"/>
          <w:numId w:val="17"/>
        </w:numPr>
        <w:spacing w:after="120" w:line="480" w:lineRule="auto"/>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Protect the confidentiality of identifiable employee information; determine what information may be shared under ADA and with whom.</w:t>
      </w:r>
    </w:p>
    <w:p w14:paraId="4CB825D8" w14:textId="77777777" w:rsidR="00F44300" w:rsidRPr="001440C1" w:rsidRDefault="00F44300" w:rsidP="00F44300">
      <w:pPr>
        <w:numPr>
          <w:ilvl w:val="0"/>
          <w:numId w:val="17"/>
        </w:numPr>
        <w:spacing w:after="120" w:line="480" w:lineRule="auto"/>
        <w:textAlignment w:val="baseline"/>
        <w:rPr>
          <w:rFonts w:ascii="Calibri" w:eastAsia="Times New Roman" w:hAnsi="Calibri" w:cs="Calibri"/>
          <w:color w:val="000000" w:themeColor="text1"/>
          <w:szCs w:val="20"/>
        </w:rPr>
      </w:pPr>
      <w:r w:rsidRPr="001440C1">
        <w:rPr>
          <w:rFonts w:ascii="Calibri" w:eastAsia="Times New Roman" w:hAnsi="Calibri" w:cs="Calibri"/>
          <w:color w:val="000000" w:themeColor="text1"/>
          <w:szCs w:val="20"/>
        </w:rPr>
        <w:t>Identify and obtain consent required to share information when necessary.</w:t>
      </w:r>
    </w:p>
    <w:p w14:paraId="4F90B021" w14:textId="77777777" w:rsidR="00F44300" w:rsidRPr="001440C1" w:rsidRDefault="00F44300" w:rsidP="0020369F">
      <w:pPr>
        <w:spacing w:line="480" w:lineRule="auto"/>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rPr>
        <w:t>________________________________________</w:t>
      </w:r>
    </w:p>
    <w:p w14:paraId="7CC1B89A" w14:textId="77777777" w:rsidR="00F44300" w:rsidRPr="005627BC" w:rsidRDefault="00F44300" w:rsidP="0020369F">
      <w:pPr>
        <w:spacing w:line="480" w:lineRule="auto"/>
        <w:rPr>
          <w:rFonts w:ascii="Calibri" w:eastAsia="Times New Roman" w:hAnsi="Calibri" w:cs="Calibri"/>
          <w:b/>
          <w:bCs/>
          <w:color w:val="000000" w:themeColor="text1"/>
          <w:sz w:val="24"/>
          <w:szCs w:val="24"/>
        </w:rPr>
      </w:pPr>
      <w:r w:rsidRPr="005627BC">
        <w:rPr>
          <w:rFonts w:ascii="Calibri" w:eastAsia="Times New Roman" w:hAnsi="Calibri" w:cs="Calibri"/>
          <w:b/>
          <w:bCs/>
          <w:color w:val="3C3030"/>
          <w:sz w:val="24"/>
          <w:szCs w:val="24"/>
        </w:rPr>
        <w:lastRenderedPageBreak/>
        <w:t>Sources:</w:t>
      </w:r>
    </w:p>
    <w:p w14:paraId="2ED3EB40"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12101 </w:t>
      </w:r>
      <w:r w:rsidRPr="005627BC">
        <w:rPr>
          <w:rFonts w:ascii="Calibri" w:eastAsia="Times New Roman" w:hAnsi="Calibri" w:cs="Calibri"/>
          <w:i/>
          <w:iCs/>
          <w:color w:val="000000" w:themeColor="text1"/>
          <w:bdr w:val="none" w:sz="0" w:space="0" w:color="auto" w:frame="1"/>
        </w:rPr>
        <w:t>et seq</w:t>
      </w:r>
      <w:r w:rsidRPr="005627BC">
        <w:rPr>
          <w:rFonts w:ascii="Calibri" w:eastAsia="Times New Roman" w:hAnsi="Calibri" w:cs="Calibri"/>
          <w:color w:val="000000" w:themeColor="text1"/>
        </w:rPr>
        <w:t>.</w:t>
      </w:r>
    </w:p>
    <w:p w14:paraId="12F4C11B"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U.S. Equal Employment Commission. "The ADA: Your Employment Rights as an Individual </w:t>
      </w:r>
      <w:proofErr w:type="gramStart"/>
      <w:r w:rsidRPr="005627BC">
        <w:rPr>
          <w:rFonts w:ascii="Calibri" w:eastAsia="Times New Roman" w:hAnsi="Calibri" w:cs="Calibri"/>
          <w:color w:val="000000" w:themeColor="text1"/>
        </w:rPr>
        <w:t>With</w:t>
      </w:r>
      <w:proofErr w:type="gramEnd"/>
      <w:r w:rsidRPr="005627BC">
        <w:rPr>
          <w:rFonts w:ascii="Calibri" w:eastAsia="Times New Roman" w:hAnsi="Calibri" w:cs="Calibri"/>
          <w:color w:val="000000" w:themeColor="text1"/>
        </w:rPr>
        <w:t xml:space="preserve"> a Disability." Available at </w:t>
      </w:r>
      <w:hyperlink r:id="rId9" w:history="1">
        <w:r w:rsidRPr="005627BC">
          <w:rPr>
            <w:rFonts w:ascii="Calibri" w:eastAsia="Times New Roman" w:hAnsi="Calibri" w:cs="Calibri"/>
            <w:color w:val="0F88B8"/>
            <w:u w:val="single"/>
            <w:bdr w:val="none" w:sz="0" w:space="0" w:color="auto" w:frame="1"/>
          </w:rPr>
          <w:t>http://www.eeoc.gov/facts/ada18.html</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52A0EDE4"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29 C.F.R. § 1630.4.</w:t>
      </w:r>
    </w:p>
    <w:p w14:paraId="02D32FCE"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12112(b)(4).</w:t>
      </w:r>
    </w:p>
    <w:p w14:paraId="7ADD9B7E"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w:t>
      </w:r>
    </w:p>
    <w:p w14:paraId="22A330AE"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12132; U.S. Department of Justice. "Americans with Disabilities Act Questions and Answers." Available at </w:t>
      </w:r>
      <w:hyperlink r:id="rId10" w:history="1">
        <w:r w:rsidRPr="005627BC">
          <w:rPr>
            <w:rFonts w:ascii="Calibri" w:eastAsia="Times New Roman" w:hAnsi="Calibri" w:cs="Calibri"/>
            <w:color w:val="0F88B8"/>
            <w:u w:val="single"/>
            <w:bdr w:val="none" w:sz="0" w:space="0" w:color="auto" w:frame="1"/>
          </w:rPr>
          <w:t>http://www.ada.gov/q%26aeng02.htm</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698F5003"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U.S. Equal Employment Commission. "The ADA: Your Employment Rights as an Individual </w:t>
      </w:r>
      <w:proofErr w:type="gramStart"/>
      <w:r w:rsidRPr="005627BC">
        <w:rPr>
          <w:rFonts w:ascii="Calibri" w:eastAsia="Times New Roman" w:hAnsi="Calibri" w:cs="Calibri"/>
          <w:color w:val="000000" w:themeColor="text1"/>
        </w:rPr>
        <w:t>With</w:t>
      </w:r>
      <w:proofErr w:type="gramEnd"/>
      <w:r w:rsidRPr="005627BC">
        <w:rPr>
          <w:rFonts w:ascii="Calibri" w:eastAsia="Times New Roman" w:hAnsi="Calibri" w:cs="Calibri"/>
          <w:color w:val="000000" w:themeColor="text1"/>
        </w:rPr>
        <w:t xml:space="preserve"> a Disability." Available at </w:t>
      </w:r>
      <w:hyperlink r:id="rId11" w:history="1">
        <w:r w:rsidRPr="005627BC">
          <w:rPr>
            <w:rFonts w:ascii="Calibri" w:eastAsia="Times New Roman" w:hAnsi="Calibri" w:cs="Calibri"/>
            <w:color w:val="0F88B8"/>
            <w:u w:val="single"/>
            <w:bdr w:val="none" w:sz="0" w:space="0" w:color="auto" w:frame="1"/>
          </w:rPr>
          <w:t>http://www.eeoc.gov/facts/ada18.html</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November 11-16-2012.</w:t>
      </w:r>
    </w:p>
    <w:p w14:paraId="39FD63E6"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29 C.F.R. § 1630.4.</w:t>
      </w:r>
    </w:p>
    <w:p w14:paraId="48EE3C1B"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12112(b)(4).</w:t>
      </w:r>
    </w:p>
    <w:p w14:paraId="7684B192"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12111(2), (5).</w:t>
      </w:r>
    </w:p>
    <w:p w14:paraId="5B9D1F1B"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12209.</w:t>
      </w:r>
    </w:p>
    <w:p w14:paraId="35BF2C65"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12111(8).</w:t>
      </w:r>
    </w:p>
    <w:p w14:paraId="0216F384"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12102(1).</w:t>
      </w:r>
    </w:p>
    <w:p w14:paraId="4588B3BE"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29 C.F.R. Appendix to Part 1630. "Interpretive Guidance on Title I of the Americans With Disabilities Act, </w:t>
      </w:r>
      <w:r w:rsidRPr="005627BC">
        <w:rPr>
          <w:rFonts w:ascii="Calibri" w:eastAsia="Times New Roman" w:hAnsi="Calibri" w:cs="Calibri"/>
          <w:i/>
          <w:iCs/>
          <w:color w:val="000000" w:themeColor="text1"/>
          <w:bdr w:val="none" w:sz="0" w:space="0" w:color="auto" w:frame="1"/>
        </w:rPr>
        <w:t>Note on Certain Terminology Used</w:t>
      </w:r>
      <w:r w:rsidRPr="005627BC">
        <w:rPr>
          <w:rFonts w:ascii="Calibri" w:eastAsia="Times New Roman" w:hAnsi="Calibri" w:cs="Calibri"/>
          <w:color w:val="000000" w:themeColor="text1"/>
        </w:rPr>
        <w:t>."</w:t>
      </w:r>
    </w:p>
    <w:p w14:paraId="286460FC"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12112(d)(2); 29 C.F.R. § 1630.14(a).</w:t>
      </w:r>
    </w:p>
    <w:p w14:paraId="2DE96FAD"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12112(d)(3); 29 C.F.R. § 1630.14(b).</w:t>
      </w:r>
    </w:p>
    <w:p w14:paraId="6F6E084D"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12112(d)(4); 29 C.F.R. § 1630.14(c).</w:t>
      </w:r>
    </w:p>
    <w:p w14:paraId="6B41649C"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29 C.F.R. Part 1630, Appendix to Part 1630-Interpretive Guidance on Title I of the Americans With Disabilities Act, p 42; U.S. Equal Opportunity Commission and U.S. Department of Justice, </w:t>
      </w:r>
      <w:r w:rsidRPr="005627BC">
        <w:rPr>
          <w:rFonts w:ascii="Calibri" w:eastAsia="Times New Roman" w:hAnsi="Calibri" w:cs="Calibri"/>
          <w:color w:val="000000" w:themeColor="text1"/>
        </w:rPr>
        <w:lastRenderedPageBreak/>
        <w:t>Americans with Disabilities Act, Questions and Answers. Available at </w:t>
      </w:r>
      <w:hyperlink r:id="rId12" w:history="1">
        <w:r w:rsidRPr="005627BC">
          <w:rPr>
            <w:rFonts w:ascii="Calibri" w:eastAsia="Times New Roman" w:hAnsi="Calibri" w:cs="Calibri"/>
            <w:color w:val="0F88B8"/>
            <w:u w:val="single"/>
            <w:bdr w:val="none" w:sz="0" w:space="0" w:color="auto" w:frame="1"/>
          </w:rPr>
          <w:t>http://www.ada.gov/q&amp;aeng02.htm</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46BDB194"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U.S. Equal Employment Opportunity Commission. "Fact Sheet on Obtaining and Using Employee Medical Information as Part of Emergency Evacuation Procedures." Available at </w:t>
      </w:r>
      <w:hyperlink r:id="rId13" w:anchor="N_2" w:history="1">
        <w:r w:rsidRPr="005627BC">
          <w:rPr>
            <w:rFonts w:ascii="Calibri" w:eastAsia="Times New Roman" w:hAnsi="Calibri" w:cs="Calibri"/>
            <w:color w:val="0F88B8"/>
            <w:u w:val="single"/>
            <w:bdr w:val="none" w:sz="0" w:space="0" w:color="auto" w:frame="1"/>
          </w:rPr>
          <w:t>http://eeoc.gov/facts/evacuation.html#N_2</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76524CCF"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U.S. Equal Employment Opportunity Commission. "Pandemic Preparedness in the Workplace and the Americans with Disabilities Act." Available at </w:t>
      </w:r>
      <w:hyperlink r:id="rId14" w:history="1">
        <w:r w:rsidRPr="005627BC">
          <w:rPr>
            <w:rFonts w:ascii="Calibri" w:eastAsia="Times New Roman" w:hAnsi="Calibri" w:cs="Calibri"/>
            <w:color w:val="0F88B8"/>
            <w:u w:val="single"/>
            <w:bdr w:val="none" w:sz="0" w:space="0" w:color="auto" w:frame="1"/>
          </w:rPr>
          <w:t>http://www.eeoc.gov/facts/pandemic_flu.html</w:t>
        </w:r>
      </w:hyperlink>
      <w:r w:rsidRPr="005627BC">
        <w:rPr>
          <w:rFonts w:ascii="Calibri" w:eastAsia="Times New Roman" w:hAnsi="Calibri" w:cs="Calibri"/>
          <w:color w:val="737373"/>
        </w:rPr>
        <w:t xml:space="preserve">. </w:t>
      </w:r>
      <w:r w:rsidRPr="005627BC">
        <w:rPr>
          <w:rFonts w:ascii="Calibri" w:eastAsia="Times New Roman" w:hAnsi="Calibri" w:cs="Calibri"/>
          <w:color w:val="000000" w:themeColor="text1"/>
        </w:rPr>
        <w:t>Accessed 11-16-2012.</w:t>
      </w:r>
    </w:p>
    <w:p w14:paraId="4E599D6E"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12112(b)(5).</w:t>
      </w:r>
    </w:p>
    <w:p w14:paraId="5EF96518"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12113.</w:t>
      </w:r>
    </w:p>
    <w:p w14:paraId="20A82549"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w:t>
      </w:r>
    </w:p>
    <w:p w14:paraId="6DAB13A5" w14:textId="77777777" w:rsidR="00F44300" w:rsidRPr="005627BC"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 29 C.F.R. § 1630.14(c), (d).</w:t>
      </w:r>
    </w:p>
    <w:p w14:paraId="571D8EA3" w14:textId="77777777" w:rsidR="00F44300" w:rsidRDefault="00F44300" w:rsidP="00F44300">
      <w:pPr>
        <w:numPr>
          <w:ilvl w:val="0"/>
          <w:numId w:val="15"/>
        </w:numPr>
        <w:spacing w:line="480" w:lineRule="auto"/>
        <w:ind w:left="450"/>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42 U.S.C. § 12112(d)(3); 29 C.F.R. § 1630.14(c), (d).</w:t>
      </w:r>
    </w:p>
    <w:p w14:paraId="17D8605C" w14:textId="77777777" w:rsidR="004505F9" w:rsidRDefault="004505F9">
      <w:pPr>
        <w:rPr>
          <w:rFonts w:ascii="Calibri" w:eastAsia="Times New Roman" w:hAnsi="Calibri" w:cs="Calibri"/>
          <w:color w:val="000000" w:themeColor="text1"/>
        </w:rPr>
      </w:pPr>
    </w:p>
    <w:p w14:paraId="74DA77C5" w14:textId="77777777" w:rsidR="00153263" w:rsidRPr="00F93EAF" w:rsidRDefault="00153263" w:rsidP="00153263">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 xml:space="preserve">[TOC </w:t>
        </w:r>
        <w:r w:rsidRPr="00F93EAF">
          <w:rPr>
            <w:rStyle w:val="Heading2Char"/>
            <w:rFonts w:asciiTheme="minorHAnsi" w:eastAsiaTheme="minorHAnsi" w:hAnsiTheme="minorHAnsi" w:cstheme="minorHAnsi"/>
            <w:color w:val="0070C0"/>
            <w:sz w:val="24"/>
          </w:rPr>
          <w:t>T</w:t>
        </w:r>
        <w:r w:rsidRPr="00F93EAF">
          <w:rPr>
            <w:rStyle w:val="Heading2Char"/>
            <w:rFonts w:asciiTheme="minorHAnsi" w:eastAsiaTheme="minorHAnsi" w:hAnsiTheme="minorHAnsi" w:cstheme="minorHAnsi"/>
            <w:color w:val="0070C0"/>
            <w:sz w:val="24"/>
          </w:rPr>
          <w:t>op]</w:t>
        </w:r>
      </w:hyperlink>
    </w:p>
    <w:p w14:paraId="23F5DA0F" w14:textId="62F55C99" w:rsidR="004505F9" w:rsidRDefault="004505F9">
      <w:pPr>
        <w:rPr>
          <w:rFonts w:ascii="Calibri" w:eastAsia="Times New Roman" w:hAnsi="Calibri" w:cs="Calibri"/>
          <w:color w:val="000000" w:themeColor="text1"/>
        </w:rPr>
      </w:pPr>
      <w:r>
        <w:rPr>
          <w:rFonts w:ascii="Calibri" w:eastAsia="Times New Roman" w:hAnsi="Calibri" w:cs="Calibri"/>
          <w:color w:val="000000" w:themeColor="text1"/>
        </w:rPr>
        <w:br w:type="page"/>
      </w:r>
    </w:p>
    <w:p w14:paraId="560F8FF9" w14:textId="77777777" w:rsidR="00F44300" w:rsidRPr="00AF5620" w:rsidRDefault="00F44300" w:rsidP="00BE2D7E">
      <w:pPr>
        <w:spacing w:after="120"/>
        <w:rPr>
          <w:rFonts w:eastAsia="Times New Roman" w:cstheme="minorHAnsi"/>
          <w:b/>
          <w:bCs/>
          <w:color w:val="333333"/>
          <w:spacing w:val="15"/>
          <w:kern w:val="36"/>
          <w:sz w:val="28"/>
          <w:szCs w:val="28"/>
        </w:rPr>
      </w:pPr>
      <w:bookmarkStart w:id="4" w:name="PH_LegalAuthorities_FS"/>
      <w:r w:rsidRPr="00AF5620">
        <w:rPr>
          <w:rFonts w:eastAsia="Times New Roman" w:cstheme="minorHAnsi"/>
          <w:b/>
          <w:bCs/>
          <w:color w:val="333333"/>
          <w:spacing w:val="15"/>
          <w:kern w:val="36"/>
          <w:sz w:val="28"/>
          <w:szCs w:val="28"/>
        </w:rPr>
        <w:lastRenderedPageBreak/>
        <w:t>Public Health Legal Authorities to Collect, Use, Share, and Protect Information</w:t>
      </w:r>
      <w:bookmarkEnd w:id="4"/>
    </w:p>
    <w:p w14:paraId="2E131BBA" w14:textId="77777777" w:rsidR="00F44300" w:rsidRPr="00AF5620" w:rsidRDefault="00F4430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Fact Sheet</w:t>
      </w:r>
    </w:p>
    <w:p w14:paraId="2E1B6C76" w14:textId="77777777" w:rsidR="00F44300" w:rsidRPr="00AF5620" w:rsidRDefault="00F4430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Overview</w:t>
      </w:r>
    </w:p>
    <w:p w14:paraId="6D1CC60D" w14:textId="77777777" w:rsidR="00F44300" w:rsidRPr="00AF5620" w:rsidRDefault="00F44300" w:rsidP="00BE2D7E">
      <w:pPr>
        <w:shd w:val="clear" w:color="auto" w:fill="FFFFFF"/>
        <w:spacing w:line="480" w:lineRule="auto"/>
        <w:textAlignment w:val="baseline"/>
        <w:rPr>
          <w:rFonts w:eastAsia="Times New Roman" w:cstheme="minorHAnsi"/>
          <w:color w:val="737373"/>
          <w:szCs w:val="20"/>
        </w:rPr>
      </w:pPr>
      <w:r w:rsidRPr="00AF5620">
        <w:rPr>
          <w:rFonts w:eastAsia="Times New Roman" w:cstheme="minorHAnsi"/>
          <w:color w:val="000000" w:themeColor="text1"/>
          <w:szCs w:val="20"/>
        </w:rPr>
        <w:t>Public health agencies need to collect, use, and share information to prevent disease and injury and protect the public against natural, accidental, and intentional health threats. Various federal and state laws may impact public health activities regarding such information. Public health agencies may collect and maintain information that identifies an individual or is sensitive in nature, such as information about communications systems or detailed emergency response plans. In these situations, freedom of information (FOI) laws establish parameters for information that must be shared, upon request, and that which may be exempted from public disclosure. In applying the laws, public health agencies may need to juggle competing interests and balance individual privacy against the need to protect or inform the public. Public health agencies face additional challenges when sharing information with law enforcement, especially when conducting a joint investigation where a public health threat may involve criminal activity. (See ASTHO </w:t>
      </w:r>
      <w:hyperlink r:id="rId15" w:tooltip="Public Health Collection, Use, Sharing and Protection of Information Issue Brief" w:history="1">
        <w:r w:rsidRPr="00AF5620">
          <w:rPr>
            <w:rFonts w:eastAsia="Times New Roman" w:cstheme="minorHAnsi"/>
            <w:i/>
            <w:iCs/>
            <w:color w:val="0F88B8"/>
            <w:szCs w:val="20"/>
            <w:bdr w:val="none" w:sz="0" w:space="0" w:color="auto" w:frame="1"/>
          </w:rPr>
          <w:t>Public Health Collection, Use, Sharing and Protection of Information</w:t>
        </w:r>
        <w:r w:rsidRPr="00AF5620">
          <w:rPr>
            <w:rFonts w:eastAsia="Times New Roman" w:cstheme="minorHAnsi"/>
            <w:color w:val="0F88B8"/>
            <w:szCs w:val="20"/>
            <w:u w:val="single"/>
            <w:bdr w:val="none" w:sz="0" w:space="0" w:color="auto" w:frame="1"/>
          </w:rPr>
          <w:t> </w:t>
        </w:r>
      </w:hyperlink>
      <w:hyperlink r:id="rId16" w:tooltip="Public Health Collection, Use, Sharing and Protection of Information Issue Brief" w:history="1">
        <w:r w:rsidRPr="00AF5620">
          <w:rPr>
            <w:rFonts w:eastAsia="Times New Roman" w:cstheme="minorHAnsi"/>
            <w:i/>
            <w:iCs/>
            <w:color w:val="0F88B8"/>
            <w:szCs w:val="20"/>
            <w:u w:val="single"/>
            <w:bdr w:val="none" w:sz="0" w:space="0" w:color="auto" w:frame="1"/>
          </w:rPr>
          <w:t>Issue Brief</w:t>
        </w:r>
      </w:hyperlink>
      <w:r w:rsidRPr="00AF5620">
        <w:rPr>
          <w:rFonts w:eastAsia="Times New Roman" w:cstheme="minorHAnsi"/>
          <w:i/>
          <w:iCs/>
          <w:color w:val="737373"/>
          <w:szCs w:val="20"/>
          <w:bdr w:val="none" w:sz="0" w:space="0" w:color="auto" w:frame="1"/>
        </w:rPr>
        <w:t> </w:t>
      </w:r>
      <w:r w:rsidRPr="00AF5620">
        <w:rPr>
          <w:rFonts w:eastAsia="Times New Roman" w:cstheme="minorHAnsi"/>
          <w:color w:val="737373"/>
          <w:szCs w:val="20"/>
        </w:rPr>
        <w:t> and </w:t>
      </w:r>
      <w:hyperlink r:id="rId17" w:tooltip="Authorities and Limitations in Sharing Information Between Public Health Agencies and Law Enforcement Issue Brief" w:history="1">
        <w:r w:rsidRPr="00AF5620">
          <w:rPr>
            <w:rFonts w:eastAsia="Times New Roman" w:cstheme="minorHAnsi"/>
            <w:i/>
            <w:iCs/>
            <w:color w:val="0F88B8"/>
            <w:szCs w:val="20"/>
            <w:u w:val="single"/>
            <w:bdr w:val="none" w:sz="0" w:space="0" w:color="auto" w:frame="1"/>
          </w:rPr>
          <w:t>Authorities and Limitations in Sharing Information Between Public Health Agencies and Law Enforcement Issue Brief</w:t>
        </w:r>
      </w:hyperlink>
      <w:r>
        <w:rPr>
          <w:rFonts w:eastAsia="Times New Roman" w:cstheme="minorHAnsi"/>
          <w:i/>
          <w:iCs/>
          <w:color w:val="737373"/>
          <w:szCs w:val="20"/>
          <w:bdr w:val="none" w:sz="0" w:space="0" w:color="auto" w:frame="1"/>
        </w:rPr>
        <w:t xml:space="preserve"> </w:t>
      </w:r>
      <w:r w:rsidRPr="00AF5620">
        <w:rPr>
          <w:rFonts w:eastAsia="Times New Roman" w:cstheme="minorHAnsi"/>
          <w:color w:val="000000" w:themeColor="text1"/>
          <w:szCs w:val="20"/>
        </w:rPr>
        <w:t xml:space="preserve">for detailed analyses of issues and law.) </w:t>
      </w:r>
    </w:p>
    <w:p w14:paraId="03E6E31A" w14:textId="77777777" w:rsidR="00F44300" w:rsidRPr="001D12ED" w:rsidRDefault="00F44300" w:rsidP="00BE2D7E">
      <w:pPr>
        <w:spacing w:line="480" w:lineRule="auto"/>
        <w:rPr>
          <w:rFonts w:eastAsia="Times New Roman" w:cstheme="minorHAnsi"/>
          <w:b/>
          <w:bCs/>
          <w:color w:val="3C3030"/>
          <w:sz w:val="28"/>
          <w:szCs w:val="24"/>
        </w:rPr>
      </w:pPr>
    </w:p>
    <w:p w14:paraId="4BA31205" w14:textId="77777777" w:rsidR="00F44300" w:rsidRPr="00AF5620" w:rsidRDefault="00F4430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Constitutional Considerations </w:t>
      </w:r>
    </w:p>
    <w:p w14:paraId="49F71EC9"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color w:val="000000" w:themeColor="text1"/>
        </w:rPr>
        <w:t>Generally, state and local public health agencies have broad and flexible authority to protect the public health. However, the exercise of governmental power has limits. The United States Constitution contains a Bill of Rights</w:t>
      </w:r>
      <w:r w:rsidRPr="00AF5620">
        <w:rPr>
          <w:rFonts w:eastAsia="Times New Roman" w:cstheme="minorHAnsi"/>
          <w:color w:val="000000" w:themeColor="text1"/>
          <w:bdr w:val="none" w:sz="0" w:space="0" w:color="auto" w:frame="1"/>
          <w:vertAlign w:val="superscript"/>
        </w:rPr>
        <w:t>1</w:t>
      </w:r>
      <w:r w:rsidRPr="00AF5620">
        <w:rPr>
          <w:rFonts w:eastAsia="Times New Roman" w:cstheme="minorHAnsi"/>
          <w:color w:val="000000" w:themeColor="text1"/>
        </w:rPr>
        <w:t> that sets out individual liberties and protects individuals from the arbitrary use of governmental power. These rights may impact public health collection and sharing of information.</w:t>
      </w:r>
    </w:p>
    <w:p w14:paraId="2864DE1C" w14:textId="77777777" w:rsidR="00F44300" w:rsidRPr="001D12ED" w:rsidRDefault="00F44300"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40A9B0E3"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lastRenderedPageBreak/>
        <w:t>Right to Privacy</w:t>
      </w:r>
      <w:r w:rsidRPr="00AF5620">
        <w:rPr>
          <w:rFonts w:eastAsia="Times New Roman" w:cstheme="minorHAnsi"/>
          <w:color w:val="000000" w:themeColor="text1"/>
        </w:rPr>
        <w:t> </w:t>
      </w:r>
      <w:r w:rsidRPr="00AF5620">
        <w:rPr>
          <w:rFonts w:eastAsia="Times New Roman" w:cstheme="minorHAnsi"/>
          <w:color w:val="000000" w:themeColor="text1"/>
        </w:rPr>
        <w:br/>
        <w:t>The Constitution provides a limited right to privacy, including "informational privacy."</w:t>
      </w:r>
      <w:r w:rsidRPr="00AF5620">
        <w:rPr>
          <w:rFonts w:eastAsia="Times New Roman" w:cstheme="minorHAnsi"/>
          <w:color w:val="000000" w:themeColor="text1"/>
          <w:bdr w:val="none" w:sz="0" w:space="0" w:color="auto" w:frame="1"/>
          <w:vertAlign w:val="superscript"/>
        </w:rPr>
        <w:t>2</w:t>
      </w:r>
      <w:r w:rsidRPr="00AF5620">
        <w:rPr>
          <w:rFonts w:eastAsia="Times New Roman" w:cstheme="minorHAnsi"/>
          <w:color w:val="000000" w:themeColor="text1"/>
        </w:rPr>
        <w:t> State laws that require reporting of or public health agency access to identifiable information are permissible when they are reasonably directed to the preservation of health and properly respect a patient's confidentiality and privacy.</w:t>
      </w:r>
      <w:r w:rsidRPr="00AF5620">
        <w:rPr>
          <w:rFonts w:eastAsia="Times New Roman" w:cstheme="minorHAnsi"/>
          <w:color w:val="000000" w:themeColor="text1"/>
          <w:bdr w:val="none" w:sz="0" w:space="0" w:color="auto" w:frame="1"/>
          <w:vertAlign w:val="superscript"/>
        </w:rPr>
        <w:t>3</w:t>
      </w:r>
    </w:p>
    <w:p w14:paraId="48F3D0B4" w14:textId="77777777" w:rsidR="00F44300" w:rsidRPr="001D12ED" w:rsidRDefault="00F44300"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4C9A53DE" w14:textId="77777777" w:rsidR="00F4430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Right Against Unreasonable Search and Seizure</w:t>
      </w:r>
      <w:r w:rsidRPr="00AF5620">
        <w:rPr>
          <w:rFonts w:eastAsia="Times New Roman" w:cstheme="minorHAnsi"/>
          <w:color w:val="000000" w:themeColor="text1"/>
        </w:rPr>
        <w:t> </w:t>
      </w:r>
      <w:r w:rsidRPr="00AF5620">
        <w:rPr>
          <w:rFonts w:eastAsia="Times New Roman" w:cstheme="minorHAnsi"/>
          <w:color w:val="000000" w:themeColor="text1"/>
        </w:rPr>
        <w:br/>
        <w:t>With the owner's permission,</w:t>
      </w:r>
      <w:r w:rsidRPr="00AF5620">
        <w:rPr>
          <w:rFonts w:eastAsia="Times New Roman" w:cstheme="minorHAnsi"/>
          <w:color w:val="000000" w:themeColor="text1"/>
          <w:bdr w:val="none" w:sz="0" w:space="0" w:color="auto" w:frame="1"/>
          <w:vertAlign w:val="superscript"/>
        </w:rPr>
        <w:t>4</w:t>
      </w:r>
      <w:r w:rsidRPr="00AF5620">
        <w:rPr>
          <w:rFonts w:eastAsia="Times New Roman" w:cstheme="minorHAnsi"/>
          <w:color w:val="000000" w:themeColor="text1"/>
        </w:rPr>
        <w:t> public health agencies may enter or search the premises of an individual or business, take biological specimens or environmental samples for testing, copy records, and remove evidence that might be relevant to a public health concern. However, absent consent or the applicability of another exception, public health agencies must comply with requirements in the U.S. Constitution's Fourth Amendment.</w:t>
      </w:r>
    </w:p>
    <w:p w14:paraId="57905A9E"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p>
    <w:p w14:paraId="57F1399C"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color w:val="000000" w:themeColor="text1"/>
        </w:rPr>
        <w:t>The Fourth Amendment requires that a warrant be obtained, based upon probable cause, to search someone's premises or seize their property. The Fourth Amendment applies to both criminal investigations and health and safety inspections and investigations.</w:t>
      </w:r>
      <w:r w:rsidRPr="00AF5620">
        <w:rPr>
          <w:rFonts w:eastAsia="Times New Roman" w:cstheme="minorHAnsi"/>
          <w:color w:val="000000" w:themeColor="text1"/>
          <w:bdr w:val="none" w:sz="0" w:space="0" w:color="auto" w:frame="1"/>
          <w:vertAlign w:val="superscript"/>
        </w:rPr>
        <w:t>5</w:t>
      </w:r>
      <w:r w:rsidRPr="00AF5620">
        <w:rPr>
          <w:rFonts w:eastAsia="Times New Roman" w:cstheme="minorHAnsi"/>
          <w:color w:val="000000" w:themeColor="text1"/>
        </w:rPr>
        <w:t> In addition to consent, other exceptions to the warrant and probable cause requirement might apply to public health inspections and investigations, including searches of pervasively regulated businesses,</w:t>
      </w:r>
      <w:r w:rsidRPr="00AF5620">
        <w:rPr>
          <w:rFonts w:eastAsia="Times New Roman" w:cstheme="minorHAnsi"/>
          <w:color w:val="000000" w:themeColor="text1"/>
          <w:bdr w:val="none" w:sz="0" w:space="0" w:color="auto" w:frame="1"/>
          <w:vertAlign w:val="superscript"/>
        </w:rPr>
        <w:t>6</w:t>
      </w:r>
      <w:r w:rsidRPr="00AF5620">
        <w:rPr>
          <w:rFonts w:eastAsia="Times New Roman" w:cstheme="minorHAnsi"/>
          <w:color w:val="000000" w:themeColor="text1"/>
        </w:rPr>
        <w:t>searches of premises or items open to the public,</w:t>
      </w:r>
      <w:r w:rsidRPr="00AF5620">
        <w:rPr>
          <w:rFonts w:eastAsia="Times New Roman" w:cstheme="minorHAnsi"/>
          <w:color w:val="000000" w:themeColor="text1"/>
          <w:bdr w:val="none" w:sz="0" w:space="0" w:color="auto" w:frame="1"/>
          <w:vertAlign w:val="superscript"/>
        </w:rPr>
        <w:t>7</w:t>
      </w:r>
      <w:r w:rsidRPr="00AF5620">
        <w:rPr>
          <w:rFonts w:eastAsia="Times New Roman" w:cstheme="minorHAnsi"/>
          <w:color w:val="000000" w:themeColor="text1"/>
        </w:rPr>
        <w:t> and searches based on exigent circumstances if delay is likely to lead to injury, public harm, or the destruction of evidence.</w:t>
      </w:r>
      <w:r w:rsidRPr="00AF5620">
        <w:rPr>
          <w:rFonts w:eastAsia="Times New Roman" w:cstheme="minorHAnsi"/>
          <w:color w:val="000000" w:themeColor="text1"/>
          <w:bdr w:val="none" w:sz="0" w:space="0" w:color="auto" w:frame="1"/>
          <w:vertAlign w:val="superscript"/>
        </w:rPr>
        <w:t>8</w:t>
      </w:r>
    </w:p>
    <w:p w14:paraId="5C3C0A2F" w14:textId="77777777" w:rsidR="00F44300" w:rsidRPr="001D12ED" w:rsidRDefault="00F44300"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065F983A"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Right Against Self-Incrimination</w:t>
      </w:r>
      <w:r w:rsidRPr="00AF5620">
        <w:rPr>
          <w:rFonts w:eastAsia="Times New Roman" w:cstheme="minorHAnsi"/>
          <w:color w:val="000000" w:themeColor="text1"/>
        </w:rPr>
        <w:t> </w:t>
      </w:r>
      <w:r w:rsidRPr="00AF5620">
        <w:rPr>
          <w:rFonts w:eastAsia="Times New Roman" w:cstheme="minorHAnsi"/>
          <w:color w:val="000000" w:themeColor="text1"/>
        </w:rPr>
        <w:br/>
        <w:t xml:space="preserve">The Fifth Amendment right against self-incrimination prevents the government from forcing an individual to be a witness against himself or herself during trial or a custodial interrogation. If an </w:t>
      </w:r>
      <w:r w:rsidRPr="00AF5620">
        <w:rPr>
          <w:rFonts w:eastAsia="Times New Roman" w:cstheme="minorHAnsi"/>
          <w:color w:val="000000" w:themeColor="text1"/>
        </w:rPr>
        <w:lastRenderedPageBreak/>
        <w:t>individual is not informed of his or her right against self-incrimination, the individual's statements and evidence obtained as a result of these statements may be suppressed in criminal proceedings. This right may arise when a public health incident involves criminal activity, especially when law enforcement and public health investigators are conducting joint interviews or public health agencies assist law enforcement to gather evidence.</w:t>
      </w:r>
      <w:r w:rsidRPr="00AF5620">
        <w:rPr>
          <w:rFonts w:eastAsia="Times New Roman" w:cstheme="minorHAnsi"/>
          <w:color w:val="000000" w:themeColor="text1"/>
          <w:bdr w:val="none" w:sz="0" w:space="0" w:color="auto" w:frame="1"/>
          <w:vertAlign w:val="superscript"/>
        </w:rPr>
        <w:t>9</w:t>
      </w:r>
    </w:p>
    <w:p w14:paraId="1C5F92CF" w14:textId="77777777" w:rsidR="00F44300" w:rsidRPr="00AF5620" w:rsidRDefault="00F44300" w:rsidP="00BE2D7E">
      <w:pPr>
        <w:spacing w:line="480" w:lineRule="auto"/>
        <w:rPr>
          <w:rFonts w:eastAsia="Times New Roman" w:cstheme="minorHAnsi"/>
          <w:color w:val="000000" w:themeColor="text1"/>
        </w:rPr>
      </w:pPr>
    </w:p>
    <w:p w14:paraId="198FC959"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State Constitutions</w:t>
      </w:r>
      <w:r w:rsidRPr="00AF5620">
        <w:rPr>
          <w:rFonts w:eastAsia="Times New Roman" w:cstheme="minorHAnsi"/>
          <w:color w:val="000000" w:themeColor="text1"/>
        </w:rPr>
        <w:t> </w:t>
      </w:r>
      <w:r w:rsidRPr="00AF5620">
        <w:rPr>
          <w:rFonts w:eastAsia="Times New Roman" w:cstheme="minorHAnsi"/>
          <w:color w:val="000000" w:themeColor="text1"/>
        </w:rPr>
        <w:br/>
        <w:t>State constitutions, along with court decisions that interpret state constitutions, must be reviewed to identify individual rights that exceed the U.S. Constitution. State constitutions may be sources of additional provisions that govern information sharing; for example, some constitutions define individual privacy rights or cover the public's right to obtain governmental records.</w:t>
      </w:r>
    </w:p>
    <w:p w14:paraId="3C2C0D03" w14:textId="77777777" w:rsidR="00F44300" w:rsidRPr="001D12ED" w:rsidRDefault="00F44300" w:rsidP="00BE2D7E">
      <w:pPr>
        <w:spacing w:line="480" w:lineRule="auto"/>
        <w:rPr>
          <w:rFonts w:eastAsia="Times New Roman" w:cstheme="minorHAnsi"/>
          <w:b/>
          <w:bCs/>
          <w:color w:val="000000" w:themeColor="text1"/>
        </w:rPr>
      </w:pPr>
    </w:p>
    <w:p w14:paraId="00FBEFFB" w14:textId="77777777" w:rsidR="00F44300" w:rsidRPr="00AF5620" w:rsidRDefault="00F4430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State Statutes</w:t>
      </w:r>
    </w:p>
    <w:p w14:paraId="5C321306" w14:textId="77777777" w:rsidR="00F44300" w:rsidRPr="00AF5620" w:rsidRDefault="00F44300" w:rsidP="00BE2D7E">
      <w:pPr>
        <w:shd w:val="clear" w:color="auto" w:fill="FFFFFF"/>
        <w:spacing w:after="225" w:line="480" w:lineRule="auto"/>
        <w:textAlignment w:val="baseline"/>
        <w:rPr>
          <w:rFonts w:eastAsia="Times New Roman" w:cstheme="minorHAnsi"/>
          <w:color w:val="000000" w:themeColor="text1"/>
          <w:szCs w:val="20"/>
        </w:rPr>
      </w:pPr>
      <w:r w:rsidRPr="00AF5620">
        <w:rPr>
          <w:rFonts w:eastAsia="Times New Roman" w:cstheme="minorHAnsi"/>
          <w:color w:val="000000" w:themeColor="text1"/>
          <w:szCs w:val="20"/>
        </w:rPr>
        <w:t>Generally, state law governs state and local public health agencies' authority and responsibilities regarding collection, use, disclosure, and protection of information. State laws vary in nature and scope. Authority may be based on general statutes, such as public health laws that grant public health agencies communicable disease control authority. Specific laws may also apply.</w:t>
      </w:r>
    </w:p>
    <w:p w14:paraId="0810B8C8"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Case Reporting</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These laws mandate that healthcare providers, laboratories, and others report specific communicable diseases and other illness of public health concern. Reporting requirements vary by state, and may also include poisonings, chemical or radiological exposures, suspected acts of terrorism, and other conditions.</w:t>
      </w:r>
    </w:p>
    <w:p w14:paraId="048D894E" w14:textId="77777777" w:rsidR="00F44300" w:rsidRPr="001D12ED" w:rsidRDefault="00F44300"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44D9351A"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lastRenderedPageBreak/>
        <w:t>Syndromic Surveillance</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State laws may require or authorize reporting to electronic syndromic surveillance systems of information that is routinely gathered in emergency rooms or other places that may indicate an emerging disease or other public health threat before confirmed diagnoses are made.</w:t>
      </w:r>
    </w:p>
    <w:p w14:paraId="5BD6F006" w14:textId="77777777" w:rsidR="00F44300" w:rsidRPr="001D12ED" w:rsidRDefault="00F44300"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5FC2FE41"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Investigatory Authority</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State laws may specifically grant public health agencies authority to conduct investigations and gather evidence, or such authority may arise from general statutory powers. State laws may also establish procedures for obtaining warrants to search the premises of an individual or business and seize evidence related to a public health threat.</w:t>
      </w:r>
    </w:p>
    <w:p w14:paraId="56A0E8EA" w14:textId="77777777" w:rsidR="00F44300" w:rsidRPr="001D12ED" w:rsidRDefault="00F44300"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76144906"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Privacy Provisions</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Public health or other laws may contain provisions to protect the confidentiality of information that identifies an individual and to limit its disclosure by public health agencies. Exceptions may be provided, for example, for disclosing information to other agencies, law enforcement, or the public when necessary to protect the public's health.</w:t>
      </w:r>
    </w:p>
    <w:p w14:paraId="03425A3A" w14:textId="77777777" w:rsidR="00F44300" w:rsidRPr="001D12ED" w:rsidRDefault="00F44300"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238C1E0A"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Freedom of Information</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 xml:space="preserve">All states have laws that require information held by governmental agencies to be provided upon request. FOI laws promote transparency and accountability of governments, facilitate consumers' ability to make informed choices, and safeguard citizens against mismanagement and corruption. Public health agencies—like other governmental agencies—need to be sensitive to these important considerations in responding to FOI requests. At the same time, these laws may create challenges for public health agencies </w:t>
      </w:r>
      <w:proofErr w:type="gramStart"/>
      <w:r w:rsidRPr="00AF5620">
        <w:rPr>
          <w:rFonts w:eastAsia="Times New Roman" w:cstheme="minorHAnsi"/>
          <w:color w:val="000000" w:themeColor="text1"/>
          <w:szCs w:val="20"/>
        </w:rPr>
        <w:t>with regard to</w:t>
      </w:r>
      <w:proofErr w:type="gramEnd"/>
      <w:r w:rsidRPr="00AF5620">
        <w:rPr>
          <w:rFonts w:eastAsia="Times New Roman" w:cstheme="minorHAnsi"/>
          <w:color w:val="000000" w:themeColor="text1"/>
          <w:szCs w:val="20"/>
        </w:rPr>
        <w:t xml:space="preserve"> requests for private information about individuals or sensitive information, such </w:t>
      </w:r>
      <w:r w:rsidRPr="00AF5620">
        <w:rPr>
          <w:rFonts w:eastAsia="Times New Roman" w:cstheme="minorHAnsi"/>
          <w:color w:val="000000" w:themeColor="text1"/>
          <w:szCs w:val="20"/>
        </w:rPr>
        <w:lastRenderedPageBreak/>
        <w:t>as information that is preliminary, incomplete, or might present a national or state security risk. FOI laws include exemptions that may allow public health agencies to withhold private or sensitive information under certain circumstances. These exemptions vary among states in nature, scope, and prerequisites for denying disclosure.</w:t>
      </w:r>
    </w:p>
    <w:p w14:paraId="51693D9A" w14:textId="77777777" w:rsidR="00F44300" w:rsidRPr="001D12ED" w:rsidRDefault="00F44300" w:rsidP="00BE2D7E">
      <w:pPr>
        <w:spacing w:line="480" w:lineRule="auto"/>
        <w:rPr>
          <w:rFonts w:eastAsia="Times New Roman" w:cstheme="minorHAnsi"/>
          <w:b/>
          <w:bCs/>
          <w:color w:val="000000" w:themeColor="text1"/>
          <w:sz w:val="28"/>
          <w:szCs w:val="24"/>
        </w:rPr>
      </w:pPr>
    </w:p>
    <w:p w14:paraId="4D6D10DD" w14:textId="77777777" w:rsidR="00F44300" w:rsidRPr="00AF5620" w:rsidRDefault="00F4430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Federal Statutes </w:t>
      </w:r>
    </w:p>
    <w:p w14:paraId="6C2CD8E8" w14:textId="77777777" w:rsidR="00F44300" w:rsidRPr="00AF5620" w:rsidRDefault="00F44300" w:rsidP="00BE2D7E">
      <w:pPr>
        <w:shd w:val="clear" w:color="auto" w:fill="FFFFFF"/>
        <w:spacing w:after="225" w:line="480" w:lineRule="auto"/>
        <w:textAlignment w:val="baseline"/>
        <w:rPr>
          <w:rFonts w:eastAsia="Times New Roman" w:cstheme="minorHAnsi"/>
          <w:color w:val="000000" w:themeColor="text1"/>
        </w:rPr>
      </w:pPr>
      <w:r w:rsidRPr="00AF5620">
        <w:rPr>
          <w:rFonts w:eastAsia="Times New Roman" w:cstheme="minorHAnsi"/>
          <w:color w:val="000000" w:themeColor="text1"/>
        </w:rPr>
        <w:t>Federal laws that impact collection, use, disclosure, and protection of information by public health agencies include, but are not limited to, the following.</w:t>
      </w:r>
    </w:p>
    <w:p w14:paraId="0F8A2855"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HIPAA Privacy Rule</w:t>
      </w:r>
      <w:r w:rsidRPr="00AF5620">
        <w:rPr>
          <w:rFonts w:eastAsia="Times New Roman" w:cstheme="minorHAnsi"/>
          <w:color w:val="000000" w:themeColor="text1"/>
        </w:rPr>
        <w:t> </w:t>
      </w:r>
      <w:r w:rsidRPr="00AF5620">
        <w:rPr>
          <w:rFonts w:eastAsia="Times New Roman" w:cstheme="minorHAnsi"/>
          <w:color w:val="000000" w:themeColor="text1"/>
        </w:rPr>
        <w:br/>
        <w:t>The Privacy Rule</w:t>
      </w:r>
      <w:r w:rsidRPr="00AF5620">
        <w:rPr>
          <w:rFonts w:eastAsia="Times New Roman" w:cstheme="minorHAnsi"/>
          <w:color w:val="000000" w:themeColor="text1"/>
          <w:bdr w:val="none" w:sz="0" w:space="0" w:color="auto" w:frame="1"/>
          <w:vertAlign w:val="superscript"/>
        </w:rPr>
        <w:t>10</w:t>
      </w:r>
      <w:r w:rsidRPr="00AF5620">
        <w:rPr>
          <w:rFonts w:eastAsia="Times New Roman" w:cstheme="minorHAnsi"/>
          <w:color w:val="000000" w:themeColor="text1"/>
        </w:rPr>
        <w:t> adopted under the Health Insurance Portability and Accountability Act (HIPAA)</w:t>
      </w:r>
      <w:r w:rsidRPr="00AF5620">
        <w:rPr>
          <w:rFonts w:eastAsia="Times New Roman" w:cstheme="minorHAnsi"/>
          <w:color w:val="000000" w:themeColor="text1"/>
          <w:bdr w:val="none" w:sz="0" w:space="0" w:color="auto" w:frame="1"/>
          <w:vertAlign w:val="superscript"/>
        </w:rPr>
        <w:t>11</w:t>
      </w:r>
      <w:r w:rsidRPr="00AF5620">
        <w:rPr>
          <w:rFonts w:eastAsia="Times New Roman" w:cstheme="minorHAnsi"/>
          <w:color w:val="000000" w:themeColor="text1"/>
        </w:rPr>
        <w:t> established national privacy protections for individually identifiable health information. The Privacy Rule may apply to healthcare providers or others that provide information to public health agencies. Depending on a public health agency's organization, the Privacy Rule may apply to a public health agency when it discloses individually identifiable information. The Privacy Rule is not intended to interfere with public health functions and contains provisions that allow public health agencies to collect identifiable health information and disclose it, including to law enforcement, when authorized by law or when necessary to protect the public from an imminent threat.</w:t>
      </w:r>
    </w:p>
    <w:p w14:paraId="4239F5A8" w14:textId="77777777" w:rsidR="00F44300" w:rsidRPr="00282399" w:rsidRDefault="00F44300"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44921163"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FERPA</w:t>
      </w:r>
      <w:r w:rsidRPr="00AF5620">
        <w:rPr>
          <w:rFonts w:eastAsia="Times New Roman" w:cstheme="minorHAnsi"/>
          <w:color w:val="000000" w:themeColor="text1"/>
        </w:rPr>
        <w:t> </w:t>
      </w:r>
      <w:r w:rsidRPr="00AF5620">
        <w:rPr>
          <w:rFonts w:eastAsia="Times New Roman" w:cstheme="minorHAnsi"/>
          <w:color w:val="000000" w:themeColor="text1"/>
        </w:rPr>
        <w:br/>
        <w:t>Privacy protections established by the Family Educational Rights and Privacy Act (FERPA)</w:t>
      </w:r>
      <w:r w:rsidRPr="00AF5620">
        <w:rPr>
          <w:rFonts w:eastAsia="Times New Roman" w:cstheme="minorHAnsi"/>
          <w:color w:val="000000" w:themeColor="text1"/>
          <w:bdr w:val="none" w:sz="0" w:space="0" w:color="auto" w:frame="1"/>
          <w:vertAlign w:val="superscript"/>
        </w:rPr>
        <w:t>12</w:t>
      </w:r>
      <w:r w:rsidRPr="00AF5620">
        <w:rPr>
          <w:rFonts w:eastAsia="Times New Roman" w:cstheme="minorHAnsi"/>
          <w:color w:val="000000" w:themeColor="text1"/>
        </w:rPr>
        <w:t> limit information that schools may provide to public health agencies about students. However, exceptions allow schools to provide certain directory information, such as student name and contact information, and necessary information to appropriate officials in cases of health and safety emergencies.</w:t>
      </w:r>
      <w:r w:rsidRPr="00AF5620">
        <w:rPr>
          <w:rFonts w:eastAsia="Times New Roman" w:cstheme="minorHAnsi"/>
          <w:color w:val="000000" w:themeColor="text1"/>
          <w:bdr w:val="none" w:sz="0" w:space="0" w:color="auto" w:frame="1"/>
          <w:vertAlign w:val="superscript"/>
        </w:rPr>
        <w:t>13</w:t>
      </w:r>
    </w:p>
    <w:p w14:paraId="32B1D743" w14:textId="77777777" w:rsidR="00F44300" w:rsidRPr="00282399" w:rsidRDefault="00F44300"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6B9BE613"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Surveillance Data Systems</w:t>
      </w:r>
      <w:r w:rsidRPr="00AF5620">
        <w:rPr>
          <w:rFonts w:eastAsia="Times New Roman" w:cstheme="minorHAnsi"/>
          <w:color w:val="000000" w:themeColor="text1"/>
        </w:rPr>
        <w:t> </w:t>
      </w:r>
      <w:r w:rsidRPr="00AF5620">
        <w:rPr>
          <w:rFonts w:eastAsia="Times New Roman" w:cstheme="minorHAnsi"/>
          <w:color w:val="000000" w:themeColor="text1"/>
        </w:rPr>
        <w:br/>
        <w:t>Various federal laws, such as the Public Health Security and Bioterrorism Preparedness Act of 2002,</w:t>
      </w:r>
      <w:r w:rsidRPr="00AF5620">
        <w:rPr>
          <w:rFonts w:eastAsia="Times New Roman" w:cstheme="minorHAnsi"/>
          <w:color w:val="000000" w:themeColor="text1"/>
          <w:bdr w:val="none" w:sz="0" w:space="0" w:color="auto" w:frame="1"/>
          <w:vertAlign w:val="superscript"/>
        </w:rPr>
        <w:t>14</w:t>
      </w:r>
      <w:r w:rsidRPr="00AF5620">
        <w:rPr>
          <w:rFonts w:eastAsia="Times New Roman" w:cstheme="minorHAnsi"/>
          <w:color w:val="000000" w:themeColor="text1"/>
        </w:rPr>
        <w:t> establish surveillance data systems that allow collection of information provided by state and local governmental agencies and integration of federal, state, and local data systems.</w:t>
      </w:r>
    </w:p>
    <w:p w14:paraId="56D664B5" w14:textId="77777777" w:rsidR="00F44300" w:rsidRPr="00282399" w:rsidRDefault="00F44300"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79E24CB1" w14:textId="77777777" w:rsidR="00F44300" w:rsidRPr="00282399"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Critical Infrastructure</w:t>
      </w:r>
      <w:r w:rsidRPr="00AF5620">
        <w:rPr>
          <w:rFonts w:eastAsia="Times New Roman" w:cstheme="minorHAnsi"/>
          <w:b/>
          <w:bCs/>
          <w:i/>
          <w:iCs/>
          <w:color w:val="000000" w:themeColor="text1"/>
          <w:bdr w:val="none" w:sz="0" w:space="0" w:color="auto" w:frame="1"/>
        </w:rPr>
        <w:br/>
      </w:r>
      <w:r w:rsidRPr="00AF5620">
        <w:rPr>
          <w:rFonts w:eastAsia="Times New Roman" w:cstheme="minorHAnsi"/>
          <w:color w:val="000000" w:themeColor="text1"/>
        </w:rPr>
        <w:t>Confidentiality requirements apply to federal disclosure of certain information to state or local governmental agencies related to critical infrastructure and supplies and resources to protect the public's health. For example, federal law protects the confidentiality of information voluntarily provided by the private sector to the federal government regarding vaccine tracking and distribution</w:t>
      </w:r>
      <w:r w:rsidRPr="00AF5620">
        <w:rPr>
          <w:rFonts w:eastAsia="Times New Roman" w:cstheme="minorHAnsi"/>
          <w:color w:val="000000" w:themeColor="text1"/>
          <w:bdr w:val="none" w:sz="0" w:space="0" w:color="auto" w:frame="1"/>
          <w:vertAlign w:val="superscript"/>
        </w:rPr>
        <w:t>15</w:t>
      </w:r>
      <w:r w:rsidRPr="00AF5620">
        <w:rPr>
          <w:rFonts w:eastAsia="Times New Roman" w:cstheme="minorHAnsi"/>
          <w:color w:val="000000" w:themeColor="text1"/>
        </w:rPr>
        <w:t> and information about critical infrastructure.</w:t>
      </w:r>
      <w:r w:rsidRPr="00AF5620">
        <w:rPr>
          <w:rFonts w:eastAsia="Times New Roman" w:cstheme="minorHAnsi"/>
          <w:color w:val="000000" w:themeColor="text1"/>
          <w:bdr w:val="none" w:sz="0" w:space="0" w:color="auto" w:frame="1"/>
          <w:vertAlign w:val="superscript"/>
        </w:rPr>
        <w:t>16</w:t>
      </w:r>
      <w:r w:rsidRPr="00AF5620">
        <w:rPr>
          <w:rFonts w:eastAsia="Times New Roman" w:cstheme="minorHAnsi"/>
          <w:color w:val="000000" w:themeColor="text1"/>
        </w:rPr>
        <w:t> Although the federal government may share this information with state and local government and agencies, those agencies must protect its confidentiality.</w:t>
      </w:r>
    </w:p>
    <w:p w14:paraId="79A51370" w14:textId="77777777" w:rsidR="00F44300" w:rsidRPr="00282399" w:rsidRDefault="00F44300" w:rsidP="00BE2D7E">
      <w:pPr>
        <w:shd w:val="clear" w:color="auto" w:fill="FFFFFF"/>
        <w:spacing w:line="480" w:lineRule="auto"/>
        <w:textAlignment w:val="baseline"/>
        <w:rPr>
          <w:rFonts w:eastAsia="Times New Roman" w:cstheme="minorHAnsi"/>
          <w:color w:val="000000" w:themeColor="text1"/>
        </w:rPr>
      </w:pPr>
    </w:p>
    <w:p w14:paraId="4CE7BAAE"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Practice Notes</w:t>
      </w:r>
    </w:p>
    <w:p w14:paraId="70F17CF3" w14:textId="77777777" w:rsidR="00F44300" w:rsidRPr="00282399" w:rsidRDefault="00F44300" w:rsidP="00F44300">
      <w:pPr>
        <w:numPr>
          <w:ilvl w:val="0"/>
          <w:numId w:val="19"/>
        </w:numPr>
        <w:spacing w:after="120" w:line="480" w:lineRule="auto"/>
        <w:textAlignment w:val="baseline"/>
        <w:rPr>
          <w:rFonts w:eastAsia="Times New Roman" w:cstheme="minorHAnsi"/>
          <w:color w:val="000000" w:themeColor="text1"/>
        </w:rPr>
      </w:pPr>
      <w:r w:rsidRPr="00282399">
        <w:rPr>
          <w:rFonts w:eastAsia="Times New Roman" w:cstheme="minorHAnsi"/>
          <w:color w:val="000000" w:themeColor="text1"/>
        </w:rPr>
        <w:t>Identify information to be obtained or shared.</w:t>
      </w:r>
    </w:p>
    <w:p w14:paraId="7B536B03" w14:textId="77777777" w:rsidR="00F44300" w:rsidRPr="00282399" w:rsidRDefault="00F44300" w:rsidP="00F44300">
      <w:pPr>
        <w:numPr>
          <w:ilvl w:val="0"/>
          <w:numId w:val="19"/>
        </w:numPr>
        <w:spacing w:after="120" w:line="480" w:lineRule="auto"/>
        <w:textAlignment w:val="baseline"/>
        <w:rPr>
          <w:rFonts w:eastAsia="Times New Roman" w:cstheme="minorHAnsi"/>
          <w:color w:val="000000" w:themeColor="text1"/>
        </w:rPr>
      </w:pPr>
      <w:r w:rsidRPr="00282399">
        <w:rPr>
          <w:rFonts w:eastAsia="Times New Roman" w:cstheme="minorHAnsi"/>
          <w:color w:val="000000" w:themeColor="text1"/>
        </w:rPr>
        <w:t>Identify the purpose for which the information is needed.</w:t>
      </w:r>
    </w:p>
    <w:p w14:paraId="4A3D524B" w14:textId="77777777" w:rsidR="00F44300" w:rsidRPr="00282399" w:rsidRDefault="00F44300" w:rsidP="00F44300">
      <w:pPr>
        <w:numPr>
          <w:ilvl w:val="0"/>
          <w:numId w:val="19"/>
        </w:numPr>
        <w:spacing w:after="120" w:line="480" w:lineRule="auto"/>
        <w:textAlignment w:val="baseline"/>
        <w:rPr>
          <w:rFonts w:eastAsia="Times New Roman" w:cstheme="minorHAnsi"/>
          <w:color w:val="000000" w:themeColor="text1"/>
        </w:rPr>
      </w:pPr>
      <w:r w:rsidRPr="00282399">
        <w:rPr>
          <w:rFonts w:eastAsia="Times New Roman" w:cstheme="minorHAnsi"/>
          <w:color w:val="000000" w:themeColor="text1"/>
        </w:rPr>
        <w:t>Determine whether this is the minimum necessary for the purpose or whether de-identified information will serve the purpose.</w:t>
      </w:r>
    </w:p>
    <w:p w14:paraId="2D8AD8FF" w14:textId="77777777" w:rsidR="00F44300" w:rsidRPr="00282399" w:rsidRDefault="00F44300" w:rsidP="00F44300">
      <w:pPr>
        <w:numPr>
          <w:ilvl w:val="0"/>
          <w:numId w:val="19"/>
        </w:numPr>
        <w:spacing w:after="120" w:line="480" w:lineRule="auto"/>
        <w:textAlignment w:val="baseline"/>
        <w:rPr>
          <w:rFonts w:eastAsia="Times New Roman" w:cstheme="minorHAnsi"/>
          <w:color w:val="000000" w:themeColor="text1"/>
        </w:rPr>
      </w:pPr>
      <w:r w:rsidRPr="00282399">
        <w:rPr>
          <w:rFonts w:eastAsia="Times New Roman" w:cstheme="minorHAnsi"/>
          <w:color w:val="000000" w:themeColor="text1"/>
        </w:rPr>
        <w:t>Identify sources for the information, such as healthcare providers, schools, other businesses, and individuals.</w:t>
      </w:r>
    </w:p>
    <w:p w14:paraId="42B368A2" w14:textId="77777777" w:rsidR="00F44300" w:rsidRPr="00282399" w:rsidRDefault="00F44300" w:rsidP="00F44300">
      <w:pPr>
        <w:numPr>
          <w:ilvl w:val="0"/>
          <w:numId w:val="19"/>
        </w:numPr>
        <w:spacing w:after="120" w:line="480" w:lineRule="auto"/>
        <w:textAlignment w:val="baseline"/>
        <w:rPr>
          <w:rFonts w:eastAsia="Times New Roman" w:cstheme="minorHAnsi"/>
          <w:color w:val="000000" w:themeColor="text1"/>
        </w:rPr>
      </w:pPr>
      <w:r w:rsidRPr="00282399">
        <w:rPr>
          <w:rFonts w:eastAsia="Times New Roman" w:cstheme="minorHAnsi"/>
          <w:color w:val="000000" w:themeColor="text1"/>
        </w:rPr>
        <w:t>Identify applicable federal or state laws.</w:t>
      </w:r>
    </w:p>
    <w:p w14:paraId="77C1D8F4" w14:textId="77777777" w:rsidR="00F44300" w:rsidRPr="00282399" w:rsidRDefault="00F44300" w:rsidP="00F44300">
      <w:pPr>
        <w:numPr>
          <w:ilvl w:val="0"/>
          <w:numId w:val="19"/>
        </w:numPr>
        <w:spacing w:after="120" w:line="480" w:lineRule="auto"/>
        <w:textAlignment w:val="baseline"/>
        <w:rPr>
          <w:rFonts w:eastAsia="Times New Roman" w:cstheme="minorHAnsi"/>
          <w:color w:val="000000" w:themeColor="text1"/>
        </w:rPr>
      </w:pPr>
      <w:r w:rsidRPr="00282399">
        <w:rPr>
          <w:rFonts w:eastAsia="Times New Roman" w:cstheme="minorHAnsi"/>
          <w:color w:val="000000" w:themeColor="text1"/>
        </w:rPr>
        <w:lastRenderedPageBreak/>
        <w:t>Determine and meet conditions or requirements for obtaining or sharing information; in some situations, an individual’s consent may avoid legal issues when disclosing private information.</w:t>
      </w:r>
    </w:p>
    <w:p w14:paraId="62ACFB21" w14:textId="77777777" w:rsidR="00F44300" w:rsidRPr="00282399" w:rsidRDefault="00F44300" w:rsidP="00F44300">
      <w:pPr>
        <w:numPr>
          <w:ilvl w:val="0"/>
          <w:numId w:val="19"/>
        </w:numPr>
        <w:spacing w:after="120" w:line="480" w:lineRule="auto"/>
        <w:textAlignment w:val="baseline"/>
        <w:rPr>
          <w:rFonts w:eastAsia="Times New Roman" w:cstheme="minorHAnsi"/>
          <w:color w:val="000000" w:themeColor="text1"/>
        </w:rPr>
      </w:pPr>
      <w:r w:rsidRPr="00282399">
        <w:rPr>
          <w:rFonts w:eastAsia="Times New Roman" w:cstheme="minorHAnsi"/>
          <w:color w:val="000000" w:themeColor="text1"/>
        </w:rPr>
        <w:t>If privacy protections prevent disclosures necessary to protect the public, consult with counsel to identify relevant legal responsibilities, evaluate competing moral claims, and document determined course of action.</w:t>
      </w:r>
    </w:p>
    <w:p w14:paraId="212B0FCF"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p>
    <w:p w14:paraId="0C0A447B"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Practice Resource</w:t>
      </w:r>
    </w:p>
    <w:p w14:paraId="00F1D2B8" w14:textId="77777777" w:rsidR="00F44300" w:rsidRPr="00AF5620" w:rsidRDefault="00F4430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color w:val="000000" w:themeColor="text1"/>
        </w:rPr>
        <w:t>The Reporters Committee for Freedom of the Press provides the Open Government Guide at </w:t>
      </w:r>
      <w:hyperlink r:id="rId18" w:history="1">
        <w:r w:rsidRPr="00AF5620">
          <w:rPr>
            <w:rFonts w:eastAsia="Times New Roman" w:cstheme="minorHAnsi"/>
            <w:color w:val="4472C4" w:themeColor="accent1"/>
            <w:u w:val="single"/>
            <w:bdr w:val="none" w:sz="0" w:space="0" w:color="auto" w:frame="1"/>
          </w:rPr>
          <w:t>http://www.rcfp.org/open-government-guide</w:t>
        </w:r>
      </w:hyperlink>
      <w:r w:rsidRPr="00AF5620">
        <w:rPr>
          <w:rFonts w:eastAsia="Times New Roman" w:cstheme="minorHAnsi"/>
          <w:color w:val="000000" w:themeColor="text1"/>
        </w:rPr>
        <w:t>, which is a complete compendium of information on every state's open records and open meetings laws. Each state's section is arranged according to a standard outline, making it easy to compare laws in various states.</w:t>
      </w:r>
    </w:p>
    <w:p w14:paraId="582D7A84" w14:textId="77777777" w:rsidR="00F44300" w:rsidRDefault="00F44300" w:rsidP="00BE2D7E">
      <w:pPr>
        <w:spacing w:line="480" w:lineRule="auto"/>
        <w:rPr>
          <w:rFonts w:eastAsia="Times New Roman" w:cstheme="minorHAnsi"/>
          <w:color w:val="000000" w:themeColor="text1"/>
        </w:rPr>
      </w:pPr>
    </w:p>
    <w:p w14:paraId="63C1F118" w14:textId="77777777" w:rsidR="00F44300" w:rsidRPr="00AF5620" w:rsidRDefault="00F44300" w:rsidP="00BE2D7E">
      <w:pPr>
        <w:spacing w:line="480" w:lineRule="auto"/>
        <w:rPr>
          <w:rFonts w:eastAsia="Times New Roman" w:cstheme="minorHAnsi"/>
          <w:color w:val="000000" w:themeColor="text1"/>
        </w:rPr>
      </w:pPr>
      <w:r>
        <w:rPr>
          <w:rFonts w:eastAsia="Times New Roman" w:cstheme="minorHAnsi"/>
          <w:color w:val="000000" w:themeColor="text1"/>
        </w:rPr>
        <w:t>_________________________________________________________________________</w:t>
      </w:r>
    </w:p>
    <w:p w14:paraId="224B148A" w14:textId="77777777" w:rsidR="00F44300" w:rsidRPr="00AF5620" w:rsidRDefault="00F4430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Sources</w:t>
      </w:r>
    </w:p>
    <w:p w14:paraId="355FBE69"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 xml:space="preserve">U.S. Const., </w:t>
      </w:r>
      <w:proofErr w:type="spellStart"/>
      <w:r w:rsidRPr="00AF5620">
        <w:rPr>
          <w:rFonts w:eastAsia="Times New Roman" w:cstheme="minorHAnsi"/>
          <w:szCs w:val="20"/>
        </w:rPr>
        <w:t>Amds</w:t>
      </w:r>
      <w:proofErr w:type="spellEnd"/>
      <w:r w:rsidRPr="00AF5620">
        <w:rPr>
          <w:rFonts w:eastAsia="Times New Roman" w:cstheme="minorHAnsi"/>
          <w:szCs w:val="20"/>
        </w:rPr>
        <w:t xml:space="preserve"> 1-10.</w:t>
      </w:r>
    </w:p>
    <w:p w14:paraId="3518988A"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Whalen v. Roe</w:t>
      </w:r>
      <w:r w:rsidRPr="00AF5620">
        <w:rPr>
          <w:rFonts w:eastAsia="Times New Roman" w:cstheme="minorHAnsi"/>
          <w:szCs w:val="20"/>
        </w:rPr>
        <w:t>, 429 U.S. 589 (1977).</w:t>
      </w:r>
    </w:p>
    <w:p w14:paraId="0BA0AA2C"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Whalen v. Roe</w:t>
      </w:r>
      <w:r w:rsidRPr="00AF5620">
        <w:rPr>
          <w:rFonts w:eastAsia="Times New Roman" w:cstheme="minorHAnsi"/>
          <w:szCs w:val="20"/>
        </w:rPr>
        <w:t>, 429 U.S. 589 (1977); </w:t>
      </w:r>
      <w:r w:rsidRPr="00AF5620">
        <w:rPr>
          <w:rFonts w:eastAsia="Times New Roman" w:cstheme="minorHAnsi"/>
          <w:i/>
          <w:iCs/>
          <w:szCs w:val="20"/>
          <w:bdr w:val="none" w:sz="0" w:space="0" w:color="auto" w:frame="1"/>
        </w:rPr>
        <w:t>Planned Parenthood of Missouri v. Danforth</w:t>
      </w:r>
      <w:r w:rsidRPr="00AF5620">
        <w:rPr>
          <w:rFonts w:eastAsia="Times New Roman" w:cstheme="minorHAnsi"/>
          <w:szCs w:val="20"/>
        </w:rPr>
        <w:t>, 428 U.S. 52 (1976).</w:t>
      </w:r>
    </w:p>
    <w:p w14:paraId="2DAD0AC4"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 xml:space="preserve">Florida v. </w:t>
      </w:r>
      <w:proofErr w:type="spellStart"/>
      <w:r w:rsidRPr="00AF5620">
        <w:rPr>
          <w:rFonts w:eastAsia="Times New Roman" w:cstheme="minorHAnsi"/>
          <w:i/>
          <w:iCs/>
          <w:szCs w:val="20"/>
          <w:bdr w:val="none" w:sz="0" w:space="0" w:color="auto" w:frame="1"/>
        </w:rPr>
        <w:t>Jimeno</w:t>
      </w:r>
      <w:proofErr w:type="spellEnd"/>
      <w:r w:rsidRPr="00AF5620">
        <w:rPr>
          <w:rFonts w:eastAsia="Times New Roman" w:cstheme="minorHAnsi"/>
          <w:szCs w:val="20"/>
        </w:rPr>
        <w:t>, 500 U.S. 248 (1991).</w:t>
      </w:r>
    </w:p>
    <w:p w14:paraId="6282BE31"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proofErr w:type="spellStart"/>
      <w:r w:rsidRPr="00AF5620">
        <w:rPr>
          <w:rFonts w:eastAsia="Times New Roman" w:cstheme="minorHAnsi"/>
          <w:i/>
          <w:iCs/>
          <w:szCs w:val="20"/>
          <w:bdr w:val="none" w:sz="0" w:space="0" w:color="auto" w:frame="1"/>
        </w:rPr>
        <w:t>Camara</w:t>
      </w:r>
      <w:proofErr w:type="spellEnd"/>
      <w:r w:rsidRPr="00AF5620">
        <w:rPr>
          <w:rFonts w:eastAsia="Times New Roman" w:cstheme="minorHAnsi"/>
          <w:i/>
          <w:iCs/>
          <w:szCs w:val="20"/>
          <w:bdr w:val="none" w:sz="0" w:space="0" w:color="auto" w:frame="1"/>
        </w:rPr>
        <w:t xml:space="preserve"> v. Municipal Court</w:t>
      </w:r>
      <w:r w:rsidRPr="00AF5620">
        <w:rPr>
          <w:rFonts w:eastAsia="Times New Roman" w:cstheme="minorHAnsi"/>
          <w:szCs w:val="20"/>
        </w:rPr>
        <w:t>, 387 U.S. 523 (1967) (search of residences); </w:t>
      </w:r>
      <w:r w:rsidRPr="00AF5620">
        <w:rPr>
          <w:rFonts w:eastAsia="Times New Roman" w:cstheme="minorHAnsi"/>
          <w:i/>
          <w:iCs/>
          <w:szCs w:val="20"/>
          <w:bdr w:val="none" w:sz="0" w:space="0" w:color="auto" w:frame="1"/>
        </w:rPr>
        <w:t>See v. City of Seattle</w:t>
      </w:r>
      <w:r w:rsidRPr="00AF5620">
        <w:rPr>
          <w:rFonts w:eastAsia="Times New Roman" w:cstheme="minorHAnsi"/>
          <w:szCs w:val="20"/>
        </w:rPr>
        <w:t>, 387 US 541 (1967) (search of commercial property).</w:t>
      </w:r>
    </w:p>
    <w:p w14:paraId="4CC75875"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New York v. Burger</w:t>
      </w:r>
      <w:r w:rsidRPr="00AF5620">
        <w:rPr>
          <w:rFonts w:eastAsia="Times New Roman" w:cstheme="minorHAnsi"/>
          <w:szCs w:val="20"/>
        </w:rPr>
        <w:t>, 482 US 691 (1987).</w:t>
      </w:r>
    </w:p>
    <w:p w14:paraId="1699679C"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proofErr w:type="spellStart"/>
      <w:r w:rsidRPr="00AF5620">
        <w:rPr>
          <w:rFonts w:eastAsia="Times New Roman" w:cstheme="minorHAnsi"/>
          <w:szCs w:val="20"/>
        </w:rPr>
        <w:t>Gostin</w:t>
      </w:r>
      <w:proofErr w:type="spellEnd"/>
      <w:r w:rsidRPr="00AF5620">
        <w:rPr>
          <w:rFonts w:eastAsia="Times New Roman" w:cstheme="minorHAnsi"/>
          <w:szCs w:val="20"/>
        </w:rPr>
        <w:t xml:space="preserve"> LO. </w:t>
      </w:r>
      <w:r w:rsidRPr="00AF5620">
        <w:rPr>
          <w:rFonts w:eastAsia="Times New Roman" w:cstheme="minorHAnsi"/>
          <w:i/>
          <w:iCs/>
          <w:szCs w:val="20"/>
          <w:bdr w:val="none" w:sz="0" w:space="0" w:color="auto" w:frame="1"/>
        </w:rPr>
        <w:t>Public Health Law - Power, Duty, Restraint</w:t>
      </w:r>
      <w:r w:rsidRPr="00AF5620">
        <w:rPr>
          <w:rFonts w:eastAsia="Times New Roman" w:cstheme="minorHAnsi"/>
          <w:szCs w:val="20"/>
        </w:rPr>
        <w:t>. (2008), p 468, 699-700. </w:t>
      </w:r>
      <w:r w:rsidRPr="00AF5620">
        <w:rPr>
          <w:rFonts w:eastAsia="Times New Roman" w:cstheme="minorHAnsi"/>
          <w:i/>
          <w:iCs/>
          <w:szCs w:val="20"/>
          <w:bdr w:val="none" w:sz="0" w:space="0" w:color="auto" w:frame="1"/>
        </w:rPr>
        <w:t>See</w:t>
      </w:r>
      <w:r w:rsidRPr="00AF5620">
        <w:rPr>
          <w:rFonts w:eastAsia="Times New Roman" w:cstheme="minorHAnsi"/>
          <w:szCs w:val="20"/>
        </w:rPr>
        <w:t> endnotes 57-58.</w:t>
      </w:r>
    </w:p>
    <w:p w14:paraId="16287CC1"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Michigan v. Tyler</w:t>
      </w:r>
      <w:r w:rsidRPr="00AF5620">
        <w:rPr>
          <w:rFonts w:eastAsia="Times New Roman" w:cstheme="minorHAnsi"/>
          <w:szCs w:val="20"/>
        </w:rPr>
        <w:t>, 436 U.S. 499 (1978).</w:t>
      </w:r>
    </w:p>
    <w:p w14:paraId="2A46AA9E"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lastRenderedPageBreak/>
        <w:t>Richards, EP. "Collaboration between Public Health and Law Enforcement: The Constitutional Challenge. Emerging Infectious Diseases." Available at </w:t>
      </w:r>
      <w:hyperlink r:id="rId19" w:history="1">
        <w:r w:rsidRPr="00AF5620">
          <w:rPr>
            <w:rFonts w:eastAsia="Times New Roman" w:cstheme="minorHAnsi"/>
            <w:color w:val="0F88B8"/>
            <w:szCs w:val="20"/>
            <w:u w:val="single"/>
            <w:bdr w:val="none" w:sz="0" w:space="0" w:color="auto" w:frame="1"/>
          </w:rPr>
          <w:t>http://wwwnc.cdc.gov/eid/article/8/10/02-0465_article.htm</w:t>
        </w:r>
      </w:hyperlink>
      <w:r w:rsidRPr="00AF5620">
        <w:rPr>
          <w:rFonts w:eastAsia="Times New Roman" w:cstheme="minorHAnsi"/>
          <w:color w:val="737373"/>
          <w:szCs w:val="20"/>
        </w:rPr>
        <w:t xml:space="preserve">. </w:t>
      </w:r>
      <w:r w:rsidRPr="00AF5620">
        <w:rPr>
          <w:rFonts w:eastAsia="Times New Roman" w:cstheme="minorHAnsi"/>
          <w:szCs w:val="20"/>
        </w:rPr>
        <w:t xml:space="preserve">Accessed 11-15-2012. Goodman, R.A., Munson, JW, </w:t>
      </w:r>
      <w:proofErr w:type="spellStart"/>
      <w:r w:rsidRPr="00AF5620">
        <w:rPr>
          <w:rFonts w:eastAsia="Times New Roman" w:cstheme="minorHAnsi"/>
          <w:szCs w:val="20"/>
        </w:rPr>
        <w:t>Dammer</w:t>
      </w:r>
      <w:proofErr w:type="spellEnd"/>
      <w:r w:rsidRPr="00AF5620">
        <w:rPr>
          <w:rFonts w:eastAsia="Times New Roman" w:cstheme="minorHAnsi"/>
          <w:szCs w:val="20"/>
        </w:rPr>
        <w:t xml:space="preserve">, K., </w:t>
      </w:r>
      <w:proofErr w:type="spellStart"/>
      <w:r w:rsidRPr="00AF5620">
        <w:rPr>
          <w:rFonts w:eastAsia="Times New Roman" w:cstheme="minorHAnsi"/>
          <w:szCs w:val="20"/>
        </w:rPr>
        <w:t>Lazzarini</w:t>
      </w:r>
      <w:proofErr w:type="spellEnd"/>
      <w:r w:rsidRPr="00AF5620">
        <w:rPr>
          <w:rFonts w:eastAsia="Times New Roman" w:cstheme="minorHAnsi"/>
          <w:szCs w:val="20"/>
        </w:rPr>
        <w:t xml:space="preserve">, Z., and </w:t>
      </w:r>
      <w:proofErr w:type="spellStart"/>
      <w:r w:rsidRPr="00AF5620">
        <w:rPr>
          <w:rFonts w:eastAsia="Times New Roman" w:cstheme="minorHAnsi"/>
          <w:szCs w:val="20"/>
        </w:rPr>
        <w:t>Barkely</w:t>
      </w:r>
      <w:proofErr w:type="spellEnd"/>
      <w:r w:rsidRPr="00AF5620">
        <w:rPr>
          <w:rFonts w:eastAsia="Times New Roman" w:cstheme="minorHAnsi"/>
          <w:szCs w:val="20"/>
        </w:rPr>
        <w:t xml:space="preserve"> JP. "Forensic Epidemiology: Law at the Intersection of Public Health and Criminal Investigations." </w:t>
      </w:r>
      <w:r w:rsidRPr="00AF5620">
        <w:rPr>
          <w:rFonts w:eastAsia="Times New Roman" w:cstheme="minorHAnsi"/>
          <w:i/>
          <w:iCs/>
          <w:szCs w:val="20"/>
          <w:bdr w:val="none" w:sz="0" w:space="0" w:color="auto" w:frame="1"/>
        </w:rPr>
        <w:t>Journal of the American Society of Law, Medicine &amp; Ethics</w:t>
      </w:r>
      <w:r w:rsidRPr="00AF5620">
        <w:rPr>
          <w:rFonts w:eastAsia="Times New Roman" w:cstheme="minorHAnsi"/>
          <w:szCs w:val="20"/>
        </w:rPr>
        <w:t>. Available at</w:t>
      </w:r>
      <w:r w:rsidRPr="00AF5620">
        <w:rPr>
          <w:rFonts w:eastAsia="Times New Roman" w:cstheme="minorHAnsi"/>
          <w:color w:val="737373"/>
          <w:szCs w:val="20"/>
        </w:rPr>
        <w:t> </w:t>
      </w:r>
      <w:hyperlink r:id="rId20" w:history="1">
        <w:r w:rsidRPr="00AF5620">
          <w:rPr>
            <w:rFonts w:eastAsia="Times New Roman" w:cstheme="minorHAnsi"/>
            <w:color w:val="0F88B8"/>
            <w:szCs w:val="20"/>
            <w:u w:val="single"/>
            <w:bdr w:val="none" w:sz="0" w:space="0" w:color="auto" w:frame="1"/>
          </w:rPr>
          <w:t>http://www.ncbi.nlm.nih.gov/pubmed/14968670</w:t>
        </w:r>
      </w:hyperlink>
      <w:r w:rsidRPr="00AF5620">
        <w:rPr>
          <w:rFonts w:eastAsia="Times New Roman" w:cstheme="minorHAnsi"/>
          <w:color w:val="737373"/>
          <w:szCs w:val="20"/>
        </w:rPr>
        <w:t xml:space="preserve">. </w:t>
      </w:r>
      <w:r w:rsidRPr="00AF5620">
        <w:rPr>
          <w:rFonts w:eastAsia="Times New Roman" w:cstheme="minorHAnsi"/>
          <w:szCs w:val="20"/>
        </w:rPr>
        <w:t>Accessed on 2-7-2013.</w:t>
      </w:r>
    </w:p>
    <w:p w14:paraId="740C3335"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45 C.F.R. Parts 160 and 164.</w:t>
      </w:r>
    </w:p>
    <w:p w14:paraId="131560DB"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Pub. L. 104-191, 42 U.S.C. § 300gg </w:t>
      </w:r>
      <w:r w:rsidRPr="00AF5620">
        <w:rPr>
          <w:rFonts w:eastAsia="Times New Roman" w:cstheme="minorHAnsi"/>
          <w:i/>
          <w:iCs/>
          <w:szCs w:val="20"/>
          <w:bdr w:val="none" w:sz="0" w:space="0" w:color="auto" w:frame="1"/>
        </w:rPr>
        <w:t>et seq</w:t>
      </w:r>
      <w:r w:rsidRPr="00AF5620">
        <w:rPr>
          <w:rFonts w:eastAsia="Times New Roman" w:cstheme="minorHAnsi"/>
          <w:szCs w:val="20"/>
        </w:rPr>
        <w:t>.</w:t>
      </w:r>
    </w:p>
    <w:p w14:paraId="36317AEA"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Pub. L. 93-380, 20 U.S.C. § 1232g, implemented by 34 C.F.R. Part 99.</w:t>
      </w:r>
    </w:p>
    <w:p w14:paraId="2345362E"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34 C.F.R. § 99.31.</w:t>
      </w:r>
    </w:p>
    <w:p w14:paraId="313C4E04"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Pub. L. 107-188, 42 U.S.C. 300hh </w:t>
      </w:r>
      <w:r w:rsidRPr="00AF5620">
        <w:rPr>
          <w:rFonts w:eastAsia="Times New Roman" w:cstheme="minorHAnsi"/>
          <w:i/>
          <w:iCs/>
          <w:szCs w:val="20"/>
          <w:bdr w:val="none" w:sz="0" w:space="0" w:color="auto" w:frame="1"/>
        </w:rPr>
        <w:t>et seq</w:t>
      </w:r>
      <w:r w:rsidRPr="00AF5620">
        <w:rPr>
          <w:rFonts w:eastAsia="Times New Roman" w:cstheme="minorHAnsi"/>
          <w:szCs w:val="20"/>
        </w:rPr>
        <w:t>.</w:t>
      </w:r>
    </w:p>
    <w:p w14:paraId="7189B7FB" w14:textId="77777777" w:rsidR="00F44300" w:rsidRPr="00AF562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Public Health Service Act, 42 U.S.C. § 247d-1.</w:t>
      </w:r>
    </w:p>
    <w:p w14:paraId="4B6411CB" w14:textId="1EE47609" w:rsidR="00F44300" w:rsidRDefault="00F44300" w:rsidP="00F44300">
      <w:pPr>
        <w:numPr>
          <w:ilvl w:val="0"/>
          <w:numId w:val="18"/>
        </w:numPr>
        <w:spacing w:line="480" w:lineRule="auto"/>
        <w:ind w:left="450"/>
        <w:textAlignment w:val="baseline"/>
        <w:rPr>
          <w:rFonts w:eastAsia="Times New Roman" w:cstheme="minorHAnsi"/>
          <w:szCs w:val="20"/>
        </w:rPr>
      </w:pPr>
      <w:r w:rsidRPr="00AF5620">
        <w:rPr>
          <w:rFonts w:eastAsia="Times New Roman" w:cstheme="minorHAnsi"/>
          <w:szCs w:val="20"/>
        </w:rPr>
        <w:t>Critical Infrastructure Information Act of 2002, Pub. L. 107-296, 6 U.S.C. 131 </w:t>
      </w:r>
      <w:r w:rsidRPr="00AF5620">
        <w:rPr>
          <w:rFonts w:eastAsia="Times New Roman" w:cstheme="minorHAnsi"/>
          <w:i/>
          <w:iCs/>
          <w:szCs w:val="20"/>
          <w:bdr w:val="none" w:sz="0" w:space="0" w:color="auto" w:frame="1"/>
        </w:rPr>
        <w:t>et seq</w:t>
      </w:r>
      <w:r w:rsidRPr="00AF5620">
        <w:rPr>
          <w:rFonts w:eastAsia="Times New Roman" w:cstheme="minorHAnsi"/>
          <w:szCs w:val="20"/>
        </w:rPr>
        <w:t>., which is part of the Homeland Security Act of 2002. </w:t>
      </w:r>
    </w:p>
    <w:p w14:paraId="3D90F1F0" w14:textId="77777777" w:rsidR="002121D5" w:rsidRPr="00AF5620" w:rsidRDefault="002121D5" w:rsidP="002121D5">
      <w:pPr>
        <w:spacing w:line="480" w:lineRule="auto"/>
        <w:ind w:left="90"/>
        <w:textAlignment w:val="baseline"/>
        <w:rPr>
          <w:rFonts w:eastAsia="Times New Roman" w:cstheme="minorHAnsi"/>
          <w:szCs w:val="20"/>
        </w:rPr>
      </w:pPr>
    </w:p>
    <w:p w14:paraId="6D721CDE" w14:textId="77777777" w:rsidR="002121D5" w:rsidRPr="00F93EAF" w:rsidRDefault="002121D5" w:rsidP="002121D5">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[TOC T</w:t>
        </w:r>
        <w:r w:rsidRPr="00F93EAF">
          <w:rPr>
            <w:rStyle w:val="Heading2Char"/>
            <w:rFonts w:asciiTheme="minorHAnsi" w:eastAsiaTheme="minorHAnsi" w:hAnsiTheme="minorHAnsi" w:cstheme="minorHAnsi"/>
            <w:color w:val="0070C0"/>
            <w:sz w:val="24"/>
          </w:rPr>
          <w:t>o</w:t>
        </w:r>
        <w:r w:rsidRPr="00F93EAF">
          <w:rPr>
            <w:rStyle w:val="Heading2Char"/>
            <w:rFonts w:asciiTheme="minorHAnsi" w:eastAsiaTheme="minorHAnsi" w:hAnsiTheme="minorHAnsi" w:cstheme="minorHAnsi"/>
            <w:color w:val="0070C0"/>
            <w:sz w:val="24"/>
          </w:rPr>
          <w:t>p]</w:t>
        </w:r>
      </w:hyperlink>
    </w:p>
    <w:p w14:paraId="53BB4A4A" w14:textId="531DE9F3" w:rsidR="004505F9" w:rsidRDefault="004505F9">
      <w:pPr>
        <w:rPr>
          <w:rFonts w:eastAsia="Times New Roman" w:cstheme="minorHAnsi"/>
          <w:szCs w:val="20"/>
        </w:rPr>
      </w:pPr>
      <w:r>
        <w:rPr>
          <w:rFonts w:eastAsia="Times New Roman" w:cstheme="minorHAnsi"/>
          <w:szCs w:val="20"/>
        </w:rPr>
        <w:br w:type="page"/>
      </w:r>
    </w:p>
    <w:p w14:paraId="6ECF6EF0" w14:textId="77777777" w:rsidR="00F44300" w:rsidRPr="006C2493" w:rsidRDefault="00F44300" w:rsidP="000F2353">
      <w:pPr>
        <w:spacing w:after="120"/>
        <w:rPr>
          <w:rFonts w:ascii="Calibri" w:eastAsia="Times New Roman" w:hAnsi="Calibri" w:cs="Calibri"/>
          <w:b/>
          <w:bCs/>
          <w:color w:val="333333"/>
          <w:spacing w:val="15"/>
          <w:kern w:val="36"/>
          <w:sz w:val="28"/>
          <w:szCs w:val="28"/>
        </w:rPr>
      </w:pPr>
      <w:bookmarkStart w:id="5" w:name="InfoShare_LawEnforce_IB"/>
      <w:r w:rsidRPr="006C2493">
        <w:rPr>
          <w:rFonts w:ascii="Calibri" w:eastAsia="Times New Roman" w:hAnsi="Calibri" w:cs="Calibri"/>
          <w:b/>
          <w:bCs/>
          <w:color w:val="333333"/>
          <w:spacing w:val="15"/>
          <w:kern w:val="36"/>
          <w:sz w:val="28"/>
          <w:szCs w:val="28"/>
        </w:rPr>
        <w:lastRenderedPageBreak/>
        <w:t>Authorities and Limitations in Sharing Information Between Public Health Agencies and Law Enforcement</w:t>
      </w:r>
      <w:bookmarkEnd w:id="5"/>
    </w:p>
    <w:p w14:paraId="26DFCD9F" w14:textId="77777777" w:rsidR="00F44300" w:rsidRPr="006C2493" w:rsidRDefault="00F44300" w:rsidP="00764111">
      <w:pPr>
        <w:spacing w:line="360" w:lineRule="auto"/>
        <w:rPr>
          <w:rFonts w:ascii="Calibri" w:eastAsia="Times New Roman" w:hAnsi="Calibri" w:cs="Calibri"/>
          <w:b/>
          <w:bCs/>
          <w:color w:val="3C3030"/>
          <w:sz w:val="24"/>
          <w:szCs w:val="24"/>
        </w:rPr>
      </w:pPr>
      <w:r w:rsidRPr="006C2493">
        <w:rPr>
          <w:rFonts w:ascii="Calibri" w:eastAsia="Times New Roman" w:hAnsi="Calibri" w:cs="Calibri"/>
          <w:b/>
          <w:bCs/>
          <w:color w:val="3C3030"/>
          <w:sz w:val="24"/>
          <w:szCs w:val="24"/>
        </w:rPr>
        <w:t>Issue Brief</w:t>
      </w:r>
    </w:p>
    <w:p w14:paraId="72E01DE8" w14:textId="77777777" w:rsidR="00F44300" w:rsidRPr="002B0A02" w:rsidRDefault="00F44300" w:rsidP="00764111">
      <w:pPr>
        <w:spacing w:line="360" w:lineRule="auto"/>
        <w:rPr>
          <w:rFonts w:ascii="Calibri" w:eastAsia="Times New Roman" w:hAnsi="Calibri" w:cs="Calibri"/>
          <w:b/>
          <w:bCs/>
        </w:rPr>
      </w:pPr>
    </w:p>
    <w:p w14:paraId="1AE8429F" w14:textId="77777777" w:rsidR="00F44300" w:rsidRPr="006C2493" w:rsidRDefault="00F44300" w:rsidP="00764111">
      <w:pPr>
        <w:spacing w:line="360" w:lineRule="auto"/>
        <w:rPr>
          <w:rFonts w:ascii="Calibri" w:eastAsia="Times New Roman" w:hAnsi="Calibri" w:cs="Calibri"/>
          <w:b/>
          <w:bCs/>
        </w:rPr>
      </w:pPr>
      <w:r w:rsidRPr="006C2493">
        <w:rPr>
          <w:rFonts w:ascii="Calibri" w:eastAsia="Times New Roman" w:hAnsi="Calibri" w:cs="Calibri"/>
          <w:b/>
          <w:bCs/>
        </w:rPr>
        <w:t>Introduction </w:t>
      </w:r>
    </w:p>
    <w:p w14:paraId="5B50929F" w14:textId="77777777" w:rsidR="00F44300" w:rsidRPr="006C2493"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Public health agencies and law enforcement share responsibility for protecting the public and promoting its welfare. Their cooperation and collaboration are crucial to all components of emergency management: preparedness, mitigation, response, and recovery. Whether a public health emergency is caused by natural, accidental, or intentional means, data about the emergency and its impacts are crucial for both public health and law enforcement to carry out their respective functions. For this reason, "information sharing" is one of the 15 capabilities for national public health preparedness standards developed by CDC to assist state and local public health departments in their strategic planning.</w:t>
      </w:r>
      <w:r w:rsidRPr="006C2493">
        <w:rPr>
          <w:rFonts w:ascii="Calibri" w:eastAsia="Times New Roman" w:hAnsi="Calibri" w:cs="Calibri"/>
          <w:bdr w:val="none" w:sz="0" w:space="0" w:color="auto" w:frame="1"/>
          <w:vertAlign w:val="superscript"/>
        </w:rPr>
        <w:t>1</w:t>
      </w:r>
    </w:p>
    <w:p w14:paraId="3D15B4D4" w14:textId="77777777" w:rsidR="00F44300" w:rsidRPr="002B0A02" w:rsidRDefault="00F44300" w:rsidP="00764111">
      <w:pPr>
        <w:shd w:val="clear" w:color="auto" w:fill="FFFFFF"/>
        <w:spacing w:line="360" w:lineRule="auto"/>
        <w:textAlignment w:val="baseline"/>
        <w:rPr>
          <w:rFonts w:ascii="Calibri" w:eastAsia="Times New Roman" w:hAnsi="Calibri" w:cs="Calibri"/>
        </w:rPr>
      </w:pPr>
    </w:p>
    <w:p w14:paraId="04C70568" w14:textId="77777777" w:rsidR="00F44300" w:rsidRPr="006C2493"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 xml:space="preserve">Public health officials must understand their legal authority and limitations in providing information to law enforcement. </w:t>
      </w:r>
      <w:proofErr w:type="gramStart"/>
      <w:r w:rsidRPr="006C2493">
        <w:rPr>
          <w:rFonts w:ascii="Calibri" w:eastAsia="Times New Roman" w:hAnsi="Calibri" w:cs="Calibri"/>
        </w:rPr>
        <w:t>In particular, public</w:t>
      </w:r>
      <w:proofErr w:type="gramEnd"/>
      <w:r w:rsidRPr="006C2493">
        <w:rPr>
          <w:rFonts w:ascii="Calibri" w:eastAsia="Times New Roman" w:hAnsi="Calibri" w:cs="Calibri"/>
        </w:rPr>
        <w:t xml:space="preserve"> health agencies are subject to laws that provide for confidentiality of individually identifiable information. This issue brief examines the legal basis for public health agencies to share identifiable information with law enforcement and the benefits and challenges of working jointly to investigate public health events that may involve criminal activity. For information on public health authority and information sharing in general, see the </w:t>
      </w:r>
      <w:hyperlink r:id="rId21" w:tooltip="Public Health Collection, Use, Sharing &amp;amp; Protection of Information Issue Brief" w:history="1">
        <w:r w:rsidRPr="006C2493">
          <w:rPr>
            <w:rFonts w:ascii="Calibri" w:eastAsia="Times New Roman" w:hAnsi="Calibri" w:cs="Calibri"/>
            <w:i/>
            <w:iCs/>
            <w:color w:val="0F88B8"/>
            <w:u w:val="single"/>
            <w:bdr w:val="none" w:sz="0" w:space="0" w:color="auto" w:frame="1"/>
          </w:rPr>
          <w:t>Public Health Collection, Use, Sharing &amp; Protection of Information Issue Brief</w:t>
        </w:r>
      </w:hyperlink>
      <w:r w:rsidRPr="006C2493">
        <w:rPr>
          <w:rFonts w:ascii="Calibri" w:eastAsia="Times New Roman" w:hAnsi="Calibri" w:cs="Calibri"/>
          <w:color w:val="737373"/>
        </w:rPr>
        <w:t> </w:t>
      </w:r>
      <w:r w:rsidRPr="006C2493">
        <w:rPr>
          <w:rFonts w:ascii="Calibri" w:eastAsia="Times New Roman" w:hAnsi="Calibri" w:cs="Calibri"/>
        </w:rPr>
        <w:t>that is part of the </w:t>
      </w:r>
      <w:r w:rsidRPr="006C2493">
        <w:rPr>
          <w:rFonts w:ascii="Calibri" w:eastAsia="Times New Roman" w:hAnsi="Calibri" w:cs="Calibri"/>
          <w:i/>
          <w:iCs/>
          <w:bdr w:val="none" w:sz="0" w:space="0" w:color="auto" w:frame="1"/>
        </w:rPr>
        <w:t>Public Health &amp; Information Sharing Toolkit.</w:t>
      </w:r>
      <w:r w:rsidRPr="006C2493">
        <w:rPr>
          <w:rFonts w:ascii="Calibri" w:eastAsia="Times New Roman" w:hAnsi="Calibri" w:cs="Calibri"/>
        </w:rPr>
        <w:t> </w:t>
      </w:r>
    </w:p>
    <w:p w14:paraId="622718D5" w14:textId="77777777" w:rsidR="00F44300" w:rsidRPr="002B0A02" w:rsidRDefault="00F44300" w:rsidP="00764111">
      <w:pPr>
        <w:spacing w:line="360" w:lineRule="auto"/>
        <w:rPr>
          <w:rFonts w:ascii="Calibri" w:eastAsia="Times New Roman" w:hAnsi="Calibri" w:cs="Calibri"/>
          <w:b/>
          <w:bCs/>
        </w:rPr>
      </w:pPr>
    </w:p>
    <w:p w14:paraId="10F08A1C" w14:textId="77777777" w:rsidR="00F44300" w:rsidRPr="006C2493" w:rsidRDefault="00F44300" w:rsidP="00764111">
      <w:pPr>
        <w:spacing w:line="360" w:lineRule="auto"/>
        <w:rPr>
          <w:rFonts w:ascii="Calibri" w:eastAsia="Times New Roman" w:hAnsi="Calibri" w:cs="Calibri"/>
          <w:b/>
          <w:bCs/>
        </w:rPr>
      </w:pPr>
      <w:r w:rsidRPr="006C2493">
        <w:rPr>
          <w:rFonts w:ascii="Calibri" w:eastAsia="Times New Roman" w:hAnsi="Calibri" w:cs="Calibri"/>
          <w:b/>
          <w:bCs/>
        </w:rPr>
        <w:t>I. Potential Areas for Information Sharing </w:t>
      </w:r>
    </w:p>
    <w:p w14:paraId="76EF08C5" w14:textId="77777777" w:rsidR="00F44300" w:rsidRPr="006C2493"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While public health and law enforcement both protect society, they differ in their missions and approaches. Public health is responsible for protecting and promoting the health of communities through prevention, policy development, and population health surveillance. Law enforcement is responsible for identifying and apprehending people who have committed crimes or pose a threat to others.</w:t>
      </w:r>
      <w:r w:rsidRPr="006C2493">
        <w:rPr>
          <w:rFonts w:ascii="Calibri" w:eastAsia="Times New Roman" w:hAnsi="Calibri" w:cs="Calibri"/>
          <w:bdr w:val="none" w:sz="0" w:space="0" w:color="auto" w:frame="1"/>
          <w:vertAlign w:val="superscript"/>
        </w:rPr>
        <w:t>2</w:t>
      </w:r>
      <w:r w:rsidRPr="006C2493">
        <w:rPr>
          <w:rFonts w:ascii="Calibri" w:eastAsia="Times New Roman" w:hAnsi="Calibri" w:cs="Calibri"/>
        </w:rPr>
        <w:t xml:space="preserve"> Common terminology used in public health and law enforcement reflects their different roles. For example, when used in the public health context, "surveillance" refers to the ongoing systematic collection, analysis, interpretation, and dissemination of data regarding a health-related event for use in public health action to reduce morbidity and mortality and to improve health. When used in a law enforcement context, "surveillance" means observations of premises or person(s) under </w:t>
      </w:r>
      <w:r w:rsidRPr="006C2493">
        <w:rPr>
          <w:rFonts w:ascii="Calibri" w:eastAsia="Times New Roman" w:hAnsi="Calibri" w:cs="Calibri"/>
        </w:rPr>
        <w:lastRenderedPageBreak/>
        <w:t>suspicion.</w:t>
      </w:r>
      <w:r w:rsidRPr="006C2493">
        <w:rPr>
          <w:rFonts w:ascii="Calibri" w:eastAsia="Times New Roman" w:hAnsi="Calibri" w:cs="Calibri"/>
          <w:bdr w:val="none" w:sz="0" w:space="0" w:color="auto" w:frame="1"/>
          <w:vertAlign w:val="superscript"/>
        </w:rPr>
        <w:t>3</w:t>
      </w:r>
      <w:r w:rsidRPr="006C2493">
        <w:rPr>
          <w:rFonts w:ascii="Calibri" w:eastAsia="Times New Roman" w:hAnsi="Calibri" w:cs="Calibri"/>
        </w:rPr>
        <w:t> Similarly, public health conducts "investigations" to determine the cause of disease and prevent its spread. Law enforcement conducts "investigations" to identify suspects, collect evidence, and solve crimes.</w:t>
      </w:r>
      <w:r w:rsidRPr="006C2493">
        <w:rPr>
          <w:rFonts w:ascii="Calibri" w:eastAsia="Times New Roman" w:hAnsi="Calibri" w:cs="Calibri"/>
          <w:bdr w:val="none" w:sz="0" w:space="0" w:color="auto" w:frame="1"/>
          <w:vertAlign w:val="superscript"/>
        </w:rPr>
        <w:t>4</w:t>
      </w:r>
    </w:p>
    <w:p w14:paraId="4B305B09" w14:textId="77777777" w:rsidR="00F44300" w:rsidRPr="006C2493" w:rsidRDefault="00F44300" w:rsidP="00764111">
      <w:pPr>
        <w:shd w:val="clear" w:color="auto" w:fill="FFFFFF"/>
        <w:spacing w:after="120" w:line="360" w:lineRule="auto"/>
        <w:textAlignment w:val="baseline"/>
        <w:rPr>
          <w:rFonts w:ascii="Calibri" w:eastAsia="Times New Roman" w:hAnsi="Calibri" w:cs="Calibri"/>
        </w:rPr>
      </w:pPr>
      <w:proofErr w:type="gramStart"/>
      <w:r w:rsidRPr="006C2493">
        <w:rPr>
          <w:rFonts w:ascii="Calibri" w:eastAsia="Times New Roman" w:hAnsi="Calibri" w:cs="Calibri"/>
        </w:rPr>
        <w:t>With regard to</w:t>
      </w:r>
      <w:proofErr w:type="gramEnd"/>
      <w:r w:rsidRPr="006C2493">
        <w:rPr>
          <w:rFonts w:ascii="Calibri" w:eastAsia="Times New Roman" w:hAnsi="Calibri" w:cs="Calibri"/>
        </w:rPr>
        <w:t xml:space="preserve"> a public health threat or emergency, law enforcement's role might include:</w:t>
      </w:r>
    </w:p>
    <w:p w14:paraId="192150A6" w14:textId="77777777" w:rsidR="00F44300" w:rsidRPr="002B0A02" w:rsidRDefault="00F44300" w:rsidP="00F44300">
      <w:pPr>
        <w:numPr>
          <w:ilvl w:val="0"/>
          <w:numId w:val="21"/>
        </w:numPr>
        <w:spacing w:after="120" w:line="360" w:lineRule="auto"/>
        <w:textAlignment w:val="baseline"/>
        <w:rPr>
          <w:rFonts w:ascii="Calibri" w:eastAsia="Times New Roman" w:hAnsi="Calibri" w:cs="Calibri"/>
        </w:rPr>
      </w:pPr>
      <w:r w:rsidRPr="002B0A02">
        <w:rPr>
          <w:rFonts w:ascii="Calibri" w:eastAsia="Times New Roman" w:hAnsi="Calibri" w:cs="Calibri"/>
        </w:rPr>
        <w:t>Locating an infected person who is either knowingly or unknowingly spreading a disease.</w:t>
      </w:r>
    </w:p>
    <w:p w14:paraId="2E1FA4C2" w14:textId="77777777" w:rsidR="00F44300" w:rsidRPr="002B0A02" w:rsidRDefault="00F44300" w:rsidP="00F44300">
      <w:pPr>
        <w:numPr>
          <w:ilvl w:val="0"/>
          <w:numId w:val="21"/>
        </w:numPr>
        <w:spacing w:after="120" w:line="360" w:lineRule="auto"/>
        <w:textAlignment w:val="baseline"/>
        <w:rPr>
          <w:rFonts w:ascii="Calibri" w:eastAsia="Times New Roman" w:hAnsi="Calibri" w:cs="Calibri"/>
        </w:rPr>
      </w:pPr>
      <w:r w:rsidRPr="002B0A02">
        <w:rPr>
          <w:rFonts w:ascii="Calibri" w:eastAsia="Times New Roman" w:hAnsi="Calibri" w:cs="Calibri"/>
        </w:rPr>
        <w:t>Enforcing public health orders (e.g., quarantine, isolation, travel restrictions, and evacuation).</w:t>
      </w:r>
    </w:p>
    <w:p w14:paraId="0F005FA6" w14:textId="77777777" w:rsidR="00F44300" w:rsidRPr="002B0A02" w:rsidRDefault="00F44300" w:rsidP="00F44300">
      <w:pPr>
        <w:numPr>
          <w:ilvl w:val="0"/>
          <w:numId w:val="21"/>
        </w:numPr>
        <w:spacing w:after="120" w:line="360" w:lineRule="auto"/>
        <w:textAlignment w:val="baseline"/>
        <w:rPr>
          <w:rFonts w:ascii="Calibri" w:eastAsia="Times New Roman" w:hAnsi="Calibri" w:cs="Calibri"/>
        </w:rPr>
      </w:pPr>
      <w:r w:rsidRPr="002B0A02">
        <w:rPr>
          <w:rFonts w:ascii="Calibri" w:eastAsia="Times New Roman" w:hAnsi="Calibri" w:cs="Calibri"/>
        </w:rPr>
        <w:t>Securing the perimeter of contaminated areas.</w:t>
      </w:r>
    </w:p>
    <w:p w14:paraId="1C622D7C" w14:textId="77777777" w:rsidR="00F44300" w:rsidRPr="002B0A02" w:rsidRDefault="00F44300" w:rsidP="00F44300">
      <w:pPr>
        <w:numPr>
          <w:ilvl w:val="0"/>
          <w:numId w:val="21"/>
        </w:numPr>
        <w:spacing w:after="120" w:line="360" w:lineRule="auto"/>
        <w:textAlignment w:val="baseline"/>
        <w:rPr>
          <w:rFonts w:ascii="Calibri" w:eastAsia="Times New Roman" w:hAnsi="Calibri" w:cs="Calibri"/>
        </w:rPr>
      </w:pPr>
      <w:r w:rsidRPr="002B0A02">
        <w:rPr>
          <w:rFonts w:ascii="Calibri" w:eastAsia="Times New Roman" w:hAnsi="Calibri" w:cs="Calibri"/>
        </w:rPr>
        <w:t>Securing healthcare facilities and public health sites, such as mass vaccination or treatment sites.</w:t>
      </w:r>
    </w:p>
    <w:p w14:paraId="7D77C124" w14:textId="77777777" w:rsidR="00F44300" w:rsidRPr="002B0A02" w:rsidRDefault="00F44300" w:rsidP="00F44300">
      <w:pPr>
        <w:numPr>
          <w:ilvl w:val="0"/>
          <w:numId w:val="21"/>
        </w:numPr>
        <w:spacing w:after="120" w:line="360" w:lineRule="auto"/>
        <w:textAlignment w:val="baseline"/>
        <w:rPr>
          <w:rFonts w:ascii="Calibri" w:eastAsia="Times New Roman" w:hAnsi="Calibri" w:cs="Calibri"/>
        </w:rPr>
      </w:pPr>
      <w:r w:rsidRPr="002B0A02">
        <w:rPr>
          <w:rFonts w:ascii="Calibri" w:eastAsia="Times New Roman" w:hAnsi="Calibri" w:cs="Calibri"/>
        </w:rPr>
        <w:t>Controlling crowds.</w:t>
      </w:r>
    </w:p>
    <w:p w14:paraId="76396CC6" w14:textId="77777777" w:rsidR="00F44300" w:rsidRPr="002B0A02" w:rsidRDefault="00F44300" w:rsidP="00F44300">
      <w:pPr>
        <w:numPr>
          <w:ilvl w:val="0"/>
          <w:numId w:val="21"/>
        </w:numPr>
        <w:spacing w:after="120" w:line="360" w:lineRule="auto"/>
        <w:textAlignment w:val="baseline"/>
        <w:rPr>
          <w:rFonts w:ascii="Calibri" w:eastAsia="Times New Roman" w:hAnsi="Calibri" w:cs="Calibri"/>
        </w:rPr>
      </w:pPr>
      <w:r w:rsidRPr="002B0A02">
        <w:rPr>
          <w:rFonts w:ascii="Calibri" w:eastAsia="Times New Roman" w:hAnsi="Calibri" w:cs="Calibri"/>
        </w:rPr>
        <w:t>Investigating scenes of suspected biological or chemical terrorism.</w:t>
      </w:r>
    </w:p>
    <w:p w14:paraId="140EDAF3" w14:textId="77777777" w:rsidR="00F44300" w:rsidRPr="002B0A02" w:rsidRDefault="00F44300" w:rsidP="00F44300">
      <w:pPr>
        <w:numPr>
          <w:ilvl w:val="0"/>
          <w:numId w:val="21"/>
        </w:numPr>
        <w:spacing w:after="120" w:line="360" w:lineRule="auto"/>
        <w:textAlignment w:val="baseline"/>
        <w:rPr>
          <w:rFonts w:ascii="Calibri" w:eastAsia="Times New Roman" w:hAnsi="Calibri" w:cs="Calibri"/>
        </w:rPr>
      </w:pPr>
      <w:r w:rsidRPr="002B0A02">
        <w:rPr>
          <w:rFonts w:ascii="Calibri" w:eastAsia="Times New Roman" w:hAnsi="Calibri" w:cs="Calibri"/>
        </w:rPr>
        <w:t>Protecting national stockpiles of vaccines or other medicines.</w:t>
      </w:r>
      <w:r w:rsidRPr="002B0A02">
        <w:rPr>
          <w:rFonts w:ascii="Calibri" w:eastAsia="Times New Roman" w:hAnsi="Calibri" w:cs="Calibri"/>
          <w:bdr w:val="none" w:sz="0" w:space="0" w:color="auto" w:frame="1"/>
          <w:vertAlign w:val="superscript"/>
        </w:rPr>
        <w:t>5</w:t>
      </w:r>
    </w:p>
    <w:p w14:paraId="18F248DD" w14:textId="77777777" w:rsidR="00F44300" w:rsidRPr="006C2493" w:rsidRDefault="00F44300" w:rsidP="00764111">
      <w:pPr>
        <w:spacing w:line="360" w:lineRule="auto"/>
        <w:textAlignment w:val="baseline"/>
        <w:rPr>
          <w:rFonts w:ascii="Calibri" w:eastAsia="Times New Roman" w:hAnsi="Calibri" w:cs="Calibri"/>
        </w:rPr>
      </w:pPr>
    </w:p>
    <w:p w14:paraId="21E1FCAF" w14:textId="77777777" w:rsidR="00F44300"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For most security purposes, such as controlling crowds or securing facilities, law enforcement should not need identifiable information. However, for some purposes, public health agencies may need to provide identifiable personal, epidemiological, or medical information about patients or other members of the public to enable law enforcement staff to do their job and protect themselves from potentially harmful exposure or carrying contaminants from a scene.</w:t>
      </w:r>
    </w:p>
    <w:p w14:paraId="75A79A77"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39DDBFB7" w14:textId="77777777" w:rsidR="00F44300" w:rsidRPr="006C2493" w:rsidRDefault="00F44300" w:rsidP="00764111">
      <w:pPr>
        <w:spacing w:line="360" w:lineRule="auto"/>
        <w:rPr>
          <w:rFonts w:ascii="Calibri" w:eastAsia="Times New Roman" w:hAnsi="Calibri" w:cs="Calibri"/>
          <w:b/>
          <w:bCs/>
        </w:rPr>
      </w:pPr>
      <w:r w:rsidRPr="006C2493">
        <w:rPr>
          <w:rFonts w:ascii="Calibri" w:eastAsia="Times New Roman" w:hAnsi="Calibri" w:cs="Calibri"/>
          <w:b/>
          <w:bCs/>
        </w:rPr>
        <w:t>II. Joint Investigations </w:t>
      </w:r>
    </w:p>
    <w:p w14:paraId="0B10AC52" w14:textId="77777777" w:rsidR="00F44300" w:rsidRPr="006C2493" w:rsidRDefault="00F44300" w:rsidP="00764111">
      <w:pPr>
        <w:shd w:val="clear" w:color="auto" w:fill="FFFFFF"/>
        <w:spacing w:after="120" w:line="360" w:lineRule="auto"/>
        <w:textAlignment w:val="baseline"/>
        <w:rPr>
          <w:rFonts w:ascii="Calibri" w:eastAsia="Times New Roman" w:hAnsi="Calibri" w:cs="Calibri"/>
        </w:rPr>
      </w:pPr>
      <w:r w:rsidRPr="006C2493">
        <w:rPr>
          <w:rFonts w:ascii="Calibri" w:eastAsia="Times New Roman" w:hAnsi="Calibri" w:cs="Calibri"/>
        </w:rPr>
        <w:t>Public health agencies and law enforcement may conduct joint investigations around public health incidents that involve suspected or confirmed criminal activity. Historical examples include:</w:t>
      </w:r>
    </w:p>
    <w:p w14:paraId="19AF7B4A" w14:textId="77777777" w:rsidR="00F44300" w:rsidRPr="00C04C3E" w:rsidRDefault="00F44300" w:rsidP="00F44300">
      <w:pPr>
        <w:numPr>
          <w:ilvl w:val="0"/>
          <w:numId w:val="22"/>
        </w:numPr>
        <w:spacing w:line="360" w:lineRule="auto"/>
        <w:ind w:left="360"/>
        <w:textAlignment w:val="baseline"/>
        <w:rPr>
          <w:rFonts w:ascii="Calibri" w:eastAsia="Times New Roman" w:hAnsi="Calibri" w:cs="Calibri"/>
        </w:rPr>
      </w:pPr>
      <w:r w:rsidRPr="00C04C3E">
        <w:rPr>
          <w:rFonts w:ascii="Calibri" w:eastAsia="Times New Roman" w:hAnsi="Calibri" w:cs="Calibri"/>
        </w:rPr>
        <w:t>Twelve laboratory workers contracted </w:t>
      </w:r>
      <w:r w:rsidRPr="00C04C3E">
        <w:rPr>
          <w:rFonts w:ascii="Calibri" w:eastAsia="Times New Roman" w:hAnsi="Calibri" w:cs="Calibri"/>
          <w:i/>
          <w:iCs/>
          <w:bdr w:val="none" w:sz="0" w:space="0" w:color="auto" w:frame="1"/>
        </w:rPr>
        <w:t xml:space="preserve">Shigella </w:t>
      </w:r>
      <w:proofErr w:type="spellStart"/>
      <w:r w:rsidRPr="00C04C3E">
        <w:rPr>
          <w:rFonts w:ascii="Calibri" w:eastAsia="Times New Roman" w:hAnsi="Calibri" w:cs="Calibri"/>
          <w:i/>
          <w:iCs/>
          <w:bdr w:val="none" w:sz="0" w:space="0" w:color="auto" w:frame="1"/>
        </w:rPr>
        <w:t>dysenteriae</w:t>
      </w:r>
      <w:proofErr w:type="spellEnd"/>
      <w:r w:rsidRPr="00C04C3E">
        <w:rPr>
          <w:rFonts w:ascii="Calibri" w:eastAsia="Times New Roman" w:hAnsi="Calibri" w:cs="Calibri"/>
        </w:rPr>
        <w:t> after eating pastries left in the lab's break room. A lab worker was sentenced to 20 years in prison as a result of contaminating the pastries, most likely with the lab's stock culture.</w:t>
      </w:r>
      <w:r w:rsidRPr="00C04C3E">
        <w:rPr>
          <w:rFonts w:ascii="Calibri" w:eastAsia="Times New Roman" w:hAnsi="Calibri" w:cs="Calibri"/>
          <w:bdr w:val="none" w:sz="0" w:space="0" w:color="auto" w:frame="1"/>
          <w:vertAlign w:val="superscript"/>
        </w:rPr>
        <w:t>6 7</w:t>
      </w:r>
    </w:p>
    <w:p w14:paraId="7C1993E1" w14:textId="77777777" w:rsidR="00F44300" w:rsidRPr="006C2493" w:rsidRDefault="00F44300" w:rsidP="00764111">
      <w:pPr>
        <w:spacing w:line="360" w:lineRule="auto"/>
        <w:textAlignment w:val="baseline"/>
        <w:rPr>
          <w:rFonts w:ascii="Calibri" w:eastAsia="Times New Roman" w:hAnsi="Calibri" w:cs="Calibri"/>
        </w:rPr>
      </w:pPr>
    </w:p>
    <w:p w14:paraId="7C4B224F" w14:textId="77777777" w:rsidR="00F44300" w:rsidRPr="00C04C3E" w:rsidRDefault="00F44300" w:rsidP="00F44300">
      <w:pPr>
        <w:numPr>
          <w:ilvl w:val="0"/>
          <w:numId w:val="22"/>
        </w:numPr>
        <w:spacing w:line="360" w:lineRule="auto"/>
        <w:ind w:left="360"/>
        <w:textAlignment w:val="baseline"/>
        <w:rPr>
          <w:rFonts w:ascii="Calibri" w:eastAsia="Times New Roman" w:hAnsi="Calibri" w:cs="Calibri"/>
        </w:rPr>
      </w:pPr>
      <w:r w:rsidRPr="00C04C3E">
        <w:rPr>
          <w:rFonts w:ascii="Calibri" w:eastAsia="Times New Roman" w:hAnsi="Calibri" w:cs="Calibri"/>
        </w:rPr>
        <w:t xml:space="preserve">A supermarket notified state and federal agencies of an upcoming recall of ground beef because of customers' complaints of acute illness after eating the product. High concentrations of nicotine were </w:t>
      </w:r>
      <w:r w:rsidRPr="00C04C3E">
        <w:rPr>
          <w:rFonts w:ascii="Calibri" w:eastAsia="Times New Roman" w:hAnsi="Calibri" w:cs="Calibri"/>
        </w:rPr>
        <w:lastRenderedPageBreak/>
        <w:t>detected in ground beef. A supermarket employee plead guilty to poisoning the meat with an insecticide containing nicotine and was sentenced to nine years in prison.</w:t>
      </w:r>
      <w:r w:rsidRPr="00C04C3E">
        <w:rPr>
          <w:rFonts w:ascii="Calibri" w:eastAsia="Times New Roman" w:hAnsi="Calibri" w:cs="Calibri"/>
          <w:bdr w:val="none" w:sz="0" w:space="0" w:color="auto" w:frame="1"/>
          <w:vertAlign w:val="superscript"/>
        </w:rPr>
        <w:t>8</w:t>
      </w:r>
    </w:p>
    <w:p w14:paraId="69702F67" w14:textId="77777777" w:rsidR="00F44300" w:rsidRPr="006C2493" w:rsidRDefault="00F44300" w:rsidP="00764111">
      <w:pPr>
        <w:spacing w:line="360" w:lineRule="auto"/>
        <w:textAlignment w:val="baseline"/>
        <w:rPr>
          <w:rFonts w:ascii="Calibri" w:eastAsia="Times New Roman" w:hAnsi="Calibri" w:cs="Calibri"/>
        </w:rPr>
      </w:pPr>
    </w:p>
    <w:p w14:paraId="0FD76241" w14:textId="77777777" w:rsidR="00F44300" w:rsidRPr="00C04C3E" w:rsidRDefault="00F44300" w:rsidP="00F44300">
      <w:pPr>
        <w:numPr>
          <w:ilvl w:val="0"/>
          <w:numId w:val="22"/>
        </w:numPr>
        <w:spacing w:line="360" w:lineRule="auto"/>
        <w:ind w:left="360"/>
        <w:textAlignment w:val="baseline"/>
        <w:rPr>
          <w:rFonts w:ascii="Calibri" w:eastAsia="Times New Roman" w:hAnsi="Calibri" w:cs="Calibri"/>
        </w:rPr>
      </w:pPr>
      <w:r w:rsidRPr="00C04C3E">
        <w:rPr>
          <w:rFonts w:ascii="Calibri" w:eastAsia="Times New Roman" w:hAnsi="Calibri" w:cs="Calibri"/>
        </w:rPr>
        <w:t xml:space="preserve">Over a six-week period, there was an unusual, increased prevalence of cardiopulmonary arrests in a Veterans Administration hospital associated with injections of </w:t>
      </w:r>
      <w:proofErr w:type="spellStart"/>
      <w:r w:rsidRPr="00C04C3E">
        <w:rPr>
          <w:rFonts w:ascii="Calibri" w:eastAsia="Times New Roman" w:hAnsi="Calibri" w:cs="Calibri"/>
        </w:rPr>
        <w:t>pancuronium</w:t>
      </w:r>
      <w:proofErr w:type="spellEnd"/>
      <w:r w:rsidRPr="00C04C3E">
        <w:rPr>
          <w:rFonts w:ascii="Calibri" w:eastAsia="Times New Roman" w:hAnsi="Calibri" w:cs="Calibri"/>
        </w:rPr>
        <w:t xml:space="preserve"> bromide (a muscle relaxant) during a specific shift. Two nurses were indicted for murder, attempted murder, and conspiracy to commit murder.</w:t>
      </w:r>
      <w:r w:rsidRPr="00C04C3E">
        <w:rPr>
          <w:rFonts w:ascii="Calibri" w:eastAsia="Times New Roman" w:hAnsi="Calibri" w:cs="Calibri"/>
          <w:bdr w:val="none" w:sz="0" w:space="0" w:color="auto" w:frame="1"/>
          <w:vertAlign w:val="superscript"/>
        </w:rPr>
        <w:t>9</w:t>
      </w:r>
      <w:r w:rsidRPr="00C04C3E">
        <w:rPr>
          <w:rFonts w:ascii="Calibri" w:eastAsia="Times New Roman" w:hAnsi="Calibri" w:cs="Calibri"/>
        </w:rPr>
        <w:t> All charges against the nurses were eventually dismissed.</w:t>
      </w:r>
      <w:r w:rsidRPr="00C04C3E">
        <w:rPr>
          <w:rFonts w:ascii="Calibri" w:eastAsia="Times New Roman" w:hAnsi="Calibri" w:cs="Calibri"/>
          <w:bdr w:val="none" w:sz="0" w:space="0" w:color="auto" w:frame="1"/>
          <w:vertAlign w:val="superscript"/>
        </w:rPr>
        <w:t>10</w:t>
      </w:r>
    </w:p>
    <w:p w14:paraId="54E1174D" w14:textId="77777777" w:rsidR="00F44300" w:rsidRPr="006C2493" w:rsidRDefault="00F44300" w:rsidP="00764111">
      <w:pPr>
        <w:spacing w:line="360" w:lineRule="auto"/>
        <w:textAlignment w:val="baseline"/>
        <w:rPr>
          <w:rFonts w:ascii="Calibri" w:eastAsia="Times New Roman" w:hAnsi="Calibri" w:cs="Calibri"/>
        </w:rPr>
      </w:pPr>
    </w:p>
    <w:p w14:paraId="5A47CDF2" w14:textId="77777777" w:rsidR="00F44300"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Joint investigations may benefit both public health and law enforcement as they carry out their respective roles in protecting the public. Law enforcement may benefit from assistance and information from disease investigation experts. Law enforcement's information may help public health to prevent further spread of a disease or decrease the impact of future threats. Working together strengthens relationships between public health professionals and officers, thereby facilitating future communication and information exchange. Taking advantage of both law enforcement and public health perspectives, joint investigations may be more thorough and cover issues that may have been overlooked during separate investigations. Moreover, public health and law enforcement may be able to pool resources and avoid duplication of efforts through joint interviews or questionnaires that address both public health and law enforcement concerns.</w:t>
      </w:r>
      <w:r w:rsidRPr="006C2493">
        <w:rPr>
          <w:rFonts w:ascii="Calibri" w:eastAsia="Times New Roman" w:hAnsi="Calibri" w:cs="Calibri"/>
          <w:bdr w:val="none" w:sz="0" w:space="0" w:color="auto" w:frame="1"/>
          <w:vertAlign w:val="superscript"/>
        </w:rPr>
        <w:t>11</w:t>
      </w:r>
      <w:r w:rsidRPr="006C2493">
        <w:rPr>
          <w:rFonts w:ascii="Calibri" w:eastAsia="Times New Roman" w:hAnsi="Calibri" w:cs="Calibri"/>
        </w:rPr>
        <w:t xml:space="preserve">Time and efficiency are crucial, especially when one event can require hundreds of interviews. </w:t>
      </w:r>
      <w:proofErr w:type="gramStart"/>
      <w:r w:rsidRPr="006C2493">
        <w:rPr>
          <w:rFonts w:ascii="Calibri" w:eastAsia="Times New Roman" w:hAnsi="Calibri" w:cs="Calibri"/>
        </w:rPr>
        <w:t>In particular, bioterrorism</w:t>
      </w:r>
      <w:proofErr w:type="gramEnd"/>
      <w:r w:rsidRPr="006C2493">
        <w:rPr>
          <w:rFonts w:ascii="Calibri" w:eastAsia="Times New Roman" w:hAnsi="Calibri" w:cs="Calibri"/>
        </w:rPr>
        <w:t xml:space="preserve"> investigations require close cooperation between public health and law enforcement, which entails some blurring of their usual roles. Public health investigators may function as forensic experts if there is a prosecution, and law enforcement will try to mitigate harm by identifying and arresting the perpetrators who initiated the outbreak.</w:t>
      </w:r>
      <w:r w:rsidRPr="006C2493">
        <w:rPr>
          <w:rFonts w:ascii="Calibri" w:eastAsia="Times New Roman" w:hAnsi="Calibri" w:cs="Calibri"/>
          <w:bdr w:val="none" w:sz="0" w:space="0" w:color="auto" w:frame="1"/>
          <w:vertAlign w:val="superscript"/>
        </w:rPr>
        <w:t>12</w:t>
      </w:r>
    </w:p>
    <w:p w14:paraId="0FB4A91D" w14:textId="77777777" w:rsidR="00F44300" w:rsidRPr="006C2493" w:rsidRDefault="00F44300" w:rsidP="00764111">
      <w:pPr>
        <w:shd w:val="clear" w:color="auto" w:fill="FFFFFF"/>
        <w:spacing w:line="360" w:lineRule="auto"/>
        <w:textAlignment w:val="baseline"/>
        <w:rPr>
          <w:rFonts w:ascii="Calibri" w:eastAsia="Times New Roman" w:hAnsi="Calibri" w:cs="Calibri"/>
          <w:bdr w:val="none" w:sz="0" w:space="0" w:color="auto" w:frame="1"/>
        </w:rPr>
      </w:pPr>
    </w:p>
    <w:p w14:paraId="20C87C1A" w14:textId="77777777" w:rsidR="00F44300"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While valuable, joint public health and criminal investigations also present risks and challenges. Community trust is essential to carry out public health's mission. Underserved communities that are traditionally in greatest need of public health services may be suspicious of collaboration between public health and law enforcement.</w:t>
      </w:r>
      <w:r w:rsidRPr="006C2493">
        <w:rPr>
          <w:rFonts w:ascii="Calibri" w:eastAsia="Times New Roman" w:hAnsi="Calibri" w:cs="Calibri"/>
          <w:bdr w:val="none" w:sz="0" w:space="0" w:color="auto" w:frame="1"/>
          <w:vertAlign w:val="superscript"/>
        </w:rPr>
        <w:t>13</w:t>
      </w:r>
      <w:r w:rsidRPr="006C2493">
        <w:rPr>
          <w:rFonts w:ascii="Calibri" w:eastAsia="Times New Roman" w:hAnsi="Calibri" w:cs="Calibri"/>
        </w:rPr>
        <w:t> Minorities may fear that their race, status, or ethnicity will subject them to profiling or other unwanted attention.</w:t>
      </w:r>
      <w:r w:rsidRPr="006C2493">
        <w:rPr>
          <w:rFonts w:ascii="Calibri" w:eastAsia="Times New Roman" w:hAnsi="Calibri" w:cs="Calibri"/>
          <w:bdr w:val="none" w:sz="0" w:space="0" w:color="auto" w:frame="1"/>
          <w:vertAlign w:val="superscript"/>
        </w:rPr>
        <w:t>14</w:t>
      </w:r>
      <w:r w:rsidRPr="006C2493">
        <w:rPr>
          <w:rFonts w:ascii="Calibri" w:eastAsia="Times New Roman" w:hAnsi="Calibri" w:cs="Calibri"/>
        </w:rPr>
        <w:t> Undocumented individuals may fear detection and deportation. The presence of law enforcement officers may have a "chilling effect" on patients being interviewed and on the medical professionals with whom public health routinely works and upon whom traditional public health surveillance (through mandatory disease reporting) depends.</w:t>
      </w:r>
      <w:r w:rsidRPr="006C2493">
        <w:rPr>
          <w:rFonts w:ascii="Calibri" w:eastAsia="Times New Roman" w:hAnsi="Calibri" w:cs="Calibri"/>
          <w:bdr w:val="none" w:sz="0" w:space="0" w:color="auto" w:frame="1"/>
          <w:vertAlign w:val="superscript"/>
        </w:rPr>
        <w:t>15</w:t>
      </w:r>
    </w:p>
    <w:p w14:paraId="464DBE9F"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2F96B70C" w14:textId="77777777" w:rsidR="00F44300" w:rsidRPr="005015BF"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Issues may also arise due to tensions between public health's interest in protecting the population's health and law enforcement's interest in collecting evidence that will be admissible in criminal investigations.</w:t>
      </w:r>
      <w:r w:rsidRPr="006C2493">
        <w:rPr>
          <w:rFonts w:ascii="Calibri" w:eastAsia="Times New Roman" w:hAnsi="Calibri" w:cs="Calibri"/>
          <w:bdr w:val="none" w:sz="0" w:space="0" w:color="auto" w:frame="1"/>
          <w:vertAlign w:val="superscript"/>
        </w:rPr>
        <w:t>16</w:t>
      </w:r>
      <w:r w:rsidRPr="006C2493">
        <w:rPr>
          <w:rFonts w:ascii="Calibri" w:eastAsia="Times New Roman" w:hAnsi="Calibri" w:cs="Calibri"/>
        </w:rPr>
        <w:t> For example, during an evolving epidemic with suspected terrorism, public health officials may seek to warn the public, while law enforcement argues that secrecy is essential to successfully identify, apprehend, and prosecute the perpetrators.</w:t>
      </w:r>
    </w:p>
    <w:p w14:paraId="43F926AB"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484D49C2" w14:textId="77777777" w:rsidR="00F44300" w:rsidRPr="005015BF"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Joint investigations also raise legal challenges, because legal constraints for public health and criminal investigations differ. The U.S. Supreme Court has steadfastly upheld the broad powers of the state to protect its citizens from threats to public health.</w:t>
      </w:r>
      <w:r w:rsidRPr="006C2493">
        <w:rPr>
          <w:rFonts w:ascii="Calibri" w:eastAsia="Times New Roman" w:hAnsi="Calibri" w:cs="Calibri"/>
          <w:bdr w:val="none" w:sz="0" w:space="0" w:color="auto" w:frame="1"/>
          <w:vertAlign w:val="superscript"/>
        </w:rPr>
        <w:t>17</w:t>
      </w:r>
      <w:r w:rsidRPr="006C2493">
        <w:rPr>
          <w:rFonts w:ascii="Calibri" w:eastAsia="Times New Roman" w:hAnsi="Calibri" w:cs="Calibri"/>
        </w:rPr>
        <w:t> These powers grant public health agencies wide latitude in conducting investigations, including the authority to access detailed and sensitive health information about individuals and their contacts and to obtain biological specimens for testing when necessary to prevent and control disease outbreak or other public health threats.</w:t>
      </w:r>
      <w:r w:rsidRPr="006C2493">
        <w:rPr>
          <w:rFonts w:ascii="Calibri" w:eastAsia="Times New Roman" w:hAnsi="Calibri" w:cs="Calibri"/>
          <w:bdr w:val="none" w:sz="0" w:space="0" w:color="auto" w:frame="1"/>
          <w:vertAlign w:val="superscript"/>
        </w:rPr>
        <w:t>18</w:t>
      </w:r>
      <w:r w:rsidRPr="006C2493">
        <w:rPr>
          <w:rFonts w:ascii="Calibri" w:eastAsia="Times New Roman" w:hAnsi="Calibri" w:cs="Calibri"/>
        </w:rPr>
        <w:t> In contrast, law enforcement is subject to constitutional constraints that limit the state's powers to prosecute and punish individuals for crimes.</w:t>
      </w:r>
      <w:r w:rsidRPr="006C2493">
        <w:rPr>
          <w:rFonts w:ascii="Calibri" w:eastAsia="Times New Roman" w:hAnsi="Calibri" w:cs="Calibri"/>
          <w:bdr w:val="none" w:sz="0" w:space="0" w:color="auto" w:frame="1"/>
          <w:vertAlign w:val="superscript"/>
        </w:rPr>
        <w:t>19</w:t>
      </w:r>
    </w:p>
    <w:p w14:paraId="581376EF"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7DC69865" w14:textId="77777777" w:rsidR="00F44300" w:rsidRPr="005015BF"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Successful prosecution of the perpetrators of crimes that use biologic or chemical agents requires admissible evidence. In gathering evidence, the government must comply with the Fourth Amendment prohibition against unreasonable searches and seizures and the Fifth Amendment privilege against self-incrimination. It must also collect and process evidence with a proper chain of custody so that it can be authenticated by an expert and admitted into evidence. Evidence that is not obtained, handled, and secured to meet standards for criminal prosecution may be excluded from trial.</w:t>
      </w:r>
    </w:p>
    <w:p w14:paraId="46D15845"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68343963" w14:textId="77777777" w:rsidR="00F44300" w:rsidRPr="005015BF"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In the context of bioterrorism, the presence of ill persons may be the first sign of an attack; criminal intent may be unclear or may not be immediately apparent. At the onset of the first anthrax attack in 2001, a Florida media company's employee's symptoms triggered only a public health investigation.</w:t>
      </w:r>
      <w:r w:rsidRPr="006C2493">
        <w:rPr>
          <w:rFonts w:ascii="Calibri" w:eastAsia="Times New Roman" w:hAnsi="Calibri" w:cs="Calibri"/>
          <w:bdr w:val="none" w:sz="0" w:space="0" w:color="auto" w:frame="1"/>
          <w:vertAlign w:val="superscript"/>
        </w:rPr>
        <w:t>20</w:t>
      </w:r>
      <w:r w:rsidRPr="006C2493">
        <w:rPr>
          <w:rFonts w:ascii="Calibri" w:eastAsia="Times New Roman" w:hAnsi="Calibri" w:cs="Calibri"/>
        </w:rPr>
        <w:t> But when findings strongly suggested a deliberate and criminal act, the public health investigation was joined by a criminal investigation.</w:t>
      </w:r>
      <w:r w:rsidRPr="006C2493">
        <w:rPr>
          <w:rFonts w:ascii="Calibri" w:eastAsia="Times New Roman" w:hAnsi="Calibri" w:cs="Calibri"/>
          <w:bdr w:val="none" w:sz="0" w:space="0" w:color="auto" w:frame="1"/>
          <w:vertAlign w:val="superscript"/>
        </w:rPr>
        <w:t>21</w:t>
      </w:r>
      <w:r w:rsidRPr="006C2493">
        <w:rPr>
          <w:rFonts w:ascii="Calibri" w:eastAsia="Times New Roman" w:hAnsi="Calibri" w:cs="Calibri"/>
        </w:rPr>
        <w:t> Because public health officials typically do not investigate criminal activity, a delayed criminal investigation may mean that public health agencies have already obtained statements, collected evidence, and tested specimens, all of which may be legally inadmissible or lacking information relevant to law enforcement for criminal prosecution.</w:t>
      </w:r>
    </w:p>
    <w:p w14:paraId="368A8181"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7A96F2F9" w14:textId="77777777" w:rsidR="00F44300" w:rsidRPr="006C2493" w:rsidRDefault="00F44300" w:rsidP="00764111">
      <w:pPr>
        <w:shd w:val="clear" w:color="auto" w:fill="FFFFFF"/>
        <w:spacing w:after="120" w:line="360" w:lineRule="auto"/>
        <w:textAlignment w:val="baseline"/>
        <w:rPr>
          <w:rFonts w:ascii="Calibri" w:eastAsia="Times New Roman" w:hAnsi="Calibri" w:cs="Calibri"/>
        </w:rPr>
      </w:pPr>
      <w:r w:rsidRPr="006C2493">
        <w:rPr>
          <w:rFonts w:ascii="Calibri" w:eastAsia="Times New Roman" w:hAnsi="Calibri" w:cs="Calibri"/>
        </w:rPr>
        <w:lastRenderedPageBreak/>
        <w:t>CDC and the Department of Justice convened a Public Health and Law Enforcement Emergency Preparedness Workgroup that developed a framework, action steps, and tools to strengthen collaboration between public health and law enforcement while minimizing the challenges. These include:</w:t>
      </w:r>
    </w:p>
    <w:p w14:paraId="0BF434BE" w14:textId="77777777" w:rsidR="00F44300" w:rsidRPr="006C2493" w:rsidRDefault="00F44300" w:rsidP="00F44300">
      <w:pPr>
        <w:numPr>
          <w:ilvl w:val="0"/>
          <w:numId w:val="23"/>
        </w:numPr>
        <w:spacing w:after="120" w:line="360" w:lineRule="auto"/>
        <w:textAlignment w:val="baseline"/>
        <w:rPr>
          <w:rFonts w:ascii="Calibri" w:eastAsia="Times New Roman" w:hAnsi="Calibri" w:cs="Calibri"/>
        </w:rPr>
      </w:pPr>
      <w:r w:rsidRPr="006C2493">
        <w:rPr>
          <w:rFonts w:ascii="Calibri" w:eastAsia="Times New Roman" w:hAnsi="Calibri" w:cs="Calibri"/>
        </w:rPr>
        <w:t>"A Framework for Improving Cross-Sector Coordination for Emergency Preparedness and Response"</w:t>
      </w:r>
      <w:r w:rsidRPr="006C2493">
        <w:rPr>
          <w:rFonts w:ascii="Calibri" w:eastAsia="Times New Roman" w:hAnsi="Calibri" w:cs="Calibri"/>
          <w:bdr w:val="none" w:sz="0" w:space="0" w:color="auto" w:frame="1"/>
          <w:vertAlign w:val="superscript"/>
        </w:rPr>
        <w:t>22</w:t>
      </w:r>
    </w:p>
    <w:p w14:paraId="32982149" w14:textId="77777777" w:rsidR="00F44300" w:rsidRPr="006C2493" w:rsidRDefault="00F44300" w:rsidP="00F44300">
      <w:pPr>
        <w:numPr>
          <w:ilvl w:val="0"/>
          <w:numId w:val="23"/>
        </w:numPr>
        <w:spacing w:after="120" w:line="360" w:lineRule="auto"/>
        <w:textAlignment w:val="baseline"/>
        <w:rPr>
          <w:rFonts w:ascii="Calibri" w:eastAsia="Times New Roman" w:hAnsi="Calibri" w:cs="Calibri"/>
        </w:rPr>
      </w:pPr>
      <w:r w:rsidRPr="006C2493">
        <w:rPr>
          <w:rFonts w:ascii="Calibri" w:eastAsia="Times New Roman" w:hAnsi="Calibri" w:cs="Calibri"/>
        </w:rPr>
        <w:t>"Coordinated Implementation of Community Response Measures (Including Social Distancing) to Control the Spread of Pandemic Respiratory Disease: A Guide for Developing a Memorandum of Understanding for Public Health, Law Enforcement, Corrections, and the Judiciary"</w:t>
      </w:r>
      <w:r w:rsidRPr="006C2493">
        <w:rPr>
          <w:rFonts w:ascii="Calibri" w:eastAsia="Times New Roman" w:hAnsi="Calibri" w:cs="Calibri"/>
          <w:bdr w:val="none" w:sz="0" w:space="0" w:color="auto" w:frame="1"/>
          <w:vertAlign w:val="superscript"/>
        </w:rPr>
        <w:t>23</w:t>
      </w:r>
    </w:p>
    <w:p w14:paraId="1141B335" w14:textId="77777777" w:rsidR="00F44300" w:rsidRPr="004F40C9" w:rsidRDefault="00F44300" w:rsidP="00F44300">
      <w:pPr>
        <w:numPr>
          <w:ilvl w:val="0"/>
          <w:numId w:val="23"/>
        </w:numPr>
        <w:spacing w:after="120" w:line="360" w:lineRule="auto"/>
        <w:textAlignment w:val="baseline"/>
        <w:rPr>
          <w:rFonts w:ascii="Calibri" w:eastAsia="Times New Roman" w:hAnsi="Calibri" w:cs="Calibri"/>
        </w:rPr>
      </w:pPr>
      <w:r w:rsidRPr="006C2493">
        <w:rPr>
          <w:rFonts w:ascii="Calibri" w:eastAsia="Times New Roman" w:hAnsi="Calibri" w:cs="Calibri"/>
        </w:rPr>
        <w:t>"Joint Public Health-Law Enforcement Investigations: Model Memorandum of Understanding"</w:t>
      </w:r>
      <w:r w:rsidRPr="006C2493">
        <w:rPr>
          <w:rFonts w:ascii="Calibri" w:eastAsia="Times New Roman" w:hAnsi="Calibri" w:cs="Calibri"/>
          <w:bdr w:val="none" w:sz="0" w:space="0" w:color="auto" w:frame="1"/>
          <w:vertAlign w:val="superscript"/>
        </w:rPr>
        <w:t>24</w:t>
      </w:r>
    </w:p>
    <w:p w14:paraId="2084A8E2" w14:textId="77777777" w:rsidR="00F44300" w:rsidRPr="004F40C9" w:rsidRDefault="00F44300" w:rsidP="00F44300">
      <w:pPr>
        <w:numPr>
          <w:ilvl w:val="0"/>
          <w:numId w:val="23"/>
        </w:numPr>
        <w:spacing w:after="120" w:line="360" w:lineRule="auto"/>
        <w:textAlignment w:val="baseline"/>
        <w:rPr>
          <w:rFonts w:ascii="Calibri" w:eastAsia="Times New Roman" w:hAnsi="Calibri" w:cs="Calibri"/>
        </w:rPr>
      </w:pPr>
      <w:r w:rsidRPr="004F40C9">
        <w:rPr>
          <w:rFonts w:ascii="Calibri" w:eastAsia="Times New Roman" w:hAnsi="Calibri" w:cs="Calibri"/>
        </w:rPr>
        <w:t>Joint investigative training can develop effective work relationships between public health and law enforcement, promote an understanding of investigative methods, and facilitate communication and information exchange. CDC, in partnership with other agencies and organizations, developed "Forensic Epidemiology," a module for the joint training of law enforcement and public health officials.</w:t>
      </w:r>
      <w:r w:rsidRPr="004F40C9">
        <w:rPr>
          <w:rFonts w:ascii="Calibri" w:eastAsia="Times New Roman" w:hAnsi="Calibri" w:cs="Calibri"/>
          <w:bdr w:val="none" w:sz="0" w:space="0" w:color="auto" w:frame="1"/>
          <w:vertAlign w:val="superscript"/>
        </w:rPr>
        <w:t>25</w:t>
      </w:r>
      <w:r w:rsidRPr="004F40C9">
        <w:rPr>
          <w:rFonts w:ascii="Calibri" w:eastAsia="Times New Roman" w:hAnsi="Calibri" w:cs="Calibri"/>
        </w:rPr>
        <w:t> Public health and law enforcement are also encouraged to consult investigation manuals, including the FBI-CDC "Criminal and Epidemiological Investigation Handbook."</w:t>
      </w:r>
      <w:r w:rsidRPr="004F40C9">
        <w:rPr>
          <w:rFonts w:ascii="Calibri" w:eastAsia="Times New Roman" w:hAnsi="Calibri" w:cs="Calibri"/>
          <w:bdr w:val="none" w:sz="0" w:space="0" w:color="auto" w:frame="1"/>
          <w:vertAlign w:val="superscript"/>
        </w:rPr>
        <w:t>26</w:t>
      </w:r>
    </w:p>
    <w:p w14:paraId="1C4FBB86"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39D9B9DB" w14:textId="77777777" w:rsidR="00F44300" w:rsidRPr="006C2493" w:rsidRDefault="00F44300" w:rsidP="00764111">
      <w:pPr>
        <w:keepNext/>
        <w:spacing w:line="360" w:lineRule="auto"/>
        <w:rPr>
          <w:rFonts w:ascii="Calibri" w:eastAsia="Times New Roman" w:hAnsi="Calibri" w:cs="Calibri"/>
          <w:b/>
          <w:bCs/>
        </w:rPr>
      </w:pPr>
      <w:r w:rsidRPr="006C2493">
        <w:rPr>
          <w:rFonts w:ascii="Calibri" w:eastAsia="Times New Roman" w:hAnsi="Calibri" w:cs="Calibri"/>
          <w:b/>
          <w:bCs/>
        </w:rPr>
        <w:t>III. Information Sharing Through Fusion Centers to Prevent Bioterrorism and Improve Preparedness </w:t>
      </w:r>
    </w:p>
    <w:p w14:paraId="70BBC68B" w14:textId="77777777" w:rsidR="00F44300" w:rsidRPr="00E14045"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As a result of ad hoc interagency collaboration during World War II, the National Security Act of 1947</w:t>
      </w:r>
      <w:r w:rsidRPr="006C2493">
        <w:rPr>
          <w:rFonts w:ascii="Calibri" w:eastAsia="Times New Roman" w:hAnsi="Calibri" w:cs="Calibri"/>
          <w:bdr w:val="none" w:sz="0" w:space="0" w:color="auto" w:frame="1"/>
          <w:vertAlign w:val="superscript"/>
        </w:rPr>
        <w:t>27</w:t>
      </w:r>
      <w:r w:rsidRPr="006C2493">
        <w:rPr>
          <w:rFonts w:ascii="Calibri" w:eastAsia="Times New Roman" w:hAnsi="Calibri" w:cs="Calibri"/>
        </w:rPr>
        <w:t> was enacted to coordinate military and foreign intelligence.</w:t>
      </w:r>
      <w:r w:rsidRPr="006C2493">
        <w:rPr>
          <w:rFonts w:ascii="Calibri" w:eastAsia="Times New Roman" w:hAnsi="Calibri" w:cs="Calibri"/>
          <w:bdr w:val="none" w:sz="0" w:space="0" w:color="auto" w:frame="1"/>
          <w:vertAlign w:val="superscript"/>
        </w:rPr>
        <w:t>28</w:t>
      </w:r>
      <w:r w:rsidRPr="006C2493">
        <w:rPr>
          <w:rFonts w:ascii="Calibri" w:eastAsia="Times New Roman" w:hAnsi="Calibri" w:cs="Calibri"/>
        </w:rPr>
        <w:t> The National Security Act mandated that information be communicated up the chain of command, not horizontally between departments.</w:t>
      </w:r>
      <w:r w:rsidRPr="006C2493">
        <w:rPr>
          <w:rFonts w:ascii="Calibri" w:eastAsia="Times New Roman" w:hAnsi="Calibri" w:cs="Calibri"/>
          <w:bdr w:val="none" w:sz="0" w:space="0" w:color="auto" w:frame="1"/>
          <w:vertAlign w:val="superscript"/>
        </w:rPr>
        <w:t>29</w:t>
      </w:r>
      <w:r w:rsidRPr="006C2493">
        <w:rPr>
          <w:rFonts w:ascii="Calibri" w:eastAsia="Times New Roman" w:hAnsi="Calibri" w:cs="Calibri"/>
        </w:rPr>
        <w:t> The events of 9/11 demonstrated the need for horizontal communication to establish more comprehensive intelligence.</w:t>
      </w:r>
      <w:r w:rsidRPr="006C2493">
        <w:rPr>
          <w:rFonts w:ascii="Calibri" w:eastAsia="Times New Roman" w:hAnsi="Calibri" w:cs="Calibri"/>
          <w:bdr w:val="none" w:sz="0" w:space="0" w:color="auto" w:frame="1"/>
          <w:vertAlign w:val="superscript"/>
        </w:rPr>
        <w:t>30</w:t>
      </w:r>
      <w:r w:rsidRPr="006C2493">
        <w:rPr>
          <w:rFonts w:ascii="Calibri" w:eastAsia="Times New Roman" w:hAnsi="Calibri" w:cs="Calibri"/>
        </w:rPr>
        <w:t> The USA Patriot Act of 2001</w:t>
      </w:r>
      <w:r w:rsidRPr="006C2493">
        <w:rPr>
          <w:rFonts w:ascii="Calibri" w:eastAsia="Times New Roman" w:hAnsi="Calibri" w:cs="Calibri"/>
          <w:bdr w:val="none" w:sz="0" w:space="0" w:color="auto" w:frame="1"/>
          <w:vertAlign w:val="superscript"/>
        </w:rPr>
        <w:t>31</w:t>
      </w:r>
      <w:r w:rsidRPr="006C2493">
        <w:rPr>
          <w:rFonts w:ascii="Calibri" w:eastAsia="Times New Roman" w:hAnsi="Calibri" w:cs="Calibri"/>
        </w:rPr>
        <w:t> removed barriers prohibiting horizontal communication, thereby allowing information to be shared between the law enforcement and intelligence communities to protect national security.</w:t>
      </w:r>
      <w:r w:rsidRPr="006C2493">
        <w:rPr>
          <w:rFonts w:ascii="Calibri" w:eastAsia="Times New Roman" w:hAnsi="Calibri" w:cs="Calibri"/>
          <w:bdr w:val="none" w:sz="0" w:space="0" w:color="auto" w:frame="1"/>
          <w:vertAlign w:val="superscript"/>
        </w:rPr>
        <w:t>32</w:t>
      </w:r>
      <w:r w:rsidRPr="006C2493">
        <w:rPr>
          <w:rFonts w:ascii="Calibri" w:eastAsia="Times New Roman" w:hAnsi="Calibri" w:cs="Calibri"/>
        </w:rPr>
        <w:t> Complementing the Patriot Act, the Department of Homeland Security (DHS) was established by the Homeland Security Act of 2002</w:t>
      </w:r>
      <w:r w:rsidRPr="006C2493">
        <w:rPr>
          <w:rFonts w:ascii="Calibri" w:eastAsia="Times New Roman" w:hAnsi="Calibri" w:cs="Calibri"/>
          <w:bdr w:val="none" w:sz="0" w:space="0" w:color="auto" w:frame="1"/>
          <w:vertAlign w:val="superscript"/>
        </w:rPr>
        <w:t>33</w:t>
      </w:r>
      <w:r w:rsidRPr="006C2493">
        <w:rPr>
          <w:rFonts w:ascii="Calibri" w:eastAsia="Times New Roman" w:hAnsi="Calibri" w:cs="Calibri"/>
        </w:rPr>
        <w:t> to improve information sharing among federal, state, and local levels of government and with private sector organizations.</w:t>
      </w:r>
      <w:r w:rsidRPr="006C2493">
        <w:rPr>
          <w:rFonts w:ascii="Calibri" w:eastAsia="Times New Roman" w:hAnsi="Calibri" w:cs="Calibri"/>
          <w:bdr w:val="none" w:sz="0" w:space="0" w:color="auto" w:frame="1"/>
          <w:vertAlign w:val="superscript"/>
        </w:rPr>
        <w:t>34</w:t>
      </w:r>
      <w:r w:rsidRPr="006C2493">
        <w:rPr>
          <w:rFonts w:ascii="Calibri" w:eastAsia="Times New Roman" w:hAnsi="Calibri" w:cs="Calibri"/>
        </w:rPr>
        <w:t> The Intelligence Reform and Terrorism Prevention Act (IRTPA) of 2004</w:t>
      </w:r>
      <w:r w:rsidRPr="006C2493">
        <w:rPr>
          <w:rFonts w:ascii="Calibri" w:eastAsia="Times New Roman" w:hAnsi="Calibri" w:cs="Calibri"/>
          <w:bdr w:val="none" w:sz="0" w:space="0" w:color="auto" w:frame="1"/>
          <w:vertAlign w:val="superscript"/>
        </w:rPr>
        <w:t>35</w:t>
      </w:r>
      <w:r w:rsidRPr="006C2493">
        <w:rPr>
          <w:rFonts w:ascii="Calibri" w:eastAsia="Times New Roman" w:hAnsi="Calibri" w:cs="Calibri"/>
        </w:rPr>
        <w:t xml:space="preserve"> was a part of the response to horizontal communication demands. IRTPA works to expand information sharing </w:t>
      </w:r>
      <w:r w:rsidRPr="006C2493">
        <w:rPr>
          <w:rFonts w:ascii="Calibri" w:eastAsia="Times New Roman" w:hAnsi="Calibri" w:cs="Calibri"/>
        </w:rPr>
        <w:lastRenderedPageBreak/>
        <w:t>beyond the scope of DHS and the FBI by including law enforcement as a partner with a significant role to play in inter-departmental intelligence collaboration.</w:t>
      </w:r>
      <w:r w:rsidRPr="006C2493">
        <w:rPr>
          <w:rFonts w:ascii="Calibri" w:eastAsia="Times New Roman" w:hAnsi="Calibri" w:cs="Calibri"/>
          <w:bdr w:val="none" w:sz="0" w:space="0" w:color="auto" w:frame="1"/>
          <w:vertAlign w:val="superscript"/>
        </w:rPr>
        <w:t>36</w:t>
      </w:r>
    </w:p>
    <w:p w14:paraId="6EBCC757"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5B3856C1" w14:textId="77777777" w:rsidR="00F44300" w:rsidRPr="00E14045"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IRTPA led to the creation of the Information Sharing Environment (ISE).</w:t>
      </w:r>
      <w:r w:rsidRPr="006C2493">
        <w:rPr>
          <w:rFonts w:ascii="Calibri" w:eastAsia="Times New Roman" w:hAnsi="Calibri" w:cs="Calibri"/>
          <w:bdr w:val="none" w:sz="0" w:space="0" w:color="auto" w:frame="1"/>
          <w:vertAlign w:val="superscript"/>
        </w:rPr>
        <w:t>37</w:t>
      </w:r>
      <w:r w:rsidRPr="006C2493">
        <w:rPr>
          <w:rFonts w:ascii="Calibri" w:eastAsia="Times New Roman" w:hAnsi="Calibri" w:cs="Calibri"/>
        </w:rPr>
        <w:t> ISE embraces all information pertinent to national security and safety of Americans.</w:t>
      </w:r>
      <w:r w:rsidRPr="006C2493">
        <w:rPr>
          <w:rFonts w:ascii="Calibri" w:eastAsia="Times New Roman" w:hAnsi="Calibri" w:cs="Calibri"/>
          <w:bdr w:val="none" w:sz="0" w:space="0" w:color="auto" w:frame="1"/>
          <w:vertAlign w:val="superscript"/>
        </w:rPr>
        <w:t>38</w:t>
      </w:r>
      <w:r w:rsidRPr="006C2493">
        <w:rPr>
          <w:rFonts w:ascii="Calibri" w:eastAsia="Times New Roman" w:hAnsi="Calibri" w:cs="Calibri"/>
        </w:rPr>
        <w:t> ISE uses "fusion centers" as a means to gather and share information.</w:t>
      </w:r>
      <w:r w:rsidRPr="006C2493">
        <w:rPr>
          <w:rFonts w:ascii="Calibri" w:eastAsia="Times New Roman" w:hAnsi="Calibri" w:cs="Calibri"/>
          <w:bdr w:val="none" w:sz="0" w:space="0" w:color="auto" w:frame="1"/>
          <w:vertAlign w:val="superscript"/>
        </w:rPr>
        <w:t>39</w:t>
      </w:r>
      <w:r w:rsidRPr="006C2493">
        <w:rPr>
          <w:rFonts w:ascii="Calibri" w:eastAsia="Times New Roman" w:hAnsi="Calibri" w:cs="Calibri"/>
        </w:rPr>
        <w:t> Across the nation, states and local governments have established fusion centers to facilitate the sharing of information among multiple agencies and build their intelligence capabilities.</w:t>
      </w:r>
    </w:p>
    <w:p w14:paraId="1B651796"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1046976F" w14:textId="77777777" w:rsidR="00F44300"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"Fusion" refers to the overarching process of managing the flow of information and intelligence across all levels and sectors of government and private industry.</w:t>
      </w:r>
      <w:r w:rsidRPr="006C2493">
        <w:rPr>
          <w:rFonts w:ascii="Calibri" w:eastAsia="Times New Roman" w:hAnsi="Calibri" w:cs="Calibri"/>
          <w:bdr w:val="none" w:sz="0" w:space="0" w:color="auto" w:frame="1"/>
          <w:vertAlign w:val="superscript"/>
        </w:rPr>
        <w:t>40</w:t>
      </w:r>
      <w:r w:rsidRPr="006C2493">
        <w:rPr>
          <w:rFonts w:ascii="Calibri" w:eastAsia="Times New Roman" w:hAnsi="Calibri" w:cs="Calibri"/>
        </w:rPr>
        <w:t> The "fusion process" is intended to turn information and intelligence from different sources into actionable knowledge.</w:t>
      </w:r>
      <w:r w:rsidRPr="006C2493">
        <w:rPr>
          <w:rFonts w:ascii="Calibri" w:eastAsia="Times New Roman" w:hAnsi="Calibri" w:cs="Calibri"/>
          <w:bdr w:val="none" w:sz="0" w:space="0" w:color="auto" w:frame="1"/>
          <w:vertAlign w:val="superscript"/>
        </w:rPr>
        <w:t>41</w:t>
      </w:r>
      <w:r w:rsidRPr="006C2493">
        <w:rPr>
          <w:rFonts w:ascii="Calibri" w:eastAsia="Times New Roman" w:hAnsi="Calibri" w:cs="Calibri"/>
        </w:rPr>
        <w:t> In other words, information is collected from a variety of sources, integrated, evaluated, and analyzed to create meaningful information about potential threats and risk assessments that is disseminated to stakeholders.</w:t>
      </w:r>
      <w:r w:rsidRPr="006C2493">
        <w:rPr>
          <w:rFonts w:ascii="Calibri" w:eastAsia="Times New Roman" w:hAnsi="Calibri" w:cs="Calibri"/>
          <w:bdr w:val="none" w:sz="0" w:space="0" w:color="auto" w:frame="1"/>
          <w:vertAlign w:val="superscript"/>
        </w:rPr>
        <w:t>42</w:t>
      </w:r>
      <w:r w:rsidRPr="006C2493">
        <w:rPr>
          <w:rFonts w:ascii="Calibri" w:eastAsia="Times New Roman" w:hAnsi="Calibri" w:cs="Calibri"/>
        </w:rPr>
        <w:t> Fusion centers share information with participants within their jurisdiction and with the federal government and other jurisdictions through a national network of fusion centers.</w:t>
      </w:r>
      <w:r w:rsidRPr="006C2493">
        <w:rPr>
          <w:rFonts w:ascii="Calibri" w:eastAsia="Times New Roman" w:hAnsi="Calibri" w:cs="Calibri"/>
          <w:bdr w:val="none" w:sz="0" w:space="0" w:color="auto" w:frame="1"/>
          <w:vertAlign w:val="superscript"/>
        </w:rPr>
        <w:t>43</w:t>
      </w:r>
      <w:r w:rsidRPr="006C2493">
        <w:rPr>
          <w:rFonts w:ascii="Calibri" w:eastAsia="Times New Roman" w:hAnsi="Calibri" w:cs="Calibri"/>
        </w:rPr>
        <w:t> Participants may include public and private entities from sectors such as banking and finance, education, government, health and public health services, postal and shipping, retail, and transportation.</w:t>
      </w:r>
      <w:r w:rsidRPr="006C2493">
        <w:rPr>
          <w:rFonts w:ascii="Calibri" w:eastAsia="Times New Roman" w:hAnsi="Calibri" w:cs="Calibri"/>
          <w:bdr w:val="none" w:sz="0" w:space="0" w:color="auto" w:frame="1"/>
          <w:vertAlign w:val="superscript"/>
        </w:rPr>
        <w:t>44</w:t>
      </w:r>
      <w:r w:rsidRPr="006C2493">
        <w:rPr>
          <w:rFonts w:ascii="Calibri" w:eastAsia="Times New Roman" w:hAnsi="Calibri" w:cs="Calibri"/>
        </w:rPr>
        <w:t> Public health is being sought as a valuable partner to routinely share information with law enforcement, homeland security, and other agencies to prevent bioterrorism and improve preparedness.</w:t>
      </w:r>
      <w:r w:rsidRPr="006C2493">
        <w:rPr>
          <w:rFonts w:ascii="Calibri" w:eastAsia="Times New Roman" w:hAnsi="Calibri" w:cs="Calibri"/>
          <w:bdr w:val="none" w:sz="0" w:space="0" w:color="auto" w:frame="1"/>
          <w:vertAlign w:val="superscript"/>
        </w:rPr>
        <w:t>45</w:t>
      </w:r>
    </w:p>
    <w:p w14:paraId="7F2C2ACD"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5C73047D" w14:textId="77777777" w:rsidR="00F44300" w:rsidRPr="00E14045"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As of February 2013, there are 78 state and local fusion centers, covering every state, the District of Columbia, three U.S. territories, and many major metropolitan areas.</w:t>
      </w:r>
      <w:r w:rsidRPr="006C2493">
        <w:rPr>
          <w:rFonts w:ascii="Calibri" w:eastAsia="Times New Roman" w:hAnsi="Calibri" w:cs="Calibri"/>
          <w:bdr w:val="none" w:sz="0" w:space="0" w:color="auto" w:frame="1"/>
          <w:vertAlign w:val="superscript"/>
        </w:rPr>
        <w:t>46</w:t>
      </w:r>
      <w:r w:rsidRPr="006C2493">
        <w:rPr>
          <w:rFonts w:ascii="Calibri" w:eastAsia="Times New Roman" w:hAnsi="Calibri" w:cs="Calibri"/>
        </w:rPr>
        <w:t> State and local fusion centers vary in organization, function, and participants. Generally, fusion centers involving public health entities focus on bioterrorism and similar threats but may include "all crimes" and assist in providing intelligence and risk assessment for "all hazards" to protect the security of the homeland.</w:t>
      </w:r>
    </w:p>
    <w:p w14:paraId="43801FBA"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254E0720" w14:textId="77777777" w:rsidR="00F44300" w:rsidRPr="00E14045"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Effective bioterrorism planning, prevention, and response require information sharing among various entities, including public health agencies, healthcare providers, and law enforcement officials.</w:t>
      </w:r>
      <w:r w:rsidRPr="006C2493">
        <w:rPr>
          <w:rFonts w:ascii="Calibri" w:eastAsia="Times New Roman" w:hAnsi="Calibri" w:cs="Calibri"/>
          <w:bdr w:val="none" w:sz="0" w:space="0" w:color="auto" w:frame="1"/>
          <w:vertAlign w:val="superscript"/>
        </w:rPr>
        <w:t>47</w:t>
      </w:r>
      <w:r w:rsidRPr="006C2493">
        <w:rPr>
          <w:rFonts w:ascii="Calibri" w:eastAsia="Times New Roman" w:hAnsi="Calibri" w:cs="Calibri"/>
        </w:rPr>
        <w:t xml:space="preserve"> For example, public health may contribute information about suspicious symptoms, abnormal environmental conditions that may be caused by an emergent disease or agent, or abnormal patterns and trends indicative of production or abuse of narcotics. Public health personnel may also contribute </w:t>
      </w:r>
      <w:r w:rsidRPr="006C2493">
        <w:rPr>
          <w:rFonts w:ascii="Calibri" w:eastAsia="Times New Roman" w:hAnsi="Calibri" w:cs="Calibri"/>
        </w:rPr>
        <w:lastRenderedPageBreak/>
        <w:t>their specialized subject-matter expertise to assist in the analysis and interpretation of this information.</w:t>
      </w:r>
      <w:r w:rsidRPr="006C2493">
        <w:rPr>
          <w:rFonts w:ascii="Calibri" w:eastAsia="Times New Roman" w:hAnsi="Calibri" w:cs="Calibri"/>
          <w:bdr w:val="none" w:sz="0" w:space="0" w:color="auto" w:frame="1"/>
          <w:vertAlign w:val="superscript"/>
        </w:rPr>
        <w:t>48</w:t>
      </w:r>
      <w:r w:rsidRPr="006C2493">
        <w:rPr>
          <w:rFonts w:ascii="Calibri" w:eastAsia="Times New Roman" w:hAnsi="Calibri" w:cs="Calibri"/>
        </w:rPr>
        <w:t> In many cases, information may be shared in a way that does not identify individuals-for example, aggregate data about the number of individuals exposed to an infectious condition within a population or who have exhibited symptoms of a condition that is a known bioterrorism agent. However, at times, identifiable information will be needed to prevent, prepare for, and respond to bioterrorism, including epidemiological and laboratory data about the specific health status of identifiable individuals or health status of known groups such as families, assemblies, employees, or persons within defined geographic boundaries.</w:t>
      </w:r>
      <w:r w:rsidRPr="006C2493">
        <w:rPr>
          <w:rFonts w:ascii="Calibri" w:eastAsia="Times New Roman" w:hAnsi="Calibri" w:cs="Calibri"/>
          <w:bdr w:val="none" w:sz="0" w:space="0" w:color="auto" w:frame="1"/>
          <w:vertAlign w:val="superscript"/>
        </w:rPr>
        <w:t>49</w:t>
      </w:r>
    </w:p>
    <w:p w14:paraId="3D742753"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2C1566AE" w14:textId="77777777" w:rsidR="00F44300" w:rsidRPr="00E14045"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Public health's contribution of information through fusion centers raises similar issues to those which arise through joint investigations. Public health benefits through cross-sector partnerships with law enforcement and other agencies and pooling of expertise and resources. At the same time, public health's core mission suffers if public health agencies act-or are perceived to act-as law enforcement's agents. Privacy and civil liberties advocates warn against fusion centers' promotion of a surveillance-based society and cite abuses and mission creep by some fusion centers that result in suspicious activity reports about individuals who are engaging in lawful activities.</w:t>
      </w:r>
      <w:r w:rsidRPr="006C2493">
        <w:rPr>
          <w:rFonts w:ascii="Calibri" w:eastAsia="Times New Roman" w:hAnsi="Calibri" w:cs="Calibri"/>
          <w:bdr w:val="none" w:sz="0" w:space="0" w:color="auto" w:frame="1"/>
          <w:vertAlign w:val="superscript"/>
        </w:rPr>
        <w:t>50</w:t>
      </w:r>
    </w:p>
    <w:p w14:paraId="4C10FEA5"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4305ED30"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potential role of public health as a data contributor to fusion centers is an emerging area. Public health officials should be clear about their agency's role in contributing information, what information is being requested and for what purpose, and what information may be provided in turn to public health.</w:t>
      </w:r>
    </w:p>
    <w:p w14:paraId="55691DD5" w14:textId="77777777" w:rsidR="00F44300" w:rsidRPr="006C2493" w:rsidRDefault="00F44300" w:rsidP="00764111">
      <w:pPr>
        <w:shd w:val="clear" w:color="auto" w:fill="FFFFFF"/>
        <w:spacing w:after="120" w:line="360" w:lineRule="auto"/>
        <w:contextualSpacing/>
        <w:textAlignment w:val="baseline"/>
        <w:rPr>
          <w:rFonts w:ascii="Calibri" w:eastAsia="Times New Roman" w:hAnsi="Calibri" w:cs="Calibri"/>
        </w:rPr>
      </w:pPr>
      <w:r w:rsidRPr="006C2493">
        <w:rPr>
          <w:rFonts w:ascii="Calibri" w:eastAsia="Times New Roman" w:hAnsi="Calibri" w:cs="Calibri"/>
        </w:rPr>
        <w:t>Memoranda of understanding or data-sharing agreements may be used to define public health's role and terms and conditions for information sharing through fusion centers. Although not an exhaustive list, these terms might include:</w:t>
      </w:r>
    </w:p>
    <w:p w14:paraId="3CAA5496"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Information to be shared.</w:t>
      </w:r>
    </w:p>
    <w:p w14:paraId="6D7BE105"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Purpose for which information is to be used.</w:t>
      </w:r>
    </w:p>
    <w:p w14:paraId="4474778D"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Method for sharing.</w:t>
      </w:r>
    </w:p>
    <w:p w14:paraId="431B2414"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 xml:space="preserve">Who has access to the </w:t>
      </w:r>
      <w:proofErr w:type="gramStart"/>
      <w:r w:rsidRPr="00E14045">
        <w:rPr>
          <w:rFonts w:ascii="Calibri" w:eastAsia="Times New Roman" w:hAnsi="Calibri" w:cs="Calibri"/>
        </w:rPr>
        <w:t>information.</w:t>
      </w:r>
      <w:proofErr w:type="gramEnd"/>
    </w:p>
    <w:p w14:paraId="0343F487"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Acceptable uses and linkages of the information.</w:t>
      </w:r>
    </w:p>
    <w:p w14:paraId="610889AD"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Protection and security of the information.</w:t>
      </w:r>
    </w:p>
    <w:p w14:paraId="1F969941"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lastRenderedPageBreak/>
        <w:t>Retention, reuse, and further sharing of the information.</w:t>
      </w:r>
    </w:p>
    <w:p w14:paraId="6F821034"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Audits or other mechanisms to monitor proper use.</w:t>
      </w:r>
    </w:p>
    <w:p w14:paraId="6BB48091" w14:textId="77777777" w:rsidR="00F44300" w:rsidRPr="00E14045" w:rsidRDefault="00F44300" w:rsidP="00F44300">
      <w:pPr>
        <w:numPr>
          <w:ilvl w:val="0"/>
          <w:numId w:val="24"/>
        </w:numPr>
        <w:spacing w:after="120" w:line="360" w:lineRule="auto"/>
        <w:textAlignment w:val="baseline"/>
        <w:rPr>
          <w:rFonts w:ascii="Calibri" w:eastAsia="Times New Roman" w:hAnsi="Calibri" w:cs="Calibri"/>
        </w:rPr>
      </w:pPr>
      <w:r w:rsidRPr="00E14045">
        <w:rPr>
          <w:rFonts w:ascii="Calibri" w:eastAsia="Times New Roman" w:hAnsi="Calibri" w:cs="Calibri"/>
        </w:rPr>
        <w:t>Accountability and enforcement of terms of agreement.</w:t>
      </w:r>
    </w:p>
    <w:p w14:paraId="06B52740" w14:textId="77777777" w:rsidR="00F44300" w:rsidRPr="006C2493" w:rsidRDefault="00F44300" w:rsidP="00764111">
      <w:pPr>
        <w:spacing w:line="360" w:lineRule="auto"/>
        <w:textAlignment w:val="baseline"/>
        <w:rPr>
          <w:rFonts w:ascii="Calibri" w:eastAsia="Times New Roman" w:hAnsi="Calibri" w:cs="Calibri"/>
        </w:rPr>
      </w:pPr>
    </w:p>
    <w:p w14:paraId="6EAF7D5E"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Legal counsel should review proposed information to be shared and terms of use to ensure disclosure is permitted under federal and state laws.</w:t>
      </w:r>
    </w:p>
    <w:p w14:paraId="5D69650D" w14:textId="77777777" w:rsidR="00F44300" w:rsidRPr="00E14045"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The federal government has provided financial resources, personnel, training, and other support for defining, developing, operating, and standardizing fusion centers at the local, state, and federal levels. The  Department of Justice's Global Justice Information Sharing Initiative, in collaboration with the  Department of Homeland Security, has developed guidelines for establishing and operating fusion centers,</w:t>
      </w:r>
      <w:r w:rsidRPr="006C2493">
        <w:rPr>
          <w:rFonts w:ascii="Calibri" w:eastAsia="Times New Roman" w:hAnsi="Calibri" w:cs="Calibri"/>
          <w:bdr w:val="none" w:sz="0" w:space="0" w:color="auto" w:frame="1"/>
          <w:vertAlign w:val="superscript"/>
        </w:rPr>
        <w:t>51</w:t>
      </w:r>
      <w:r w:rsidRPr="006C2493">
        <w:rPr>
          <w:rFonts w:ascii="Calibri" w:eastAsia="Times New Roman" w:hAnsi="Calibri" w:cs="Calibri"/>
        </w:rPr>
        <w:t> baseline capabilities and operational standards,</w:t>
      </w:r>
      <w:r w:rsidRPr="006C2493">
        <w:rPr>
          <w:rFonts w:ascii="Calibri" w:eastAsia="Times New Roman" w:hAnsi="Calibri" w:cs="Calibri"/>
          <w:bdr w:val="none" w:sz="0" w:space="0" w:color="auto" w:frame="1"/>
          <w:vertAlign w:val="superscript"/>
        </w:rPr>
        <w:t>52</w:t>
      </w:r>
      <w:r w:rsidRPr="006C2493">
        <w:rPr>
          <w:rFonts w:ascii="Calibri" w:eastAsia="Times New Roman" w:hAnsi="Calibri" w:cs="Calibri"/>
        </w:rPr>
        <w:t> and recommended actions to integrate the public health and healthcare communities into the fusion process.</w:t>
      </w:r>
      <w:r w:rsidRPr="006C2493">
        <w:rPr>
          <w:rFonts w:ascii="Calibri" w:eastAsia="Times New Roman" w:hAnsi="Calibri" w:cs="Calibri"/>
          <w:bdr w:val="none" w:sz="0" w:space="0" w:color="auto" w:frame="1"/>
          <w:vertAlign w:val="superscript"/>
        </w:rPr>
        <w:t>53</w:t>
      </w:r>
      <w:r w:rsidRPr="006C2493">
        <w:rPr>
          <w:rFonts w:ascii="Calibri" w:eastAsia="Times New Roman" w:hAnsi="Calibri" w:cs="Calibri"/>
        </w:rPr>
        <w:t> To develop and operate a fusion center, law needs to be reviewed regarding the collection, sharing, and dissemination of information. Appropriate privacy and civil liberties policies must be in place, including policies to protect personally identifiable information. To aid with developing or revising privacy policies, the Global Justice Information Sharing Initiative has developed a privacy policy development guide and a privacy and civil rights policy template for justice information systems.</w:t>
      </w:r>
      <w:r w:rsidRPr="006C2493">
        <w:rPr>
          <w:rFonts w:ascii="Calibri" w:eastAsia="Times New Roman" w:hAnsi="Calibri" w:cs="Calibri"/>
          <w:bdr w:val="none" w:sz="0" w:space="0" w:color="auto" w:frame="1"/>
          <w:vertAlign w:val="superscript"/>
        </w:rPr>
        <w:t>54</w:t>
      </w:r>
    </w:p>
    <w:p w14:paraId="2F567EC3"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2449CCEB" w14:textId="77777777" w:rsidR="00F44300" w:rsidRPr="006C2493" w:rsidRDefault="00F44300" w:rsidP="00764111">
      <w:pPr>
        <w:keepNext/>
        <w:spacing w:line="360" w:lineRule="auto"/>
        <w:rPr>
          <w:rFonts w:ascii="Calibri" w:eastAsia="Times New Roman" w:hAnsi="Calibri" w:cs="Calibri"/>
          <w:b/>
          <w:bCs/>
        </w:rPr>
      </w:pPr>
      <w:r w:rsidRPr="006C2493">
        <w:rPr>
          <w:rFonts w:ascii="Calibri" w:eastAsia="Times New Roman" w:hAnsi="Calibri" w:cs="Calibri"/>
          <w:b/>
          <w:bCs/>
        </w:rPr>
        <w:t>IV. Public Health Investigations, Information Sharing, and U.S. Constitutional Rights</w:t>
      </w:r>
    </w:p>
    <w:p w14:paraId="3E471130"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U.S. Constitution creates fundamental rights to protect individuals from arbitrary actions by the government. As noted above, these fundamental rights include the Fourth Amendment prohibition against unreasonable searches and seizures and the Fifth Amendment protection of the accused against self-incrimination. If evidence is obtained in violation of these rights, it may be inadmissible in a criminal prosecution. Further, to be admissible, the chain of custody of evidence must be documented to link this evidence to the scene of the crime. When working with law enforcement, public health officials must understand their legal authority and limits to ensure individual rights are protected and criminal investigations are not compromised.</w:t>
      </w:r>
    </w:p>
    <w:p w14:paraId="476B32A8" w14:textId="77777777" w:rsidR="00F44300" w:rsidRPr="006C2493" w:rsidRDefault="00F44300" w:rsidP="000F2353">
      <w:pPr>
        <w:keepNext/>
        <w:spacing w:line="360" w:lineRule="auto"/>
        <w:rPr>
          <w:rFonts w:ascii="Calibri" w:eastAsia="Times New Roman" w:hAnsi="Calibri" w:cs="Calibri"/>
          <w:b/>
          <w:bCs/>
        </w:rPr>
      </w:pPr>
      <w:r w:rsidRPr="006C2493">
        <w:rPr>
          <w:rFonts w:ascii="Calibri" w:eastAsia="Times New Roman" w:hAnsi="Calibri" w:cs="Calibri"/>
          <w:b/>
          <w:bCs/>
        </w:rPr>
        <w:lastRenderedPageBreak/>
        <w:t>Fourth Amendment Prohibition on Unreasonable Searches and Seizures</w:t>
      </w:r>
    </w:p>
    <w:p w14:paraId="76833729"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In gathering evidence, the government must comply with the Fourth Amendment warrant requirements or meet an exception. The Fourth Amendment, which is enforceable against the states through the Fourteenth Amendment, provides:</w:t>
      </w:r>
    </w:p>
    <w:p w14:paraId="22E821D3"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3E664DEE" w14:textId="77777777" w:rsidR="00F44300" w:rsidRPr="00144410"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A search occurs when government action infringes upon an expectation of privacy that society recognizes as reasonable-for example, an individual's expectation of privacy in their home, business, vehicle, and person. Searches also include the collection and subsequent analysis of biological samples.</w:t>
      </w:r>
      <w:r w:rsidRPr="006C2493">
        <w:rPr>
          <w:rFonts w:ascii="Calibri" w:eastAsia="Times New Roman" w:hAnsi="Calibri" w:cs="Calibri"/>
          <w:bdr w:val="none" w:sz="0" w:space="0" w:color="auto" w:frame="1"/>
          <w:vertAlign w:val="superscript"/>
        </w:rPr>
        <w:t>55</w:t>
      </w:r>
      <w:r w:rsidRPr="006C2493">
        <w:rPr>
          <w:rFonts w:ascii="Calibri" w:eastAsia="Times New Roman" w:hAnsi="Calibri" w:cs="Calibri"/>
        </w:rPr>
        <w:t> A seizure occurs when government action meaningfully interferes with an individual's possessory interest in property, such as seizure of items that belong to the individual. The basic purpose of this amendment is to safeguard the privacy and security of individuals against arbitrary invasions by governmental officials.</w:t>
      </w:r>
    </w:p>
    <w:p w14:paraId="75C878BA"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26CC6C89" w14:textId="77777777" w:rsidR="00F44300" w:rsidRPr="00144410"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Absent an exception, the Fourth Amendment applies to health and safety inspections and to public health investigations, requiring an administrative warrant. The exception or warrant requirement applies to searches and seizures on both residential and commercial property.</w:t>
      </w:r>
      <w:r w:rsidRPr="006C2493">
        <w:rPr>
          <w:rFonts w:ascii="Calibri" w:eastAsia="Times New Roman" w:hAnsi="Calibri" w:cs="Calibri"/>
          <w:bdr w:val="none" w:sz="0" w:space="0" w:color="auto" w:frame="1"/>
          <w:vertAlign w:val="superscript"/>
        </w:rPr>
        <w:t>56</w:t>
      </w:r>
      <w:r w:rsidRPr="006C2493">
        <w:rPr>
          <w:rFonts w:ascii="Calibri" w:eastAsia="Times New Roman" w:hAnsi="Calibri" w:cs="Calibri"/>
        </w:rPr>
        <w:t xml:space="preserve"> However, the standard for an administrative warrant is not as high as it is for criminal investigations. In administrative searches, probable cause is supported not by the traditional definition of likelihood to believe that evidence of a crime will be found in the area to be searched, but rather by reasonable legislative or administrative standards for conducting an area search with respect to a </w:t>
      </w:r>
      <w:proofErr w:type="gramStart"/>
      <w:r w:rsidRPr="006C2493">
        <w:rPr>
          <w:rFonts w:ascii="Calibri" w:eastAsia="Times New Roman" w:hAnsi="Calibri" w:cs="Calibri"/>
        </w:rPr>
        <w:t>particular dwelling</w:t>
      </w:r>
      <w:proofErr w:type="gramEnd"/>
      <w:r w:rsidRPr="006C2493">
        <w:rPr>
          <w:rFonts w:ascii="Calibri" w:eastAsia="Times New Roman" w:hAnsi="Calibri" w:cs="Calibri"/>
        </w:rPr>
        <w:t>.</w:t>
      </w:r>
      <w:r w:rsidRPr="006C2493">
        <w:rPr>
          <w:rFonts w:ascii="Calibri" w:eastAsia="Times New Roman" w:hAnsi="Calibri" w:cs="Calibri"/>
          <w:bdr w:val="none" w:sz="0" w:space="0" w:color="auto" w:frame="1"/>
          <w:vertAlign w:val="superscript"/>
        </w:rPr>
        <w:t>57</w:t>
      </w:r>
    </w:p>
    <w:p w14:paraId="0B6C8C14"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5E46999B" w14:textId="77777777" w:rsidR="00F44300" w:rsidRPr="00144410"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Evidence found during an administrative search may be admissible in a criminal prosecution if two criteria are met. First, the information must be collected and processed with a proper chain of custody so that it can be authenticated by an expert and admitted into evidence. The chain of custody connects evidence to a crime scene. Since careful handling is also critical to proper epidemiologic investigations, this standard of care should be maintained in all investigations. Second, the evidence must be obtained as part of a legitimate public health investigation.</w:t>
      </w:r>
      <w:r w:rsidRPr="006C2493">
        <w:rPr>
          <w:rFonts w:ascii="Calibri" w:eastAsia="Times New Roman" w:hAnsi="Calibri" w:cs="Calibri"/>
          <w:bdr w:val="none" w:sz="0" w:space="0" w:color="auto" w:frame="1"/>
          <w:vertAlign w:val="superscript"/>
        </w:rPr>
        <w:t>58</w:t>
      </w:r>
      <w:r w:rsidRPr="006C2493">
        <w:rPr>
          <w:rFonts w:ascii="Calibri" w:eastAsia="Times New Roman" w:hAnsi="Calibri" w:cs="Calibri"/>
        </w:rPr>
        <w:t xml:space="preserve"> In other words, a public health agency must be </w:t>
      </w:r>
      <w:r w:rsidRPr="006C2493">
        <w:rPr>
          <w:rFonts w:ascii="Calibri" w:eastAsia="Times New Roman" w:hAnsi="Calibri" w:cs="Calibri"/>
        </w:rPr>
        <w:lastRenderedPageBreak/>
        <w:t>acting in its public health capacity. Public health investigations cannot be used as a pretext to gather evidence of criminal activity.</w:t>
      </w:r>
    </w:p>
    <w:p w14:paraId="557FADF1"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1E40E034"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Public health professionals must avoid serving as agents to law enforcement, lest they jeopardize both criminal proceedings and the public's trust.</w:t>
      </w:r>
    </w:p>
    <w:p w14:paraId="39E5E2B7" w14:textId="77777777" w:rsidR="00F44300" w:rsidRPr="00144410"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In many investigations, the owner or occupier gives consent for public health investigators to enter and search their premises, to copy records, take specimens or samples for testing, and remove evidence that might be relevant to the public health concern. Knowing and voluntary consent by an individual with actual or apparent authority over the premises to be searched or items to be seized is an exception to the warrant requirement. The search is limited to the scope provided in the consent. Thus, if an individual gives investigators permission to search his room, investigators cannot expand the search to other rooms or the individual's vehicle.</w:t>
      </w:r>
      <w:r w:rsidRPr="006C2493">
        <w:rPr>
          <w:rFonts w:ascii="Calibri" w:eastAsia="Times New Roman" w:hAnsi="Calibri" w:cs="Calibri"/>
          <w:bdr w:val="none" w:sz="0" w:space="0" w:color="auto" w:frame="1"/>
          <w:vertAlign w:val="superscript"/>
        </w:rPr>
        <w:t>59</w:t>
      </w:r>
    </w:p>
    <w:p w14:paraId="43374652"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3A918856" w14:textId="77777777" w:rsidR="00F44300" w:rsidRPr="006C2493" w:rsidRDefault="00F44300" w:rsidP="00764111">
      <w:pPr>
        <w:shd w:val="clear" w:color="auto" w:fill="FFFFFF"/>
        <w:spacing w:after="120" w:line="360" w:lineRule="auto"/>
        <w:textAlignment w:val="baseline"/>
        <w:rPr>
          <w:rFonts w:ascii="Calibri" w:eastAsia="Times New Roman" w:hAnsi="Calibri" w:cs="Calibri"/>
        </w:rPr>
      </w:pPr>
      <w:r w:rsidRPr="006C2493">
        <w:rPr>
          <w:rFonts w:ascii="Calibri" w:eastAsia="Times New Roman" w:hAnsi="Calibri" w:cs="Calibri"/>
        </w:rPr>
        <w:t>Additional exceptions to the warrant and probable cause requirement might apply to public health inspections and investigations. These include:</w:t>
      </w:r>
    </w:p>
    <w:p w14:paraId="7C282F31" w14:textId="77777777" w:rsidR="00F44300" w:rsidRPr="00360591" w:rsidRDefault="00F44300" w:rsidP="00F44300">
      <w:pPr>
        <w:numPr>
          <w:ilvl w:val="0"/>
          <w:numId w:val="25"/>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Pervasively regulated businesses.</w:t>
      </w:r>
      <w:r w:rsidRPr="00360591">
        <w:rPr>
          <w:rFonts w:ascii="Calibri" w:eastAsia="Times New Roman" w:hAnsi="Calibri" w:cs="Calibri"/>
        </w:rPr>
        <w:t> Warrantless searches are permitted of certain industries that have a history of pervasive regulation. The history of government oversight prevents those engaged in these businesses from holding any reasonable expectations of privacy. Junkyards are an example of a pervasively regulated business; consequently, a New York statute that authorized warrantless searches of junkyards was valid.</w:t>
      </w:r>
      <w:r w:rsidRPr="00360591">
        <w:rPr>
          <w:rFonts w:ascii="Calibri" w:eastAsia="Times New Roman" w:hAnsi="Calibri" w:cs="Calibri"/>
          <w:bdr w:val="none" w:sz="0" w:space="0" w:color="auto" w:frame="1"/>
          <w:vertAlign w:val="superscript"/>
        </w:rPr>
        <w:t>60</w:t>
      </w:r>
      <w:r w:rsidRPr="00360591">
        <w:rPr>
          <w:rFonts w:ascii="Calibri" w:eastAsia="Times New Roman" w:hAnsi="Calibri" w:cs="Calibri"/>
        </w:rPr>
        <w:t> Most businesses that can endanger the public health, such as food service establishments or health facilities, require a permit or license to operate. Through licensing, these businesses are put on notice that they are subject to warrantless searches during regular business hours as a condition of doing business.</w:t>
      </w:r>
      <w:r w:rsidRPr="00360591">
        <w:rPr>
          <w:rFonts w:ascii="Calibri" w:eastAsia="Times New Roman" w:hAnsi="Calibri" w:cs="Calibri"/>
          <w:bdr w:val="none" w:sz="0" w:space="0" w:color="auto" w:frame="1"/>
          <w:vertAlign w:val="superscript"/>
        </w:rPr>
        <w:t>61</w:t>
      </w:r>
    </w:p>
    <w:p w14:paraId="2CA776D8" w14:textId="77777777" w:rsidR="00F44300" w:rsidRPr="006C2493" w:rsidRDefault="00F44300" w:rsidP="00764111">
      <w:pPr>
        <w:spacing w:line="360" w:lineRule="auto"/>
        <w:textAlignment w:val="baseline"/>
        <w:rPr>
          <w:rFonts w:ascii="Calibri" w:eastAsia="Times New Roman" w:hAnsi="Calibri" w:cs="Calibri"/>
        </w:rPr>
      </w:pPr>
    </w:p>
    <w:p w14:paraId="2F8702AE" w14:textId="77777777" w:rsidR="00F44300" w:rsidRPr="00360591" w:rsidRDefault="00F44300" w:rsidP="00F44300">
      <w:pPr>
        <w:numPr>
          <w:ilvl w:val="0"/>
          <w:numId w:val="25"/>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Checkpoints and other blanket searches.</w:t>
      </w:r>
      <w:r w:rsidRPr="00360591">
        <w:rPr>
          <w:rFonts w:ascii="Calibri" w:eastAsia="Times New Roman" w:hAnsi="Calibri" w:cs="Calibri"/>
        </w:rPr>
        <w:t xml:space="preserve"> Warrantless, </w:t>
      </w:r>
      <w:proofErr w:type="spellStart"/>
      <w:r w:rsidRPr="00360591">
        <w:rPr>
          <w:rFonts w:ascii="Calibri" w:eastAsia="Times New Roman" w:hAnsi="Calibri" w:cs="Calibri"/>
        </w:rPr>
        <w:t>suspicionless</w:t>
      </w:r>
      <w:proofErr w:type="spellEnd"/>
      <w:r w:rsidRPr="00360591">
        <w:rPr>
          <w:rFonts w:ascii="Calibri" w:eastAsia="Times New Roman" w:hAnsi="Calibri" w:cs="Calibri"/>
        </w:rPr>
        <w:t xml:space="preserve"> searches are valid at places where the need to enforce public safety is particularly acute, such as borders, airports, and government buildings. Appropriately tailored roadblocks may also be permitted, for example, to thwart an imminent terrorist attack or to catch a dangerous criminal who is likely to flee by way of a </w:t>
      </w:r>
      <w:proofErr w:type="gramStart"/>
      <w:r w:rsidRPr="00360591">
        <w:rPr>
          <w:rFonts w:ascii="Calibri" w:eastAsia="Times New Roman" w:hAnsi="Calibri" w:cs="Calibri"/>
        </w:rPr>
        <w:t>particular route</w:t>
      </w:r>
      <w:proofErr w:type="gramEnd"/>
      <w:r w:rsidRPr="00360591">
        <w:rPr>
          <w:rFonts w:ascii="Calibri" w:eastAsia="Times New Roman" w:hAnsi="Calibri" w:cs="Calibri"/>
        </w:rPr>
        <w:t>. Permitted checkpoint programs and blanket searches depend on the primary programmatic purpose; for example, motor vehicle checkpoints are not permitted for the primary purpose of uncovering evidence of criminal wrongdoing.</w:t>
      </w:r>
      <w:r w:rsidRPr="00360591">
        <w:rPr>
          <w:rFonts w:ascii="Calibri" w:eastAsia="Times New Roman" w:hAnsi="Calibri" w:cs="Calibri"/>
          <w:bdr w:val="none" w:sz="0" w:space="0" w:color="auto" w:frame="1"/>
          <w:vertAlign w:val="superscript"/>
        </w:rPr>
        <w:t>62</w:t>
      </w:r>
    </w:p>
    <w:p w14:paraId="697E8841" w14:textId="77777777" w:rsidR="00F44300" w:rsidRPr="006C2493" w:rsidRDefault="00F44300" w:rsidP="00764111">
      <w:pPr>
        <w:spacing w:line="360" w:lineRule="auto"/>
        <w:textAlignment w:val="baseline"/>
        <w:rPr>
          <w:rFonts w:ascii="Calibri" w:eastAsia="Times New Roman" w:hAnsi="Calibri" w:cs="Calibri"/>
        </w:rPr>
      </w:pPr>
    </w:p>
    <w:p w14:paraId="363E048C" w14:textId="77777777" w:rsidR="00F44300" w:rsidRPr="00360591" w:rsidRDefault="00F44300" w:rsidP="00F44300">
      <w:pPr>
        <w:numPr>
          <w:ilvl w:val="0"/>
          <w:numId w:val="25"/>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Emergency circumstances.</w:t>
      </w:r>
      <w:r w:rsidRPr="00360591">
        <w:rPr>
          <w:rFonts w:ascii="Calibri" w:eastAsia="Times New Roman" w:hAnsi="Calibri" w:cs="Calibri"/>
        </w:rPr>
        <w:t> Warrantless searches are permitted for exigent circumstances if delay associated with obtaining a warrant is likely to lead to injury, public harm, or the destruction of evidence.</w:t>
      </w:r>
      <w:r w:rsidRPr="00360591">
        <w:rPr>
          <w:rFonts w:ascii="Calibri" w:eastAsia="Times New Roman" w:hAnsi="Calibri" w:cs="Calibri"/>
          <w:bdr w:val="none" w:sz="0" w:space="0" w:color="auto" w:frame="1"/>
          <w:vertAlign w:val="superscript"/>
        </w:rPr>
        <w:t>63</w:t>
      </w:r>
    </w:p>
    <w:p w14:paraId="04414E06" w14:textId="77777777" w:rsidR="00F44300" w:rsidRPr="006C2493" w:rsidRDefault="00F44300" w:rsidP="00764111">
      <w:pPr>
        <w:spacing w:line="360" w:lineRule="auto"/>
        <w:textAlignment w:val="baseline"/>
        <w:rPr>
          <w:rFonts w:ascii="Calibri" w:eastAsia="Times New Roman" w:hAnsi="Calibri" w:cs="Calibri"/>
        </w:rPr>
      </w:pPr>
    </w:p>
    <w:p w14:paraId="585AE384" w14:textId="77777777" w:rsidR="00F44300" w:rsidRPr="00360591" w:rsidRDefault="00F44300" w:rsidP="00F44300">
      <w:pPr>
        <w:numPr>
          <w:ilvl w:val="0"/>
          <w:numId w:val="25"/>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Open-fields doctrine</w:t>
      </w:r>
      <w:r w:rsidRPr="00360591">
        <w:rPr>
          <w:rFonts w:ascii="Calibri" w:eastAsia="Times New Roman" w:hAnsi="Calibri" w:cs="Calibri"/>
        </w:rPr>
        <w:t>. No warrant is required to inspect a public place, such as the eating area of a restaurant, testing pollutants emitted into the open air, or examining the exterior of an apartment and refuse dumpster.</w:t>
      </w:r>
      <w:r w:rsidRPr="00360591">
        <w:rPr>
          <w:rFonts w:ascii="Calibri" w:eastAsia="Times New Roman" w:hAnsi="Calibri" w:cs="Calibri"/>
          <w:bdr w:val="none" w:sz="0" w:space="0" w:color="auto" w:frame="1"/>
          <w:vertAlign w:val="superscript"/>
        </w:rPr>
        <w:t>64</w:t>
      </w:r>
    </w:p>
    <w:p w14:paraId="31D726A8" w14:textId="77777777" w:rsidR="00F44300" w:rsidRPr="006C2493" w:rsidRDefault="00F44300" w:rsidP="00764111">
      <w:pPr>
        <w:spacing w:line="360" w:lineRule="auto"/>
        <w:textAlignment w:val="baseline"/>
        <w:rPr>
          <w:rFonts w:ascii="Calibri" w:eastAsia="Times New Roman" w:hAnsi="Calibri" w:cs="Calibri"/>
        </w:rPr>
      </w:pPr>
    </w:p>
    <w:p w14:paraId="25F2BD7F" w14:textId="77777777" w:rsidR="00F44300" w:rsidRPr="006C2493" w:rsidRDefault="00F44300" w:rsidP="00764111">
      <w:pPr>
        <w:spacing w:line="360" w:lineRule="auto"/>
        <w:rPr>
          <w:rFonts w:ascii="Calibri" w:eastAsia="Times New Roman" w:hAnsi="Calibri" w:cs="Calibri"/>
          <w:b/>
          <w:bCs/>
        </w:rPr>
      </w:pPr>
      <w:r w:rsidRPr="006C2493">
        <w:rPr>
          <w:rFonts w:ascii="Calibri" w:eastAsia="Times New Roman" w:hAnsi="Calibri" w:cs="Calibri"/>
          <w:b/>
          <w:bCs/>
        </w:rPr>
        <w:t>Fifth Amendment Privilege Against Self-Incrimination </w:t>
      </w:r>
    </w:p>
    <w:p w14:paraId="6C5C6908" w14:textId="77777777" w:rsidR="00F44300" w:rsidRPr="00144410"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Fifth Amendment to the Constitution provides that "[n]o person … shall be compelled in any criminal case to be a witness against himself." The privilege prevents the government from forcing a defendant to testify against himself. The privilege also applies to "custodial interrogations" and prevents the government from forcing a person to talk to the police and answer potentially incriminating questions concerning a crime.</w:t>
      </w:r>
    </w:p>
    <w:p w14:paraId="30364514" w14:textId="77777777" w:rsidR="00F44300" w:rsidRPr="00144410"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Before conducting a custodial interview of a suspect, a government agent must provide the familiar "Miranda warnings," namely, "you have the right to remain silent," "anything you say or do can and will be held against you in a court of law," "you have the right to an attorney," and "if you cannot afford an attorney, one will be provided for you." The suspect can "take the Fifth" to avoid saying something incriminating himself.</w:t>
      </w:r>
      <w:r w:rsidRPr="006C2493">
        <w:rPr>
          <w:rFonts w:ascii="Calibri" w:eastAsia="Times New Roman" w:hAnsi="Calibri" w:cs="Calibri"/>
          <w:bdr w:val="none" w:sz="0" w:space="0" w:color="auto" w:frame="1"/>
          <w:vertAlign w:val="superscript"/>
        </w:rPr>
        <w:t>65</w:t>
      </w:r>
      <w:r w:rsidRPr="006C2493">
        <w:rPr>
          <w:rFonts w:ascii="Calibri" w:eastAsia="Times New Roman" w:hAnsi="Calibri" w:cs="Calibri"/>
        </w:rPr>
        <w:t> When the government agent fails to provide Miranda warnings to a person interviewed while in custody, the statement generally may not be used as evidence in criminal proceedings.</w:t>
      </w:r>
      <w:r w:rsidRPr="006C2493">
        <w:rPr>
          <w:rFonts w:ascii="Calibri" w:eastAsia="Times New Roman" w:hAnsi="Calibri" w:cs="Calibri"/>
          <w:bdr w:val="none" w:sz="0" w:space="0" w:color="auto" w:frame="1"/>
          <w:vertAlign w:val="superscript"/>
        </w:rPr>
        <w:t>66</w:t>
      </w:r>
    </w:p>
    <w:p w14:paraId="2D04DCC5"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2E963680" w14:textId="77777777" w:rsidR="00F44300" w:rsidRPr="00144410"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suspect making the statement must be "in custody." Generally, this occurs when, because of a show of government authority, a reasonable person would not feel free to leave. Additionally, the statement must be uttered while the suspect was under interrogation. "In custody" may include situations where the individual physically cannot leave, such as when a public health official conducts a hospital bedside interview in the presence of a police officer. In such case, custody would depend on whether a reasonable person would feel free to decline to answer the questions posed.</w:t>
      </w:r>
    </w:p>
    <w:p w14:paraId="53B5AA89" w14:textId="77777777" w:rsidR="00F44300" w:rsidRPr="00144410"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 xml:space="preserve">The Fifth Amendment does not require suppression of statements that a suspect volunteers, for example, if a suspect volunteers after arrest that he has a biological agent in his </w:t>
      </w:r>
      <w:r w:rsidRPr="006C2493">
        <w:rPr>
          <w:rFonts w:ascii="Calibri" w:eastAsia="Times New Roman" w:hAnsi="Calibri" w:cs="Calibri"/>
        </w:rPr>
        <w:lastRenderedPageBreak/>
        <w:t>apartment.</w:t>
      </w:r>
      <w:r w:rsidRPr="006C2493">
        <w:rPr>
          <w:rFonts w:ascii="Calibri" w:eastAsia="Times New Roman" w:hAnsi="Calibri" w:cs="Calibri"/>
          <w:bdr w:val="none" w:sz="0" w:space="0" w:color="auto" w:frame="1"/>
          <w:vertAlign w:val="superscript"/>
        </w:rPr>
        <w:t>67</w:t>
      </w:r>
      <w:r w:rsidRPr="006C2493">
        <w:rPr>
          <w:rFonts w:ascii="Calibri" w:eastAsia="Times New Roman" w:hAnsi="Calibri" w:cs="Calibri"/>
        </w:rPr>
        <w:t xml:space="preserve"> Additionally, emergency circumstances might provide an exception to the requirement that Miranda warnings be provided prior to a custodial interrogation. For example, a "public safety" exception might apply to custodial questions posed </w:t>
      </w:r>
      <w:proofErr w:type="gramStart"/>
      <w:r w:rsidRPr="006C2493">
        <w:rPr>
          <w:rFonts w:ascii="Calibri" w:eastAsia="Times New Roman" w:hAnsi="Calibri" w:cs="Calibri"/>
        </w:rPr>
        <w:t>in an attempt to</w:t>
      </w:r>
      <w:proofErr w:type="gramEnd"/>
      <w:r w:rsidRPr="006C2493">
        <w:rPr>
          <w:rFonts w:ascii="Calibri" w:eastAsia="Times New Roman" w:hAnsi="Calibri" w:cs="Calibri"/>
        </w:rPr>
        <w:t xml:space="preserve"> avert an immediate threat. For example, a suspect caught in the act of making a bioterrorist threat of immediate danger may be asked where else he released biological agents prior to Miranda warnings.</w:t>
      </w:r>
      <w:r w:rsidRPr="006C2493">
        <w:rPr>
          <w:rFonts w:ascii="Calibri" w:eastAsia="Times New Roman" w:hAnsi="Calibri" w:cs="Calibri"/>
          <w:bdr w:val="none" w:sz="0" w:space="0" w:color="auto" w:frame="1"/>
          <w:vertAlign w:val="superscript"/>
        </w:rPr>
        <w:t>68</w:t>
      </w:r>
    </w:p>
    <w:p w14:paraId="7B5C2208"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18928C10" w14:textId="77777777" w:rsidR="00F44300"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Usually, public health investigators need not be concerned with Miranda warnings because they conduct most investigations alone and typically do not conduct criminal investigations. However, Fifth Amendment issues might arise during a public health investigation if, for example, individuals who are interviewed as witnesses or victims of a disease-causing agent come to be considered suspect perpetrators. Fifth Amendment challenges are most likely to occur during interviews conducted jointly by public health investigators and law enforcement or public health interviews that are conducted in the presence of law enforcement. Fifth Amendment concerns might also arise if public health investigators interview suspects for the purpose of gathering evidence of criminal activity for the police.</w:t>
      </w:r>
    </w:p>
    <w:p w14:paraId="4913FEBB"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1F201943" w14:textId="77777777" w:rsidR="00F44300" w:rsidRPr="006C2493" w:rsidRDefault="00F44300" w:rsidP="00764111">
      <w:pPr>
        <w:keepNext/>
        <w:spacing w:line="360" w:lineRule="auto"/>
        <w:rPr>
          <w:rFonts w:ascii="Calibri" w:eastAsia="Times New Roman" w:hAnsi="Calibri" w:cs="Calibri"/>
          <w:b/>
          <w:bCs/>
        </w:rPr>
      </w:pPr>
      <w:r w:rsidRPr="006C2493">
        <w:rPr>
          <w:rFonts w:ascii="Calibri" w:eastAsia="Times New Roman" w:hAnsi="Calibri" w:cs="Calibri"/>
          <w:b/>
          <w:bCs/>
        </w:rPr>
        <w:t>V. Federal Statutes and Public Health Information Sharing with Law Enforcement</w:t>
      </w:r>
    </w:p>
    <w:p w14:paraId="2D75E433"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The applicability of mandated federal reporting and the HIPAA Privacy Rule are discussed below. However, it is beyond the scope of this Issue Brief to identify all federal statutes that might be relevant to information sharing by state and local public health agencies with law enforcement.</w:t>
      </w:r>
    </w:p>
    <w:p w14:paraId="1EC04F99" w14:textId="77777777" w:rsidR="00F44300" w:rsidRPr="006C2493" w:rsidRDefault="00F44300" w:rsidP="00764111">
      <w:pPr>
        <w:spacing w:line="360" w:lineRule="auto"/>
        <w:rPr>
          <w:rFonts w:ascii="Calibri" w:eastAsia="Times New Roman" w:hAnsi="Calibri" w:cs="Calibri"/>
          <w:b/>
          <w:bCs/>
        </w:rPr>
      </w:pPr>
      <w:r w:rsidRPr="006C2493">
        <w:rPr>
          <w:rFonts w:ascii="Calibri" w:eastAsia="Times New Roman" w:hAnsi="Calibri" w:cs="Calibri"/>
          <w:b/>
          <w:bCs/>
        </w:rPr>
        <w:t>Public Health and Federal Reporting </w:t>
      </w:r>
    </w:p>
    <w:p w14:paraId="52BA569B" w14:textId="77777777" w:rsidR="00F44300" w:rsidRPr="005310FC"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Public health agencies may be compelled to provide identifiable information to law enforcement, for example, by an FBI administrative order issued under the Patriot Act,</w:t>
      </w:r>
      <w:r w:rsidRPr="006C2493">
        <w:rPr>
          <w:rFonts w:ascii="Calibri" w:eastAsia="Times New Roman" w:hAnsi="Calibri" w:cs="Calibri"/>
          <w:bdr w:val="none" w:sz="0" w:space="0" w:color="auto" w:frame="1"/>
          <w:vertAlign w:val="superscript"/>
        </w:rPr>
        <w:t>69</w:t>
      </w:r>
      <w:r w:rsidRPr="006C2493">
        <w:rPr>
          <w:rFonts w:ascii="Calibri" w:eastAsia="Times New Roman" w:hAnsi="Calibri" w:cs="Calibri"/>
        </w:rPr>
        <w:t> federal subpoena, or other legal process. However, generally, there appears to be no federal statute mandating state or local public health agencies to report information regarding suspicious activity or other indications of possible bioterrorism or other threats. Federal laws, such as the National Security Act,</w:t>
      </w:r>
      <w:r w:rsidRPr="006C2493">
        <w:rPr>
          <w:rFonts w:ascii="Calibri" w:eastAsia="Times New Roman" w:hAnsi="Calibri" w:cs="Calibri"/>
          <w:bdr w:val="none" w:sz="0" w:space="0" w:color="auto" w:frame="1"/>
          <w:vertAlign w:val="superscript"/>
        </w:rPr>
        <w:t>70</w:t>
      </w:r>
      <w:r w:rsidRPr="006C2493">
        <w:rPr>
          <w:rFonts w:ascii="Calibri" w:eastAsia="Times New Roman" w:hAnsi="Calibri" w:cs="Calibri"/>
        </w:rPr>
        <w:t>authorize the federal government to collect such information; however, national reporting is not mandated. Thus, state and local public health agencies may provide information for law enforcement purposes, either as required or permitted by their state's law.</w:t>
      </w:r>
    </w:p>
    <w:p w14:paraId="519950B9"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01BAAFF0" w14:textId="77777777" w:rsidR="00F44300" w:rsidRPr="005310FC" w:rsidRDefault="00F44300" w:rsidP="000F2353">
      <w:pPr>
        <w:keepNext/>
        <w:spacing w:line="360" w:lineRule="auto"/>
        <w:rPr>
          <w:rFonts w:ascii="Calibri" w:eastAsia="Times New Roman" w:hAnsi="Calibri" w:cs="Calibri"/>
          <w:b/>
          <w:bCs/>
        </w:rPr>
      </w:pPr>
      <w:r w:rsidRPr="006C2493">
        <w:rPr>
          <w:rFonts w:ascii="Calibri" w:eastAsia="Times New Roman" w:hAnsi="Calibri" w:cs="Calibri"/>
          <w:b/>
          <w:bCs/>
        </w:rPr>
        <w:lastRenderedPageBreak/>
        <w:t>Disclosure and the Health Information Portability and Accountability Act Privacy Rule</w:t>
      </w:r>
    </w:p>
    <w:p w14:paraId="71FC3EC9" w14:textId="77777777" w:rsidR="00F44300" w:rsidRPr="005310FC"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Some public health agencies, or programs or services within public health agencies, are covered by the federal Privacy Rule</w:t>
      </w:r>
      <w:r w:rsidRPr="006C2493">
        <w:rPr>
          <w:rFonts w:ascii="Calibri" w:eastAsia="Times New Roman" w:hAnsi="Calibri" w:cs="Calibri"/>
          <w:bdr w:val="none" w:sz="0" w:space="0" w:color="auto" w:frame="1"/>
          <w:vertAlign w:val="superscript"/>
        </w:rPr>
        <w:t>71</w:t>
      </w:r>
      <w:r w:rsidRPr="006C2493">
        <w:rPr>
          <w:rFonts w:ascii="Calibri" w:eastAsia="Times New Roman" w:hAnsi="Calibri" w:cs="Calibri"/>
        </w:rPr>
        <w:t> adopted by the U.S. Department of Health and Human Services under the Health Insurance Portability and Accountability Act (HIPAA).</w:t>
      </w:r>
      <w:r w:rsidRPr="006C2493">
        <w:rPr>
          <w:rFonts w:ascii="Calibri" w:eastAsia="Times New Roman" w:hAnsi="Calibri" w:cs="Calibri"/>
          <w:bdr w:val="none" w:sz="0" w:space="0" w:color="auto" w:frame="1"/>
          <w:vertAlign w:val="superscript"/>
        </w:rPr>
        <w:t>72</w:t>
      </w:r>
      <w:r w:rsidRPr="006C2493">
        <w:rPr>
          <w:rFonts w:ascii="Calibri" w:eastAsia="Times New Roman" w:hAnsi="Calibri" w:cs="Calibri"/>
        </w:rPr>
        <w:t> The Privacy Rule established national minimum standards to protect the privacy of individually identifiable health information (referred to as "protected health information" or "PHI") and gives patients an array of rights with respect to that information. PHI is individually identifiable health information that relates to physical or mental health or condition, the provision of healthcare to the individual, or any payment for the provision of healthcare.</w:t>
      </w:r>
      <w:r w:rsidRPr="006C2493">
        <w:rPr>
          <w:rFonts w:ascii="Calibri" w:eastAsia="Times New Roman" w:hAnsi="Calibri" w:cs="Calibri"/>
          <w:bdr w:val="none" w:sz="0" w:space="0" w:color="auto" w:frame="1"/>
          <w:vertAlign w:val="superscript"/>
        </w:rPr>
        <w:t>73</w:t>
      </w:r>
      <w:r w:rsidRPr="006C2493">
        <w:rPr>
          <w:rFonts w:ascii="Calibri" w:eastAsia="Times New Roman" w:hAnsi="Calibri" w:cs="Calibri"/>
        </w:rPr>
        <w:t> A covered entity is prohibited from using or disclosing PHI without the written authorization of the patient unless required or permitted by the Privacy Rule. A covered entity that violates the Privacy Rule is subject to civil or criminal penalties.</w:t>
      </w:r>
    </w:p>
    <w:p w14:paraId="7501927D"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585DC4B6" w14:textId="77777777" w:rsidR="00F44300" w:rsidRPr="005310FC"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The </w:t>
      </w:r>
      <w:hyperlink r:id="rId22" w:tooltip="Public Health and Schools Toolkit" w:history="1">
        <w:r w:rsidRPr="006C2493">
          <w:rPr>
            <w:rFonts w:ascii="Calibri" w:eastAsia="Times New Roman" w:hAnsi="Calibri" w:cs="Calibri"/>
            <w:i/>
            <w:iCs/>
            <w:color w:val="4472C4" w:themeColor="accent1"/>
            <w:u w:val="single"/>
            <w:bdr w:val="none" w:sz="0" w:space="0" w:color="auto" w:frame="1"/>
          </w:rPr>
          <w:t>Public Health and Schools Toolkit</w:t>
        </w:r>
      </w:hyperlink>
      <w:r w:rsidRPr="006C2493">
        <w:rPr>
          <w:rFonts w:ascii="Calibri" w:eastAsia="Times New Roman" w:hAnsi="Calibri" w:cs="Calibri"/>
          <w:color w:val="4472C4" w:themeColor="accent1"/>
        </w:rPr>
        <w:t> </w:t>
      </w:r>
      <w:r w:rsidRPr="006C2493">
        <w:rPr>
          <w:rFonts w:ascii="Calibri" w:eastAsia="Times New Roman" w:hAnsi="Calibri" w:cs="Calibri"/>
        </w:rPr>
        <w:t>discusses HIPAA applicability to public health agencies. Depending on a public health agency's organization and functions, it may or may not be covered by the Privacy Rule. To the extent that the Privacy Rule applies, it should allow public health agencies to disclose information to law enforcement in many situations that involve disease control, bioterrorism, or other public health threats. In this regard, the Privacy Rule is balanced to protect an individual's privacy while allowing important law enforcement functions to continue.</w:t>
      </w:r>
    </w:p>
    <w:p w14:paraId="20506B56"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48328753" w14:textId="77777777" w:rsidR="00F44300" w:rsidRPr="005310FC"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The Privacy Rule does not apply to "de-identified information," such as aggregate statistical data or data stripped of individual identifiers.</w:t>
      </w:r>
      <w:r w:rsidRPr="006C2493">
        <w:rPr>
          <w:rFonts w:ascii="Calibri" w:eastAsia="Times New Roman" w:hAnsi="Calibri" w:cs="Calibri"/>
          <w:bdr w:val="none" w:sz="0" w:space="0" w:color="auto" w:frame="1"/>
          <w:vertAlign w:val="superscript"/>
        </w:rPr>
        <w:t>74</w:t>
      </w:r>
      <w:r w:rsidRPr="006C2493">
        <w:rPr>
          <w:rFonts w:ascii="Calibri" w:eastAsia="Times New Roman" w:hAnsi="Calibri" w:cs="Calibri"/>
        </w:rPr>
        <w:t> This data requires no individual privacy protections and may be disclosed to law enforcement and others without authorization.</w:t>
      </w:r>
      <w:r w:rsidRPr="006C2493">
        <w:rPr>
          <w:rFonts w:ascii="Calibri" w:eastAsia="Times New Roman" w:hAnsi="Calibri" w:cs="Calibri"/>
          <w:bdr w:val="none" w:sz="0" w:space="0" w:color="auto" w:frame="1"/>
          <w:vertAlign w:val="superscript"/>
        </w:rPr>
        <w:t>75</w:t>
      </w:r>
      <w:r w:rsidRPr="006C2493">
        <w:rPr>
          <w:rFonts w:ascii="Calibri" w:eastAsia="Times New Roman" w:hAnsi="Calibri" w:cs="Calibri"/>
        </w:rPr>
        <w:t> Information may be de-identified using either the safe harbor method or the statistical de-identification method. For the safe harbor method, the covered entity de-identifies data by removing 18 identifiers specified in the Privacy Rule.</w:t>
      </w:r>
      <w:r w:rsidRPr="006C2493">
        <w:rPr>
          <w:rFonts w:ascii="Calibri" w:eastAsia="Times New Roman" w:hAnsi="Calibri" w:cs="Calibri"/>
          <w:bdr w:val="none" w:sz="0" w:space="0" w:color="auto" w:frame="1"/>
          <w:vertAlign w:val="superscript"/>
        </w:rPr>
        <w:t>76</w:t>
      </w:r>
      <w:r w:rsidRPr="006C2493">
        <w:rPr>
          <w:rFonts w:ascii="Calibri" w:eastAsia="Times New Roman" w:hAnsi="Calibri" w:cs="Calibri"/>
        </w:rPr>
        <w:t> The information is deemed de-identified provided that the covered entity does not have actual knowledge that the remaining information can be used alone or in combination with other reasonably available information to identify a subject. These identifiers include personal identifiers (such as name, address, telephone number, birth date, and social security number) and non-personal identifiers (such as geographic information smaller than a state and dates directly associated with an individual). Alternatively, a covered entity can rely on a determination by a properly qualified statistician using accepted analytic techniques who concludes the risk of re-identification is substantially limited.</w:t>
      </w:r>
    </w:p>
    <w:p w14:paraId="557E671F"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6D4706A5" w14:textId="77777777" w:rsidR="00F44300" w:rsidRPr="005310FC"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lastRenderedPageBreak/>
        <w:t>The Privacy Rule also permits covered entities to disclose PHI to law enforcement officials</w:t>
      </w:r>
      <w:r w:rsidRPr="006C2493">
        <w:rPr>
          <w:rFonts w:ascii="Calibri" w:eastAsia="Times New Roman" w:hAnsi="Calibri" w:cs="Calibri"/>
          <w:bdr w:val="none" w:sz="0" w:space="0" w:color="auto" w:frame="1"/>
          <w:vertAlign w:val="superscript"/>
        </w:rPr>
        <w:t>77</w:t>
      </w:r>
      <w:r w:rsidRPr="006C2493">
        <w:rPr>
          <w:rFonts w:ascii="Calibri" w:eastAsia="Times New Roman" w:hAnsi="Calibri" w:cs="Calibri"/>
        </w:rPr>
        <w:t> without the individual's authorization under specific circumstances described below.</w:t>
      </w:r>
    </w:p>
    <w:p w14:paraId="58D6E7D8"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478925B5"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report PHI to law enforcement when required by law to do so.</w:t>
      </w:r>
      <w:r w:rsidRPr="005310FC">
        <w:rPr>
          <w:rFonts w:ascii="Calibri" w:eastAsia="Times New Roman" w:hAnsi="Calibri" w:cs="Calibri"/>
          <w:bdr w:val="none" w:sz="0" w:space="0" w:color="auto" w:frame="1"/>
          <w:vertAlign w:val="superscript"/>
        </w:rPr>
        <w:t>78</w:t>
      </w:r>
      <w:r w:rsidRPr="005310FC">
        <w:rPr>
          <w:rFonts w:ascii="Calibri" w:eastAsia="Times New Roman" w:hAnsi="Calibri" w:cs="Calibri"/>
        </w:rPr>
        <w:t> For example, the Privacy Rule permits disclosures of PHI as necessary to comply with state laws that require healthcare providers to report incidents of gunshot, stab wounds, or other violent injuries.</w:t>
      </w:r>
    </w:p>
    <w:p w14:paraId="73785B3B" w14:textId="77777777" w:rsidR="00F44300" w:rsidRPr="006C2493" w:rsidRDefault="00F44300" w:rsidP="00764111">
      <w:pPr>
        <w:spacing w:line="360" w:lineRule="auto"/>
        <w:textAlignment w:val="baseline"/>
        <w:rPr>
          <w:rFonts w:ascii="Calibri" w:eastAsia="Times New Roman" w:hAnsi="Calibri" w:cs="Calibri"/>
        </w:rPr>
      </w:pPr>
    </w:p>
    <w:p w14:paraId="6B50D566"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comply with a court order or court-ordered warrant, a subpoena or summons issued by a judicial officer, or a grand jury subpoena.</w:t>
      </w:r>
      <w:r w:rsidRPr="005310FC">
        <w:rPr>
          <w:rFonts w:ascii="Calibri" w:eastAsia="Times New Roman" w:hAnsi="Calibri" w:cs="Calibri"/>
          <w:bdr w:val="none" w:sz="0" w:space="0" w:color="auto" w:frame="1"/>
          <w:vertAlign w:val="superscript"/>
        </w:rPr>
        <w:t>79</w:t>
      </w:r>
      <w:r w:rsidRPr="005310FC">
        <w:rPr>
          <w:rFonts w:ascii="Calibri" w:eastAsia="Times New Roman" w:hAnsi="Calibri" w:cs="Calibri"/>
        </w:rPr>
        <w:t> The Rule recognizes that the legal process in obtaining a court order and the secrecy of the grand jury process provides protections for the individual's private information.</w:t>
      </w:r>
    </w:p>
    <w:p w14:paraId="1717AAB6" w14:textId="77777777" w:rsidR="00F44300" w:rsidRPr="006C2493" w:rsidRDefault="00F44300" w:rsidP="00764111">
      <w:pPr>
        <w:spacing w:line="360" w:lineRule="auto"/>
        <w:textAlignment w:val="baseline"/>
        <w:rPr>
          <w:rFonts w:ascii="Calibri" w:eastAsia="Times New Roman" w:hAnsi="Calibri" w:cs="Calibri"/>
        </w:rPr>
      </w:pPr>
    </w:p>
    <w:p w14:paraId="01FCB6F4"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an administrative request</w:t>
      </w:r>
      <w:r w:rsidRPr="005310FC">
        <w:rPr>
          <w:rFonts w:ascii="Calibri" w:eastAsia="Times New Roman" w:hAnsi="Calibri" w:cs="Calibri"/>
        </w:rPr>
        <w:t>, including an administrative subpoena or summons, a civil or authorized investigative demand, or similar process authorized by law.</w:t>
      </w:r>
      <w:r w:rsidRPr="005310FC">
        <w:rPr>
          <w:rFonts w:ascii="Calibri" w:eastAsia="Times New Roman" w:hAnsi="Calibri" w:cs="Calibri"/>
          <w:bdr w:val="none" w:sz="0" w:space="0" w:color="auto" w:frame="1"/>
          <w:vertAlign w:val="superscript"/>
        </w:rPr>
        <w:t>80</w:t>
      </w:r>
      <w:r w:rsidRPr="005310FC">
        <w:rPr>
          <w:rFonts w:ascii="Calibri" w:eastAsia="Times New Roman" w:hAnsi="Calibri" w:cs="Calibri"/>
        </w:rPr>
        <w:t> Because an administrative request may be made without judicial involvement, the Privacy Rule requires all administrative requests to include or be accompanied by a written statement that the information requested is relevant and material, specific and limited in scope, and that de-identified information cannot be used.</w:t>
      </w:r>
    </w:p>
    <w:p w14:paraId="57034FE8" w14:textId="77777777" w:rsidR="00F44300" w:rsidRPr="006C2493" w:rsidRDefault="00F44300" w:rsidP="00764111">
      <w:pPr>
        <w:spacing w:line="360" w:lineRule="auto"/>
        <w:textAlignment w:val="baseline"/>
        <w:rPr>
          <w:rFonts w:ascii="Calibri" w:eastAsia="Times New Roman" w:hAnsi="Calibri" w:cs="Calibri"/>
        </w:rPr>
      </w:pPr>
    </w:p>
    <w:p w14:paraId="351D6A00"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 request for PHI for purposes of identifying or locating a suspect, fugitive, material witness, or missing person.</w:t>
      </w:r>
      <w:r w:rsidRPr="005310FC">
        <w:rPr>
          <w:rFonts w:ascii="Calibri" w:eastAsia="Times New Roman" w:hAnsi="Calibri" w:cs="Calibri"/>
          <w:bdr w:val="none" w:sz="0" w:space="0" w:color="auto" w:frame="1"/>
          <w:vertAlign w:val="superscript"/>
        </w:rPr>
        <w:t>81</w:t>
      </w:r>
      <w:r w:rsidRPr="005310FC">
        <w:rPr>
          <w:rFonts w:ascii="Calibri" w:eastAsia="Times New Roman" w:hAnsi="Calibri" w:cs="Calibri"/>
        </w:rPr>
        <w:t> Under this exception, the covered entity must limit disclosures of PHI to name and address, date and place of birth, social security number, ABO blood type and rh factor, type of injury, date and time of treatment, date and time of death, and a description of distinguishing physical characteristics. Other information related to the individual's DNA, dental records, body fluid or tissue typing, samples, or analysis cannot be disclosed under this provision, but may be disclosed in response to a court order, warrant, or written administrative request.</w:t>
      </w:r>
    </w:p>
    <w:p w14:paraId="44785000" w14:textId="77777777" w:rsidR="00F44300" w:rsidRPr="006C2493" w:rsidRDefault="00F44300" w:rsidP="00764111">
      <w:pPr>
        <w:spacing w:line="360" w:lineRule="auto"/>
        <w:textAlignment w:val="baseline"/>
        <w:rPr>
          <w:rFonts w:ascii="Calibri" w:eastAsia="Times New Roman" w:hAnsi="Calibri" w:cs="Calibri"/>
        </w:rPr>
      </w:pPr>
    </w:p>
    <w:p w14:paraId="56A1ED36"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When information about a suspected perpetrator of a crime is disclosed when the report is made by the victim who is a member of the covered entity's workforce.</w:t>
      </w:r>
      <w:r w:rsidRPr="005310FC">
        <w:rPr>
          <w:rFonts w:ascii="Calibri" w:eastAsia="Times New Roman" w:hAnsi="Calibri" w:cs="Calibri"/>
          <w:bdr w:val="none" w:sz="0" w:space="0" w:color="auto" w:frame="1"/>
          <w:vertAlign w:val="superscript"/>
        </w:rPr>
        <w:t>82</w:t>
      </w:r>
    </w:p>
    <w:p w14:paraId="1D1608F6" w14:textId="77777777" w:rsidR="00F44300" w:rsidRPr="006C2493" w:rsidRDefault="00F44300" w:rsidP="00764111">
      <w:pPr>
        <w:spacing w:line="360" w:lineRule="auto"/>
        <w:textAlignment w:val="baseline"/>
        <w:rPr>
          <w:rFonts w:ascii="Calibri" w:eastAsia="Times New Roman" w:hAnsi="Calibri" w:cs="Calibri"/>
        </w:rPr>
      </w:pPr>
    </w:p>
    <w:p w14:paraId="71627EC2"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 request for PHI about a victim of a crime when the victim agrees.</w:t>
      </w:r>
      <w:r w:rsidRPr="005310FC">
        <w:rPr>
          <w:rFonts w:ascii="Calibri" w:eastAsia="Times New Roman" w:hAnsi="Calibri" w:cs="Calibri"/>
          <w:bdr w:val="none" w:sz="0" w:space="0" w:color="auto" w:frame="1"/>
          <w:vertAlign w:val="superscript"/>
        </w:rPr>
        <w:t>83</w:t>
      </w:r>
      <w:r w:rsidRPr="005310FC">
        <w:rPr>
          <w:rFonts w:ascii="Calibri" w:eastAsia="Times New Roman" w:hAnsi="Calibri" w:cs="Calibri"/>
        </w:rPr>
        <w:t xml:space="preserve"> If, because of an emergency or the person's incapacity, the individual cannot agree, the covered entity may </w:t>
      </w:r>
      <w:r w:rsidRPr="005310FC">
        <w:rPr>
          <w:rFonts w:ascii="Calibri" w:eastAsia="Times New Roman" w:hAnsi="Calibri" w:cs="Calibri"/>
        </w:rPr>
        <w:lastRenderedPageBreak/>
        <w:t>disclose the PHI if law enforcement officials represent that the PHI is not intended to be used against the victim, is needed to determine whether another person broke the law, that the investigation would be materially and adversely affected by waiting until the victim could agree, and the covered entity believes in its professional judgment that doing so is in the best interests of the individual whose information is requested.</w:t>
      </w:r>
    </w:p>
    <w:p w14:paraId="6AA5DDEC" w14:textId="77777777" w:rsidR="00F44300" w:rsidRPr="006C2493" w:rsidRDefault="00F44300" w:rsidP="00764111">
      <w:pPr>
        <w:spacing w:line="360" w:lineRule="auto"/>
        <w:textAlignment w:val="baseline"/>
        <w:rPr>
          <w:rFonts w:ascii="Calibri" w:eastAsia="Times New Roman" w:hAnsi="Calibri" w:cs="Calibri"/>
        </w:rPr>
      </w:pPr>
    </w:p>
    <w:p w14:paraId="783F93E7"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alert law enforcement to the death of an individual</w:t>
      </w:r>
      <w:r w:rsidRPr="005310FC">
        <w:rPr>
          <w:rFonts w:ascii="Calibri" w:eastAsia="Times New Roman" w:hAnsi="Calibri" w:cs="Calibri"/>
        </w:rPr>
        <w:t>, when there is a suspicion that death resulted from criminal conduct.</w:t>
      </w:r>
      <w:r w:rsidRPr="005310FC">
        <w:rPr>
          <w:rFonts w:ascii="Calibri" w:eastAsia="Times New Roman" w:hAnsi="Calibri" w:cs="Calibri"/>
          <w:bdr w:val="none" w:sz="0" w:space="0" w:color="auto" w:frame="1"/>
          <w:vertAlign w:val="superscript"/>
        </w:rPr>
        <w:t>84</w:t>
      </w:r>
    </w:p>
    <w:p w14:paraId="3A19F7B5" w14:textId="77777777" w:rsidR="00F44300" w:rsidRPr="006C2493" w:rsidRDefault="00F44300" w:rsidP="00764111">
      <w:pPr>
        <w:spacing w:line="360" w:lineRule="auto"/>
        <w:textAlignment w:val="baseline"/>
        <w:rPr>
          <w:rFonts w:ascii="Calibri" w:eastAsia="Times New Roman" w:hAnsi="Calibri" w:cs="Calibri"/>
        </w:rPr>
      </w:pPr>
    </w:p>
    <w:p w14:paraId="1140BF16"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report PHI that the covered entity in good faith believes to be evidence of a crime that occurred on the covered entity's premises.</w:t>
      </w:r>
      <w:r w:rsidRPr="005310FC">
        <w:rPr>
          <w:rFonts w:ascii="Calibri" w:eastAsia="Times New Roman" w:hAnsi="Calibri" w:cs="Calibri"/>
          <w:bdr w:val="none" w:sz="0" w:space="0" w:color="auto" w:frame="1"/>
          <w:vertAlign w:val="superscript"/>
        </w:rPr>
        <w:t>85</w:t>
      </w:r>
    </w:p>
    <w:p w14:paraId="7BEF6AC8" w14:textId="77777777" w:rsidR="00F44300" w:rsidRPr="006C2493" w:rsidRDefault="00F44300" w:rsidP="00764111">
      <w:pPr>
        <w:spacing w:line="360" w:lineRule="auto"/>
        <w:textAlignment w:val="baseline"/>
        <w:rPr>
          <w:rFonts w:ascii="Calibri" w:eastAsia="Times New Roman" w:hAnsi="Calibri" w:cs="Calibri"/>
        </w:rPr>
      </w:pPr>
    </w:p>
    <w:p w14:paraId="2AE078E9"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When responding to an off-site medical emergency, as necessary to alert law enforcement about criminal activity</w:t>
      </w:r>
      <w:r w:rsidRPr="005310FC">
        <w:rPr>
          <w:rFonts w:ascii="Calibri" w:eastAsia="Times New Roman" w:hAnsi="Calibri" w:cs="Calibri"/>
        </w:rPr>
        <w:t>, specifically, the commission and nature of the crime, the location of the crime or any victims, and the identity, description, and location of the perpetrator of the crime.</w:t>
      </w:r>
      <w:r w:rsidRPr="005310FC">
        <w:rPr>
          <w:rFonts w:ascii="Calibri" w:eastAsia="Times New Roman" w:hAnsi="Calibri" w:cs="Calibri"/>
          <w:bdr w:val="none" w:sz="0" w:space="0" w:color="auto" w:frame="1"/>
          <w:vertAlign w:val="superscript"/>
        </w:rPr>
        <w:t>86</w:t>
      </w:r>
      <w:r w:rsidRPr="005310FC">
        <w:rPr>
          <w:rFonts w:ascii="Calibri" w:eastAsia="Times New Roman" w:hAnsi="Calibri" w:cs="Calibri"/>
        </w:rPr>
        <w:t> This provision does not apply if the covered healthcare provider believes that the individual in need of the emergency medical care is the victim of abuse, neglect, or domestic violence.</w:t>
      </w:r>
      <w:r w:rsidRPr="005310FC">
        <w:rPr>
          <w:rFonts w:ascii="Calibri" w:eastAsia="Times New Roman" w:hAnsi="Calibri" w:cs="Calibri"/>
          <w:bdr w:val="none" w:sz="0" w:space="0" w:color="auto" w:frame="1"/>
          <w:vertAlign w:val="superscript"/>
        </w:rPr>
        <w:t>87</w:t>
      </w:r>
    </w:p>
    <w:p w14:paraId="008B5F09" w14:textId="77777777" w:rsidR="00F44300" w:rsidRPr="006C2493" w:rsidRDefault="00F44300" w:rsidP="00764111">
      <w:pPr>
        <w:spacing w:line="360" w:lineRule="auto"/>
        <w:textAlignment w:val="baseline"/>
        <w:rPr>
          <w:rFonts w:ascii="Calibri" w:eastAsia="Times New Roman" w:hAnsi="Calibri" w:cs="Calibri"/>
        </w:rPr>
      </w:pPr>
    </w:p>
    <w:p w14:paraId="7DC98E51"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coroners or medical examiners to assist them in identifying the decedent, determining the cause of death, or to carry out their other authorized duties.</w:t>
      </w:r>
      <w:r w:rsidRPr="005310FC">
        <w:rPr>
          <w:rFonts w:ascii="Calibri" w:eastAsia="Times New Roman" w:hAnsi="Calibri" w:cs="Calibri"/>
          <w:bdr w:val="none" w:sz="0" w:space="0" w:color="auto" w:frame="1"/>
          <w:vertAlign w:val="superscript"/>
        </w:rPr>
        <w:t>88</w:t>
      </w:r>
    </w:p>
    <w:p w14:paraId="3865C685" w14:textId="77777777" w:rsidR="00F44300" w:rsidRPr="006C2493" w:rsidRDefault="00F44300" w:rsidP="00764111">
      <w:pPr>
        <w:spacing w:line="360" w:lineRule="auto"/>
        <w:textAlignment w:val="baseline"/>
        <w:rPr>
          <w:rFonts w:ascii="Calibri" w:eastAsia="Times New Roman" w:hAnsi="Calibri" w:cs="Calibri"/>
        </w:rPr>
      </w:pPr>
    </w:p>
    <w:p w14:paraId="337D9C88"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a law enforcement official reasonably able to</w:t>
      </w:r>
      <w:r w:rsidRPr="005310FC">
        <w:rPr>
          <w:rFonts w:ascii="Calibri" w:eastAsia="Times New Roman" w:hAnsi="Calibri" w:cs="Calibri"/>
        </w:rPr>
        <w:t> </w:t>
      </w:r>
      <w:r w:rsidRPr="005310FC">
        <w:rPr>
          <w:rFonts w:ascii="Calibri" w:eastAsia="Times New Roman" w:hAnsi="Calibri" w:cs="Calibri"/>
          <w:b/>
          <w:bCs/>
          <w:bdr w:val="none" w:sz="0" w:space="0" w:color="auto" w:frame="1"/>
        </w:rPr>
        <w:t>prevent or lessen a serious and imminent threat to the health or safety of an individual or the public</w:t>
      </w:r>
      <w:r w:rsidRPr="005310FC">
        <w:rPr>
          <w:rFonts w:ascii="Calibri" w:eastAsia="Times New Roman" w:hAnsi="Calibri" w:cs="Calibri"/>
        </w:rPr>
        <w:t>.</w:t>
      </w:r>
      <w:r w:rsidRPr="005310FC">
        <w:rPr>
          <w:rFonts w:ascii="Calibri" w:eastAsia="Times New Roman" w:hAnsi="Calibri" w:cs="Calibri"/>
          <w:bdr w:val="none" w:sz="0" w:space="0" w:color="auto" w:frame="1"/>
          <w:vertAlign w:val="superscript"/>
        </w:rPr>
        <w:t>89</w:t>
      </w:r>
    </w:p>
    <w:p w14:paraId="74EADA6E" w14:textId="77777777" w:rsidR="00F44300" w:rsidRPr="006C2493" w:rsidRDefault="00F44300" w:rsidP="00764111">
      <w:pPr>
        <w:spacing w:line="360" w:lineRule="auto"/>
        <w:textAlignment w:val="baseline"/>
        <w:rPr>
          <w:rFonts w:ascii="Calibri" w:eastAsia="Times New Roman" w:hAnsi="Calibri" w:cs="Calibri"/>
        </w:rPr>
      </w:pPr>
    </w:p>
    <w:p w14:paraId="70CAA3AC"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identify or apprehend an individual who has admitted participation in a violent crime</w:t>
      </w:r>
      <w:r w:rsidRPr="005310FC">
        <w:rPr>
          <w:rFonts w:ascii="Calibri" w:eastAsia="Times New Roman" w:hAnsi="Calibri" w:cs="Calibri"/>
        </w:rPr>
        <w:t> that the covered entity reasonably believes may have caused serious physical harm to a victim, provided that the admission was not made in the course of or based on the individual's request for therapy, counseling, or treatment related to the propensity to commit this type of violent act.</w:t>
      </w:r>
      <w:r w:rsidRPr="005310FC">
        <w:rPr>
          <w:rFonts w:ascii="Calibri" w:eastAsia="Times New Roman" w:hAnsi="Calibri" w:cs="Calibri"/>
          <w:bdr w:val="none" w:sz="0" w:space="0" w:color="auto" w:frame="1"/>
          <w:vertAlign w:val="superscript"/>
        </w:rPr>
        <w:t>90</w:t>
      </w:r>
    </w:p>
    <w:p w14:paraId="28F5E51D" w14:textId="77777777" w:rsidR="00F44300" w:rsidRPr="006C2493" w:rsidRDefault="00F44300" w:rsidP="00764111">
      <w:pPr>
        <w:spacing w:line="360" w:lineRule="auto"/>
        <w:textAlignment w:val="baseline"/>
        <w:rPr>
          <w:rFonts w:ascii="Calibri" w:eastAsia="Times New Roman" w:hAnsi="Calibri" w:cs="Calibri"/>
        </w:rPr>
      </w:pPr>
    </w:p>
    <w:p w14:paraId="7C63451A"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identify or apprehend an individual who appears to have escaped from lawful custody.</w:t>
      </w:r>
      <w:r w:rsidRPr="005310FC">
        <w:rPr>
          <w:rFonts w:ascii="Calibri" w:eastAsia="Times New Roman" w:hAnsi="Calibri" w:cs="Calibri"/>
          <w:bdr w:val="none" w:sz="0" w:space="0" w:color="auto" w:frame="1"/>
          <w:vertAlign w:val="superscript"/>
        </w:rPr>
        <w:t>91</w:t>
      </w:r>
    </w:p>
    <w:p w14:paraId="075EDFCC" w14:textId="77777777" w:rsidR="00F44300" w:rsidRPr="006C2493" w:rsidRDefault="00F44300" w:rsidP="00764111">
      <w:pPr>
        <w:spacing w:line="360" w:lineRule="auto"/>
        <w:textAlignment w:val="baseline"/>
        <w:rPr>
          <w:rFonts w:ascii="Calibri" w:eastAsia="Times New Roman" w:hAnsi="Calibri" w:cs="Calibri"/>
        </w:rPr>
      </w:pPr>
    </w:p>
    <w:p w14:paraId="5DBC5792"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lastRenderedPageBreak/>
        <w:t>To federal officials authorized to conduct intelligence</w:t>
      </w:r>
      <w:r w:rsidRPr="005310FC">
        <w:rPr>
          <w:rFonts w:ascii="Calibri" w:eastAsia="Times New Roman" w:hAnsi="Calibri" w:cs="Calibri"/>
        </w:rPr>
        <w:t>, counterintelligence, and other national security activities under the National Security Act or to provide protective services to the president and others and conduct related investigations.</w:t>
      </w:r>
      <w:r w:rsidRPr="005310FC">
        <w:rPr>
          <w:rFonts w:ascii="Calibri" w:eastAsia="Times New Roman" w:hAnsi="Calibri" w:cs="Calibri"/>
          <w:bdr w:val="none" w:sz="0" w:space="0" w:color="auto" w:frame="1"/>
          <w:vertAlign w:val="superscript"/>
        </w:rPr>
        <w:t>92</w:t>
      </w:r>
    </w:p>
    <w:p w14:paraId="1D785A4D" w14:textId="77777777" w:rsidR="00F44300" w:rsidRPr="006C2493" w:rsidRDefault="00F44300" w:rsidP="00764111">
      <w:pPr>
        <w:spacing w:line="360" w:lineRule="auto"/>
        <w:textAlignment w:val="baseline"/>
        <w:rPr>
          <w:rFonts w:ascii="Calibri" w:eastAsia="Times New Roman" w:hAnsi="Calibri" w:cs="Calibri"/>
        </w:rPr>
      </w:pPr>
    </w:p>
    <w:p w14:paraId="2D2D02C8" w14:textId="77777777" w:rsidR="00F44300" w:rsidRPr="005310FC" w:rsidRDefault="00F44300" w:rsidP="00F44300">
      <w:pPr>
        <w:numPr>
          <w:ilvl w:val="0"/>
          <w:numId w:val="26"/>
        </w:numPr>
        <w:spacing w:line="360" w:lineRule="auto"/>
        <w:ind w:left="360"/>
        <w:textAlignment w:val="baseline"/>
        <w:rPr>
          <w:rFonts w:ascii="Calibri" w:eastAsia="Times New Roman" w:hAnsi="Calibri" w:cs="Calibri"/>
        </w:rPr>
      </w:pPr>
      <w:r w:rsidRPr="005310FC">
        <w:rPr>
          <w:rFonts w:ascii="Calibri" w:eastAsia="Times New Roman" w:hAnsi="Calibri" w:cs="Calibri"/>
          <w:b/>
          <w:bCs/>
          <w:bdr w:val="none" w:sz="0" w:space="0" w:color="auto" w:frame="1"/>
        </w:rPr>
        <w:t>To respond to a request for PHI by a correctional institution or a law enforcement official having lawful custody</w:t>
      </w:r>
      <w:r w:rsidRPr="005310FC">
        <w:rPr>
          <w:rFonts w:ascii="Calibri" w:eastAsia="Times New Roman" w:hAnsi="Calibri" w:cs="Calibri"/>
        </w:rPr>
        <w:t> of an inmate or others if they represent such PHI is needed to provide healthcare to the individual; for the health and safety of the individual, other inmates, officers or employees of or others at a correctional institution or responsible for transporting or transferring inmates; or for the administration and maintenance of the safety, security, and good order of the correctional facility, including law enforcement on the premises of the facility.</w:t>
      </w:r>
      <w:r w:rsidRPr="005310FC">
        <w:rPr>
          <w:rFonts w:ascii="Calibri" w:eastAsia="Times New Roman" w:hAnsi="Calibri" w:cs="Calibri"/>
          <w:bdr w:val="none" w:sz="0" w:space="0" w:color="auto" w:frame="1"/>
          <w:vertAlign w:val="superscript"/>
        </w:rPr>
        <w:t>93</w:t>
      </w:r>
    </w:p>
    <w:p w14:paraId="32D07F16" w14:textId="77777777" w:rsidR="00F44300" w:rsidRPr="006C2493" w:rsidRDefault="00F44300" w:rsidP="00764111">
      <w:pPr>
        <w:spacing w:line="360" w:lineRule="auto"/>
        <w:textAlignment w:val="baseline"/>
        <w:rPr>
          <w:rFonts w:ascii="Calibri" w:eastAsia="Times New Roman" w:hAnsi="Calibri" w:cs="Calibri"/>
        </w:rPr>
      </w:pPr>
    </w:p>
    <w:p w14:paraId="03A82CF6" w14:textId="77777777" w:rsidR="00F44300" w:rsidRPr="005310FC"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rPr>
        <w:t>The text of the provisions summarized above should be reviewed to ensure that conditions and requirements for disclosure are met. Except when required by law, these disclosures to law enforcement are subject to a minimum necessary determination by the covered entity.</w:t>
      </w:r>
      <w:r w:rsidRPr="006C2493">
        <w:rPr>
          <w:rFonts w:ascii="Calibri" w:eastAsia="Times New Roman" w:hAnsi="Calibri" w:cs="Calibri"/>
          <w:bdr w:val="none" w:sz="0" w:space="0" w:color="auto" w:frame="1"/>
          <w:vertAlign w:val="superscript"/>
        </w:rPr>
        <w:t>94</w:t>
      </w:r>
      <w:r w:rsidRPr="006C2493">
        <w:rPr>
          <w:rFonts w:ascii="Calibri" w:eastAsia="Times New Roman" w:hAnsi="Calibri" w:cs="Calibri"/>
        </w:rPr>
        <w:t> When reasonable to do so, the covered entity may rely upon the representations of the law enforcement official as to what information is the minimum necessary for their lawful purpose.</w:t>
      </w:r>
      <w:r w:rsidRPr="006C2493">
        <w:rPr>
          <w:rFonts w:ascii="Calibri" w:eastAsia="Times New Roman" w:hAnsi="Calibri" w:cs="Calibri"/>
          <w:bdr w:val="none" w:sz="0" w:space="0" w:color="auto" w:frame="1"/>
          <w:vertAlign w:val="superscript"/>
        </w:rPr>
        <w:t>95</w:t>
      </w:r>
      <w:r w:rsidRPr="006C2493">
        <w:rPr>
          <w:rFonts w:ascii="Calibri" w:eastAsia="Times New Roman" w:hAnsi="Calibri" w:cs="Calibri"/>
        </w:rPr>
        <w:t> If the law enforcement official making the request for information is not known to the covered entity, then the covered entity must verify the identity and authority of such person prior to disclosing the information.</w:t>
      </w:r>
      <w:r w:rsidRPr="006C2493">
        <w:rPr>
          <w:rFonts w:ascii="Calibri" w:eastAsia="Times New Roman" w:hAnsi="Calibri" w:cs="Calibri"/>
          <w:bdr w:val="none" w:sz="0" w:space="0" w:color="auto" w:frame="1"/>
          <w:vertAlign w:val="superscript"/>
        </w:rPr>
        <w:t>96</w:t>
      </w:r>
    </w:p>
    <w:p w14:paraId="65D19528" w14:textId="77777777" w:rsidR="00F44300" w:rsidRPr="005310FC" w:rsidRDefault="00F44300" w:rsidP="00764111">
      <w:pPr>
        <w:spacing w:line="360" w:lineRule="auto"/>
        <w:rPr>
          <w:rFonts w:ascii="Calibri" w:eastAsia="Times New Roman" w:hAnsi="Calibri" w:cs="Calibri"/>
          <w:b/>
          <w:bCs/>
          <w:szCs w:val="20"/>
        </w:rPr>
      </w:pPr>
    </w:p>
    <w:p w14:paraId="34541DC9" w14:textId="77777777" w:rsidR="00F44300" w:rsidRPr="006C2493" w:rsidRDefault="00F44300" w:rsidP="00764111">
      <w:pPr>
        <w:spacing w:line="360" w:lineRule="auto"/>
        <w:rPr>
          <w:rFonts w:ascii="Calibri" w:eastAsia="Times New Roman" w:hAnsi="Calibri" w:cs="Calibri"/>
          <w:b/>
          <w:bCs/>
        </w:rPr>
      </w:pPr>
      <w:r w:rsidRPr="006C2493">
        <w:rPr>
          <w:rFonts w:ascii="Calibri" w:eastAsia="Times New Roman" w:hAnsi="Calibri" w:cs="Calibri"/>
          <w:b/>
          <w:bCs/>
        </w:rPr>
        <w:t>VI. State Statutes and Public Health Information Sharing with Law Enforcement</w:t>
      </w:r>
    </w:p>
    <w:p w14:paraId="1A078455"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 xml:space="preserve">Generally, state law establishes the authority for reporting, collecting, using, and disclosing information for emergency preparedness and response. Before sharing information, state law must be reviewed </w:t>
      </w:r>
      <w:proofErr w:type="gramStart"/>
      <w:r w:rsidRPr="006C2493">
        <w:rPr>
          <w:rFonts w:ascii="Calibri" w:eastAsia="Times New Roman" w:hAnsi="Calibri" w:cs="Calibri"/>
        </w:rPr>
        <w:t>with regard to</w:t>
      </w:r>
      <w:proofErr w:type="gramEnd"/>
      <w:r w:rsidRPr="006C2493">
        <w:rPr>
          <w:rFonts w:ascii="Calibri" w:eastAsia="Times New Roman" w:hAnsi="Calibri" w:cs="Calibri"/>
        </w:rPr>
        <w:t xml:space="preserve"> each type of information that is proposed to be shared. In addition to-or in lieu of-laws specific to certain types of data, laws that cover public health powers and responsibilities, health information, and privacy might also apply or provide context for data-specific laws.</w:t>
      </w:r>
    </w:p>
    <w:p w14:paraId="2D6C8254" w14:textId="77777777" w:rsidR="00F44300" w:rsidRPr="005310FC" w:rsidRDefault="00F44300" w:rsidP="00764111">
      <w:pPr>
        <w:shd w:val="clear" w:color="auto" w:fill="FFFFFF"/>
        <w:spacing w:line="360" w:lineRule="auto"/>
        <w:textAlignment w:val="baseline"/>
        <w:rPr>
          <w:rFonts w:ascii="Calibri" w:eastAsia="Times New Roman" w:hAnsi="Calibri" w:cs="Calibri"/>
        </w:rPr>
      </w:pPr>
      <w:r w:rsidRPr="006C2493">
        <w:rPr>
          <w:rFonts w:ascii="Calibri" w:eastAsia="Times New Roman" w:hAnsi="Calibri" w:cs="Calibri"/>
        </w:rPr>
        <w:t>Exercising the state's police power to protect the public's health during emergencies-as well as from more routine threats-requires balancing the common good with safeguarding individual liberty interests, including autonomy and expectations of privacy.</w:t>
      </w:r>
      <w:r w:rsidRPr="006C2493">
        <w:rPr>
          <w:rFonts w:ascii="Calibri" w:eastAsia="Times New Roman" w:hAnsi="Calibri" w:cs="Calibri"/>
          <w:bdr w:val="none" w:sz="0" w:space="0" w:color="auto" w:frame="1"/>
          <w:vertAlign w:val="superscript"/>
        </w:rPr>
        <w:t>97</w:t>
      </w:r>
      <w:r w:rsidRPr="006C2493">
        <w:rPr>
          <w:rFonts w:ascii="Calibri" w:eastAsia="Times New Roman" w:hAnsi="Calibri" w:cs="Calibri"/>
        </w:rPr>
        <w:t xml:space="preserve"> State laws enacted to protect the public's health, safety, and welfare vary in their balance of individual privacy and the common good. Five state laws below demonstrate this variation </w:t>
      </w:r>
      <w:proofErr w:type="gramStart"/>
      <w:r w:rsidRPr="006C2493">
        <w:rPr>
          <w:rFonts w:ascii="Calibri" w:eastAsia="Times New Roman" w:hAnsi="Calibri" w:cs="Calibri"/>
        </w:rPr>
        <w:t>with regard to</w:t>
      </w:r>
      <w:proofErr w:type="gramEnd"/>
      <w:r w:rsidRPr="006C2493">
        <w:rPr>
          <w:rFonts w:ascii="Calibri" w:eastAsia="Times New Roman" w:hAnsi="Calibri" w:cs="Calibri"/>
        </w:rPr>
        <w:t xml:space="preserve"> confidentiality of disease reports and public health investigations and permissible disclosure to law enforcement.</w:t>
      </w:r>
    </w:p>
    <w:p w14:paraId="36D09500"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7AF0FB96" w14:textId="77777777" w:rsidR="00F44300" w:rsidRPr="005310FC"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North Carolina</w:t>
      </w:r>
      <w:r w:rsidRPr="006C2493">
        <w:rPr>
          <w:rFonts w:ascii="Calibri" w:eastAsia="Times New Roman" w:hAnsi="Calibri" w:cs="Calibri"/>
        </w:rPr>
        <w:t>. The Public Health Law of North Carolina contains extensive provisions regarding the collection and sharing of information, including identifiable health information, by public health with law enforcement to prevent or control a public health threat. A public health agency may release identifiable information to a court or law enforcement official related to an occurring or threatened public health emergency or terrorist incident using nuclear, biological, or chemical agents. Law enforcement may not re-disclose identifiable information except when necessary to investigate a terrorist incident or as authorized by the state or local health director to assist with preventing or controlling a public health threat.</w:t>
      </w:r>
      <w:r w:rsidRPr="006C2493">
        <w:rPr>
          <w:rFonts w:ascii="Calibri" w:eastAsia="Times New Roman" w:hAnsi="Calibri" w:cs="Calibri"/>
          <w:bdr w:val="none" w:sz="0" w:space="0" w:color="auto" w:frame="1"/>
          <w:vertAlign w:val="superscript"/>
        </w:rPr>
        <w:t>98</w:t>
      </w:r>
    </w:p>
    <w:p w14:paraId="09F09A7D"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6E635D96" w14:textId="77777777" w:rsidR="00F44300" w:rsidRPr="005310FC"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Illinois</w:t>
      </w:r>
      <w:r w:rsidRPr="006C2493">
        <w:rPr>
          <w:rFonts w:ascii="Calibri" w:eastAsia="Times New Roman" w:hAnsi="Calibri" w:cs="Calibri"/>
        </w:rPr>
        <w:t>. The Department of Public Health Act explicitly requires a public health agency to notify law enforcement and other agencies regarding illnesses, unusual disease symptom clusters, or suspicious events that it reasonably believes have the potential to be the cause of or related to a public health emergency. The public health agency is to provide law enforcement with information necessary for investigation, prevention, or management of an emergency or to conduct a criminal investigation or prosecution arising out of the matter. No information containing the identity or tending to reveal the identity of any person may be re-disclosed by law enforcement except in a prosecution of that person for the commission of a crime.</w:t>
      </w:r>
      <w:r w:rsidRPr="006C2493">
        <w:rPr>
          <w:rFonts w:ascii="Calibri" w:eastAsia="Times New Roman" w:hAnsi="Calibri" w:cs="Calibri"/>
          <w:bdr w:val="none" w:sz="0" w:space="0" w:color="auto" w:frame="1"/>
          <w:vertAlign w:val="superscript"/>
        </w:rPr>
        <w:t>99</w:t>
      </w:r>
    </w:p>
    <w:p w14:paraId="750A3BD3"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24A60311" w14:textId="77777777" w:rsidR="00F44300" w:rsidRPr="005310FC"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Michigan</w:t>
      </w:r>
      <w:r w:rsidRPr="006C2493">
        <w:rPr>
          <w:rFonts w:ascii="Calibri" w:eastAsia="Times New Roman" w:hAnsi="Calibri" w:cs="Calibri"/>
        </w:rPr>
        <w:t>. The Michigan Public Health Code requires that the state health department promulgate rules to provide for the confidentiality of reports, records, and data pertaining to testing, care, treatment, reporting, and research associated with communicable diseases or infections. These rules provide that medical and epidemiological information gathered in connection with an investigation that identifies an individual is confidential. Identifiable information can be disclosed with consent or without consent if necessary, to protect the public health as determined by the state or local health officer.</w:t>
      </w:r>
      <w:r w:rsidRPr="006C2493">
        <w:rPr>
          <w:rFonts w:ascii="Calibri" w:eastAsia="Times New Roman" w:hAnsi="Calibri" w:cs="Calibri"/>
          <w:bdr w:val="none" w:sz="0" w:space="0" w:color="auto" w:frame="1"/>
          <w:vertAlign w:val="superscript"/>
        </w:rPr>
        <w:t>100</w:t>
      </w:r>
    </w:p>
    <w:p w14:paraId="0FD06EEE"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4A3C6C70" w14:textId="77777777" w:rsidR="00F44300" w:rsidRPr="005310FC"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Texas</w:t>
      </w:r>
      <w:r w:rsidRPr="006C2493">
        <w:rPr>
          <w:rFonts w:ascii="Calibri" w:eastAsia="Times New Roman" w:hAnsi="Calibri" w:cs="Calibri"/>
        </w:rPr>
        <w:t>. Under the Texas Health and Safety Code, reports, records, and information received from any source that relate to cases or suspected cases of diseases or health conditions are confidential. This information may be released to law enforcement personnel to the extent necessary during a public health disaster solely for the purpose of protecting the health or life of the person identified in the report, record, or information. Only the minimum necessary information may be released under this subsection, as determined by the health department.</w:t>
      </w:r>
      <w:r w:rsidRPr="006C2493">
        <w:rPr>
          <w:rFonts w:ascii="Calibri" w:eastAsia="Times New Roman" w:hAnsi="Calibri" w:cs="Calibri"/>
          <w:bdr w:val="none" w:sz="0" w:space="0" w:color="auto" w:frame="1"/>
          <w:vertAlign w:val="superscript"/>
        </w:rPr>
        <w:t>101</w:t>
      </w:r>
    </w:p>
    <w:p w14:paraId="0B18E593"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552BE68F" w14:textId="77777777" w:rsidR="00F44300" w:rsidRPr="005310FC" w:rsidRDefault="00F44300" w:rsidP="00764111">
      <w:pPr>
        <w:shd w:val="clear" w:color="auto" w:fill="FFFFFF"/>
        <w:spacing w:line="360" w:lineRule="auto"/>
        <w:textAlignment w:val="baseline"/>
        <w:rPr>
          <w:rFonts w:ascii="Calibri" w:eastAsia="Times New Roman" w:hAnsi="Calibri" w:cs="Calibri"/>
          <w:bdr w:val="none" w:sz="0" w:space="0" w:color="auto" w:frame="1"/>
          <w:vertAlign w:val="superscript"/>
        </w:rPr>
      </w:pPr>
      <w:r w:rsidRPr="006C2493">
        <w:rPr>
          <w:rFonts w:ascii="Calibri" w:eastAsia="Times New Roman" w:hAnsi="Calibri" w:cs="Calibri"/>
          <w:u w:val="single"/>
          <w:bdr w:val="none" w:sz="0" w:space="0" w:color="auto" w:frame="1"/>
        </w:rPr>
        <w:t>Nebraska</w:t>
      </w:r>
      <w:r w:rsidRPr="006C2493">
        <w:rPr>
          <w:rFonts w:ascii="Calibri" w:eastAsia="Times New Roman" w:hAnsi="Calibri" w:cs="Calibri"/>
        </w:rPr>
        <w:t>. Nebraska's law states that when case reports and positive lab results must be reported to a public health agency, "such reports or notifications and the resulting investigations shall be confidential except as provided in this section, shall not be subject to subpoena, and shall be privileged and inadmissible in evidence in any legal proceeding of any kind or character and shall not be disclosed to any other department or agency of the State of Nebraska." The section allows non-identifiable information to be reported to CDC to further the protection of public health and identifiable information to be provided to other health departments to ensure that investigations deemed necessary are made.</w:t>
      </w:r>
      <w:r w:rsidRPr="006C2493">
        <w:rPr>
          <w:rFonts w:ascii="Calibri" w:eastAsia="Times New Roman" w:hAnsi="Calibri" w:cs="Calibri"/>
          <w:bdr w:val="none" w:sz="0" w:space="0" w:color="auto" w:frame="1"/>
          <w:vertAlign w:val="superscript"/>
        </w:rPr>
        <w:t>102</w:t>
      </w:r>
    </w:p>
    <w:p w14:paraId="1038D198" w14:textId="77777777" w:rsidR="00F44300" w:rsidRPr="006C2493" w:rsidRDefault="00F44300" w:rsidP="00764111">
      <w:pPr>
        <w:shd w:val="clear" w:color="auto" w:fill="FFFFFF"/>
        <w:spacing w:line="360" w:lineRule="auto"/>
        <w:textAlignment w:val="baseline"/>
        <w:rPr>
          <w:rFonts w:ascii="Calibri" w:eastAsia="Times New Roman" w:hAnsi="Calibri" w:cs="Calibri"/>
        </w:rPr>
      </w:pPr>
    </w:p>
    <w:p w14:paraId="6ECD7F4B"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 xml:space="preserve">Some states, like North Carolina, Illinois, and Texas, explicitly address information sharing with law enforcement regarding case reports and investigations. Although Michigan's law does not mention law enforcement, its general provision could allow disclosure of identifiable medical and epidemiological information to law enforcement if </w:t>
      </w:r>
      <w:proofErr w:type="gramStart"/>
      <w:r w:rsidRPr="006C2493">
        <w:rPr>
          <w:rFonts w:ascii="Calibri" w:eastAsia="Times New Roman" w:hAnsi="Calibri" w:cs="Calibri"/>
        </w:rPr>
        <w:t>necessary</w:t>
      </w:r>
      <w:proofErr w:type="gramEnd"/>
      <w:r w:rsidRPr="006C2493">
        <w:rPr>
          <w:rFonts w:ascii="Calibri" w:eastAsia="Times New Roman" w:hAnsi="Calibri" w:cs="Calibri"/>
        </w:rPr>
        <w:t xml:space="preserve"> to protect the public health. The decision to disclose identifiable health information must be made by the state or local health officer. Even though Texas' law allows sharing with law enforcement, the purpose must be to protect the health or life of the person identified in the report, record, or information, which might present challenges in protecting the public generally. Nebraska's law is extremely narrow and may present challenges to providing information to law enforcement even when circumstances are compelling.</w:t>
      </w:r>
    </w:p>
    <w:p w14:paraId="5C996099"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States should assess their laws to determine whether public health agencies are able to share necessary information with law enforcement, the prerequisites and limits for such sharing, alternatives for communicating information when necessary to protect the public's health and consent is not an option, and the need for legislative revisions to address gaps.</w:t>
      </w:r>
    </w:p>
    <w:p w14:paraId="031BAD45"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 xml:space="preserve">Legal process might be an option to compel information sharing, such as court orders, search warrants, grand jury subpoenas, and FBI administrative orders under the Patriot Act. In the event of a declared disaster or emergency, a state's emergency management act might allow the governor to suspend state laws or issue executive directives to enable information sharing with law enforcement as necessary for emergency response. There may be rare but compelling circumstances where disclosure may be necessary, even though state law provides no applicable exception to privacy protections. A health official facing a decision about revealing confidential information to protect a third party or the general community should consult with his or her attorney to identify relevant legal responsibilities and evaluate </w:t>
      </w:r>
      <w:r w:rsidRPr="006C2493">
        <w:rPr>
          <w:rFonts w:ascii="Calibri" w:eastAsia="Times New Roman" w:hAnsi="Calibri" w:cs="Calibri"/>
        </w:rPr>
        <w:lastRenderedPageBreak/>
        <w:t>competing moral claims. The health official should review restrictive language with counsel to determine permissible interpretations and avoid results that might prevent public health from carrying out responsibilities to protect the public. The situation and bases for action should be documented in case subsequent events lead to second guessing.</w:t>
      </w:r>
    </w:p>
    <w:p w14:paraId="57D2E1D1" w14:textId="77777777" w:rsidR="00F44300" w:rsidRPr="006C2493" w:rsidRDefault="00F44300" w:rsidP="00764111">
      <w:pPr>
        <w:spacing w:line="360" w:lineRule="auto"/>
        <w:rPr>
          <w:rFonts w:ascii="Calibri" w:eastAsia="Times New Roman" w:hAnsi="Calibri" w:cs="Calibri"/>
          <w:b/>
          <w:bCs/>
        </w:rPr>
      </w:pPr>
      <w:r w:rsidRPr="006C2493">
        <w:rPr>
          <w:rFonts w:ascii="Calibri" w:eastAsia="Times New Roman" w:hAnsi="Calibri" w:cs="Calibri"/>
          <w:b/>
          <w:bCs/>
        </w:rPr>
        <w:t>Conclusion </w:t>
      </w:r>
    </w:p>
    <w:p w14:paraId="502E0025"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Partnerships between law enforcement and public health agencies are important to emergency preparedness and effective response, whether the emergency is caused by natural, accidental, or intentional means. Information sharing may be necessary for public health agencies and law enforcement to both collaborate and carry out their respective functions during a public health emergency. Public health agencies should review legal authorities that apply to sharing information with law enforcement both when a disaster has been and has not been declared. As a result, barriers to sharing needed information will be more apparent and solutions can be identified.</w:t>
      </w:r>
    </w:p>
    <w:p w14:paraId="0FC86788" w14:textId="77777777" w:rsidR="00F44300" w:rsidRDefault="00F44300" w:rsidP="00764111">
      <w:pPr>
        <w:shd w:val="clear" w:color="auto" w:fill="FFFFFF"/>
        <w:spacing w:after="225" w:line="360" w:lineRule="auto"/>
        <w:textAlignment w:val="baseline"/>
        <w:rPr>
          <w:rFonts w:ascii="Calibri" w:eastAsia="Times New Roman" w:hAnsi="Calibri" w:cs="Calibri"/>
        </w:rPr>
      </w:pPr>
      <w:r w:rsidRPr="006C2493">
        <w:rPr>
          <w:rFonts w:ascii="Calibri" w:eastAsia="Times New Roman" w:hAnsi="Calibri" w:cs="Calibri"/>
        </w:rPr>
        <w:t>Public health emergencies may involve criminal activities, resulting in joint or parallel public health and criminal investigations. Public health officials and law enforcement officers need to understand their respective roles and the different legal standards that govern their investigations and collection of information and evidence. Joint investigative training may be valuable, promoting effective response to protect the public health and ensure successful prosecution of perpetrators of bioterrorism and other crimes.</w:t>
      </w:r>
    </w:p>
    <w:p w14:paraId="163888F4" w14:textId="77777777" w:rsidR="00F44300" w:rsidRPr="006C2493" w:rsidRDefault="00F44300" w:rsidP="00764111">
      <w:pPr>
        <w:shd w:val="clear" w:color="auto" w:fill="FFFFFF"/>
        <w:spacing w:after="225" w:line="360" w:lineRule="auto"/>
        <w:textAlignment w:val="baseline"/>
        <w:rPr>
          <w:rFonts w:ascii="Calibri" w:eastAsia="Times New Roman" w:hAnsi="Calibri" w:cs="Calibri"/>
        </w:rPr>
      </w:pPr>
      <w:r>
        <w:rPr>
          <w:rFonts w:ascii="Calibri" w:eastAsia="Times New Roman" w:hAnsi="Calibri" w:cs="Calibri"/>
        </w:rPr>
        <w:t>_____________________________________________</w:t>
      </w:r>
    </w:p>
    <w:p w14:paraId="11EAA321" w14:textId="77777777" w:rsidR="00F44300" w:rsidRPr="006C2493" w:rsidRDefault="00F44300" w:rsidP="00764111">
      <w:pPr>
        <w:spacing w:line="360" w:lineRule="auto"/>
        <w:rPr>
          <w:rFonts w:ascii="Calibri" w:eastAsia="Times New Roman" w:hAnsi="Calibri" w:cs="Calibri"/>
          <w:b/>
          <w:bCs/>
          <w:color w:val="3C3030"/>
          <w:sz w:val="24"/>
          <w:szCs w:val="24"/>
        </w:rPr>
      </w:pPr>
      <w:r w:rsidRPr="006C2493">
        <w:rPr>
          <w:rFonts w:ascii="Calibri" w:eastAsia="Times New Roman" w:hAnsi="Calibri" w:cs="Calibri"/>
          <w:b/>
          <w:bCs/>
          <w:color w:val="3C3030"/>
          <w:sz w:val="24"/>
          <w:szCs w:val="24"/>
        </w:rPr>
        <w:t>Sources</w:t>
      </w:r>
    </w:p>
    <w:p w14:paraId="7180DC16"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Health and Human Services. "Public Health Preparedness Capabilities: National Standards for State and Local Planning." March 2011. Available at </w:t>
      </w:r>
      <w:hyperlink r:id="rId23" w:history="1">
        <w:r w:rsidRPr="006C2493">
          <w:rPr>
            <w:rFonts w:ascii="Calibri" w:eastAsia="Times New Roman" w:hAnsi="Calibri" w:cs="Calibri"/>
            <w:u w:val="single"/>
            <w:bdr w:val="none" w:sz="0" w:space="0" w:color="auto" w:frame="1"/>
          </w:rPr>
          <w:t>http://www.cdc.gov/phpr/capabilities/DSLR_capabilities_July.pdf</w:t>
        </w:r>
      </w:hyperlink>
      <w:r w:rsidRPr="006C2493">
        <w:rPr>
          <w:rFonts w:ascii="Calibri" w:eastAsia="Times New Roman" w:hAnsi="Calibri" w:cs="Calibri"/>
        </w:rPr>
        <w:t>. Accessed June 29, 2012.</w:t>
      </w:r>
    </w:p>
    <w:p w14:paraId="7788338C"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24"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3F2E6FEE"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CDC and U.S. Department of Justice, Bureau of Justice Assistance. "Joint Public Health-Law Enforcement Investigation: Model Memorandum of Understanding." July 2008. Available </w:t>
      </w:r>
      <w:r w:rsidRPr="006C2493">
        <w:rPr>
          <w:rFonts w:ascii="Calibri" w:eastAsia="Times New Roman" w:hAnsi="Calibri" w:cs="Calibri"/>
        </w:rPr>
        <w:lastRenderedPageBreak/>
        <w:t>at </w:t>
      </w:r>
      <w:hyperlink r:id="rId25" w:history="1">
        <w:r w:rsidRPr="006C2493">
          <w:rPr>
            <w:rFonts w:ascii="Calibri" w:eastAsia="Times New Roman" w:hAnsi="Calibri" w:cs="Calibri"/>
            <w:u w:val="single"/>
            <w:bdr w:val="none" w:sz="0" w:space="0" w:color="auto" w:frame="1"/>
          </w:rPr>
          <w:t>http://www.nasemso.org/Projects/DomesticPreparedness/documents/JIMOUFinal.pdf</w:t>
        </w:r>
      </w:hyperlink>
      <w:r w:rsidRPr="006C2493">
        <w:rPr>
          <w:rFonts w:ascii="Calibri" w:eastAsia="Times New Roman" w:hAnsi="Calibri" w:cs="Calibri"/>
        </w:rPr>
        <w:t>. Accessed June 29, 2012.</w:t>
      </w:r>
    </w:p>
    <w:p w14:paraId="7388D0DA"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26"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62C141C4"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Bureau of Justice Assistance. "The Role of Law Enforcement in Public Health Emergencies: Special Considerations for an All-Hazards Approach." September 2006. Available at </w:t>
      </w:r>
      <w:hyperlink r:id="rId27" w:history="1">
        <w:r w:rsidRPr="006C2493">
          <w:rPr>
            <w:rFonts w:ascii="Calibri" w:eastAsia="Times New Roman" w:hAnsi="Calibri" w:cs="Calibri"/>
            <w:u w:val="single"/>
            <w:bdr w:val="none" w:sz="0" w:space="0" w:color="auto" w:frame="1"/>
          </w:rPr>
          <w:t>https://www.ncjrs.gov/pdffiles1/bja/214333.pdf</w:t>
        </w:r>
      </w:hyperlink>
      <w:r w:rsidRPr="006C2493">
        <w:rPr>
          <w:rFonts w:ascii="Calibri" w:eastAsia="Times New Roman" w:hAnsi="Calibri" w:cs="Calibri"/>
        </w:rPr>
        <w:t>. Accessed June 29, 2012.</w:t>
      </w:r>
    </w:p>
    <w:p w14:paraId="2B04DEBC"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w:t>
      </w:r>
    </w:p>
    <w:p w14:paraId="74E1A6AA"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rPr>
        <w:t>Dembek</w:t>
      </w:r>
      <w:proofErr w:type="spellEnd"/>
      <w:r w:rsidRPr="006C2493">
        <w:rPr>
          <w:rFonts w:ascii="Calibri" w:eastAsia="Times New Roman" w:hAnsi="Calibri" w:cs="Calibri"/>
        </w:rPr>
        <w:t xml:space="preserve"> ZF, </w:t>
      </w:r>
      <w:proofErr w:type="spellStart"/>
      <w:r w:rsidRPr="006C2493">
        <w:rPr>
          <w:rFonts w:ascii="Calibri" w:eastAsia="Times New Roman" w:hAnsi="Calibri" w:cs="Calibri"/>
        </w:rPr>
        <w:t>Kortepeter</w:t>
      </w:r>
      <w:proofErr w:type="spellEnd"/>
      <w:r w:rsidRPr="006C2493">
        <w:rPr>
          <w:rFonts w:ascii="Calibri" w:eastAsia="Times New Roman" w:hAnsi="Calibri" w:cs="Calibri"/>
        </w:rPr>
        <w:t xml:space="preserve"> MG, </w:t>
      </w:r>
      <w:proofErr w:type="spellStart"/>
      <w:r w:rsidRPr="006C2493">
        <w:rPr>
          <w:rFonts w:ascii="Calibri" w:eastAsia="Times New Roman" w:hAnsi="Calibri" w:cs="Calibri"/>
        </w:rPr>
        <w:t>Pavlin</w:t>
      </w:r>
      <w:proofErr w:type="spellEnd"/>
      <w:r w:rsidRPr="006C2493">
        <w:rPr>
          <w:rFonts w:ascii="Calibri" w:eastAsia="Times New Roman" w:hAnsi="Calibri" w:cs="Calibri"/>
        </w:rPr>
        <w:t xml:space="preserve"> JA. "Discernment between deliberate and natural infectious disease outbreaks." </w:t>
      </w:r>
      <w:r w:rsidRPr="006C2493">
        <w:rPr>
          <w:rFonts w:ascii="Calibri" w:eastAsia="Times New Roman" w:hAnsi="Calibri" w:cs="Calibri"/>
          <w:i/>
          <w:iCs/>
          <w:bdr w:val="none" w:sz="0" w:space="0" w:color="auto" w:frame="1"/>
        </w:rPr>
        <w:t>Epidemiology and Infection</w:t>
      </w:r>
      <w:r w:rsidRPr="006C2493">
        <w:rPr>
          <w:rFonts w:ascii="Calibri" w:eastAsia="Times New Roman" w:hAnsi="Calibri" w:cs="Calibri"/>
        </w:rPr>
        <w:t>. 2007. 135(3):353-371.</w:t>
      </w:r>
    </w:p>
    <w:p w14:paraId="0FC3B5D5"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hyperlink r:id="rId28" w:history="1">
        <w:r w:rsidRPr="006C2493">
          <w:rPr>
            <w:rFonts w:ascii="Calibri" w:eastAsia="Times New Roman" w:hAnsi="Calibri" w:cs="Calibri"/>
            <w:u w:val="single"/>
            <w:bdr w:val="none" w:sz="0" w:space="0" w:color="auto" w:frame="1"/>
          </w:rPr>
          <w:t>http://www.progressivegrocer.com/top-story-ex_grocery_worker_sentenced_for_poisoning_beef-20115.html</w:t>
        </w:r>
      </w:hyperlink>
      <w:r w:rsidRPr="006C2493">
        <w:rPr>
          <w:rFonts w:ascii="Calibri" w:eastAsia="Times New Roman" w:hAnsi="Calibri" w:cs="Calibri"/>
        </w:rPr>
        <w:t>.</w:t>
      </w:r>
    </w:p>
    <w:p w14:paraId="62235969"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29"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xml:space="preserve"> 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w:t>
      </w:r>
    </w:p>
    <w:p w14:paraId="0129F15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Miller, Robert. Problems in Healthcare Law, 9</w:t>
      </w:r>
      <w:r w:rsidRPr="006C2493">
        <w:rPr>
          <w:rFonts w:ascii="Calibri" w:eastAsia="Times New Roman" w:hAnsi="Calibri" w:cs="Calibri"/>
          <w:bdr w:val="none" w:sz="0" w:space="0" w:color="auto" w:frame="1"/>
          <w:vertAlign w:val="superscript"/>
        </w:rPr>
        <w:t>th</w:t>
      </w:r>
      <w:r w:rsidRPr="006C2493">
        <w:rPr>
          <w:rFonts w:ascii="Calibri" w:eastAsia="Times New Roman" w:hAnsi="Calibri" w:cs="Calibri"/>
        </w:rPr>
        <w:t> Revised Edition. Burlington, MA: Jones and Bartlett Publishers, 2005, p. 420.</w:t>
      </w:r>
    </w:p>
    <w:p w14:paraId="411CEC3A"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Sutton V. "Dual Purpose Bioterrorism Investigations in Law Enforcement and Public Health Protection: How to Make Them Work Consistent with the Rule of Law." </w:t>
      </w:r>
      <w:r w:rsidRPr="006C2493">
        <w:rPr>
          <w:rFonts w:ascii="Calibri" w:eastAsia="Times New Roman" w:hAnsi="Calibri" w:cs="Calibri"/>
          <w:i/>
          <w:iCs/>
          <w:bdr w:val="none" w:sz="0" w:space="0" w:color="auto" w:frame="1"/>
        </w:rPr>
        <w:t>Houston Journal of Health Law &amp; Policy.</w:t>
      </w:r>
      <w:r w:rsidRPr="006C2493">
        <w:rPr>
          <w:rFonts w:ascii="Calibri" w:eastAsia="Times New Roman" w:hAnsi="Calibri" w:cs="Calibri"/>
        </w:rPr>
        <w:t> 2006. 6:151-170. Available at </w:t>
      </w:r>
      <w:hyperlink r:id="rId30" w:history="1">
        <w:r w:rsidRPr="006C2493">
          <w:rPr>
            <w:rFonts w:ascii="Calibri" w:eastAsia="Times New Roman" w:hAnsi="Calibri" w:cs="Calibri"/>
            <w:u w:val="single"/>
            <w:bdr w:val="none" w:sz="0" w:space="0" w:color="auto" w:frame="1"/>
          </w:rPr>
          <w:t>http://www.law.uh.edu/hjhlp/Issues%5CVol_61%5CSutton.pdf</w:t>
        </w:r>
      </w:hyperlink>
      <w:r w:rsidRPr="006C2493">
        <w:rPr>
          <w:rFonts w:ascii="Calibri" w:eastAsia="Times New Roman" w:hAnsi="Calibri" w:cs="Calibri"/>
        </w:rPr>
        <w:t>. Accessed Nov. 15, 2012.</w:t>
      </w:r>
    </w:p>
    <w:p w14:paraId="0D9F4172"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31"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319E5F39"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Butler JC, Cohen ML, Friedman CR, </w:t>
      </w:r>
      <w:proofErr w:type="spellStart"/>
      <w:r w:rsidRPr="006C2493">
        <w:rPr>
          <w:rFonts w:ascii="Calibri" w:eastAsia="Times New Roman" w:hAnsi="Calibri" w:cs="Calibri"/>
        </w:rPr>
        <w:t>Scripp</w:t>
      </w:r>
      <w:proofErr w:type="spellEnd"/>
      <w:r w:rsidRPr="006C2493">
        <w:rPr>
          <w:rFonts w:ascii="Calibri" w:eastAsia="Times New Roman" w:hAnsi="Calibri" w:cs="Calibri"/>
        </w:rPr>
        <w:t xml:space="preserve"> RM, </w:t>
      </w:r>
      <w:proofErr w:type="spellStart"/>
      <w:r w:rsidRPr="006C2493">
        <w:rPr>
          <w:rFonts w:ascii="Calibri" w:eastAsia="Times New Roman" w:hAnsi="Calibri" w:cs="Calibri"/>
        </w:rPr>
        <w:t>Watz</w:t>
      </w:r>
      <w:proofErr w:type="spellEnd"/>
      <w:r w:rsidRPr="006C2493">
        <w:rPr>
          <w:rFonts w:ascii="Calibri" w:eastAsia="Times New Roman" w:hAnsi="Calibri" w:cs="Calibri"/>
        </w:rPr>
        <w:t xml:space="preserve"> CG. "Collaboration between public health and law enforcement: new paradigms and partnerships for bioterrorism planning and response." </w:t>
      </w:r>
      <w:r w:rsidRPr="006C2493">
        <w:rPr>
          <w:rFonts w:ascii="Calibri" w:eastAsia="Times New Roman" w:hAnsi="Calibri" w:cs="Calibri"/>
          <w:i/>
          <w:iCs/>
          <w:bdr w:val="none" w:sz="0" w:space="0" w:color="auto" w:frame="1"/>
        </w:rPr>
        <w:t>Emerging Infectious Disease.</w:t>
      </w:r>
      <w:r w:rsidRPr="006C2493">
        <w:rPr>
          <w:rFonts w:ascii="Calibri" w:eastAsia="Times New Roman" w:hAnsi="Calibri" w:cs="Calibri"/>
        </w:rPr>
        <w:t> 2002. 8(10):1152-1156. Retrieved from </w:t>
      </w:r>
      <w:hyperlink r:id="rId32" w:history="1">
        <w:r w:rsidRPr="006C2493">
          <w:rPr>
            <w:rFonts w:ascii="Calibri" w:eastAsia="Times New Roman" w:hAnsi="Calibri" w:cs="Calibri"/>
            <w:u w:val="single"/>
            <w:bdr w:val="none" w:sz="0" w:space="0" w:color="auto" w:frame="1"/>
          </w:rPr>
          <w:t>http://wwwnc.cdc.gov/eid/article/8/10/02-0400.htm</w:t>
        </w:r>
      </w:hyperlink>
      <w:r w:rsidRPr="006C2493">
        <w:rPr>
          <w:rFonts w:ascii="Calibri" w:eastAsia="Times New Roman" w:hAnsi="Calibri" w:cs="Calibri"/>
        </w:rPr>
        <w:t>. Accessed June 29, 2012. </w:t>
      </w:r>
    </w:p>
    <w:p w14:paraId="23B7D90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5F0D109E"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U.S. Department of Justice, Bureau of Justice Assistance. "Joint Public Health-Law Enforcement Investigation: Model Memorandum of Understanding." July 2008. Available at </w:t>
      </w:r>
      <w:hyperlink r:id="rId33" w:history="1">
        <w:r w:rsidRPr="006C2493">
          <w:rPr>
            <w:rFonts w:ascii="Calibri" w:eastAsia="Times New Roman" w:hAnsi="Calibri" w:cs="Calibri"/>
            <w:u w:val="single"/>
            <w:bdr w:val="none" w:sz="0" w:space="0" w:color="auto" w:frame="1"/>
          </w:rPr>
          <w:t>http://www.nasemso.org/Projects/DomesticPreparedness/documents/JIMOUFinal.pdf</w:t>
        </w:r>
      </w:hyperlink>
      <w:r w:rsidRPr="006C2493">
        <w:rPr>
          <w:rFonts w:ascii="Calibri" w:eastAsia="Times New Roman" w:hAnsi="Calibri" w:cs="Calibri"/>
        </w:rPr>
        <w:t>. Accessed June 29, 2012.</w:t>
      </w:r>
    </w:p>
    <w:p w14:paraId="1343770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34"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1E395A00"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Bureau of Justice Assistance. "The Role of Law Enforcement in Public Health Emergencies: Special Considerations for an All-Hazards Approach." September 2006. Available at </w:t>
      </w:r>
      <w:hyperlink r:id="rId35" w:history="1">
        <w:r w:rsidRPr="006C2493">
          <w:rPr>
            <w:rFonts w:ascii="Calibri" w:eastAsia="Times New Roman" w:hAnsi="Calibri" w:cs="Calibri"/>
            <w:u w:val="single"/>
            <w:bdr w:val="none" w:sz="0" w:space="0" w:color="auto" w:frame="1"/>
          </w:rPr>
          <w:t>https://www.ncjrs.gov/pdffiles1/bja/214333.pdf</w:t>
        </w:r>
      </w:hyperlink>
      <w:r w:rsidRPr="006C2493">
        <w:rPr>
          <w:rFonts w:ascii="Calibri" w:eastAsia="Times New Roman" w:hAnsi="Calibri" w:cs="Calibri"/>
        </w:rPr>
        <w:t>. Accessed June 29, 2012; </w:t>
      </w:r>
      <w:r w:rsidRPr="006C2493">
        <w:rPr>
          <w:rFonts w:ascii="Calibri" w:eastAsia="Times New Roman" w:hAnsi="Calibri" w:cs="Calibri"/>
          <w:i/>
          <w:iCs/>
          <w:bdr w:val="none" w:sz="0" w:space="0" w:color="auto" w:frame="1"/>
        </w:rPr>
        <w:t>Jacobson v. Massachusetts</w:t>
      </w:r>
      <w:r w:rsidRPr="006C2493">
        <w:rPr>
          <w:rFonts w:ascii="Calibri" w:eastAsia="Times New Roman" w:hAnsi="Calibri" w:cs="Calibri"/>
        </w:rPr>
        <w:t>, 197 U.S. 11 (1905).</w:t>
      </w:r>
    </w:p>
    <w:p w14:paraId="193E766A"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36"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0C516DC5"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2AECC6F4"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Jernigan JA, Stephens DS, Ashford DA, et al., and members of the Anthrax Bioterrorism Investigation Team. "Bioterrorism-Related Inhalational Anthrax: The First 10 Cases Reported in the United States." </w:t>
      </w:r>
      <w:r w:rsidRPr="006C2493">
        <w:rPr>
          <w:rFonts w:ascii="Calibri" w:eastAsia="Times New Roman" w:hAnsi="Calibri" w:cs="Calibri"/>
          <w:i/>
          <w:iCs/>
          <w:bdr w:val="none" w:sz="0" w:space="0" w:color="auto" w:frame="1"/>
        </w:rPr>
        <w:t>Emerging and Infectious Disease.</w:t>
      </w:r>
      <w:r w:rsidRPr="006C2493">
        <w:rPr>
          <w:rFonts w:ascii="Calibri" w:eastAsia="Times New Roman" w:hAnsi="Calibri" w:cs="Calibri"/>
        </w:rPr>
        <w:t> 2001. 7(6):933-944.</w:t>
      </w:r>
    </w:p>
    <w:p w14:paraId="589954CF"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37"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0D575EB2"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6BD88FCE"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6E11B410"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CDC and U.S. Department of Justice, Bureau of Justice Assistance. "Joint Public Health-Law Enforcement Investigation: Model Memorandum of Understanding." July 2008. Available at </w:t>
      </w:r>
      <w:hyperlink r:id="rId38" w:history="1">
        <w:r w:rsidRPr="006C2493">
          <w:rPr>
            <w:rFonts w:ascii="Calibri" w:eastAsia="Times New Roman" w:hAnsi="Calibri" w:cs="Calibri"/>
            <w:u w:val="single"/>
            <w:bdr w:val="none" w:sz="0" w:space="0" w:color="auto" w:frame="1"/>
          </w:rPr>
          <w:t>http://www.nasemso.org/Projects/DomesticPreparedness/documents/JIMOUFinal.pdf</w:t>
        </w:r>
      </w:hyperlink>
      <w:r w:rsidRPr="006C2493">
        <w:rPr>
          <w:rFonts w:ascii="Calibri" w:eastAsia="Times New Roman" w:hAnsi="Calibri" w:cs="Calibri"/>
        </w:rPr>
        <w:t>. Accessed June 29, 2012.</w:t>
      </w:r>
    </w:p>
    <w:p w14:paraId="3835CF1C"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CDC. "Forensic Epidemiology." April 2012. Available at </w:t>
      </w:r>
      <w:hyperlink r:id="rId39" w:history="1">
        <w:r w:rsidRPr="006C2493">
          <w:rPr>
            <w:rFonts w:ascii="Calibri" w:eastAsia="Times New Roman" w:hAnsi="Calibri" w:cs="Calibri"/>
            <w:u w:val="single"/>
            <w:bdr w:val="none" w:sz="0" w:space="0" w:color="auto" w:frame="1"/>
          </w:rPr>
          <w:t>http://www.cdc.gov/phlp/publications/forensicepidemiology/index.html</w:t>
        </w:r>
      </w:hyperlink>
      <w:r w:rsidRPr="006C2493">
        <w:rPr>
          <w:rFonts w:ascii="Calibri" w:eastAsia="Times New Roman" w:hAnsi="Calibri" w:cs="Calibri"/>
        </w:rPr>
        <w:t>. Accessed July 9, 2012.</w:t>
      </w:r>
    </w:p>
    <w:p w14:paraId="03574469"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"Criminal and Epidemiological Investigation Handbook (2011 Edition)." Available at </w:t>
      </w:r>
      <w:hyperlink r:id="rId40" w:history="1">
        <w:r w:rsidRPr="006C2493">
          <w:rPr>
            <w:rFonts w:ascii="Calibri" w:eastAsia="Times New Roman" w:hAnsi="Calibri" w:cs="Calibri"/>
            <w:u w:val="single"/>
            <w:bdr w:val="none" w:sz="0" w:space="0" w:color="auto" w:frame="1"/>
          </w:rPr>
          <w:t>http://www.cdc.gov/phlp/docs/CrimEpiHandbook2011.pdf</w:t>
        </w:r>
      </w:hyperlink>
      <w:r w:rsidRPr="006C2493">
        <w:rPr>
          <w:rFonts w:ascii="Calibri" w:eastAsia="Times New Roman" w:hAnsi="Calibri" w:cs="Calibri"/>
        </w:rPr>
        <w:t>. Accessed Dec. 31, 2012.</w:t>
      </w:r>
    </w:p>
    <w:p w14:paraId="45E81E7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National Security Act of 1947 (P.L. 80-253).</w:t>
      </w:r>
    </w:p>
    <w:p w14:paraId="74E5055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McConnell, M. "Overhauling Intelligence." </w:t>
      </w:r>
      <w:r w:rsidRPr="006C2493">
        <w:rPr>
          <w:rFonts w:ascii="Calibri" w:eastAsia="Times New Roman" w:hAnsi="Calibri" w:cs="Calibri"/>
          <w:i/>
          <w:iCs/>
          <w:bdr w:val="none" w:sz="0" w:space="0" w:color="auto" w:frame="1"/>
        </w:rPr>
        <w:t>Foreign Affairs</w:t>
      </w:r>
      <w:r w:rsidRPr="006C2493">
        <w:rPr>
          <w:rFonts w:ascii="Calibri" w:eastAsia="Times New Roman" w:hAnsi="Calibri" w:cs="Calibri"/>
        </w:rPr>
        <w:t>. 2007. 86(4):49-58. Available at </w:t>
      </w:r>
      <w:hyperlink r:id="rId41" w:history="1">
        <w:r w:rsidRPr="006C2493">
          <w:rPr>
            <w:rFonts w:ascii="Calibri" w:eastAsia="Times New Roman" w:hAnsi="Calibri" w:cs="Calibri"/>
            <w:u w:val="single"/>
            <w:bdr w:val="none" w:sz="0" w:space="0" w:color="auto" w:frame="1"/>
          </w:rPr>
          <w:t>http://www.dtic.mil/cgi-bin/GetTRDoc?AD=ADA499988</w:t>
        </w:r>
      </w:hyperlink>
      <w:r w:rsidRPr="006C2493">
        <w:rPr>
          <w:rFonts w:ascii="Calibri" w:eastAsia="Times New Roman" w:hAnsi="Calibri" w:cs="Calibri"/>
        </w:rPr>
        <w:t>. Accessed Feb. 25, 2013.</w:t>
      </w:r>
    </w:p>
    <w:p w14:paraId="110B5D4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7C0587B6"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7B34500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USA Patriot Act (P.L. 107-56).</w:t>
      </w:r>
    </w:p>
    <w:p w14:paraId="20EFAAD0"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"Background and Authorities for ISE." Available at </w:t>
      </w:r>
      <w:hyperlink r:id="rId42"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 Accessed June 15, 2012. </w:t>
      </w:r>
    </w:p>
    <w:p w14:paraId="2578A7EF"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Homeland Security Act of 2002. (P.L. 107-296).</w:t>
      </w:r>
    </w:p>
    <w:p w14:paraId="20CF4269"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"Background and Authorities for ISE." Available at </w:t>
      </w:r>
      <w:hyperlink r:id="rId43"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 Accessed June 15, 2012. </w:t>
      </w:r>
    </w:p>
    <w:p w14:paraId="4A336DA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Intelligence Reform and Terrorism Prevention Act of 2004 (P.L. 105-458).</w:t>
      </w:r>
    </w:p>
    <w:p w14:paraId="3203037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McConnell, M. "Overhauling Intelligence." </w:t>
      </w:r>
      <w:r w:rsidRPr="006C2493">
        <w:rPr>
          <w:rFonts w:ascii="Calibri" w:eastAsia="Times New Roman" w:hAnsi="Calibri" w:cs="Calibri"/>
          <w:i/>
          <w:iCs/>
          <w:bdr w:val="none" w:sz="0" w:space="0" w:color="auto" w:frame="1"/>
        </w:rPr>
        <w:t>Foreign Affairs</w:t>
      </w:r>
      <w:r w:rsidRPr="006C2493">
        <w:rPr>
          <w:rFonts w:ascii="Calibri" w:eastAsia="Times New Roman" w:hAnsi="Calibri" w:cs="Calibri"/>
        </w:rPr>
        <w:t>. 2007. 86(4):49-58. Available at </w:t>
      </w:r>
      <w:hyperlink r:id="rId44" w:history="1">
        <w:r w:rsidRPr="006C2493">
          <w:rPr>
            <w:rFonts w:ascii="Calibri" w:eastAsia="Times New Roman" w:hAnsi="Calibri" w:cs="Calibri"/>
            <w:u w:val="single"/>
            <w:bdr w:val="none" w:sz="0" w:space="0" w:color="auto" w:frame="1"/>
          </w:rPr>
          <w:t>http://www.dtic.mil/cgi-bin/GetTRDoc?AD=ADA499988</w:t>
        </w:r>
      </w:hyperlink>
      <w:r w:rsidRPr="006C2493">
        <w:rPr>
          <w:rFonts w:ascii="Calibri" w:eastAsia="Times New Roman" w:hAnsi="Calibri" w:cs="Calibri"/>
        </w:rPr>
        <w:t>. Accessed Feb. 25, 2013.</w:t>
      </w:r>
    </w:p>
    <w:p w14:paraId="38A833CF"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"Background and Authorities for ISE." Available at </w:t>
      </w:r>
      <w:hyperlink r:id="rId45"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 Accessed June 15, 2012. </w:t>
      </w:r>
    </w:p>
    <w:p w14:paraId="27D86EA8"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3519F06F"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Information Sharing Environment. "Law Enforcement Information Sharing." Available at </w:t>
      </w:r>
      <w:hyperlink r:id="rId46" w:history="1">
        <w:r w:rsidRPr="006C2493">
          <w:rPr>
            <w:rFonts w:ascii="Calibri" w:eastAsia="Times New Roman" w:hAnsi="Calibri" w:cs="Calibri"/>
            <w:u w:val="single"/>
            <w:bdr w:val="none" w:sz="0" w:space="0" w:color="auto" w:frame="1"/>
          </w:rPr>
          <w:t>http://ise.gov/law-enforcement-information-sharing</w:t>
        </w:r>
      </w:hyperlink>
      <w:r w:rsidRPr="006C2493">
        <w:rPr>
          <w:rFonts w:ascii="Calibri" w:eastAsia="Times New Roman" w:hAnsi="Calibri" w:cs="Calibri"/>
        </w:rPr>
        <w:t>. Accessed June 15, 2012.</w:t>
      </w:r>
    </w:p>
    <w:p w14:paraId="3F299E27"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U.S. Department of Homeland Security. "Fusion Center Guidelines: Developing and Sharing Information and Intelligence in a New Era." August 2006. Available at </w:t>
      </w:r>
      <w:hyperlink r:id="rId47" w:history="1">
        <w:r w:rsidRPr="006C2493">
          <w:rPr>
            <w:rFonts w:ascii="Calibri" w:eastAsia="Times New Roman" w:hAnsi="Calibri" w:cs="Calibri"/>
            <w:u w:val="single"/>
            <w:bdr w:val="none" w:sz="0" w:space="0" w:color="auto" w:frame="1"/>
          </w:rPr>
          <w:t>http://www.it.ojp.gov/documents/fusion_center_guidelines_law_enforcement.pdf</w:t>
        </w:r>
      </w:hyperlink>
      <w:r w:rsidRPr="006C2493">
        <w:rPr>
          <w:rFonts w:ascii="Calibri" w:eastAsia="Times New Roman" w:hAnsi="Calibri" w:cs="Calibri"/>
        </w:rPr>
        <w:t>. Accessed June 29, 2012.</w:t>
      </w:r>
    </w:p>
    <w:p w14:paraId="3AA5111D"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Ibid.</w:t>
      </w:r>
    </w:p>
    <w:p w14:paraId="698E624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lastRenderedPageBreak/>
        <w:t>Ibid.</w:t>
      </w:r>
    </w:p>
    <w:p w14:paraId="165DD282"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"National Network of Fusion Centers Fact Sheet." February 2012. Available at </w:t>
      </w:r>
      <w:hyperlink r:id="rId48" w:history="1">
        <w:r w:rsidRPr="006C2493">
          <w:rPr>
            <w:rFonts w:ascii="Calibri" w:eastAsia="Times New Roman" w:hAnsi="Calibri" w:cs="Calibri"/>
            <w:u w:val="single"/>
            <w:bdr w:val="none" w:sz="0" w:space="0" w:color="auto" w:frame="1"/>
          </w:rPr>
          <w:t>http://www.dhs.gov/files/programs/gc_1296484657738.shtm</w:t>
        </w:r>
      </w:hyperlink>
      <w:r w:rsidRPr="006C2493">
        <w:rPr>
          <w:rFonts w:ascii="Calibri" w:eastAsia="Times New Roman" w:hAnsi="Calibri" w:cs="Calibri"/>
        </w:rPr>
        <w:t>. Accessed June 29, 2012.</w:t>
      </w:r>
    </w:p>
    <w:p w14:paraId="286170FD"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Justice and U.S. Department of Homeland Security. "Fusion Center Guidelines: Developing and Sharing Information and Intelligence in a New Era." August 2006. Available at </w:t>
      </w:r>
      <w:hyperlink r:id="rId49" w:history="1">
        <w:r w:rsidRPr="006C2493">
          <w:rPr>
            <w:rFonts w:ascii="Calibri" w:eastAsia="Times New Roman" w:hAnsi="Calibri" w:cs="Calibri"/>
            <w:u w:val="single"/>
            <w:bdr w:val="none" w:sz="0" w:space="0" w:color="auto" w:frame="1"/>
          </w:rPr>
          <w:t>http://www.it.ojp.gov/documents/fusion_center_guidelines_law_enforcement.pdf</w:t>
        </w:r>
      </w:hyperlink>
      <w:r w:rsidRPr="006C2493">
        <w:rPr>
          <w:rFonts w:ascii="Calibri" w:eastAsia="Times New Roman" w:hAnsi="Calibri" w:cs="Calibri"/>
        </w:rPr>
        <w:t>. Accessed June 29, 2012.</w:t>
      </w:r>
    </w:p>
    <w:p w14:paraId="3D385062"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"Health Security: Public Health and Medical Integration for Fusion Centers." July 2011. </w:t>
      </w:r>
      <w:hyperlink r:id="rId50"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34709B77"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"Fusion Center Locations and Contact Information." Available at </w:t>
      </w:r>
      <w:hyperlink r:id="rId51" w:history="1">
        <w:r w:rsidRPr="006C2493">
          <w:rPr>
            <w:rFonts w:ascii="Calibri" w:eastAsia="Times New Roman" w:hAnsi="Calibri" w:cs="Calibri"/>
            <w:u w:val="single"/>
            <w:bdr w:val="none" w:sz="0" w:space="0" w:color="auto" w:frame="1"/>
          </w:rPr>
          <w:t>http://www.dhs.gov/fusion-center-locations-and-contact-information</w:t>
        </w:r>
      </w:hyperlink>
      <w:r w:rsidRPr="006C2493">
        <w:rPr>
          <w:rFonts w:ascii="Calibri" w:eastAsia="Times New Roman" w:hAnsi="Calibri" w:cs="Calibri"/>
        </w:rPr>
        <w:t>. Accessed Dec. 31, 2012.</w:t>
      </w:r>
    </w:p>
    <w:p w14:paraId="5F08F23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Hodge J, Fuse Brown E, O'Connell J. "The HIPAA Privacy Rule and Bioterrorism Planning, Prevention, and Response." </w:t>
      </w:r>
      <w:r w:rsidRPr="006C2493">
        <w:rPr>
          <w:rFonts w:ascii="Calibri" w:eastAsia="Times New Roman" w:hAnsi="Calibri" w:cs="Calibri"/>
          <w:i/>
          <w:iCs/>
          <w:bdr w:val="none" w:sz="0" w:space="0" w:color="auto" w:frame="1"/>
        </w:rPr>
        <w:t xml:space="preserve">Biosecurity and Bioterrorism: Biodefense Strategy, Practice, and </w:t>
      </w:r>
      <w:proofErr w:type="spellStart"/>
      <w:r w:rsidRPr="006C2493">
        <w:rPr>
          <w:rFonts w:ascii="Calibri" w:eastAsia="Times New Roman" w:hAnsi="Calibri" w:cs="Calibri"/>
          <w:i/>
          <w:iCs/>
          <w:bdr w:val="none" w:sz="0" w:space="0" w:color="auto" w:frame="1"/>
        </w:rPr>
        <w:t>Ccience</w:t>
      </w:r>
      <w:proofErr w:type="spellEnd"/>
      <w:r w:rsidRPr="006C2493">
        <w:rPr>
          <w:rFonts w:ascii="Calibri" w:eastAsia="Times New Roman" w:hAnsi="Calibri" w:cs="Calibri"/>
          <w:i/>
          <w:iCs/>
          <w:bdr w:val="none" w:sz="0" w:space="0" w:color="auto" w:frame="1"/>
        </w:rPr>
        <w:t>.</w:t>
      </w:r>
      <w:r w:rsidRPr="006C2493">
        <w:rPr>
          <w:rFonts w:ascii="Calibri" w:eastAsia="Times New Roman" w:hAnsi="Calibri" w:cs="Calibri"/>
        </w:rPr>
        <w:t> 2004. 2(2):73-80. Available at </w:t>
      </w:r>
      <w:hyperlink r:id="rId52" w:history="1">
        <w:r w:rsidRPr="006C2493">
          <w:rPr>
            <w:rFonts w:ascii="Calibri" w:eastAsia="Times New Roman" w:hAnsi="Calibri" w:cs="Calibri"/>
            <w:u w:val="single"/>
            <w:bdr w:val="none" w:sz="0" w:space="0" w:color="auto" w:frame="1"/>
          </w:rPr>
          <w:t>http://www.law.asu.edu/publichealthlaw/PublicHealthLaw/Resources.aspx</w:t>
        </w:r>
      </w:hyperlink>
      <w:r w:rsidRPr="006C2493">
        <w:rPr>
          <w:rFonts w:ascii="Calibri" w:eastAsia="Times New Roman" w:hAnsi="Calibri" w:cs="Calibri"/>
        </w:rPr>
        <w:t>. Find link in "Health Information Privacy" section toward bottom of webpage.</w:t>
      </w:r>
    </w:p>
    <w:p w14:paraId="75419EA4"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"Health Security: Public Health and Medical Integration for Fusion Centers." July 2011. </w:t>
      </w:r>
      <w:hyperlink r:id="rId53"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716FF847"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Hodge J, Fuse Brown E, O'Connell J. "The HIPAA Privacy Rule and Bioterrorism Planning, Prevention, and Response." </w:t>
      </w:r>
      <w:r w:rsidRPr="006C2493">
        <w:rPr>
          <w:rFonts w:ascii="Calibri" w:eastAsia="Times New Roman" w:hAnsi="Calibri" w:cs="Calibri"/>
          <w:i/>
          <w:iCs/>
          <w:bdr w:val="none" w:sz="0" w:space="0" w:color="auto" w:frame="1"/>
        </w:rPr>
        <w:t xml:space="preserve">Biosecurity and Bioterrorism: Biodefense Strategy, Practice, and </w:t>
      </w:r>
      <w:proofErr w:type="spellStart"/>
      <w:r w:rsidRPr="006C2493">
        <w:rPr>
          <w:rFonts w:ascii="Calibri" w:eastAsia="Times New Roman" w:hAnsi="Calibri" w:cs="Calibri"/>
          <w:i/>
          <w:iCs/>
          <w:bdr w:val="none" w:sz="0" w:space="0" w:color="auto" w:frame="1"/>
        </w:rPr>
        <w:t>Ccience</w:t>
      </w:r>
      <w:proofErr w:type="spellEnd"/>
      <w:r w:rsidRPr="006C2493">
        <w:rPr>
          <w:rFonts w:ascii="Calibri" w:eastAsia="Times New Roman" w:hAnsi="Calibri" w:cs="Calibri"/>
          <w:i/>
          <w:iCs/>
          <w:bdr w:val="none" w:sz="0" w:space="0" w:color="auto" w:frame="1"/>
        </w:rPr>
        <w:t>.</w:t>
      </w:r>
      <w:r w:rsidRPr="006C2493">
        <w:rPr>
          <w:rFonts w:ascii="Calibri" w:eastAsia="Times New Roman" w:hAnsi="Calibri" w:cs="Calibri"/>
        </w:rPr>
        <w:t> 2004. 2(2):73-80. Available at </w:t>
      </w:r>
      <w:hyperlink r:id="rId54" w:history="1">
        <w:r w:rsidRPr="006C2493">
          <w:rPr>
            <w:rFonts w:ascii="Calibri" w:eastAsia="Times New Roman" w:hAnsi="Calibri" w:cs="Calibri"/>
            <w:u w:val="single"/>
            <w:bdr w:val="none" w:sz="0" w:space="0" w:color="auto" w:frame="1"/>
          </w:rPr>
          <w:t>http://www.law.asu.edu/publichealthlaw/PublicHealthLaw/Resources.aspx</w:t>
        </w:r>
      </w:hyperlink>
      <w:r w:rsidRPr="006C2493">
        <w:rPr>
          <w:rFonts w:ascii="Calibri" w:eastAsia="Times New Roman" w:hAnsi="Calibri" w:cs="Calibri"/>
        </w:rPr>
        <w:t>. Find link in "Health Information Privacy" section toward bottom of webpage.</w:t>
      </w:r>
    </w:p>
    <w:p w14:paraId="6F94C1FD"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German M., Stanley J. "American Civil Liberties Union: Fusion Center Update." July 2008. Available at </w:t>
      </w:r>
      <w:hyperlink r:id="rId55" w:history="1">
        <w:r w:rsidRPr="006C2493">
          <w:rPr>
            <w:rFonts w:ascii="Calibri" w:eastAsia="Times New Roman" w:hAnsi="Calibri" w:cs="Calibri"/>
            <w:u w:val="single"/>
            <w:bdr w:val="none" w:sz="0" w:space="0" w:color="auto" w:frame="1"/>
          </w:rPr>
          <w:t>http://www.aclu.org/files/pdfs/privacy/fusion_update_20080729.pdf</w:t>
        </w:r>
      </w:hyperlink>
      <w:r w:rsidRPr="006C2493">
        <w:rPr>
          <w:rFonts w:ascii="Calibri" w:eastAsia="Times New Roman" w:hAnsi="Calibri" w:cs="Calibri"/>
        </w:rPr>
        <w:t>. Accessed June 29, 2012.</w:t>
      </w:r>
    </w:p>
    <w:p w14:paraId="38E2ED0A"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U.S. Department of Justice and U.S. Department of Homeland Security. "Fusion Center Guidelines: Developing and Sharing Information and Intelligence in a New Era." August 2006. Available </w:t>
      </w:r>
      <w:r w:rsidRPr="006C2493">
        <w:rPr>
          <w:rFonts w:ascii="Calibri" w:eastAsia="Times New Roman" w:hAnsi="Calibri" w:cs="Calibri"/>
        </w:rPr>
        <w:lastRenderedPageBreak/>
        <w:t>at </w:t>
      </w:r>
      <w:hyperlink r:id="rId56" w:history="1">
        <w:r w:rsidRPr="006C2493">
          <w:rPr>
            <w:rFonts w:ascii="Calibri" w:eastAsia="Times New Roman" w:hAnsi="Calibri" w:cs="Calibri"/>
            <w:u w:val="single"/>
            <w:bdr w:val="none" w:sz="0" w:space="0" w:color="auto" w:frame="1"/>
          </w:rPr>
          <w:t>http://www.it.ojp.gov/documents/fusion_center_guidelines_law_enforcement.pdf</w:t>
        </w:r>
      </w:hyperlink>
      <w:r w:rsidRPr="006C2493">
        <w:rPr>
          <w:rFonts w:ascii="Calibri" w:eastAsia="Times New Roman" w:hAnsi="Calibri" w:cs="Calibri"/>
        </w:rPr>
        <w:t>. Accessed June 29, 2012.</w:t>
      </w:r>
    </w:p>
    <w:p w14:paraId="74AC6249"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"Baseline Capabilities for State and Major Urban Area Fusion Centers. A Supplement to the Fusion Center Guidelines." September 2008. </w:t>
      </w:r>
      <w:hyperlink r:id="rId57"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14437991"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"Health Security: Public Health and Medical Integration for Fusion Centers." July 2011. </w:t>
      </w:r>
      <w:hyperlink r:id="rId58" w:tooltip="Available here" w:history="1">
        <w:r w:rsidRPr="006C2493">
          <w:rPr>
            <w:rFonts w:ascii="Calibri" w:eastAsia="Times New Roman" w:hAnsi="Calibri" w:cs="Calibri"/>
            <w:u w:val="single"/>
            <w:bdr w:val="none" w:sz="0" w:space="0" w:color="auto" w:frame="1"/>
          </w:rPr>
          <w:t>Available here</w:t>
        </w:r>
      </w:hyperlink>
      <w:r w:rsidRPr="006C2493">
        <w:rPr>
          <w:rFonts w:ascii="Calibri" w:eastAsia="Times New Roman" w:hAnsi="Calibri" w:cs="Calibri"/>
        </w:rPr>
        <w:t>. Accessed June 29, 2012.</w:t>
      </w:r>
    </w:p>
    <w:p w14:paraId="7B9B6AA4"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Homeland Security and U.S. Department of Justice. "Fusion Center Privacy Policy Development-Privacy Civil Rights, and Civil Liberties Policy Template" April 2010. Available at </w:t>
      </w:r>
      <w:hyperlink r:id="rId59" w:history="1">
        <w:r w:rsidRPr="006C2493">
          <w:rPr>
            <w:rFonts w:ascii="Calibri" w:eastAsia="Times New Roman" w:hAnsi="Calibri" w:cs="Calibri"/>
            <w:u w:val="single"/>
            <w:bdr w:val="none" w:sz="0" w:space="0" w:color="auto" w:frame="1"/>
          </w:rPr>
          <w:t>http://www.it.ojp.gov/docdownloader.aspx?ddid=1269</w:t>
        </w:r>
      </w:hyperlink>
      <w:r w:rsidRPr="006C2493">
        <w:rPr>
          <w:rFonts w:ascii="Calibri" w:eastAsia="Times New Roman" w:hAnsi="Calibri" w:cs="Calibri"/>
        </w:rPr>
        <w:t>. Accessed June 29, 2012.</w:t>
      </w:r>
    </w:p>
    <w:p w14:paraId="145713E9"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i/>
          <w:iCs/>
          <w:bdr w:val="none" w:sz="0" w:space="0" w:color="auto" w:frame="1"/>
        </w:rPr>
        <w:t>Schmerber</w:t>
      </w:r>
      <w:proofErr w:type="spellEnd"/>
      <w:r w:rsidRPr="006C2493">
        <w:rPr>
          <w:rFonts w:ascii="Calibri" w:eastAsia="Times New Roman" w:hAnsi="Calibri" w:cs="Calibri"/>
          <w:i/>
          <w:iCs/>
          <w:bdr w:val="none" w:sz="0" w:space="0" w:color="auto" w:frame="1"/>
        </w:rPr>
        <w:t xml:space="preserve"> v. California</w:t>
      </w:r>
      <w:r w:rsidRPr="006C2493">
        <w:rPr>
          <w:rFonts w:ascii="Calibri" w:eastAsia="Times New Roman" w:hAnsi="Calibri" w:cs="Calibri"/>
        </w:rPr>
        <w:t>, 384 U.S. 757 (1966).</w:t>
      </w:r>
    </w:p>
    <w:p w14:paraId="6BA38EB5"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i/>
          <w:iCs/>
          <w:bdr w:val="none" w:sz="0" w:space="0" w:color="auto" w:frame="1"/>
        </w:rPr>
        <w:t>Camara</w:t>
      </w:r>
      <w:proofErr w:type="spellEnd"/>
      <w:r w:rsidRPr="006C2493">
        <w:rPr>
          <w:rFonts w:ascii="Calibri" w:eastAsia="Times New Roman" w:hAnsi="Calibri" w:cs="Calibri"/>
          <w:i/>
          <w:iCs/>
          <w:bdr w:val="none" w:sz="0" w:space="0" w:color="auto" w:frame="1"/>
        </w:rPr>
        <w:t xml:space="preserve"> v. Municipal Court</w:t>
      </w:r>
      <w:r w:rsidRPr="006C2493">
        <w:rPr>
          <w:rFonts w:ascii="Calibri" w:eastAsia="Times New Roman" w:hAnsi="Calibri" w:cs="Calibri"/>
        </w:rPr>
        <w:t>, 387 U.S. 523 (1967) (search of residences); </w:t>
      </w:r>
      <w:r w:rsidRPr="006C2493">
        <w:rPr>
          <w:rFonts w:ascii="Calibri" w:eastAsia="Times New Roman" w:hAnsi="Calibri" w:cs="Calibri"/>
          <w:i/>
          <w:iCs/>
          <w:bdr w:val="none" w:sz="0" w:space="0" w:color="auto" w:frame="1"/>
        </w:rPr>
        <w:t>See v. City of Seattle</w:t>
      </w:r>
      <w:r w:rsidRPr="006C2493">
        <w:rPr>
          <w:rFonts w:ascii="Calibri" w:eastAsia="Times New Roman" w:hAnsi="Calibri" w:cs="Calibri"/>
        </w:rPr>
        <w:t>, 387 US 541 (1967) (search of commercial property).</w:t>
      </w:r>
    </w:p>
    <w:p w14:paraId="7CA6B760"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Goodman R, Hoffman R, Lopez W, et al (eds). </w:t>
      </w:r>
      <w:r w:rsidRPr="006C2493">
        <w:rPr>
          <w:rFonts w:ascii="Calibri" w:eastAsia="Times New Roman" w:hAnsi="Calibri" w:cs="Calibri"/>
          <w:i/>
          <w:iCs/>
          <w:bdr w:val="none" w:sz="0" w:space="0" w:color="auto" w:frame="1"/>
        </w:rPr>
        <w:t>Law in Public Health Practice</w:t>
      </w:r>
      <w:r w:rsidRPr="006C2493">
        <w:rPr>
          <w:rFonts w:ascii="Calibri" w:eastAsia="Times New Roman" w:hAnsi="Calibri" w:cs="Calibri"/>
        </w:rPr>
        <w:t xml:space="preserve">, 2d Ed. New York: Oxford University Press, </w:t>
      </w:r>
      <w:proofErr w:type="gramStart"/>
      <w:r w:rsidRPr="006C2493">
        <w:rPr>
          <w:rFonts w:ascii="Calibri" w:eastAsia="Times New Roman" w:hAnsi="Calibri" w:cs="Calibri"/>
        </w:rPr>
        <w:t>2006,p</w:t>
      </w:r>
      <w:proofErr w:type="gramEnd"/>
      <w:r w:rsidRPr="006C2493">
        <w:rPr>
          <w:rFonts w:ascii="Calibri" w:eastAsia="Times New Roman" w:hAnsi="Calibri" w:cs="Calibri"/>
        </w:rPr>
        <w:t xml:space="preserve"> 154. 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proofErr w:type="spellStart"/>
      <w:r w:rsidRPr="006C2493">
        <w:rPr>
          <w:rFonts w:ascii="Calibri" w:eastAsia="Times New Roman" w:hAnsi="Calibri" w:cs="Calibri"/>
          <w:i/>
          <w:iCs/>
          <w:bdr w:val="none" w:sz="0" w:space="0" w:color="auto" w:frame="1"/>
        </w:rPr>
        <w:t>Camara</w:t>
      </w:r>
      <w:proofErr w:type="spellEnd"/>
      <w:r w:rsidRPr="006C2493">
        <w:rPr>
          <w:rFonts w:ascii="Calibri" w:eastAsia="Times New Roman" w:hAnsi="Calibri" w:cs="Calibri"/>
          <w:i/>
          <w:iCs/>
          <w:bdr w:val="none" w:sz="0" w:space="0" w:color="auto" w:frame="1"/>
        </w:rPr>
        <w:t xml:space="preserve"> v. Municipal Court</w:t>
      </w:r>
      <w:r w:rsidRPr="006C2493">
        <w:rPr>
          <w:rFonts w:ascii="Calibri" w:eastAsia="Times New Roman" w:hAnsi="Calibri" w:cs="Calibri"/>
        </w:rPr>
        <w:t>, 387 US 523 (1967) (search of residences) and </w:t>
      </w:r>
      <w:r w:rsidRPr="006C2493">
        <w:rPr>
          <w:rFonts w:ascii="Calibri" w:eastAsia="Times New Roman" w:hAnsi="Calibri" w:cs="Calibri"/>
          <w:i/>
          <w:iCs/>
          <w:bdr w:val="none" w:sz="0" w:space="0" w:color="auto" w:frame="1"/>
        </w:rPr>
        <w:t>See v. City of Seattle</w:t>
      </w:r>
      <w:r w:rsidRPr="006C2493">
        <w:rPr>
          <w:rFonts w:ascii="Calibri" w:eastAsia="Times New Roman" w:hAnsi="Calibri" w:cs="Calibri"/>
        </w:rPr>
        <w:t>, 387 US 541 (1967) (search of commercial property).</w:t>
      </w:r>
    </w:p>
    <w:p w14:paraId="22D5E75F"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Richards, EP. "Collaboration Between Public Health and Law Enforcement: The Constitutional Challenge. </w:t>
      </w:r>
      <w:r w:rsidRPr="006C2493">
        <w:rPr>
          <w:rFonts w:ascii="Calibri" w:eastAsia="Times New Roman" w:hAnsi="Calibri" w:cs="Calibri"/>
          <w:i/>
          <w:iCs/>
          <w:bdr w:val="none" w:sz="0" w:space="0" w:color="auto" w:frame="1"/>
        </w:rPr>
        <w:t>Emerging Infectious Diseases</w:t>
      </w:r>
      <w:r w:rsidRPr="006C2493">
        <w:rPr>
          <w:rFonts w:ascii="Calibri" w:eastAsia="Times New Roman" w:hAnsi="Calibri" w:cs="Calibri"/>
        </w:rPr>
        <w:t>. 2002. 8(10):1157-1159. Available at </w:t>
      </w:r>
      <w:hyperlink r:id="rId60" w:history="1">
        <w:r w:rsidRPr="006C2493">
          <w:rPr>
            <w:rFonts w:ascii="Calibri" w:eastAsia="Times New Roman" w:hAnsi="Calibri" w:cs="Calibri"/>
            <w:u w:val="single"/>
            <w:bdr w:val="none" w:sz="0" w:space="0" w:color="auto" w:frame="1"/>
          </w:rPr>
          <w:t>http://wwwnc.cdc.gov/eid/article/8/10/02-0465_article.htm</w:t>
        </w:r>
      </w:hyperlink>
      <w:r w:rsidRPr="006C2493">
        <w:rPr>
          <w:rFonts w:ascii="Calibri" w:eastAsia="Times New Roman" w:hAnsi="Calibri" w:cs="Calibri"/>
        </w:rPr>
        <w:t>. Accessed Nov. 15, 2012.</w:t>
      </w:r>
    </w:p>
    <w:p w14:paraId="0319E6F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 xml:space="preserve">Florida v. </w:t>
      </w:r>
      <w:proofErr w:type="spellStart"/>
      <w:r w:rsidRPr="006C2493">
        <w:rPr>
          <w:rFonts w:ascii="Calibri" w:eastAsia="Times New Roman" w:hAnsi="Calibri" w:cs="Calibri"/>
          <w:i/>
          <w:iCs/>
          <w:bdr w:val="none" w:sz="0" w:space="0" w:color="auto" w:frame="1"/>
        </w:rPr>
        <w:t>Jimeno</w:t>
      </w:r>
      <w:proofErr w:type="spellEnd"/>
      <w:r w:rsidRPr="006C2493">
        <w:rPr>
          <w:rFonts w:ascii="Calibri" w:eastAsia="Times New Roman" w:hAnsi="Calibri" w:cs="Calibri"/>
        </w:rPr>
        <w:t>, 500 U.S. 248 (1991).</w:t>
      </w:r>
    </w:p>
    <w:p w14:paraId="13BED8E5"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New York v. Burger</w:t>
      </w:r>
      <w:r w:rsidRPr="006C2493">
        <w:rPr>
          <w:rFonts w:ascii="Calibri" w:eastAsia="Times New Roman" w:hAnsi="Calibri" w:cs="Calibri"/>
        </w:rPr>
        <w:t>, 482 US 691 (1987).</w:t>
      </w:r>
    </w:p>
    <w:p w14:paraId="1B937508"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New York v. Burger</w:t>
      </w:r>
      <w:r w:rsidRPr="006C2493">
        <w:rPr>
          <w:rFonts w:ascii="Calibri" w:eastAsia="Times New Roman" w:hAnsi="Calibri" w:cs="Calibri"/>
        </w:rPr>
        <w:t>, 482 U.S. 691 (1987) (expectation of privacy in commercial property). Available at </w:t>
      </w:r>
      <w:hyperlink r:id="rId61" w:history="1">
        <w:r w:rsidRPr="006C2493">
          <w:rPr>
            <w:rFonts w:ascii="Calibri" w:eastAsia="Times New Roman" w:hAnsi="Calibri" w:cs="Calibri"/>
            <w:u w:val="single"/>
            <w:bdr w:val="none" w:sz="0" w:space="0" w:color="auto" w:frame="1"/>
          </w:rPr>
          <w:t>http://supreme.justia.com/cases/federal/us/482/691/</w:t>
        </w:r>
      </w:hyperlink>
      <w:r w:rsidRPr="006C2493">
        <w:rPr>
          <w:rFonts w:ascii="Calibri" w:eastAsia="Times New Roman" w:hAnsi="Calibri" w:cs="Calibri"/>
        </w:rPr>
        <w:t xml:space="preserve">. Accessed </w:t>
      </w:r>
      <w:proofErr w:type="gramStart"/>
      <w:r w:rsidRPr="006C2493">
        <w:rPr>
          <w:rFonts w:ascii="Calibri" w:eastAsia="Times New Roman" w:hAnsi="Calibri" w:cs="Calibri"/>
        </w:rPr>
        <w:t>Nov,</w:t>
      </w:r>
      <w:proofErr w:type="gramEnd"/>
      <w:r w:rsidRPr="006C2493">
        <w:rPr>
          <w:rFonts w:ascii="Calibri" w:eastAsia="Times New Roman" w:hAnsi="Calibri" w:cs="Calibri"/>
        </w:rPr>
        <w:t xml:space="preserve"> 15, 2012. 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r w:rsidRPr="006C2493">
        <w:rPr>
          <w:rFonts w:ascii="Calibri" w:eastAsia="Times New Roman" w:hAnsi="Calibri" w:cs="Calibri"/>
          <w:i/>
          <w:iCs/>
          <w:bdr w:val="none" w:sz="0" w:space="0" w:color="auto" w:frame="1"/>
        </w:rPr>
        <w:t>City of Indianapolis, et al., v. Edmond</w:t>
      </w:r>
      <w:r w:rsidRPr="006C2493">
        <w:rPr>
          <w:rFonts w:ascii="Calibri" w:eastAsia="Times New Roman" w:hAnsi="Calibri" w:cs="Calibri"/>
        </w:rPr>
        <w:t>, 531 U.S. 32 (2000). Available at </w:t>
      </w:r>
      <w:hyperlink r:id="rId62" w:history="1">
        <w:r w:rsidRPr="006C2493">
          <w:rPr>
            <w:rFonts w:ascii="Calibri" w:eastAsia="Times New Roman" w:hAnsi="Calibri" w:cs="Calibri"/>
            <w:u w:val="single"/>
            <w:bdr w:val="none" w:sz="0" w:space="0" w:color="auto" w:frame="1"/>
          </w:rPr>
          <w:t>http://supreme.justia.com/cases/federal/us/531/32/case.html</w:t>
        </w:r>
      </w:hyperlink>
      <w:r w:rsidRPr="006C2493">
        <w:rPr>
          <w:rFonts w:ascii="Calibri" w:eastAsia="Times New Roman" w:hAnsi="Calibri" w:cs="Calibri"/>
        </w:rPr>
        <w:t>. Accessed Nov. 15, 2012.</w:t>
      </w:r>
    </w:p>
    <w:p w14:paraId="02FD61FE"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City of Indianapolis, et al., v. Edmond</w:t>
      </w:r>
      <w:r w:rsidRPr="006C2493">
        <w:rPr>
          <w:rFonts w:ascii="Calibri" w:eastAsia="Times New Roman" w:hAnsi="Calibri" w:cs="Calibri"/>
        </w:rPr>
        <w:t>, 531 U.S. 32 (2000). Available at </w:t>
      </w:r>
      <w:hyperlink r:id="rId63" w:history="1">
        <w:r w:rsidRPr="006C2493">
          <w:rPr>
            <w:rFonts w:ascii="Calibri" w:eastAsia="Times New Roman" w:hAnsi="Calibri" w:cs="Calibri"/>
            <w:u w:val="single"/>
            <w:bdr w:val="none" w:sz="0" w:space="0" w:color="auto" w:frame="1"/>
          </w:rPr>
          <w:t>http://supreme.justia.com/cases/federal/us/531/32/case.html</w:t>
        </w:r>
      </w:hyperlink>
      <w:r w:rsidRPr="006C2493">
        <w:rPr>
          <w:rFonts w:ascii="Calibri" w:eastAsia="Times New Roman" w:hAnsi="Calibri" w:cs="Calibri"/>
        </w:rPr>
        <w:t>. Accessed Nov.15, 2012.</w:t>
      </w:r>
    </w:p>
    <w:p w14:paraId="4DA4F596"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Michigan v. Tyler</w:t>
      </w:r>
      <w:r w:rsidRPr="006C2493">
        <w:rPr>
          <w:rFonts w:ascii="Calibri" w:eastAsia="Times New Roman" w:hAnsi="Calibri" w:cs="Calibri"/>
        </w:rPr>
        <w:t>, 436 U.S. 499 (1978).</w:t>
      </w:r>
    </w:p>
    <w:p w14:paraId="4C6E4AB1"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proofErr w:type="spellStart"/>
      <w:r w:rsidRPr="006C2493">
        <w:rPr>
          <w:rFonts w:ascii="Calibri" w:eastAsia="Times New Roman" w:hAnsi="Calibri" w:cs="Calibri"/>
        </w:rPr>
        <w:t>Gostin</w:t>
      </w:r>
      <w:proofErr w:type="spellEnd"/>
      <w:r w:rsidRPr="006C2493">
        <w:rPr>
          <w:rFonts w:ascii="Calibri" w:eastAsia="Times New Roman" w:hAnsi="Calibri" w:cs="Calibri"/>
        </w:rPr>
        <w:t xml:space="preserve"> </w:t>
      </w:r>
      <w:proofErr w:type="gramStart"/>
      <w:r w:rsidRPr="006C2493">
        <w:rPr>
          <w:rFonts w:ascii="Calibri" w:eastAsia="Times New Roman" w:hAnsi="Calibri" w:cs="Calibri"/>
        </w:rPr>
        <w:t>LO..</w:t>
      </w:r>
      <w:proofErr w:type="gramEnd"/>
      <w:r w:rsidRPr="006C2493">
        <w:rPr>
          <w:rFonts w:ascii="Calibri" w:eastAsia="Times New Roman" w:hAnsi="Calibri" w:cs="Calibri"/>
        </w:rPr>
        <w:t> </w:t>
      </w:r>
      <w:r w:rsidRPr="006C2493">
        <w:rPr>
          <w:rFonts w:ascii="Calibri" w:eastAsia="Times New Roman" w:hAnsi="Calibri" w:cs="Calibri"/>
          <w:i/>
          <w:iCs/>
          <w:bdr w:val="none" w:sz="0" w:space="0" w:color="auto" w:frame="1"/>
        </w:rPr>
        <w:t>Public Health Law: Power, Duty, Restraint</w:t>
      </w:r>
      <w:r w:rsidRPr="006C2493">
        <w:rPr>
          <w:rFonts w:ascii="Calibri" w:eastAsia="Times New Roman" w:hAnsi="Calibri" w:cs="Calibri"/>
        </w:rPr>
        <w:t>. Berkeley, CA: University of California Press, 2008, p. 468, 699-700. </w:t>
      </w:r>
      <w:r w:rsidRPr="006C2493">
        <w:rPr>
          <w:rFonts w:ascii="Calibri" w:eastAsia="Times New Roman" w:hAnsi="Calibri" w:cs="Calibri"/>
          <w:i/>
          <w:iCs/>
          <w:bdr w:val="none" w:sz="0" w:space="0" w:color="auto" w:frame="1"/>
        </w:rPr>
        <w:t>See</w:t>
      </w:r>
      <w:r w:rsidRPr="006C2493">
        <w:rPr>
          <w:rFonts w:ascii="Calibri" w:eastAsia="Times New Roman" w:hAnsi="Calibri" w:cs="Calibri"/>
        </w:rPr>
        <w:t> endnotes 57-58.</w:t>
      </w:r>
    </w:p>
    <w:p w14:paraId="3E3458E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Louisiana State University Law, Science &amp; Public Health Program. "Public Health Law Map - Beta 5.7, Privilege Against Self-Incrimination.". Available at </w:t>
      </w:r>
      <w:hyperlink r:id="rId64" w:history="1">
        <w:r w:rsidRPr="006C2493">
          <w:rPr>
            <w:rFonts w:ascii="Calibri" w:eastAsia="Times New Roman" w:hAnsi="Calibri" w:cs="Calibri"/>
            <w:u w:val="single"/>
            <w:bdr w:val="none" w:sz="0" w:space="0" w:color="auto" w:frame="1"/>
          </w:rPr>
          <w:t>http://biotech.law.lsu.edu/map/PrivilegeagainstSelf-Incrimination.html</w:t>
        </w:r>
      </w:hyperlink>
      <w:r w:rsidRPr="006C2493">
        <w:rPr>
          <w:rFonts w:ascii="Calibri" w:eastAsia="Times New Roman" w:hAnsi="Calibri" w:cs="Calibri"/>
        </w:rPr>
        <w:t>. Accessed Nov. 15, 2012.</w:t>
      </w:r>
    </w:p>
    <w:p w14:paraId="7944096F"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 xml:space="preserve">Goodman RA, Munson JW, </w:t>
      </w:r>
      <w:proofErr w:type="spellStart"/>
      <w:r w:rsidRPr="006C2493">
        <w:rPr>
          <w:rFonts w:ascii="Calibri" w:eastAsia="Times New Roman" w:hAnsi="Calibri" w:cs="Calibri"/>
        </w:rPr>
        <w:t>Dammer</w:t>
      </w:r>
      <w:proofErr w:type="spellEnd"/>
      <w:r w:rsidRPr="006C2493">
        <w:rPr>
          <w:rFonts w:ascii="Calibri" w:eastAsia="Times New Roman" w:hAnsi="Calibri" w:cs="Calibri"/>
        </w:rPr>
        <w:t xml:space="preserve"> K, </w:t>
      </w:r>
      <w:proofErr w:type="spellStart"/>
      <w:r w:rsidRPr="006C2493">
        <w:rPr>
          <w:rFonts w:ascii="Calibri" w:eastAsia="Times New Roman" w:hAnsi="Calibri" w:cs="Calibri"/>
        </w:rPr>
        <w:t>Lazzarini</w:t>
      </w:r>
      <w:proofErr w:type="spellEnd"/>
      <w:r w:rsidRPr="006C2493">
        <w:rPr>
          <w:rFonts w:ascii="Calibri" w:eastAsia="Times New Roman" w:hAnsi="Calibri" w:cs="Calibri"/>
        </w:rPr>
        <w:t xml:space="preserve"> Z, </w:t>
      </w:r>
      <w:proofErr w:type="spellStart"/>
      <w:r w:rsidRPr="006C2493">
        <w:rPr>
          <w:rFonts w:ascii="Calibri" w:eastAsia="Times New Roman" w:hAnsi="Calibri" w:cs="Calibri"/>
        </w:rPr>
        <w:t>Barkely</w:t>
      </w:r>
      <w:proofErr w:type="spellEnd"/>
      <w:r w:rsidRPr="006C2493">
        <w:rPr>
          <w:rFonts w:ascii="Calibri" w:eastAsia="Times New Roman" w:hAnsi="Calibri" w:cs="Calibri"/>
        </w:rPr>
        <w:t xml:space="preserve"> JP. "Forensic Epidemiology: Law at the Intersection of Public Health and Criminal Investigations." </w:t>
      </w:r>
      <w:r w:rsidRPr="006C2493">
        <w:rPr>
          <w:rFonts w:ascii="Calibri" w:eastAsia="Times New Roman" w:hAnsi="Calibri" w:cs="Calibri"/>
          <w:i/>
          <w:iCs/>
          <w:bdr w:val="none" w:sz="0" w:space="0" w:color="auto" w:frame="1"/>
        </w:rPr>
        <w:t>Journal of the American Society of Law, Medicine &amp; Ethics</w:t>
      </w:r>
      <w:r w:rsidRPr="006C2493">
        <w:rPr>
          <w:rFonts w:ascii="Calibri" w:eastAsia="Times New Roman" w:hAnsi="Calibri" w:cs="Calibri"/>
        </w:rPr>
        <w:t>. 2003. 31(4):684-700.</w:t>
      </w:r>
    </w:p>
    <w:p w14:paraId="422ACDE7"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 xml:space="preserve">Oregon v. </w:t>
      </w:r>
      <w:proofErr w:type="spellStart"/>
      <w:r w:rsidRPr="006C2493">
        <w:rPr>
          <w:rFonts w:ascii="Calibri" w:eastAsia="Times New Roman" w:hAnsi="Calibri" w:cs="Calibri"/>
          <w:i/>
          <w:iCs/>
          <w:bdr w:val="none" w:sz="0" w:space="0" w:color="auto" w:frame="1"/>
        </w:rPr>
        <w:t>Elstad</w:t>
      </w:r>
      <w:proofErr w:type="spellEnd"/>
      <w:r w:rsidRPr="006C2493">
        <w:rPr>
          <w:rFonts w:ascii="Calibri" w:eastAsia="Times New Roman" w:hAnsi="Calibri" w:cs="Calibri"/>
        </w:rPr>
        <w:t>, 470 U.S. 298, 309 (1985).</w:t>
      </w:r>
    </w:p>
    <w:p w14:paraId="7F29E404"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i/>
          <w:iCs/>
          <w:bdr w:val="none" w:sz="0" w:space="0" w:color="auto" w:frame="1"/>
        </w:rPr>
        <w:t>New York v. Quarles</w:t>
      </w:r>
      <w:r w:rsidRPr="006C2493">
        <w:rPr>
          <w:rFonts w:ascii="Calibri" w:eastAsia="Times New Roman" w:hAnsi="Calibri" w:cs="Calibri"/>
        </w:rPr>
        <w:t>, 467 U.S. 649, 104 S. Ct. 2626, 81 L. Ed. 2d 550 (</w:t>
      </w:r>
      <w:r w:rsidRPr="006C2493">
        <w:rPr>
          <w:rFonts w:ascii="Calibri" w:eastAsia="Times New Roman" w:hAnsi="Calibri" w:cs="Calibri"/>
          <w:i/>
          <w:iCs/>
          <w:bdr w:val="none" w:sz="0" w:space="0" w:color="auto" w:frame="1"/>
        </w:rPr>
        <w:t>1984</w:t>
      </w:r>
      <w:r w:rsidRPr="006C2493">
        <w:rPr>
          <w:rFonts w:ascii="Calibri" w:eastAsia="Times New Roman" w:hAnsi="Calibri" w:cs="Calibri"/>
        </w:rPr>
        <w:t>).</w:t>
      </w:r>
    </w:p>
    <w:p w14:paraId="051D6A2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USA Patriot Act (P.L. 107-56).</w:t>
      </w:r>
    </w:p>
    <w:p w14:paraId="547D7DC8"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The National Security Act of 1947, as amended; The Intelligence Reform and Terrorism Prevention Act of 2004 (IRTPA), as amended; Presidential Memorandum dated April 10, 2007 (Assignment of Functions Relating to the Information Sharing Environment); Presidential Memorandum dated December 16, 2005 (Guidelines and Requirements in Support of the Information Sharing Environment); DNI memorandum dated May 2, 2007 (Program Manager's Responsibilities); Executive Order 13388; and other applicable provisions of law.</w:t>
      </w:r>
    </w:p>
    <w:p w14:paraId="6D4F3CE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Parts 160, 164.</w:t>
      </w:r>
    </w:p>
    <w:p w14:paraId="13E0E65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42 U.S.C. § 300gg et seq.</w:t>
      </w:r>
    </w:p>
    <w:p w14:paraId="35F1E296"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160.103, definition of </w:t>
      </w:r>
      <w:r w:rsidRPr="006C2493">
        <w:rPr>
          <w:rFonts w:ascii="Calibri" w:eastAsia="Times New Roman" w:hAnsi="Calibri" w:cs="Calibri"/>
          <w:i/>
          <w:iCs/>
          <w:bdr w:val="none" w:sz="0" w:space="0" w:color="auto" w:frame="1"/>
        </w:rPr>
        <w:t>protected health information</w:t>
      </w:r>
      <w:r w:rsidRPr="006C2493">
        <w:rPr>
          <w:rFonts w:ascii="Calibri" w:eastAsia="Times New Roman" w:hAnsi="Calibri" w:cs="Calibri"/>
        </w:rPr>
        <w:t>; U.S. Department of Health and Human Services. "Summary of the HIPAA Privacy Rule." May 2003. Available at </w:t>
      </w:r>
      <w:hyperlink r:id="rId65" w:history="1">
        <w:r w:rsidRPr="006C2493">
          <w:rPr>
            <w:rFonts w:ascii="Calibri" w:eastAsia="Times New Roman" w:hAnsi="Calibri" w:cs="Calibri"/>
            <w:u w:val="single"/>
            <w:bdr w:val="none" w:sz="0" w:space="0" w:color="auto" w:frame="1"/>
          </w:rPr>
          <w:t>http://www.hhs.gov/ocr/privacy/hipaa/understanding/summary/privacysummary.pdf</w:t>
        </w:r>
      </w:hyperlink>
      <w:r w:rsidRPr="006C2493">
        <w:rPr>
          <w:rFonts w:ascii="Calibri" w:eastAsia="Times New Roman" w:hAnsi="Calibri" w:cs="Calibri"/>
        </w:rPr>
        <w:t>. Accessed June 29, 2012.</w:t>
      </w:r>
    </w:p>
    <w:p w14:paraId="1B8E70CE"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164.514(a).</w:t>
      </w:r>
    </w:p>
    <w:p w14:paraId="428A6048"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164.514(b)(1).</w:t>
      </w:r>
    </w:p>
    <w:p w14:paraId="519C9501"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164.514(b)(2).</w:t>
      </w:r>
    </w:p>
    <w:p w14:paraId="7F0D21F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U.S. Department of Health and Human Services. "HHS FAQs: When does the Privacy Rule allow covered entities to disclose protected health information to law enforcement officials?" Available at </w:t>
      </w:r>
      <w:hyperlink r:id="rId66" w:history="1">
        <w:r w:rsidRPr="006C2493">
          <w:rPr>
            <w:rFonts w:ascii="Calibri" w:eastAsia="Times New Roman" w:hAnsi="Calibri" w:cs="Calibri"/>
            <w:u w:val="single"/>
            <w:bdr w:val="none" w:sz="0" w:space="0" w:color="auto" w:frame="1"/>
          </w:rPr>
          <w:t>http://www.hhs.gov/ocr/privacy/hipaa/faq/disclosures_for_law_enforcement_purposes/505.html</w:t>
        </w:r>
      </w:hyperlink>
      <w:r w:rsidRPr="006C2493">
        <w:rPr>
          <w:rFonts w:ascii="Calibri" w:eastAsia="Times New Roman" w:hAnsi="Calibri" w:cs="Calibri"/>
        </w:rPr>
        <w:t>. Accessed Nov. 30, 2012; Moore, J. "Disclosing Protected Health Information (PHI) to Law Enforcement: Guidelines for N.C. Local Health Department." Available at </w:t>
      </w:r>
      <w:hyperlink r:id="rId67" w:history="1">
        <w:r w:rsidRPr="006C2493">
          <w:rPr>
            <w:rFonts w:ascii="Calibri" w:eastAsia="Times New Roman" w:hAnsi="Calibri" w:cs="Calibri"/>
            <w:u w:val="single"/>
            <w:bdr w:val="none" w:sz="0" w:space="0" w:color="auto" w:frame="1"/>
          </w:rPr>
          <w:t>http://www.sog.unc.edu/sites/www.sog.unc.edu/files/LE-Mar%202011.pdf</w:t>
        </w:r>
      </w:hyperlink>
      <w:r w:rsidRPr="006C2493">
        <w:rPr>
          <w:rFonts w:ascii="Calibri" w:eastAsia="Times New Roman" w:hAnsi="Calibri" w:cs="Calibri"/>
        </w:rPr>
        <w:t>. Accessed Nov. 30, 2012.</w:t>
      </w:r>
    </w:p>
    <w:p w14:paraId="35DC5845"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164.512(f)(1)(</w:t>
      </w:r>
      <w:proofErr w:type="spellStart"/>
      <w:r w:rsidRPr="006C2493">
        <w:rPr>
          <w:rFonts w:ascii="Calibri" w:eastAsia="Times New Roman" w:hAnsi="Calibri" w:cs="Calibri"/>
        </w:rPr>
        <w:t>i</w:t>
      </w:r>
      <w:proofErr w:type="spellEnd"/>
      <w:r w:rsidRPr="006C2493">
        <w:rPr>
          <w:rFonts w:ascii="Calibri" w:eastAsia="Times New Roman" w:hAnsi="Calibri" w:cs="Calibri"/>
        </w:rPr>
        <w:t>).</w:t>
      </w:r>
    </w:p>
    <w:p w14:paraId="6133259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lastRenderedPageBreak/>
        <w:t>45 C.F.R. § 164.512(f)(1)(ii)(A)-(B).</w:t>
      </w:r>
    </w:p>
    <w:p w14:paraId="0236A3A6"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164.512(f)(1)(ii)(C).</w:t>
      </w:r>
    </w:p>
    <w:p w14:paraId="0530BFD8"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164.512(f)(2).</w:t>
      </w:r>
    </w:p>
    <w:p w14:paraId="3A3C7F36"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164.502(j)(2).</w:t>
      </w:r>
    </w:p>
    <w:p w14:paraId="3DE91EDD"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164.512(f)(3).</w:t>
      </w:r>
    </w:p>
    <w:p w14:paraId="3351D030"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164.512(f)(4).</w:t>
      </w:r>
    </w:p>
    <w:p w14:paraId="64AC9B59"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164.512(f)(5).</w:t>
      </w:r>
    </w:p>
    <w:p w14:paraId="4CD0A456"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164.512(f)(6).</w:t>
      </w:r>
    </w:p>
    <w:p w14:paraId="7B3D4C82"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Disclosure of PHI regarding adult abuse, neglect, or domestic violence, must meet criteria set out in another exception, 45 C.F.R. § 164.512(c).</w:t>
      </w:r>
    </w:p>
    <w:p w14:paraId="79AD0C30"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164.512(g)(1).</w:t>
      </w:r>
    </w:p>
    <w:p w14:paraId="7EB97C1A"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164.512(j)(1)(</w:t>
      </w:r>
      <w:proofErr w:type="spellStart"/>
      <w:r w:rsidRPr="006C2493">
        <w:rPr>
          <w:rFonts w:ascii="Calibri" w:eastAsia="Times New Roman" w:hAnsi="Calibri" w:cs="Calibri"/>
        </w:rPr>
        <w:t>i</w:t>
      </w:r>
      <w:proofErr w:type="spellEnd"/>
      <w:r w:rsidRPr="006C2493">
        <w:rPr>
          <w:rFonts w:ascii="Calibri" w:eastAsia="Times New Roman" w:hAnsi="Calibri" w:cs="Calibri"/>
        </w:rPr>
        <w:t>). </w:t>
      </w:r>
      <w:r w:rsidRPr="006C2493">
        <w:rPr>
          <w:rFonts w:ascii="Calibri" w:eastAsia="Times New Roman" w:hAnsi="Calibri" w:cs="Calibri"/>
          <w:i/>
          <w:iCs/>
          <w:bdr w:val="none" w:sz="0" w:space="0" w:color="auto" w:frame="1"/>
        </w:rPr>
        <w:t>See also</w:t>
      </w:r>
      <w:r w:rsidRPr="006C2493">
        <w:rPr>
          <w:rFonts w:ascii="Calibri" w:eastAsia="Times New Roman" w:hAnsi="Calibri" w:cs="Calibri"/>
        </w:rPr>
        <w:t> </w:t>
      </w:r>
      <w:hyperlink r:id="rId68" w:history="1">
        <w:r w:rsidRPr="006C2493">
          <w:rPr>
            <w:rFonts w:ascii="Calibri" w:eastAsia="Times New Roman" w:hAnsi="Calibri" w:cs="Calibri"/>
            <w:u w:val="single"/>
            <w:bdr w:val="none" w:sz="0" w:space="0" w:color="auto" w:frame="1"/>
          </w:rPr>
          <w:t>http://ise.gov/background-and-authorities</w:t>
        </w:r>
      </w:hyperlink>
      <w:r w:rsidRPr="006C2493">
        <w:rPr>
          <w:rFonts w:ascii="Calibri" w:eastAsia="Times New Roman" w:hAnsi="Calibri" w:cs="Calibri"/>
        </w:rPr>
        <w:t>.</w:t>
      </w:r>
    </w:p>
    <w:p w14:paraId="2CDAFC97"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164.512(j)(1)(ii)(A), (j)(2)-(3).</w:t>
      </w:r>
    </w:p>
    <w:p w14:paraId="6818EC2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164.512(j)(1)(ii)(B).</w:t>
      </w:r>
    </w:p>
    <w:p w14:paraId="1F291A1F"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164.512(k)(2); 45 CFR 164.512(k)(3).</w:t>
      </w:r>
    </w:p>
    <w:p w14:paraId="06DBCB57"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164.512(k)(5)</w:t>
      </w:r>
    </w:p>
    <w:p w14:paraId="3914854C"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164.502(b), 164.514(d).</w:t>
      </w:r>
    </w:p>
    <w:p w14:paraId="634A9364"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164.514(d)(3)(iii)(A).</w:t>
      </w:r>
    </w:p>
    <w:p w14:paraId="3F055AEA"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45 C.F.R. § 164.514(h).</w:t>
      </w:r>
    </w:p>
    <w:p w14:paraId="4B7D98F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CDC and Bureau of Justice Assistance. "A Framework for Improving Cross-Sector Coordination for Emergency Preparedness and Response, Action Steps for Public Health, Law Enforcement, the Judiciary, and Corrections." July 2008. Available at </w:t>
      </w:r>
      <w:hyperlink r:id="rId69" w:history="1">
        <w:r w:rsidRPr="006C2493">
          <w:rPr>
            <w:rFonts w:ascii="Calibri" w:eastAsia="Times New Roman" w:hAnsi="Calibri" w:cs="Calibri"/>
            <w:u w:val="single"/>
            <w:bdr w:val="none" w:sz="0" w:space="0" w:color="auto" w:frame="1"/>
          </w:rPr>
          <w:t>http://cdc.gov/phlp/docs/CDC_BJA_Framework.pdf</w:t>
        </w:r>
      </w:hyperlink>
      <w:r w:rsidRPr="006C2493">
        <w:rPr>
          <w:rFonts w:ascii="Calibri" w:eastAsia="Times New Roman" w:hAnsi="Calibri" w:cs="Calibri"/>
        </w:rPr>
        <w:t>. Accessed June 29, 2012.</w:t>
      </w:r>
    </w:p>
    <w:p w14:paraId="2C61893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N.C. Gen. Stat. § 130A-143; N.C. Gen. Stat. § 130A-476.</w:t>
      </w:r>
    </w:p>
    <w:p w14:paraId="34DA65F0"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20 I.L.C.S. 2305/2.1.</w:t>
      </w:r>
    </w:p>
    <w:p w14:paraId="3985894C"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M.C.L.§ 333.5111(3); R 325.181.</w:t>
      </w:r>
    </w:p>
    <w:p w14:paraId="52F0EBAB"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Tx Health &amp; S. §81.046.</w:t>
      </w:r>
    </w:p>
    <w:p w14:paraId="7F8DEEC3" w14:textId="77777777" w:rsidR="00F44300" w:rsidRPr="006C2493" w:rsidRDefault="00F44300" w:rsidP="00F44300">
      <w:pPr>
        <w:numPr>
          <w:ilvl w:val="0"/>
          <w:numId w:val="20"/>
        </w:numPr>
        <w:spacing w:line="360" w:lineRule="auto"/>
        <w:ind w:left="450"/>
        <w:textAlignment w:val="baseline"/>
        <w:rPr>
          <w:rFonts w:ascii="Calibri" w:eastAsia="Times New Roman" w:hAnsi="Calibri" w:cs="Calibri"/>
        </w:rPr>
      </w:pPr>
      <w:r w:rsidRPr="006C2493">
        <w:rPr>
          <w:rFonts w:ascii="Calibri" w:eastAsia="Times New Roman" w:hAnsi="Calibri" w:cs="Calibri"/>
        </w:rPr>
        <w:t>R.R.S. Neb. § 71-503.01.</w:t>
      </w:r>
    </w:p>
    <w:p w14:paraId="030DA169" w14:textId="77777777" w:rsidR="00F44300" w:rsidRDefault="00F44300" w:rsidP="00764111">
      <w:pPr>
        <w:spacing w:line="360" w:lineRule="auto"/>
        <w:rPr>
          <w:rFonts w:ascii="Calibri" w:hAnsi="Calibri" w:cs="Calibri"/>
        </w:rPr>
      </w:pPr>
    </w:p>
    <w:p w14:paraId="4B0E9D2A" w14:textId="77777777" w:rsidR="0022105D" w:rsidRPr="00F93EAF" w:rsidRDefault="0022105D" w:rsidP="0022105D">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[TOC</w:t>
        </w:r>
        <w:r w:rsidRPr="00F93EAF">
          <w:rPr>
            <w:rStyle w:val="Heading2Char"/>
            <w:rFonts w:asciiTheme="minorHAnsi" w:eastAsiaTheme="minorHAnsi" w:hAnsiTheme="minorHAnsi" w:cstheme="minorHAnsi"/>
            <w:color w:val="0070C0"/>
            <w:sz w:val="24"/>
          </w:rPr>
          <w:t xml:space="preserve"> </w:t>
        </w:r>
        <w:r w:rsidRPr="00F93EAF">
          <w:rPr>
            <w:rStyle w:val="Heading2Char"/>
            <w:rFonts w:asciiTheme="minorHAnsi" w:eastAsiaTheme="minorHAnsi" w:hAnsiTheme="minorHAnsi" w:cstheme="minorHAnsi"/>
            <w:color w:val="0070C0"/>
            <w:sz w:val="24"/>
          </w:rPr>
          <w:t>Top]</w:t>
        </w:r>
      </w:hyperlink>
    </w:p>
    <w:p w14:paraId="0E554E3E" w14:textId="73096903" w:rsidR="004505F9" w:rsidRDefault="004505F9" w:rsidP="00764111">
      <w:pPr>
        <w:spacing w:line="360" w:lineRule="auto"/>
        <w:rPr>
          <w:rFonts w:ascii="Calibri" w:hAnsi="Calibri" w:cs="Calibri"/>
        </w:rPr>
      </w:pPr>
    </w:p>
    <w:p w14:paraId="3719425D" w14:textId="5F13CA5B" w:rsidR="004505F9" w:rsidRDefault="004505F9">
      <w:pPr>
        <w:rPr>
          <w:rFonts w:ascii="Calibri" w:hAnsi="Calibri" w:cs="Calibri"/>
        </w:rPr>
      </w:pPr>
      <w:r>
        <w:rPr>
          <w:rFonts w:ascii="Calibri" w:hAnsi="Calibri" w:cs="Calibri"/>
        </w:rPr>
        <w:br w:type="page"/>
      </w:r>
    </w:p>
    <w:p w14:paraId="7E9141C1" w14:textId="77777777" w:rsidR="00F44300" w:rsidRPr="00A65A91" w:rsidRDefault="00F44300" w:rsidP="00A5445A">
      <w:pPr>
        <w:spacing w:after="120"/>
        <w:rPr>
          <w:rFonts w:ascii="Calibri" w:eastAsia="Times New Roman" w:hAnsi="Calibri" w:cs="Calibri"/>
          <w:b/>
          <w:bCs/>
          <w:color w:val="333333"/>
          <w:spacing w:val="15"/>
          <w:kern w:val="36"/>
          <w:sz w:val="28"/>
          <w:szCs w:val="28"/>
        </w:rPr>
      </w:pPr>
      <w:bookmarkStart w:id="6" w:name="PH_Employer_IB"/>
      <w:r w:rsidRPr="00A65A91">
        <w:rPr>
          <w:rFonts w:ascii="Calibri" w:eastAsia="Times New Roman" w:hAnsi="Calibri" w:cs="Calibri"/>
          <w:b/>
          <w:bCs/>
          <w:color w:val="333333"/>
          <w:spacing w:val="15"/>
          <w:kern w:val="36"/>
          <w:sz w:val="28"/>
          <w:szCs w:val="28"/>
        </w:rPr>
        <w:lastRenderedPageBreak/>
        <w:t>Public Health Agencies as Employers: Obtaining and Using Employee Health Information for Preparedness Planning and Response</w:t>
      </w:r>
      <w:bookmarkEnd w:id="6"/>
    </w:p>
    <w:p w14:paraId="25948964" w14:textId="77777777" w:rsidR="00F44300" w:rsidRPr="00A65A91" w:rsidRDefault="00F44300" w:rsidP="00A5445A">
      <w:pPr>
        <w:spacing w:line="360" w:lineRule="auto"/>
        <w:rPr>
          <w:rFonts w:ascii="Calibri" w:eastAsia="Times New Roman" w:hAnsi="Calibri" w:cs="Calibri"/>
          <w:b/>
          <w:bCs/>
          <w:color w:val="3C3030"/>
          <w:sz w:val="24"/>
          <w:szCs w:val="24"/>
        </w:rPr>
      </w:pPr>
      <w:r w:rsidRPr="00A65A91">
        <w:rPr>
          <w:rFonts w:ascii="Calibri" w:eastAsia="Times New Roman" w:hAnsi="Calibri" w:cs="Calibri"/>
          <w:b/>
          <w:bCs/>
          <w:color w:val="3C3030"/>
          <w:sz w:val="24"/>
          <w:szCs w:val="24"/>
        </w:rPr>
        <w:t>Issue Brief</w:t>
      </w:r>
    </w:p>
    <w:p w14:paraId="4E6799F8" w14:textId="77777777" w:rsidR="00F44300" w:rsidRPr="00BD30AD" w:rsidRDefault="00F44300" w:rsidP="00A5445A">
      <w:pPr>
        <w:spacing w:line="360" w:lineRule="auto"/>
        <w:rPr>
          <w:rFonts w:ascii="Calibri" w:eastAsia="Times New Roman" w:hAnsi="Calibri" w:cs="Calibri"/>
          <w:b/>
          <w:bCs/>
        </w:rPr>
      </w:pPr>
    </w:p>
    <w:p w14:paraId="778A945C" w14:textId="77777777" w:rsidR="00F44300" w:rsidRPr="00A65A91" w:rsidRDefault="00F44300" w:rsidP="00A5445A">
      <w:pPr>
        <w:spacing w:line="360" w:lineRule="auto"/>
        <w:rPr>
          <w:rFonts w:ascii="Calibri" w:eastAsia="Times New Roman" w:hAnsi="Calibri" w:cs="Calibri"/>
          <w:b/>
          <w:bCs/>
        </w:rPr>
      </w:pPr>
      <w:r w:rsidRPr="00A65A91">
        <w:rPr>
          <w:rFonts w:ascii="Calibri" w:eastAsia="Times New Roman" w:hAnsi="Calibri" w:cs="Calibri"/>
          <w:b/>
          <w:bCs/>
        </w:rPr>
        <w:t>Introduction</w:t>
      </w:r>
    </w:p>
    <w:p w14:paraId="1A6A8263" w14:textId="77777777" w:rsidR="00F44300" w:rsidRPr="00BD30AD"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 xml:space="preserve">Public health agencies have a unique challenge when it comes to the collection, use, disclosure, and protection of employee health information. Public health agencies serve many roles, including employer, healthcare provider, and public health authority. These roles might create tension </w:t>
      </w:r>
      <w:proofErr w:type="gramStart"/>
      <w:r w:rsidRPr="00A65A91">
        <w:rPr>
          <w:rFonts w:ascii="Calibri" w:eastAsia="Times New Roman" w:hAnsi="Calibri" w:cs="Calibri"/>
        </w:rPr>
        <w:t>with regard to</w:t>
      </w:r>
      <w:proofErr w:type="gramEnd"/>
      <w:r w:rsidRPr="00A65A91">
        <w:rPr>
          <w:rFonts w:ascii="Calibri" w:eastAsia="Times New Roman" w:hAnsi="Calibri" w:cs="Calibri"/>
        </w:rPr>
        <w:t xml:space="preserve"> employee health information, especially during a public health emergency. Public health agencies-like other employers-must ensure the safety and health of their workforce and continuity of operations in the event of an emergency. Consequently, CDC and the Occupational Safety and Health Administration (OSHA) have published guidance and tools to help employers prepare for emergencies, such as pandemic influenza.</w:t>
      </w:r>
      <w:r w:rsidRPr="00A65A91">
        <w:rPr>
          <w:rFonts w:ascii="Calibri" w:eastAsia="Times New Roman" w:hAnsi="Calibri" w:cs="Calibri"/>
          <w:bdr w:val="none" w:sz="0" w:space="0" w:color="auto" w:frame="1"/>
          <w:vertAlign w:val="superscript"/>
        </w:rPr>
        <w:t>1</w:t>
      </w:r>
      <w:r w:rsidRPr="00A65A91">
        <w:rPr>
          <w:rFonts w:ascii="Calibri" w:eastAsia="Times New Roman" w:hAnsi="Calibri" w:cs="Calibri"/>
        </w:rPr>
        <w:t> Additionally, the U.S. Department of Labor Office of Disability Employment Policy provides resources to help employers and employees prepare the workplace for everyone, accounting for the needs of people with disabilities during a workplace emergency.</w:t>
      </w:r>
      <w:r w:rsidRPr="00A65A91">
        <w:rPr>
          <w:rFonts w:ascii="Calibri" w:eastAsia="Times New Roman" w:hAnsi="Calibri" w:cs="Calibri"/>
          <w:bdr w:val="none" w:sz="0" w:space="0" w:color="auto" w:frame="1"/>
          <w:vertAlign w:val="superscript"/>
        </w:rPr>
        <w:t>2</w:t>
      </w:r>
    </w:p>
    <w:p w14:paraId="0318D846"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6B2DB3C5" w14:textId="77777777" w:rsidR="00F44300" w:rsidRPr="00BD30AD"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 xml:space="preserve">Collection and use of information </w:t>
      </w:r>
      <w:proofErr w:type="gramStart"/>
      <w:r w:rsidRPr="00A65A91">
        <w:rPr>
          <w:rFonts w:ascii="Calibri" w:eastAsia="Times New Roman" w:hAnsi="Calibri" w:cs="Calibri"/>
        </w:rPr>
        <w:t>is</w:t>
      </w:r>
      <w:proofErr w:type="gramEnd"/>
      <w:r w:rsidRPr="00A65A91">
        <w:rPr>
          <w:rFonts w:ascii="Calibri" w:eastAsia="Times New Roman" w:hAnsi="Calibri" w:cs="Calibri"/>
        </w:rPr>
        <w:t xml:space="preserve"> an important part of emergency preparation. However, when employers seek or obtain information about employees' health or illness, they must use care to ensure that their actions are consistent with laws that protect employees from discrimination based on disability. </w:t>
      </w:r>
      <w:proofErr w:type="gramStart"/>
      <w:r w:rsidRPr="00A65A91">
        <w:rPr>
          <w:rFonts w:ascii="Calibri" w:eastAsia="Times New Roman" w:hAnsi="Calibri" w:cs="Calibri"/>
        </w:rPr>
        <w:t>In particular, state</w:t>
      </w:r>
      <w:proofErr w:type="gramEnd"/>
      <w:r w:rsidRPr="00A65A91">
        <w:rPr>
          <w:rFonts w:ascii="Calibri" w:eastAsia="Times New Roman" w:hAnsi="Calibri" w:cs="Calibri"/>
        </w:rPr>
        <w:t xml:space="preserve"> and local public health agencies must understand information practices that are limited by the Americans with Disabilities Act of 1990 (ADA) and other federal or state laws that protect employees' health information. This issue brief discusses the legal framework for information collection and sharing within the workplace for public health emergency planning and response, with a specific focus on ADA. </w:t>
      </w:r>
    </w:p>
    <w:p w14:paraId="53566B34"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355B842E" w14:textId="77777777" w:rsidR="00F44300" w:rsidRPr="00A65A91" w:rsidRDefault="00F44300" w:rsidP="00A5445A">
      <w:pPr>
        <w:spacing w:line="360" w:lineRule="auto"/>
        <w:rPr>
          <w:rFonts w:ascii="Calibri" w:eastAsia="Times New Roman" w:hAnsi="Calibri" w:cs="Calibri"/>
          <w:b/>
          <w:bCs/>
        </w:rPr>
      </w:pPr>
      <w:r w:rsidRPr="00A65A91">
        <w:rPr>
          <w:rFonts w:ascii="Calibri" w:eastAsia="Times New Roman" w:hAnsi="Calibri" w:cs="Calibri"/>
          <w:b/>
          <w:bCs/>
        </w:rPr>
        <w:t>I. Laws affecting the collection, use, and disclosure of employee health information</w:t>
      </w:r>
    </w:p>
    <w:p w14:paraId="12EAADD5" w14:textId="77777777" w:rsidR="00F44300"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There are numerous reasons why an employer might collect, use, or share employee health information, including administering leave under the Family and Medical Leave Act</w:t>
      </w:r>
      <w:r w:rsidRPr="00A65A91">
        <w:rPr>
          <w:rFonts w:ascii="Calibri" w:eastAsia="Times New Roman" w:hAnsi="Calibri" w:cs="Calibri"/>
          <w:bdr w:val="none" w:sz="0" w:space="0" w:color="auto" w:frame="1"/>
          <w:vertAlign w:val="superscript"/>
        </w:rPr>
        <w:t>3</w:t>
      </w:r>
      <w:r w:rsidRPr="00A65A91">
        <w:rPr>
          <w:rFonts w:ascii="Calibri" w:eastAsia="Times New Roman" w:hAnsi="Calibri" w:cs="Calibri"/>
        </w:rPr>
        <w:t xml:space="preserve"> or complying with provisions of occupational safety and health laws. To ensure an adequate workforce to provide essential services during an emergency, public health agencies may want to monitor their employees' health. A successful response to a public health emergency depends on available workers to manage the emergency and maintain vital services to the community. Tracking employee health would be especially important </w:t>
      </w:r>
      <w:r w:rsidRPr="00A65A91">
        <w:rPr>
          <w:rFonts w:ascii="Calibri" w:eastAsia="Times New Roman" w:hAnsi="Calibri" w:cs="Calibri"/>
        </w:rPr>
        <w:lastRenderedPageBreak/>
        <w:t>during a pandemic, biochemical release, or another emergency that may expose employees to disease, illness, or injury. Monitoring employee health ensures that employees whose health is compromised would receive prompt treatment and not expose coworkers, patients, and members of the public to related health threats.</w:t>
      </w:r>
    </w:p>
    <w:p w14:paraId="501B850B"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4ACBC778" w14:textId="77777777" w:rsidR="00F44300" w:rsidRPr="00A65A91" w:rsidRDefault="00F44300" w:rsidP="00A5445A">
      <w:pPr>
        <w:shd w:val="clear" w:color="auto" w:fill="FFFFFF"/>
        <w:spacing w:after="120" w:line="360" w:lineRule="auto"/>
        <w:textAlignment w:val="baseline"/>
        <w:rPr>
          <w:rFonts w:ascii="Calibri" w:eastAsia="Times New Roman" w:hAnsi="Calibri" w:cs="Calibri"/>
        </w:rPr>
      </w:pPr>
      <w:r w:rsidRPr="00A65A91">
        <w:rPr>
          <w:rFonts w:ascii="Calibri" w:eastAsia="Times New Roman" w:hAnsi="Calibri" w:cs="Calibri"/>
        </w:rPr>
        <w:t>Before employee health information is collected, used, or shared, it is important to consider several questions:</w:t>
      </w:r>
    </w:p>
    <w:p w14:paraId="06B02395" w14:textId="77777777" w:rsidR="00F44300" w:rsidRPr="00A65A91" w:rsidRDefault="00F44300" w:rsidP="00A5445A">
      <w:pPr>
        <w:shd w:val="clear" w:color="auto" w:fill="FFFFFF"/>
        <w:spacing w:after="80" w:line="360" w:lineRule="auto"/>
        <w:ind w:left="360"/>
        <w:textAlignment w:val="baseline"/>
        <w:rPr>
          <w:rFonts w:ascii="Calibri" w:eastAsia="Times New Roman" w:hAnsi="Calibri" w:cs="Calibri"/>
        </w:rPr>
      </w:pPr>
      <w:r w:rsidRPr="00A65A91">
        <w:rPr>
          <w:rFonts w:ascii="Calibri" w:eastAsia="Times New Roman" w:hAnsi="Calibri" w:cs="Calibri"/>
        </w:rPr>
        <w:t>Collection:</w:t>
      </w:r>
    </w:p>
    <w:p w14:paraId="2E51CE91" w14:textId="77777777" w:rsidR="00F44300" w:rsidRPr="005B14B7" w:rsidRDefault="00F44300" w:rsidP="00F44300">
      <w:pPr>
        <w:numPr>
          <w:ilvl w:val="0"/>
          <w:numId w:val="27"/>
        </w:numPr>
        <w:spacing w:after="80" w:line="360" w:lineRule="auto"/>
        <w:textAlignment w:val="baseline"/>
        <w:rPr>
          <w:rFonts w:ascii="Calibri" w:eastAsia="Times New Roman" w:hAnsi="Calibri" w:cs="Calibri"/>
        </w:rPr>
      </w:pPr>
      <w:r w:rsidRPr="005B14B7">
        <w:rPr>
          <w:rFonts w:ascii="Calibri" w:eastAsia="Times New Roman" w:hAnsi="Calibri" w:cs="Calibri"/>
        </w:rPr>
        <w:t>Under what role is the public health agency collecting the information (e.g., public health authority, healthcare provider, or employer)?</w:t>
      </w:r>
    </w:p>
    <w:p w14:paraId="136E5670" w14:textId="77777777" w:rsidR="00F44300" w:rsidRPr="005B14B7" w:rsidRDefault="00F44300" w:rsidP="00F44300">
      <w:pPr>
        <w:numPr>
          <w:ilvl w:val="0"/>
          <w:numId w:val="27"/>
        </w:numPr>
        <w:spacing w:after="80" w:line="360" w:lineRule="auto"/>
        <w:textAlignment w:val="baseline"/>
        <w:rPr>
          <w:rFonts w:ascii="Calibri" w:eastAsia="Times New Roman" w:hAnsi="Calibri" w:cs="Calibri"/>
        </w:rPr>
      </w:pPr>
      <w:r w:rsidRPr="005B14B7">
        <w:rPr>
          <w:rFonts w:ascii="Calibri" w:eastAsia="Times New Roman" w:hAnsi="Calibri" w:cs="Calibri"/>
        </w:rPr>
        <w:t>What health information is being collected?</w:t>
      </w:r>
    </w:p>
    <w:p w14:paraId="0AF6BE4A" w14:textId="77777777" w:rsidR="00F44300" w:rsidRPr="005B14B7" w:rsidRDefault="00F44300" w:rsidP="00F44300">
      <w:pPr>
        <w:numPr>
          <w:ilvl w:val="0"/>
          <w:numId w:val="27"/>
        </w:numPr>
        <w:spacing w:after="80" w:line="360" w:lineRule="auto"/>
        <w:textAlignment w:val="baseline"/>
        <w:rPr>
          <w:rFonts w:ascii="Calibri" w:eastAsia="Times New Roman" w:hAnsi="Calibri" w:cs="Calibri"/>
        </w:rPr>
      </w:pPr>
      <w:r w:rsidRPr="005B14B7">
        <w:rPr>
          <w:rFonts w:ascii="Calibri" w:eastAsia="Times New Roman" w:hAnsi="Calibri" w:cs="Calibri"/>
        </w:rPr>
        <w:t>What is the purpose of collecting the information?</w:t>
      </w:r>
    </w:p>
    <w:p w14:paraId="36EEC7D1" w14:textId="77777777" w:rsidR="00F44300" w:rsidRPr="005B14B7" w:rsidRDefault="00F44300" w:rsidP="00F44300">
      <w:pPr>
        <w:numPr>
          <w:ilvl w:val="0"/>
          <w:numId w:val="27"/>
        </w:numPr>
        <w:spacing w:after="80" w:line="360" w:lineRule="auto"/>
        <w:textAlignment w:val="baseline"/>
        <w:rPr>
          <w:rFonts w:ascii="Calibri" w:eastAsia="Times New Roman" w:hAnsi="Calibri" w:cs="Calibri"/>
        </w:rPr>
      </w:pPr>
      <w:r w:rsidRPr="005B14B7">
        <w:rPr>
          <w:rFonts w:ascii="Calibri" w:eastAsia="Times New Roman" w:hAnsi="Calibri" w:cs="Calibri"/>
        </w:rPr>
        <w:t>In what form is the information being collected (e.g., written, electronic, etc.)?</w:t>
      </w:r>
    </w:p>
    <w:p w14:paraId="017479D7" w14:textId="77777777" w:rsidR="00F44300" w:rsidRPr="00A65A91" w:rsidRDefault="00F44300" w:rsidP="00A5445A">
      <w:pPr>
        <w:shd w:val="clear" w:color="auto" w:fill="FFFFFF"/>
        <w:spacing w:after="80" w:line="360" w:lineRule="auto"/>
        <w:ind w:left="360"/>
        <w:textAlignment w:val="baseline"/>
        <w:rPr>
          <w:rFonts w:ascii="Calibri" w:eastAsia="Times New Roman" w:hAnsi="Calibri" w:cs="Calibri"/>
        </w:rPr>
      </w:pPr>
      <w:r w:rsidRPr="00A65A91">
        <w:rPr>
          <w:rFonts w:ascii="Calibri" w:eastAsia="Times New Roman" w:hAnsi="Calibri" w:cs="Calibri"/>
        </w:rPr>
        <w:t>Use:</w:t>
      </w:r>
    </w:p>
    <w:p w14:paraId="6C72E992" w14:textId="77777777" w:rsidR="00F44300" w:rsidRPr="006305F6" w:rsidRDefault="00F44300" w:rsidP="00F44300">
      <w:pPr>
        <w:numPr>
          <w:ilvl w:val="0"/>
          <w:numId w:val="28"/>
        </w:numPr>
        <w:spacing w:after="80" w:line="360" w:lineRule="auto"/>
        <w:textAlignment w:val="baseline"/>
        <w:rPr>
          <w:rFonts w:ascii="Calibri" w:eastAsia="Times New Roman" w:hAnsi="Calibri" w:cs="Calibri"/>
        </w:rPr>
      </w:pPr>
      <w:r w:rsidRPr="006305F6">
        <w:rPr>
          <w:rFonts w:ascii="Calibri" w:eastAsia="Times New Roman" w:hAnsi="Calibri" w:cs="Calibri"/>
        </w:rPr>
        <w:t>What is the data being used for?</w:t>
      </w:r>
    </w:p>
    <w:p w14:paraId="0F777649" w14:textId="77777777" w:rsidR="00F44300" w:rsidRPr="006305F6" w:rsidRDefault="00F44300" w:rsidP="00F44300">
      <w:pPr>
        <w:numPr>
          <w:ilvl w:val="0"/>
          <w:numId w:val="28"/>
        </w:numPr>
        <w:spacing w:after="80" w:line="360" w:lineRule="auto"/>
        <w:textAlignment w:val="baseline"/>
        <w:rPr>
          <w:rFonts w:ascii="Calibri" w:eastAsia="Times New Roman" w:hAnsi="Calibri" w:cs="Calibri"/>
        </w:rPr>
      </w:pPr>
      <w:r w:rsidRPr="006305F6">
        <w:rPr>
          <w:rFonts w:ascii="Calibri" w:eastAsia="Times New Roman" w:hAnsi="Calibri" w:cs="Calibri"/>
        </w:rPr>
        <w:t>Is the use appropriate and legal?</w:t>
      </w:r>
    </w:p>
    <w:p w14:paraId="75019147" w14:textId="77777777" w:rsidR="00F44300" w:rsidRPr="006305F6" w:rsidRDefault="00F44300" w:rsidP="00F44300">
      <w:pPr>
        <w:numPr>
          <w:ilvl w:val="0"/>
          <w:numId w:val="28"/>
        </w:numPr>
        <w:spacing w:after="80" w:line="360" w:lineRule="auto"/>
        <w:textAlignment w:val="baseline"/>
        <w:rPr>
          <w:rFonts w:ascii="Calibri" w:eastAsia="Times New Roman" w:hAnsi="Calibri" w:cs="Calibri"/>
        </w:rPr>
      </w:pPr>
      <w:r w:rsidRPr="006305F6">
        <w:rPr>
          <w:rFonts w:ascii="Calibri" w:eastAsia="Times New Roman" w:hAnsi="Calibri" w:cs="Calibri"/>
        </w:rPr>
        <w:t>If required, has the employee authorized the use of his or her health information?</w:t>
      </w:r>
    </w:p>
    <w:p w14:paraId="582F4AED" w14:textId="77777777" w:rsidR="00F44300" w:rsidRPr="0037662D" w:rsidRDefault="00F44300" w:rsidP="00A5445A">
      <w:pPr>
        <w:shd w:val="clear" w:color="auto" w:fill="FFFFFF"/>
        <w:spacing w:after="80" w:line="360" w:lineRule="auto"/>
        <w:ind w:left="360"/>
        <w:textAlignment w:val="baseline"/>
        <w:rPr>
          <w:rFonts w:ascii="Calibri" w:eastAsia="Times New Roman" w:hAnsi="Calibri" w:cs="Calibri"/>
        </w:rPr>
      </w:pPr>
      <w:r w:rsidRPr="0037662D">
        <w:rPr>
          <w:rFonts w:ascii="Calibri" w:eastAsia="Times New Roman" w:hAnsi="Calibri" w:cs="Calibri"/>
        </w:rPr>
        <w:t>Disclosure:</w:t>
      </w:r>
    </w:p>
    <w:p w14:paraId="295A42EF" w14:textId="77777777" w:rsidR="00F44300" w:rsidRPr="0037662D" w:rsidRDefault="00F44300" w:rsidP="00F44300">
      <w:pPr>
        <w:numPr>
          <w:ilvl w:val="0"/>
          <w:numId w:val="29"/>
        </w:numPr>
        <w:spacing w:after="80" w:line="360" w:lineRule="auto"/>
        <w:textAlignment w:val="baseline"/>
        <w:rPr>
          <w:rFonts w:ascii="Calibri" w:eastAsia="Times New Roman" w:hAnsi="Calibri" w:cs="Calibri"/>
        </w:rPr>
      </w:pPr>
      <w:r w:rsidRPr="0037662D">
        <w:rPr>
          <w:rFonts w:ascii="Calibri" w:eastAsia="Times New Roman" w:hAnsi="Calibri" w:cs="Calibri"/>
        </w:rPr>
        <w:t>Who is requesting the data disclosure?</w:t>
      </w:r>
    </w:p>
    <w:p w14:paraId="06C6A6B1" w14:textId="77777777" w:rsidR="00F44300" w:rsidRPr="0037662D" w:rsidRDefault="00F44300" w:rsidP="00F44300">
      <w:pPr>
        <w:numPr>
          <w:ilvl w:val="0"/>
          <w:numId w:val="29"/>
        </w:numPr>
        <w:spacing w:after="80" w:line="360" w:lineRule="auto"/>
        <w:textAlignment w:val="baseline"/>
        <w:rPr>
          <w:rFonts w:ascii="Calibri" w:eastAsia="Times New Roman" w:hAnsi="Calibri" w:cs="Calibri"/>
        </w:rPr>
      </w:pPr>
      <w:r w:rsidRPr="0037662D">
        <w:rPr>
          <w:rFonts w:ascii="Calibri" w:eastAsia="Times New Roman" w:hAnsi="Calibri" w:cs="Calibri"/>
        </w:rPr>
        <w:t>What is the purpose for the information request?</w:t>
      </w:r>
    </w:p>
    <w:p w14:paraId="0DF57BF1" w14:textId="77777777" w:rsidR="00F44300" w:rsidRPr="0037662D" w:rsidRDefault="00F44300" w:rsidP="00F44300">
      <w:pPr>
        <w:numPr>
          <w:ilvl w:val="0"/>
          <w:numId w:val="29"/>
        </w:numPr>
        <w:spacing w:after="80" w:line="360" w:lineRule="auto"/>
        <w:textAlignment w:val="baseline"/>
        <w:rPr>
          <w:rFonts w:ascii="Calibri" w:eastAsia="Times New Roman" w:hAnsi="Calibri" w:cs="Calibri"/>
        </w:rPr>
      </w:pPr>
      <w:r w:rsidRPr="0037662D">
        <w:rPr>
          <w:rFonts w:ascii="Calibri" w:eastAsia="Times New Roman" w:hAnsi="Calibri" w:cs="Calibri"/>
        </w:rPr>
        <w:t>What specific information is being requested?</w:t>
      </w:r>
    </w:p>
    <w:p w14:paraId="1DA08367" w14:textId="77777777" w:rsidR="00F44300" w:rsidRPr="0037662D" w:rsidRDefault="00F44300" w:rsidP="00F44300">
      <w:pPr>
        <w:numPr>
          <w:ilvl w:val="0"/>
          <w:numId w:val="29"/>
        </w:numPr>
        <w:spacing w:after="80" w:line="360" w:lineRule="auto"/>
        <w:textAlignment w:val="baseline"/>
        <w:rPr>
          <w:rFonts w:ascii="Calibri" w:eastAsia="Times New Roman" w:hAnsi="Calibri" w:cs="Calibri"/>
        </w:rPr>
      </w:pPr>
      <w:r w:rsidRPr="0037662D">
        <w:rPr>
          <w:rFonts w:ascii="Calibri" w:eastAsia="Times New Roman" w:hAnsi="Calibri" w:cs="Calibri"/>
        </w:rPr>
        <w:t>Is the information requested limited to the minimum necessary to fulfill the purpose?</w:t>
      </w:r>
    </w:p>
    <w:p w14:paraId="31DDB865" w14:textId="77777777" w:rsidR="00F44300" w:rsidRPr="0037662D" w:rsidRDefault="00F44300" w:rsidP="00F44300">
      <w:pPr>
        <w:numPr>
          <w:ilvl w:val="0"/>
          <w:numId w:val="29"/>
        </w:numPr>
        <w:spacing w:after="80" w:line="360" w:lineRule="auto"/>
        <w:textAlignment w:val="baseline"/>
        <w:rPr>
          <w:rFonts w:ascii="Calibri" w:eastAsia="Times New Roman" w:hAnsi="Calibri" w:cs="Calibri"/>
        </w:rPr>
      </w:pPr>
      <w:r w:rsidRPr="0037662D">
        <w:rPr>
          <w:rFonts w:ascii="Calibri" w:eastAsia="Times New Roman" w:hAnsi="Calibri" w:cs="Calibri"/>
        </w:rPr>
        <w:t>Is the disclosure appropriate and legal?</w:t>
      </w:r>
    </w:p>
    <w:p w14:paraId="21F7DA74" w14:textId="77777777" w:rsidR="00F44300" w:rsidRPr="0037662D" w:rsidRDefault="00F44300" w:rsidP="00F44300">
      <w:pPr>
        <w:numPr>
          <w:ilvl w:val="0"/>
          <w:numId w:val="29"/>
        </w:numPr>
        <w:spacing w:after="80" w:line="360" w:lineRule="auto"/>
        <w:textAlignment w:val="baseline"/>
        <w:rPr>
          <w:rFonts w:ascii="Calibri" w:eastAsia="Times New Roman" w:hAnsi="Calibri" w:cs="Calibri"/>
        </w:rPr>
      </w:pPr>
      <w:r w:rsidRPr="0037662D">
        <w:rPr>
          <w:rFonts w:ascii="Calibri" w:eastAsia="Times New Roman" w:hAnsi="Calibri" w:cs="Calibri"/>
        </w:rPr>
        <w:t>If required, has the employee authorized the disclosure of his or her health information?</w:t>
      </w:r>
    </w:p>
    <w:p w14:paraId="3C844CDD" w14:textId="77777777" w:rsidR="00F44300" w:rsidRDefault="00F44300" w:rsidP="00A5445A">
      <w:pPr>
        <w:shd w:val="clear" w:color="auto" w:fill="FFFFFF"/>
        <w:spacing w:line="360" w:lineRule="auto"/>
        <w:textAlignment w:val="baseline"/>
        <w:rPr>
          <w:rFonts w:ascii="Calibri" w:eastAsia="Times New Roman" w:hAnsi="Calibri" w:cs="Calibri"/>
        </w:rPr>
      </w:pPr>
    </w:p>
    <w:p w14:paraId="3A858105" w14:textId="77777777" w:rsidR="00F44300" w:rsidRPr="00A65A91" w:rsidRDefault="00F44300" w:rsidP="00A5445A">
      <w:pPr>
        <w:shd w:val="clear" w:color="auto" w:fill="FFFFFF"/>
        <w:spacing w:after="225" w:line="360" w:lineRule="auto"/>
        <w:textAlignment w:val="baseline"/>
        <w:rPr>
          <w:rFonts w:ascii="Calibri" w:eastAsia="Times New Roman" w:hAnsi="Calibri" w:cs="Calibri"/>
        </w:rPr>
      </w:pPr>
      <w:r w:rsidRPr="00A65A91">
        <w:rPr>
          <w:rFonts w:ascii="Calibri" w:eastAsia="Times New Roman" w:hAnsi="Calibri" w:cs="Calibri"/>
        </w:rPr>
        <w:t xml:space="preserve">No federal laws specifically address public health agencies collecting and using employee health information during a public health emergency. Even so, as employers, public health agencies must comply with certain laws regarding their employees regardless of whether an emergency exists. The </w:t>
      </w:r>
      <w:r w:rsidRPr="00A65A91">
        <w:rPr>
          <w:rFonts w:ascii="Calibri" w:eastAsia="Times New Roman" w:hAnsi="Calibri" w:cs="Calibri"/>
        </w:rPr>
        <w:lastRenderedPageBreak/>
        <w:t>following two laws are the most pertinent to this issue brief, although this list is not exhaustive and other federal laws may apply:</w:t>
      </w:r>
    </w:p>
    <w:p w14:paraId="2EB36247" w14:textId="77777777" w:rsidR="00F44300" w:rsidRPr="00A65A91" w:rsidRDefault="00F44300" w:rsidP="00C65FE3">
      <w:pPr>
        <w:shd w:val="clear" w:color="auto" w:fill="FFFFFF"/>
        <w:spacing w:line="360" w:lineRule="auto"/>
        <w:ind w:left="720"/>
        <w:textAlignment w:val="baseline"/>
        <w:rPr>
          <w:rFonts w:ascii="Calibri" w:eastAsia="Times New Roman" w:hAnsi="Calibri" w:cs="Calibri"/>
        </w:rPr>
      </w:pPr>
      <w:r w:rsidRPr="00A65A91">
        <w:rPr>
          <w:rFonts w:ascii="Calibri" w:eastAsia="Times New Roman" w:hAnsi="Calibri" w:cs="Calibri"/>
          <w:b/>
          <w:bCs/>
          <w:bdr w:val="none" w:sz="0" w:space="0" w:color="auto" w:frame="1"/>
        </w:rPr>
        <w:t>Occupational Safety and Health Act (OSH Act)</w:t>
      </w:r>
      <w:r w:rsidRPr="00A65A91">
        <w:rPr>
          <w:rFonts w:ascii="Calibri" w:eastAsia="Times New Roman" w:hAnsi="Calibri" w:cs="Calibri"/>
          <w:bdr w:val="none" w:sz="0" w:space="0" w:color="auto" w:frame="1"/>
          <w:vertAlign w:val="superscript"/>
        </w:rPr>
        <w:t>4</w:t>
      </w:r>
    </w:p>
    <w:p w14:paraId="32CDFFE1" w14:textId="77777777" w:rsidR="00F44300" w:rsidRPr="00A65A91" w:rsidRDefault="00F44300" w:rsidP="00C65FE3">
      <w:pPr>
        <w:shd w:val="clear" w:color="auto" w:fill="FFFFFF"/>
        <w:spacing w:after="225" w:line="360" w:lineRule="auto"/>
        <w:ind w:left="720"/>
        <w:textAlignment w:val="baseline"/>
        <w:rPr>
          <w:rFonts w:ascii="Calibri" w:eastAsia="Times New Roman" w:hAnsi="Calibri" w:cs="Calibri"/>
        </w:rPr>
      </w:pPr>
      <w:r w:rsidRPr="00A65A91">
        <w:rPr>
          <w:rFonts w:ascii="Calibri" w:eastAsia="Times New Roman" w:hAnsi="Calibri" w:cs="Calibri"/>
        </w:rPr>
        <w:t>The OHS Act requires employers to provide employees with a safe and healthful workplace by setting and enforcing standards.</w:t>
      </w:r>
    </w:p>
    <w:p w14:paraId="23DE3C86" w14:textId="77777777" w:rsidR="00F44300" w:rsidRPr="00A65A91" w:rsidRDefault="00F44300" w:rsidP="00C65FE3">
      <w:pPr>
        <w:shd w:val="clear" w:color="auto" w:fill="FFFFFF"/>
        <w:spacing w:line="360" w:lineRule="auto"/>
        <w:ind w:left="720"/>
        <w:textAlignment w:val="baseline"/>
        <w:rPr>
          <w:rFonts w:ascii="Calibri" w:eastAsia="Times New Roman" w:hAnsi="Calibri" w:cs="Calibri"/>
        </w:rPr>
      </w:pPr>
      <w:r w:rsidRPr="00A65A91">
        <w:rPr>
          <w:rFonts w:ascii="Calibri" w:eastAsia="Times New Roman" w:hAnsi="Calibri" w:cs="Calibri"/>
          <w:b/>
          <w:bCs/>
          <w:bdr w:val="none" w:sz="0" w:space="0" w:color="auto" w:frame="1"/>
        </w:rPr>
        <w:t>Americans with Disabilities Act of 1990 (ADA)</w:t>
      </w:r>
      <w:r w:rsidRPr="00A65A91">
        <w:rPr>
          <w:rFonts w:ascii="Calibri" w:eastAsia="Times New Roman" w:hAnsi="Calibri" w:cs="Calibri"/>
          <w:bdr w:val="none" w:sz="0" w:space="0" w:color="auto" w:frame="1"/>
          <w:vertAlign w:val="superscript"/>
        </w:rPr>
        <w:t>5</w:t>
      </w:r>
    </w:p>
    <w:p w14:paraId="1FC495BB" w14:textId="77777777" w:rsidR="00F44300" w:rsidRPr="00A65A91" w:rsidRDefault="00F44300" w:rsidP="00C65FE3">
      <w:pPr>
        <w:shd w:val="clear" w:color="auto" w:fill="FFFFFF"/>
        <w:spacing w:after="225" w:line="360" w:lineRule="auto"/>
        <w:ind w:left="720"/>
        <w:textAlignment w:val="baseline"/>
        <w:rPr>
          <w:rFonts w:ascii="Calibri" w:eastAsia="Times New Roman" w:hAnsi="Calibri" w:cs="Calibri"/>
        </w:rPr>
      </w:pPr>
      <w:r w:rsidRPr="00A65A91">
        <w:rPr>
          <w:rFonts w:ascii="Calibri" w:eastAsia="Times New Roman" w:hAnsi="Calibri" w:cs="Calibri"/>
        </w:rPr>
        <w:t xml:space="preserve">ADA is a broad civil rights law that prohibits discrimination </w:t>
      </w:r>
      <w:proofErr w:type="gramStart"/>
      <w:r w:rsidRPr="00A65A91">
        <w:rPr>
          <w:rFonts w:ascii="Calibri" w:eastAsia="Times New Roman" w:hAnsi="Calibri" w:cs="Calibri"/>
        </w:rPr>
        <w:t>on the basis of</w:t>
      </w:r>
      <w:proofErr w:type="gramEnd"/>
      <w:r w:rsidRPr="00A65A91">
        <w:rPr>
          <w:rFonts w:ascii="Calibri" w:eastAsia="Times New Roman" w:hAnsi="Calibri" w:cs="Calibri"/>
        </w:rPr>
        <w:t xml:space="preserve"> disability.</w:t>
      </w:r>
    </w:p>
    <w:p w14:paraId="53B0F17D"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Although the federal Privacy Rule,</w:t>
      </w:r>
      <w:r w:rsidRPr="00A65A91">
        <w:rPr>
          <w:rFonts w:ascii="Calibri" w:eastAsia="Times New Roman" w:hAnsi="Calibri" w:cs="Calibri"/>
          <w:bdr w:val="none" w:sz="0" w:space="0" w:color="auto" w:frame="1"/>
          <w:vertAlign w:val="superscript"/>
        </w:rPr>
        <w:t>6</w:t>
      </w:r>
      <w:r w:rsidRPr="00A65A91">
        <w:rPr>
          <w:rFonts w:ascii="Calibri" w:eastAsia="Times New Roman" w:hAnsi="Calibri" w:cs="Calibri"/>
        </w:rPr>
        <w:t> adopted under the Health Insurance Portability and Accountability Act (HIPAA),</w:t>
      </w:r>
      <w:r w:rsidRPr="00A65A91">
        <w:rPr>
          <w:rFonts w:ascii="Calibri" w:eastAsia="Times New Roman" w:hAnsi="Calibri" w:cs="Calibri"/>
          <w:bdr w:val="none" w:sz="0" w:space="0" w:color="auto" w:frame="1"/>
          <w:vertAlign w:val="superscript"/>
        </w:rPr>
        <w:t>7</w:t>
      </w:r>
      <w:r w:rsidRPr="00A65A91">
        <w:rPr>
          <w:rFonts w:ascii="Calibri" w:eastAsia="Times New Roman" w:hAnsi="Calibri" w:cs="Calibri"/>
        </w:rPr>
        <w:t> sets national standards to protect identifiable health information, the rule does not protect information that is included in employment records held by a covered entity in its role as employer.</w:t>
      </w:r>
      <w:r w:rsidRPr="00A65A91">
        <w:rPr>
          <w:rFonts w:ascii="Calibri" w:eastAsia="Times New Roman" w:hAnsi="Calibri" w:cs="Calibri"/>
          <w:bdr w:val="none" w:sz="0" w:space="0" w:color="auto" w:frame="1"/>
          <w:vertAlign w:val="superscript"/>
        </w:rPr>
        <w:t>8</w:t>
      </w:r>
    </w:p>
    <w:p w14:paraId="462D17FC"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4AFDF4A4" w14:textId="77777777" w:rsidR="00F44300" w:rsidRPr="00A65A91" w:rsidRDefault="00F44300" w:rsidP="00A5445A">
      <w:pPr>
        <w:shd w:val="clear" w:color="auto" w:fill="FFFFFF"/>
        <w:spacing w:after="80" w:line="360" w:lineRule="auto"/>
        <w:textAlignment w:val="baseline"/>
        <w:rPr>
          <w:rFonts w:ascii="Calibri" w:eastAsia="Times New Roman" w:hAnsi="Calibri" w:cs="Calibri"/>
        </w:rPr>
      </w:pPr>
      <w:r w:rsidRPr="00A65A91">
        <w:rPr>
          <w:rFonts w:ascii="Calibri" w:eastAsia="Times New Roman" w:hAnsi="Calibri" w:cs="Calibri"/>
        </w:rPr>
        <w:t>Although state law is beyond the scope of this issue brief, a public health agency must identify, understand, and comply with all state laws that govern this area. All areas of state law that could affect the collection, use, disclosure, and protection of employee health information must be considered. Possible areas of state law to consider include:</w:t>
      </w:r>
    </w:p>
    <w:p w14:paraId="0B9F061B"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Laws governing public health agencies.</w:t>
      </w:r>
    </w:p>
    <w:p w14:paraId="6EB9FB12"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Laws governing health facilities.</w:t>
      </w:r>
    </w:p>
    <w:p w14:paraId="6FE1C365"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State privacy and health information privacy laws.</w:t>
      </w:r>
    </w:p>
    <w:p w14:paraId="4311DC39"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Data collection and management laws, including laws that apply to electronic information.</w:t>
      </w:r>
    </w:p>
    <w:p w14:paraId="1F3A4B27"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Freedom of information laws.</w:t>
      </w:r>
    </w:p>
    <w:p w14:paraId="1A61E5D8"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Emergency preparedness laws.</w:t>
      </w:r>
    </w:p>
    <w:p w14:paraId="38BB5EAB"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State occupational safety and health laws.</w:t>
      </w:r>
    </w:p>
    <w:p w14:paraId="072B9FBD" w14:textId="77777777" w:rsidR="00F44300" w:rsidRPr="00F71DF0" w:rsidRDefault="00F44300" w:rsidP="00F44300">
      <w:pPr>
        <w:numPr>
          <w:ilvl w:val="0"/>
          <w:numId w:val="30"/>
        </w:numPr>
        <w:spacing w:after="80" w:line="360" w:lineRule="auto"/>
        <w:textAlignment w:val="baseline"/>
        <w:rPr>
          <w:rFonts w:ascii="Calibri" w:eastAsia="Times New Roman" w:hAnsi="Calibri" w:cs="Calibri"/>
        </w:rPr>
      </w:pPr>
      <w:r w:rsidRPr="00F71DF0">
        <w:rPr>
          <w:rFonts w:ascii="Calibri" w:eastAsia="Times New Roman" w:hAnsi="Calibri" w:cs="Calibri"/>
        </w:rPr>
        <w:t>State common law (i.e. law developed through court opinions).</w:t>
      </w:r>
    </w:p>
    <w:p w14:paraId="2F9BD26E" w14:textId="77777777" w:rsidR="00F44300" w:rsidRDefault="00F44300" w:rsidP="00A5445A">
      <w:pPr>
        <w:shd w:val="clear" w:color="auto" w:fill="FFFFFF"/>
        <w:spacing w:line="360" w:lineRule="auto"/>
        <w:textAlignment w:val="baseline"/>
        <w:rPr>
          <w:rFonts w:ascii="Calibri" w:eastAsia="Times New Roman" w:hAnsi="Calibri" w:cs="Calibri"/>
        </w:rPr>
      </w:pPr>
    </w:p>
    <w:p w14:paraId="07E4855B" w14:textId="77777777" w:rsidR="00F44300"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Public health agencies should also review collective bargaining agreements and workplace policies and procedures to ensure that they comply with applicable laws and to address any obstacles that they present to effective preparedness and response.</w:t>
      </w:r>
    </w:p>
    <w:p w14:paraId="64DC9ACB"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7E2B5A6C" w14:textId="77777777" w:rsidR="00F44300" w:rsidRPr="00A65A91" w:rsidRDefault="00F44300" w:rsidP="00A5445A">
      <w:pPr>
        <w:spacing w:line="360" w:lineRule="auto"/>
        <w:rPr>
          <w:rFonts w:ascii="Calibri" w:eastAsia="Times New Roman" w:hAnsi="Calibri" w:cs="Calibri"/>
          <w:b/>
          <w:bCs/>
        </w:rPr>
      </w:pPr>
      <w:r w:rsidRPr="00A65A91">
        <w:rPr>
          <w:rFonts w:ascii="Calibri" w:eastAsia="Times New Roman" w:hAnsi="Calibri" w:cs="Calibri"/>
          <w:b/>
          <w:bCs/>
        </w:rPr>
        <w:t>II. Occupational Safety and Health Act </w:t>
      </w:r>
    </w:p>
    <w:p w14:paraId="6038EB07" w14:textId="77777777" w:rsidR="00F44300"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Under the OSH Act,</w:t>
      </w:r>
      <w:r w:rsidRPr="00A65A91">
        <w:rPr>
          <w:rFonts w:ascii="Calibri" w:eastAsia="Times New Roman" w:hAnsi="Calibri" w:cs="Calibri"/>
          <w:bdr w:val="none" w:sz="0" w:space="0" w:color="auto" w:frame="1"/>
          <w:vertAlign w:val="superscript"/>
        </w:rPr>
        <w:t>9</w:t>
      </w:r>
      <w:r w:rsidRPr="00A65A91">
        <w:rPr>
          <w:rFonts w:ascii="Calibri" w:eastAsia="Times New Roman" w:hAnsi="Calibri" w:cs="Calibri"/>
        </w:rPr>
        <w:t> employers are responsible for providing a safe and healthful workplace for employees. The OSH Act covers most employees in the private sector, either directly or through a state program approved by the Occupational Safety and Health Administration (OSHA).</w:t>
      </w:r>
      <w:r w:rsidRPr="00A65A91">
        <w:rPr>
          <w:rFonts w:ascii="Calibri" w:eastAsia="Times New Roman" w:hAnsi="Calibri" w:cs="Calibri"/>
          <w:bdr w:val="none" w:sz="0" w:space="0" w:color="auto" w:frame="1"/>
          <w:vertAlign w:val="superscript"/>
        </w:rPr>
        <w:t>10</w:t>
      </w:r>
      <w:r w:rsidRPr="00A65A91">
        <w:rPr>
          <w:rFonts w:ascii="Calibri" w:eastAsia="Times New Roman" w:hAnsi="Calibri" w:cs="Calibri"/>
        </w:rPr>
        <w:t> State-run health and safety programs must be at least as effective as the federal OSHA program.</w:t>
      </w:r>
    </w:p>
    <w:p w14:paraId="029D46E2"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66B50FAF"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State and local government workers are excluded from federal coverage under the OSH Act.</w:t>
      </w:r>
      <w:r w:rsidRPr="00A65A91">
        <w:rPr>
          <w:rFonts w:ascii="Calibri" w:eastAsia="Times New Roman" w:hAnsi="Calibri" w:cs="Calibri"/>
          <w:bdr w:val="none" w:sz="0" w:space="0" w:color="auto" w:frame="1"/>
          <w:vertAlign w:val="superscript"/>
        </w:rPr>
        <w:t>11</w:t>
      </w:r>
      <w:r w:rsidRPr="00A65A91">
        <w:rPr>
          <w:rFonts w:ascii="Calibri" w:eastAsia="Times New Roman" w:hAnsi="Calibri" w:cs="Calibri"/>
        </w:rPr>
        <w:t> Still, states operating their own state workplace safety and health programs under OSHA-approved plans are required to extend their coverage to public sector workers in the state. States must set job safety and health standards that are at least as effective as comparable federal standards and most states adopt standards identical to the federal OSH Act. Twenty-two states and jurisdictions currently operate under this model.</w:t>
      </w:r>
      <w:r w:rsidRPr="00A65A91">
        <w:rPr>
          <w:rFonts w:ascii="Calibri" w:eastAsia="Times New Roman" w:hAnsi="Calibri" w:cs="Calibri"/>
          <w:bdr w:val="none" w:sz="0" w:space="0" w:color="auto" w:frame="1"/>
          <w:vertAlign w:val="superscript"/>
        </w:rPr>
        <w:t>12</w:t>
      </w:r>
      <w:r w:rsidRPr="00A65A91">
        <w:rPr>
          <w:rFonts w:ascii="Calibri" w:eastAsia="Times New Roman" w:hAnsi="Calibri" w:cs="Calibri"/>
        </w:rPr>
        <w:t> OSHA regulations also permit states without approved plans to develop plans that cover only public sector workers. In these states, private sector employment remains under federal OSHA jurisdiction. Five states and jurisdictions operate public employee-only plans.</w:t>
      </w:r>
      <w:r w:rsidRPr="00A65A91">
        <w:rPr>
          <w:rFonts w:ascii="Calibri" w:eastAsia="Times New Roman" w:hAnsi="Calibri" w:cs="Calibri"/>
          <w:bdr w:val="none" w:sz="0" w:space="0" w:color="auto" w:frame="1"/>
          <w:vertAlign w:val="superscript"/>
        </w:rPr>
        <w:t>13</w:t>
      </w:r>
      <w:r w:rsidRPr="00A65A91">
        <w:rPr>
          <w:rFonts w:ascii="Calibri" w:eastAsia="Times New Roman" w:hAnsi="Calibri" w:cs="Calibri"/>
        </w:rPr>
        <w:t> Finally, the Environmental Protection Agency (EPA) regulations extend OSHA's hazardous waste operations and emergency response standard</w:t>
      </w:r>
      <w:r w:rsidRPr="00A65A91">
        <w:rPr>
          <w:rFonts w:ascii="Calibri" w:eastAsia="Times New Roman" w:hAnsi="Calibri" w:cs="Calibri"/>
          <w:bdr w:val="none" w:sz="0" w:space="0" w:color="auto" w:frame="1"/>
          <w:vertAlign w:val="superscript"/>
        </w:rPr>
        <w:t>14</w:t>
      </w:r>
      <w:r w:rsidRPr="00A65A91">
        <w:rPr>
          <w:rFonts w:ascii="Calibri" w:eastAsia="Times New Roman" w:hAnsi="Calibri" w:cs="Calibri"/>
        </w:rPr>
        <w:t> to state and local government employees engaged in hazardous waste operations in states that do not have an approved state plan.</w:t>
      </w:r>
      <w:r w:rsidRPr="00A65A91">
        <w:rPr>
          <w:rFonts w:ascii="Calibri" w:eastAsia="Times New Roman" w:hAnsi="Calibri" w:cs="Calibri"/>
          <w:bdr w:val="none" w:sz="0" w:space="0" w:color="auto" w:frame="1"/>
          <w:vertAlign w:val="superscript"/>
        </w:rPr>
        <w:t>15</w:t>
      </w:r>
    </w:p>
    <w:p w14:paraId="4B27A6A2"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4B308192"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States without OSHA-approved state job safety and health plans may voluntarily provide safety and health protection to their governmental workers. Many states without approved safety and health programs do provide coverage to public employees, to varying degrees, through programs that do not receive federal funding and are not subject to federal OSHA oversight.</w:t>
      </w:r>
      <w:r w:rsidRPr="00A65A91">
        <w:rPr>
          <w:rFonts w:ascii="Calibri" w:eastAsia="Times New Roman" w:hAnsi="Calibri" w:cs="Calibri"/>
          <w:bdr w:val="none" w:sz="0" w:space="0" w:color="auto" w:frame="1"/>
          <w:vertAlign w:val="superscript"/>
        </w:rPr>
        <w:t>16</w:t>
      </w:r>
    </w:p>
    <w:p w14:paraId="1EE7AD63"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38F35F4B"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Covered employers must comply with the OSH Act's general duty clause, which requires employers to keep their workplace free of serious recognized hazards.</w:t>
      </w:r>
      <w:r w:rsidRPr="00A65A91">
        <w:rPr>
          <w:rFonts w:ascii="Calibri" w:eastAsia="Times New Roman" w:hAnsi="Calibri" w:cs="Calibri"/>
          <w:bdr w:val="none" w:sz="0" w:space="0" w:color="auto" w:frame="1"/>
          <w:vertAlign w:val="superscript"/>
        </w:rPr>
        <w:t>17</w:t>
      </w:r>
      <w:r w:rsidRPr="00A65A91">
        <w:rPr>
          <w:rFonts w:ascii="Calibri" w:eastAsia="Times New Roman" w:hAnsi="Calibri" w:cs="Calibri"/>
        </w:rPr>
        <w:t> Employers can be cited for violating the general duty clause if there is a recognized hazard and they do not take reasonable steps to prevent or abate it. For example, OSHA has published guidance on what employers should do to help reduce the risk of occupational exposure to pandemic influenza based on the degree of risk that each type of workplace poses.</w:t>
      </w:r>
      <w:r w:rsidRPr="00A65A91">
        <w:rPr>
          <w:rFonts w:ascii="Calibri" w:eastAsia="Times New Roman" w:hAnsi="Calibri" w:cs="Calibri"/>
          <w:bdr w:val="none" w:sz="0" w:space="0" w:color="auto" w:frame="1"/>
          <w:vertAlign w:val="superscript"/>
        </w:rPr>
        <w:t>18</w:t>
      </w:r>
    </w:p>
    <w:p w14:paraId="6B9BA027"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4C5BE530" w14:textId="77777777" w:rsidR="00F44300"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lastRenderedPageBreak/>
        <w:t>Covered employers must also comply with occupational safety and health standards promulgated by the U.S. Department of Labor, including general industry standards</w:t>
      </w:r>
      <w:r w:rsidRPr="00A65A91">
        <w:rPr>
          <w:rFonts w:ascii="Calibri" w:eastAsia="Times New Roman" w:hAnsi="Calibri" w:cs="Calibri"/>
          <w:bdr w:val="none" w:sz="0" w:space="0" w:color="auto" w:frame="1"/>
          <w:vertAlign w:val="superscript"/>
        </w:rPr>
        <w:t>19</w:t>
      </w:r>
      <w:r w:rsidRPr="00A65A91">
        <w:rPr>
          <w:rFonts w:ascii="Calibri" w:eastAsia="Times New Roman" w:hAnsi="Calibri" w:cs="Calibri"/>
        </w:rPr>
        <w:t xml:space="preserve"> that apply to all workplaces, such as hazardous material and blood-borne pathogen exposures. Depending on the nature of an employee's duties, employers may be required to conduct medical screening and surveillance programs to monitor employee health and workplace exposure levels. Medical screening and surveillance program standards are specific to each toxic or hazardous substance. Each standard </w:t>
      </w:r>
      <w:proofErr w:type="gramStart"/>
      <w:r w:rsidRPr="00A65A91">
        <w:rPr>
          <w:rFonts w:ascii="Calibri" w:eastAsia="Times New Roman" w:hAnsi="Calibri" w:cs="Calibri"/>
        </w:rPr>
        <w:t>details</w:t>
      </w:r>
      <w:proofErr w:type="gramEnd"/>
      <w:r w:rsidRPr="00A65A91">
        <w:rPr>
          <w:rFonts w:ascii="Calibri" w:eastAsia="Times New Roman" w:hAnsi="Calibri" w:cs="Calibri"/>
        </w:rPr>
        <w:t xml:space="preserve"> which employees should be tracked, the frequency of examinations, the maximum level of exposure that an employee may receive, and the information an employer must record and maintain for each employee.</w:t>
      </w:r>
    </w:p>
    <w:p w14:paraId="7C74475D"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13E2AE54" w14:textId="77777777" w:rsidR="00F44300"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An employer must take care to protect its workforce from pandemic influenza and other serious health threats, as well as exposure to specific hazards that might be encountered while protecting the public's health. That said, when seeking information about employees for this purpose, an employer must ensure that any medical inquiries or examinations are conducted in compliance with ADA, as discussed below.</w:t>
      </w:r>
    </w:p>
    <w:p w14:paraId="7A468396"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7E32FEBC" w14:textId="77777777" w:rsidR="00F44300" w:rsidRPr="00A65A91" w:rsidRDefault="00F44300" w:rsidP="00A5445A">
      <w:pPr>
        <w:spacing w:line="360" w:lineRule="auto"/>
        <w:rPr>
          <w:rFonts w:ascii="Calibri" w:eastAsia="Times New Roman" w:hAnsi="Calibri" w:cs="Calibri"/>
          <w:b/>
          <w:bCs/>
        </w:rPr>
      </w:pPr>
      <w:r w:rsidRPr="00A65A91">
        <w:rPr>
          <w:rFonts w:ascii="Calibri" w:eastAsia="Times New Roman" w:hAnsi="Calibri" w:cs="Calibri"/>
          <w:b/>
          <w:bCs/>
        </w:rPr>
        <w:t>III. Americans with Disabilities Act </w:t>
      </w:r>
    </w:p>
    <w:p w14:paraId="05636C36"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Title I of ADA</w:t>
      </w:r>
      <w:r w:rsidRPr="00A65A91">
        <w:rPr>
          <w:rFonts w:ascii="Calibri" w:eastAsia="Times New Roman" w:hAnsi="Calibri" w:cs="Calibri"/>
          <w:bdr w:val="none" w:sz="0" w:space="0" w:color="auto" w:frame="1"/>
          <w:vertAlign w:val="superscript"/>
        </w:rPr>
        <w:t>20</w:t>
      </w:r>
      <w:r w:rsidRPr="00A65A91">
        <w:rPr>
          <w:rFonts w:ascii="Calibri" w:eastAsia="Times New Roman" w:hAnsi="Calibri" w:cs="Calibri"/>
        </w:rPr>
        <w:t> prohibits most private employers and state and local governments from discriminating against qualified individuals with disabilities in job application procedures, hiring, firing, advancement, compensation, job training, and other terms, conditions, and privileges of employment.</w:t>
      </w:r>
      <w:r w:rsidRPr="00A65A91">
        <w:rPr>
          <w:rFonts w:ascii="Calibri" w:eastAsia="Times New Roman" w:hAnsi="Calibri" w:cs="Calibri"/>
          <w:bdr w:val="none" w:sz="0" w:space="0" w:color="auto" w:frame="1"/>
          <w:vertAlign w:val="superscript"/>
        </w:rPr>
        <w:t>21</w:t>
      </w:r>
      <w:r w:rsidRPr="00A65A91">
        <w:rPr>
          <w:rFonts w:ascii="Calibri" w:eastAsia="Times New Roman" w:hAnsi="Calibri" w:cs="Calibri"/>
        </w:rPr>
        <w:t> Title II of ADA</w:t>
      </w:r>
      <w:r w:rsidRPr="00A65A91">
        <w:rPr>
          <w:rFonts w:ascii="Calibri" w:eastAsia="Times New Roman" w:hAnsi="Calibri" w:cs="Calibri"/>
          <w:bdr w:val="none" w:sz="0" w:space="0" w:color="auto" w:frame="1"/>
          <w:vertAlign w:val="superscript"/>
        </w:rPr>
        <w:t>22</w:t>
      </w:r>
      <w:r w:rsidRPr="00A65A91">
        <w:rPr>
          <w:rFonts w:ascii="Calibri" w:eastAsia="Times New Roman" w:hAnsi="Calibri" w:cs="Calibri"/>
        </w:rPr>
        <w:t> reinforces Title I to state and local government by making it illegal for all state and local governmental agencies to discriminate against individuals based on disability in state and local government programs and activities, including employment.</w:t>
      </w:r>
      <w:r w:rsidRPr="00A65A91">
        <w:rPr>
          <w:rFonts w:ascii="Calibri" w:eastAsia="Times New Roman" w:hAnsi="Calibri" w:cs="Calibri"/>
          <w:bdr w:val="none" w:sz="0" w:space="0" w:color="auto" w:frame="1"/>
          <w:vertAlign w:val="superscript"/>
        </w:rPr>
        <w:t>23</w:t>
      </w:r>
      <w:r w:rsidRPr="00A65A91">
        <w:rPr>
          <w:rFonts w:ascii="Calibri" w:eastAsia="Times New Roman" w:hAnsi="Calibri" w:cs="Calibri"/>
        </w:rPr>
        <w:t> ADA also protects people from discrimination based on their relationship with a person with a disability even if they do not themselves have a disability.</w:t>
      </w:r>
      <w:r w:rsidRPr="00A65A91">
        <w:rPr>
          <w:rFonts w:ascii="Calibri" w:eastAsia="Times New Roman" w:hAnsi="Calibri" w:cs="Calibri"/>
          <w:bdr w:val="none" w:sz="0" w:space="0" w:color="auto" w:frame="1"/>
          <w:vertAlign w:val="superscript"/>
        </w:rPr>
        <w:t>24</w:t>
      </w:r>
      <w:r w:rsidRPr="00A65A91">
        <w:rPr>
          <w:rFonts w:ascii="Calibri" w:eastAsia="Times New Roman" w:hAnsi="Calibri" w:cs="Calibri"/>
        </w:rPr>
        <w:t> For example, it is illegal to discriminate against an employee because his or her spouse has a disability. ADA's nondiscrimination standards apply to federal sector employees under section 501 of the Rehabilitation Act, as amended, and its implementing rules.</w:t>
      </w:r>
      <w:r w:rsidRPr="00A65A91">
        <w:rPr>
          <w:rFonts w:ascii="Calibri" w:eastAsia="Times New Roman" w:hAnsi="Calibri" w:cs="Calibri"/>
          <w:bdr w:val="none" w:sz="0" w:space="0" w:color="auto" w:frame="1"/>
          <w:vertAlign w:val="superscript"/>
        </w:rPr>
        <w:t>25</w:t>
      </w:r>
      <w:r w:rsidRPr="00A65A91">
        <w:rPr>
          <w:rFonts w:ascii="Calibri" w:eastAsia="Times New Roman" w:hAnsi="Calibri" w:cs="Calibri"/>
        </w:rPr>
        <w:t> The U.S. Equal Opportunity Commission (EEOC) enforces Title I of ADA</w:t>
      </w:r>
      <w:r w:rsidRPr="00A65A91">
        <w:rPr>
          <w:rFonts w:ascii="Calibri" w:eastAsia="Times New Roman" w:hAnsi="Calibri" w:cs="Calibri"/>
          <w:bdr w:val="none" w:sz="0" w:space="0" w:color="auto" w:frame="1"/>
          <w:vertAlign w:val="superscript"/>
        </w:rPr>
        <w:t>26</w:t>
      </w:r>
      <w:r w:rsidRPr="00A65A91">
        <w:rPr>
          <w:rFonts w:ascii="Calibri" w:eastAsia="Times New Roman" w:hAnsi="Calibri" w:cs="Calibri"/>
        </w:rPr>
        <w:t> while the U.S. Department of Justice (DOJ) enforces Title II.</w:t>
      </w:r>
      <w:r w:rsidRPr="00A65A91">
        <w:rPr>
          <w:rFonts w:ascii="Calibri" w:eastAsia="Times New Roman" w:hAnsi="Calibri" w:cs="Calibri"/>
          <w:bdr w:val="none" w:sz="0" w:space="0" w:color="auto" w:frame="1"/>
          <w:vertAlign w:val="superscript"/>
        </w:rPr>
        <w:t>27</w:t>
      </w:r>
      <w:r w:rsidRPr="00A65A91">
        <w:rPr>
          <w:rFonts w:ascii="Calibri" w:eastAsia="Times New Roman" w:hAnsi="Calibri" w:cs="Calibri"/>
        </w:rPr>
        <w:t> Because ADA establishes overlapping responsibilities in both EEOC and DOJ for state and local government employment, the federal enforcement effort is coordinated by EEOC and DOJ to avoid duplication in investigative and enforcement activities.</w:t>
      </w:r>
      <w:r w:rsidRPr="00A65A91">
        <w:rPr>
          <w:rFonts w:ascii="Calibri" w:eastAsia="Times New Roman" w:hAnsi="Calibri" w:cs="Calibri"/>
          <w:bdr w:val="none" w:sz="0" w:space="0" w:color="auto" w:frame="1"/>
          <w:vertAlign w:val="superscript"/>
        </w:rPr>
        <w:t>28</w:t>
      </w:r>
    </w:p>
    <w:p w14:paraId="523AF51C"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3ADA146E" w14:textId="77777777" w:rsidR="00F44300" w:rsidRPr="00A65A91" w:rsidRDefault="00F44300" w:rsidP="00A5445A">
      <w:pPr>
        <w:shd w:val="clear" w:color="auto" w:fill="FFFFFF"/>
        <w:spacing w:after="120" w:line="360" w:lineRule="auto"/>
        <w:textAlignment w:val="baseline"/>
        <w:rPr>
          <w:rFonts w:ascii="Calibri" w:eastAsia="Times New Roman" w:hAnsi="Calibri" w:cs="Calibri"/>
        </w:rPr>
      </w:pPr>
      <w:r w:rsidRPr="00A65A91">
        <w:rPr>
          <w:rFonts w:ascii="Calibri" w:eastAsia="Times New Roman" w:hAnsi="Calibri" w:cs="Calibri"/>
        </w:rPr>
        <w:lastRenderedPageBreak/>
        <w:t>Title I of ADA regulates employers' disability-related inquiries and medical examinations for all applicants and employees, regardless of whether those individuals have disabilities. Employers may not ask about the existence, nature, or severity of a disability,</w:t>
      </w:r>
      <w:r w:rsidRPr="00A65A91">
        <w:rPr>
          <w:rFonts w:ascii="Calibri" w:eastAsia="Times New Roman" w:hAnsi="Calibri" w:cs="Calibri"/>
          <w:bdr w:val="none" w:sz="0" w:space="0" w:color="auto" w:frame="1"/>
          <w:vertAlign w:val="superscript"/>
        </w:rPr>
        <w:t>29</w:t>
      </w:r>
      <w:r w:rsidRPr="00A65A91">
        <w:rPr>
          <w:rFonts w:ascii="Calibri" w:eastAsia="Times New Roman" w:hAnsi="Calibri" w:cs="Calibri"/>
        </w:rPr>
        <w:t> except under limited circumstances:</w:t>
      </w:r>
    </w:p>
    <w:p w14:paraId="5B4E90F5" w14:textId="77777777" w:rsidR="00F44300" w:rsidRPr="008D3581" w:rsidRDefault="00F44300" w:rsidP="00F44300">
      <w:pPr>
        <w:numPr>
          <w:ilvl w:val="0"/>
          <w:numId w:val="31"/>
        </w:numPr>
        <w:spacing w:after="120" w:line="360" w:lineRule="auto"/>
        <w:textAlignment w:val="baseline"/>
        <w:rPr>
          <w:rFonts w:ascii="Calibri" w:eastAsia="Times New Roman" w:hAnsi="Calibri" w:cs="Calibri"/>
        </w:rPr>
      </w:pPr>
      <w:r w:rsidRPr="008D3581">
        <w:rPr>
          <w:rFonts w:ascii="Calibri" w:eastAsia="Times New Roman" w:hAnsi="Calibri" w:cs="Calibri"/>
        </w:rPr>
        <w:t xml:space="preserve">Before a conditional offer of employment, ADA prohibits disability-related inquiries and medical examination. The employer is permitted to make inquiries into the ability of an applicant to perform job-related </w:t>
      </w:r>
      <w:proofErr w:type="gramStart"/>
      <w:r w:rsidRPr="008D3581">
        <w:rPr>
          <w:rFonts w:ascii="Calibri" w:eastAsia="Times New Roman" w:hAnsi="Calibri" w:cs="Calibri"/>
        </w:rPr>
        <w:t>functions, or</w:t>
      </w:r>
      <w:proofErr w:type="gramEnd"/>
      <w:r w:rsidRPr="008D3581">
        <w:rPr>
          <w:rFonts w:ascii="Calibri" w:eastAsia="Times New Roman" w:hAnsi="Calibri" w:cs="Calibri"/>
        </w:rPr>
        <w:t xml:space="preserve"> may ask an applicant to describe or demonstrate how, with or without reasonable accommodation, the applicant will be able to perform job-related functions.</w:t>
      </w:r>
      <w:r w:rsidRPr="008D3581">
        <w:rPr>
          <w:rFonts w:ascii="Calibri" w:eastAsia="Times New Roman" w:hAnsi="Calibri" w:cs="Calibri"/>
          <w:bdr w:val="none" w:sz="0" w:space="0" w:color="auto" w:frame="1"/>
          <w:vertAlign w:val="superscript"/>
        </w:rPr>
        <w:t>30</w:t>
      </w:r>
    </w:p>
    <w:p w14:paraId="701BEE67" w14:textId="77777777" w:rsidR="00F44300" w:rsidRPr="008D3581" w:rsidRDefault="00F44300" w:rsidP="00F44300">
      <w:pPr>
        <w:numPr>
          <w:ilvl w:val="0"/>
          <w:numId w:val="31"/>
        </w:numPr>
        <w:spacing w:after="120" w:line="360" w:lineRule="auto"/>
        <w:textAlignment w:val="baseline"/>
        <w:rPr>
          <w:rFonts w:ascii="Calibri" w:eastAsia="Times New Roman" w:hAnsi="Calibri" w:cs="Calibri"/>
        </w:rPr>
      </w:pPr>
      <w:r w:rsidRPr="008D3581">
        <w:rPr>
          <w:rFonts w:ascii="Calibri" w:eastAsia="Times New Roman" w:hAnsi="Calibri" w:cs="Calibri"/>
        </w:rPr>
        <w:t>After a conditional offer of employment, but before an individual begins working, ADA permits disability-related inquiries and medical examinations if all entering employees in the same job category are subject to the same inquiries and examinations regardless of disability.</w:t>
      </w:r>
      <w:r w:rsidRPr="008D3581">
        <w:rPr>
          <w:rFonts w:ascii="Calibri" w:eastAsia="Times New Roman" w:hAnsi="Calibri" w:cs="Calibri"/>
          <w:bdr w:val="none" w:sz="0" w:space="0" w:color="auto" w:frame="1"/>
          <w:vertAlign w:val="superscript"/>
        </w:rPr>
        <w:t>31</w:t>
      </w:r>
      <w:r w:rsidRPr="008D3581">
        <w:rPr>
          <w:rFonts w:ascii="Calibri" w:eastAsia="Times New Roman" w:hAnsi="Calibri" w:cs="Calibri"/>
        </w:rPr>
        <w:t> However, if certain criteria are used to screen out an employee or employees with disabilities as a result of such an examination or inquiry, the exclusionary criteria must be job-related and consistent with business necessity, and performance of the essential job functions cannot be accomplished with reasonable accommodation.</w:t>
      </w:r>
      <w:r w:rsidRPr="008D3581">
        <w:rPr>
          <w:rFonts w:ascii="Calibri" w:eastAsia="Times New Roman" w:hAnsi="Calibri" w:cs="Calibri"/>
          <w:bdr w:val="none" w:sz="0" w:space="0" w:color="auto" w:frame="1"/>
          <w:vertAlign w:val="superscript"/>
        </w:rPr>
        <w:t>32</w:t>
      </w:r>
    </w:p>
    <w:p w14:paraId="7A95D8BB" w14:textId="77777777" w:rsidR="00F44300" w:rsidRPr="008D3581" w:rsidRDefault="00F44300" w:rsidP="00F44300">
      <w:pPr>
        <w:numPr>
          <w:ilvl w:val="0"/>
          <w:numId w:val="31"/>
        </w:numPr>
        <w:spacing w:line="360" w:lineRule="auto"/>
        <w:textAlignment w:val="baseline"/>
        <w:rPr>
          <w:rFonts w:ascii="Calibri" w:eastAsia="Times New Roman" w:hAnsi="Calibri" w:cs="Calibri"/>
        </w:rPr>
      </w:pPr>
      <w:r w:rsidRPr="008D3581">
        <w:rPr>
          <w:rFonts w:ascii="Calibri" w:eastAsia="Times New Roman" w:hAnsi="Calibri" w:cs="Calibri"/>
        </w:rPr>
        <w:t>During employment, ADA prohibits employee disability-related inquiries or medical examinations unless they are job-related and consistent with business necessity.</w:t>
      </w:r>
      <w:r w:rsidRPr="008D3581">
        <w:rPr>
          <w:rFonts w:ascii="Calibri" w:eastAsia="Times New Roman" w:hAnsi="Calibri" w:cs="Calibri"/>
          <w:bdr w:val="none" w:sz="0" w:space="0" w:color="auto" w:frame="1"/>
          <w:vertAlign w:val="superscript"/>
        </w:rPr>
        <w:t>33</w:t>
      </w:r>
      <w:r w:rsidRPr="008D3581">
        <w:rPr>
          <w:rFonts w:ascii="Calibri" w:eastAsia="Times New Roman" w:hAnsi="Calibri" w:cs="Calibri"/>
        </w:rPr>
        <w:t> For this purpose, the employer must have a reasonable belief, based on objective evidence, that an employee's ability to perform essential job functions will be impaired by a medical condition or an employee will pose a direct threat due to a medical condition.</w:t>
      </w:r>
    </w:p>
    <w:p w14:paraId="61A86CC0" w14:textId="77777777" w:rsidR="00F44300" w:rsidRPr="00A65A91" w:rsidRDefault="00F44300" w:rsidP="00A5445A">
      <w:pPr>
        <w:spacing w:line="360" w:lineRule="auto"/>
        <w:textAlignment w:val="baseline"/>
        <w:rPr>
          <w:rFonts w:ascii="Calibri" w:eastAsia="Times New Roman" w:hAnsi="Calibri" w:cs="Calibri"/>
        </w:rPr>
      </w:pPr>
    </w:p>
    <w:p w14:paraId="1560F478"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An inquiry is "disability-related" if it is likely to elicit information about a disability. "Disability" is defined as "a physical or mental impairment that substantially limits one or more major life activities of the individual" and may be actual or perceived.</w:t>
      </w:r>
      <w:r w:rsidRPr="00A65A91">
        <w:rPr>
          <w:rFonts w:ascii="Calibri" w:eastAsia="Times New Roman" w:hAnsi="Calibri" w:cs="Calibri"/>
          <w:bdr w:val="none" w:sz="0" w:space="0" w:color="auto" w:frame="1"/>
          <w:vertAlign w:val="superscript"/>
        </w:rPr>
        <w:t>34</w:t>
      </w:r>
      <w:r w:rsidRPr="00A65A91">
        <w:rPr>
          <w:rFonts w:ascii="Calibri" w:eastAsia="Times New Roman" w:hAnsi="Calibri" w:cs="Calibri"/>
        </w:rPr>
        <w:t> The determination of whether any particular condition is considered a disability is made on a case-by-case basis; generally, a disability does not include an impairment that is transitory and minor, such as a cold or seasonal influenza.</w:t>
      </w:r>
      <w:r w:rsidRPr="00A65A91">
        <w:rPr>
          <w:rFonts w:ascii="Calibri" w:eastAsia="Times New Roman" w:hAnsi="Calibri" w:cs="Calibri"/>
          <w:bdr w:val="none" w:sz="0" w:space="0" w:color="auto" w:frame="1"/>
          <w:vertAlign w:val="superscript"/>
        </w:rPr>
        <w:t>35</w:t>
      </w:r>
      <w:r w:rsidRPr="00A65A91">
        <w:rPr>
          <w:rFonts w:ascii="Calibri" w:eastAsia="Times New Roman" w:hAnsi="Calibri" w:cs="Calibri"/>
        </w:rPr>
        <w:t> ADA provides that the definition of disability shall be construed in favor of broad coverage of individuals to the maximum extent permitted by the act's terms.</w:t>
      </w:r>
      <w:r w:rsidRPr="00A65A91">
        <w:rPr>
          <w:rFonts w:ascii="Calibri" w:eastAsia="Times New Roman" w:hAnsi="Calibri" w:cs="Calibri"/>
          <w:bdr w:val="none" w:sz="0" w:space="0" w:color="auto" w:frame="1"/>
          <w:vertAlign w:val="superscript"/>
        </w:rPr>
        <w:t>36</w:t>
      </w:r>
      <w:r w:rsidRPr="00A65A91">
        <w:rPr>
          <w:rFonts w:ascii="Calibri" w:eastAsia="Times New Roman" w:hAnsi="Calibri" w:cs="Calibri"/>
        </w:rPr>
        <w:t> As an example, EEOC advises: "[A]</w:t>
      </w:r>
      <w:proofErr w:type="spellStart"/>
      <w:r w:rsidRPr="00A65A91">
        <w:rPr>
          <w:rFonts w:ascii="Calibri" w:eastAsia="Times New Roman" w:hAnsi="Calibri" w:cs="Calibri"/>
        </w:rPr>
        <w:t>sking</w:t>
      </w:r>
      <w:proofErr w:type="spellEnd"/>
      <w:r w:rsidRPr="00A65A91">
        <w:rPr>
          <w:rFonts w:ascii="Calibri" w:eastAsia="Times New Roman" w:hAnsi="Calibri" w:cs="Calibri"/>
        </w:rPr>
        <w:t xml:space="preserve"> an individual if his immune system is compromised is a disability-related inquiry because a weak or compromised immune system can be closely associated with conditions such as cancer or HIV/AIDS. By contrast, an inquiry is not disability-related if it is not likely to elicit information about a disability. For example, asking an </w:t>
      </w:r>
      <w:r w:rsidRPr="00A65A91">
        <w:rPr>
          <w:rFonts w:ascii="Calibri" w:eastAsia="Times New Roman" w:hAnsi="Calibri" w:cs="Calibri"/>
        </w:rPr>
        <w:lastRenderedPageBreak/>
        <w:t>individual about symptoms of a cold or the seasonal flu is not likely to elicit information about a disability."</w:t>
      </w:r>
      <w:r w:rsidRPr="00A65A91">
        <w:rPr>
          <w:rFonts w:ascii="Calibri" w:eastAsia="Times New Roman" w:hAnsi="Calibri" w:cs="Calibri"/>
          <w:bdr w:val="none" w:sz="0" w:space="0" w:color="auto" w:frame="1"/>
          <w:vertAlign w:val="superscript"/>
        </w:rPr>
        <w:t>37</w:t>
      </w:r>
    </w:p>
    <w:p w14:paraId="438F5697"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6CF9C521"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Generally, ADA permits medical surveillance and screening programs for current public health workers who are at risk for exposure to disease or other hazards. For a medical surveillance program to be lawful, it cannot be arbitrary and must include all potentially affected employees. ADA recognizes that medical surveillance may be required by occupational safety and health laws, such as standards established by OSHA under the OSH Act.</w:t>
      </w:r>
      <w:r w:rsidRPr="00A65A91">
        <w:rPr>
          <w:rFonts w:ascii="Calibri" w:eastAsia="Times New Roman" w:hAnsi="Calibri" w:cs="Calibri"/>
          <w:bdr w:val="none" w:sz="0" w:space="0" w:color="auto" w:frame="1"/>
          <w:vertAlign w:val="superscript"/>
        </w:rPr>
        <w:t>38</w:t>
      </w:r>
      <w:r w:rsidRPr="00A65A91">
        <w:rPr>
          <w:rFonts w:ascii="Calibri" w:eastAsia="Times New Roman" w:hAnsi="Calibri" w:cs="Calibri"/>
        </w:rPr>
        <w:t> If a standard is required by another federal law, an employer must comply with it and does not have to show that the standard is job-related and consistent with business necessity. An employer still has the obligation under ADA to consider whether there is a reasonable accommodation consistent with federal standards that will prevent exclusion of qualified individuals with disabilities who can perform jobs consistent with these standards.</w:t>
      </w:r>
      <w:r w:rsidRPr="00A65A91">
        <w:rPr>
          <w:rFonts w:ascii="Calibri" w:eastAsia="Times New Roman" w:hAnsi="Calibri" w:cs="Calibri"/>
          <w:bdr w:val="none" w:sz="0" w:space="0" w:color="auto" w:frame="1"/>
          <w:vertAlign w:val="superscript"/>
        </w:rPr>
        <w:t>39</w:t>
      </w:r>
    </w:p>
    <w:p w14:paraId="450C80DE"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0BB8A47C"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 xml:space="preserve">ADA does not negate state or local safety and health laws, except where such laws conflict with ADA requirements. Before excluding individuals with disabilities from the workplace or a </w:t>
      </w:r>
      <w:proofErr w:type="gramStart"/>
      <w:r w:rsidRPr="00A65A91">
        <w:rPr>
          <w:rFonts w:ascii="Calibri" w:eastAsia="Times New Roman" w:hAnsi="Calibri" w:cs="Calibri"/>
        </w:rPr>
        <w:t>particular job</w:t>
      </w:r>
      <w:proofErr w:type="gramEnd"/>
      <w:r w:rsidRPr="00A65A91">
        <w:rPr>
          <w:rFonts w:ascii="Calibri" w:eastAsia="Times New Roman" w:hAnsi="Calibri" w:cs="Calibri"/>
        </w:rPr>
        <w:t xml:space="preserve"> for health or safety reasons, the employer must assess whether the individual poses a "direct threat." A direct threat is a significant risk of substantial harm to both the individual and other employees even with reasonable accommodation. EEOC regulations set forth four factors to consider when determining whether an employee poses a direct threat: (1) the duration of the risk; (2) the nature and severity of the potential harm; (3) the likelihood that potential harm will occur; and (4) the imminence of the potential harm.</w:t>
      </w:r>
      <w:r w:rsidRPr="00A65A91">
        <w:rPr>
          <w:rFonts w:ascii="Calibri" w:eastAsia="Times New Roman" w:hAnsi="Calibri" w:cs="Calibri"/>
          <w:bdr w:val="none" w:sz="0" w:space="0" w:color="auto" w:frame="1"/>
          <w:vertAlign w:val="superscript"/>
        </w:rPr>
        <w:t>40</w:t>
      </w:r>
      <w:r w:rsidRPr="00A65A91">
        <w:rPr>
          <w:rFonts w:ascii="Calibri" w:eastAsia="Times New Roman" w:hAnsi="Calibri" w:cs="Calibri"/>
        </w:rPr>
        <w:t> Whether pandemic influenza rises to the level of a direct threat may depend on the severity of the illness. Assessment by CDC or public health agencies regarding the illness's severity may provide the objective evidence needed for a disability-related inquiry or medical examination protect the employee and others.</w:t>
      </w:r>
      <w:r w:rsidRPr="00A65A91">
        <w:rPr>
          <w:rFonts w:ascii="Calibri" w:eastAsia="Times New Roman" w:hAnsi="Calibri" w:cs="Calibri"/>
          <w:bdr w:val="none" w:sz="0" w:space="0" w:color="auto" w:frame="1"/>
          <w:vertAlign w:val="superscript"/>
        </w:rPr>
        <w:t>41</w:t>
      </w:r>
    </w:p>
    <w:p w14:paraId="458AE8BC"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7D0F5D45" w14:textId="77777777" w:rsidR="00F44300"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ADA does not prevent employers from collecting and appropriately using information necessary for a comprehensive emergency evacuation plan.</w:t>
      </w:r>
      <w:r w:rsidRPr="00A65A91">
        <w:rPr>
          <w:rFonts w:ascii="Calibri" w:eastAsia="Times New Roman" w:hAnsi="Calibri" w:cs="Calibri"/>
          <w:bdr w:val="none" w:sz="0" w:space="0" w:color="auto" w:frame="1"/>
          <w:vertAlign w:val="superscript"/>
        </w:rPr>
        <w:t>42</w:t>
      </w:r>
      <w:r w:rsidRPr="00A65A91">
        <w:rPr>
          <w:rFonts w:ascii="Calibri" w:eastAsia="Times New Roman" w:hAnsi="Calibri" w:cs="Calibri"/>
        </w:rPr>
        <w:t> An employer may ask employees whether they will require assistance in the event of an evacuation and, if so, what type of assistance they would need. Some employees may need assistance because of medical conditions that are not visually apparent whereas others may have obvious disabilities or medical conditions but may not need assistance.</w:t>
      </w:r>
    </w:p>
    <w:p w14:paraId="517A0C43"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52354B44"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lastRenderedPageBreak/>
        <w:t xml:space="preserve">ADA requires that employers reasonably accommodate an otherwise qualified applicant or employee's </w:t>
      </w:r>
      <w:proofErr w:type="gramStart"/>
      <w:r w:rsidRPr="00A65A91">
        <w:rPr>
          <w:rFonts w:ascii="Calibri" w:eastAsia="Times New Roman" w:hAnsi="Calibri" w:cs="Calibri"/>
        </w:rPr>
        <w:t>known physical or mental limitations</w:t>
      </w:r>
      <w:proofErr w:type="gramEnd"/>
      <w:r w:rsidRPr="00A65A91">
        <w:rPr>
          <w:rFonts w:ascii="Calibri" w:eastAsia="Times New Roman" w:hAnsi="Calibri" w:cs="Calibri"/>
        </w:rPr>
        <w:t xml:space="preserve"> unless doing so would impose an undue hardship on the operation of the employer's business. </w:t>
      </w:r>
      <w:proofErr w:type="gramStart"/>
      <w:r w:rsidRPr="00A65A91">
        <w:rPr>
          <w:rFonts w:ascii="Calibri" w:eastAsia="Times New Roman" w:hAnsi="Calibri" w:cs="Calibri"/>
        </w:rPr>
        <w:t>With regard to</w:t>
      </w:r>
      <w:proofErr w:type="gramEnd"/>
      <w:r w:rsidRPr="00A65A91">
        <w:rPr>
          <w:rFonts w:ascii="Calibri" w:eastAsia="Times New Roman" w:hAnsi="Calibri" w:cs="Calibri"/>
        </w:rPr>
        <w:t xml:space="preserve"> disability caused by pandemic influenza, reasonable accommodation may include, but is not limited to, telework, altered work schedules, and infection control strategies.</w:t>
      </w:r>
      <w:r w:rsidRPr="00A65A91">
        <w:rPr>
          <w:rFonts w:ascii="Calibri" w:eastAsia="Times New Roman" w:hAnsi="Calibri" w:cs="Calibri"/>
          <w:bdr w:val="none" w:sz="0" w:space="0" w:color="auto" w:frame="1"/>
          <w:vertAlign w:val="superscript"/>
        </w:rPr>
        <w:t>43</w:t>
      </w:r>
    </w:p>
    <w:p w14:paraId="6195633E"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3B0D1ECF" w14:textId="77777777" w:rsidR="00F44300" w:rsidRDefault="00F44300" w:rsidP="00A5445A">
      <w:pPr>
        <w:shd w:val="clear" w:color="auto" w:fill="FFFFFF"/>
        <w:spacing w:line="360" w:lineRule="auto"/>
        <w:textAlignment w:val="baseline"/>
        <w:rPr>
          <w:rFonts w:ascii="Calibri" w:eastAsia="Times New Roman" w:hAnsi="Calibri" w:cs="Calibri"/>
        </w:rPr>
      </w:pPr>
      <w:r w:rsidRPr="00A5286F">
        <w:rPr>
          <w:rFonts w:ascii="Calibri" w:eastAsia="Times New Roman" w:hAnsi="Calibri" w:cs="Calibri"/>
          <w:noProof/>
        </w:rPr>
        <mc:AlternateContent>
          <mc:Choice Requires="wps">
            <w:drawing>
              <wp:anchor distT="45720" distB="45720" distL="114300" distR="114300" simplePos="0" relativeHeight="251658240" behindDoc="0" locked="0" layoutInCell="1" allowOverlap="1" wp14:anchorId="0CDD591C" wp14:editId="22B03B19">
                <wp:simplePos x="0" y="0"/>
                <wp:positionH relativeFrom="margin">
                  <wp:posOffset>263622</wp:posOffset>
                </wp:positionH>
                <wp:positionV relativeFrom="paragraph">
                  <wp:posOffset>3176807</wp:posOffset>
                </wp:positionV>
                <wp:extent cx="5022850" cy="3409315"/>
                <wp:effectExtent l="0" t="0" r="25400" b="1968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0" cy="3409315"/>
                        </a:xfrm>
                        <a:prstGeom prst="rect">
                          <a:avLst/>
                        </a:prstGeom>
                        <a:solidFill>
                          <a:srgbClr val="FFFFFF"/>
                        </a:solidFill>
                        <a:ln w="9525">
                          <a:solidFill>
                            <a:srgbClr val="000000"/>
                          </a:solidFill>
                          <a:miter lim="800000"/>
                          <a:headEnd/>
                          <a:tailEnd/>
                        </a:ln>
                      </wps:spPr>
                      <wps:txbx>
                        <w:txbxContent>
                          <w:p w14:paraId="58F86E5C" w14:textId="77777777" w:rsidR="00F44300" w:rsidRPr="00A65A91" w:rsidRDefault="00F44300" w:rsidP="00B472C0">
                            <w:pPr>
                              <w:shd w:val="clear" w:color="auto" w:fill="FFFFFF"/>
                              <w:jc w:val="center"/>
                              <w:textAlignment w:val="baseline"/>
                              <w:rPr>
                                <w:rFonts w:ascii="Calibri" w:eastAsia="Times New Roman" w:hAnsi="Calibri" w:cs="Calibri"/>
                                <w:sz w:val="20"/>
                                <w:szCs w:val="20"/>
                              </w:rPr>
                            </w:pPr>
                            <w:r w:rsidRPr="006C0344">
                              <w:rPr>
                                <w:rFonts w:ascii="Calibri" w:eastAsia="Times New Roman" w:hAnsi="Calibri" w:cs="Calibri"/>
                                <w:b/>
                                <w:bCs/>
                                <w:i/>
                                <w:iCs/>
                                <w:sz w:val="20"/>
                                <w:szCs w:val="20"/>
                                <w:bdr w:val="none" w:sz="0" w:space="0" w:color="auto" w:frame="1"/>
                              </w:rPr>
                              <w:t xml:space="preserve">Figure 1: </w:t>
                            </w:r>
                            <w:r w:rsidRPr="00A65A91">
                              <w:rPr>
                                <w:rFonts w:ascii="Calibri" w:eastAsia="Times New Roman" w:hAnsi="Calibri" w:cs="Calibri"/>
                                <w:b/>
                                <w:bCs/>
                                <w:i/>
                                <w:iCs/>
                                <w:sz w:val="20"/>
                                <w:szCs w:val="20"/>
                                <w:bdr w:val="none" w:sz="0" w:space="0" w:color="auto" w:frame="1"/>
                              </w:rPr>
                              <w:t>ADA-Compliant Pre-Pandemic Employee Survey</w:t>
                            </w:r>
                          </w:p>
                          <w:p w14:paraId="4DAEA001" w14:textId="77777777" w:rsidR="00F44300" w:rsidRPr="006C0344" w:rsidRDefault="00F44300" w:rsidP="00B472C0">
                            <w:pPr>
                              <w:shd w:val="clear" w:color="auto" w:fill="FFFFFF"/>
                              <w:textAlignment w:val="baseline"/>
                              <w:rPr>
                                <w:rFonts w:ascii="Calibri" w:eastAsia="Times New Roman" w:hAnsi="Calibri" w:cs="Calibri"/>
                                <w:sz w:val="20"/>
                                <w:szCs w:val="20"/>
                              </w:rPr>
                            </w:pPr>
                          </w:p>
                          <w:p w14:paraId="3F3D255F" w14:textId="77777777" w:rsidR="00F44300" w:rsidRPr="00A65A91" w:rsidRDefault="00F44300" w:rsidP="00B472C0">
                            <w:pPr>
                              <w:shd w:val="clear" w:color="auto" w:fill="FFFFFF"/>
                              <w:textAlignment w:val="baseline"/>
                              <w:rPr>
                                <w:rFonts w:ascii="Calibri" w:eastAsia="Times New Roman" w:hAnsi="Calibri" w:cs="Calibri"/>
                                <w:sz w:val="20"/>
                                <w:szCs w:val="20"/>
                              </w:rPr>
                            </w:pPr>
                            <w:r w:rsidRPr="00A65A91">
                              <w:rPr>
                                <w:rFonts w:ascii="Calibri" w:eastAsia="Times New Roman" w:hAnsi="Calibri" w:cs="Calibri"/>
                                <w:i/>
                                <w:sz w:val="20"/>
                                <w:szCs w:val="20"/>
                              </w:rPr>
                              <w:t>Directions:</w:t>
                            </w:r>
                            <w:r w:rsidRPr="00A65A91">
                              <w:rPr>
                                <w:rFonts w:ascii="Calibri" w:eastAsia="Times New Roman" w:hAnsi="Calibri" w:cs="Calibri"/>
                                <w:sz w:val="20"/>
                                <w:szCs w:val="20"/>
                              </w:rPr>
                              <w:t xml:space="preserve"> Answer “yes” to the whole question without specifying the factor that applies to you. Simply check “yes” or “no” at the bottom of the page.</w:t>
                            </w:r>
                          </w:p>
                          <w:p w14:paraId="27CF93A4" w14:textId="77777777" w:rsidR="00F44300" w:rsidRPr="006C0344" w:rsidRDefault="00F44300" w:rsidP="00B472C0">
                            <w:pPr>
                              <w:shd w:val="clear" w:color="auto" w:fill="FFFFFF"/>
                              <w:textAlignment w:val="baseline"/>
                              <w:rPr>
                                <w:rFonts w:ascii="Calibri" w:eastAsia="Times New Roman" w:hAnsi="Calibri" w:cs="Calibri"/>
                                <w:sz w:val="20"/>
                                <w:szCs w:val="20"/>
                              </w:rPr>
                            </w:pPr>
                          </w:p>
                          <w:p w14:paraId="615FC428" w14:textId="77777777" w:rsidR="00F44300" w:rsidRPr="00A65A91" w:rsidRDefault="00F44300" w:rsidP="00B472C0">
                            <w:pPr>
                              <w:shd w:val="clear" w:color="auto" w:fill="FFFFFF"/>
                              <w:spacing w:after="60"/>
                              <w:textAlignment w:val="baseline"/>
                              <w:rPr>
                                <w:rFonts w:ascii="Calibri" w:eastAsia="Times New Roman" w:hAnsi="Calibri" w:cs="Calibri"/>
                                <w:sz w:val="20"/>
                                <w:szCs w:val="20"/>
                              </w:rPr>
                            </w:pPr>
                            <w:r w:rsidRPr="00A65A91">
                              <w:rPr>
                                <w:rFonts w:ascii="Calibri" w:eastAsia="Times New Roman" w:hAnsi="Calibri" w:cs="Calibri"/>
                                <w:sz w:val="20"/>
                                <w:szCs w:val="20"/>
                              </w:rPr>
                              <w:t>In the event of a pandemic, would you be unable to come to work because of any one of the following reasons:</w:t>
                            </w:r>
                          </w:p>
                          <w:p w14:paraId="31F51A9C" w14:textId="77777777" w:rsidR="00F44300" w:rsidRPr="006C0344" w:rsidRDefault="00F44300" w:rsidP="00F44300">
                            <w:pPr>
                              <w:numPr>
                                <w:ilvl w:val="0"/>
                                <w:numId w:val="32"/>
                              </w:numPr>
                              <w:spacing w:after="60"/>
                              <w:textAlignment w:val="baseline"/>
                              <w:rPr>
                                <w:rFonts w:ascii="Calibri" w:eastAsia="Times New Roman" w:hAnsi="Calibri" w:cs="Calibri"/>
                                <w:sz w:val="20"/>
                                <w:szCs w:val="20"/>
                              </w:rPr>
                            </w:pPr>
                            <w:r w:rsidRPr="006C0344">
                              <w:rPr>
                                <w:rFonts w:ascii="Calibri" w:eastAsia="Times New Roman" w:hAnsi="Calibri" w:cs="Calibri"/>
                                <w:sz w:val="20"/>
                                <w:szCs w:val="20"/>
                              </w:rPr>
                              <w:t>If schools or day-care centers were closed, you would need to care for a child.</w:t>
                            </w:r>
                          </w:p>
                          <w:p w14:paraId="230A919D" w14:textId="77777777" w:rsidR="00F44300" w:rsidRPr="006C0344" w:rsidRDefault="00F44300" w:rsidP="00F44300">
                            <w:pPr>
                              <w:numPr>
                                <w:ilvl w:val="0"/>
                                <w:numId w:val="32"/>
                              </w:numPr>
                              <w:spacing w:after="60"/>
                              <w:textAlignment w:val="baseline"/>
                              <w:rPr>
                                <w:rFonts w:ascii="Calibri" w:eastAsia="Times New Roman" w:hAnsi="Calibri" w:cs="Calibri"/>
                                <w:sz w:val="20"/>
                                <w:szCs w:val="20"/>
                              </w:rPr>
                            </w:pPr>
                            <w:r w:rsidRPr="006C0344">
                              <w:rPr>
                                <w:rFonts w:ascii="Calibri" w:eastAsia="Times New Roman" w:hAnsi="Calibri" w:cs="Calibri"/>
                                <w:sz w:val="20"/>
                                <w:szCs w:val="20"/>
                              </w:rPr>
                              <w:t>If other services were unavailable, you would need to care for other dependents.</w:t>
                            </w:r>
                          </w:p>
                          <w:p w14:paraId="6780FDB0" w14:textId="77777777" w:rsidR="00F44300" w:rsidRPr="006C0344" w:rsidRDefault="00F44300" w:rsidP="00F44300">
                            <w:pPr>
                              <w:numPr>
                                <w:ilvl w:val="0"/>
                                <w:numId w:val="32"/>
                              </w:numPr>
                              <w:spacing w:after="60"/>
                              <w:textAlignment w:val="baseline"/>
                              <w:rPr>
                                <w:rFonts w:ascii="Calibri" w:eastAsia="Times New Roman" w:hAnsi="Calibri" w:cs="Calibri"/>
                                <w:sz w:val="20"/>
                                <w:szCs w:val="20"/>
                              </w:rPr>
                            </w:pPr>
                            <w:r w:rsidRPr="006C0344">
                              <w:rPr>
                                <w:rFonts w:ascii="Calibri" w:eastAsia="Times New Roman" w:hAnsi="Calibri" w:cs="Calibri"/>
                                <w:sz w:val="20"/>
                                <w:szCs w:val="20"/>
                              </w:rPr>
                              <w:t>If public transport were sporadic or unavailable, you would be unable to travel to work.</w:t>
                            </w:r>
                          </w:p>
                          <w:p w14:paraId="5A9137FB" w14:textId="77777777" w:rsidR="00F44300" w:rsidRPr="006C0344" w:rsidRDefault="00F44300" w:rsidP="00F44300">
                            <w:pPr>
                              <w:numPr>
                                <w:ilvl w:val="0"/>
                                <w:numId w:val="32"/>
                              </w:numPr>
                              <w:spacing w:line="255" w:lineRule="atLeast"/>
                              <w:textAlignment w:val="baseline"/>
                              <w:rPr>
                                <w:rFonts w:ascii="Calibri" w:eastAsia="Times New Roman" w:hAnsi="Calibri" w:cs="Calibri"/>
                                <w:sz w:val="20"/>
                                <w:szCs w:val="20"/>
                              </w:rPr>
                            </w:pPr>
                            <w:r w:rsidRPr="006C0344">
                              <w:rPr>
                                <w:rFonts w:ascii="Calibri" w:eastAsia="Times New Roman" w:hAnsi="Calibri" w:cs="Calibri"/>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101D795E" w14:textId="77777777" w:rsidR="00F44300" w:rsidRPr="006C0344" w:rsidRDefault="00F44300" w:rsidP="00B472C0">
                            <w:pPr>
                              <w:spacing w:line="255" w:lineRule="atLeast"/>
                              <w:textAlignment w:val="baseline"/>
                              <w:rPr>
                                <w:rFonts w:ascii="Calibri" w:eastAsia="Times New Roman" w:hAnsi="Calibri" w:cs="Calibri"/>
                                <w:sz w:val="20"/>
                                <w:szCs w:val="20"/>
                              </w:rPr>
                            </w:pPr>
                          </w:p>
                          <w:p w14:paraId="55C5D52D" w14:textId="77777777" w:rsidR="00F44300" w:rsidRPr="00A65A91" w:rsidRDefault="00F44300" w:rsidP="001D350D">
                            <w:pPr>
                              <w:shd w:val="clear" w:color="auto" w:fill="FFFFFF"/>
                              <w:spacing w:after="225" w:line="240" w:lineRule="atLeast"/>
                              <w:textAlignment w:val="baseline"/>
                              <w:rPr>
                                <w:rFonts w:ascii="Calibri" w:eastAsia="Times New Roman" w:hAnsi="Calibri" w:cs="Calibri"/>
                                <w:sz w:val="20"/>
                                <w:szCs w:val="20"/>
                              </w:rPr>
                            </w:pPr>
                            <w:r w:rsidRPr="00A65A91">
                              <w:rPr>
                                <w:rFonts w:ascii="Calibri" w:eastAsia="Times New Roman" w:hAnsi="Calibri" w:cs="Calibri"/>
                                <w:i/>
                                <w:sz w:val="20"/>
                                <w:szCs w:val="20"/>
                              </w:rPr>
                              <w:t>Answer:</w:t>
                            </w:r>
                            <w:r w:rsidRPr="00A65A91">
                              <w:rPr>
                                <w:rFonts w:ascii="Calibri" w:eastAsia="Times New Roman" w:hAnsi="Calibri" w:cs="Calibri"/>
                                <w:sz w:val="20"/>
                                <w:szCs w:val="20"/>
                              </w:rPr>
                              <w:t xml:space="preserve"> </w:t>
                            </w:r>
                            <w:r w:rsidRPr="006C0344">
                              <w:rPr>
                                <w:rFonts w:ascii="Calibri" w:eastAsia="Times New Roman" w:hAnsi="Calibri" w:cs="Calibri"/>
                                <w:sz w:val="20"/>
                                <w:szCs w:val="20"/>
                              </w:rPr>
                              <w:t xml:space="preserve">  </w:t>
                            </w:r>
                            <w:r w:rsidRPr="00A65A91">
                              <w:rPr>
                                <w:rFonts w:ascii="Calibri" w:eastAsia="Times New Roman" w:hAnsi="Calibri" w:cs="Calibri"/>
                                <w:sz w:val="20"/>
                                <w:szCs w:val="20"/>
                              </w:rPr>
                              <w:t>YES______</w:t>
                            </w:r>
                            <w:r w:rsidRPr="006C0344">
                              <w:rPr>
                                <w:rFonts w:ascii="Calibri" w:eastAsia="Times New Roman" w:hAnsi="Calibri" w:cs="Calibri"/>
                                <w:sz w:val="20"/>
                                <w:szCs w:val="20"/>
                              </w:rPr>
                              <w:t xml:space="preserve">    </w:t>
                            </w:r>
                            <w:r w:rsidRPr="00A65A91">
                              <w:rPr>
                                <w:rFonts w:ascii="Calibri" w:eastAsia="Times New Roman" w:hAnsi="Calibri" w:cs="Calibri"/>
                                <w:sz w:val="20"/>
                                <w:szCs w:val="20"/>
                              </w:rPr>
                              <w:t>NO_______</w:t>
                            </w:r>
                          </w:p>
                          <w:p w14:paraId="21900ADF" w14:textId="77777777" w:rsidR="00F44300" w:rsidRPr="006C0344" w:rsidRDefault="00F44300" w:rsidP="00B472C0">
                            <w:pPr>
                              <w:jc w:val="right"/>
                              <w:rPr>
                                <w:i/>
                                <w:sz w:val="20"/>
                              </w:rPr>
                            </w:pPr>
                            <w:r w:rsidRPr="00A65A91">
                              <w:rPr>
                                <w:rFonts w:ascii="Calibri" w:eastAsia="Times New Roman" w:hAnsi="Calibri" w:cs="Calibri"/>
                                <w:i/>
                                <w:sz w:val="18"/>
                                <w:szCs w:val="20"/>
                              </w:rPr>
                              <w:t>Figure 1, Source: U.S. Equal Employment Opportunity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DD591C" id="_x0000_t202" coordsize="21600,21600" o:spt="202" path="m,l,21600r21600,l21600,xe">
                <v:stroke joinstyle="miter"/>
                <v:path gradientshapeok="t" o:connecttype="rect"/>
              </v:shapetype>
              <v:shape id="Text Box 2" o:spid="_x0000_s1026" type="#_x0000_t202" style="position:absolute;margin-left:20.75pt;margin-top:250.15pt;width:395.5pt;height:268.4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2JJAIAAEcEAAAOAAAAZHJzL2Uyb0RvYy54bWysU9uO2yAQfa/Uf0C8N75s0k2sOKtttqkq&#10;bS/Sbj8AYxyjAuMCiZ1+/Q7Ym6a3l6o8IIYZDjPnzKxvBq3IUVgnwZQ0m6WUCMOhlmZf0i+Pu1dL&#10;SpxnpmYKjCjpSTh6s3n5Yt13hcihBVULSxDEuKLvStp63xVJ4ngrNHMz6IRBZwNWM4+m3Se1ZT2i&#10;a5Xkafo66cHWnQUunMPbu9FJNxG/aQT3n5rGCU9USTE3H3cb9yrsyWbNir1lXSv5lAb7hyw0kwY/&#10;PUPdMc/IwcrfoLTkFhw0fsZBJ9A0kotYA1aTpb9U89CyTsRakBzXnWly/w+Wfzx+tkTWJc2za0oM&#10;0yjSoxg8eQMDyQM/fecKDHvoMNAPeI06x1pddw/8qyMGti0ze3FrLfStYDXml4WXycXTEccFkKr/&#10;ADV+ww4eItDQWB3IQzoIoqNOp7M2IRWOl4s0z5cLdHH0Xc3T1VW2iH+w4vl5Z51/J0CTcCipRfEj&#10;PDveOx/SYcVzSPjNgZL1TioVDbuvtsqSI8NG2cU1of8UpgzpS7pa5IuRgb9CpHH9CUJLjx2vpC7p&#10;8hzEisDbW1PHfvRMqvGMKSszERm4G1n0QzVMwlRQn5BSC2Nn4yTioQX7nZIeu7qk7tuBWUGJem9Q&#10;llU2n4cxiMZ8cZ2jYS891aWHGY5QJfWUjMetj6MTCDNwi/I1MhIbdB4zmXLFbo18T5MVxuHSjlE/&#10;5n/zBAAA//8DAFBLAwQUAAYACAAAACEAr7gf3OEAAAALAQAADwAAAGRycy9kb3ducmV2LnhtbEyP&#10;y07DMBBF90j8gzVIbBC1m/QRQpwKIYHoDgqCrRu7SYQ9Drabhr9nWMFyZo7unFttJmfZaELsPUqY&#10;zwQwg43XPbYS3l4frgtgMSnUyno0Er5NhE19flapUvsTvphxl1pGIRhLJaFLaSg5j01nnIozPxik&#10;28EHpxKNoeU6qBOFO8szIVbcqR7pQ6cGc9+Z5nN3dBKKxdP4Ebf583uzOtibdLUeH7+ClJcX090t&#10;sGSm9AfDrz6pQ01Oe39EHZmVsJgviZSwFCIHRkCRZ7TZEynydQa8rvj/DvUPAAAA//8DAFBLAQIt&#10;ABQABgAIAAAAIQC2gziS/gAAAOEBAAATAAAAAAAAAAAAAAAAAAAAAABbQ29udGVudF9UeXBlc10u&#10;eG1sUEsBAi0AFAAGAAgAAAAhADj9If/WAAAAlAEAAAsAAAAAAAAAAAAAAAAALwEAAF9yZWxzLy5y&#10;ZWxzUEsBAi0AFAAGAAgAAAAhAJ0wvYkkAgAARwQAAA4AAAAAAAAAAAAAAAAALgIAAGRycy9lMm9E&#10;b2MueG1sUEsBAi0AFAAGAAgAAAAhAK+4H9zhAAAACwEAAA8AAAAAAAAAAAAAAAAAfgQAAGRycy9k&#10;b3ducmV2LnhtbFBLBQYAAAAABAAEAPMAAACMBQAAAAA=&#10;">
                <v:textbox>
                  <w:txbxContent>
                    <w:p w14:paraId="58F86E5C" w14:textId="77777777" w:rsidR="00F44300" w:rsidRPr="00A65A91" w:rsidRDefault="00F44300" w:rsidP="00B472C0">
                      <w:pPr>
                        <w:shd w:val="clear" w:color="auto" w:fill="FFFFFF"/>
                        <w:jc w:val="center"/>
                        <w:textAlignment w:val="baseline"/>
                        <w:rPr>
                          <w:rFonts w:ascii="Calibri" w:eastAsia="Times New Roman" w:hAnsi="Calibri" w:cs="Calibri"/>
                          <w:sz w:val="20"/>
                          <w:szCs w:val="20"/>
                        </w:rPr>
                      </w:pPr>
                      <w:r w:rsidRPr="006C0344">
                        <w:rPr>
                          <w:rFonts w:ascii="Calibri" w:eastAsia="Times New Roman" w:hAnsi="Calibri" w:cs="Calibri"/>
                          <w:b/>
                          <w:bCs/>
                          <w:i/>
                          <w:iCs/>
                          <w:sz w:val="20"/>
                          <w:szCs w:val="20"/>
                          <w:bdr w:val="none" w:sz="0" w:space="0" w:color="auto" w:frame="1"/>
                        </w:rPr>
                        <w:t xml:space="preserve">Figure 1: </w:t>
                      </w:r>
                      <w:r w:rsidRPr="00A65A91">
                        <w:rPr>
                          <w:rFonts w:ascii="Calibri" w:eastAsia="Times New Roman" w:hAnsi="Calibri" w:cs="Calibri"/>
                          <w:b/>
                          <w:bCs/>
                          <w:i/>
                          <w:iCs/>
                          <w:sz w:val="20"/>
                          <w:szCs w:val="20"/>
                          <w:bdr w:val="none" w:sz="0" w:space="0" w:color="auto" w:frame="1"/>
                        </w:rPr>
                        <w:t>ADA-Compliant Pre-Pandemic Employee Survey</w:t>
                      </w:r>
                    </w:p>
                    <w:p w14:paraId="4DAEA001" w14:textId="77777777" w:rsidR="00F44300" w:rsidRPr="006C0344" w:rsidRDefault="00F44300" w:rsidP="00B472C0">
                      <w:pPr>
                        <w:shd w:val="clear" w:color="auto" w:fill="FFFFFF"/>
                        <w:textAlignment w:val="baseline"/>
                        <w:rPr>
                          <w:rFonts w:ascii="Calibri" w:eastAsia="Times New Roman" w:hAnsi="Calibri" w:cs="Calibri"/>
                          <w:sz w:val="20"/>
                          <w:szCs w:val="20"/>
                        </w:rPr>
                      </w:pPr>
                    </w:p>
                    <w:p w14:paraId="3F3D255F" w14:textId="77777777" w:rsidR="00F44300" w:rsidRPr="00A65A91" w:rsidRDefault="00F44300" w:rsidP="00B472C0">
                      <w:pPr>
                        <w:shd w:val="clear" w:color="auto" w:fill="FFFFFF"/>
                        <w:textAlignment w:val="baseline"/>
                        <w:rPr>
                          <w:rFonts w:ascii="Calibri" w:eastAsia="Times New Roman" w:hAnsi="Calibri" w:cs="Calibri"/>
                          <w:sz w:val="20"/>
                          <w:szCs w:val="20"/>
                        </w:rPr>
                      </w:pPr>
                      <w:r w:rsidRPr="00A65A91">
                        <w:rPr>
                          <w:rFonts w:ascii="Calibri" w:eastAsia="Times New Roman" w:hAnsi="Calibri" w:cs="Calibri"/>
                          <w:i/>
                          <w:sz w:val="20"/>
                          <w:szCs w:val="20"/>
                        </w:rPr>
                        <w:t>Directions:</w:t>
                      </w:r>
                      <w:r w:rsidRPr="00A65A91">
                        <w:rPr>
                          <w:rFonts w:ascii="Calibri" w:eastAsia="Times New Roman" w:hAnsi="Calibri" w:cs="Calibri"/>
                          <w:sz w:val="20"/>
                          <w:szCs w:val="20"/>
                        </w:rPr>
                        <w:t xml:space="preserve"> Answer “yes” to the whole question without specifying the factor that applies to you. Simply check “yes” or “no” at the bottom of the page.</w:t>
                      </w:r>
                    </w:p>
                    <w:p w14:paraId="27CF93A4" w14:textId="77777777" w:rsidR="00F44300" w:rsidRPr="006C0344" w:rsidRDefault="00F44300" w:rsidP="00B472C0">
                      <w:pPr>
                        <w:shd w:val="clear" w:color="auto" w:fill="FFFFFF"/>
                        <w:textAlignment w:val="baseline"/>
                        <w:rPr>
                          <w:rFonts w:ascii="Calibri" w:eastAsia="Times New Roman" w:hAnsi="Calibri" w:cs="Calibri"/>
                          <w:sz w:val="20"/>
                          <w:szCs w:val="20"/>
                        </w:rPr>
                      </w:pPr>
                    </w:p>
                    <w:p w14:paraId="615FC428" w14:textId="77777777" w:rsidR="00F44300" w:rsidRPr="00A65A91" w:rsidRDefault="00F44300" w:rsidP="00B472C0">
                      <w:pPr>
                        <w:shd w:val="clear" w:color="auto" w:fill="FFFFFF"/>
                        <w:spacing w:after="60"/>
                        <w:textAlignment w:val="baseline"/>
                        <w:rPr>
                          <w:rFonts w:ascii="Calibri" w:eastAsia="Times New Roman" w:hAnsi="Calibri" w:cs="Calibri"/>
                          <w:sz w:val="20"/>
                          <w:szCs w:val="20"/>
                        </w:rPr>
                      </w:pPr>
                      <w:r w:rsidRPr="00A65A91">
                        <w:rPr>
                          <w:rFonts w:ascii="Calibri" w:eastAsia="Times New Roman" w:hAnsi="Calibri" w:cs="Calibri"/>
                          <w:sz w:val="20"/>
                          <w:szCs w:val="20"/>
                        </w:rPr>
                        <w:t>In the event of a pandemic, would you be unable to come to work because of any one of the following reasons:</w:t>
                      </w:r>
                    </w:p>
                    <w:p w14:paraId="31F51A9C" w14:textId="77777777" w:rsidR="00F44300" w:rsidRPr="006C0344" w:rsidRDefault="00F44300" w:rsidP="00F44300">
                      <w:pPr>
                        <w:numPr>
                          <w:ilvl w:val="0"/>
                          <w:numId w:val="32"/>
                        </w:numPr>
                        <w:spacing w:after="60"/>
                        <w:textAlignment w:val="baseline"/>
                        <w:rPr>
                          <w:rFonts w:ascii="Calibri" w:eastAsia="Times New Roman" w:hAnsi="Calibri" w:cs="Calibri"/>
                          <w:sz w:val="20"/>
                          <w:szCs w:val="20"/>
                        </w:rPr>
                      </w:pPr>
                      <w:r w:rsidRPr="006C0344">
                        <w:rPr>
                          <w:rFonts w:ascii="Calibri" w:eastAsia="Times New Roman" w:hAnsi="Calibri" w:cs="Calibri"/>
                          <w:sz w:val="20"/>
                          <w:szCs w:val="20"/>
                        </w:rPr>
                        <w:t>If schools or day-care centers were closed, you would need to care for a child.</w:t>
                      </w:r>
                    </w:p>
                    <w:p w14:paraId="230A919D" w14:textId="77777777" w:rsidR="00F44300" w:rsidRPr="006C0344" w:rsidRDefault="00F44300" w:rsidP="00F44300">
                      <w:pPr>
                        <w:numPr>
                          <w:ilvl w:val="0"/>
                          <w:numId w:val="32"/>
                        </w:numPr>
                        <w:spacing w:after="60"/>
                        <w:textAlignment w:val="baseline"/>
                        <w:rPr>
                          <w:rFonts w:ascii="Calibri" w:eastAsia="Times New Roman" w:hAnsi="Calibri" w:cs="Calibri"/>
                          <w:sz w:val="20"/>
                          <w:szCs w:val="20"/>
                        </w:rPr>
                      </w:pPr>
                      <w:r w:rsidRPr="006C0344">
                        <w:rPr>
                          <w:rFonts w:ascii="Calibri" w:eastAsia="Times New Roman" w:hAnsi="Calibri" w:cs="Calibri"/>
                          <w:sz w:val="20"/>
                          <w:szCs w:val="20"/>
                        </w:rPr>
                        <w:t>If other services were unavailable, you would need to care for other dependents.</w:t>
                      </w:r>
                    </w:p>
                    <w:p w14:paraId="6780FDB0" w14:textId="77777777" w:rsidR="00F44300" w:rsidRPr="006C0344" w:rsidRDefault="00F44300" w:rsidP="00F44300">
                      <w:pPr>
                        <w:numPr>
                          <w:ilvl w:val="0"/>
                          <w:numId w:val="32"/>
                        </w:numPr>
                        <w:spacing w:after="60"/>
                        <w:textAlignment w:val="baseline"/>
                        <w:rPr>
                          <w:rFonts w:ascii="Calibri" w:eastAsia="Times New Roman" w:hAnsi="Calibri" w:cs="Calibri"/>
                          <w:sz w:val="20"/>
                          <w:szCs w:val="20"/>
                        </w:rPr>
                      </w:pPr>
                      <w:r w:rsidRPr="006C0344">
                        <w:rPr>
                          <w:rFonts w:ascii="Calibri" w:eastAsia="Times New Roman" w:hAnsi="Calibri" w:cs="Calibri"/>
                          <w:sz w:val="20"/>
                          <w:szCs w:val="20"/>
                        </w:rPr>
                        <w:t>If public transport were sporadic or unavailable, you would be unable to travel to work.</w:t>
                      </w:r>
                    </w:p>
                    <w:p w14:paraId="5A9137FB" w14:textId="77777777" w:rsidR="00F44300" w:rsidRPr="006C0344" w:rsidRDefault="00F44300" w:rsidP="00F44300">
                      <w:pPr>
                        <w:numPr>
                          <w:ilvl w:val="0"/>
                          <w:numId w:val="32"/>
                        </w:numPr>
                        <w:spacing w:line="255" w:lineRule="atLeast"/>
                        <w:textAlignment w:val="baseline"/>
                        <w:rPr>
                          <w:rFonts w:ascii="Calibri" w:eastAsia="Times New Roman" w:hAnsi="Calibri" w:cs="Calibri"/>
                          <w:sz w:val="20"/>
                          <w:szCs w:val="20"/>
                        </w:rPr>
                      </w:pPr>
                      <w:r w:rsidRPr="006C0344">
                        <w:rPr>
                          <w:rFonts w:ascii="Calibri" w:eastAsia="Times New Roman" w:hAnsi="Calibri" w:cs="Calibri"/>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101D795E" w14:textId="77777777" w:rsidR="00F44300" w:rsidRPr="006C0344" w:rsidRDefault="00F44300" w:rsidP="00B472C0">
                      <w:pPr>
                        <w:spacing w:line="255" w:lineRule="atLeast"/>
                        <w:textAlignment w:val="baseline"/>
                        <w:rPr>
                          <w:rFonts w:ascii="Calibri" w:eastAsia="Times New Roman" w:hAnsi="Calibri" w:cs="Calibri"/>
                          <w:sz w:val="20"/>
                          <w:szCs w:val="20"/>
                        </w:rPr>
                      </w:pPr>
                    </w:p>
                    <w:p w14:paraId="55C5D52D" w14:textId="77777777" w:rsidR="00F44300" w:rsidRPr="00A65A91" w:rsidRDefault="00F44300" w:rsidP="001D350D">
                      <w:pPr>
                        <w:shd w:val="clear" w:color="auto" w:fill="FFFFFF"/>
                        <w:spacing w:after="225" w:line="240" w:lineRule="atLeast"/>
                        <w:textAlignment w:val="baseline"/>
                        <w:rPr>
                          <w:rFonts w:ascii="Calibri" w:eastAsia="Times New Roman" w:hAnsi="Calibri" w:cs="Calibri"/>
                          <w:sz w:val="20"/>
                          <w:szCs w:val="20"/>
                        </w:rPr>
                      </w:pPr>
                      <w:r w:rsidRPr="00A65A91">
                        <w:rPr>
                          <w:rFonts w:ascii="Calibri" w:eastAsia="Times New Roman" w:hAnsi="Calibri" w:cs="Calibri"/>
                          <w:i/>
                          <w:sz w:val="20"/>
                          <w:szCs w:val="20"/>
                        </w:rPr>
                        <w:t>Answer:</w:t>
                      </w:r>
                      <w:r w:rsidRPr="00A65A91">
                        <w:rPr>
                          <w:rFonts w:ascii="Calibri" w:eastAsia="Times New Roman" w:hAnsi="Calibri" w:cs="Calibri"/>
                          <w:sz w:val="20"/>
                          <w:szCs w:val="20"/>
                        </w:rPr>
                        <w:t xml:space="preserve"> </w:t>
                      </w:r>
                      <w:r w:rsidRPr="006C0344">
                        <w:rPr>
                          <w:rFonts w:ascii="Calibri" w:eastAsia="Times New Roman" w:hAnsi="Calibri" w:cs="Calibri"/>
                          <w:sz w:val="20"/>
                          <w:szCs w:val="20"/>
                        </w:rPr>
                        <w:t xml:space="preserve">  </w:t>
                      </w:r>
                      <w:r w:rsidRPr="00A65A91">
                        <w:rPr>
                          <w:rFonts w:ascii="Calibri" w:eastAsia="Times New Roman" w:hAnsi="Calibri" w:cs="Calibri"/>
                          <w:sz w:val="20"/>
                          <w:szCs w:val="20"/>
                        </w:rPr>
                        <w:t>YES______</w:t>
                      </w:r>
                      <w:r w:rsidRPr="006C0344">
                        <w:rPr>
                          <w:rFonts w:ascii="Calibri" w:eastAsia="Times New Roman" w:hAnsi="Calibri" w:cs="Calibri"/>
                          <w:sz w:val="20"/>
                          <w:szCs w:val="20"/>
                        </w:rPr>
                        <w:t xml:space="preserve">    </w:t>
                      </w:r>
                      <w:r w:rsidRPr="00A65A91">
                        <w:rPr>
                          <w:rFonts w:ascii="Calibri" w:eastAsia="Times New Roman" w:hAnsi="Calibri" w:cs="Calibri"/>
                          <w:sz w:val="20"/>
                          <w:szCs w:val="20"/>
                        </w:rPr>
                        <w:t>NO_______</w:t>
                      </w:r>
                    </w:p>
                    <w:p w14:paraId="21900ADF" w14:textId="77777777" w:rsidR="00F44300" w:rsidRPr="006C0344" w:rsidRDefault="00F44300" w:rsidP="00B472C0">
                      <w:pPr>
                        <w:jc w:val="right"/>
                        <w:rPr>
                          <w:i/>
                          <w:sz w:val="20"/>
                        </w:rPr>
                      </w:pPr>
                      <w:r w:rsidRPr="00A65A91">
                        <w:rPr>
                          <w:rFonts w:ascii="Calibri" w:eastAsia="Times New Roman" w:hAnsi="Calibri" w:cs="Calibri"/>
                          <w:i/>
                          <w:sz w:val="18"/>
                          <w:szCs w:val="20"/>
                        </w:rPr>
                        <w:t>Figure 1, Source: U.S. Equal Employment Opportunity</w:t>
                      </w:r>
                    </w:p>
                  </w:txbxContent>
                </v:textbox>
                <w10:wrap type="topAndBottom" anchorx="margin"/>
              </v:shape>
            </w:pict>
          </mc:Fallback>
        </mc:AlternateContent>
      </w:r>
      <w:r w:rsidRPr="00A65A91">
        <w:rPr>
          <w:rFonts w:ascii="Calibri" w:eastAsia="Times New Roman" w:hAnsi="Calibri" w:cs="Calibri"/>
        </w:rPr>
        <w:t>EEOC has addressed matters related to pandemic influenza in its technical assistance document titled </w:t>
      </w:r>
      <w:r w:rsidRPr="00A65A91">
        <w:rPr>
          <w:rFonts w:ascii="Calibri" w:eastAsia="Times New Roman" w:hAnsi="Calibri" w:cs="Calibri"/>
          <w:i/>
          <w:iCs/>
          <w:bdr w:val="none" w:sz="0" w:space="0" w:color="auto" w:frame="1"/>
        </w:rPr>
        <w:t>Pandemic Preparedness in the Workplace and the Americans with Disabilities Act</w:t>
      </w:r>
      <w:r w:rsidRPr="00A65A91">
        <w:rPr>
          <w:rFonts w:ascii="Calibri" w:eastAsia="Times New Roman" w:hAnsi="Calibri" w:cs="Calibri"/>
        </w:rPr>
        <w:t>,</w:t>
      </w:r>
      <w:r w:rsidRPr="00A65A91">
        <w:rPr>
          <w:rFonts w:ascii="Calibri" w:eastAsia="Times New Roman" w:hAnsi="Calibri" w:cs="Calibri"/>
          <w:bdr w:val="none" w:sz="0" w:space="0" w:color="auto" w:frame="1"/>
          <w:vertAlign w:val="superscript"/>
        </w:rPr>
        <w:t>44</w:t>
      </w:r>
      <w:r w:rsidRPr="00A65A91">
        <w:rPr>
          <w:rFonts w:ascii="Calibri" w:eastAsia="Times New Roman" w:hAnsi="Calibri" w:cs="Calibri"/>
        </w:rPr>
        <w:t xml:space="preserve"> which provides guidance and reminders for employers regarding health-related inquiries and medical examinations before, during, and after a pandemic. The document also provides a </w:t>
      </w:r>
      <w:proofErr w:type="gramStart"/>
      <w:r w:rsidRPr="00A65A91">
        <w:rPr>
          <w:rFonts w:ascii="Calibri" w:eastAsia="Times New Roman" w:hAnsi="Calibri" w:cs="Calibri"/>
        </w:rPr>
        <w:t>sample ADA-compliant survey employers</w:t>
      </w:r>
      <w:proofErr w:type="gramEnd"/>
      <w:r w:rsidRPr="00A65A91">
        <w:rPr>
          <w:rFonts w:ascii="Calibri" w:eastAsia="Times New Roman" w:hAnsi="Calibri" w:cs="Calibri"/>
        </w:rPr>
        <w:t xml:space="preserve"> may use with employees before a pandemic to evaluate potential absenteeism (see Figure 1). EEOC takes the position that an employer may survey its workforce to gather personal information to determine potential absences from work during a pandemic, provided that the employer asks broad questions that are not limited to disability-related inquiries. For example, in addition to medical reasons, an employer may ask employees to identify potential nonmedical reasons for absence during a pandemic, such as curtailed public transportation or the need to care for a child if schools or day care centers were closed. The employer must be careful to structure its survey so that employees identify potential medical and nonmedical reasons that would prevent them from coming to work in the event </w:t>
      </w:r>
      <w:r w:rsidRPr="00A65A91">
        <w:rPr>
          <w:rFonts w:ascii="Calibri" w:eastAsia="Times New Roman" w:hAnsi="Calibri" w:cs="Calibri"/>
        </w:rPr>
        <w:lastRenderedPageBreak/>
        <w:t xml:space="preserve">of a pandemic without specifying the factor that applies to them. This way, the employer </w:t>
      </w:r>
      <w:proofErr w:type="gramStart"/>
      <w:r w:rsidRPr="00A65A91">
        <w:rPr>
          <w:rFonts w:ascii="Calibri" w:eastAsia="Times New Roman" w:hAnsi="Calibri" w:cs="Calibri"/>
        </w:rPr>
        <w:t>is able to</w:t>
      </w:r>
      <w:proofErr w:type="gramEnd"/>
      <w:r w:rsidRPr="00A65A91">
        <w:rPr>
          <w:rFonts w:ascii="Calibri" w:eastAsia="Times New Roman" w:hAnsi="Calibri" w:cs="Calibri"/>
        </w:rPr>
        <w:t xml:space="preserve"> gather information to plan for absenteeism without asking the employee to disclose information about a disability. Prior to implementing such a survey, employers should consult legal counsel to evaluate when and how such a survey may be used.</w:t>
      </w:r>
    </w:p>
    <w:p w14:paraId="0163CA83" w14:textId="77777777" w:rsidR="00F44300" w:rsidRDefault="00F44300" w:rsidP="00A5445A">
      <w:pPr>
        <w:shd w:val="clear" w:color="auto" w:fill="FFFFFF"/>
        <w:spacing w:line="360" w:lineRule="auto"/>
        <w:textAlignment w:val="baseline"/>
        <w:rPr>
          <w:rFonts w:ascii="Calibri" w:eastAsia="Times New Roman" w:hAnsi="Calibri" w:cs="Calibri"/>
        </w:rPr>
      </w:pPr>
    </w:p>
    <w:p w14:paraId="6C5CB8DD"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During a pandemic, an employer may send employees home if they display influenza-like symptoms. Employers may also ask employees who call in sick if they are experiencing influenza-like symptoms. An employer may require employees who have been away from the workplace during a pandemic to provide a doctor's note certifying fitness to return to work. If the illness is akin to seasonal influenza or the 2009 H1N1 virus, such actions or inquiries are not disability-related. Such actions or inquiries would also be permitted under ADA if the illness were serious enough to pose a direct threat.</w:t>
      </w:r>
      <w:r w:rsidRPr="00A65A91">
        <w:rPr>
          <w:rFonts w:ascii="Calibri" w:eastAsia="Times New Roman" w:hAnsi="Calibri" w:cs="Calibri"/>
          <w:bdr w:val="none" w:sz="0" w:space="0" w:color="auto" w:frame="1"/>
          <w:vertAlign w:val="superscript"/>
        </w:rPr>
        <w:t>45</w:t>
      </w:r>
    </w:p>
    <w:p w14:paraId="3C2CD5BF"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1F10CF24" w14:textId="77777777" w:rsidR="00F44300" w:rsidRDefault="00F44300"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ADA requires protection of information obtained from disability-related inquiries and medical examinations. Information regarding any employee's medical condition or history shall be collected and maintained on separate forms and in separate medical files and be treated as a confidential medical record.</w:t>
      </w:r>
      <w:r w:rsidRPr="00A65A91">
        <w:rPr>
          <w:rFonts w:ascii="Calibri" w:eastAsia="Times New Roman" w:hAnsi="Calibri" w:cs="Calibri"/>
          <w:bdr w:val="none" w:sz="0" w:space="0" w:color="auto" w:frame="1"/>
          <w:vertAlign w:val="superscript"/>
        </w:rPr>
        <w:t>46</w:t>
      </w:r>
    </w:p>
    <w:p w14:paraId="62E747E1" w14:textId="77777777" w:rsidR="00F44300" w:rsidRPr="00A65A91" w:rsidRDefault="00F44300" w:rsidP="00A5445A">
      <w:pPr>
        <w:shd w:val="clear" w:color="auto" w:fill="FFFFFF"/>
        <w:spacing w:line="360" w:lineRule="auto"/>
        <w:textAlignment w:val="baseline"/>
        <w:rPr>
          <w:rFonts w:ascii="Calibri" w:eastAsia="Times New Roman" w:hAnsi="Calibri" w:cs="Calibri"/>
        </w:rPr>
      </w:pPr>
    </w:p>
    <w:p w14:paraId="5DBD7E98" w14:textId="77777777" w:rsidR="00F44300" w:rsidRPr="00A65A91" w:rsidRDefault="00F44300"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ADA also limits sharing such information.</w:t>
      </w:r>
      <w:r w:rsidRPr="00A65A91">
        <w:rPr>
          <w:rFonts w:ascii="Calibri" w:eastAsia="Times New Roman" w:hAnsi="Calibri" w:cs="Calibri"/>
          <w:bdr w:val="none" w:sz="0" w:space="0" w:color="auto" w:frame="1"/>
          <w:vertAlign w:val="superscript"/>
        </w:rPr>
        <w:t>47</w:t>
      </w:r>
      <w:r w:rsidRPr="00A65A91">
        <w:rPr>
          <w:rFonts w:ascii="Calibri" w:eastAsia="Times New Roman" w:hAnsi="Calibri" w:cs="Calibri"/>
        </w:rPr>
        <w:t> Supervisors and managers may be informed of necessary restrictions on an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shall be provided with relevant information on request.</w:t>
      </w:r>
    </w:p>
    <w:p w14:paraId="49AE70B9" w14:textId="77777777" w:rsidR="00F44300" w:rsidRPr="00A65A91" w:rsidRDefault="00F44300" w:rsidP="00A5445A">
      <w:pPr>
        <w:spacing w:line="360" w:lineRule="auto"/>
        <w:rPr>
          <w:rFonts w:ascii="Calibri" w:eastAsia="Times New Roman" w:hAnsi="Calibri" w:cs="Calibri"/>
          <w:sz w:val="24"/>
          <w:szCs w:val="24"/>
        </w:rPr>
      </w:pPr>
    </w:p>
    <w:p w14:paraId="44274B70" w14:textId="77777777" w:rsidR="00F44300" w:rsidRPr="00A65A91" w:rsidRDefault="00F44300" w:rsidP="00A5445A">
      <w:pPr>
        <w:spacing w:line="360" w:lineRule="auto"/>
        <w:rPr>
          <w:rFonts w:ascii="Calibri" w:eastAsia="Times New Roman" w:hAnsi="Calibri" w:cs="Calibri"/>
          <w:b/>
          <w:bCs/>
          <w:szCs w:val="20"/>
        </w:rPr>
      </w:pPr>
      <w:r w:rsidRPr="00A65A91">
        <w:rPr>
          <w:rFonts w:ascii="Calibri" w:eastAsia="Times New Roman" w:hAnsi="Calibri" w:cs="Calibri"/>
          <w:b/>
          <w:bCs/>
          <w:szCs w:val="20"/>
        </w:rPr>
        <w:t>Conclusion</w:t>
      </w:r>
    </w:p>
    <w:p w14:paraId="3285E68C" w14:textId="77777777" w:rsidR="00F44300" w:rsidRPr="006C0344" w:rsidRDefault="00F44300" w:rsidP="00A5445A">
      <w:pPr>
        <w:shd w:val="clear" w:color="auto" w:fill="FFFFFF"/>
        <w:spacing w:line="360" w:lineRule="auto"/>
        <w:textAlignment w:val="baseline"/>
        <w:rPr>
          <w:rFonts w:ascii="Calibri" w:eastAsia="Times New Roman" w:hAnsi="Calibri" w:cs="Calibri"/>
          <w:szCs w:val="20"/>
        </w:rPr>
      </w:pPr>
      <w:r w:rsidRPr="00A65A91">
        <w:rPr>
          <w:rFonts w:ascii="Calibri" w:eastAsia="Times New Roman" w:hAnsi="Calibri" w:cs="Calibri"/>
          <w:szCs w:val="20"/>
        </w:rPr>
        <w:t xml:space="preserve">Certain personal and health information about employees helps public health agencies and other employers prepare and respond to public health emergencies. Employee surveys may help public health agencies determine potential absences from work that impact vital public health functions and emergency response efforts. Monitoring employees' health helps employers provide safe workplaces, preventing the spread of disease among employees and to the public and ensuring that employees obtain treatment. However, ADA-which protects people against discrimination because of disability-restricts public health agencies' ability to ask employees about their health or to require medical </w:t>
      </w:r>
      <w:r w:rsidRPr="00A65A91">
        <w:rPr>
          <w:rFonts w:ascii="Calibri" w:eastAsia="Times New Roman" w:hAnsi="Calibri" w:cs="Calibri"/>
          <w:szCs w:val="20"/>
        </w:rPr>
        <w:lastRenderedPageBreak/>
        <w:t xml:space="preserve">examinations. A public health agency must understand these limitations' nature and scope so that it may effectively carry out its responsibilities to all employees and the public, </w:t>
      </w:r>
      <w:proofErr w:type="gramStart"/>
      <w:r w:rsidRPr="00A65A91">
        <w:rPr>
          <w:rFonts w:ascii="Calibri" w:eastAsia="Times New Roman" w:hAnsi="Calibri" w:cs="Calibri"/>
          <w:szCs w:val="20"/>
        </w:rPr>
        <w:t>whether or not</w:t>
      </w:r>
      <w:proofErr w:type="gramEnd"/>
      <w:r w:rsidRPr="00A65A91">
        <w:rPr>
          <w:rFonts w:ascii="Calibri" w:eastAsia="Times New Roman" w:hAnsi="Calibri" w:cs="Calibri"/>
          <w:szCs w:val="20"/>
        </w:rPr>
        <w:t xml:space="preserve"> an emergency exists.</w:t>
      </w:r>
    </w:p>
    <w:p w14:paraId="55EA610D" w14:textId="77777777" w:rsidR="00F44300" w:rsidRDefault="00F44300" w:rsidP="00A5445A">
      <w:pPr>
        <w:shd w:val="clear" w:color="auto" w:fill="FFFFFF"/>
        <w:spacing w:line="360" w:lineRule="auto"/>
        <w:textAlignment w:val="baseline"/>
        <w:rPr>
          <w:rFonts w:ascii="Calibri" w:eastAsia="Times New Roman" w:hAnsi="Calibri" w:cs="Calibri"/>
          <w:szCs w:val="20"/>
        </w:rPr>
      </w:pPr>
    </w:p>
    <w:p w14:paraId="1B9A018C" w14:textId="77777777" w:rsidR="00F44300" w:rsidRPr="00A65A91" w:rsidRDefault="00F44300" w:rsidP="00A5445A">
      <w:pPr>
        <w:shd w:val="clear" w:color="auto" w:fill="FFFFFF"/>
        <w:spacing w:line="360" w:lineRule="auto"/>
        <w:textAlignment w:val="baseline"/>
        <w:rPr>
          <w:rFonts w:ascii="Calibri" w:eastAsia="Times New Roman" w:hAnsi="Calibri" w:cs="Calibri"/>
          <w:szCs w:val="20"/>
        </w:rPr>
      </w:pPr>
      <w:r>
        <w:rPr>
          <w:rFonts w:ascii="Calibri" w:eastAsia="Times New Roman" w:hAnsi="Calibri" w:cs="Calibri"/>
          <w:szCs w:val="20"/>
        </w:rPr>
        <w:t>___________________________________________________________________________</w:t>
      </w:r>
    </w:p>
    <w:p w14:paraId="7E3A18D2" w14:textId="77777777" w:rsidR="00F44300" w:rsidRPr="00A65A91" w:rsidRDefault="00F44300" w:rsidP="00A5445A">
      <w:pPr>
        <w:spacing w:line="360" w:lineRule="auto"/>
        <w:rPr>
          <w:rFonts w:ascii="Calibri" w:eastAsia="Times New Roman" w:hAnsi="Calibri" w:cs="Calibri"/>
          <w:b/>
          <w:bCs/>
          <w:color w:val="3C3030"/>
          <w:sz w:val="24"/>
          <w:szCs w:val="24"/>
        </w:rPr>
      </w:pPr>
      <w:r w:rsidRPr="00A65A91">
        <w:rPr>
          <w:rFonts w:ascii="Calibri" w:eastAsia="Times New Roman" w:hAnsi="Calibri" w:cs="Calibri"/>
          <w:b/>
          <w:bCs/>
          <w:color w:val="3C3030"/>
          <w:sz w:val="24"/>
          <w:szCs w:val="24"/>
        </w:rPr>
        <w:t>Sources</w:t>
      </w:r>
    </w:p>
    <w:p w14:paraId="15D71CA3" w14:textId="77777777" w:rsidR="00F44300" w:rsidRPr="000F0A60" w:rsidRDefault="00F44300" w:rsidP="00A5445A">
      <w:pPr>
        <w:spacing w:line="360" w:lineRule="auto"/>
        <w:rPr>
          <w:rFonts w:ascii="Calibri" w:eastAsia="Times New Roman" w:hAnsi="Calibri" w:cs="Calibri"/>
          <w:szCs w:val="20"/>
        </w:rPr>
      </w:pPr>
    </w:p>
    <w:p w14:paraId="787265DD"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 </w:t>
      </w:r>
      <w:r>
        <w:rPr>
          <w:rFonts w:ascii="Calibri" w:eastAsia="Times New Roman" w:hAnsi="Calibri" w:cs="Calibri"/>
          <w:szCs w:val="20"/>
        </w:rPr>
        <w:t xml:space="preserve"> </w:t>
      </w:r>
      <w:r w:rsidRPr="00A65A91">
        <w:rPr>
          <w:rFonts w:ascii="Calibri" w:eastAsia="Times New Roman" w:hAnsi="Calibri" w:cs="Calibri"/>
          <w:szCs w:val="20"/>
        </w:rPr>
        <w:t>U.S. Department of Labor Occupational Health and Safety Administration. "Safety and Health Topics, Pandemic Influenza, Publications and Other Resources." Available at </w:t>
      </w:r>
      <w:hyperlink r:id="rId70" w:history="1">
        <w:r w:rsidRPr="00A65A91">
          <w:rPr>
            <w:rFonts w:ascii="Calibri" w:eastAsia="Times New Roman" w:hAnsi="Calibri" w:cs="Calibri"/>
            <w:szCs w:val="20"/>
            <w:u w:val="single"/>
            <w:bdr w:val="none" w:sz="0" w:space="0" w:color="auto" w:frame="1"/>
          </w:rPr>
          <w:t>http://www.osha.gov/dsg/topics/pandemicflu/index.html</w:t>
        </w:r>
      </w:hyperlink>
      <w:r w:rsidRPr="00A65A91">
        <w:rPr>
          <w:rFonts w:ascii="Calibri" w:eastAsia="Times New Roman" w:hAnsi="Calibri" w:cs="Calibri"/>
          <w:szCs w:val="20"/>
        </w:rPr>
        <w:t>. Accessed 11-16-2012. HHS. "Business Planning and Preparedness Resources." Available at </w:t>
      </w:r>
      <w:hyperlink r:id="rId71" w:history="1">
        <w:r w:rsidRPr="00A65A91">
          <w:rPr>
            <w:rFonts w:ascii="Calibri" w:eastAsia="Times New Roman" w:hAnsi="Calibri" w:cs="Calibri"/>
            <w:szCs w:val="20"/>
            <w:u w:val="single"/>
            <w:bdr w:val="none" w:sz="0" w:space="0" w:color="auto" w:frame="1"/>
          </w:rPr>
          <w:t>http://www.flu.gov/planning-preparedness/business/index.html</w:t>
        </w:r>
      </w:hyperlink>
      <w:r w:rsidRPr="00A65A91">
        <w:rPr>
          <w:rFonts w:ascii="Calibri" w:eastAsia="Times New Roman" w:hAnsi="Calibri" w:cs="Calibri"/>
          <w:szCs w:val="20"/>
        </w:rPr>
        <w:t xml:space="preserve">. Accessed 11-16-2012. CDC. "Guidance for Businesses and Employers </w:t>
      </w:r>
      <w:proofErr w:type="gramStart"/>
      <w:r w:rsidRPr="00A65A91">
        <w:rPr>
          <w:rFonts w:ascii="Calibri" w:eastAsia="Times New Roman" w:hAnsi="Calibri" w:cs="Calibri"/>
          <w:szCs w:val="20"/>
        </w:rPr>
        <w:t>To</w:t>
      </w:r>
      <w:proofErr w:type="gramEnd"/>
      <w:r w:rsidRPr="00A65A91">
        <w:rPr>
          <w:rFonts w:ascii="Calibri" w:eastAsia="Times New Roman" w:hAnsi="Calibri" w:cs="Calibri"/>
          <w:szCs w:val="20"/>
        </w:rPr>
        <w:t xml:space="preserve"> Plan and Respond to the 2009 - 2010 Influenza Season." Available at </w:t>
      </w:r>
      <w:hyperlink r:id="rId72" w:history="1">
        <w:r w:rsidRPr="00A65A91">
          <w:rPr>
            <w:rFonts w:ascii="Calibri" w:eastAsia="Times New Roman" w:hAnsi="Calibri" w:cs="Calibri"/>
            <w:szCs w:val="20"/>
            <w:u w:val="single"/>
            <w:bdr w:val="none" w:sz="0" w:space="0" w:color="auto" w:frame="1"/>
          </w:rPr>
          <w:t>http://www.flu.gov/planning-preparedness/business/guidance.pdf</w:t>
        </w:r>
      </w:hyperlink>
      <w:r w:rsidRPr="00A65A91">
        <w:rPr>
          <w:rFonts w:ascii="Calibri" w:eastAsia="Times New Roman" w:hAnsi="Calibri" w:cs="Calibri"/>
          <w:szCs w:val="20"/>
        </w:rPr>
        <w:t>. Accessed 11-16-2012.</w:t>
      </w:r>
    </w:p>
    <w:p w14:paraId="57BAC885"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 </w:t>
      </w:r>
      <w:r>
        <w:rPr>
          <w:rFonts w:ascii="Calibri" w:eastAsia="Times New Roman" w:hAnsi="Calibri" w:cs="Calibri"/>
          <w:szCs w:val="20"/>
        </w:rPr>
        <w:t xml:space="preserve"> </w:t>
      </w:r>
      <w:r w:rsidRPr="00A65A91">
        <w:rPr>
          <w:rFonts w:ascii="Calibri" w:eastAsia="Times New Roman" w:hAnsi="Calibri" w:cs="Calibri"/>
          <w:szCs w:val="20"/>
        </w:rPr>
        <w:t>U.S. Department of Labor Office of Disability Employment Policy. "Disability Employment Policy Resources by Topic, Emergency Preparedness." Available at </w:t>
      </w:r>
      <w:hyperlink r:id="rId73" w:history="1">
        <w:r w:rsidRPr="00A65A91">
          <w:rPr>
            <w:rFonts w:ascii="Calibri" w:eastAsia="Times New Roman" w:hAnsi="Calibri" w:cs="Calibri"/>
            <w:szCs w:val="20"/>
            <w:u w:val="single"/>
            <w:bdr w:val="none" w:sz="0" w:space="0" w:color="auto" w:frame="1"/>
          </w:rPr>
          <w:t>http://www.dol.gov/odep/topics/EmergencyPreparedness.htm</w:t>
        </w:r>
      </w:hyperlink>
      <w:r w:rsidRPr="00A65A91">
        <w:rPr>
          <w:rFonts w:ascii="Calibri" w:eastAsia="Times New Roman" w:hAnsi="Calibri" w:cs="Calibri"/>
          <w:szCs w:val="20"/>
          <w:u w:val="single"/>
          <w:bdr w:val="none" w:sz="0" w:space="0" w:color="auto" w:frame="1"/>
        </w:rPr>
        <w:t>.</w:t>
      </w:r>
      <w:r w:rsidRPr="00A65A91">
        <w:rPr>
          <w:rFonts w:ascii="Calibri" w:eastAsia="Times New Roman" w:hAnsi="Calibri" w:cs="Calibri"/>
          <w:szCs w:val="20"/>
        </w:rPr>
        <w:t> Accessed 11-16-2012.</w:t>
      </w:r>
    </w:p>
    <w:p w14:paraId="33AB6C43"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 </w:t>
      </w:r>
      <w:r>
        <w:rPr>
          <w:rFonts w:ascii="Calibri" w:eastAsia="Times New Roman" w:hAnsi="Calibri" w:cs="Calibri"/>
          <w:szCs w:val="20"/>
        </w:rPr>
        <w:t xml:space="preserve"> </w:t>
      </w:r>
      <w:r w:rsidRPr="00A65A91">
        <w:rPr>
          <w:rFonts w:ascii="Calibri" w:eastAsia="Times New Roman" w:hAnsi="Calibri" w:cs="Calibri"/>
          <w:szCs w:val="20"/>
        </w:rPr>
        <w:t>29 U.S.C. § 2601 </w:t>
      </w:r>
      <w:r w:rsidRPr="00A65A91">
        <w:rPr>
          <w:rFonts w:ascii="Calibri" w:eastAsia="Times New Roman" w:hAnsi="Calibri" w:cs="Calibri"/>
          <w:i/>
          <w:iCs/>
          <w:szCs w:val="20"/>
          <w:bdr w:val="none" w:sz="0" w:space="0" w:color="auto" w:frame="1"/>
        </w:rPr>
        <w:t>et seq.</w:t>
      </w:r>
    </w:p>
    <w:p w14:paraId="526506ED"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 </w:t>
      </w:r>
      <w:r>
        <w:rPr>
          <w:rFonts w:ascii="Calibri" w:eastAsia="Times New Roman" w:hAnsi="Calibri" w:cs="Calibri"/>
          <w:szCs w:val="20"/>
        </w:rPr>
        <w:t xml:space="preserve"> </w:t>
      </w:r>
      <w:r w:rsidRPr="00A65A91">
        <w:rPr>
          <w:rFonts w:ascii="Calibri" w:eastAsia="Times New Roman" w:hAnsi="Calibri" w:cs="Calibri"/>
          <w:szCs w:val="20"/>
        </w:rPr>
        <w:t>29 U.S.C. § 651 </w:t>
      </w:r>
      <w:r w:rsidRPr="00A65A91">
        <w:rPr>
          <w:rFonts w:ascii="Calibri" w:eastAsia="Times New Roman" w:hAnsi="Calibri" w:cs="Calibri"/>
          <w:i/>
          <w:iCs/>
          <w:szCs w:val="20"/>
          <w:bdr w:val="none" w:sz="0" w:space="0" w:color="auto" w:frame="1"/>
        </w:rPr>
        <w:t>et seq</w:t>
      </w:r>
      <w:r w:rsidRPr="00A65A91">
        <w:rPr>
          <w:rFonts w:ascii="Calibri" w:eastAsia="Times New Roman" w:hAnsi="Calibri" w:cs="Calibri"/>
          <w:szCs w:val="20"/>
        </w:rPr>
        <w:t>.</w:t>
      </w:r>
    </w:p>
    <w:p w14:paraId="08C7A1F8"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5. </w:t>
      </w:r>
      <w:r>
        <w:rPr>
          <w:rFonts w:ascii="Calibri" w:eastAsia="Times New Roman" w:hAnsi="Calibri" w:cs="Calibri"/>
          <w:szCs w:val="20"/>
        </w:rPr>
        <w:t xml:space="preserve"> </w:t>
      </w:r>
      <w:r w:rsidRPr="00A65A91">
        <w:rPr>
          <w:rFonts w:ascii="Calibri" w:eastAsia="Times New Roman" w:hAnsi="Calibri" w:cs="Calibri"/>
          <w:szCs w:val="20"/>
        </w:rPr>
        <w:t>42 U.S.C. § 12101 </w:t>
      </w:r>
      <w:r w:rsidRPr="00A65A91">
        <w:rPr>
          <w:rFonts w:ascii="Calibri" w:eastAsia="Times New Roman" w:hAnsi="Calibri" w:cs="Calibri"/>
          <w:i/>
          <w:iCs/>
          <w:szCs w:val="20"/>
          <w:bdr w:val="none" w:sz="0" w:space="0" w:color="auto" w:frame="1"/>
        </w:rPr>
        <w:t>et seq</w:t>
      </w:r>
      <w:r w:rsidRPr="00A65A91">
        <w:rPr>
          <w:rFonts w:ascii="Calibri" w:eastAsia="Times New Roman" w:hAnsi="Calibri" w:cs="Calibri"/>
          <w:szCs w:val="20"/>
        </w:rPr>
        <w:t>.</w:t>
      </w:r>
    </w:p>
    <w:p w14:paraId="6D9D61D6"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6. </w:t>
      </w:r>
      <w:r>
        <w:rPr>
          <w:rFonts w:ascii="Calibri" w:eastAsia="Times New Roman" w:hAnsi="Calibri" w:cs="Calibri"/>
          <w:szCs w:val="20"/>
        </w:rPr>
        <w:t xml:space="preserve"> </w:t>
      </w:r>
      <w:r w:rsidRPr="00A65A91">
        <w:rPr>
          <w:rFonts w:ascii="Calibri" w:eastAsia="Times New Roman" w:hAnsi="Calibri" w:cs="Calibri"/>
          <w:szCs w:val="20"/>
        </w:rPr>
        <w:t>45 C.F.R. Parts 160 and 164.</w:t>
      </w:r>
    </w:p>
    <w:p w14:paraId="49BF382B"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7. </w:t>
      </w:r>
      <w:r>
        <w:rPr>
          <w:rFonts w:ascii="Calibri" w:eastAsia="Times New Roman" w:hAnsi="Calibri" w:cs="Calibri"/>
          <w:szCs w:val="20"/>
        </w:rPr>
        <w:t xml:space="preserve"> </w:t>
      </w:r>
      <w:r w:rsidRPr="00A65A91">
        <w:rPr>
          <w:rFonts w:ascii="Calibri" w:eastAsia="Times New Roman" w:hAnsi="Calibri" w:cs="Calibri"/>
          <w:szCs w:val="20"/>
        </w:rPr>
        <w:t>42 U.S.C. § 300gg </w:t>
      </w:r>
      <w:r w:rsidRPr="00A65A91">
        <w:rPr>
          <w:rFonts w:ascii="Calibri" w:eastAsia="Times New Roman" w:hAnsi="Calibri" w:cs="Calibri"/>
          <w:i/>
          <w:iCs/>
          <w:szCs w:val="20"/>
          <w:bdr w:val="none" w:sz="0" w:space="0" w:color="auto" w:frame="1"/>
        </w:rPr>
        <w:t>et seq</w:t>
      </w:r>
      <w:r w:rsidRPr="00A65A91">
        <w:rPr>
          <w:rFonts w:ascii="Calibri" w:eastAsia="Times New Roman" w:hAnsi="Calibri" w:cs="Calibri"/>
          <w:szCs w:val="20"/>
        </w:rPr>
        <w:t>.</w:t>
      </w:r>
    </w:p>
    <w:p w14:paraId="47DA92FA"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8. </w:t>
      </w:r>
      <w:r>
        <w:rPr>
          <w:rFonts w:ascii="Calibri" w:eastAsia="Times New Roman" w:hAnsi="Calibri" w:cs="Calibri"/>
          <w:szCs w:val="20"/>
        </w:rPr>
        <w:t xml:space="preserve"> </w:t>
      </w:r>
      <w:r w:rsidRPr="00A65A91">
        <w:rPr>
          <w:rFonts w:ascii="Calibri" w:eastAsia="Times New Roman" w:hAnsi="Calibri" w:cs="Calibri"/>
          <w:szCs w:val="20"/>
        </w:rPr>
        <w:t>45 C.F.R. § 160.103, definition of </w:t>
      </w:r>
      <w:r w:rsidRPr="00A65A91">
        <w:rPr>
          <w:rFonts w:ascii="Calibri" w:eastAsia="Times New Roman" w:hAnsi="Calibri" w:cs="Calibri"/>
          <w:i/>
          <w:iCs/>
          <w:szCs w:val="20"/>
          <w:bdr w:val="none" w:sz="0" w:space="0" w:color="auto" w:frame="1"/>
        </w:rPr>
        <w:t>protected health information.</w:t>
      </w:r>
    </w:p>
    <w:p w14:paraId="274553FE"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9. </w:t>
      </w:r>
      <w:r>
        <w:rPr>
          <w:rFonts w:ascii="Calibri" w:eastAsia="Times New Roman" w:hAnsi="Calibri" w:cs="Calibri"/>
          <w:szCs w:val="20"/>
        </w:rPr>
        <w:t xml:space="preserve"> </w:t>
      </w:r>
      <w:r w:rsidRPr="00A65A91">
        <w:rPr>
          <w:rFonts w:ascii="Calibri" w:eastAsia="Times New Roman" w:hAnsi="Calibri" w:cs="Calibri"/>
          <w:szCs w:val="20"/>
        </w:rPr>
        <w:t>29 U.S.C. § 651 et seq.</w:t>
      </w:r>
    </w:p>
    <w:p w14:paraId="29B40294"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10. </w:t>
      </w:r>
      <w:r>
        <w:rPr>
          <w:rFonts w:ascii="Calibri" w:eastAsia="Times New Roman" w:hAnsi="Calibri" w:cs="Calibri"/>
          <w:szCs w:val="20"/>
        </w:rPr>
        <w:t xml:space="preserve"> </w:t>
      </w:r>
      <w:r w:rsidRPr="00A65A91">
        <w:rPr>
          <w:rFonts w:ascii="Calibri" w:eastAsia="Times New Roman" w:hAnsi="Calibri" w:cs="Calibri"/>
          <w:szCs w:val="20"/>
        </w:rPr>
        <w:t>U.S. Department of Labor Occupational Safety &amp; Health Administration. "Information about OSHA for Workers." Available at </w:t>
      </w:r>
      <w:hyperlink r:id="rId74" w:history="1">
        <w:r w:rsidRPr="00A65A91">
          <w:rPr>
            <w:rFonts w:ascii="Calibri" w:eastAsia="Times New Roman" w:hAnsi="Calibri" w:cs="Calibri"/>
            <w:szCs w:val="20"/>
            <w:u w:val="single"/>
            <w:bdr w:val="none" w:sz="0" w:space="0" w:color="auto" w:frame="1"/>
          </w:rPr>
          <w:t>http://www.osha.gov/workers.html</w:t>
        </w:r>
      </w:hyperlink>
      <w:r w:rsidRPr="00A65A91">
        <w:rPr>
          <w:rFonts w:ascii="Calibri" w:eastAsia="Times New Roman" w:hAnsi="Calibri" w:cs="Calibri"/>
          <w:szCs w:val="20"/>
        </w:rPr>
        <w:t>. Accessed 11-16-2012. </w:t>
      </w:r>
    </w:p>
    <w:p w14:paraId="79D3B04B"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11.  </w:t>
      </w:r>
      <w:r w:rsidRPr="00A65A91">
        <w:rPr>
          <w:rFonts w:ascii="Calibri" w:eastAsia="Times New Roman" w:hAnsi="Calibri" w:cs="Calibri"/>
          <w:szCs w:val="20"/>
        </w:rPr>
        <w:t>29 U.S.C. § 652.</w:t>
      </w:r>
    </w:p>
    <w:p w14:paraId="491F26DB"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12.  </w:t>
      </w:r>
      <w:r w:rsidRPr="00A65A91">
        <w:rPr>
          <w:rFonts w:ascii="Calibri" w:eastAsia="Times New Roman" w:hAnsi="Calibri" w:cs="Calibri"/>
          <w:szCs w:val="20"/>
        </w:rPr>
        <w:t>U.S. Department of Labor Occupational Health and Safety Administration. "OSHA Coverage of State and Local Government Workers." Available at </w:t>
      </w:r>
      <w:hyperlink r:id="rId75" w:history="1">
        <w:r w:rsidRPr="00A65A91">
          <w:rPr>
            <w:rFonts w:ascii="Calibri" w:eastAsia="Times New Roman" w:hAnsi="Calibri" w:cs="Calibri"/>
            <w:szCs w:val="20"/>
            <w:u w:val="single"/>
            <w:bdr w:val="none" w:sz="0" w:space="0" w:color="auto" w:frame="1"/>
          </w:rPr>
          <w:t>http://www.osha.gov/dcsp/osp/public_sector.html</w:t>
        </w:r>
      </w:hyperlink>
      <w:r w:rsidRPr="00A65A91">
        <w:rPr>
          <w:rFonts w:ascii="Calibri" w:eastAsia="Times New Roman" w:hAnsi="Calibri" w:cs="Calibri"/>
          <w:szCs w:val="20"/>
        </w:rPr>
        <w:t>. Accessed 11-16-2012. </w:t>
      </w:r>
    </w:p>
    <w:p w14:paraId="4B2271E8"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13. </w:t>
      </w:r>
      <w:r w:rsidRPr="00A65A91">
        <w:rPr>
          <w:rFonts w:ascii="Calibri" w:eastAsia="Times New Roman" w:hAnsi="Calibri" w:cs="Calibri"/>
          <w:i/>
          <w:iCs/>
          <w:szCs w:val="20"/>
          <w:bdr w:val="none" w:sz="0" w:space="0" w:color="auto" w:frame="1"/>
        </w:rPr>
        <w:t>Ibid</w:t>
      </w:r>
      <w:r w:rsidRPr="00A65A91">
        <w:rPr>
          <w:rFonts w:ascii="Calibri" w:eastAsia="Times New Roman" w:hAnsi="Calibri" w:cs="Calibri"/>
          <w:szCs w:val="20"/>
        </w:rPr>
        <w:t>.</w:t>
      </w:r>
    </w:p>
    <w:p w14:paraId="03789CAA"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14.  </w:t>
      </w:r>
      <w:r w:rsidRPr="00A65A91">
        <w:rPr>
          <w:rFonts w:ascii="Calibri" w:eastAsia="Times New Roman" w:hAnsi="Calibri" w:cs="Calibri"/>
          <w:szCs w:val="20"/>
        </w:rPr>
        <w:t>29 C.F.R. § 1910.120.</w:t>
      </w:r>
    </w:p>
    <w:p w14:paraId="451ECEE5"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lastRenderedPageBreak/>
        <w:t xml:space="preserve">15.  </w:t>
      </w:r>
      <w:r w:rsidRPr="00A65A91">
        <w:rPr>
          <w:rFonts w:ascii="Calibri" w:eastAsia="Times New Roman" w:hAnsi="Calibri" w:cs="Calibri"/>
          <w:szCs w:val="20"/>
        </w:rPr>
        <w:t>U.S. Department of Labor Occupational Health and Safety Administration. "OSHA Coverage of State and Local Government Workers." Available at </w:t>
      </w:r>
      <w:hyperlink r:id="rId76" w:history="1">
        <w:r w:rsidRPr="00A65A91">
          <w:rPr>
            <w:rFonts w:ascii="Calibri" w:eastAsia="Times New Roman" w:hAnsi="Calibri" w:cs="Calibri"/>
            <w:szCs w:val="20"/>
            <w:u w:val="single"/>
            <w:bdr w:val="none" w:sz="0" w:space="0" w:color="auto" w:frame="1"/>
          </w:rPr>
          <w:t>http://www.osha.gov/dcsp/osp/public_sector.html</w:t>
        </w:r>
      </w:hyperlink>
      <w:r w:rsidRPr="00A65A91">
        <w:rPr>
          <w:rFonts w:ascii="Calibri" w:eastAsia="Times New Roman" w:hAnsi="Calibri" w:cs="Calibri"/>
          <w:szCs w:val="20"/>
        </w:rPr>
        <w:t>. Accessed 11-16-2012.</w:t>
      </w:r>
    </w:p>
    <w:p w14:paraId="49F3F651"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16.  </w:t>
      </w:r>
      <w:r w:rsidRPr="00A65A91">
        <w:rPr>
          <w:rFonts w:ascii="Calibri" w:eastAsia="Times New Roman" w:hAnsi="Calibri" w:cs="Calibri"/>
          <w:i/>
          <w:iCs/>
          <w:szCs w:val="20"/>
          <w:bdr w:val="none" w:sz="0" w:space="0" w:color="auto" w:frame="1"/>
        </w:rPr>
        <w:t>Ibid</w:t>
      </w:r>
      <w:r w:rsidRPr="00A65A91">
        <w:rPr>
          <w:rFonts w:ascii="Calibri" w:eastAsia="Times New Roman" w:hAnsi="Calibri" w:cs="Calibri"/>
          <w:szCs w:val="20"/>
        </w:rPr>
        <w:t>.</w:t>
      </w:r>
    </w:p>
    <w:p w14:paraId="2F3D5413"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17.  </w:t>
      </w:r>
      <w:r w:rsidRPr="00A65A91">
        <w:rPr>
          <w:rFonts w:ascii="Calibri" w:eastAsia="Times New Roman" w:hAnsi="Calibri" w:cs="Calibri"/>
          <w:szCs w:val="20"/>
        </w:rPr>
        <w:t>29 U.S.C. § 654.</w:t>
      </w:r>
    </w:p>
    <w:p w14:paraId="5ECF1DCA"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18.  </w:t>
      </w:r>
      <w:r w:rsidRPr="00A65A91">
        <w:rPr>
          <w:rFonts w:ascii="Calibri" w:eastAsia="Times New Roman" w:hAnsi="Calibri" w:cs="Calibri"/>
          <w:szCs w:val="20"/>
        </w:rPr>
        <w:t>OSHA Publication No. 3327. "Guidance on Preparing Workplaces for an Influenza Pandemic." Available at </w:t>
      </w:r>
      <w:hyperlink r:id="rId77" w:history="1">
        <w:r w:rsidRPr="00A65A91">
          <w:rPr>
            <w:rFonts w:ascii="Calibri" w:eastAsia="Times New Roman" w:hAnsi="Calibri" w:cs="Calibri"/>
            <w:szCs w:val="20"/>
            <w:u w:val="single"/>
            <w:bdr w:val="none" w:sz="0" w:space="0" w:color="auto" w:frame="1"/>
          </w:rPr>
          <w:t>http://www.osha.gov/Publications/influenza_pandemic.html</w:t>
        </w:r>
      </w:hyperlink>
      <w:r w:rsidRPr="00A65A91">
        <w:rPr>
          <w:rFonts w:ascii="Calibri" w:eastAsia="Times New Roman" w:hAnsi="Calibri" w:cs="Calibri"/>
          <w:szCs w:val="20"/>
          <w:u w:val="single"/>
          <w:bdr w:val="none" w:sz="0" w:space="0" w:color="auto" w:frame="1"/>
        </w:rPr>
        <w:t>.</w:t>
      </w:r>
      <w:r w:rsidRPr="00A65A91">
        <w:rPr>
          <w:rFonts w:ascii="Calibri" w:eastAsia="Times New Roman" w:hAnsi="Calibri" w:cs="Calibri"/>
          <w:szCs w:val="20"/>
        </w:rPr>
        <w:t> Accessed 11-16-2012.</w:t>
      </w:r>
    </w:p>
    <w:p w14:paraId="4AB6B3C3"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19.  </w:t>
      </w:r>
      <w:r w:rsidRPr="00A65A91">
        <w:rPr>
          <w:rFonts w:ascii="Calibri" w:eastAsia="Times New Roman" w:hAnsi="Calibri" w:cs="Calibri"/>
          <w:szCs w:val="20"/>
        </w:rPr>
        <w:t>29 C.F.R. Part 1910.</w:t>
      </w:r>
    </w:p>
    <w:p w14:paraId="5E1B1076"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20.  </w:t>
      </w:r>
      <w:r w:rsidRPr="00A65A91">
        <w:rPr>
          <w:rFonts w:ascii="Calibri" w:eastAsia="Times New Roman" w:hAnsi="Calibri" w:cs="Calibri"/>
          <w:szCs w:val="20"/>
        </w:rPr>
        <w:t>42 U.S.C. §§ 12111-12117.</w:t>
      </w:r>
    </w:p>
    <w:p w14:paraId="4F5369CA"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21.  </w:t>
      </w:r>
      <w:r w:rsidRPr="00A65A91">
        <w:rPr>
          <w:rFonts w:ascii="Calibri" w:eastAsia="Times New Roman" w:hAnsi="Calibri" w:cs="Calibri"/>
          <w:szCs w:val="20"/>
        </w:rPr>
        <w:t>42 U.S.C. § 12112; 29 C.F.R. § 1630.4.</w:t>
      </w:r>
    </w:p>
    <w:p w14:paraId="4E0E4BF0"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22.  </w:t>
      </w:r>
      <w:r w:rsidRPr="00A65A91">
        <w:rPr>
          <w:rFonts w:ascii="Calibri" w:eastAsia="Times New Roman" w:hAnsi="Calibri" w:cs="Calibri"/>
          <w:szCs w:val="20"/>
        </w:rPr>
        <w:t>42 U.S.C. §§ 12131-12165.</w:t>
      </w:r>
    </w:p>
    <w:p w14:paraId="15842310"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23.  </w:t>
      </w:r>
      <w:r w:rsidRPr="00A65A91">
        <w:rPr>
          <w:rFonts w:ascii="Calibri" w:eastAsia="Times New Roman" w:hAnsi="Calibri" w:cs="Calibri"/>
          <w:szCs w:val="20"/>
        </w:rPr>
        <w:t>42 U.S.C. § 12132. U.S. Department of Justice. "Americans with Disabilities Act Questions and Answers." Available at </w:t>
      </w:r>
      <w:hyperlink r:id="rId78" w:history="1">
        <w:r w:rsidRPr="00A65A91">
          <w:rPr>
            <w:rFonts w:ascii="Calibri" w:eastAsia="Times New Roman" w:hAnsi="Calibri" w:cs="Calibri"/>
            <w:szCs w:val="20"/>
            <w:u w:val="single"/>
            <w:bdr w:val="none" w:sz="0" w:space="0" w:color="auto" w:frame="1"/>
          </w:rPr>
          <w:t>http://www.ada.gov/q%26aeng02.htm</w:t>
        </w:r>
      </w:hyperlink>
      <w:r w:rsidRPr="00A65A91">
        <w:rPr>
          <w:rFonts w:ascii="Calibri" w:eastAsia="Times New Roman" w:hAnsi="Calibri" w:cs="Calibri"/>
          <w:szCs w:val="20"/>
        </w:rPr>
        <w:t>. Accessed 11- 16-2012.</w:t>
      </w:r>
    </w:p>
    <w:p w14:paraId="0941CD5F"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24.  </w:t>
      </w:r>
      <w:r w:rsidRPr="00A65A91">
        <w:rPr>
          <w:rFonts w:ascii="Calibri" w:eastAsia="Times New Roman" w:hAnsi="Calibri" w:cs="Calibri"/>
          <w:szCs w:val="20"/>
        </w:rPr>
        <w:t>42 U.S.C. § 12112(b)(4).</w:t>
      </w:r>
    </w:p>
    <w:p w14:paraId="3C705D99"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25.  </w:t>
      </w:r>
      <w:r w:rsidRPr="00A65A91">
        <w:rPr>
          <w:rFonts w:ascii="Calibri" w:eastAsia="Times New Roman" w:hAnsi="Calibri" w:cs="Calibri"/>
          <w:szCs w:val="20"/>
        </w:rPr>
        <w:t>U.S. Equal Employment Opportunity Commission. "The Rehabilitation Act of 1973." Available at </w:t>
      </w:r>
      <w:hyperlink r:id="rId79" w:history="1">
        <w:r w:rsidRPr="00A65A91">
          <w:rPr>
            <w:rFonts w:ascii="Calibri" w:eastAsia="Times New Roman" w:hAnsi="Calibri" w:cs="Calibri"/>
            <w:szCs w:val="20"/>
            <w:u w:val="single"/>
            <w:bdr w:val="none" w:sz="0" w:space="0" w:color="auto" w:frame="1"/>
          </w:rPr>
          <w:t>http://www.eeoc.gov/laws/statutes/rehab.cfm</w:t>
        </w:r>
      </w:hyperlink>
      <w:r w:rsidRPr="00A65A91">
        <w:rPr>
          <w:rFonts w:ascii="Calibri" w:eastAsia="Times New Roman" w:hAnsi="Calibri" w:cs="Calibri"/>
          <w:szCs w:val="20"/>
        </w:rPr>
        <w:t>. Accessed 11-16-2012.</w:t>
      </w:r>
    </w:p>
    <w:p w14:paraId="3DC3973D"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26.  </w:t>
      </w:r>
      <w:r w:rsidRPr="00A65A91">
        <w:rPr>
          <w:rFonts w:ascii="Calibri" w:eastAsia="Times New Roman" w:hAnsi="Calibri" w:cs="Calibri"/>
          <w:szCs w:val="20"/>
        </w:rPr>
        <w:t>U.S. Equal Employment Opportunity Commission. "Overview EEOC." Available at </w:t>
      </w:r>
      <w:hyperlink r:id="rId80" w:history="1">
        <w:r w:rsidRPr="00A65A91">
          <w:rPr>
            <w:rFonts w:ascii="Calibri" w:eastAsia="Times New Roman" w:hAnsi="Calibri" w:cs="Calibri"/>
            <w:szCs w:val="20"/>
            <w:u w:val="single"/>
            <w:bdr w:val="none" w:sz="0" w:space="0" w:color="auto" w:frame="1"/>
          </w:rPr>
          <w:t>http://www.eeoc.gov/eeoc/index.cfm</w:t>
        </w:r>
      </w:hyperlink>
      <w:r w:rsidRPr="00A65A91">
        <w:rPr>
          <w:rFonts w:ascii="Calibri" w:eastAsia="Times New Roman" w:hAnsi="Calibri" w:cs="Calibri"/>
          <w:szCs w:val="20"/>
        </w:rPr>
        <w:t>. Accessed 11-16-2012.</w:t>
      </w:r>
    </w:p>
    <w:p w14:paraId="138DE524"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27.  </w:t>
      </w:r>
      <w:r w:rsidRPr="00A65A91">
        <w:rPr>
          <w:rFonts w:ascii="Calibri" w:eastAsia="Times New Roman" w:hAnsi="Calibri" w:cs="Calibri"/>
          <w:szCs w:val="20"/>
        </w:rPr>
        <w:t>U.S. Department of Justice. "ADA Best Practices Tool Kit for State and Local Governments." Available at </w:t>
      </w:r>
      <w:hyperlink r:id="rId81" w:history="1">
        <w:r w:rsidRPr="00A65A91">
          <w:rPr>
            <w:rFonts w:ascii="Calibri" w:eastAsia="Times New Roman" w:hAnsi="Calibri" w:cs="Calibri"/>
            <w:szCs w:val="20"/>
            <w:u w:val="single"/>
            <w:bdr w:val="none" w:sz="0" w:space="0" w:color="auto" w:frame="1"/>
          </w:rPr>
          <w:t>http://www.ada.gov/pcatoolkit/chap1toolkit.htm</w:t>
        </w:r>
      </w:hyperlink>
      <w:r w:rsidRPr="00A65A91">
        <w:rPr>
          <w:rFonts w:ascii="Calibri" w:eastAsia="Times New Roman" w:hAnsi="Calibri" w:cs="Calibri"/>
          <w:szCs w:val="20"/>
        </w:rPr>
        <w:t>. Accessed 11-16-2012.</w:t>
      </w:r>
    </w:p>
    <w:p w14:paraId="459C51B9"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28.  </w:t>
      </w:r>
      <w:r w:rsidRPr="00A65A91">
        <w:rPr>
          <w:rFonts w:ascii="Calibri" w:eastAsia="Times New Roman" w:hAnsi="Calibri" w:cs="Calibri"/>
          <w:szCs w:val="20"/>
        </w:rPr>
        <w:t xml:space="preserve">U.S. Equal Employment Commission. "The ADA: Your Employment Rights as an Individual </w:t>
      </w:r>
      <w:proofErr w:type="gramStart"/>
      <w:r w:rsidRPr="00A65A91">
        <w:rPr>
          <w:rFonts w:ascii="Calibri" w:eastAsia="Times New Roman" w:hAnsi="Calibri" w:cs="Calibri"/>
          <w:szCs w:val="20"/>
        </w:rPr>
        <w:t>With</w:t>
      </w:r>
      <w:proofErr w:type="gramEnd"/>
      <w:r w:rsidRPr="00A65A91">
        <w:rPr>
          <w:rFonts w:ascii="Calibri" w:eastAsia="Times New Roman" w:hAnsi="Calibri" w:cs="Calibri"/>
          <w:szCs w:val="20"/>
        </w:rPr>
        <w:t xml:space="preserve"> a Disability." Available at </w:t>
      </w:r>
      <w:hyperlink r:id="rId82" w:history="1">
        <w:r w:rsidRPr="00A65A91">
          <w:rPr>
            <w:rFonts w:ascii="Calibri" w:eastAsia="Times New Roman" w:hAnsi="Calibri" w:cs="Calibri"/>
            <w:szCs w:val="20"/>
            <w:u w:val="single"/>
            <w:bdr w:val="none" w:sz="0" w:space="0" w:color="auto" w:frame="1"/>
          </w:rPr>
          <w:t>http://www.eeoc.gov/facts/ada18.html</w:t>
        </w:r>
      </w:hyperlink>
      <w:r w:rsidRPr="00A65A91">
        <w:rPr>
          <w:rFonts w:ascii="Calibri" w:eastAsia="Times New Roman" w:hAnsi="Calibri" w:cs="Calibri"/>
          <w:szCs w:val="20"/>
        </w:rPr>
        <w:t>. Accessed 11-16-2012.</w:t>
      </w:r>
    </w:p>
    <w:p w14:paraId="18F7F02A"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29.  </w:t>
      </w:r>
      <w:r w:rsidRPr="00A65A91">
        <w:rPr>
          <w:rFonts w:ascii="Calibri" w:eastAsia="Times New Roman" w:hAnsi="Calibri" w:cs="Calibri"/>
          <w:szCs w:val="20"/>
        </w:rPr>
        <w:t>29 C.F.R. § 1630.13; 29 C.F.R. § 1630.14.</w:t>
      </w:r>
    </w:p>
    <w:p w14:paraId="7AC53972"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30.  </w:t>
      </w:r>
      <w:r w:rsidRPr="00A65A91">
        <w:rPr>
          <w:rFonts w:ascii="Calibri" w:eastAsia="Times New Roman" w:hAnsi="Calibri" w:cs="Calibri"/>
          <w:szCs w:val="20"/>
        </w:rPr>
        <w:t>42 U.S.C. § 12112(d)(2); 29 C.F.R. § 1630.14(a).</w:t>
      </w:r>
    </w:p>
    <w:p w14:paraId="7B39C179"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31.  </w:t>
      </w:r>
      <w:r w:rsidRPr="00A65A91">
        <w:rPr>
          <w:rFonts w:ascii="Calibri" w:eastAsia="Times New Roman" w:hAnsi="Calibri" w:cs="Calibri"/>
          <w:szCs w:val="20"/>
        </w:rPr>
        <w:t>42 U.S.C. § 12112(d)(3); 29 C.F.R. § 1630.14(b).</w:t>
      </w:r>
    </w:p>
    <w:p w14:paraId="71C030EC"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32.  </w:t>
      </w:r>
      <w:r w:rsidRPr="00A65A91">
        <w:rPr>
          <w:rFonts w:ascii="Calibri" w:eastAsia="Times New Roman" w:hAnsi="Calibri" w:cs="Calibri"/>
          <w:i/>
          <w:iCs/>
          <w:szCs w:val="20"/>
          <w:bdr w:val="none" w:sz="0" w:space="0" w:color="auto" w:frame="1"/>
        </w:rPr>
        <w:t>Ibid</w:t>
      </w:r>
      <w:r w:rsidRPr="00A65A91">
        <w:rPr>
          <w:rFonts w:ascii="Calibri" w:eastAsia="Times New Roman" w:hAnsi="Calibri" w:cs="Calibri"/>
          <w:szCs w:val="20"/>
        </w:rPr>
        <w:t>.</w:t>
      </w:r>
    </w:p>
    <w:p w14:paraId="7521B236"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33.  </w:t>
      </w:r>
      <w:r w:rsidRPr="00A65A91">
        <w:rPr>
          <w:rFonts w:ascii="Calibri" w:eastAsia="Times New Roman" w:hAnsi="Calibri" w:cs="Calibri"/>
          <w:szCs w:val="20"/>
        </w:rPr>
        <w:t>42 U.S.C. § 12112(d)(4); 29 C.F.R. § 1630.14(c).</w:t>
      </w:r>
    </w:p>
    <w:p w14:paraId="28BEB1C9"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34.  </w:t>
      </w:r>
      <w:r w:rsidRPr="00A65A91">
        <w:rPr>
          <w:rFonts w:ascii="Calibri" w:eastAsia="Times New Roman" w:hAnsi="Calibri" w:cs="Calibri"/>
          <w:szCs w:val="20"/>
        </w:rPr>
        <w:t>42 U.S.C. § 12102; 29 C.F.R. § 1630.2(g).</w:t>
      </w:r>
    </w:p>
    <w:p w14:paraId="36B742B6"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35.  </w:t>
      </w:r>
      <w:r w:rsidRPr="00A65A91">
        <w:rPr>
          <w:rFonts w:ascii="Calibri" w:eastAsia="Times New Roman" w:hAnsi="Calibri" w:cs="Calibri"/>
          <w:szCs w:val="20"/>
        </w:rPr>
        <w:t>29 C.F.R. § 1630.15(f).</w:t>
      </w:r>
    </w:p>
    <w:p w14:paraId="2F872007"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36.  </w:t>
      </w:r>
      <w:r w:rsidRPr="00A65A91">
        <w:rPr>
          <w:rFonts w:ascii="Calibri" w:eastAsia="Times New Roman" w:hAnsi="Calibri" w:cs="Calibri"/>
          <w:szCs w:val="20"/>
        </w:rPr>
        <w:t>42 U.S.C. § 12102(4).</w:t>
      </w:r>
    </w:p>
    <w:p w14:paraId="6DE47333"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lastRenderedPageBreak/>
        <w:t xml:space="preserve">37.  </w:t>
      </w:r>
      <w:r w:rsidRPr="00A65A91">
        <w:rPr>
          <w:rFonts w:ascii="Calibri" w:eastAsia="Times New Roman" w:hAnsi="Calibri" w:cs="Calibri"/>
          <w:szCs w:val="20"/>
        </w:rPr>
        <w:t>U.S. Equal Employment Opportunity Commission. "Pandemic Preparedness in the Workplace and the Americans with Disabilities Act." Available at </w:t>
      </w:r>
      <w:hyperlink r:id="rId83" w:history="1">
        <w:r w:rsidRPr="00A65A91">
          <w:rPr>
            <w:rFonts w:ascii="Calibri" w:eastAsia="Times New Roman" w:hAnsi="Calibri" w:cs="Calibri"/>
            <w:szCs w:val="20"/>
            <w:u w:val="single"/>
            <w:bdr w:val="none" w:sz="0" w:space="0" w:color="auto" w:frame="1"/>
          </w:rPr>
          <w:t>http://www.eeoc.gov/facts/pandemic_flu.html</w:t>
        </w:r>
      </w:hyperlink>
      <w:r w:rsidRPr="00A65A91">
        <w:rPr>
          <w:rFonts w:ascii="Calibri" w:eastAsia="Times New Roman" w:hAnsi="Calibri" w:cs="Calibri"/>
          <w:szCs w:val="20"/>
        </w:rPr>
        <w:t>. Accessed 11-16-2012.</w:t>
      </w:r>
    </w:p>
    <w:p w14:paraId="70245061"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38.  </w:t>
      </w:r>
      <w:r w:rsidRPr="00A65A91">
        <w:rPr>
          <w:rFonts w:ascii="Calibri" w:eastAsia="Times New Roman" w:hAnsi="Calibri" w:cs="Calibri"/>
          <w:szCs w:val="20"/>
        </w:rPr>
        <w:t>29 C.F.R. Part 1630, Appendix to Part 1630, "Interpretive Guidance on Title I of the Americans With Disabilities Act," p 42; U.S. Equal Opportunity Commission and U.S. Department of Justice. "Americans with Disabilities Act, Questions and Answers." Available at </w:t>
      </w:r>
      <w:hyperlink r:id="rId84" w:history="1">
        <w:r w:rsidRPr="00A65A91">
          <w:rPr>
            <w:rFonts w:ascii="Calibri" w:eastAsia="Times New Roman" w:hAnsi="Calibri" w:cs="Calibri"/>
            <w:szCs w:val="20"/>
            <w:u w:val="single"/>
            <w:bdr w:val="none" w:sz="0" w:space="0" w:color="auto" w:frame="1"/>
          </w:rPr>
          <w:t>http://www.ada.gov/q&amp;aeng02.htm</w:t>
        </w:r>
      </w:hyperlink>
      <w:r w:rsidRPr="00A65A91">
        <w:rPr>
          <w:rFonts w:ascii="Calibri" w:eastAsia="Times New Roman" w:hAnsi="Calibri" w:cs="Calibri"/>
          <w:szCs w:val="20"/>
        </w:rPr>
        <w:t>. Accessed 11-16-2012.</w:t>
      </w:r>
    </w:p>
    <w:p w14:paraId="3C2C85F6"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39.  </w:t>
      </w:r>
      <w:r w:rsidRPr="00A65A91">
        <w:rPr>
          <w:rFonts w:ascii="Calibri" w:eastAsia="Times New Roman" w:hAnsi="Calibri" w:cs="Calibri"/>
          <w:szCs w:val="20"/>
        </w:rPr>
        <w:t>U.S. Equal Opportunity Commission and U.S. Department of Justice. Americans with Disabilities Act, Questions and Answers. Available at </w:t>
      </w:r>
      <w:hyperlink r:id="rId85" w:history="1">
        <w:r w:rsidRPr="00A65A91">
          <w:rPr>
            <w:rFonts w:ascii="Calibri" w:eastAsia="Times New Roman" w:hAnsi="Calibri" w:cs="Calibri"/>
            <w:szCs w:val="20"/>
            <w:u w:val="single"/>
            <w:bdr w:val="none" w:sz="0" w:space="0" w:color="auto" w:frame="1"/>
          </w:rPr>
          <w:t>http://www.ada.gov/q&amp;aeng02.htm</w:t>
        </w:r>
      </w:hyperlink>
      <w:r w:rsidRPr="00A65A91">
        <w:rPr>
          <w:rFonts w:ascii="Calibri" w:eastAsia="Times New Roman" w:hAnsi="Calibri" w:cs="Calibri"/>
          <w:szCs w:val="20"/>
        </w:rPr>
        <w:t>. Accessed 11-16-2012.</w:t>
      </w:r>
    </w:p>
    <w:p w14:paraId="131BF76D"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40.  </w:t>
      </w:r>
      <w:r w:rsidRPr="00A65A91">
        <w:rPr>
          <w:rFonts w:ascii="Calibri" w:eastAsia="Times New Roman" w:hAnsi="Calibri" w:cs="Calibri"/>
          <w:szCs w:val="20"/>
        </w:rPr>
        <w:t>29 C.F.R. § 1630.2(r)</w:t>
      </w:r>
    </w:p>
    <w:p w14:paraId="32EFC7E5"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41.  </w:t>
      </w:r>
      <w:r w:rsidRPr="00A65A91">
        <w:rPr>
          <w:rFonts w:ascii="Calibri" w:eastAsia="Times New Roman" w:hAnsi="Calibri" w:cs="Calibri"/>
          <w:szCs w:val="20"/>
        </w:rPr>
        <w:t>U.S. Equal Employment Opportunity Commission. "Pandemic Preparedness in the Workplace and the Americans with Disabilities Act." Available at </w:t>
      </w:r>
      <w:hyperlink r:id="rId86" w:history="1">
        <w:r w:rsidRPr="00A65A91">
          <w:rPr>
            <w:rFonts w:ascii="Calibri" w:eastAsia="Times New Roman" w:hAnsi="Calibri" w:cs="Calibri"/>
            <w:szCs w:val="20"/>
            <w:u w:val="single"/>
            <w:bdr w:val="none" w:sz="0" w:space="0" w:color="auto" w:frame="1"/>
          </w:rPr>
          <w:t>http://www.eeoc.gov/facts/pandemic_flu.html</w:t>
        </w:r>
      </w:hyperlink>
      <w:r w:rsidRPr="00A65A91">
        <w:rPr>
          <w:rFonts w:ascii="Calibri" w:eastAsia="Times New Roman" w:hAnsi="Calibri" w:cs="Calibri"/>
          <w:szCs w:val="20"/>
        </w:rPr>
        <w:t>. Accessed 11-16-2012.</w:t>
      </w:r>
    </w:p>
    <w:p w14:paraId="33D477FB"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42.  </w:t>
      </w:r>
      <w:r w:rsidRPr="00A65A91">
        <w:rPr>
          <w:rFonts w:ascii="Calibri" w:eastAsia="Times New Roman" w:hAnsi="Calibri" w:cs="Calibri"/>
          <w:szCs w:val="20"/>
        </w:rPr>
        <w:t>U.S. Equal Employment Opportunity Commission. "Fact Sheet on Obtaining and Using Employee Medical Information as Part of Emergency Evacuation Procedures." Available at </w:t>
      </w:r>
      <w:hyperlink r:id="rId87" w:anchor="N_2" w:history="1">
        <w:r w:rsidRPr="00A65A91">
          <w:rPr>
            <w:rFonts w:ascii="Calibri" w:eastAsia="Times New Roman" w:hAnsi="Calibri" w:cs="Calibri"/>
            <w:szCs w:val="20"/>
            <w:u w:val="single"/>
            <w:bdr w:val="none" w:sz="0" w:space="0" w:color="auto" w:frame="1"/>
          </w:rPr>
          <w:t>http://eeoc.gov/facts/evacuation.html#N_2</w:t>
        </w:r>
      </w:hyperlink>
      <w:r w:rsidRPr="00A65A91">
        <w:rPr>
          <w:rFonts w:ascii="Calibri" w:eastAsia="Times New Roman" w:hAnsi="Calibri" w:cs="Calibri"/>
          <w:szCs w:val="20"/>
        </w:rPr>
        <w:t>. Accessed 11-16-2012.</w:t>
      </w:r>
    </w:p>
    <w:p w14:paraId="790B9F36"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43.  </w:t>
      </w:r>
      <w:r w:rsidRPr="00A65A91">
        <w:rPr>
          <w:rFonts w:ascii="Calibri" w:eastAsia="Times New Roman" w:hAnsi="Calibri" w:cs="Calibri"/>
          <w:szCs w:val="20"/>
        </w:rPr>
        <w:t>U.S. Equal Employment Opportunity Commission. "Pandemic Preparedness in the Workplace and the Americans with Disabilities Act." Available at </w:t>
      </w:r>
      <w:hyperlink r:id="rId88" w:history="1">
        <w:r w:rsidRPr="00A65A91">
          <w:rPr>
            <w:rFonts w:ascii="Calibri" w:eastAsia="Times New Roman" w:hAnsi="Calibri" w:cs="Calibri"/>
            <w:szCs w:val="20"/>
            <w:u w:val="single"/>
            <w:bdr w:val="none" w:sz="0" w:space="0" w:color="auto" w:frame="1"/>
          </w:rPr>
          <w:t>http://www.eeoc.gov/facts/pandemic_flu.html</w:t>
        </w:r>
      </w:hyperlink>
      <w:r w:rsidRPr="00A65A91">
        <w:rPr>
          <w:rFonts w:ascii="Calibri" w:eastAsia="Times New Roman" w:hAnsi="Calibri" w:cs="Calibri"/>
          <w:szCs w:val="20"/>
        </w:rPr>
        <w:t>. Accessed 11-16-2012.</w:t>
      </w:r>
    </w:p>
    <w:p w14:paraId="4DE7E250"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44.  </w:t>
      </w:r>
      <w:r w:rsidRPr="00A65A91">
        <w:rPr>
          <w:rFonts w:ascii="Calibri" w:eastAsia="Times New Roman" w:hAnsi="Calibri" w:cs="Calibri"/>
          <w:i/>
          <w:iCs/>
          <w:szCs w:val="20"/>
          <w:bdr w:val="none" w:sz="0" w:space="0" w:color="auto" w:frame="1"/>
        </w:rPr>
        <w:t>Ibid</w:t>
      </w:r>
      <w:r w:rsidRPr="00A65A91">
        <w:rPr>
          <w:rFonts w:ascii="Calibri" w:eastAsia="Times New Roman" w:hAnsi="Calibri" w:cs="Calibri"/>
          <w:szCs w:val="20"/>
        </w:rPr>
        <w:t>.</w:t>
      </w:r>
    </w:p>
    <w:p w14:paraId="53E1EF1A"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45.  </w:t>
      </w:r>
      <w:r w:rsidRPr="00A65A91">
        <w:rPr>
          <w:rFonts w:ascii="Calibri" w:eastAsia="Times New Roman" w:hAnsi="Calibri" w:cs="Calibri"/>
          <w:i/>
          <w:iCs/>
          <w:szCs w:val="20"/>
          <w:bdr w:val="none" w:sz="0" w:space="0" w:color="auto" w:frame="1"/>
        </w:rPr>
        <w:t>Ibid</w:t>
      </w:r>
      <w:r w:rsidRPr="00A65A91">
        <w:rPr>
          <w:rFonts w:ascii="Calibri" w:eastAsia="Times New Roman" w:hAnsi="Calibri" w:cs="Calibri"/>
          <w:szCs w:val="20"/>
        </w:rPr>
        <w:t>.</w:t>
      </w:r>
    </w:p>
    <w:p w14:paraId="1D9EA2B2"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46.  </w:t>
      </w:r>
      <w:r w:rsidRPr="00A65A91">
        <w:rPr>
          <w:rFonts w:ascii="Calibri" w:eastAsia="Times New Roman" w:hAnsi="Calibri" w:cs="Calibri"/>
          <w:szCs w:val="20"/>
        </w:rPr>
        <w:t>42 U.S.C. § 12112; 29 C.F.R. § 1630.14(c), (d).</w:t>
      </w:r>
    </w:p>
    <w:p w14:paraId="69D44FDE" w14:textId="77777777" w:rsidR="00F44300" w:rsidRPr="00A65A91" w:rsidRDefault="00F4430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47.  </w:t>
      </w:r>
      <w:r w:rsidRPr="00A65A91">
        <w:rPr>
          <w:rFonts w:ascii="Calibri" w:eastAsia="Times New Roman" w:hAnsi="Calibri" w:cs="Calibri"/>
          <w:szCs w:val="20"/>
        </w:rPr>
        <w:t>42 U.S.C. § 12112(d)(3); 29 C.F.R. § 1630.14(c), (d).</w:t>
      </w:r>
    </w:p>
    <w:p w14:paraId="6B23DA35" w14:textId="77777777" w:rsidR="004505F9" w:rsidRDefault="004505F9" w:rsidP="00A5445A">
      <w:pPr>
        <w:spacing w:line="360" w:lineRule="auto"/>
        <w:rPr>
          <w:rFonts w:ascii="Calibri" w:eastAsia="Times New Roman" w:hAnsi="Calibri" w:cs="Calibri"/>
          <w:color w:val="737373"/>
          <w:sz w:val="20"/>
          <w:szCs w:val="20"/>
        </w:rPr>
      </w:pPr>
    </w:p>
    <w:p w14:paraId="218F61A8" w14:textId="77777777" w:rsidR="0022105D" w:rsidRPr="00F93EAF" w:rsidRDefault="0022105D" w:rsidP="0022105D">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[TOC</w:t>
        </w:r>
        <w:r w:rsidRPr="00F93EAF">
          <w:rPr>
            <w:rStyle w:val="Heading2Char"/>
            <w:rFonts w:asciiTheme="minorHAnsi" w:eastAsiaTheme="minorHAnsi" w:hAnsiTheme="minorHAnsi" w:cstheme="minorHAnsi"/>
            <w:color w:val="0070C0"/>
            <w:sz w:val="24"/>
          </w:rPr>
          <w:t xml:space="preserve"> </w:t>
        </w:r>
        <w:r w:rsidRPr="00F93EAF">
          <w:rPr>
            <w:rStyle w:val="Heading2Char"/>
            <w:rFonts w:asciiTheme="minorHAnsi" w:eastAsiaTheme="minorHAnsi" w:hAnsiTheme="minorHAnsi" w:cstheme="minorHAnsi"/>
            <w:color w:val="0070C0"/>
            <w:sz w:val="24"/>
          </w:rPr>
          <w:t>Top]</w:t>
        </w:r>
      </w:hyperlink>
    </w:p>
    <w:p w14:paraId="1108E340" w14:textId="0AB01E84" w:rsidR="00F44300" w:rsidRPr="00A65A91" w:rsidRDefault="00F44300" w:rsidP="00A5445A">
      <w:pPr>
        <w:spacing w:line="360" w:lineRule="auto"/>
        <w:rPr>
          <w:rFonts w:ascii="Calibri" w:eastAsia="Times New Roman" w:hAnsi="Calibri" w:cs="Calibri"/>
          <w:color w:val="737373"/>
          <w:sz w:val="20"/>
          <w:szCs w:val="20"/>
        </w:rPr>
      </w:pPr>
    </w:p>
    <w:p w14:paraId="1D02BB6F" w14:textId="2BE6A6F0" w:rsidR="004505F9" w:rsidRDefault="004505F9">
      <w:pPr>
        <w:rPr>
          <w:rFonts w:ascii="Calibri" w:hAnsi="Calibri" w:cs="Calibri"/>
        </w:rPr>
      </w:pPr>
      <w:r>
        <w:rPr>
          <w:rFonts w:ascii="Calibri" w:hAnsi="Calibri" w:cs="Calibri"/>
        </w:rPr>
        <w:br w:type="page"/>
      </w:r>
    </w:p>
    <w:p w14:paraId="7EEEF386" w14:textId="77777777" w:rsidR="00F44300" w:rsidRPr="004D42AB" w:rsidRDefault="00F44300" w:rsidP="00F00F20">
      <w:pPr>
        <w:spacing w:after="120" w:line="360" w:lineRule="auto"/>
        <w:rPr>
          <w:rFonts w:ascii="Calibri" w:eastAsia="Times New Roman" w:hAnsi="Calibri" w:cs="Calibri"/>
          <w:b/>
          <w:bCs/>
          <w:color w:val="333333"/>
          <w:spacing w:val="15"/>
          <w:kern w:val="36"/>
          <w:sz w:val="28"/>
          <w:szCs w:val="28"/>
        </w:rPr>
      </w:pPr>
      <w:bookmarkStart w:id="7" w:name="PH_CollectUseShare_IB"/>
      <w:r w:rsidRPr="004D42AB">
        <w:rPr>
          <w:rFonts w:ascii="Calibri" w:eastAsia="Times New Roman" w:hAnsi="Calibri" w:cs="Calibri"/>
          <w:b/>
          <w:bCs/>
          <w:color w:val="333333"/>
          <w:spacing w:val="15"/>
          <w:kern w:val="36"/>
          <w:sz w:val="28"/>
          <w:szCs w:val="28"/>
        </w:rPr>
        <w:lastRenderedPageBreak/>
        <w:t>Public Health Collection, Use, Sharing, and Protection of Information</w:t>
      </w:r>
      <w:bookmarkEnd w:id="7"/>
    </w:p>
    <w:p w14:paraId="3001537E" w14:textId="77777777" w:rsidR="00F44300" w:rsidRDefault="00F44300" w:rsidP="00F00F20">
      <w:pPr>
        <w:spacing w:after="120" w:line="360" w:lineRule="auto"/>
        <w:rPr>
          <w:rFonts w:ascii="Calibri" w:eastAsia="Times New Roman" w:hAnsi="Calibri" w:cs="Calibri"/>
          <w:b/>
          <w:bCs/>
          <w:color w:val="3C3030"/>
          <w:sz w:val="24"/>
          <w:szCs w:val="24"/>
        </w:rPr>
      </w:pPr>
      <w:r w:rsidRPr="004D42AB">
        <w:rPr>
          <w:rFonts w:ascii="Calibri" w:eastAsia="Times New Roman" w:hAnsi="Calibri" w:cs="Calibri"/>
          <w:b/>
          <w:bCs/>
          <w:color w:val="3C3030"/>
          <w:sz w:val="24"/>
          <w:szCs w:val="24"/>
        </w:rPr>
        <w:t>Issue Brief</w:t>
      </w:r>
    </w:p>
    <w:p w14:paraId="3DECE443" w14:textId="77777777" w:rsidR="00F44300" w:rsidRPr="004D42AB" w:rsidRDefault="00F44300" w:rsidP="00F00F20">
      <w:pPr>
        <w:spacing w:line="360" w:lineRule="auto"/>
        <w:rPr>
          <w:rFonts w:eastAsia="Times New Roman" w:cstheme="minorHAnsi"/>
          <w:b/>
          <w:bCs/>
        </w:rPr>
      </w:pPr>
    </w:p>
    <w:p w14:paraId="43FDAFDD"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Introduction</w:t>
      </w:r>
    </w:p>
    <w:p w14:paraId="76507CBC" w14:textId="77777777" w:rsidR="00F44300" w:rsidRPr="004D42AB" w:rsidRDefault="00F44300" w:rsidP="00F00F20">
      <w:pPr>
        <w:shd w:val="clear" w:color="auto" w:fill="FFFFFF"/>
        <w:spacing w:after="120" w:line="360" w:lineRule="auto"/>
        <w:textAlignment w:val="baseline"/>
        <w:rPr>
          <w:rFonts w:eastAsia="Times New Roman" w:cstheme="minorHAnsi"/>
        </w:rPr>
      </w:pPr>
      <w:r w:rsidRPr="004D42AB">
        <w:rPr>
          <w:rFonts w:eastAsia="Times New Roman" w:cstheme="minorHAnsi"/>
        </w:rPr>
        <w:t>Public health agencies need to collect, use, and share information to prevent disease and injury and protect the public against health threats. Information is essential to every aspect of emergency preparedness and response, including for example:</w:t>
      </w:r>
    </w:p>
    <w:p w14:paraId="08CE3522"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Information about community needs and resources for planning, response, and recovery</w:t>
      </w:r>
    </w:p>
    <w:p w14:paraId="69D8FE24"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Surveillance and reporting data for early detection of a disease outbreak or other threat</w:t>
      </w:r>
    </w:p>
    <w:p w14:paraId="449A8C09"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Medical information, biospecimens, environmental samples, and other information acquired through investigation to determine the source and nature of the threat</w:t>
      </w:r>
    </w:p>
    <w:p w14:paraId="77FB10C1"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Test results and expert analyses to determine and take appropriate action and monitor results</w:t>
      </w:r>
    </w:p>
    <w:p w14:paraId="75BEB3FF"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Information sharing among public health agencies, with law enforcement, healthcare providers and other stakeholders for prevention, investigation, and response</w:t>
      </w:r>
    </w:p>
    <w:p w14:paraId="300C2F74"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Contact identification and follow-up to contain the spread of disease and ensure treatment</w:t>
      </w:r>
    </w:p>
    <w:p w14:paraId="5E854BAE"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Informational alerts and advisories to coordinate response and communicate with the public</w:t>
      </w:r>
    </w:p>
    <w:p w14:paraId="3AB54A8C" w14:textId="77777777" w:rsidR="00F44300" w:rsidRPr="00205F6E" w:rsidRDefault="00F44300" w:rsidP="00F44300">
      <w:pPr>
        <w:numPr>
          <w:ilvl w:val="0"/>
          <w:numId w:val="34"/>
        </w:numPr>
        <w:spacing w:after="120" w:line="360" w:lineRule="auto"/>
        <w:textAlignment w:val="baseline"/>
        <w:rPr>
          <w:rFonts w:eastAsia="Times New Roman" w:cstheme="minorHAnsi"/>
        </w:rPr>
      </w:pPr>
      <w:r w:rsidRPr="00205F6E">
        <w:rPr>
          <w:rFonts w:eastAsia="Times New Roman" w:cstheme="minorHAnsi"/>
        </w:rPr>
        <w:t>Post-incident data to measure, evaluate, and improve preparedness</w:t>
      </w:r>
    </w:p>
    <w:p w14:paraId="57F9ABC2" w14:textId="77777777" w:rsidR="00F44300" w:rsidRPr="004D42AB" w:rsidRDefault="00F44300" w:rsidP="00F00F20">
      <w:pPr>
        <w:spacing w:line="360" w:lineRule="auto"/>
        <w:textAlignment w:val="baseline"/>
        <w:rPr>
          <w:rFonts w:eastAsia="Times New Roman" w:cstheme="minorHAnsi"/>
        </w:rPr>
      </w:pPr>
    </w:p>
    <w:p w14:paraId="203F1595" w14:textId="77777777" w:rsidR="00F44300" w:rsidRPr="004D42AB" w:rsidRDefault="00F44300" w:rsidP="00F00F20">
      <w:pPr>
        <w:shd w:val="clear" w:color="auto" w:fill="FFFFFF"/>
        <w:spacing w:after="225" w:line="360" w:lineRule="auto"/>
        <w:textAlignment w:val="baseline"/>
        <w:rPr>
          <w:rFonts w:eastAsia="Times New Roman" w:cstheme="minorHAnsi"/>
        </w:rPr>
      </w:pPr>
      <w:r w:rsidRPr="004D42AB">
        <w:rPr>
          <w:rFonts w:eastAsia="Times New Roman" w:cstheme="minorHAnsi"/>
        </w:rPr>
        <w:t>Often, public health agencies need to collect, use, and share personal and health information that identify individuals. To prevent and manage a public health emergency, agencies must understand federal and state laws that apply to this information. When responding to a public health threat, public health officials must understand both their authority and their responsibilities. An important responsibility of public health officials is to protect the privacy of individuals. This responsibility must be balanced against the responsibility to protect the public and inform it of public health threats within the community. Agencies must also understand laws that define the public's right to information held by government and exemptions that might apply to protect sensitive or private information from public disclosure.</w:t>
      </w:r>
    </w:p>
    <w:p w14:paraId="2F2BC262" w14:textId="77777777" w:rsidR="00F44300" w:rsidRPr="00E27C6D"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lastRenderedPageBreak/>
        <w:t xml:space="preserve">This issue brief covers legal authorities to collect and use identifiable information through surveillance, inspections and investigations, to share information for emergency preparedness and response, and to withhold information to protect individual privacy or the national security. </w:t>
      </w:r>
    </w:p>
    <w:p w14:paraId="3CCCE77E" w14:textId="77777777" w:rsidR="00F44300" w:rsidRPr="004D42AB" w:rsidRDefault="00F44300" w:rsidP="00F00F20">
      <w:pPr>
        <w:shd w:val="clear" w:color="auto" w:fill="FFFFFF"/>
        <w:spacing w:line="360" w:lineRule="auto"/>
        <w:textAlignment w:val="baseline"/>
        <w:rPr>
          <w:rFonts w:eastAsia="Times New Roman" w:cstheme="minorHAnsi"/>
        </w:rPr>
      </w:pPr>
    </w:p>
    <w:p w14:paraId="1BD9A7F7"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I. Legal Authority to Collect, Use, and Share Information to Protect the Public</w:t>
      </w:r>
    </w:p>
    <w:p w14:paraId="080D6462"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States may exercise police powers to protect the public's health and safety. Police powers include basic communicable disease control activities to protect the public against natural, accidental, or intentional threats. Historically, the U.S. Supreme Court has held that states may enact laws that restrict individual liberties when necessary to protect the community. In </w:t>
      </w:r>
      <w:r w:rsidRPr="004D42AB">
        <w:rPr>
          <w:rFonts w:eastAsia="Times New Roman" w:cstheme="minorHAnsi"/>
          <w:i/>
          <w:iCs/>
          <w:bdr w:val="none" w:sz="0" w:space="0" w:color="auto" w:frame="1"/>
        </w:rPr>
        <w:t>Jacobson v. Massachusetts</w:t>
      </w:r>
      <w:r w:rsidRPr="004D42AB">
        <w:rPr>
          <w:rFonts w:eastAsia="Times New Roman" w:cstheme="minorHAnsi"/>
        </w:rPr>
        <w:t>,</w:t>
      </w:r>
      <w:r w:rsidRPr="004D42AB">
        <w:rPr>
          <w:rFonts w:eastAsia="Times New Roman" w:cstheme="minorHAnsi"/>
          <w:bdr w:val="none" w:sz="0" w:space="0" w:color="auto" w:frame="1"/>
          <w:vertAlign w:val="superscript"/>
        </w:rPr>
        <w:t>1</w:t>
      </w:r>
      <w:r w:rsidRPr="004D42AB">
        <w:rPr>
          <w:rFonts w:eastAsia="Times New Roman" w:cstheme="minorHAnsi"/>
        </w:rPr>
        <w:t> the Supreme Court upheld a mandatory vaccination law to protect the community against smallpox. It follows that states may enact laws to require reporting of private health data, search medical and hospital records to locate information about the source and spread of communicable disease, collect and test specimens, and disclose information to the extent necessary to protect the public from communicable diseases and other public health threats.</w:t>
      </w:r>
    </w:p>
    <w:p w14:paraId="04D0B92E" w14:textId="77777777" w:rsidR="00F44300" w:rsidRPr="004D42AB" w:rsidRDefault="00F44300" w:rsidP="00F00F20">
      <w:pPr>
        <w:shd w:val="clear" w:color="auto" w:fill="FFFFFF"/>
        <w:spacing w:line="360" w:lineRule="auto"/>
        <w:textAlignment w:val="baseline"/>
        <w:rPr>
          <w:rFonts w:eastAsia="Times New Roman" w:cstheme="minorHAnsi"/>
        </w:rPr>
      </w:pPr>
    </w:p>
    <w:p w14:paraId="565CC851"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II. Legal Authority for Public Health Surveillance</w:t>
      </w:r>
    </w:p>
    <w:p w14:paraId="407DA484"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surveillance is the ongoing systematic collection, analysis, and interpretation of outcome-specific data for use in the planning, implementation, and evaluation of public health practice. The value of public health surveillance is closely linked to the timely dissemination of data and information about health events to those responsible for prevention and control.</w:t>
      </w:r>
      <w:r w:rsidRPr="004D42AB">
        <w:rPr>
          <w:rFonts w:eastAsia="Times New Roman" w:cstheme="minorHAnsi"/>
          <w:bdr w:val="none" w:sz="0" w:space="0" w:color="auto" w:frame="1"/>
          <w:vertAlign w:val="superscript"/>
        </w:rPr>
        <w:t>2</w:t>
      </w:r>
      <w:r w:rsidRPr="004D42AB">
        <w:rPr>
          <w:rFonts w:eastAsia="Times New Roman" w:cstheme="minorHAnsi"/>
        </w:rPr>
        <w:t> Data for public health surveillance are provided from many and diverse sources and may or may not be identifiable to an individual.</w:t>
      </w:r>
    </w:p>
    <w:p w14:paraId="2F1D34AB" w14:textId="77777777" w:rsidR="00F44300" w:rsidRPr="004D42AB" w:rsidRDefault="00F44300" w:rsidP="00F00F20">
      <w:pPr>
        <w:shd w:val="clear" w:color="auto" w:fill="FFFFFF"/>
        <w:spacing w:line="360" w:lineRule="auto"/>
        <w:textAlignment w:val="baseline"/>
        <w:rPr>
          <w:rFonts w:eastAsia="Times New Roman" w:cstheme="minorHAnsi"/>
        </w:rPr>
      </w:pPr>
    </w:p>
    <w:p w14:paraId="0E7A605C" w14:textId="77777777" w:rsidR="00F44300" w:rsidRPr="004D42AB" w:rsidRDefault="00F44300"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Case Reports</w:t>
      </w:r>
    </w:p>
    <w:p w14:paraId="07CF73E8"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Case reports are critical to detection and control of epidemics, food borne illness, chemical exposures, environmental contamination, and other public health threats. All states have enacted laws to mandate reporting of specific diseases or clusters of diseases to state or local health departments. Mandatory reporting typically applies to healthcare providers and laboratories. Other entities may also have reporting obligations, such as schools, day care centers, or camps. Since diseases that are considered notifiable are determined by state law, they vary from state to state.</w:t>
      </w:r>
      <w:r w:rsidRPr="004D42AB">
        <w:rPr>
          <w:rFonts w:eastAsia="Times New Roman" w:cstheme="minorHAnsi"/>
          <w:bdr w:val="none" w:sz="0" w:space="0" w:color="auto" w:frame="1"/>
          <w:vertAlign w:val="superscript"/>
        </w:rPr>
        <w:t>3</w:t>
      </w:r>
    </w:p>
    <w:p w14:paraId="3C9E2D86" w14:textId="77777777" w:rsidR="00F44300" w:rsidRPr="004D42AB" w:rsidRDefault="00F44300" w:rsidP="00F00F20">
      <w:pPr>
        <w:shd w:val="clear" w:color="auto" w:fill="FFFFFF"/>
        <w:spacing w:line="360" w:lineRule="auto"/>
        <w:textAlignment w:val="baseline"/>
        <w:rPr>
          <w:rFonts w:eastAsia="Times New Roman" w:cstheme="minorHAnsi"/>
        </w:rPr>
      </w:pPr>
    </w:p>
    <w:p w14:paraId="1B4547E5"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Case reports allow state and local public health authorities to identify and investigate cases, monitor the spread of disease, and implement control strategies as indicated. Control strategies include monitoring, </w:t>
      </w:r>
      <w:r w:rsidRPr="004D42AB">
        <w:rPr>
          <w:rFonts w:eastAsia="Times New Roman" w:cstheme="minorHAnsi"/>
        </w:rPr>
        <w:lastRenderedPageBreak/>
        <w:t>contact tracing, treatment, quarantine, isolation, and use of pharmaceutical countermeasures when available.</w:t>
      </w:r>
      <w:r w:rsidRPr="004D42AB">
        <w:rPr>
          <w:rFonts w:eastAsia="Times New Roman" w:cstheme="minorHAnsi"/>
          <w:bdr w:val="none" w:sz="0" w:space="0" w:color="auto" w:frame="1"/>
          <w:vertAlign w:val="superscript"/>
        </w:rPr>
        <w:t>4</w:t>
      </w:r>
      <w:r w:rsidRPr="004D42AB">
        <w:rPr>
          <w:rFonts w:eastAsia="Times New Roman" w:cstheme="minorHAnsi"/>
        </w:rPr>
        <w:t> Because of these uses, case reports include identifiable information.</w:t>
      </w:r>
    </w:p>
    <w:p w14:paraId="4BE3EA57" w14:textId="77777777" w:rsidR="00F44300" w:rsidRPr="004D42AB" w:rsidRDefault="00F44300" w:rsidP="00F00F20">
      <w:pPr>
        <w:shd w:val="clear" w:color="auto" w:fill="FFFFFF"/>
        <w:spacing w:line="360" w:lineRule="auto"/>
        <w:textAlignment w:val="baseline"/>
        <w:rPr>
          <w:rFonts w:eastAsia="Times New Roman" w:cstheme="minorHAnsi"/>
        </w:rPr>
      </w:pPr>
    </w:p>
    <w:p w14:paraId="01A1F6C2"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States have also enacted reporting requirements beyond specific diseases that indicate a public health threat. These laws vary in coverage and detail. For example, reporting may be required for "outbreaks and single cases of diseases of public health importance" (Maryland);</w:t>
      </w:r>
      <w:r w:rsidRPr="004D42AB">
        <w:rPr>
          <w:rFonts w:eastAsia="Times New Roman" w:cstheme="minorHAnsi"/>
          <w:bdr w:val="none" w:sz="0" w:space="0" w:color="auto" w:frame="1"/>
          <w:vertAlign w:val="superscript"/>
        </w:rPr>
        <w:t>5</w:t>
      </w:r>
      <w:r w:rsidRPr="004D42AB">
        <w:rPr>
          <w:rFonts w:eastAsia="Times New Roman" w:cstheme="minorHAnsi"/>
        </w:rPr>
        <w:t> "any outbreak or suspected outbreak, including, but not limited to, foodborne, waterborne, or nosocomial disease or a suspected act of bioterrorism" (New Jersey);</w:t>
      </w:r>
      <w:r w:rsidRPr="004D42AB">
        <w:rPr>
          <w:rFonts w:eastAsia="Times New Roman" w:cstheme="minorHAnsi"/>
          <w:bdr w:val="none" w:sz="0" w:space="0" w:color="auto" w:frame="1"/>
          <w:vertAlign w:val="superscript"/>
        </w:rPr>
        <w:t>6</w:t>
      </w:r>
      <w:r w:rsidRPr="004D42AB">
        <w:rPr>
          <w:rFonts w:eastAsia="Times New Roman" w:cstheme="minorHAnsi"/>
        </w:rPr>
        <w:t> "unusual occurrence of a disease, infection or condition" (Pennsylvania);</w:t>
      </w:r>
      <w:r w:rsidRPr="004D42AB">
        <w:rPr>
          <w:rFonts w:eastAsia="Times New Roman" w:cstheme="minorHAnsi"/>
          <w:bdr w:val="none" w:sz="0" w:space="0" w:color="auto" w:frame="1"/>
          <w:vertAlign w:val="superscript"/>
        </w:rPr>
        <w:t>7</w:t>
      </w:r>
      <w:r w:rsidRPr="004D42AB">
        <w:rPr>
          <w:rFonts w:eastAsia="Times New Roman" w:cstheme="minorHAnsi"/>
        </w:rPr>
        <w:t> and "all cases of known or suspected contagious or infectious diseases . . . all cases of persons who harbor any illness or health condition that may be caused by chemical terrorism, radiological terrorism, epidemic or pandemic disease, or novel and highly fatal infectious agents and might pose a substantial risk of a significant number of human fatalities or incidents of permanent or long-term disability" (South Carolina).</w:t>
      </w:r>
      <w:r w:rsidRPr="004D42AB">
        <w:rPr>
          <w:rFonts w:eastAsia="Times New Roman" w:cstheme="minorHAnsi"/>
          <w:bdr w:val="none" w:sz="0" w:space="0" w:color="auto" w:frame="1"/>
          <w:vertAlign w:val="superscript"/>
        </w:rPr>
        <w:t>8</w:t>
      </w:r>
    </w:p>
    <w:p w14:paraId="3D841A36" w14:textId="77777777" w:rsidR="00F44300" w:rsidRPr="004D42AB" w:rsidRDefault="00F44300" w:rsidP="00F00F20">
      <w:pPr>
        <w:shd w:val="clear" w:color="auto" w:fill="FFFFFF"/>
        <w:spacing w:line="360" w:lineRule="auto"/>
        <w:textAlignment w:val="baseline"/>
        <w:rPr>
          <w:rFonts w:eastAsia="Times New Roman" w:cstheme="minorHAnsi"/>
        </w:rPr>
      </w:pPr>
    </w:p>
    <w:p w14:paraId="0FEE6A21" w14:textId="77777777" w:rsidR="00F44300" w:rsidRPr="004D42AB" w:rsidRDefault="00F44300"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Syndromic Surveillance</w:t>
      </w:r>
    </w:p>
    <w:p w14:paraId="486A3121"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In addition to case reports, a few states mandate reporting to electronic syndromic surveillance systems. Syndromic surveillance systems detect clinical case features that are discernible before confirmed diagnoses are made.</w:t>
      </w:r>
      <w:r w:rsidRPr="004D42AB">
        <w:rPr>
          <w:rFonts w:eastAsia="Times New Roman" w:cstheme="minorHAnsi"/>
          <w:bdr w:val="none" w:sz="0" w:space="0" w:color="auto" w:frame="1"/>
          <w:vertAlign w:val="superscript"/>
        </w:rPr>
        <w:t>9</w:t>
      </w:r>
      <w:r w:rsidRPr="004D42AB">
        <w:rPr>
          <w:rFonts w:eastAsia="Times New Roman" w:cstheme="minorHAnsi"/>
        </w:rPr>
        <w:t> Data provided may be de-identified or identifiable. Syndromic surveillance systems focus on routinely gathered information that indicate an emerging disease or other public health threat, such as fever, rash, gastrointestinal illness, and respiratory conditions.</w:t>
      </w:r>
      <w:r w:rsidRPr="004D42AB">
        <w:rPr>
          <w:rFonts w:eastAsia="Times New Roman" w:cstheme="minorHAnsi"/>
          <w:bdr w:val="none" w:sz="0" w:space="0" w:color="auto" w:frame="1"/>
          <w:vertAlign w:val="superscript"/>
        </w:rPr>
        <w:t>10</w:t>
      </w:r>
      <w:r w:rsidRPr="004D42AB">
        <w:rPr>
          <w:rFonts w:eastAsia="Times New Roman" w:cstheme="minorHAnsi"/>
        </w:rPr>
        <w:t>  These systems provide health data in real time to facilitate immediate analysis and feedback to those charged with investigation and follow-up of potential outbreaks.</w:t>
      </w:r>
      <w:r w:rsidRPr="004D42AB">
        <w:rPr>
          <w:rFonts w:eastAsia="Times New Roman" w:cstheme="minorHAnsi"/>
          <w:bdr w:val="none" w:sz="0" w:space="0" w:color="auto" w:frame="1"/>
          <w:vertAlign w:val="superscript"/>
        </w:rPr>
        <w:t>11</w:t>
      </w:r>
      <w:r w:rsidRPr="004D42AB">
        <w:rPr>
          <w:rFonts w:eastAsia="Times New Roman" w:cstheme="minorHAnsi"/>
        </w:rPr>
        <w:t> Data may include patient's chief complaints in emergency departments, clinical impressions on ambulance log sheets, laboratory test orders, prescriptions filled, and over-the-counter prescription sales and products (e.g. thermometers). Public health agencies may monitor additional data sources not specific to disease syndromes, such as school or work absenteeism.</w:t>
      </w:r>
      <w:r w:rsidRPr="004D42AB">
        <w:rPr>
          <w:rFonts w:eastAsia="Times New Roman" w:cstheme="minorHAnsi"/>
          <w:bdr w:val="none" w:sz="0" w:space="0" w:color="auto" w:frame="1"/>
          <w:vertAlign w:val="superscript"/>
        </w:rPr>
        <w:t>12</w:t>
      </w:r>
      <w:r w:rsidRPr="004D42AB">
        <w:rPr>
          <w:rFonts w:eastAsia="Times New Roman" w:cstheme="minorHAnsi"/>
        </w:rPr>
        <w:t> Health agency staff, assisted by automated data acquisition and generation of statistical alerts, are able to make inquiries or investigate the public health significance of any anomalies.</w:t>
      </w:r>
    </w:p>
    <w:p w14:paraId="2CEBA139" w14:textId="77777777" w:rsidR="00F44300" w:rsidRPr="004D42AB" w:rsidRDefault="00F44300" w:rsidP="00F00F20">
      <w:pPr>
        <w:shd w:val="clear" w:color="auto" w:fill="FFFFFF"/>
        <w:spacing w:line="360" w:lineRule="auto"/>
        <w:textAlignment w:val="baseline"/>
        <w:rPr>
          <w:rFonts w:eastAsia="Times New Roman" w:cstheme="minorHAnsi"/>
        </w:rPr>
      </w:pPr>
    </w:p>
    <w:p w14:paraId="6694C033"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Nebraska</w:t>
      </w:r>
      <w:r w:rsidRPr="004D42AB">
        <w:rPr>
          <w:rFonts w:eastAsia="Times New Roman" w:cstheme="minorHAnsi"/>
          <w:bdr w:val="none" w:sz="0" w:space="0" w:color="auto" w:frame="1"/>
          <w:vertAlign w:val="superscript"/>
        </w:rPr>
        <w:t>13</w:t>
      </w:r>
      <w:r w:rsidRPr="004D42AB">
        <w:rPr>
          <w:rFonts w:eastAsia="Times New Roman" w:cstheme="minorHAnsi"/>
        </w:rPr>
        <w:t> and North Carolina</w:t>
      </w:r>
      <w:r w:rsidRPr="004D42AB">
        <w:rPr>
          <w:rFonts w:eastAsia="Times New Roman" w:cstheme="minorHAnsi"/>
          <w:bdr w:val="none" w:sz="0" w:space="0" w:color="auto" w:frame="1"/>
          <w:vertAlign w:val="superscript"/>
        </w:rPr>
        <w:t>14</w:t>
      </w:r>
      <w:r w:rsidRPr="004D42AB">
        <w:rPr>
          <w:rFonts w:eastAsia="Times New Roman" w:cstheme="minorHAnsi"/>
        </w:rPr>
        <w:t xml:space="preserve"> have passed laws requiring that their state health department establish a syndromic surveillance system and specify by rule data elements that hospital emergency departments must report to the system.  North Carolina's law expressly prohibits collection of personal identifiers. </w:t>
      </w:r>
      <w:r w:rsidRPr="004D42AB">
        <w:rPr>
          <w:rFonts w:eastAsia="Times New Roman" w:cstheme="minorHAnsi"/>
        </w:rPr>
        <w:lastRenderedPageBreak/>
        <w:t>Both states' laws make syndromic surveillance confidential, although de-identified data may be provided to the CDC.</w:t>
      </w:r>
    </w:p>
    <w:p w14:paraId="739E6314" w14:textId="77777777" w:rsidR="00F44300" w:rsidRPr="004D42AB" w:rsidRDefault="00F44300" w:rsidP="00F00F20">
      <w:pPr>
        <w:shd w:val="clear" w:color="auto" w:fill="FFFFFF"/>
        <w:spacing w:line="360" w:lineRule="auto"/>
        <w:textAlignment w:val="baseline"/>
        <w:rPr>
          <w:rFonts w:eastAsia="Times New Roman" w:cstheme="minorHAnsi"/>
        </w:rPr>
      </w:pPr>
    </w:p>
    <w:p w14:paraId="1E4BEE74" w14:textId="77777777" w:rsidR="00F44300" w:rsidRPr="004D42AB" w:rsidRDefault="00F44300" w:rsidP="00F00F20">
      <w:pPr>
        <w:shd w:val="clear" w:color="auto" w:fill="FFFFFF"/>
        <w:spacing w:after="225" w:line="360" w:lineRule="auto"/>
        <w:textAlignment w:val="baseline"/>
        <w:rPr>
          <w:rFonts w:eastAsia="Times New Roman" w:cstheme="minorHAnsi"/>
        </w:rPr>
      </w:pPr>
      <w:r w:rsidRPr="004D42AB">
        <w:rPr>
          <w:rFonts w:eastAsia="Times New Roman" w:cstheme="minorHAnsi"/>
        </w:rPr>
        <w:t xml:space="preserve">States without express mandates regarding syndromic surveillance may request data pursuant to general public health powers or public health surveillance authority.  Data may be submitted without personal identifiers, although indirect identifiers may be necessary to re-identify individuals for investigation should an outbreak be indicated. Without personal identifiers, syndromic surveillance data should not threaten individual privacy. However, data may include proprietary information that business data sources may want protected from disclosure to their competitors or the general public. Absent clear statutory protection, public health agencies may want to execute </w:t>
      </w:r>
      <w:proofErr w:type="spellStart"/>
      <w:r w:rsidRPr="004D42AB">
        <w:rPr>
          <w:rFonts w:eastAsia="Times New Roman" w:cstheme="minorHAnsi"/>
        </w:rPr>
        <w:t>datasharing</w:t>
      </w:r>
      <w:proofErr w:type="spellEnd"/>
      <w:r w:rsidRPr="004D42AB">
        <w:rPr>
          <w:rFonts w:eastAsia="Times New Roman" w:cstheme="minorHAnsi"/>
        </w:rPr>
        <w:t xml:space="preserve"> agreements with data sources that include confidentiality provisions to the extent allowed by law.</w:t>
      </w:r>
    </w:p>
    <w:p w14:paraId="6207991A" w14:textId="77777777" w:rsidR="00F44300" w:rsidRPr="004D42AB" w:rsidRDefault="00F44300"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Electronic Health Information</w:t>
      </w:r>
    </w:p>
    <w:p w14:paraId="588966CA"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Information technology has increased the ease and utility of obtaining and disseminating information.</w:t>
      </w:r>
      <w:r w:rsidRPr="004D42AB">
        <w:rPr>
          <w:rFonts w:eastAsia="Times New Roman" w:cstheme="minorHAnsi"/>
          <w:bdr w:val="none" w:sz="0" w:space="0" w:color="auto" w:frame="1"/>
          <w:vertAlign w:val="superscript"/>
        </w:rPr>
        <w:t>15</w:t>
      </w:r>
      <w:r w:rsidRPr="004D42AB">
        <w:rPr>
          <w:rFonts w:eastAsia="Times New Roman" w:cstheme="minorHAnsi"/>
        </w:rPr>
        <w:t> Public health surveillance is expected to improve due to increased use of electronic health records (EHR) and electronic exchange of health information. The Health Information Technology for Economic and Clinical Health Act (HITECH),</w:t>
      </w:r>
      <w:r w:rsidRPr="004D42AB">
        <w:rPr>
          <w:rFonts w:eastAsia="Times New Roman" w:cstheme="minorHAnsi"/>
          <w:bdr w:val="none" w:sz="0" w:space="0" w:color="auto" w:frame="1"/>
          <w:vertAlign w:val="superscript"/>
        </w:rPr>
        <w:t>16</w:t>
      </w:r>
      <w:r w:rsidRPr="004D42AB">
        <w:rPr>
          <w:rFonts w:eastAsia="Times New Roman" w:cstheme="minorHAnsi"/>
        </w:rPr>
        <w:t> part of the American Recovery and Reinvestment Act of 2009,</w:t>
      </w:r>
      <w:r w:rsidRPr="004D42AB">
        <w:rPr>
          <w:rFonts w:eastAsia="Times New Roman" w:cstheme="minorHAnsi"/>
          <w:bdr w:val="none" w:sz="0" w:space="0" w:color="auto" w:frame="1"/>
          <w:vertAlign w:val="superscript"/>
        </w:rPr>
        <w:t>17</w:t>
      </w:r>
      <w:r w:rsidRPr="004D42AB">
        <w:rPr>
          <w:rFonts w:eastAsia="Times New Roman" w:cstheme="minorHAnsi"/>
        </w:rPr>
        <w:t> provides financial incentives to eligible healthcare providers that implement and meaningfully use certified EHR technology. To demonstrate meaningful use, eligible providers select among a menu set of objectives and measures, which must include at least one public health objective. The three public health objectives in the Stage 1 menu set are submission of electronic data to public health in the context of 1) immunizations, 2) reportable laboratory results (eligible hospitals only), and 3) syndromic surveillance.</w:t>
      </w:r>
      <w:r w:rsidRPr="004D42AB">
        <w:rPr>
          <w:rFonts w:eastAsia="Times New Roman" w:cstheme="minorHAnsi"/>
          <w:bdr w:val="none" w:sz="0" w:space="0" w:color="auto" w:frame="1"/>
          <w:vertAlign w:val="superscript"/>
        </w:rPr>
        <w:t>18</w:t>
      </w:r>
    </w:p>
    <w:p w14:paraId="2A394640" w14:textId="77777777" w:rsidR="00F44300" w:rsidRPr="004D42AB" w:rsidRDefault="00F44300" w:rsidP="00F00F20">
      <w:pPr>
        <w:shd w:val="clear" w:color="auto" w:fill="FFFFFF"/>
        <w:spacing w:line="360" w:lineRule="auto"/>
        <w:textAlignment w:val="baseline"/>
        <w:rPr>
          <w:rFonts w:eastAsia="Times New Roman" w:cstheme="minorHAnsi"/>
        </w:rPr>
      </w:pPr>
    </w:p>
    <w:p w14:paraId="7248CA2E" w14:textId="77777777" w:rsidR="00F44300" w:rsidRPr="004D42AB" w:rsidRDefault="00F44300"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Data Collection and Right to Privacy</w:t>
      </w:r>
    </w:p>
    <w:p w14:paraId="6D814B1B"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The U.S. Supreme Court has upheld public health surveillance and reporting requirements against challenges based on individual privacy. Although privacy is not explicitly covered, the U.S. Constitution provides a limited right to privacy, including "informational privacy."</w:t>
      </w:r>
      <w:r w:rsidRPr="004D42AB">
        <w:rPr>
          <w:rFonts w:eastAsia="Times New Roman" w:cstheme="minorHAnsi"/>
          <w:bdr w:val="none" w:sz="0" w:space="0" w:color="auto" w:frame="1"/>
          <w:vertAlign w:val="superscript"/>
        </w:rPr>
        <w:t>19</w:t>
      </w:r>
      <w:r w:rsidRPr="004D42AB">
        <w:rPr>
          <w:rFonts w:eastAsia="Times New Roman" w:cstheme="minorHAnsi"/>
        </w:rPr>
        <w:t> However, public health reporting requirements and access to health information are permissible when they are reasonably directed to the preservation of health and properly respect a patient's confidentiality and privacy.</w:t>
      </w:r>
      <w:r w:rsidRPr="004D42AB">
        <w:rPr>
          <w:rFonts w:eastAsia="Times New Roman" w:cstheme="minorHAnsi"/>
          <w:bdr w:val="none" w:sz="0" w:space="0" w:color="auto" w:frame="1"/>
          <w:vertAlign w:val="superscript"/>
        </w:rPr>
        <w:t>20</w:t>
      </w:r>
      <w:r w:rsidRPr="004D42AB">
        <w:rPr>
          <w:rFonts w:eastAsia="Times New Roman" w:cstheme="minorHAnsi"/>
        </w:rPr>
        <w:t> For this reason, in </w:t>
      </w:r>
      <w:r w:rsidRPr="004D42AB">
        <w:rPr>
          <w:rFonts w:eastAsia="Times New Roman" w:cstheme="minorHAnsi"/>
          <w:i/>
          <w:iCs/>
          <w:bdr w:val="none" w:sz="0" w:space="0" w:color="auto" w:frame="1"/>
        </w:rPr>
        <w:t>Planned Parenthood of Central Missouri v Danforth</w:t>
      </w:r>
      <w:r w:rsidRPr="004D42AB">
        <w:rPr>
          <w:rFonts w:eastAsia="Times New Roman" w:cstheme="minorHAnsi"/>
        </w:rPr>
        <w:t>,</w:t>
      </w:r>
      <w:r w:rsidRPr="004D42AB">
        <w:rPr>
          <w:rFonts w:eastAsia="Times New Roman" w:cstheme="minorHAnsi"/>
          <w:bdr w:val="none" w:sz="0" w:space="0" w:color="auto" w:frame="1"/>
          <w:vertAlign w:val="superscript"/>
        </w:rPr>
        <w:t>21</w:t>
      </w:r>
      <w:r w:rsidRPr="004D42AB">
        <w:rPr>
          <w:rFonts w:eastAsia="Times New Roman" w:cstheme="minorHAnsi"/>
        </w:rPr>
        <w:t> the Supreme Court upheld recordkeeping and reporting requirements and public health authority to review required records related to abortion.</w:t>
      </w:r>
    </w:p>
    <w:p w14:paraId="142B4984" w14:textId="77777777" w:rsidR="00F44300" w:rsidRPr="004D42AB" w:rsidRDefault="00F44300" w:rsidP="00F00F20">
      <w:pPr>
        <w:shd w:val="clear" w:color="auto" w:fill="FFFFFF"/>
        <w:spacing w:line="360" w:lineRule="auto"/>
        <w:textAlignment w:val="baseline"/>
        <w:rPr>
          <w:rFonts w:eastAsia="Times New Roman" w:cstheme="minorHAnsi"/>
        </w:rPr>
      </w:pPr>
    </w:p>
    <w:p w14:paraId="5BB0066C"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 </w:t>
      </w:r>
      <w:r w:rsidRPr="004D42AB">
        <w:rPr>
          <w:rFonts w:eastAsia="Times New Roman" w:cstheme="minorHAnsi"/>
          <w:i/>
          <w:iCs/>
          <w:bdr w:val="none" w:sz="0" w:space="0" w:color="auto" w:frame="1"/>
        </w:rPr>
        <w:t>Whalen v Roe,</w:t>
      </w:r>
      <w:r w:rsidRPr="004D42AB">
        <w:rPr>
          <w:rFonts w:eastAsia="Times New Roman" w:cstheme="minorHAnsi"/>
          <w:i/>
          <w:iCs/>
          <w:bdr w:val="none" w:sz="0" w:space="0" w:color="auto" w:frame="1"/>
          <w:vertAlign w:val="superscript"/>
        </w:rPr>
        <w:t>22</w:t>
      </w:r>
      <w:r w:rsidRPr="004D42AB">
        <w:rPr>
          <w:rFonts w:eastAsia="Times New Roman" w:cstheme="minorHAnsi"/>
        </w:rPr>
        <w:t> the Supreme Court upheld a state law that required physicians who prescribed Schedule II controlled substances to provide a copy of those prescriptions to the New York State Department of Health. The law was intended to prevent the diversion of drugs into "unlawful channels" by preventing individuals from obtaining controlled substances from more than one physician or using stolen or altered prescriptions, preventing pharmacists from refilling dangerous prescriptions, and preventing physicians from over-prescribing. The Court rejected privacy challenges to the law's requirement that patients' names and addresses be collected and retained by the state, finding the requirement a reasonable exercise of the state's broad police powers. Requiring such disclosures to representatives of the state having responsibility for the health of the community, does not automatically amount to an impermissible invasion of privacy. The Court held that the reporting requirement was not "meaningfully distinguishable from a host of other unpleasant invasions of privacy that are associated with many facets of healthcare" comparing it to "reporting requirements relating to venereal disease, child abuse, injuries caused by deadly weapons, and certifications of fetal death."</w:t>
      </w:r>
      <w:r w:rsidRPr="004D42AB">
        <w:rPr>
          <w:rFonts w:eastAsia="Times New Roman" w:cstheme="minorHAnsi"/>
          <w:bdr w:val="none" w:sz="0" w:space="0" w:color="auto" w:frame="1"/>
          <w:vertAlign w:val="superscript"/>
        </w:rPr>
        <w:t>23</w:t>
      </w:r>
    </w:p>
    <w:p w14:paraId="0AF3434A" w14:textId="77777777" w:rsidR="00F44300" w:rsidRPr="004D42AB" w:rsidRDefault="00F44300" w:rsidP="00F00F20">
      <w:pPr>
        <w:shd w:val="clear" w:color="auto" w:fill="FFFFFF"/>
        <w:spacing w:line="360" w:lineRule="auto"/>
        <w:textAlignment w:val="baseline"/>
        <w:rPr>
          <w:rFonts w:eastAsia="Times New Roman" w:cstheme="minorHAnsi"/>
        </w:rPr>
      </w:pPr>
    </w:p>
    <w:p w14:paraId="3169307F"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While the Court upheld the reporting requirement at issue in </w:t>
      </w:r>
      <w:r w:rsidRPr="004D42AB">
        <w:rPr>
          <w:rFonts w:eastAsia="Times New Roman" w:cstheme="minorHAnsi"/>
          <w:i/>
          <w:iCs/>
          <w:bdr w:val="none" w:sz="0" w:space="0" w:color="auto" w:frame="1"/>
        </w:rPr>
        <w:t>Whalen v Roe</w:t>
      </w:r>
      <w:r w:rsidRPr="004D42AB">
        <w:rPr>
          <w:rFonts w:eastAsia="Times New Roman" w:cstheme="minorHAnsi"/>
        </w:rPr>
        <w:t>, it recognized that the government's right to accumulate great quantities of information - much of which is personal in character and potentially embarrassing or harmful if disclosed - has bounds. "The right to collect and use such data for public purposes is typically accompanied by a concomitant statutory or regulatory duty to avoid unwarranted disclosures." The New York statutory scheme, and its implementing procedures, showed a proper concern with, and protection of, an individual's interest in privacy. Thus, the Court need not, and did not, "decide any question which might be presented by the unwarranted disclosure of accumulated private data - whether intentional or unintentional - or by a system that did not contain comparable security provisions."</w:t>
      </w:r>
      <w:r w:rsidRPr="004D42AB">
        <w:rPr>
          <w:rFonts w:eastAsia="Times New Roman" w:cstheme="minorHAnsi"/>
          <w:bdr w:val="none" w:sz="0" w:space="0" w:color="auto" w:frame="1"/>
          <w:vertAlign w:val="superscript"/>
        </w:rPr>
        <w:t>24</w:t>
      </w:r>
    </w:p>
    <w:p w14:paraId="2B763DF9" w14:textId="77777777" w:rsidR="00F44300" w:rsidRPr="004D42AB" w:rsidRDefault="00F44300" w:rsidP="00F00F20">
      <w:pPr>
        <w:shd w:val="clear" w:color="auto" w:fill="FFFFFF"/>
        <w:spacing w:line="360" w:lineRule="auto"/>
        <w:textAlignment w:val="baseline"/>
        <w:rPr>
          <w:rFonts w:eastAsia="Times New Roman" w:cstheme="minorHAnsi"/>
        </w:rPr>
      </w:pPr>
    </w:p>
    <w:p w14:paraId="72343805"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III. Legal Authority for Public Health Investigations</w:t>
      </w:r>
    </w:p>
    <w:p w14:paraId="58560B5B"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When surveillance systems, whether formal or informal or at the state, local or federal level, do detect cases or clusters of usual disease or other potential health threats, a public health investigation may be triggered. A public health investigation involves confirming the occurrence of an outbreak through active data and information gathering, identifying and characterizing cases of disease, developing and testing hypotheses explaining the cases, and, finally, implementing control measures to inhibit the further spread of the disease or condition as needed.</w:t>
      </w:r>
      <w:r w:rsidRPr="004D42AB">
        <w:rPr>
          <w:rFonts w:eastAsia="Times New Roman" w:cstheme="minorHAnsi"/>
          <w:bdr w:val="none" w:sz="0" w:space="0" w:color="auto" w:frame="1"/>
          <w:vertAlign w:val="superscript"/>
        </w:rPr>
        <w:t>25</w:t>
      </w:r>
    </w:p>
    <w:p w14:paraId="77FE7F7E" w14:textId="77777777" w:rsidR="00F44300" w:rsidRPr="004D42AB" w:rsidRDefault="00F44300" w:rsidP="00F00F20">
      <w:pPr>
        <w:shd w:val="clear" w:color="auto" w:fill="FFFFFF"/>
        <w:spacing w:line="360" w:lineRule="auto"/>
        <w:textAlignment w:val="baseline"/>
        <w:rPr>
          <w:rFonts w:eastAsia="Times New Roman" w:cstheme="minorHAnsi"/>
        </w:rPr>
      </w:pPr>
    </w:p>
    <w:p w14:paraId="796DF204"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Investigations are usually conducted by state and/or local public health agencies, which provide front-line detection and response to public health threats. The CDC may provide consultation or assistance at the request of the state public health agency or become involved with large scale threats, especially if they involve more than one state. Other federal agencies may be involved with investigating and responding to threats, such as the Food and Drug Administration (FDA) or the United States Department of Agriculture (USDA) when the threats involve foods or other products under their jurisdiction.</w:t>
      </w:r>
      <w:r w:rsidRPr="004D42AB">
        <w:rPr>
          <w:rFonts w:eastAsia="Times New Roman" w:cstheme="minorHAnsi"/>
          <w:bdr w:val="none" w:sz="0" w:space="0" w:color="auto" w:frame="1"/>
          <w:vertAlign w:val="superscript"/>
        </w:rPr>
        <w:t>26</w:t>
      </w:r>
    </w:p>
    <w:p w14:paraId="09EA7D5D" w14:textId="77777777" w:rsidR="00F44300" w:rsidRPr="004D42AB" w:rsidRDefault="00F44300" w:rsidP="00F00F20">
      <w:pPr>
        <w:shd w:val="clear" w:color="auto" w:fill="FFFFFF"/>
        <w:spacing w:line="360" w:lineRule="auto"/>
        <w:textAlignment w:val="baseline"/>
        <w:rPr>
          <w:rFonts w:eastAsia="Times New Roman" w:cstheme="minorHAnsi"/>
        </w:rPr>
      </w:pPr>
    </w:p>
    <w:p w14:paraId="03D820A5"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State laws provide general legal authority to public health agencies to investigate the causes of disease, illness, disability, or other conditions. State laws may also include more specific investigative provisions. For example, under Michigan's Public Health Code, state and local health departments "may inspect, investigate, or authorize an inspection or investigation to be made of any matter, thing, premises, place, person, record, vehicle, incident, or event."</w:t>
      </w:r>
      <w:r w:rsidRPr="004D42AB">
        <w:rPr>
          <w:rFonts w:eastAsia="Times New Roman" w:cstheme="minorHAnsi"/>
          <w:bdr w:val="none" w:sz="0" w:space="0" w:color="auto" w:frame="1"/>
          <w:vertAlign w:val="superscript"/>
        </w:rPr>
        <w:t>27</w:t>
      </w:r>
    </w:p>
    <w:p w14:paraId="156914D7" w14:textId="77777777" w:rsidR="00F44300" w:rsidRPr="004D42AB" w:rsidRDefault="00F44300" w:rsidP="00F00F20">
      <w:pPr>
        <w:shd w:val="clear" w:color="auto" w:fill="FFFFFF"/>
        <w:spacing w:line="360" w:lineRule="auto"/>
        <w:textAlignment w:val="baseline"/>
        <w:rPr>
          <w:rFonts w:eastAsia="Times New Roman" w:cstheme="minorHAnsi"/>
        </w:rPr>
      </w:pPr>
    </w:p>
    <w:p w14:paraId="7B5126BD"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During an investigation, public health investigators may need to enter and search the premises of an individual or business, copy records, take biological specimens or environmental samples for testing, and remove evidence that might be relevant to the public health concern. Usually, individuals, families, and businesses cooperate with public health investigations by providing access to premises, records, samples and specimens. However, absent consent, public health officials may need to obtain an administrative warrant to search premises and obtain evidence. A knowing and voluntary consent by an individual with actual or apparent authority over the premises to be searched or items to be seized is an exception to the warrant requirement established by the United States Constitution.</w:t>
      </w:r>
      <w:r w:rsidRPr="004D42AB">
        <w:rPr>
          <w:rFonts w:eastAsia="Times New Roman" w:cstheme="minorHAnsi"/>
          <w:bdr w:val="none" w:sz="0" w:space="0" w:color="auto" w:frame="1"/>
          <w:vertAlign w:val="superscript"/>
        </w:rPr>
        <w:t>28</w:t>
      </w:r>
    </w:p>
    <w:p w14:paraId="7348080F" w14:textId="77777777" w:rsidR="00F44300" w:rsidRPr="004D42AB" w:rsidRDefault="00F44300" w:rsidP="00F00F20">
      <w:pPr>
        <w:shd w:val="clear" w:color="auto" w:fill="FFFFFF"/>
        <w:spacing w:line="360" w:lineRule="auto"/>
        <w:textAlignment w:val="baseline"/>
        <w:rPr>
          <w:rFonts w:eastAsia="Times New Roman" w:cstheme="minorHAnsi"/>
        </w:rPr>
      </w:pPr>
    </w:p>
    <w:p w14:paraId="2D6A1AC4" w14:textId="77777777" w:rsidR="00F44300" w:rsidRPr="004D42AB" w:rsidRDefault="00F44300" w:rsidP="00F00F20">
      <w:pPr>
        <w:shd w:val="clear" w:color="auto" w:fill="FFFFFF"/>
        <w:spacing w:after="120" w:line="360" w:lineRule="auto"/>
        <w:textAlignment w:val="baseline"/>
        <w:rPr>
          <w:rFonts w:eastAsia="Times New Roman" w:cstheme="minorHAnsi"/>
        </w:rPr>
      </w:pPr>
      <w:r w:rsidRPr="004D42AB">
        <w:rPr>
          <w:rFonts w:eastAsia="Times New Roman" w:cstheme="minorHAnsi"/>
        </w:rPr>
        <w:t>The Fourth Amendment of the U.S. Constitution protects against unreasonable searches and seizures and requires a warrant:</w:t>
      </w:r>
    </w:p>
    <w:p w14:paraId="5A9199A8" w14:textId="77777777" w:rsidR="00F44300" w:rsidRPr="004D42AB" w:rsidRDefault="00F44300" w:rsidP="00F00F20">
      <w:pPr>
        <w:shd w:val="clear" w:color="auto" w:fill="FFFFFF"/>
        <w:spacing w:after="225" w:line="360" w:lineRule="auto"/>
        <w:ind w:left="1440" w:right="864"/>
        <w:textAlignment w:val="baseline"/>
        <w:rPr>
          <w:rFonts w:eastAsia="Times New Roman" w:cstheme="minorHAnsi"/>
        </w:rPr>
      </w:pPr>
      <w:r w:rsidRPr="004D42AB">
        <w:rPr>
          <w:rFonts w:eastAsia="Times New Roman" w:cstheme="minorHAnsi"/>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1EC0B4AD"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lastRenderedPageBreak/>
        <w:t>A search occurs when government action infringes upon an expectation of privacy that society recognizes as reasonable, for example, an individual's expectation of privacy in their home, business, vehicle, and person.</w:t>
      </w:r>
      <w:r w:rsidRPr="004D42AB">
        <w:rPr>
          <w:rFonts w:eastAsia="Times New Roman" w:cstheme="minorHAnsi"/>
          <w:bdr w:val="none" w:sz="0" w:space="0" w:color="auto" w:frame="1"/>
          <w:vertAlign w:val="superscript"/>
        </w:rPr>
        <w:t>29</w:t>
      </w:r>
      <w:r w:rsidRPr="004D42AB">
        <w:rPr>
          <w:rFonts w:eastAsia="Times New Roman" w:cstheme="minorHAnsi"/>
        </w:rPr>
        <w:t> Searches also include the collection and subsequent analysis of biological samples.</w:t>
      </w:r>
      <w:r w:rsidRPr="004D42AB">
        <w:rPr>
          <w:rFonts w:eastAsia="Times New Roman" w:cstheme="minorHAnsi"/>
          <w:bdr w:val="none" w:sz="0" w:space="0" w:color="auto" w:frame="1"/>
          <w:vertAlign w:val="superscript"/>
        </w:rPr>
        <w:t>30</w:t>
      </w:r>
      <w:r w:rsidRPr="004D42AB">
        <w:rPr>
          <w:rFonts w:eastAsia="Times New Roman" w:cstheme="minorHAnsi"/>
        </w:rPr>
        <w:t> A seizure occurs when government action meaningfully interferes with an individual's possessory interest in property, for example, seizure of items that belong to the individual. The basic purpose of this Amendment is to safeguard the privacy and security of individuals against arbitrary invasions by governmental officials. Absent an exception, the Fourth Amendment applies to health and safety inspections and to public health investigations, requiring an administrative warrant. However, the standard for an administrative warrant is not as high as it is for criminal investigations. In administrative searches, probable cause is supported not by the traditional definition of likelihood to believe that evidence of a crime will be found in the area to be searched, but rather probable cause is satisfied by reasonable legislative or administrative standards for conducting an area search with respect to a particular dwelling.</w:t>
      </w:r>
      <w:r w:rsidRPr="004D42AB">
        <w:rPr>
          <w:rFonts w:eastAsia="Times New Roman" w:cstheme="minorHAnsi"/>
          <w:bdr w:val="none" w:sz="0" w:space="0" w:color="auto" w:frame="1"/>
          <w:vertAlign w:val="superscript"/>
        </w:rPr>
        <w:t>31</w:t>
      </w:r>
    </w:p>
    <w:p w14:paraId="61E000E0" w14:textId="77777777" w:rsidR="00F44300" w:rsidRPr="004D42AB" w:rsidRDefault="00F44300" w:rsidP="00F00F20">
      <w:pPr>
        <w:shd w:val="clear" w:color="auto" w:fill="FFFFFF"/>
        <w:spacing w:line="360" w:lineRule="auto"/>
        <w:textAlignment w:val="baseline"/>
        <w:rPr>
          <w:rFonts w:eastAsia="Times New Roman" w:cstheme="minorHAnsi"/>
        </w:rPr>
      </w:pPr>
    </w:p>
    <w:p w14:paraId="698E7BC5"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Generally, the Fourth Amendment warrant requirement does not apply to information provided by third parties. Mandatory reporting schemes for information obtained by medical personnel during the ordinary course of treatment do not violate the Fourth Amendment, even if that information is ultimately provided to law enforcement.</w:t>
      </w:r>
      <w:r w:rsidRPr="004D42AB">
        <w:rPr>
          <w:rFonts w:eastAsia="Times New Roman" w:cstheme="minorHAnsi"/>
          <w:bdr w:val="none" w:sz="0" w:space="0" w:color="auto" w:frame="1"/>
          <w:vertAlign w:val="superscript"/>
        </w:rPr>
        <w:t>32</w:t>
      </w:r>
      <w:r w:rsidRPr="004D42AB">
        <w:rPr>
          <w:rFonts w:eastAsia="Times New Roman" w:cstheme="minorHAnsi"/>
        </w:rPr>
        <w:t> Even so, Fourth Amendment protection may apply if medical providers or public health investigators are too closely involved with law enforcement activities or their immediate objective is to generate evidence for law enforcement purposes. For example, the U.S. Supreme Court held that public hospital employees violated pregnant women's Fourth Amendment rights by testing their blood for cocaine. While the testing program might result in drug abuse treatment for some women - thereby benefitting the patient, their unborn child, and public health - the program was designed to collect evidence that would be turned over to the police for potential criminal prosecution.</w:t>
      </w:r>
      <w:r w:rsidRPr="004D42AB">
        <w:rPr>
          <w:rFonts w:eastAsia="Times New Roman" w:cstheme="minorHAnsi"/>
          <w:bdr w:val="none" w:sz="0" w:space="0" w:color="auto" w:frame="1"/>
          <w:vertAlign w:val="superscript"/>
        </w:rPr>
        <w:t>33</w:t>
      </w:r>
    </w:p>
    <w:p w14:paraId="1A2F3213" w14:textId="77777777" w:rsidR="00F44300" w:rsidRPr="004D42AB" w:rsidRDefault="00F44300" w:rsidP="00F00F20">
      <w:pPr>
        <w:shd w:val="clear" w:color="auto" w:fill="FFFFFF"/>
        <w:spacing w:line="360" w:lineRule="auto"/>
        <w:textAlignment w:val="baseline"/>
        <w:rPr>
          <w:rFonts w:eastAsia="Times New Roman" w:cstheme="minorHAnsi"/>
        </w:rPr>
      </w:pPr>
    </w:p>
    <w:p w14:paraId="1FA0BFE5"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If an </w:t>
      </w:r>
      <w:proofErr w:type="gramStart"/>
      <w:r w:rsidRPr="004D42AB">
        <w:rPr>
          <w:rFonts w:eastAsia="Times New Roman" w:cstheme="minorHAnsi"/>
        </w:rPr>
        <w:t>official fears</w:t>
      </w:r>
      <w:proofErr w:type="gramEnd"/>
      <w:r w:rsidRPr="004D42AB">
        <w:rPr>
          <w:rFonts w:eastAsia="Times New Roman" w:cstheme="minorHAnsi"/>
        </w:rPr>
        <w:t xml:space="preserve"> that evidence may be destroyed or moved, he or she may wish to obtain an administrative warrant, rather than simply asking the owner or third party for permission to search. With a warrant, investigators may be accompanied by law enforcement for assistance, if necessary, to execute the warrant and seize evidence within the warrant's purview. State law should be reviewed to determine the requirements and process for obtaining and executing an administrative warrant.</w:t>
      </w:r>
    </w:p>
    <w:p w14:paraId="74EE887C" w14:textId="77777777" w:rsidR="00F44300" w:rsidRPr="004D42AB" w:rsidRDefault="00F44300" w:rsidP="00F00F20">
      <w:pPr>
        <w:shd w:val="clear" w:color="auto" w:fill="FFFFFF"/>
        <w:spacing w:line="360" w:lineRule="auto"/>
        <w:textAlignment w:val="baseline"/>
        <w:rPr>
          <w:rFonts w:eastAsia="Times New Roman" w:cstheme="minorHAnsi"/>
        </w:rPr>
      </w:pPr>
    </w:p>
    <w:p w14:paraId="7DF6E425"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lastRenderedPageBreak/>
        <w:t>Although not constrained by the Fourth Amendment, at times, individuals or organizations may request "legal process" before turning over property or information they hold about others to protect themselves against claims of wrongdoing. For example, in 2004, state health departments in Iowa and Michigan requested that Northwest Airlines provide contact information for passengers and crew aboard flights that landed in their respective states after it was determined that a passenger with measles was aboard those flights. The state health departments requested this information to contact individuals to inform them of exposure and provide information on reducing the possibility of illness. In response to the airline's concerns about privacy interests, each state used legal process under their respective state's law to compel disclosure of contact information: Iowa's health department obtained a court subpoena whereas Michigan's health department issued an imminent danger order.</w:t>
      </w:r>
      <w:r w:rsidRPr="004D42AB">
        <w:rPr>
          <w:rFonts w:eastAsia="Times New Roman" w:cstheme="minorHAnsi"/>
          <w:bdr w:val="none" w:sz="0" w:space="0" w:color="auto" w:frame="1"/>
          <w:vertAlign w:val="superscript"/>
        </w:rPr>
        <w:t>34</w:t>
      </w:r>
    </w:p>
    <w:p w14:paraId="039B5D40" w14:textId="77777777" w:rsidR="00F44300" w:rsidRPr="004D42AB" w:rsidRDefault="00F44300" w:rsidP="00F00F20">
      <w:pPr>
        <w:shd w:val="clear" w:color="auto" w:fill="FFFFFF"/>
        <w:spacing w:line="360" w:lineRule="auto"/>
        <w:textAlignment w:val="baseline"/>
        <w:rPr>
          <w:rFonts w:eastAsia="Times New Roman" w:cstheme="minorHAnsi"/>
        </w:rPr>
      </w:pPr>
    </w:p>
    <w:p w14:paraId="7A5512D3" w14:textId="77777777" w:rsidR="00F44300" w:rsidRDefault="00F44300" w:rsidP="00F00F20">
      <w:pPr>
        <w:shd w:val="clear" w:color="auto" w:fill="FFFFFF"/>
        <w:spacing w:line="360" w:lineRule="auto"/>
        <w:textAlignment w:val="baseline"/>
        <w:rPr>
          <w:rFonts w:eastAsia="Times New Roman" w:cstheme="minorHAnsi"/>
          <w:color w:val="00B0F0"/>
        </w:rPr>
      </w:pPr>
      <w:r w:rsidRPr="004D42AB">
        <w:rPr>
          <w:rFonts w:eastAsia="Times New Roman" w:cstheme="minorHAnsi"/>
        </w:rPr>
        <w:t xml:space="preserve">Fourth Amendment constitutional law is </w:t>
      </w:r>
      <w:proofErr w:type="gramStart"/>
      <w:r w:rsidRPr="004D42AB">
        <w:rPr>
          <w:rFonts w:eastAsia="Times New Roman" w:cstheme="minorHAnsi"/>
        </w:rPr>
        <w:t>complicated</w:t>
      </w:r>
      <w:proofErr w:type="gramEnd"/>
      <w:r w:rsidRPr="004D42AB">
        <w:rPr>
          <w:rFonts w:eastAsia="Times New Roman" w:cstheme="minorHAnsi"/>
        </w:rPr>
        <w:t xml:space="preserve"> and a court's determination may be difficult to predict for a specific case. Whether public health action is a "search" (i.e. infringes upon an expectation of privacy that society recognizes as reasonable), satisfies warrant requirements, or meets an exception depend on facts and context and balancing various interests. Additionally, while a public health search may be allowed by the Fourth amendment, state requirements may exceed federal constitutional requirements. Public health agencies should work closely with legal counsel to ensure that their investigations comport with the Fourth Amendment, especially when criminal activities are implicated. For additional information about public health investigations and the Fourth Amendment, see </w:t>
      </w:r>
      <w:hyperlink r:id="rId89" w:tooltip="Authorities and Limitations in Sharing Information Between Public Health Agencies and Law Enforcement Issue Brief" w:history="1">
        <w:r w:rsidRPr="004D42AB">
          <w:rPr>
            <w:rFonts w:eastAsia="Times New Roman" w:cstheme="minorHAnsi"/>
            <w:i/>
            <w:iCs/>
            <w:color w:val="00B0F0"/>
            <w:u w:val="single"/>
            <w:bdr w:val="none" w:sz="0" w:space="0" w:color="auto" w:frame="1"/>
          </w:rPr>
          <w:t>Authorities and Limitations in Sharing Information Between Public Health Agencies and Law Enforcement Issue Brief</w:t>
        </w:r>
      </w:hyperlink>
      <w:r w:rsidRPr="004D42AB">
        <w:rPr>
          <w:rFonts w:eastAsia="Times New Roman" w:cstheme="minorHAnsi"/>
          <w:color w:val="00B0F0"/>
        </w:rPr>
        <w:t>.</w:t>
      </w:r>
    </w:p>
    <w:p w14:paraId="2CC019CC" w14:textId="77777777" w:rsidR="00F44300" w:rsidRPr="004D42AB" w:rsidRDefault="00F44300" w:rsidP="00F00F20">
      <w:pPr>
        <w:shd w:val="clear" w:color="auto" w:fill="FFFFFF"/>
        <w:spacing w:line="360" w:lineRule="auto"/>
        <w:textAlignment w:val="baseline"/>
        <w:rPr>
          <w:rFonts w:eastAsia="Times New Roman" w:cstheme="minorHAnsi"/>
        </w:rPr>
      </w:pPr>
    </w:p>
    <w:p w14:paraId="60AA6560"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IV. Legal Authority for Public Health Sharing of Information </w:t>
      </w:r>
    </w:p>
    <w:p w14:paraId="03FFEB8C"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agencies must often decide what information, if any, to share outside the public health agency. They may face competing interests when trying to protect individual privacy, protect the public, and inform the public.</w:t>
      </w:r>
    </w:p>
    <w:p w14:paraId="0BFBFAE8" w14:textId="77777777" w:rsidR="00F44300" w:rsidRPr="004D42AB" w:rsidRDefault="00F44300" w:rsidP="00F00F20">
      <w:pPr>
        <w:shd w:val="clear" w:color="auto" w:fill="FFFFFF"/>
        <w:spacing w:line="360" w:lineRule="auto"/>
        <w:textAlignment w:val="baseline"/>
        <w:rPr>
          <w:rFonts w:eastAsia="Times New Roman" w:cstheme="minorHAnsi"/>
        </w:rPr>
      </w:pPr>
    </w:p>
    <w:p w14:paraId="5CD54DBA"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Few states have laws that comprehensively address both public health privacy and disclosure.</w:t>
      </w:r>
      <w:r w:rsidRPr="004D42AB">
        <w:rPr>
          <w:rFonts w:eastAsia="Times New Roman" w:cstheme="minorHAnsi"/>
          <w:bdr w:val="none" w:sz="0" w:space="0" w:color="auto" w:frame="1"/>
          <w:vertAlign w:val="superscript"/>
        </w:rPr>
        <w:t>35</w:t>
      </w:r>
      <w:r w:rsidRPr="004D42AB">
        <w:rPr>
          <w:rFonts w:eastAsia="Times New Roman" w:cstheme="minorHAnsi"/>
        </w:rPr>
        <w:t xml:space="preserve"> According to one study, after personally identifiable health information is reported to or collected by a state health department, half of the states have no statutory provision or clearly applicable case law that imparts a continuing expectation or presumption of privacy or confidentiality of that information. Such information may be used and disclosed by state health officials in ways that, </w:t>
      </w:r>
      <w:r w:rsidRPr="004D42AB">
        <w:rPr>
          <w:rFonts w:eastAsia="Times New Roman" w:cstheme="minorHAnsi"/>
        </w:rPr>
        <w:lastRenderedPageBreak/>
        <w:t>although it may be bounded by ethical expectations or practices, is subject to few legal restrictions. Some of these states do have limited protections, but they only apply to specific diseases or conditions, such as HIV, STDs, or tuberculosis.</w:t>
      </w:r>
      <w:r w:rsidRPr="004D42AB">
        <w:rPr>
          <w:rFonts w:eastAsia="Times New Roman" w:cstheme="minorHAnsi"/>
          <w:bdr w:val="none" w:sz="0" w:space="0" w:color="auto" w:frame="1"/>
          <w:vertAlign w:val="superscript"/>
        </w:rPr>
        <w:t>36</w:t>
      </w:r>
    </w:p>
    <w:p w14:paraId="7E13C24A" w14:textId="77777777" w:rsidR="00F44300" w:rsidRPr="004D42AB" w:rsidRDefault="00F44300" w:rsidP="00F00F20">
      <w:pPr>
        <w:shd w:val="clear" w:color="auto" w:fill="FFFFFF"/>
        <w:spacing w:line="360" w:lineRule="auto"/>
        <w:textAlignment w:val="baseline"/>
        <w:rPr>
          <w:rFonts w:eastAsia="Times New Roman" w:cstheme="minorHAnsi"/>
        </w:rPr>
      </w:pPr>
    </w:p>
    <w:p w14:paraId="57119C66"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Privacy protections are important to ensure the public's trust and protect individuals from embarrassment, discrimination, and stigma. At the same time, exceptions are necessary to address rare but compelling situations where necessary to protect the public's health. Twenty-three of the twenty-five states with privacy protections allow health departments to disclose identifiable information, without consent, when necessary to protect the public. Three states (Maryland, Nebraska, and New Hampshire) have no statutory exception for disclosure to protect the public health. Similarly, most of these states lack law regarding the sharing of information about potential disease outbreaks and other public health events among public health agencies, between law enforcement and public health within each state, and between each state and the federal government. The law in Oregon is an example that appears to cover all needed exceptions to privacy. The Oregon Revised Statutes provide that "information obtained by the Oregon Health Authority or a local public health administrator in the course of an investigation of a reportable disease or disease outbreak is confidential" although several enumerated exceptions allow release of the minimum amount of information necessary to state and federal agencies, healthcare workers, persons with communicable diseases, and to certain others if there is "clear and convincing evidence that the release is necessary to avoid an immediate danger to other individuals or to the public."</w:t>
      </w:r>
      <w:r w:rsidRPr="004D42AB">
        <w:rPr>
          <w:rFonts w:eastAsia="Times New Roman" w:cstheme="minorHAnsi"/>
          <w:bdr w:val="none" w:sz="0" w:space="0" w:color="auto" w:frame="1"/>
          <w:vertAlign w:val="superscript"/>
        </w:rPr>
        <w:t>37</w:t>
      </w:r>
    </w:p>
    <w:p w14:paraId="59A9D749" w14:textId="77777777" w:rsidR="00F44300" w:rsidRPr="004D42AB" w:rsidRDefault="00F44300" w:rsidP="00F00F20">
      <w:pPr>
        <w:shd w:val="clear" w:color="auto" w:fill="FFFFFF"/>
        <w:spacing w:line="360" w:lineRule="auto"/>
        <w:textAlignment w:val="baseline"/>
        <w:rPr>
          <w:rFonts w:eastAsia="Times New Roman" w:cstheme="minorHAnsi"/>
        </w:rPr>
      </w:pPr>
    </w:p>
    <w:p w14:paraId="63B4EA60"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There may be rare, but compelling circumstances, where disclosure may be necessary, even though state law provides no applicable exception to privacy protections. If time permits, public health officials might seek a court order authorizing disclosure without consent. At some point, ethical considerations may dictate disclosure to warn third parties or the community of an imminent threat. In the mental health field, legal and ethical principles have developed regarding a duty to warn third parties of potential danger based on information learned in providing treatment. This "duty to warn" evolved from the California Supreme Court's decision in </w:t>
      </w:r>
      <w:r w:rsidRPr="004D42AB">
        <w:rPr>
          <w:rFonts w:eastAsia="Times New Roman" w:cstheme="minorHAnsi"/>
          <w:i/>
          <w:iCs/>
          <w:bdr w:val="none" w:sz="0" w:space="0" w:color="auto" w:frame="1"/>
        </w:rPr>
        <w:t>Tarasoff v Regents of the University of California</w:t>
      </w:r>
      <w:r w:rsidRPr="004D42AB">
        <w:rPr>
          <w:rFonts w:eastAsia="Times New Roman" w:cstheme="minorHAnsi"/>
        </w:rPr>
        <w:t>,</w:t>
      </w:r>
      <w:r w:rsidRPr="004D42AB">
        <w:rPr>
          <w:rFonts w:eastAsia="Times New Roman" w:cstheme="minorHAnsi"/>
          <w:bdr w:val="none" w:sz="0" w:space="0" w:color="auto" w:frame="1"/>
          <w:vertAlign w:val="superscript"/>
        </w:rPr>
        <w:t>38</w:t>
      </w:r>
      <w:r w:rsidRPr="004D42AB">
        <w:rPr>
          <w:rFonts w:eastAsia="Times New Roman" w:cstheme="minorHAnsi"/>
        </w:rPr>
        <w:t xml:space="preserve">which held that a mental health professional has a "duty to protect victims" who are being threatened with bodily harm by their patient. A health officer facing a decision about revealing confidential information to protect a third party or the general community should consult with his or her attorney to identify </w:t>
      </w:r>
      <w:r w:rsidRPr="004D42AB">
        <w:rPr>
          <w:rFonts w:eastAsia="Times New Roman" w:cstheme="minorHAnsi"/>
        </w:rPr>
        <w:lastRenderedPageBreak/>
        <w:t>relevant legal responsibilities and evaluate competing moral claims. The situation and bases for action should be documented in case subsequent events lead to second guessing.</w:t>
      </w:r>
    </w:p>
    <w:p w14:paraId="2E90636E" w14:textId="77777777" w:rsidR="00F44300" w:rsidRPr="004D42AB" w:rsidRDefault="00F44300" w:rsidP="00F00F20">
      <w:pPr>
        <w:shd w:val="clear" w:color="auto" w:fill="FFFFFF"/>
        <w:spacing w:line="360" w:lineRule="auto"/>
        <w:textAlignment w:val="baseline"/>
        <w:rPr>
          <w:rFonts w:eastAsia="Times New Roman" w:cstheme="minorHAnsi"/>
        </w:rPr>
      </w:pPr>
    </w:p>
    <w:p w14:paraId="744344C8"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agencies must often decide whether to share identifiable information with other entities in the public and private sector that have a role in protecting or providing for the public's health, safety, and welfare. Potential partners for sharing information are numerous including, for example, other public health agencies, governmental agencies that protect and regulate food sources, animal health, and the environment, social services agencies, emergency management and homeland security departments, law enforcement, and the healthcare sector. Some states have statutory language recognizing the need to share information to investigate and respond to a threat; other states may rely on their general authority to support such sharing. When identifiable information is not necessary, public health agencies might be able to avoid legal questions by simply providing de-identified information.</w:t>
      </w:r>
    </w:p>
    <w:p w14:paraId="53B293FB" w14:textId="77777777" w:rsidR="00F44300" w:rsidRPr="004D42AB" w:rsidRDefault="00F44300" w:rsidP="00F00F20">
      <w:pPr>
        <w:shd w:val="clear" w:color="auto" w:fill="FFFFFF"/>
        <w:spacing w:line="360" w:lineRule="auto"/>
        <w:textAlignment w:val="baseline"/>
        <w:rPr>
          <w:rFonts w:eastAsia="Times New Roman" w:cstheme="minorHAnsi"/>
        </w:rPr>
      </w:pPr>
    </w:p>
    <w:p w14:paraId="04E3F09C"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Most, if not all, state public health agencies support national public health surveillance by voluntarily sharing a portion of their data with the Centers for Disease Prevention and Health Promotion (CDC). The data from states are used by CDC to evaluate disease trends, publish aggregate data, assess the effectiveness of prevention and control measures, identify populations or geographic areas at high risk, formulate prevention strategies, develop public health policies, and work with the international community to identify and contain global outbreaks.</w:t>
      </w:r>
      <w:r w:rsidRPr="004D42AB">
        <w:rPr>
          <w:rFonts w:eastAsia="Times New Roman" w:cstheme="minorHAnsi"/>
          <w:bdr w:val="none" w:sz="0" w:space="0" w:color="auto" w:frame="1"/>
          <w:vertAlign w:val="superscript"/>
        </w:rPr>
        <w:t>39</w:t>
      </w:r>
      <w:r w:rsidRPr="004D42AB">
        <w:rPr>
          <w:rFonts w:eastAsia="Times New Roman" w:cstheme="minorHAnsi"/>
        </w:rPr>
        <w:t> For national reporting, personally identifiable information is generally unnecessary and CDC does not request it for this purpose.</w:t>
      </w:r>
    </w:p>
    <w:p w14:paraId="37923DC8" w14:textId="77777777" w:rsidR="00F44300" w:rsidRPr="004D42AB" w:rsidRDefault="00F44300" w:rsidP="00F00F20">
      <w:pPr>
        <w:shd w:val="clear" w:color="auto" w:fill="FFFFFF"/>
        <w:spacing w:line="360" w:lineRule="auto"/>
        <w:textAlignment w:val="baseline"/>
        <w:rPr>
          <w:rFonts w:eastAsia="Times New Roman" w:cstheme="minorHAnsi"/>
        </w:rPr>
      </w:pPr>
    </w:p>
    <w:p w14:paraId="0058E279"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agencies must also decide what information to share with the public and the media and the timing of such disclosures, especially when information is preliminary or incomplete. Communication with the public is crucial, especially in times of crisis. Requests for information are frequently directed to public health agencies, which must comply with Freedom of Information laws. Under such laws, requested information must be provided unless an exception applies. Public health agencies must review requested information to determine the risk that public disclosure might jeopardize an investigation or response, expose private or sensitive information, or threaten security. If the public health agency has concerns about disclosure, it will need to determine what information that it might withhold under applicable law and clearly articulate the basis for denying the request for information.</w:t>
      </w:r>
    </w:p>
    <w:p w14:paraId="6CF4F400" w14:textId="77777777" w:rsidR="00F44300" w:rsidRPr="004D42AB" w:rsidRDefault="00F44300" w:rsidP="00F00F20">
      <w:pPr>
        <w:shd w:val="clear" w:color="auto" w:fill="FFFFFF"/>
        <w:spacing w:line="360" w:lineRule="auto"/>
        <w:textAlignment w:val="baseline"/>
        <w:rPr>
          <w:rFonts w:eastAsia="Times New Roman" w:cstheme="minorHAnsi"/>
        </w:rPr>
      </w:pPr>
    </w:p>
    <w:p w14:paraId="0C419F1D"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Health officials face many questions and challenges when deciding how much information they can or should disclose to inform the public while still protecting individual privacy. Even without personal identifiers, the more information the health agency discloses, the greater the risk to personal privacy. For example, even though an individual's name is withheld, a health official must consider whether information (e.g. county of residence, age, or surrounding circumstances) might allow an individual to be identified. For instance, information disclosed by public health staff might be used by the press as leads or combined with other information to identify an individual.</w:t>
      </w:r>
    </w:p>
    <w:p w14:paraId="4C81C7D1" w14:textId="77777777" w:rsidR="00F44300" w:rsidRPr="004D42AB" w:rsidRDefault="00F44300" w:rsidP="00F00F20">
      <w:pPr>
        <w:shd w:val="clear" w:color="auto" w:fill="FFFFFF"/>
        <w:spacing w:line="360" w:lineRule="auto"/>
        <w:textAlignment w:val="baseline"/>
        <w:rPr>
          <w:rFonts w:eastAsia="Times New Roman" w:cstheme="minorHAnsi"/>
        </w:rPr>
      </w:pPr>
    </w:p>
    <w:p w14:paraId="29DB842E"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The health official may be asked questions about a specific individual. Does the health official violate privacy by publicly talking about an individual who has already been publicly identified, for example, by the media, family, or individual? Andrew Speaker's name was published throughout the media as the individual who caused an international scare when he flew with multi-drug resistant tuberculosis from Atlanta, Georgia to Europe for his wedding and honeymoon. Nonetheless, consistent with its policy, the CDC did not identify Mr. Speaker in its communications even after his name had been published.</w:t>
      </w:r>
      <w:r w:rsidRPr="004D42AB">
        <w:rPr>
          <w:rFonts w:eastAsia="Times New Roman" w:cstheme="minorHAnsi"/>
          <w:bdr w:val="none" w:sz="0" w:space="0" w:color="auto" w:frame="1"/>
          <w:vertAlign w:val="superscript"/>
        </w:rPr>
        <w:t>40</w:t>
      </w:r>
      <w:r w:rsidRPr="004D42AB">
        <w:rPr>
          <w:rFonts w:eastAsia="Times New Roman" w:cstheme="minorHAnsi"/>
        </w:rPr>
        <w:t> When identifying information is public or a case is likely to generate a lot of media interest, consent from the individual or family to reveal identifying information is the safest course to prevent the appearance or a claim of breach of privacy. If a health official reveals identifying information based on the family's consent, it is important that the public is informed that permission was given to maintain its trust.</w:t>
      </w:r>
    </w:p>
    <w:p w14:paraId="656A97B9" w14:textId="77777777" w:rsidR="00F44300" w:rsidRPr="004D42AB" w:rsidRDefault="00F44300" w:rsidP="00F00F20">
      <w:pPr>
        <w:shd w:val="clear" w:color="auto" w:fill="FFFFFF"/>
        <w:spacing w:line="360" w:lineRule="auto"/>
        <w:textAlignment w:val="baseline"/>
        <w:rPr>
          <w:rFonts w:eastAsia="Times New Roman" w:cstheme="minorHAnsi"/>
        </w:rPr>
      </w:pPr>
    </w:p>
    <w:p w14:paraId="454B8B31"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To address competing interests, the challenge of informing the public while protecting privacy, and the wide variation in information released by public health agencies, the Association of Health Care Journalists, Association of State and Territorial Health Officials, and National Association of County and City Health Officials have developed guidance for health officials and journalists related to the release of information concerning deaths, epidemics or emerging diseases.</w:t>
      </w:r>
      <w:r w:rsidRPr="004D42AB">
        <w:rPr>
          <w:rFonts w:eastAsia="Times New Roman" w:cstheme="minorHAnsi"/>
          <w:bdr w:val="none" w:sz="0" w:space="0" w:color="auto" w:frame="1"/>
          <w:vertAlign w:val="superscript"/>
        </w:rPr>
        <w:t>41</w:t>
      </w:r>
    </w:p>
    <w:p w14:paraId="7E27C1B8" w14:textId="77777777" w:rsidR="00F44300" w:rsidRPr="004D42AB" w:rsidRDefault="00F44300" w:rsidP="00F00F20">
      <w:pPr>
        <w:shd w:val="clear" w:color="auto" w:fill="FFFFFF"/>
        <w:spacing w:line="360" w:lineRule="auto"/>
        <w:textAlignment w:val="baseline"/>
        <w:rPr>
          <w:rFonts w:eastAsia="Times New Roman" w:cstheme="minorHAnsi"/>
        </w:rPr>
      </w:pPr>
    </w:p>
    <w:p w14:paraId="563FB7C3"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V. Legal Authority for Public Health Protection of Information </w:t>
      </w:r>
    </w:p>
    <w:p w14:paraId="6579A0DC"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 xml:space="preserve">All 50 states, the District of Columbia, and some territories have some form of freedom of information (FOI) law that governs documents at the state and local (cities, counties, school districts) level. The federal government also has a FOI law that applies to documents held by the CDC and other federal agencies.  These laws may be called "Freedom of Information," "Public Records," "Open Records," or "Sunshine" laws. FOI laws ensure an open government. They are based on the premise that democratic </w:t>
      </w:r>
      <w:r w:rsidRPr="004D42AB">
        <w:rPr>
          <w:rFonts w:eastAsia="Times New Roman" w:cstheme="minorHAnsi"/>
        </w:rPr>
        <w:lastRenderedPageBreak/>
        <w:t>governments must remain accountable to their citizens through the disclosure of information. By requiring governmental agencies to provide access to requested documents, FOI provides a vehicle for citizens and organizations to gain access to government-held documentation. For most states, these laws are statutory. In a few states - including California and North Dakota - the state's constitution also covers the public's right to information. </w:t>
      </w:r>
      <w:r w:rsidRPr="004D42AB">
        <w:rPr>
          <w:rFonts w:eastAsia="Times New Roman" w:cstheme="minorHAnsi"/>
          <w:bdr w:val="none" w:sz="0" w:space="0" w:color="auto" w:frame="1"/>
          <w:vertAlign w:val="superscript"/>
        </w:rPr>
        <w:t>42</w:t>
      </w:r>
    </w:p>
    <w:p w14:paraId="061CFCC7" w14:textId="77777777" w:rsidR="00F44300" w:rsidRPr="004D42AB" w:rsidRDefault="00F44300" w:rsidP="00F00F20">
      <w:pPr>
        <w:shd w:val="clear" w:color="auto" w:fill="FFFFFF"/>
        <w:spacing w:line="360" w:lineRule="auto"/>
        <w:textAlignment w:val="baseline"/>
        <w:rPr>
          <w:rFonts w:eastAsia="Times New Roman" w:cstheme="minorHAnsi"/>
        </w:rPr>
      </w:pPr>
    </w:p>
    <w:p w14:paraId="211A2481"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The provisions of state FOI laws vary significantly with respect to issues such as the time period within which an agency must provide the requested documents, how much an agency is allowed to charge for providing documents, whether the state government provides an ombudsman, whether the document requester must give a reason for wanting the documents, and so on. Generally, the reason for requesting a document is irrelevant and some FOI laws prohibit government from requiring the requester to state the purpose of the request.</w:t>
      </w:r>
      <w:r w:rsidRPr="004D42AB">
        <w:rPr>
          <w:rFonts w:eastAsia="Times New Roman" w:cstheme="minorHAnsi"/>
          <w:bdr w:val="none" w:sz="0" w:space="0" w:color="auto" w:frame="1"/>
          <w:vertAlign w:val="superscript"/>
        </w:rPr>
        <w:t>43</w:t>
      </w:r>
      <w:r w:rsidRPr="004D42AB">
        <w:rPr>
          <w:rFonts w:eastAsia="Times New Roman" w:cstheme="minorHAnsi"/>
        </w:rPr>
        <w:t> On the other hand, the purpose of a request may be relevant in some instances where, for example, certain categories of records may be released for limited purposes only, such as administrative, statistical, or qualified research purposes. Additionally, the purpose may be relevant to exemptions that include a balancing test, such as exemptions that require an individual's privacy interest to be balanced against the public's interest in disclosure.</w:t>
      </w:r>
      <w:r w:rsidRPr="004D42AB">
        <w:rPr>
          <w:rFonts w:eastAsia="Times New Roman" w:cstheme="minorHAnsi"/>
          <w:bdr w:val="none" w:sz="0" w:space="0" w:color="auto" w:frame="1"/>
          <w:vertAlign w:val="superscript"/>
        </w:rPr>
        <w:t>44</w:t>
      </w:r>
    </w:p>
    <w:p w14:paraId="02F723E9" w14:textId="77777777" w:rsidR="00F44300" w:rsidRPr="004D42AB" w:rsidRDefault="00F44300" w:rsidP="00F00F20">
      <w:pPr>
        <w:shd w:val="clear" w:color="auto" w:fill="FFFFFF"/>
        <w:spacing w:line="360" w:lineRule="auto"/>
        <w:textAlignment w:val="baseline"/>
        <w:rPr>
          <w:rFonts w:eastAsia="Times New Roman" w:cstheme="minorHAnsi"/>
        </w:rPr>
      </w:pPr>
    </w:p>
    <w:p w14:paraId="5E295A37"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Generally, records obtainable under FOI laws include all "agency records" - such as print documents, photographs, videos, maps, e-mail and electronic records - that are under an agency's possession and control. The person making the request must describe the records with reasonable or </w:t>
      </w:r>
      <w:proofErr w:type="gramStart"/>
      <w:r w:rsidRPr="004D42AB">
        <w:rPr>
          <w:rFonts w:eastAsia="Times New Roman" w:cstheme="minorHAnsi"/>
        </w:rPr>
        <w:t>sufficient</w:t>
      </w:r>
      <w:proofErr w:type="gramEnd"/>
      <w:r w:rsidRPr="004D42AB">
        <w:rPr>
          <w:rFonts w:eastAsia="Times New Roman" w:cstheme="minorHAnsi"/>
        </w:rPr>
        <w:t xml:space="preserve"> particularity so that the agency can locate the documents being requested.  Once the request has been received by the agency, the agency must respond to the request within the period dictated by statute. Under some laws, failure to respond within a mandated time is considered a denial. The agency, upon receipt of request, may either release documents in full, release documents in part, withhold documents in full or not find any responsive documents. Generally, FOI laws are to be construed in favor of disclosure and exemptions are to be narrowly construed. If the requester disagrees with an agency's decision, he or she may appeal as provided by statute.</w:t>
      </w:r>
    </w:p>
    <w:p w14:paraId="7376CF24" w14:textId="77777777" w:rsidR="00F44300" w:rsidRPr="004D42AB" w:rsidRDefault="00F44300" w:rsidP="00F00F20">
      <w:pPr>
        <w:shd w:val="clear" w:color="auto" w:fill="FFFFFF"/>
        <w:spacing w:line="360" w:lineRule="auto"/>
        <w:textAlignment w:val="baseline"/>
        <w:rPr>
          <w:rFonts w:eastAsia="Times New Roman" w:cstheme="minorHAnsi"/>
        </w:rPr>
      </w:pPr>
    </w:p>
    <w:p w14:paraId="2FF57CC8"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Applicability of FOI Laws to Public Health Emergency Preparedness and Response</w:t>
      </w:r>
    </w:p>
    <w:p w14:paraId="77C0E34A"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This general policy of public disclosure may prove problematic in the event of a public health emergency, such as an infectious disease outbreak. Disclosing the identity of infected individuals covered by isolation and quarantine orders may subject them to discrimination or retaliatory activities, </w:t>
      </w:r>
      <w:r w:rsidRPr="004D42AB">
        <w:rPr>
          <w:rFonts w:eastAsia="Times New Roman" w:cstheme="minorHAnsi"/>
        </w:rPr>
        <w:lastRenderedPageBreak/>
        <w:t>while disclosing the scope of government containment efforts may intensify public panic. Additionally, some information may need to be withheld to protect national security, such as diagrams of utilities or communications systems and other essential components of a community's infrastructure that may be targets for terrorists. In these situations, the government may seek to maintain the confidentiality of certain public records to protect individuals and the public at large. Even so, the government's ability to restrict access to public records is extremely limited and depends on the applicability of an exemption to disclosure. If an exemption applies, then the agency must identify the exemption in its denial.</w:t>
      </w:r>
    </w:p>
    <w:p w14:paraId="3DDC7788" w14:textId="77777777" w:rsidR="00F44300" w:rsidRPr="004D42AB" w:rsidRDefault="00F44300" w:rsidP="00F00F20">
      <w:pPr>
        <w:shd w:val="clear" w:color="auto" w:fill="FFFFFF"/>
        <w:spacing w:line="360" w:lineRule="auto"/>
        <w:textAlignment w:val="baseline"/>
        <w:rPr>
          <w:rFonts w:eastAsia="Times New Roman" w:cstheme="minorHAnsi"/>
        </w:rPr>
      </w:pPr>
    </w:p>
    <w:p w14:paraId="4DE27ABE"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Exemptions to the General Rule of Access to Public Records </w:t>
      </w:r>
    </w:p>
    <w:p w14:paraId="048B98CE"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The exemptions to disclosure vary among the states. Public health agencies should review their FOI law to determine specific exemptions that might apply in their state. Public health agencies must also consider court opinions that interpret the scope and applicability of these exemptions to various factual scenarios. The following are categories of exemptions that might apply to sensitive information held by a public health agency. While these categories are common to most states, all categories may not be covered by all states and the terms of applicability may vary.</w:t>
      </w:r>
    </w:p>
    <w:p w14:paraId="7A71B8C6" w14:textId="77777777" w:rsidR="00F44300" w:rsidRPr="004D42AB" w:rsidRDefault="00F44300" w:rsidP="00F00F20">
      <w:pPr>
        <w:shd w:val="clear" w:color="auto" w:fill="FFFFFF"/>
        <w:spacing w:line="360" w:lineRule="auto"/>
        <w:textAlignment w:val="baseline"/>
        <w:rPr>
          <w:rFonts w:eastAsia="Times New Roman" w:cstheme="minorHAnsi"/>
        </w:rPr>
      </w:pPr>
    </w:p>
    <w:p w14:paraId="77CA8EFE" w14:textId="77777777" w:rsidR="00F44300" w:rsidRPr="004D42AB"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Information Not Subject to Disclosure Under Another Law</w:t>
      </w:r>
    </w:p>
    <w:p w14:paraId="30DCAB46"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FOI laws recognize the array of federal and state laws that require agencies to keep certain information confidential. Thus, FOI laws exempt from disclosure "information not subject to disclosure under another law." This means the public is prohibited access to either public records or identifiable information in public records declared confidential by state statute such as communicable disease reports, HIV patient data, patient medical records, immunization data, cancer registries, or vital records. Access is also prohibited when federal privacy laws prohibit disclosure, such as educational records protected by the Family Educational Rights and Privacy Act (FERPA),</w:t>
      </w:r>
      <w:r w:rsidRPr="004D42AB">
        <w:rPr>
          <w:rFonts w:eastAsia="Times New Roman" w:cstheme="minorHAnsi"/>
          <w:bdr w:val="none" w:sz="0" w:space="0" w:color="auto" w:frame="1"/>
          <w:vertAlign w:val="superscript"/>
        </w:rPr>
        <w:t>45</w:t>
      </w:r>
      <w:r w:rsidRPr="004D42AB">
        <w:rPr>
          <w:rFonts w:eastAsia="Times New Roman" w:cstheme="minorHAnsi"/>
        </w:rPr>
        <w:t> substance abuse diagnosis and treatment records covered by federal regulations,</w:t>
      </w:r>
      <w:r w:rsidRPr="004D42AB">
        <w:rPr>
          <w:rFonts w:eastAsia="Times New Roman" w:cstheme="minorHAnsi"/>
          <w:bdr w:val="none" w:sz="0" w:space="0" w:color="auto" w:frame="1"/>
          <w:vertAlign w:val="superscript"/>
        </w:rPr>
        <w:t>46</w:t>
      </w:r>
      <w:r w:rsidRPr="004D42AB">
        <w:rPr>
          <w:rFonts w:eastAsia="Times New Roman" w:cstheme="minorHAnsi"/>
        </w:rPr>
        <w:t> or identifiable information about veterans or their families covered by the VA Claims Confidentiality Statute.</w:t>
      </w:r>
      <w:r w:rsidRPr="004D42AB">
        <w:rPr>
          <w:rFonts w:eastAsia="Times New Roman" w:cstheme="minorHAnsi"/>
          <w:bdr w:val="none" w:sz="0" w:space="0" w:color="auto" w:frame="1"/>
          <w:vertAlign w:val="superscript"/>
        </w:rPr>
        <w:t>47</w:t>
      </w:r>
    </w:p>
    <w:p w14:paraId="1CA35FCB" w14:textId="77777777" w:rsidR="00F44300" w:rsidRPr="004D42AB" w:rsidRDefault="00F44300" w:rsidP="00F00F20">
      <w:pPr>
        <w:shd w:val="clear" w:color="auto" w:fill="FFFFFF"/>
        <w:spacing w:line="360" w:lineRule="auto"/>
        <w:textAlignment w:val="baseline"/>
        <w:rPr>
          <w:rFonts w:eastAsia="Times New Roman" w:cstheme="minorHAnsi"/>
        </w:rPr>
      </w:pPr>
    </w:p>
    <w:p w14:paraId="429EAD89"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The federal Privacy Rule,</w:t>
      </w:r>
      <w:r w:rsidRPr="004D42AB">
        <w:rPr>
          <w:rFonts w:eastAsia="Times New Roman" w:cstheme="minorHAnsi"/>
          <w:bdr w:val="none" w:sz="0" w:space="0" w:color="auto" w:frame="1"/>
          <w:vertAlign w:val="superscript"/>
        </w:rPr>
        <w:t>48</w:t>
      </w:r>
      <w:r w:rsidRPr="004D42AB">
        <w:rPr>
          <w:rFonts w:eastAsia="Times New Roman" w:cstheme="minorHAnsi"/>
        </w:rPr>
        <w:t> adopted by the U.S. Department of Health and Human Services under the Health Insurance Portability and Accountability Act (HIPAA),</w:t>
      </w:r>
      <w:r w:rsidRPr="004D42AB">
        <w:rPr>
          <w:rFonts w:eastAsia="Times New Roman" w:cstheme="minorHAnsi"/>
          <w:bdr w:val="none" w:sz="0" w:space="0" w:color="auto" w:frame="1"/>
          <w:vertAlign w:val="superscript"/>
        </w:rPr>
        <w:t>49</w:t>
      </w:r>
      <w:r w:rsidRPr="004D42AB">
        <w:rPr>
          <w:rFonts w:eastAsia="Times New Roman" w:cstheme="minorHAnsi"/>
        </w:rPr>
        <w:t xml:space="preserve"> establishes minimum national standards to protect individually identifiable health information. Generally, however, information covered by the Privacy Rule does not qualify for exemption as "information not subject to disclosure under another law." In other words, when a FOI law requires disclosure, it trumps HIPAA. This is because the Privacy </w:t>
      </w:r>
      <w:r w:rsidRPr="004D42AB">
        <w:rPr>
          <w:rFonts w:eastAsia="Times New Roman" w:cstheme="minorHAnsi"/>
        </w:rPr>
        <w:lastRenderedPageBreak/>
        <w:t>Rule does not supersede state disclosure requirements. HIPAA defers to state law by permitting disclosures that are required by state law if the disclosure meets the requirements of the law.</w:t>
      </w:r>
      <w:r w:rsidRPr="004D42AB">
        <w:rPr>
          <w:rFonts w:eastAsia="Times New Roman" w:cstheme="minorHAnsi"/>
          <w:bdr w:val="none" w:sz="0" w:space="0" w:color="auto" w:frame="1"/>
          <w:vertAlign w:val="superscript"/>
        </w:rPr>
        <w:t>50</w:t>
      </w:r>
      <w:r w:rsidRPr="004D42AB">
        <w:rPr>
          <w:rFonts w:eastAsia="Times New Roman" w:cstheme="minorHAnsi"/>
        </w:rPr>
        <w:t> Thus, the Supreme Court of Ohio ordered a city health department to release lead citations and lead-risk-assessment reports to a newspaper under Ohio's FOI law, even though the reports identified addresses of children with blood tests showing elevated lead levels.</w:t>
      </w:r>
      <w:r w:rsidRPr="004D42AB">
        <w:rPr>
          <w:rFonts w:eastAsia="Times New Roman" w:cstheme="minorHAnsi"/>
          <w:bdr w:val="none" w:sz="0" w:space="0" w:color="auto" w:frame="1"/>
          <w:vertAlign w:val="superscript"/>
        </w:rPr>
        <w:t>51</w:t>
      </w:r>
      <w:r w:rsidRPr="004D42AB">
        <w:rPr>
          <w:rFonts w:eastAsia="Times New Roman" w:cstheme="minorHAnsi"/>
        </w:rPr>
        <w:t> While the Privacy Rule may not protect individually identifiable health information from disclosure, depending on a state's law, other FOI exemptions that cover personal privacy, health information, or medical records may apply.</w:t>
      </w:r>
    </w:p>
    <w:p w14:paraId="5C7442D9" w14:textId="77777777" w:rsidR="00F44300" w:rsidRPr="004D42AB" w:rsidRDefault="00F44300" w:rsidP="00F00F20">
      <w:pPr>
        <w:shd w:val="clear" w:color="auto" w:fill="FFFFFF"/>
        <w:spacing w:line="360" w:lineRule="auto"/>
        <w:textAlignment w:val="baseline"/>
        <w:rPr>
          <w:rFonts w:eastAsia="Times New Roman" w:cstheme="minorHAnsi"/>
        </w:rPr>
      </w:pPr>
    </w:p>
    <w:p w14:paraId="7335761D"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At times, federal agencies may provide sensitive information to state or local public health agencies, requesting that the information be kept confidential. Public health agencies should review their laws to ensure that they are able to protect this information from disclosure should it be covered by a FOI request. When state law is uncertain, the public health agency may want to seek the federal agency's advice on federal laws that might apply. </w:t>
      </w:r>
    </w:p>
    <w:p w14:paraId="65013D54" w14:textId="77777777" w:rsidR="00F44300" w:rsidRPr="004D42AB" w:rsidRDefault="00F44300" w:rsidP="00F00F20">
      <w:pPr>
        <w:shd w:val="clear" w:color="auto" w:fill="FFFFFF"/>
        <w:spacing w:line="360" w:lineRule="auto"/>
        <w:textAlignment w:val="baseline"/>
        <w:rPr>
          <w:rFonts w:eastAsia="Times New Roman" w:cstheme="minorHAnsi"/>
        </w:rPr>
      </w:pPr>
    </w:p>
    <w:p w14:paraId="7B9AB706" w14:textId="77777777" w:rsidR="00F44300" w:rsidRPr="004D42AB"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Personal Privacy</w:t>
      </w:r>
    </w:p>
    <w:p w14:paraId="796C5684"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 many states, information of a personal nature may be exempted from disclosure. The legal source for this exemption varies among states and may be based on federal</w:t>
      </w:r>
      <w:r w:rsidRPr="004D42AB">
        <w:rPr>
          <w:rFonts w:eastAsia="Times New Roman" w:cstheme="minorHAnsi"/>
          <w:bdr w:val="none" w:sz="0" w:space="0" w:color="auto" w:frame="1"/>
          <w:vertAlign w:val="superscript"/>
        </w:rPr>
        <w:t>52</w:t>
      </w:r>
      <w:r w:rsidRPr="004D42AB">
        <w:rPr>
          <w:rFonts w:eastAsia="Times New Roman" w:cstheme="minorHAnsi"/>
        </w:rPr>
        <w:t> or state constitution,</w:t>
      </w:r>
      <w:r w:rsidRPr="004D42AB">
        <w:rPr>
          <w:rFonts w:eastAsia="Times New Roman" w:cstheme="minorHAnsi"/>
          <w:bdr w:val="none" w:sz="0" w:space="0" w:color="auto" w:frame="1"/>
          <w:vertAlign w:val="superscript"/>
        </w:rPr>
        <w:t>53</w:t>
      </w:r>
      <w:r w:rsidRPr="004D42AB">
        <w:rPr>
          <w:rFonts w:eastAsia="Times New Roman" w:cstheme="minorHAnsi"/>
        </w:rPr>
        <w:t> FOI or other statutes, or caselaw.</w:t>
      </w:r>
      <w:r w:rsidRPr="004D42AB">
        <w:rPr>
          <w:rFonts w:eastAsia="Times New Roman" w:cstheme="minorHAnsi"/>
          <w:bdr w:val="none" w:sz="0" w:space="0" w:color="auto" w:frame="1"/>
          <w:vertAlign w:val="superscript"/>
        </w:rPr>
        <w:t>54</w:t>
      </w:r>
      <w:r w:rsidRPr="004D42AB">
        <w:rPr>
          <w:rFonts w:eastAsia="Times New Roman" w:cstheme="minorHAnsi"/>
        </w:rPr>
        <w:t>Some states have laws that grant rights to individuals regarding information that the government collects and maintains about them. For example, Minnesota's Data Practices Act requires state government to give individuals notice of the legal basis for collecting their information, whether providing the information is mandatory, and with whom the law requires their information be shared. State government is prohibited from disclosing an individual's private information unless allowed by law.</w:t>
      </w:r>
      <w:r w:rsidRPr="004D42AB">
        <w:rPr>
          <w:rFonts w:eastAsia="Times New Roman" w:cstheme="minorHAnsi"/>
          <w:bdr w:val="none" w:sz="0" w:space="0" w:color="auto" w:frame="1"/>
          <w:vertAlign w:val="superscript"/>
        </w:rPr>
        <w:t>55</w:t>
      </w:r>
    </w:p>
    <w:p w14:paraId="4C3FF12D" w14:textId="77777777" w:rsidR="00F44300" w:rsidRPr="004D42AB" w:rsidRDefault="00F44300" w:rsidP="00F00F20">
      <w:pPr>
        <w:shd w:val="clear" w:color="auto" w:fill="FFFFFF"/>
        <w:spacing w:line="360" w:lineRule="auto"/>
        <w:textAlignment w:val="baseline"/>
        <w:rPr>
          <w:rFonts w:eastAsia="Times New Roman" w:cstheme="minorHAnsi"/>
        </w:rPr>
      </w:pPr>
    </w:p>
    <w:p w14:paraId="4C14227D"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Many states have statutory exemptions under their FOI law covering "information of a personal nature if public disclosure of the information would constitute a clearly unwarranted invasion of an individual's privacy" (Michigan),</w:t>
      </w:r>
      <w:r w:rsidRPr="004D42AB">
        <w:rPr>
          <w:rFonts w:eastAsia="Times New Roman" w:cstheme="minorHAnsi"/>
          <w:bdr w:val="none" w:sz="0" w:space="0" w:color="auto" w:frame="1"/>
          <w:vertAlign w:val="superscript"/>
        </w:rPr>
        <w:t>56</w:t>
      </w:r>
      <w:r w:rsidRPr="004D42AB">
        <w:rPr>
          <w:rFonts w:eastAsia="Times New Roman" w:cstheme="minorHAnsi"/>
        </w:rPr>
        <w:t>"personnel, medical or similar files, the disclosure of which would constitute an unwarranted invasion of personal privacy" (California),</w:t>
      </w:r>
      <w:r w:rsidRPr="004D42AB">
        <w:rPr>
          <w:rFonts w:eastAsia="Times New Roman" w:cstheme="minorHAnsi"/>
          <w:bdr w:val="none" w:sz="0" w:space="0" w:color="auto" w:frame="1"/>
          <w:vertAlign w:val="superscript"/>
        </w:rPr>
        <w:t>57</w:t>
      </w:r>
      <w:r w:rsidRPr="004D42AB">
        <w:rPr>
          <w:rFonts w:eastAsia="Times New Roman" w:cstheme="minorHAnsi"/>
        </w:rPr>
        <w:t> or "personal documents" relating to an individual, including any information relating to "personal finances, medical or psychological facts." (Vermont).</w:t>
      </w:r>
      <w:r w:rsidRPr="004D42AB">
        <w:rPr>
          <w:rFonts w:eastAsia="Times New Roman" w:cstheme="minorHAnsi"/>
          <w:bdr w:val="none" w:sz="0" w:space="0" w:color="auto" w:frame="1"/>
          <w:vertAlign w:val="superscript"/>
        </w:rPr>
        <w:t>58</w:t>
      </w:r>
      <w:r w:rsidRPr="004D42AB">
        <w:rPr>
          <w:rFonts w:eastAsia="Times New Roman" w:cstheme="minorHAnsi"/>
        </w:rPr>
        <w:t> Whether disclosure of information would constitute an unwarranted invasion of an individual's privacy is a factual question that requires weighing the public's interest in disclosure and the individual's interest in personal privacy.</w:t>
      </w:r>
      <w:r w:rsidRPr="004D42AB">
        <w:rPr>
          <w:rFonts w:eastAsia="Times New Roman" w:cstheme="minorHAnsi"/>
          <w:bdr w:val="none" w:sz="0" w:space="0" w:color="auto" w:frame="1"/>
          <w:vertAlign w:val="superscript"/>
        </w:rPr>
        <w:t>59</w:t>
      </w:r>
    </w:p>
    <w:p w14:paraId="3B7BF8C4" w14:textId="77777777" w:rsidR="00F44300" w:rsidRPr="004D42AB" w:rsidRDefault="00F44300" w:rsidP="00F00F20">
      <w:pPr>
        <w:shd w:val="clear" w:color="auto" w:fill="FFFFFF"/>
        <w:spacing w:line="360" w:lineRule="auto"/>
        <w:textAlignment w:val="baseline"/>
        <w:rPr>
          <w:rFonts w:eastAsia="Times New Roman" w:cstheme="minorHAnsi"/>
        </w:rPr>
      </w:pPr>
    </w:p>
    <w:p w14:paraId="1E034B80"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Illinois' FOI law includes exemptions for both "private information" and for "personal information contained within public records, the disclosure of which would constitute a clearly unwarranted invasion of personal privacy, unless the disclosure is consented to in writing by the individual subjects of the information." These terms are defined by its FOI law. "Private information" refers to unique identifiers, including a person's social security number, driver's license number, employee identification number, biometric identifiers, personal financial information, passwords or other access codes, medical records, home or personal telephone numbers, personal email addresses, and home addresses if attributable to a person. "Unwarranted invasion of personal privacy" means "the disclosure of information that is highly personal or objectionable to a reasonable person and in which the subject's right to privacy outweighs any legitimate public interest in obtaining the information." However, disclosure of information that bears on the public duties of public employees and officials shall not be considered an invasion of personal privacy.</w:t>
      </w:r>
      <w:r w:rsidRPr="004D42AB">
        <w:rPr>
          <w:rFonts w:eastAsia="Times New Roman" w:cstheme="minorHAnsi"/>
          <w:bdr w:val="none" w:sz="0" w:space="0" w:color="auto" w:frame="1"/>
          <w:vertAlign w:val="superscript"/>
        </w:rPr>
        <w:t>60</w:t>
      </w:r>
    </w:p>
    <w:p w14:paraId="7F742E3C" w14:textId="77777777" w:rsidR="00F44300" w:rsidRPr="004D42AB" w:rsidRDefault="00F44300" w:rsidP="00F00F20">
      <w:pPr>
        <w:shd w:val="clear" w:color="auto" w:fill="FFFFFF"/>
        <w:spacing w:line="360" w:lineRule="auto"/>
        <w:textAlignment w:val="baseline"/>
        <w:rPr>
          <w:rFonts w:eastAsia="Times New Roman" w:cstheme="minorHAnsi"/>
        </w:rPr>
      </w:pPr>
    </w:p>
    <w:p w14:paraId="271EB19A"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Generally, a "personal privacy" exemption does not apply to corporations. For example, the U.S. Supreme Court ruled that corporate information does fall within the federal FOIA exemption for personal privacy.</w:t>
      </w:r>
      <w:r w:rsidRPr="004D42AB">
        <w:rPr>
          <w:rFonts w:eastAsia="Times New Roman" w:cstheme="minorHAnsi"/>
          <w:bdr w:val="none" w:sz="0" w:space="0" w:color="auto" w:frame="1"/>
          <w:vertAlign w:val="superscript"/>
        </w:rPr>
        <w:t>61</w:t>
      </w:r>
      <w:r w:rsidRPr="004D42AB">
        <w:rPr>
          <w:rFonts w:eastAsia="Times New Roman" w:cstheme="minorHAnsi"/>
        </w:rPr>
        <w:t> The Court established that the term "personal" is often used to only refer to the individual and never used to refer to a corporation and is in fact more often used to refer to strictly non-business information.</w:t>
      </w:r>
    </w:p>
    <w:p w14:paraId="5F9039E2" w14:textId="77777777" w:rsidR="00F44300" w:rsidRPr="004D42AB" w:rsidRDefault="00F44300" w:rsidP="00F00F20">
      <w:pPr>
        <w:shd w:val="clear" w:color="auto" w:fill="FFFFFF"/>
        <w:spacing w:line="360" w:lineRule="auto"/>
        <w:textAlignment w:val="baseline"/>
        <w:rPr>
          <w:rFonts w:eastAsia="Times New Roman" w:cstheme="minorHAnsi"/>
        </w:rPr>
      </w:pPr>
    </w:p>
    <w:p w14:paraId="3B09843E"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 xml:space="preserve">Whether the personal privacy exemption applies to deceased individuals varies by state and may depend on judicial interpretation of a personal right to privacy. For example, </w:t>
      </w:r>
      <w:proofErr w:type="gramStart"/>
      <w:r w:rsidRPr="004D42AB">
        <w:rPr>
          <w:rFonts w:eastAsia="Times New Roman" w:cstheme="minorHAnsi"/>
        </w:rPr>
        <w:t>with regard to</w:t>
      </w:r>
      <w:proofErr w:type="gramEnd"/>
      <w:r w:rsidRPr="004D42AB">
        <w:rPr>
          <w:rFonts w:eastAsia="Times New Roman" w:cstheme="minorHAnsi"/>
        </w:rPr>
        <w:t xml:space="preserve"> an autopsy report, the Michigan Supreme Court ruled that the personal privacy exemption does not apply to individuals who are decreased</w:t>
      </w:r>
      <w:r w:rsidRPr="004D42AB">
        <w:rPr>
          <w:rFonts w:eastAsia="Times New Roman" w:cstheme="minorHAnsi"/>
          <w:bdr w:val="none" w:sz="0" w:space="0" w:color="auto" w:frame="1"/>
          <w:vertAlign w:val="superscript"/>
        </w:rPr>
        <w:t>62</w:t>
      </w:r>
      <w:r w:rsidRPr="004D42AB">
        <w:rPr>
          <w:rFonts w:eastAsia="Times New Roman" w:cstheme="minorHAnsi"/>
        </w:rPr>
        <w:t> whereas an Illinois court ruled that autopsy reports are covered by this exemption.</w:t>
      </w:r>
      <w:r w:rsidRPr="004D42AB">
        <w:rPr>
          <w:rFonts w:eastAsia="Times New Roman" w:cstheme="minorHAnsi"/>
          <w:bdr w:val="none" w:sz="0" w:space="0" w:color="auto" w:frame="1"/>
          <w:vertAlign w:val="superscript"/>
        </w:rPr>
        <w:t>63</w:t>
      </w:r>
    </w:p>
    <w:p w14:paraId="77232300" w14:textId="77777777" w:rsidR="00F44300" w:rsidRPr="004D42AB" w:rsidRDefault="00F44300" w:rsidP="00F00F20">
      <w:pPr>
        <w:shd w:val="clear" w:color="auto" w:fill="FFFFFF"/>
        <w:spacing w:line="360" w:lineRule="auto"/>
        <w:textAlignment w:val="baseline"/>
        <w:rPr>
          <w:rFonts w:eastAsia="Times New Roman" w:cstheme="minorHAnsi"/>
        </w:rPr>
      </w:pPr>
    </w:p>
    <w:p w14:paraId="1A02A718"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Information that is de-identified does not usually raise privacy concerns. That said, in this era of electronic databases and linkage capabilities, it may be difficult to determine whether information that has been stripped of personal identifiers is "identifiable." In </w:t>
      </w:r>
      <w:r w:rsidRPr="004D42AB">
        <w:rPr>
          <w:rFonts w:eastAsia="Times New Roman" w:cstheme="minorHAnsi"/>
          <w:i/>
          <w:iCs/>
          <w:bdr w:val="none" w:sz="0" w:space="0" w:color="auto" w:frame="1"/>
        </w:rPr>
        <w:t>Southern Illinoisan v Dept of Public Health</w:t>
      </w:r>
      <w:r w:rsidRPr="004D42AB">
        <w:rPr>
          <w:rFonts w:eastAsia="Times New Roman" w:cstheme="minorHAnsi"/>
        </w:rPr>
        <w:t>,</w:t>
      </w:r>
      <w:r w:rsidRPr="004D42AB">
        <w:rPr>
          <w:rFonts w:eastAsia="Times New Roman" w:cstheme="minorHAnsi"/>
          <w:bdr w:val="none" w:sz="0" w:space="0" w:color="auto" w:frame="1"/>
          <w:vertAlign w:val="superscript"/>
        </w:rPr>
        <w:t>64</w:t>
      </w:r>
      <w:r w:rsidRPr="004D42AB">
        <w:rPr>
          <w:rFonts w:eastAsia="Times New Roman" w:cstheme="minorHAnsi"/>
        </w:rPr>
        <w:t xml:space="preserve"> the Illinois Supreme Court ordered the state health department to provide a newspaper with cancer registry data it had requested under Illinois' FOI law, even though the state's expert witness could re-identify individuals from the supposedly de-identified information. The expert, based on her </w:t>
      </w:r>
      <w:r w:rsidRPr="004D42AB">
        <w:rPr>
          <w:rFonts w:eastAsia="Times New Roman" w:cstheme="minorHAnsi"/>
        </w:rPr>
        <w:lastRenderedPageBreak/>
        <w:t>extensive education, knowledge, and experience, could determine identity using her six-step process. Regardless, the Court ruled, this does not necessarily mean, without more, that a threat exists that other individuals will be able to do so as well.</w:t>
      </w:r>
    </w:p>
    <w:p w14:paraId="72D1135D" w14:textId="77777777" w:rsidR="00F44300" w:rsidRPr="004D42AB" w:rsidRDefault="00F44300" w:rsidP="00F00F20">
      <w:pPr>
        <w:shd w:val="clear" w:color="auto" w:fill="FFFFFF"/>
        <w:spacing w:line="360" w:lineRule="auto"/>
        <w:textAlignment w:val="baseline"/>
        <w:rPr>
          <w:rFonts w:eastAsia="Times New Roman" w:cstheme="minorHAnsi"/>
        </w:rPr>
      </w:pPr>
    </w:p>
    <w:p w14:paraId="59E0DA35" w14:textId="77777777" w:rsidR="00F44300" w:rsidRPr="004D42AB"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Health information or Medical Records</w:t>
      </w:r>
    </w:p>
    <w:p w14:paraId="2220142C"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All or most states protect identifiable health information or medical records. This information may be protected from disclosure by a stand-alone law that covers medical records (Arizona),</w:t>
      </w:r>
      <w:r w:rsidRPr="004D42AB">
        <w:rPr>
          <w:rFonts w:eastAsia="Times New Roman" w:cstheme="minorHAnsi"/>
          <w:bdr w:val="none" w:sz="0" w:space="0" w:color="auto" w:frame="1"/>
          <w:vertAlign w:val="superscript"/>
        </w:rPr>
        <w:t>65</w:t>
      </w:r>
      <w:r w:rsidRPr="004D42AB">
        <w:rPr>
          <w:rFonts w:eastAsia="Times New Roman" w:cstheme="minorHAnsi"/>
        </w:rPr>
        <w:t> by a specific exemption to a state's FOI law (Michigan),</w:t>
      </w:r>
      <w:r w:rsidRPr="004D42AB">
        <w:rPr>
          <w:rFonts w:eastAsia="Times New Roman" w:cstheme="minorHAnsi"/>
          <w:bdr w:val="none" w:sz="0" w:space="0" w:color="auto" w:frame="1"/>
          <w:vertAlign w:val="superscript"/>
        </w:rPr>
        <w:t>66</w:t>
      </w:r>
      <w:r w:rsidRPr="004D42AB">
        <w:rPr>
          <w:rFonts w:eastAsia="Times New Roman" w:cstheme="minorHAnsi"/>
        </w:rPr>
        <w:t> or by more general exemptions regarding information of a personal nature that relates to a particular individual (Massachusetts).</w:t>
      </w:r>
      <w:r w:rsidRPr="004D42AB">
        <w:rPr>
          <w:rFonts w:eastAsia="Times New Roman" w:cstheme="minorHAnsi"/>
          <w:bdr w:val="none" w:sz="0" w:space="0" w:color="auto" w:frame="1"/>
          <w:vertAlign w:val="superscript"/>
        </w:rPr>
        <w:t>67</w:t>
      </w:r>
      <w:r w:rsidRPr="004D42AB">
        <w:rPr>
          <w:rFonts w:eastAsia="Times New Roman" w:cstheme="minorHAnsi"/>
        </w:rPr>
        <w:t> Not all states provide absolute protection. For example, West Virginia's FOI law protects "[</w:t>
      </w:r>
      <w:proofErr w:type="spellStart"/>
      <w:r w:rsidRPr="004D42AB">
        <w:rPr>
          <w:rFonts w:eastAsia="Times New Roman" w:cstheme="minorHAnsi"/>
        </w:rPr>
        <w:t>i</w:t>
      </w:r>
      <w:proofErr w:type="spellEnd"/>
      <w:r w:rsidRPr="004D42AB">
        <w:rPr>
          <w:rFonts w:eastAsia="Times New Roman" w:cstheme="minorHAnsi"/>
        </w:rPr>
        <w:t>]formation of a personal nature such as that kept in a personal, medical, or similar file, if the public disclosure thereof would constitute an unreasonable invasion of privacy, unless the public interest in by clear and convincing evidence requires disclosure in the particular instance."</w:t>
      </w:r>
      <w:r w:rsidRPr="004D42AB">
        <w:rPr>
          <w:rFonts w:eastAsia="Times New Roman" w:cstheme="minorHAnsi"/>
          <w:bdr w:val="none" w:sz="0" w:space="0" w:color="auto" w:frame="1"/>
          <w:vertAlign w:val="superscript"/>
        </w:rPr>
        <w:t>68</w:t>
      </w:r>
      <w:r w:rsidRPr="004D42AB">
        <w:rPr>
          <w:rFonts w:eastAsia="Times New Roman" w:cstheme="minorHAnsi"/>
        </w:rPr>
        <w:t> 911 logs, recordings or transcripts may be subject to disclosure (Oklahoma),</w:t>
      </w:r>
      <w:r w:rsidRPr="004D42AB">
        <w:rPr>
          <w:rFonts w:eastAsia="Times New Roman" w:cstheme="minorHAnsi"/>
          <w:bdr w:val="none" w:sz="0" w:space="0" w:color="auto" w:frame="1"/>
          <w:vertAlign w:val="superscript"/>
        </w:rPr>
        <w:t>69</w:t>
      </w:r>
      <w:r w:rsidRPr="004D42AB">
        <w:rPr>
          <w:rFonts w:eastAsia="Times New Roman" w:cstheme="minorHAnsi"/>
        </w:rPr>
        <w:t> exempt from disclosure (Wyoming),</w:t>
      </w:r>
      <w:r w:rsidRPr="004D42AB">
        <w:rPr>
          <w:rFonts w:eastAsia="Times New Roman" w:cstheme="minorHAnsi"/>
          <w:bdr w:val="none" w:sz="0" w:space="0" w:color="auto" w:frame="1"/>
          <w:vertAlign w:val="superscript"/>
        </w:rPr>
        <w:t>70</w:t>
      </w:r>
      <w:r w:rsidRPr="004D42AB">
        <w:rPr>
          <w:rFonts w:eastAsia="Times New Roman" w:cstheme="minorHAnsi"/>
        </w:rPr>
        <w:t> or considered on a case-by-case basis after determining whether the "public interest in disclosure outweighs interest in nondisclosure" (South Dakota).</w:t>
      </w:r>
      <w:r w:rsidRPr="004D42AB">
        <w:rPr>
          <w:rFonts w:eastAsia="Times New Roman" w:cstheme="minorHAnsi"/>
          <w:bdr w:val="none" w:sz="0" w:space="0" w:color="auto" w:frame="1"/>
          <w:vertAlign w:val="superscript"/>
        </w:rPr>
        <w:t>71</w:t>
      </w:r>
      <w:r w:rsidRPr="004D42AB">
        <w:rPr>
          <w:rFonts w:eastAsia="Times New Roman" w:cstheme="minorHAnsi"/>
        </w:rPr>
        <w:t> Likewise, protection or disclosure of identifiable information in public ambulance reports or search and rescue operations vary among the states.</w:t>
      </w:r>
      <w:r w:rsidRPr="004D42AB">
        <w:rPr>
          <w:rFonts w:eastAsia="Times New Roman" w:cstheme="minorHAnsi"/>
          <w:bdr w:val="none" w:sz="0" w:space="0" w:color="auto" w:frame="1"/>
          <w:vertAlign w:val="superscript"/>
        </w:rPr>
        <w:t>72</w:t>
      </w:r>
    </w:p>
    <w:p w14:paraId="43B2AB8F" w14:textId="77777777" w:rsidR="00F44300" w:rsidRPr="004D42AB" w:rsidRDefault="00F44300" w:rsidP="00F00F20">
      <w:pPr>
        <w:shd w:val="clear" w:color="auto" w:fill="FFFFFF"/>
        <w:spacing w:line="360" w:lineRule="auto"/>
        <w:textAlignment w:val="baseline"/>
        <w:rPr>
          <w:rFonts w:eastAsia="Times New Roman" w:cstheme="minorHAnsi"/>
        </w:rPr>
      </w:pPr>
    </w:p>
    <w:p w14:paraId="386C630B" w14:textId="77777777" w:rsidR="00F44300" w:rsidRPr="004D42AB"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Business Information</w:t>
      </w:r>
    </w:p>
    <w:p w14:paraId="31206B86"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Documents and information maintained by the private sector are not public records, and thus, not subject to FOI requests. However, when information and documents are submitted by private entities and individuals to government agencies, they are public to the extent they form part of the records of that agency. Businesses may be reluctant to reveal information about their sales, services, distribution routes, inventories, or infrastructure if such information may be disclosed to competitors or the general public. This type of information may be important to surveillance, preparedness planning, and emergency response.</w:t>
      </w:r>
    </w:p>
    <w:p w14:paraId="43C9B4F1" w14:textId="77777777" w:rsidR="00F44300" w:rsidRPr="004D42AB" w:rsidRDefault="00F44300" w:rsidP="00F00F20">
      <w:pPr>
        <w:shd w:val="clear" w:color="auto" w:fill="FFFFFF"/>
        <w:spacing w:line="360" w:lineRule="auto"/>
        <w:textAlignment w:val="baseline"/>
        <w:rPr>
          <w:rFonts w:eastAsia="Times New Roman" w:cstheme="minorHAnsi"/>
        </w:rPr>
      </w:pPr>
    </w:p>
    <w:p w14:paraId="2C2F6369"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Most states protect business information from disclosure to some extent, but the degree of and criteria for exemption from FOI laws vary. For example, in Idaho, Rhode Island, and South Dakota, FOI laws provide exemptions for most business documents with commercial information, financial data, and trade secrets.</w:t>
      </w:r>
      <w:r w:rsidRPr="004D42AB">
        <w:rPr>
          <w:rFonts w:eastAsia="Times New Roman" w:cstheme="minorHAnsi"/>
          <w:bdr w:val="none" w:sz="0" w:space="0" w:color="auto" w:frame="1"/>
          <w:vertAlign w:val="superscript"/>
        </w:rPr>
        <w:t>73</w:t>
      </w:r>
      <w:r w:rsidRPr="004D42AB">
        <w:rPr>
          <w:rFonts w:eastAsia="Times New Roman" w:cstheme="minorHAnsi"/>
        </w:rPr>
        <w:t> In contrast, in Illinois, disclosure must be likely to harm the competitive position of the business that submitted the information.</w:t>
      </w:r>
      <w:r w:rsidRPr="004D42AB">
        <w:rPr>
          <w:rFonts w:eastAsia="Times New Roman" w:cstheme="minorHAnsi"/>
          <w:bdr w:val="none" w:sz="0" w:space="0" w:color="auto" w:frame="1"/>
          <w:vertAlign w:val="superscript"/>
        </w:rPr>
        <w:t>74</w:t>
      </w:r>
      <w:r w:rsidRPr="004D42AB">
        <w:rPr>
          <w:rFonts w:eastAsia="Times New Roman" w:cstheme="minorHAnsi"/>
        </w:rPr>
        <w:t xml:space="preserve"> Utah and Wyoming require, in addition, that the government </w:t>
      </w:r>
      <w:r w:rsidRPr="004D42AB">
        <w:rPr>
          <w:rFonts w:eastAsia="Times New Roman" w:cstheme="minorHAnsi"/>
        </w:rPr>
        <w:lastRenderedPageBreak/>
        <w:t>show that the disclosure would hinder its ability to collect such information in the future.</w:t>
      </w:r>
      <w:r w:rsidRPr="004D42AB">
        <w:rPr>
          <w:rFonts w:eastAsia="Times New Roman" w:cstheme="minorHAnsi"/>
          <w:bdr w:val="none" w:sz="0" w:space="0" w:color="auto" w:frame="1"/>
          <w:vertAlign w:val="superscript"/>
        </w:rPr>
        <w:t>75</w:t>
      </w:r>
      <w:r w:rsidRPr="004D42AB">
        <w:rPr>
          <w:rFonts w:eastAsia="Times New Roman" w:cstheme="minorHAnsi"/>
        </w:rPr>
        <w:t> Massachusetts and Michigan both protect trade secrets or commercial or financial information, but only if the information is voluntarily provided to an agency for use in developing governmental policy and upon a promise of confidentiality.</w:t>
      </w:r>
      <w:r w:rsidRPr="004D42AB">
        <w:rPr>
          <w:rFonts w:eastAsia="Times New Roman" w:cstheme="minorHAnsi"/>
          <w:bdr w:val="none" w:sz="0" w:space="0" w:color="auto" w:frame="1"/>
          <w:vertAlign w:val="superscript"/>
        </w:rPr>
        <w:t>76</w:t>
      </w:r>
    </w:p>
    <w:p w14:paraId="31056F2A" w14:textId="77777777" w:rsidR="00F44300" w:rsidRPr="004D42AB" w:rsidRDefault="00F44300" w:rsidP="00F00F20">
      <w:pPr>
        <w:shd w:val="clear" w:color="auto" w:fill="FFFFFF"/>
        <w:spacing w:line="360" w:lineRule="auto"/>
        <w:textAlignment w:val="baseline"/>
        <w:rPr>
          <w:rFonts w:eastAsia="Times New Roman" w:cstheme="minorHAnsi"/>
        </w:rPr>
      </w:pPr>
    </w:p>
    <w:p w14:paraId="388664B1" w14:textId="77777777" w:rsidR="00F44300" w:rsidRPr="004D42AB"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Investigatory Records</w:t>
      </w:r>
    </w:p>
    <w:p w14:paraId="16D1AA41"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proofErr w:type="gramStart"/>
      <w:r w:rsidRPr="004D42AB">
        <w:rPr>
          <w:rFonts w:eastAsia="Times New Roman" w:cstheme="minorHAnsi"/>
        </w:rPr>
        <w:t>During the course of</w:t>
      </w:r>
      <w:proofErr w:type="gramEnd"/>
      <w:r w:rsidRPr="004D42AB">
        <w:rPr>
          <w:rFonts w:eastAsia="Times New Roman" w:cstheme="minorHAnsi"/>
        </w:rPr>
        <w:t xml:space="preserve"> an investigation, health agencies might want to withhold information or preliminary findings until an investigation is complete. State laws vary on their protection of investigatory records - some apply only to criminal investigations, while others include civil and administrative investigations. If an investigation is pending, investigatory records may be withheld if disclosure would interfere with the investigation. A balancing test may be required comparing the public's interest in nondisclosure and the public's interest in access. Once an investigation is completed, the public interest in disclosure is likely to prevail. Laws vary on whether autopsy reports are confidential, some states make such reports that result from investigations by medical examiners confidential, while other states require disclosure, and for others disclosure may depend on whether the autopsy is performed as part of a criminal investigation or whether the investigation is complete.</w:t>
      </w:r>
      <w:r w:rsidRPr="004D42AB">
        <w:rPr>
          <w:rFonts w:eastAsia="Times New Roman" w:cstheme="minorHAnsi"/>
          <w:bdr w:val="none" w:sz="0" w:space="0" w:color="auto" w:frame="1"/>
          <w:vertAlign w:val="superscript"/>
        </w:rPr>
        <w:t>77</w:t>
      </w:r>
    </w:p>
    <w:p w14:paraId="047D2BD3" w14:textId="77777777" w:rsidR="00F44300" w:rsidRPr="004D42AB" w:rsidRDefault="00F44300" w:rsidP="00F00F20">
      <w:pPr>
        <w:shd w:val="clear" w:color="auto" w:fill="FFFFFF"/>
        <w:spacing w:line="360" w:lineRule="auto"/>
        <w:textAlignment w:val="baseline"/>
        <w:rPr>
          <w:rFonts w:eastAsia="Times New Roman" w:cstheme="minorHAnsi"/>
        </w:rPr>
      </w:pPr>
    </w:p>
    <w:p w14:paraId="5106F792" w14:textId="77777777" w:rsidR="00F44300" w:rsidRPr="004D42AB"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National and/or State Security</w:t>
      </w:r>
    </w:p>
    <w:p w14:paraId="1354858B"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States have enacted an array of laws to protect information that might jeopardize public safety or state or national security if publicly disclosed. These laws may protect emergency response plans, evacuation plans, security plans and procedures, vulnerability assessments intended to prevent or mitigate a terrorist attack, emergency health procedures in case of a terrorist attack, and architectural drawings of government buildings and infrastructure such as utility plants, bridges and water supply, sewage disposal, transportation and communications systems.</w:t>
      </w:r>
      <w:r w:rsidRPr="004D42AB">
        <w:rPr>
          <w:rFonts w:eastAsia="Times New Roman" w:cstheme="minorHAnsi"/>
          <w:bdr w:val="none" w:sz="0" w:space="0" w:color="auto" w:frame="1"/>
          <w:vertAlign w:val="superscript"/>
        </w:rPr>
        <w:t>78</w:t>
      </w:r>
      <w:r w:rsidRPr="004D42AB">
        <w:rPr>
          <w:rFonts w:eastAsia="Times New Roman" w:cstheme="minorHAnsi"/>
        </w:rPr>
        <w:t> Some states - such as New Jersey, North Carolina, and Ohio - have defined "public records" subject to the state FOI law to exclude certain security-related information.</w:t>
      </w:r>
      <w:r w:rsidRPr="004D42AB">
        <w:rPr>
          <w:rFonts w:eastAsia="Times New Roman" w:cstheme="minorHAnsi"/>
          <w:bdr w:val="none" w:sz="0" w:space="0" w:color="auto" w:frame="1"/>
          <w:vertAlign w:val="superscript"/>
        </w:rPr>
        <w:t>79</w:t>
      </w:r>
      <w:r w:rsidRPr="004D42AB">
        <w:rPr>
          <w:rFonts w:eastAsia="Times New Roman" w:cstheme="minorHAnsi"/>
        </w:rPr>
        <w:t> FOI laws in other states contain exemptions from disclosure, which vary in coverage and criteria for withholding information from the public. Some states require that interests in disclosure and nondisclosure be balanced. In Michigan and Missouri, for example, security information is not exempt from disclosure if "the public interest in disclosure outweighs the public interest in nondisclosure in the particular instance."</w:t>
      </w:r>
      <w:r w:rsidRPr="004D42AB">
        <w:rPr>
          <w:rFonts w:eastAsia="Times New Roman" w:cstheme="minorHAnsi"/>
          <w:bdr w:val="none" w:sz="0" w:space="0" w:color="auto" w:frame="1"/>
          <w:vertAlign w:val="superscript"/>
        </w:rPr>
        <w:t>80</w:t>
      </w:r>
    </w:p>
    <w:p w14:paraId="2C93CF62" w14:textId="77777777" w:rsidR="00F44300" w:rsidRPr="004D42AB" w:rsidRDefault="00F44300" w:rsidP="00F00F20">
      <w:pPr>
        <w:shd w:val="clear" w:color="auto" w:fill="FFFFFF"/>
        <w:spacing w:line="360" w:lineRule="auto"/>
        <w:textAlignment w:val="baseline"/>
        <w:rPr>
          <w:rFonts w:eastAsia="Times New Roman" w:cstheme="minorHAnsi"/>
        </w:rPr>
      </w:pPr>
    </w:p>
    <w:p w14:paraId="3D87AAAF"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lastRenderedPageBreak/>
        <w:t>When claiming an exemption, public health agencies should be prepared to explain how disclosure of requested information could jeopardize security or public safety. The Connecticut Supreme Court ruled that a town must release electronic maps (Geographic Information System data) to an open records requester despite the town's claim that the information could compromise public safety. The court held "[g]</w:t>
      </w:r>
      <w:proofErr w:type="spellStart"/>
      <w:r w:rsidRPr="004D42AB">
        <w:rPr>
          <w:rFonts w:eastAsia="Times New Roman" w:cstheme="minorHAnsi"/>
        </w:rPr>
        <w:t>eneralized</w:t>
      </w:r>
      <w:proofErr w:type="spellEnd"/>
      <w:r w:rsidRPr="004D42AB">
        <w:rPr>
          <w:rFonts w:eastAsia="Times New Roman" w:cstheme="minorHAnsi"/>
        </w:rPr>
        <w:t xml:space="preserve"> claims of a possible safety risk" are not enough to satisfy the government's burden of proof on an exemption claim.</w:t>
      </w:r>
      <w:r w:rsidRPr="004D42AB">
        <w:rPr>
          <w:rFonts w:eastAsia="Times New Roman" w:cstheme="minorHAnsi"/>
          <w:bdr w:val="none" w:sz="0" w:space="0" w:color="auto" w:frame="1"/>
          <w:vertAlign w:val="superscript"/>
        </w:rPr>
        <w:t>81</w:t>
      </w:r>
      <w:r w:rsidRPr="004D42AB">
        <w:rPr>
          <w:rFonts w:eastAsia="Times New Roman" w:cstheme="minorHAnsi"/>
        </w:rPr>
        <w:t> In Texas, per the Attorney General's Informal Ruling, as with any exception to disclosure, a security-related claim must be accompanied by an adequate explanation of how the responsive records fall within the scope of the claimed exemption.</w:t>
      </w:r>
      <w:r w:rsidRPr="004D42AB">
        <w:rPr>
          <w:rFonts w:eastAsia="Times New Roman" w:cstheme="minorHAnsi"/>
          <w:bdr w:val="none" w:sz="0" w:space="0" w:color="auto" w:frame="1"/>
          <w:vertAlign w:val="superscript"/>
        </w:rPr>
        <w:t>82</w:t>
      </w:r>
    </w:p>
    <w:p w14:paraId="18ABCB60" w14:textId="77777777" w:rsidR="00F44300" w:rsidRPr="004D42AB" w:rsidRDefault="00F44300" w:rsidP="00F00F20">
      <w:pPr>
        <w:shd w:val="clear" w:color="auto" w:fill="FFFFFF"/>
        <w:spacing w:line="360" w:lineRule="auto"/>
        <w:textAlignment w:val="baseline"/>
        <w:rPr>
          <w:rFonts w:eastAsia="Times New Roman" w:cstheme="minorHAnsi"/>
        </w:rPr>
      </w:pPr>
    </w:p>
    <w:p w14:paraId="11A5E683"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Some states have enacted special procedures that must be followed if denying a request for government records for security reasons. Indiana law requires that the agency consult with the counterterrorism and security council prior to denying a request. If the request is denied, either the agency or the council must provide a general description of the record being withheld and of how disclosure of the record would have a reasonable likelihood of threatening the public safety.</w:t>
      </w:r>
      <w:r w:rsidRPr="004D42AB">
        <w:rPr>
          <w:rFonts w:eastAsia="Times New Roman" w:cstheme="minorHAnsi"/>
          <w:bdr w:val="none" w:sz="0" w:space="0" w:color="auto" w:frame="1"/>
          <w:vertAlign w:val="superscript"/>
        </w:rPr>
        <w:t>83</w:t>
      </w:r>
      <w:r w:rsidRPr="004D42AB">
        <w:rPr>
          <w:rFonts w:eastAsia="Times New Roman" w:cstheme="minorHAnsi"/>
        </w:rPr>
        <w:t> In Georgia, in the event of a court challenge to official nondisclosure of security-related records, the court may review the documents in question in private and condition any disclosure upon such measures as the court finds necessary to protect against the endangerment of life, safety, or public property.</w:t>
      </w:r>
      <w:r w:rsidRPr="004D42AB">
        <w:rPr>
          <w:rFonts w:eastAsia="Times New Roman" w:cstheme="minorHAnsi"/>
          <w:bdr w:val="none" w:sz="0" w:space="0" w:color="auto" w:frame="1"/>
          <w:vertAlign w:val="superscript"/>
        </w:rPr>
        <w:t>84</w:t>
      </w:r>
    </w:p>
    <w:p w14:paraId="2488F1C1" w14:textId="77777777" w:rsidR="00F44300" w:rsidRPr="004D42AB" w:rsidRDefault="00F44300" w:rsidP="00F00F20">
      <w:pPr>
        <w:shd w:val="clear" w:color="auto" w:fill="FFFFFF"/>
        <w:spacing w:line="360" w:lineRule="auto"/>
        <w:textAlignment w:val="baseline"/>
        <w:rPr>
          <w:rFonts w:eastAsia="Times New Roman" w:cstheme="minorHAnsi"/>
        </w:rPr>
      </w:pPr>
    </w:p>
    <w:p w14:paraId="34AF3B80"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VII. Federal Laws Governing Information Collection, Use, and Protection </w:t>
      </w:r>
    </w:p>
    <w:p w14:paraId="418A74CB"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For the most part, state law governs state and local public health agencies' collection, use, sharing, and protection of personal and health information to prevent and respond to a public health emergency. Some federal laws that impact state and local public health agencies are discussed below; however, this is not intended to be an exhaustive list of all federal laws that might apply.</w:t>
      </w:r>
    </w:p>
    <w:p w14:paraId="77AF5AAC" w14:textId="77777777" w:rsidR="00F44300" w:rsidRPr="004D42AB" w:rsidRDefault="00F44300" w:rsidP="00F00F20">
      <w:pPr>
        <w:shd w:val="clear" w:color="auto" w:fill="FFFFFF"/>
        <w:spacing w:line="360" w:lineRule="auto"/>
        <w:textAlignment w:val="baseline"/>
        <w:rPr>
          <w:rFonts w:eastAsia="Times New Roman" w:cstheme="minorHAnsi"/>
        </w:rPr>
      </w:pPr>
    </w:p>
    <w:p w14:paraId="1D366AE7"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Several laws authorize the federal government to establish surveillance systems and collect surveillance data provided by state and local health departments. For example, the Public Health Security and Bioterrorism Preparedness and Response Act of 2002</w:t>
      </w:r>
      <w:r w:rsidRPr="004D42AB">
        <w:rPr>
          <w:rFonts w:eastAsia="Times New Roman" w:cstheme="minorHAnsi"/>
          <w:bdr w:val="none" w:sz="0" w:space="0" w:color="auto" w:frame="1"/>
          <w:vertAlign w:val="superscript"/>
        </w:rPr>
        <w:t>85</w:t>
      </w:r>
      <w:r w:rsidRPr="004D42AB">
        <w:rPr>
          <w:rFonts w:eastAsia="Times New Roman" w:cstheme="minorHAnsi"/>
        </w:rPr>
        <w:t> authorized funding to improve public health surveillance and reporting at the state and local level and to integrate federal, state, and local systems.</w:t>
      </w:r>
      <w:r w:rsidRPr="004D42AB">
        <w:rPr>
          <w:rFonts w:eastAsia="Times New Roman" w:cstheme="minorHAnsi"/>
          <w:bdr w:val="none" w:sz="0" w:space="0" w:color="auto" w:frame="1"/>
          <w:vertAlign w:val="superscript"/>
        </w:rPr>
        <w:t>86</w:t>
      </w:r>
    </w:p>
    <w:p w14:paraId="4BAFE17B" w14:textId="77777777" w:rsidR="00F44300" w:rsidRPr="004D42AB" w:rsidRDefault="00F44300" w:rsidP="00F00F20">
      <w:pPr>
        <w:shd w:val="clear" w:color="auto" w:fill="FFFFFF"/>
        <w:spacing w:line="360" w:lineRule="auto"/>
        <w:textAlignment w:val="baseline"/>
        <w:rPr>
          <w:rFonts w:eastAsia="Times New Roman" w:cstheme="minorHAnsi"/>
        </w:rPr>
      </w:pPr>
    </w:p>
    <w:p w14:paraId="356A030D"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 xml:space="preserve">While the federal government has established systems to collect and integrate information, generally, state and local reporting is </w:t>
      </w:r>
      <w:proofErr w:type="gramStart"/>
      <w:r w:rsidRPr="004D42AB">
        <w:rPr>
          <w:rFonts w:eastAsia="Times New Roman" w:cstheme="minorHAnsi"/>
        </w:rPr>
        <w:t>voluntary</w:t>
      </w:r>
      <w:proofErr w:type="gramEnd"/>
      <w:r w:rsidRPr="004D42AB">
        <w:rPr>
          <w:rFonts w:eastAsia="Times New Roman" w:cstheme="minorHAnsi"/>
        </w:rPr>
        <w:t xml:space="preserve"> and information is provided consistent with a particular state's law. Of course, the federal government, exercising its spending power, may provide funding to state and </w:t>
      </w:r>
      <w:r w:rsidRPr="004D42AB">
        <w:rPr>
          <w:rFonts w:eastAsia="Times New Roman" w:cstheme="minorHAnsi"/>
        </w:rPr>
        <w:lastRenderedPageBreak/>
        <w:t>local governments to improve public health surveillance or engage in other activities to protect the public, conditioning funding on data sharing. Conversely, the federal government may condition funding on a state's ability to protect information. In this regard, the CDC requires states that receive funding to establish and maintain cancer registries to agree to protect the privacy of the participants and the information collected.</w:t>
      </w:r>
      <w:r w:rsidRPr="004D42AB">
        <w:rPr>
          <w:rFonts w:eastAsia="Times New Roman" w:cstheme="minorHAnsi"/>
          <w:bdr w:val="none" w:sz="0" w:space="0" w:color="auto" w:frame="1"/>
          <w:vertAlign w:val="superscript"/>
        </w:rPr>
        <w:t>87</w:t>
      </w:r>
    </w:p>
    <w:p w14:paraId="3F03DB9F" w14:textId="77777777" w:rsidR="00F44300" w:rsidRPr="004D42AB" w:rsidRDefault="00F44300" w:rsidP="00F00F20">
      <w:pPr>
        <w:shd w:val="clear" w:color="auto" w:fill="FFFFFF"/>
        <w:spacing w:line="360" w:lineRule="auto"/>
        <w:textAlignment w:val="baseline"/>
        <w:rPr>
          <w:rFonts w:eastAsia="Times New Roman" w:cstheme="minorHAnsi"/>
        </w:rPr>
      </w:pPr>
    </w:p>
    <w:p w14:paraId="120D2AB2"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Federal laws may require that federal, state, and local agencies keep information confidential.</w:t>
      </w:r>
      <w:r w:rsidRPr="004D42AB">
        <w:rPr>
          <w:rFonts w:eastAsia="Times New Roman" w:cstheme="minorHAnsi"/>
          <w:bdr w:val="none" w:sz="0" w:space="0" w:color="auto" w:frame="1"/>
          <w:vertAlign w:val="superscript"/>
        </w:rPr>
        <w:t>88</w:t>
      </w:r>
      <w:r w:rsidRPr="004D42AB">
        <w:rPr>
          <w:rFonts w:eastAsia="Times New Roman" w:cstheme="minorHAnsi"/>
        </w:rPr>
        <w:t> For example, certain information regarding vaccine tracking and distribution provided by HHS to state and local governments is confidential.</w:t>
      </w:r>
      <w:r w:rsidRPr="004D42AB">
        <w:rPr>
          <w:rFonts w:eastAsia="Times New Roman" w:cstheme="minorHAnsi"/>
          <w:bdr w:val="none" w:sz="0" w:space="0" w:color="auto" w:frame="1"/>
          <w:vertAlign w:val="superscript"/>
        </w:rPr>
        <w:t>89</w:t>
      </w:r>
      <w:r w:rsidRPr="004D42AB">
        <w:rPr>
          <w:rFonts w:eastAsia="Times New Roman" w:cstheme="minorHAnsi"/>
        </w:rPr>
        <w:t> The federal government is authorized to allow state and local health officials to access this information to provide for the needs of its populations during an influenza pandemic or time of vaccine shortage or supply disruption. In turn, state and local governments are to protect the confidentiality of this information. Additionally, information concerning critical infrastructure that is voluntarily provided to the federal government by the private sector is privileged and confidential. </w:t>
      </w:r>
      <w:r w:rsidRPr="004D42AB">
        <w:rPr>
          <w:rFonts w:eastAsia="Times New Roman" w:cstheme="minorHAnsi"/>
          <w:bdr w:val="none" w:sz="0" w:space="0" w:color="auto" w:frame="1"/>
          <w:vertAlign w:val="superscript"/>
        </w:rPr>
        <w:t>90</w:t>
      </w:r>
      <w:r w:rsidRPr="004D42AB">
        <w:rPr>
          <w:rFonts w:eastAsia="Times New Roman" w:cstheme="minorHAnsi"/>
        </w:rPr>
        <w:t> The law was passed by Congress to encourage private industries to share infrastructure security information with the government by promising confidentiality of those records. While the federal government may share this information with state and local government and agencies, those agencies must protect its confidentiality.</w:t>
      </w:r>
      <w:r w:rsidRPr="004D42AB">
        <w:rPr>
          <w:rFonts w:eastAsia="Times New Roman" w:cstheme="minorHAnsi"/>
          <w:bdr w:val="none" w:sz="0" w:space="0" w:color="auto" w:frame="1"/>
          <w:vertAlign w:val="superscript"/>
        </w:rPr>
        <w:t>91</w:t>
      </w:r>
    </w:p>
    <w:p w14:paraId="1E2BB087" w14:textId="77777777" w:rsidR="00F44300" w:rsidRPr="004D42AB" w:rsidRDefault="00F44300" w:rsidP="00F00F20">
      <w:pPr>
        <w:shd w:val="clear" w:color="auto" w:fill="FFFFFF"/>
        <w:spacing w:line="360" w:lineRule="auto"/>
        <w:textAlignment w:val="baseline"/>
        <w:rPr>
          <w:rFonts w:eastAsia="Times New Roman" w:cstheme="minorHAnsi"/>
        </w:rPr>
      </w:pPr>
    </w:p>
    <w:p w14:paraId="0D1FF7EC"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Federal regulations adopted under HIPAA and the Family Educational Rights Privacy Act (FERPA) also impact public health agencies' collection, use, sharing, and protection of personal and health information.</w:t>
      </w:r>
    </w:p>
    <w:p w14:paraId="1E76DA26" w14:textId="77777777" w:rsidR="00F44300" w:rsidRPr="004D42AB" w:rsidRDefault="00F44300" w:rsidP="00F00F20">
      <w:pPr>
        <w:shd w:val="clear" w:color="auto" w:fill="FFFFFF"/>
        <w:spacing w:line="360" w:lineRule="auto"/>
        <w:textAlignment w:val="baseline"/>
        <w:rPr>
          <w:rFonts w:eastAsia="Times New Roman" w:cstheme="minorHAnsi"/>
        </w:rPr>
      </w:pPr>
    </w:p>
    <w:p w14:paraId="509BAD3C"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HIPAA Privacy Rule </w:t>
      </w:r>
    </w:p>
    <w:p w14:paraId="7F51B0EF"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Healthcare providers - including physicians, hospitals, laboratories, and health plans - are major data sources for disease prevention and control. Most of these providers are covered entities that are subject to privacy standards established by the federal Privacy Rule</w:t>
      </w:r>
      <w:r w:rsidRPr="004D42AB">
        <w:rPr>
          <w:rFonts w:eastAsia="Times New Roman" w:cstheme="minorHAnsi"/>
          <w:bdr w:val="none" w:sz="0" w:space="0" w:color="auto" w:frame="1"/>
          <w:vertAlign w:val="superscript"/>
        </w:rPr>
        <w:t>92</w:t>
      </w:r>
      <w:r w:rsidRPr="004D42AB">
        <w:rPr>
          <w:rFonts w:eastAsia="Times New Roman" w:cstheme="minorHAnsi"/>
        </w:rPr>
        <w:t> adopted by the U.S. Department of Health and Human Services under the Health Insurance Portability and Accountability Act (HIPAA).</w:t>
      </w:r>
      <w:r w:rsidRPr="004D42AB">
        <w:rPr>
          <w:rFonts w:eastAsia="Times New Roman" w:cstheme="minorHAnsi"/>
          <w:bdr w:val="none" w:sz="0" w:space="0" w:color="auto" w:frame="1"/>
          <w:vertAlign w:val="superscript"/>
        </w:rPr>
        <w:t>93</w:t>
      </w:r>
      <w:r w:rsidRPr="004D42AB">
        <w:rPr>
          <w:rFonts w:eastAsia="Times New Roman" w:cstheme="minorHAnsi"/>
        </w:rPr>
        <w:t> The Privacy Rule established national minimum standards to protect the privacy of individually identifiable health information (referred to as "protected health information" or "PHI") and gives patients an array of rights with respect to that information. A covered entity is prohibited from using or disclosing PHI without the written authorization of the patient unless required or permitted by the Privacy Rule. A covered entity that violates the Privacy Rule is subject to civil or criminal penalties.</w:t>
      </w:r>
    </w:p>
    <w:p w14:paraId="7BFDAE5E" w14:textId="77777777" w:rsidR="00F44300" w:rsidRPr="004D42AB" w:rsidRDefault="00F44300" w:rsidP="00F00F20">
      <w:pPr>
        <w:shd w:val="clear" w:color="auto" w:fill="FFFFFF"/>
        <w:spacing w:line="360" w:lineRule="auto"/>
        <w:textAlignment w:val="baseline"/>
        <w:rPr>
          <w:rFonts w:eastAsia="Times New Roman" w:cstheme="minorHAnsi"/>
        </w:rPr>
      </w:pPr>
    </w:p>
    <w:p w14:paraId="4E173B91"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The Privacy Rule need not impede the collection, use, and disclosure of PHI by public health agencies to prevent or protect the public from disease or other threats. The Privacy Rule does not apply to "de-identified information," e.g. aggregate statistical data or data stripped of individual identifiers. Information may be de-identified by removing 18 identifiers specified in the Rule, provided that the covered entity does not have actual knowledge that the remaining information can be used alone or in combination with other reasonably available information to identify a subject (safe harbor de-identification).</w:t>
      </w:r>
      <w:r w:rsidRPr="004D42AB">
        <w:rPr>
          <w:rFonts w:eastAsia="Times New Roman" w:cstheme="minorHAnsi"/>
          <w:bdr w:val="none" w:sz="0" w:space="0" w:color="auto" w:frame="1"/>
          <w:vertAlign w:val="superscript"/>
        </w:rPr>
        <w:t>94</w:t>
      </w:r>
      <w:r w:rsidRPr="004D42AB">
        <w:rPr>
          <w:rFonts w:eastAsia="Times New Roman" w:cstheme="minorHAnsi"/>
        </w:rPr>
        <w:t> These identifiers include personal identifiers (such as name, address, telephone number, birth date, social security number) and non-personal identifiers (such as geographic information smaller than a state and dates directly associated with an individual). Alternatively, a covered entity may rely on a determination by a properly qualified statistician using accepted analytic techniques who concludes the risk of re-identification is substantially limited (statistical de-identification). Since an expert must determine that information is statistically de-identified, most covered entities opt for the safe harbor by removing the specified identifiers.</w:t>
      </w:r>
    </w:p>
    <w:p w14:paraId="6C550769" w14:textId="77777777" w:rsidR="00F44300" w:rsidRPr="004D42AB" w:rsidRDefault="00F44300" w:rsidP="00F00F20">
      <w:pPr>
        <w:shd w:val="clear" w:color="auto" w:fill="FFFFFF"/>
        <w:spacing w:line="360" w:lineRule="auto"/>
        <w:textAlignment w:val="baseline"/>
        <w:rPr>
          <w:rFonts w:eastAsia="Times New Roman" w:cstheme="minorHAnsi"/>
        </w:rPr>
      </w:pPr>
    </w:p>
    <w:p w14:paraId="150A29E7"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The Privacy Rule also allows covered entities to disclose a "limited data set" for public health purposes pursuant to a limited use agreement.</w:t>
      </w:r>
      <w:r w:rsidRPr="004D42AB">
        <w:rPr>
          <w:rFonts w:eastAsia="Times New Roman" w:cstheme="minorHAnsi"/>
          <w:bdr w:val="none" w:sz="0" w:space="0" w:color="auto" w:frame="1"/>
          <w:vertAlign w:val="superscript"/>
        </w:rPr>
        <w:t>95</w:t>
      </w:r>
      <w:r w:rsidRPr="004D42AB">
        <w:rPr>
          <w:rFonts w:eastAsia="Times New Roman" w:cstheme="minorHAnsi"/>
        </w:rPr>
        <w:t xml:space="preserve"> A limited data set is more useful for public health purposes because it includes dates (such as admission, discharge, service, date of birth or death), geography (city, county, five digit zip code); and ages (in years, months or days). Disclosure of limited data sets to public health agencies may be </w:t>
      </w:r>
      <w:proofErr w:type="gramStart"/>
      <w:r w:rsidRPr="004D42AB">
        <w:rPr>
          <w:rFonts w:eastAsia="Times New Roman" w:cstheme="minorHAnsi"/>
        </w:rPr>
        <w:t>sufficient</w:t>
      </w:r>
      <w:proofErr w:type="gramEnd"/>
      <w:r w:rsidRPr="004D42AB">
        <w:rPr>
          <w:rFonts w:eastAsia="Times New Roman" w:cstheme="minorHAnsi"/>
        </w:rPr>
        <w:t xml:space="preserve"> for some public health purposes, such as syndromic surveillance.</w:t>
      </w:r>
    </w:p>
    <w:p w14:paraId="41F645FB" w14:textId="77777777" w:rsidR="00F44300" w:rsidRPr="004D42AB" w:rsidRDefault="00F44300" w:rsidP="00F00F20">
      <w:pPr>
        <w:shd w:val="clear" w:color="auto" w:fill="FFFFFF"/>
        <w:spacing w:line="360" w:lineRule="auto"/>
        <w:textAlignment w:val="baseline"/>
        <w:rPr>
          <w:rFonts w:eastAsia="Times New Roman" w:cstheme="minorHAnsi"/>
        </w:rPr>
      </w:pPr>
    </w:p>
    <w:p w14:paraId="1FE77777"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More importantly, the Privacy Rule recognizes the legitimate need for public health authorities and others responsible for ensuring public health and safety to have access to protected health information to carry out their public health activities.</w:t>
      </w:r>
      <w:r w:rsidRPr="004D42AB">
        <w:rPr>
          <w:rFonts w:eastAsia="Times New Roman" w:cstheme="minorHAnsi"/>
          <w:bdr w:val="none" w:sz="0" w:space="0" w:color="auto" w:frame="1"/>
          <w:vertAlign w:val="superscript"/>
        </w:rPr>
        <w:t>96</w:t>
      </w:r>
      <w:r w:rsidRPr="004D42AB">
        <w:rPr>
          <w:rFonts w:eastAsia="Times New Roman" w:cstheme="minorHAnsi"/>
        </w:rPr>
        <w:t xml:space="preserve"> The Privacy Rule was not intended to interfere with the implementation of state law such as mandatory reporting of diseases, immunizations, or information for vital records. A covered entity </w:t>
      </w:r>
      <w:proofErr w:type="gramStart"/>
      <w:r w:rsidRPr="004D42AB">
        <w:rPr>
          <w:rFonts w:eastAsia="Times New Roman" w:cstheme="minorHAnsi"/>
        </w:rPr>
        <w:t>is allowed to</w:t>
      </w:r>
      <w:proofErr w:type="gramEnd"/>
      <w:r w:rsidRPr="004D42AB">
        <w:rPr>
          <w:rFonts w:eastAsia="Times New Roman" w:cstheme="minorHAnsi"/>
        </w:rPr>
        <w:t xml:space="preserve"> disclose PHI as required by such laws.</w:t>
      </w:r>
      <w:r w:rsidRPr="004D42AB">
        <w:rPr>
          <w:rFonts w:eastAsia="Times New Roman" w:cstheme="minorHAnsi"/>
          <w:bdr w:val="none" w:sz="0" w:space="0" w:color="auto" w:frame="1"/>
          <w:vertAlign w:val="superscript"/>
        </w:rPr>
        <w:t>97</w:t>
      </w:r>
    </w:p>
    <w:p w14:paraId="0DDEDC70" w14:textId="77777777" w:rsidR="00F44300" w:rsidRPr="004D42AB" w:rsidRDefault="00F44300" w:rsidP="00F00F20">
      <w:pPr>
        <w:shd w:val="clear" w:color="auto" w:fill="FFFFFF"/>
        <w:spacing w:line="360" w:lineRule="auto"/>
        <w:textAlignment w:val="baseline"/>
        <w:rPr>
          <w:rFonts w:eastAsia="Times New Roman" w:cstheme="minorHAnsi"/>
        </w:rPr>
      </w:pPr>
    </w:p>
    <w:p w14:paraId="39BB5DC0"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Moreover, the Privacy Rule was not intended to interfere with public health's mission. In order to balance personal privacy with public health, the Privacy Rule permits covered entities to disclose PHI without authorization to public health authorities and their authorized agents for public health purposes, including but not limited to public health surveillance, investigations, and interventions.</w:t>
      </w:r>
      <w:r w:rsidRPr="004D42AB">
        <w:rPr>
          <w:rFonts w:eastAsia="Times New Roman" w:cstheme="minorHAnsi"/>
          <w:bdr w:val="none" w:sz="0" w:space="0" w:color="auto" w:frame="1"/>
          <w:vertAlign w:val="superscript"/>
        </w:rPr>
        <w:t>98</w:t>
      </w:r>
      <w:r w:rsidRPr="004D42AB">
        <w:rPr>
          <w:rFonts w:eastAsia="Times New Roman" w:cstheme="minorHAnsi"/>
        </w:rPr>
        <w:t xml:space="preserve">Accordingly, physicians, laboratories, and other healthcare providers may provide fully </w:t>
      </w:r>
      <w:r w:rsidRPr="004D42AB">
        <w:rPr>
          <w:rFonts w:eastAsia="Times New Roman" w:cstheme="minorHAnsi"/>
        </w:rPr>
        <w:lastRenderedPageBreak/>
        <w:t xml:space="preserve">identified health information to public health agencies without violating HIPAA. This exception requires that a legal basis exists for the activity and includes both actions that are permitted and actions that are required by law. This means that state or local laws need not specify </w:t>
      </w:r>
      <w:proofErr w:type="gramStart"/>
      <w:r w:rsidRPr="004D42AB">
        <w:rPr>
          <w:rFonts w:eastAsia="Times New Roman" w:cstheme="minorHAnsi"/>
        </w:rPr>
        <w:t>each and every</w:t>
      </w:r>
      <w:proofErr w:type="gramEnd"/>
      <w:r w:rsidRPr="004D42AB">
        <w:rPr>
          <w:rFonts w:eastAsia="Times New Roman" w:cstheme="minorHAnsi"/>
        </w:rPr>
        <w:t xml:space="preserve"> case in which use of PHI may be necessary to protect the public. To the extent that a public health agency is a covered entity, it may use, as well as disclose, PHI for public health purposes.</w:t>
      </w:r>
      <w:r w:rsidRPr="004D42AB">
        <w:rPr>
          <w:rFonts w:eastAsia="Times New Roman" w:cstheme="minorHAnsi"/>
          <w:bdr w:val="none" w:sz="0" w:space="0" w:color="auto" w:frame="1"/>
          <w:vertAlign w:val="superscript"/>
        </w:rPr>
        <w:t>99</w:t>
      </w:r>
    </w:p>
    <w:p w14:paraId="640856E7" w14:textId="77777777" w:rsidR="00F44300" w:rsidRPr="004D42AB" w:rsidRDefault="00F44300" w:rsidP="00F00F20">
      <w:pPr>
        <w:shd w:val="clear" w:color="auto" w:fill="FFFFFF"/>
        <w:spacing w:line="360" w:lineRule="auto"/>
        <w:textAlignment w:val="baseline"/>
        <w:rPr>
          <w:rFonts w:eastAsia="Times New Roman" w:cstheme="minorHAnsi"/>
        </w:rPr>
      </w:pPr>
    </w:p>
    <w:p w14:paraId="2EFAD90D"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Disclosures of PHI to public health agencies may be supported by several additional exceptions to HIPAA's authorization requirement. These exceptions may also allow covered entities to provide necessary information to organizations and individuals that are neither public health agencies nor their agents without the patient's authorization. These include: (1) for treatment of the individual or payment for care,</w:t>
      </w:r>
      <w:r w:rsidRPr="004D42AB">
        <w:rPr>
          <w:rFonts w:eastAsia="Times New Roman" w:cstheme="minorHAnsi"/>
          <w:bdr w:val="none" w:sz="0" w:space="0" w:color="auto" w:frame="1"/>
          <w:vertAlign w:val="superscript"/>
        </w:rPr>
        <w:t>100</w:t>
      </w:r>
      <w:r w:rsidRPr="004D42AB">
        <w:rPr>
          <w:rFonts w:eastAsia="Times New Roman" w:cstheme="minorHAnsi"/>
        </w:rPr>
        <w:t> (2) to family and friends involved in a patient's care if the patient is unable to indicate his or her oral consent,</w:t>
      </w:r>
      <w:r w:rsidRPr="004D42AB">
        <w:rPr>
          <w:rFonts w:eastAsia="Times New Roman" w:cstheme="minorHAnsi"/>
          <w:bdr w:val="none" w:sz="0" w:space="0" w:color="auto" w:frame="1"/>
          <w:vertAlign w:val="superscript"/>
        </w:rPr>
        <w:t>101</w:t>
      </w:r>
      <w:r w:rsidRPr="004D42AB">
        <w:rPr>
          <w:rFonts w:eastAsia="Times New Roman" w:cstheme="minorHAnsi"/>
        </w:rPr>
        <w:t> (3) to avert a serious threat to health or safety of a person or the public,</w:t>
      </w:r>
      <w:r w:rsidRPr="004D42AB">
        <w:rPr>
          <w:rFonts w:eastAsia="Times New Roman" w:cstheme="minorHAnsi"/>
          <w:bdr w:val="none" w:sz="0" w:space="0" w:color="auto" w:frame="1"/>
          <w:vertAlign w:val="superscript"/>
        </w:rPr>
        <w:t>102</w:t>
      </w:r>
      <w:r w:rsidRPr="004D42AB">
        <w:rPr>
          <w:rFonts w:eastAsia="Times New Roman" w:cstheme="minorHAnsi"/>
        </w:rPr>
        <w:t> (4) to protect national security,</w:t>
      </w:r>
      <w:r w:rsidRPr="004D42AB">
        <w:rPr>
          <w:rFonts w:eastAsia="Times New Roman" w:cstheme="minorHAnsi"/>
          <w:bdr w:val="none" w:sz="0" w:space="0" w:color="auto" w:frame="1"/>
          <w:vertAlign w:val="superscript"/>
        </w:rPr>
        <w:t>103</w:t>
      </w:r>
      <w:r w:rsidRPr="004D42AB">
        <w:rPr>
          <w:rFonts w:eastAsia="Times New Roman" w:cstheme="minorHAnsi"/>
        </w:rPr>
        <w:t> (5) to law enforcement under certain conditions,</w:t>
      </w:r>
      <w:r w:rsidRPr="004D42AB">
        <w:rPr>
          <w:rFonts w:eastAsia="Times New Roman" w:cstheme="minorHAnsi"/>
          <w:bdr w:val="none" w:sz="0" w:space="0" w:color="auto" w:frame="1"/>
          <w:vertAlign w:val="superscript"/>
        </w:rPr>
        <w:t>104</w:t>
      </w:r>
      <w:r w:rsidRPr="004D42AB">
        <w:rPr>
          <w:rFonts w:eastAsia="Times New Roman" w:cstheme="minorHAnsi"/>
        </w:rPr>
        <w:t> and (6) for administrative or judicial proceedings.</w:t>
      </w:r>
      <w:r w:rsidRPr="004D42AB">
        <w:rPr>
          <w:rFonts w:eastAsia="Times New Roman" w:cstheme="minorHAnsi"/>
          <w:bdr w:val="none" w:sz="0" w:space="0" w:color="auto" w:frame="1"/>
          <w:vertAlign w:val="superscript"/>
        </w:rPr>
        <w:t>105</w:t>
      </w:r>
      <w:r w:rsidRPr="004D42AB">
        <w:rPr>
          <w:rFonts w:eastAsia="Times New Roman" w:cstheme="minorHAnsi"/>
        </w:rPr>
        <w:t> Of course, the HIPAA Privacy Rule does not apply to disclosures made by entities that are not covered by HIPAA. This means that the HIPAA Privacy Rule should not restrict communications by organizations providing shelter, food, or other assistance that is not healthcare.</w:t>
      </w:r>
    </w:p>
    <w:p w14:paraId="6865883C" w14:textId="77777777" w:rsidR="00F44300" w:rsidRPr="004D42AB" w:rsidRDefault="00F44300" w:rsidP="00F00F20">
      <w:pPr>
        <w:shd w:val="clear" w:color="auto" w:fill="FFFFFF"/>
        <w:spacing w:line="360" w:lineRule="auto"/>
        <w:textAlignment w:val="baseline"/>
        <w:rPr>
          <w:rFonts w:eastAsia="Times New Roman" w:cstheme="minorHAnsi"/>
        </w:rPr>
      </w:pPr>
    </w:p>
    <w:p w14:paraId="1A284EB3"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For a more detailed discussion of HIPAA's provisions as applied to use and disclosure of identifiable health information for public health purposes, see materials contained in the </w:t>
      </w:r>
      <w:hyperlink r:id="rId90" w:tooltip="Public Health and Schools Toolkit" w:history="1">
        <w:r w:rsidRPr="004D42AB">
          <w:rPr>
            <w:rFonts w:eastAsia="Times New Roman" w:cstheme="minorHAnsi"/>
            <w:i/>
            <w:iCs/>
            <w:color w:val="00B0F0"/>
            <w:u w:val="single"/>
            <w:bdr w:val="none" w:sz="0" w:space="0" w:color="auto" w:frame="1"/>
          </w:rPr>
          <w:t>Public Health and Schools Toolkit</w:t>
        </w:r>
      </w:hyperlink>
      <w:r w:rsidRPr="004D42AB">
        <w:rPr>
          <w:rFonts w:eastAsia="Times New Roman" w:cstheme="minorHAnsi"/>
          <w:color w:val="00B0F0"/>
        </w:rPr>
        <w:t>.</w:t>
      </w:r>
    </w:p>
    <w:p w14:paraId="175FE7E5" w14:textId="77777777" w:rsidR="00F44300" w:rsidRPr="004D42AB" w:rsidRDefault="00F44300" w:rsidP="00F00F20">
      <w:pPr>
        <w:shd w:val="clear" w:color="auto" w:fill="FFFFFF"/>
        <w:spacing w:line="360" w:lineRule="auto"/>
        <w:textAlignment w:val="baseline"/>
        <w:rPr>
          <w:rFonts w:eastAsia="Times New Roman" w:cstheme="minorHAnsi"/>
        </w:rPr>
      </w:pPr>
    </w:p>
    <w:p w14:paraId="554FFEE0"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Although the Privacy Rule need not interfere with public health surveillance and investigation, some healthcare providers might hesitate or refuse to provide needed information based on their misunderstanding of the Privacy Rule or fear of violating its standards. Public Health agencies can alleviate some qualms by giving the healthcare provider a written statement explaining the legal basis under which the information is requested. In this regard, the Privacy Rule states that a covered entity may rely, if such reliance is reasonable under the circumstances, on such a written statement, or, if a written statement would be impracticable, an oral statement of such legal authority.</w:t>
      </w:r>
      <w:r w:rsidRPr="004D42AB">
        <w:rPr>
          <w:rFonts w:eastAsia="Times New Roman" w:cstheme="minorHAnsi"/>
          <w:bdr w:val="none" w:sz="0" w:space="0" w:color="auto" w:frame="1"/>
          <w:vertAlign w:val="superscript"/>
        </w:rPr>
        <w:t>106</w:t>
      </w:r>
    </w:p>
    <w:p w14:paraId="78F1CA89" w14:textId="77777777" w:rsidR="00F44300" w:rsidRPr="004D42AB" w:rsidRDefault="00F44300" w:rsidP="00F00F20">
      <w:pPr>
        <w:shd w:val="clear" w:color="auto" w:fill="FFFFFF"/>
        <w:spacing w:line="360" w:lineRule="auto"/>
        <w:textAlignment w:val="baseline"/>
        <w:rPr>
          <w:rFonts w:eastAsia="Times New Roman" w:cstheme="minorHAnsi"/>
        </w:rPr>
      </w:pPr>
    </w:p>
    <w:p w14:paraId="6EF3F0F0" w14:textId="77777777" w:rsidR="00F44300" w:rsidRPr="004D42AB" w:rsidRDefault="00F44300" w:rsidP="00472BD6">
      <w:pPr>
        <w:keepNext/>
        <w:spacing w:line="360" w:lineRule="auto"/>
        <w:rPr>
          <w:rFonts w:eastAsia="Times New Roman" w:cstheme="minorHAnsi"/>
          <w:b/>
          <w:bCs/>
        </w:rPr>
      </w:pPr>
      <w:r w:rsidRPr="004D42AB">
        <w:rPr>
          <w:rFonts w:eastAsia="Times New Roman" w:cstheme="minorHAnsi"/>
          <w:b/>
          <w:bCs/>
        </w:rPr>
        <w:lastRenderedPageBreak/>
        <w:t>Family Educational Rights and Privacy Act </w:t>
      </w:r>
    </w:p>
    <w:p w14:paraId="1F6F1B1B"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State laws may require that schools report communicable disease cases, immunizations, or other matters of public health importance. However, schools that receive funds for a program administered by the U.S. Department of Education may be limited by the Family Educational Rights and Privacy Act (FERPA)</w:t>
      </w:r>
      <w:r w:rsidRPr="004D42AB">
        <w:rPr>
          <w:rFonts w:eastAsia="Times New Roman" w:cstheme="minorHAnsi"/>
          <w:bdr w:val="none" w:sz="0" w:space="0" w:color="auto" w:frame="1"/>
          <w:vertAlign w:val="superscript"/>
        </w:rPr>
        <w:t>107</w:t>
      </w:r>
      <w:r w:rsidRPr="004D42AB">
        <w:rPr>
          <w:rFonts w:eastAsia="Times New Roman" w:cstheme="minorHAnsi"/>
        </w:rPr>
        <w:t> and federal regulations adopted thereunder.</w:t>
      </w:r>
      <w:r w:rsidRPr="004D42AB">
        <w:rPr>
          <w:rFonts w:eastAsia="Times New Roman" w:cstheme="minorHAnsi"/>
          <w:bdr w:val="none" w:sz="0" w:space="0" w:color="auto" w:frame="1"/>
          <w:vertAlign w:val="superscript"/>
        </w:rPr>
        <w:t>108</w:t>
      </w:r>
      <w:r w:rsidRPr="004D42AB">
        <w:rPr>
          <w:rFonts w:eastAsia="Times New Roman" w:cstheme="minorHAnsi"/>
        </w:rPr>
        <w:t> FERPA is a federal law that protects the privacy of student education records while allowing students and parents greater access to these records. Generally, schools must have written permission from the parent or eligible student in order to release any information from a student's education record. Any state law that conflicts with FERPA and its regulations is pre-empted by the federal law, and the federal requirements take precedence over the state requirements.</w:t>
      </w:r>
    </w:p>
    <w:p w14:paraId="046F8E4A" w14:textId="77777777" w:rsidR="00F44300" w:rsidRPr="004D42AB" w:rsidRDefault="00F44300" w:rsidP="00F00F20">
      <w:pPr>
        <w:shd w:val="clear" w:color="auto" w:fill="FFFFFF"/>
        <w:spacing w:line="360" w:lineRule="auto"/>
        <w:textAlignment w:val="baseline"/>
        <w:rPr>
          <w:rFonts w:eastAsia="Times New Roman" w:cstheme="minorHAnsi"/>
        </w:rPr>
      </w:pPr>
    </w:p>
    <w:p w14:paraId="46B25831" w14:textId="77777777" w:rsidR="00F44300" w:rsidRDefault="00F44300"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Schools may disclose students' records, without consent, if allowed by exceptions set out in FERPA or its regulations. These exceptions include directory information (such as name and contact information), information necessary to protect the health or safety of the student or other individuals, information necessary to comply with a judicial order or lawfully issued subpoena, and disclosures to organizations conducting certain studies for or on behalf of the school.</w:t>
      </w:r>
      <w:r w:rsidRPr="004D42AB">
        <w:rPr>
          <w:rFonts w:eastAsia="Times New Roman" w:cstheme="minorHAnsi"/>
          <w:bdr w:val="none" w:sz="0" w:space="0" w:color="auto" w:frame="1"/>
          <w:vertAlign w:val="superscript"/>
        </w:rPr>
        <w:t>109</w:t>
      </w:r>
    </w:p>
    <w:p w14:paraId="42EE2931" w14:textId="77777777" w:rsidR="00F44300" w:rsidRPr="004D42AB" w:rsidRDefault="00F44300" w:rsidP="00F00F20">
      <w:pPr>
        <w:shd w:val="clear" w:color="auto" w:fill="FFFFFF"/>
        <w:spacing w:line="360" w:lineRule="auto"/>
        <w:textAlignment w:val="baseline"/>
        <w:rPr>
          <w:rFonts w:eastAsia="Times New Roman" w:cstheme="minorHAnsi"/>
        </w:rPr>
      </w:pPr>
    </w:p>
    <w:p w14:paraId="45AF0B07"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For a more detailed discussion of FERPA's provisions as applied to disclosure of student records for public health purposes, see materials contained in the </w:t>
      </w:r>
      <w:hyperlink r:id="rId91" w:tooltip="Public Health and Schools Toolkit" w:history="1">
        <w:r w:rsidRPr="004D42AB">
          <w:rPr>
            <w:rFonts w:eastAsia="Times New Roman" w:cstheme="minorHAnsi"/>
            <w:i/>
            <w:iCs/>
            <w:color w:val="00B0F0"/>
            <w:u w:val="single"/>
            <w:bdr w:val="none" w:sz="0" w:space="0" w:color="auto" w:frame="1"/>
          </w:rPr>
          <w:t>Public Health and Schools Toolkit</w:t>
        </w:r>
      </w:hyperlink>
      <w:r w:rsidRPr="004D42AB">
        <w:rPr>
          <w:rFonts w:eastAsia="Times New Roman" w:cstheme="minorHAnsi"/>
        </w:rPr>
        <w:t>.</w:t>
      </w:r>
    </w:p>
    <w:p w14:paraId="6746D74B" w14:textId="77777777" w:rsidR="00F44300" w:rsidRPr="004D42AB" w:rsidRDefault="00F44300" w:rsidP="00F00F20">
      <w:pPr>
        <w:shd w:val="clear" w:color="auto" w:fill="FFFFFF"/>
        <w:spacing w:line="360" w:lineRule="auto"/>
        <w:textAlignment w:val="baseline"/>
        <w:rPr>
          <w:rFonts w:eastAsia="Times New Roman" w:cstheme="minorHAnsi"/>
        </w:rPr>
      </w:pPr>
    </w:p>
    <w:p w14:paraId="23BE4A97"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VIII. Data Protection and Data Security Laws </w:t>
      </w:r>
    </w:p>
    <w:p w14:paraId="56403D60" w14:textId="77777777" w:rsidR="00F44300" w:rsidRDefault="00F44300" w:rsidP="00F00F20">
      <w:pPr>
        <w:shd w:val="clear" w:color="auto" w:fill="FFFFFF"/>
        <w:spacing w:line="360" w:lineRule="auto"/>
        <w:textAlignment w:val="baseline"/>
        <w:rPr>
          <w:rFonts w:eastAsia="Times New Roman" w:cstheme="minorHAnsi"/>
        </w:rPr>
      </w:pPr>
      <w:r w:rsidRPr="004D42AB">
        <w:rPr>
          <w:rFonts w:eastAsia="Times New Roman" w:cstheme="minorHAnsi"/>
        </w:rPr>
        <w:t>This Issue Brief has focused on "data privacy" including appropriate collection, use and disclosure of personal or sensitive information.  "Data security" is equally important and essential to ensure privacy. Such security includes practices to ensure that stored data is safe from unauthorized access and is transferred in a secure manner. Although beyond the scope of this Issue Brief, public health agencies must identify and ensure compliance with federal and state laws that apply to the security of data they maintain. These include laws that cover electronic health information, such as the HIPAA security rule,</w:t>
      </w:r>
      <w:r w:rsidRPr="004D42AB">
        <w:rPr>
          <w:rFonts w:eastAsia="Times New Roman" w:cstheme="minorHAnsi"/>
          <w:bdr w:val="none" w:sz="0" w:space="0" w:color="auto" w:frame="1"/>
          <w:vertAlign w:val="superscript"/>
        </w:rPr>
        <w:t>110</w:t>
      </w:r>
      <w:r w:rsidRPr="004D42AB">
        <w:rPr>
          <w:rFonts w:eastAsia="Times New Roman" w:cstheme="minorHAnsi"/>
        </w:rPr>
        <w:t> and databases that contain sensitive personal information such as state identity theft protection laws. In addition to setting security standards, these laws may require notification of individuals whose information is compromised and establish sanctions for security breaches.</w:t>
      </w:r>
    </w:p>
    <w:p w14:paraId="797F6064" w14:textId="77777777" w:rsidR="00F44300" w:rsidRPr="004D42AB" w:rsidRDefault="00F44300" w:rsidP="00F00F20">
      <w:pPr>
        <w:shd w:val="clear" w:color="auto" w:fill="FFFFFF"/>
        <w:spacing w:line="360" w:lineRule="auto"/>
        <w:textAlignment w:val="baseline"/>
        <w:rPr>
          <w:rFonts w:eastAsia="Times New Roman" w:cstheme="minorHAnsi"/>
        </w:rPr>
      </w:pPr>
    </w:p>
    <w:p w14:paraId="26A1D856" w14:textId="77777777" w:rsidR="00F44300" w:rsidRPr="004D42AB" w:rsidRDefault="00F44300" w:rsidP="00472BD6">
      <w:pPr>
        <w:keepNext/>
        <w:spacing w:line="360" w:lineRule="auto"/>
        <w:rPr>
          <w:rFonts w:eastAsia="Times New Roman" w:cstheme="minorHAnsi"/>
          <w:b/>
          <w:bCs/>
        </w:rPr>
      </w:pPr>
      <w:r w:rsidRPr="004D42AB">
        <w:rPr>
          <w:rFonts w:eastAsia="Times New Roman" w:cstheme="minorHAnsi"/>
          <w:b/>
          <w:bCs/>
        </w:rPr>
        <w:lastRenderedPageBreak/>
        <w:t>Conclusion </w:t>
      </w:r>
    </w:p>
    <w:p w14:paraId="29F52666" w14:textId="77777777" w:rsidR="00F44300" w:rsidRDefault="00F44300" w:rsidP="00F00F20">
      <w:pPr>
        <w:shd w:val="clear" w:color="auto" w:fill="FFFFFF"/>
        <w:spacing w:after="225" w:line="360" w:lineRule="auto"/>
        <w:textAlignment w:val="baseline"/>
        <w:rPr>
          <w:rFonts w:eastAsia="Times New Roman" w:cstheme="minorHAnsi"/>
        </w:rPr>
      </w:pPr>
      <w:r w:rsidRPr="004D42AB">
        <w:rPr>
          <w:rFonts w:eastAsia="Times New Roman" w:cstheme="minorHAnsi"/>
        </w:rPr>
        <w:t>State law mostly governs collection, use, and sharing of information by public health agencies to prevent disease and injury and protect the public against health threats. These laws vary state-by-state. Public health agencies need to understand their legal authority to collect and use identifiable information. They also need to understand their responsibilities, including their responsibility and legal authority to protect sensitive or private information from public disclosure.</w:t>
      </w:r>
    </w:p>
    <w:p w14:paraId="3CCED1A6" w14:textId="77777777" w:rsidR="00F44300" w:rsidRPr="004D42AB" w:rsidRDefault="00F44300" w:rsidP="00F00F20">
      <w:pPr>
        <w:shd w:val="clear" w:color="auto" w:fill="FFFFFF"/>
        <w:spacing w:after="225" w:line="360" w:lineRule="auto"/>
        <w:textAlignment w:val="baseline"/>
        <w:rPr>
          <w:rFonts w:eastAsia="Times New Roman" w:cstheme="minorHAnsi"/>
        </w:rPr>
      </w:pPr>
      <w:r>
        <w:rPr>
          <w:rFonts w:eastAsia="Times New Roman" w:cstheme="minorHAnsi"/>
        </w:rPr>
        <w:t>__________________________________________________________________________</w:t>
      </w:r>
    </w:p>
    <w:p w14:paraId="654DA8CA" w14:textId="77777777" w:rsidR="00F44300" w:rsidRPr="004D42AB" w:rsidRDefault="00F44300" w:rsidP="00F00F20">
      <w:pPr>
        <w:spacing w:line="360" w:lineRule="auto"/>
        <w:rPr>
          <w:rFonts w:eastAsia="Times New Roman" w:cstheme="minorHAnsi"/>
          <w:b/>
          <w:bCs/>
        </w:rPr>
      </w:pPr>
      <w:r w:rsidRPr="004D42AB">
        <w:rPr>
          <w:rFonts w:eastAsia="Times New Roman" w:cstheme="minorHAnsi"/>
          <w:b/>
          <w:bCs/>
        </w:rPr>
        <w:t>Sources</w:t>
      </w:r>
    </w:p>
    <w:p w14:paraId="6F51454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Jacobson v. Com. of Massachusetts, 197 U.S. 11 (1905). Available at </w:t>
      </w:r>
      <w:hyperlink r:id="rId92" w:history="1">
        <w:r w:rsidRPr="004D42AB">
          <w:rPr>
            <w:rFonts w:eastAsia="Times New Roman" w:cstheme="minorHAnsi"/>
            <w:u w:val="single"/>
            <w:bdr w:val="none" w:sz="0" w:space="0" w:color="auto" w:frame="1"/>
          </w:rPr>
          <w:t>http://caselaw.lp.findlaw.com/cgi-bin/getcase.pl?court=us&amp;vol=197&amp;invol=11</w:t>
        </w:r>
      </w:hyperlink>
      <w:r w:rsidRPr="004D42AB">
        <w:rPr>
          <w:rFonts w:eastAsia="Times New Roman" w:cstheme="minorHAnsi"/>
        </w:rPr>
        <w:t>. Accessed Nov. 15, 2012.</w:t>
      </w:r>
    </w:p>
    <w:p w14:paraId="1BDB3386" w14:textId="77777777" w:rsidR="00F44300" w:rsidRPr="004D42AB" w:rsidRDefault="00F44300" w:rsidP="00F44300">
      <w:pPr>
        <w:numPr>
          <w:ilvl w:val="0"/>
          <w:numId w:val="33"/>
        </w:numPr>
        <w:spacing w:line="360" w:lineRule="auto"/>
        <w:ind w:left="450"/>
        <w:textAlignment w:val="baseline"/>
        <w:rPr>
          <w:rFonts w:eastAsia="Times New Roman" w:cstheme="minorHAnsi"/>
        </w:rPr>
      </w:pPr>
      <w:proofErr w:type="spellStart"/>
      <w:r w:rsidRPr="004D42AB">
        <w:rPr>
          <w:rFonts w:eastAsia="Times New Roman" w:cstheme="minorHAnsi"/>
        </w:rPr>
        <w:t>Stoto</w:t>
      </w:r>
      <w:proofErr w:type="spellEnd"/>
      <w:r w:rsidRPr="004D42AB">
        <w:rPr>
          <w:rFonts w:eastAsia="Times New Roman" w:cstheme="minorHAnsi"/>
        </w:rPr>
        <w:t xml:space="preserve"> M. "Public Health Surveillance in the Twenty-First Century: Achieving Population Health Goals While Protecting Individuals' Privacy and Confidentiality." </w:t>
      </w:r>
      <w:r w:rsidRPr="004D42AB">
        <w:rPr>
          <w:rFonts w:eastAsia="Times New Roman" w:cstheme="minorHAnsi"/>
          <w:i/>
          <w:iCs/>
          <w:bdr w:val="none" w:sz="0" w:space="0" w:color="auto" w:frame="1"/>
        </w:rPr>
        <w:t>The Georgetown Law Journal.</w:t>
      </w:r>
      <w:r w:rsidRPr="004D42AB">
        <w:rPr>
          <w:rFonts w:eastAsia="Times New Roman" w:cstheme="minorHAnsi"/>
        </w:rPr>
        <w:t> 96:703-719. Available at </w:t>
      </w:r>
      <w:hyperlink r:id="rId93" w:history="1">
        <w:r w:rsidRPr="004D42AB">
          <w:rPr>
            <w:rFonts w:eastAsia="Times New Roman" w:cstheme="minorHAnsi"/>
            <w:u w:val="single"/>
            <w:bdr w:val="none" w:sz="0" w:space="0" w:color="auto" w:frame="1"/>
          </w:rPr>
          <w:t>http://georgetown.lawreviewnetwork.com/files/pdf/96-2/Stoto.PDF</w:t>
        </w:r>
      </w:hyperlink>
      <w:r w:rsidRPr="004D42AB">
        <w:rPr>
          <w:rFonts w:eastAsia="Times New Roman" w:cstheme="minorHAnsi"/>
        </w:rPr>
        <w:t>. Accessed Nov. 15, 2012. </w:t>
      </w:r>
      <w:r w:rsidRPr="004D42AB">
        <w:rPr>
          <w:rFonts w:eastAsia="Times New Roman" w:cstheme="minorHAnsi"/>
          <w:i/>
          <w:iCs/>
          <w:bdr w:val="none" w:sz="0" w:space="0" w:color="auto" w:frame="1"/>
        </w:rPr>
        <w:t>See also O'Connor</w:t>
      </w:r>
      <w:r w:rsidRPr="004D42AB">
        <w:rPr>
          <w:rFonts w:eastAsia="Times New Roman" w:cstheme="minorHAnsi"/>
        </w:rPr>
        <w:t>, J.  "Informational Privacy Protections: Do State Laws Offer Public Health Leaders the Flexibility They Need?" 2009. Available at </w:t>
      </w:r>
      <w:hyperlink r:id="rId94" w:history="1">
        <w:r w:rsidRPr="004D42AB">
          <w:rPr>
            <w:rFonts w:eastAsia="Times New Roman" w:cstheme="minorHAnsi"/>
            <w:u w:val="single"/>
            <w:bdr w:val="none" w:sz="0" w:space="0" w:color="auto" w:frame="1"/>
          </w:rPr>
          <w:t>http://www.sph.unc.edu/images/stories/academic_programs/hpaa/documents/oconnor.pdf</w:t>
        </w:r>
      </w:hyperlink>
      <w:r w:rsidRPr="004D42AB">
        <w:rPr>
          <w:rFonts w:eastAsia="Times New Roman" w:cstheme="minorHAnsi"/>
        </w:rPr>
        <w:t>. Accessed Nov. 15, 2012. </w:t>
      </w:r>
      <w:r w:rsidRPr="004D42AB">
        <w:rPr>
          <w:rFonts w:eastAsia="Times New Roman" w:cstheme="minorHAnsi"/>
          <w:i/>
          <w:iCs/>
          <w:bdr w:val="none" w:sz="0" w:space="0" w:color="auto" w:frame="1"/>
        </w:rPr>
        <w:t>See also</w:t>
      </w:r>
      <w:r w:rsidRPr="004D42AB">
        <w:rPr>
          <w:rFonts w:eastAsia="Times New Roman" w:cstheme="minorHAnsi"/>
        </w:rPr>
        <w:t> American Health Information Management Association (AHIMA). "Homeland Security Act, Patriot Act, Freedom of Information Act, and HIM (Updated)." November 2010. </w:t>
      </w:r>
      <w:hyperlink r:id="rId95" w:tooltip="Available here" w:history="1">
        <w:r w:rsidRPr="004D42AB">
          <w:rPr>
            <w:rFonts w:eastAsia="Times New Roman" w:cstheme="minorHAnsi"/>
            <w:u w:val="single"/>
            <w:bdr w:val="none" w:sz="0" w:space="0" w:color="auto" w:frame="1"/>
          </w:rPr>
          <w:t>Available here</w:t>
        </w:r>
      </w:hyperlink>
      <w:r w:rsidRPr="004D42AB">
        <w:rPr>
          <w:rFonts w:eastAsia="Times New Roman" w:cstheme="minorHAnsi"/>
        </w:rPr>
        <w:t>. Accessed Nov. 15, 2012.</w:t>
      </w:r>
    </w:p>
    <w:p w14:paraId="43544BDC" w14:textId="77777777" w:rsidR="00F44300" w:rsidRPr="004D42AB" w:rsidRDefault="00F44300" w:rsidP="00F44300">
      <w:pPr>
        <w:numPr>
          <w:ilvl w:val="0"/>
          <w:numId w:val="33"/>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96"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13EF08E5" w14:textId="77777777" w:rsidR="00F44300" w:rsidRPr="004D42AB" w:rsidRDefault="00F44300" w:rsidP="00F44300">
      <w:pPr>
        <w:numPr>
          <w:ilvl w:val="0"/>
          <w:numId w:val="33"/>
        </w:numPr>
        <w:spacing w:line="360" w:lineRule="auto"/>
        <w:ind w:left="450"/>
        <w:textAlignment w:val="baseline"/>
        <w:rPr>
          <w:rFonts w:eastAsia="Times New Roman" w:cstheme="minorHAnsi"/>
        </w:rPr>
      </w:pPr>
      <w:proofErr w:type="spellStart"/>
      <w:r w:rsidRPr="004D42AB">
        <w:rPr>
          <w:rFonts w:eastAsia="Times New Roman" w:cstheme="minorHAnsi"/>
        </w:rPr>
        <w:t>Stoto</w:t>
      </w:r>
      <w:proofErr w:type="spellEnd"/>
      <w:r w:rsidRPr="004D42AB">
        <w:rPr>
          <w:rFonts w:eastAsia="Times New Roman" w:cstheme="minorHAnsi"/>
        </w:rPr>
        <w:t xml:space="preserve"> M. "Public Health Surveillance in the Twenty-First Century: Achieving Population Health Goals While Protecting Individuals' Privacy and Confidentiality." </w:t>
      </w:r>
      <w:r w:rsidRPr="004D42AB">
        <w:rPr>
          <w:rFonts w:eastAsia="Times New Roman" w:cstheme="minorHAnsi"/>
          <w:i/>
          <w:iCs/>
          <w:bdr w:val="none" w:sz="0" w:space="0" w:color="auto" w:frame="1"/>
        </w:rPr>
        <w:t>The Georgetown Law Journal.</w:t>
      </w:r>
      <w:r w:rsidRPr="004D42AB">
        <w:rPr>
          <w:rFonts w:eastAsia="Times New Roman" w:cstheme="minorHAnsi"/>
        </w:rPr>
        <w:t>96:703-719. Available at </w:t>
      </w:r>
      <w:hyperlink r:id="rId97" w:history="1">
        <w:r w:rsidRPr="004D42AB">
          <w:rPr>
            <w:rFonts w:eastAsia="Times New Roman" w:cstheme="minorHAnsi"/>
            <w:u w:val="single"/>
            <w:bdr w:val="none" w:sz="0" w:space="0" w:color="auto" w:frame="1"/>
          </w:rPr>
          <w:t>http://georgetown.lawreviewnetwork.com/files/pdf/96-2/Stoto.PDF</w:t>
        </w:r>
      </w:hyperlink>
      <w:r w:rsidRPr="004D42AB">
        <w:rPr>
          <w:rFonts w:eastAsia="Times New Roman" w:cstheme="minorHAnsi"/>
        </w:rPr>
        <w:t>. Accessed Nov. 15, 2012.</w:t>
      </w:r>
    </w:p>
    <w:p w14:paraId="5435081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Md. Regs. Code title 10 § 06.01.03 (2002).</w:t>
      </w:r>
    </w:p>
    <w:p w14:paraId="11843E7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N.J. Admin. Code title 8, § 57-1.3 (2002).</w:t>
      </w:r>
    </w:p>
    <w:p w14:paraId="195D021F"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28 Pa. Code § 27.3 (2002).</w:t>
      </w:r>
    </w:p>
    <w:p w14:paraId="20271D2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lastRenderedPageBreak/>
        <w:t>S.C. Code Ann. § 44-29-10 (2002).</w:t>
      </w:r>
    </w:p>
    <w:p w14:paraId="17963C5C" w14:textId="77777777" w:rsidR="00F44300" w:rsidRPr="004D42AB" w:rsidRDefault="00F44300" w:rsidP="00F44300">
      <w:pPr>
        <w:numPr>
          <w:ilvl w:val="0"/>
          <w:numId w:val="33"/>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98"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79964B11"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 xml:space="preserve">Association of State and Territorial Health Officers (ASTHO). "Information Management for State Health Officials </w:t>
      </w:r>
      <w:proofErr w:type="gramStart"/>
      <w:r w:rsidRPr="004D42AB">
        <w:rPr>
          <w:rFonts w:eastAsia="Times New Roman" w:cstheme="minorHAnsi"/>
        </w:rPr>
        <w:t>The</w:t>
      </w:r>
      <w:proofErr w:type="gramEnd"/>
      <w:r w:rsidRPr="004D42AB">
        <w:rPr>
          <w:rFonts w:eastAsia="Times New Roman" w:cstheme="minorHAnsi"/>
        </w:rPr>
        <w:t xml:space="preserve"> Impact of the HIPAA Privacy Rule on Syndromic Surveillance." 2004. Available at </w:t>
      </w:r>
      <w:hyperlink r:id="rId99" w:history="1">
        <w:r w:rsidRPr="004D42AB">
          <w:rPr>
            <w:rFonts w:eastAsia="Times New Roman" w:cstheme="minorHAnsi"/>
            <w:u w:val="single"/>
            <w:bdr w:val="none" w:sz="0" w:space="0" w:color="auto" w:frame="1"/>
          </w:rPr>
          <w:t>http://astho.org/Programs/e-Health/Privacy/Materials/The-Impact-of-the-HIPAA-Privacy-Rule-on-Syndromic-Surveillance-(2004)</w:t>
        </w:r>
      </w:hyperlink>
      <w:r w:rsidRPr="004D42AB">
        <w:rPr>
          <w:rFonts w:eastAsia="Times New Roman" w:cstheme="minorHAnsi"/>
        </w:rPr>
        <w:t>. Accessed Dec. 31, 2012.</w:t>
      </w:r>
    </w:p>
    <w:p w14:paraId="15CACD7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CDC. "What is Syndromic surveillance?" </w:t>
      </w:r>
      <w:r w:rsidRPr="004D42AB">
        <w:rPr>
          <w:rFonts w:eastAsia="Times New Roman" w:cstheme="minorHAnsi"/>
          <w:i/>
          <w:iCs/>
          <w:bdr w:val="none" w:sz="0" w:space="0" w:color="auto" w:frame="1"/>
        </w:rPr>
        <w:t>MMWR</w:t>
      </w:r>
      <w:r w:rsidRPr="004D42AB">
        <w:rPr>
          <w:rFonts w:eastAsia="Times New Roman" w:cstheme="minorHAnsi"/>
        </w:rPr>
        <w:t>. 2004. 53:5-11. Available at </w:t>
      </w:r>
      <w:hyperlink r:id="rId100" w:history="1">
        <w:r w:rsidRPr="004D42AB">
          <w:rPr>
            <w:rFonts w:eastAsia="Times New Roman" w:cstheme="minorHAnsi"/>
            <w:u w:val="single"/>
            <w:bdr w:val="none" w:sz="0" w:space="0" w:color="auto" w:frame="1"/>
          </w:rPr>
          <w:t>http://www.cdc.gov/mmwr/preview/mmwrhtml/su5301a3.htm</w:t>
        </w:r>
      </w:hyperlink>
      <w:r w:rsidRPr="004D42AB">
        <w:rPr>
          <w:rFonts w:eastAsia="Times New Roman" w:cstheme="minorHAnsi"/>
        </w:rPr>
        <w:t>. Accessed Nov. 15, 2012.</w:t>
      </w:r>
    </w:p>
    <w:p w14:paraId="2039965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5C4A4DD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173 Neb. Admin. Code Ch.1 § 003(2002).</w:t>
      </w:r>
    </w:p>
    <w:p w14:paraId="29992C11"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N.C. Admin. Code title 15A, r. 19A.0102 (2002) and N.C. Admin. Code title 15A, r. 19A.0103 (2002).</w:t>
      </w:r>
    </w:p>
    <w:p w14:paraId="743C3E6C" w14:textId="77777777" w:rsidR="00F44300" w:rsidRPr="004D42AB" w:rsidRDefault="00F44300" w:rsidP="00F44300">
      <w:pPr>
        <w:numPr>
          <w:ilvl w:val="0"/>
          <w:numId w:val="33"/>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101"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4633A28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Health Information Technology for Economic and Clinical Health Act, also known as the HITECH Act, Pub. L. 111-5, 42 U.S.C. 300jj et seq.; 17901 et seq.</w:t>
      </w:r>
    </w:p>
    <w:p w14:paraId="45EFFC0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American Recovery and Reinvestment Tax Act of 2009, Pub. L. 111-5, 123 Stat. 306.</w:t>
      </w:r>
    </w:p>
    <w:p w14:paraId="22A4553D"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CDC. "Meaningful Use." Available at </w:t>
      </w:r>
      <w:hyperlink r:id="rId102" w:history="1">
        <w:r w:rsidRPr="004D42AB">
          <w:rPr>
            <w:rFonts w:eastAsia="Times New Roman" w:cstheme="minorHAnsi"/>
            <w:u w:val="single"/>
            <w:bdr w:val="none" w:sz="0" w:space="0" w:color="auto" w:frame="1"/>
          </w:rPr>
          <w:t>http://www.cdc.gov/ehrmeaningfuluse/</w:t>
        </w:r>
      </w:hyperlink>
      <w:r w:rsidRPr="004D42AB">
        <w:rPr>
          <w:rFonts w:eastAsia="Times New Roman" w:cstheme="minorHAnsi"/>
        </w:rPr>
        <w:t>. Accessed Nov. 15, 2012.</w:t>
      </w:r>
      <w:r w:rsidRPr="004D42AB">
        <w:rPr>
          <w:rFonts w:eastAsia="Times New Roman" w:cstheme="minorHAnsi"/>
          <w:i/>
          <w:iCs/>
          <w:bdr w:val="none" w:sz="0" w:space="0" w:color="auto" w:frame="1"/>
        </w:rPr>
        <w:t xml:space="preserve">See </w:t>
      </w:r>
      <w:proofErr w:type="gramStart"/>
      <w:r w:rsidRPr="004D42AB">
        <w:rPr>
          <w:rFonts w:eastAsia="Times New Roman" w:cstheme="minorHAnsi"/>
          <w:i/>
          <w:iCs/>
          <w:bdr w:val="none" w:sz="0" w:space="0" w:color="auto" w:frame="1"/>
        </w:rPr>
        <w:t>also</w:t>
      </w:r>
      <w:r w:rsidRPr="004D42AB">
        <w:rPr>
          <w:rFonts w:eastAsia="Times New Roman" w:cstheme="minorHAnsi"/>
        </w:rPr>
        <w:t>  The</w:t>
      </w:r>
      <w:proofErr w:type="gramEnd"/>
      <w:r w:rsidRPr="004D42AB">
        <w:rPr>
          <w:rFonts w:eastAsia="Times New Roman" w:cstheme="minorHAnsi"/>
        </w:rPr>
        <w:t xml:space="preserve"> Office of National Coordinator for Health Information Technology. "Meaningful Use." Available at </w:t>
      </w:r>
      <w:hyperlink r:id="rId103" w:history="1">
        <w:r w:rsidRPr="004D42AB">
          <w:rPr>
            <w:rFonts w:eastAsia="Times New Roman" w:cstheme="minorHAnsi"/>
            <w:u w:val="single"/>
            <w:bdr w:val="none" w:sz="0" w:space="0" w:color="auto" w:frame="1"/>
          </w:rPr>
          <w:t>http://www.healthit.gov/policy-researchers-implementers/meaningful-use</w:t>
        </w:r>
      </w:hyperlink>
      <w:r w:rsidRPr="004D42AB">
        <w:rPr>
          <w:rFonts w:eastAsia="Times New Roman" w:cstheme="minorHAnsi"/>
        </w:rPr>
        <w:t>. Accessed Dec. 31, 2012. </w:t>
      </w:r>
    </w:p>
    <w:p w14:paraId="1566BD9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Whalen v. Roe</w:t>
      </w:r>
      <w:r w:rsidRPr="004D42AB">
        <w:rPr>
          <w:rFonts w:eastAsia="Times New Roman" w:cstheme="minorHAnsi"/>
        </w:rPr>
        <w:t>, 429 U.S. 589 (1977). </w:t>
      </w:r>
      <w:r w:rsidRPr="004D42AB">
        <w:rPr>
          <w:rFonts w:eastAsia="Times New Roman" w:cstheme="minorHAnsi"/>
          <w:i/>
          <w:iCs/>
          <w:bdr w:val="none" w:sz="0" w:space="0" w:color="auto" w:frame="1"/>
        </w:rPr>
        <w:t>See also</w:t>
      </w:r>
      <w:r w:rsidRPr="004D42AB">
        <w:rPr>
          <w:rFonts w:eastAsia="Times New Roman" w:cstheme="minorHAnsi"/>
        </w:rPr>
        <w:t> </w:t>
      </w:r>
      <w:proofErr w:type="spellStart"/>
      <w:r w:rsidRPr="004D42AB">
        <w:rPr>
          <w:rFonts w:eastAsia="Times New Roman" w:cstheme="minorHAnsi"/>
        </w:rPr>
        <w:t>Gorkin</w:t>
      </w:r>
      <w:proofErr w:type="spellEnd"/>
      <w:r w:rsidRPr="004D42AB">
        <w:rPr>
          <w:rFonts w:eastAsia="Times New Roman" w:cstheme="minorHAnsi"/>
        </w:rPr>
        <w:t xml:space="preserve"> R. "The Constitutional Right to Information Privacy: NASA v. Nelson." 2012. Available at </w:t>
      </w:r>
      <w:hyperlink r:id="rId104" w:history="1">
        <w:r w:rsidRPr="004D42AB">
          <w:rPr>
            <w:rFonts w:eastAsia="Times New Roman" w:cstheme="minorHAnsi"/>
            <w:u w:val="single"/>
            <w:bdr w:val="none" w:sz="0" w:space="0" w:color="auto" w:frame="1"/>
          </w:rPr>
          <w:t>http://scholarship.law.duke.edu/cgi/viewcontent.cgi?article=1063&amp;context=djclpp_sidebar</w:t>
        </w:r>
      </w:hyperlink>
      <w:r w:rsidRPr="004D42AB">
        <w:rPr>
          <w:rFonts w:eastAsia="Times New Roman" w:cstheme="minorHAnsi"/>
        </w:rPr>
        <w:t>. Accessed Nov. 15, 2012.</w:t>
      </w:r>
    </w:p>
    <w:p w14:paraId="2183CE5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Planned Parenthood of Missouri v. Danforth,</w:t>
      </w:r>
      <w:r w:rsidRPr="004D42AB">
        <w:rPr>
          <w:rFonts w:eastAsia="Times New Roman" w:cstheme="minorHAnsi"/>
        </w:rPr>
        <w:t> 428 U.S. 52 (1976). </w:t>
      </w:r>
      <w:hyperlink r:id="rId105" w:tooltip="Available here" w:history="1">
        <w:r w:rsidRPr="004D42AB">
          <w:rPr>
            <w:rFonts w:eastAsia="Times New Roman" w:cstheme="minorHAnsi"/>
            <w:u w:val="single"/>
            <w:bdr w:val="none" w:sz="0" w:space="0" w:color="auto" w:frame="1"/>
          </w:rPr>
          <w:t>Available here</w:t>
        </w:r>
      </w:hyperlink>
      <w:r w:rsidRPr="004D42AB">
        <w:rPr>
          <w:rFonts w:eastAsia="Times New Roman" w:cstheme="minorHAnsi"/>
        </w:rPr>
        <w:t>. Accessed Nov. 15, 2012.</w:t>
      </w:r>
    </w:p>
    <w:p w14:paraId="589028A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2D73DC2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lastRenderedPageBreak/>
        <w:t>Whalen v. Roe,</w:t>
      </w:r>
      <w:r w:rsidRPr="004D42AB">
        <w:rPr>
          <w:rFonts w:eastAsia="Times New Roman" w:cstheme="minorHAnsi"/>
        </w:rPr>
        <w:t> 429 U.S. 589 (1977). Available at </w:t>
      </w:r>
      <w:hyperlink r:id="rId106" w:history="1">
        <w:r w:rsidRPr="004D42AB">
          <w:rPr>
            <w:rFonts w:eastAsia="Times New Roman" w:cstheme="minorHAnsi"/>
            <w:u w:val="single"/>
            <w:bdr w:val="none" w:sz="0" w:space="0" w:color="auto" w:frame="1"/>
          </w:rPr>
          <w:t>http://www.law.cornell.edu/supct/html/historics/USSC_CR_0429_0589_ZO.html</w:t>
        </w:r>
      </w:hyperlink>
      <w:r w:rsidRPr="004D42AB">
        <w:rPr>
          <w:rFonts w:eastAsia="Times New Roman" w:cstheme="minorHAnsi"/>
        </w:rPr>
        <w:t>. Accessed Nov. 15, 2012.</w:t>
      </w:r>
    </w:p>
    <w:p w14:paraId="50D22720"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2933D7BC"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44E80A5C"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O'Connor J. "Informational Privacy Protections: Do State Laws Offer Public Health Leaders the Flexibility They Need?" 2009. Available at </w:t>
      </w:r>
      <w:hyperlink r:id="rId107" w:history="1">
        <w:r w:rsidRPr="004D42AB">
          <w:rPr>
            <w:rFonts w:eastAsia="Times New Roman" w:cstheme="minorHAnsi"/>
            <w:u w:val="single"/>
            <w:bdr w:val="none" w:sz="0" w:space="0" w:color="auto" w:frame="1"/>
          </w:rPr>
          <w:t>http://www.sph.unc.edu/images/stories/academic_programs/hpaa/documents/oconnor.pdf</w:t>
        </w:r>
      </w:hyperlink>
      <w:r w:rsidRPr="004D42AB">
        <w:rPr>
          <w:rFonts w:eastAsia="Times New Roman" w:cstheme="minorHAnsi"/>
        </w:rPr>
        <w:t>. Accessed Nov. 15, 2012.</w:t>
      </w:r>
    </w:p>
    <w:p w14:paraId="14E234B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The Food Safety Research Consortium. "The Essential Role of State and Local Agencies in Food Safety and Food Safety Reform." Available at </w:t>
      </w:r>
      <w:hyperlink r:id="rId108" w:history="1">
        <w:r w:rsidRPr="004D42AB">
          <w:rPr>
            <w:rFonts w:eastAsia="Times New Roman" w:cstheme="minorHAnsi"/>
            <w:u w:val="single"/>
            <w:bdr w:val="none" w:sz="0" w:space="0" w:color="auto" w:frame="1"/>
          </w:rPr>
          <w:t>http://www.thefsrc.org/State_Local/StateLocal_June17_background.pdf</w:t>
        </w:r>
      </w:hyperlink>
      <w:r w:rsidRPr="004D42AB">
        <w:rPr>
          <w:rFonts w:eastAsia="Times New Roman" w:cstheme="minorHAnsi"/>
        </w:rPr>
        <w:t>. Accessed Nov. 15, 2012.</w:t>
      </w:r>
    </w:p>
    <w:p w14:paraId="450CA99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M.C.L. § 333.2241; M.C.L. § 333.2446.</w:t>
      </w:r>
    </w:p>
    <w:p w14:paraId="11D2FBA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 xml:space="preserve">Florida v. </w:t>
      </w:r>
      <w:proofErr w:type="spellStart"/>
      <w:r w:rsidRPr="004D42AB">
        <w:rPr>
          <w:rFonts w:eastAsia="Times New Roman" w:cstheme="minorHAnsi"/>
          <w:i/>
          <w:iCs/>
          <w:bdr w:val="none" w:sz="0" w:space="0" w:color="auto" w:frame="1"/>
        </w:rPr>
        <w:t>Jimeno</w:t>
      </w:r>
      <w:proofErr w:type="spellEnd"/>
      <w:r w:rsidRPr="004D42AB">
        <w:rPr>
          <w:rFonts w:eastAsia="Times New Roman" w:cstheme="minorHAnsi"/>
        </w:rPr>
        <w:t>, 500 U.S. 248 (1991). Available at </w:t>
      </w:r>
      <w:hyperlink r:id="rId109" w:history="1">
        <w:r w:rsidRPr="004D42AB">
          <w:rPr>
            <w:rFonts w:eastAsia="Times New Roman" w:cstheme="minorHAnsi"/>
            <w:u w:val="single"/>
            <w:bdr w:val="none" w:sz="0" w:space="0" w:color="auto" w:frame="1"/>
          </w:rPr>
          <w:t>http://www.law.cornell.edu/supct/html/90-622.ZS.html</w:t>
        </w:r>
      </w:hyperlink>
      <w:r w:rsidRPr="004D42AB">
        <w:rPr>
          <w:rFonts w:eastAsia="Times New Roman" w:cstheme="minorHAnsi"/>
        </w:rPr>
        <w:t>. Accessed Nov. 15, 2012.</w:t>
      </w:r>
    </w:p>
    <w:p w14:paraId="660CB11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Michigan Department of Attorney General and Michigan Department of Community Health. "Public Health Law Bench Book for Michigan Courts." October 2007, p 18. Available at </w:t>
      </w:r>
      <w:hyperlink r:id="rId110" w:history="1">
        <w:r w:rsidRPr="004D42AB">
          <w:rPr>
            <w:rFonts w:eastAsia="Times New Roman" w:cstheme="minorHAnsi"/>
            <w:u w:val="single"/>
            <w:bdr w:val="none" w:sz="0" w:space="0" w:color="auto" w:frame="1"/>
          </w:rPr>
          <w:t>http://www.michigan.gov/documents/ag/Michigan_Public_Health_Bench_Book_221936_7.pdf</w:t>
        </w:r>
      </w:hyperlink>
      <w:r w:rsidRPr="004D42AB">
        <w:rPr>
          <w:rFonts w:eastAsia="Times New Roman" w:cstheme="minorHAnsi"/>
        </w:rPr>
        <w:t>. Accessed Nov. 15, 2012.</w:t>
      </w:r>
    </w:p>
    <w:p w14:paraId="0FF2E2D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 p 19.</w:t>
      </w:r>
    </w:p>
    <w:p w14:paraId="73F585B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G Goodman R, Hoffman R, Lopez W, et al (eds). </w:t>
      </w:r>
      <w:r w:rsidRPr="004D42AB">
        <w:rPr>
          <w:rFonts w:eastAsia="Times New Roman" w:cstheme="minorHAnsi"/>
          <w:i/>
          <w:iCs/>
          <w:bdr w:val="none" w:sz="0" w:space="0" w:color="auto" w:frame="1"/>
        </w:rPr>
        <w:t>Law in Public Health Practice</w:t>
      </w:r>
      <w:r w:rsidRPr="004D42AB">
        <w:rPr>
          <w:rFonts w:eastAsia="Times New Roman" w:cstheme="minorHAnsi"/>
        </w:rPr>
        <w:t>, 2d Ed. New York: Oxford University Press, 2006, p 154. </w:t>
      </w:r>
      <w:r w:rsidRPr="004D42AB">
        <w:rPr>
          <w:rFonts w:eastAsia="Times New Roman" w:cstheme="minorHAnsi"/>
          <w:i/>
          <w:iCs/>
          <w:bdr w:val="none" w:sz="0" w:space="0" w:color="auto" w:frame="1"/>
        </w:rPr>
        <w:t>See also</w:t>
      </w:r>
      <w:r w:rsidRPr="004D42AB">
        <w:rPr>
          <w:rFonts w:eastAsia="Times New Roman" w:cstheme="minorHAnsi"/>
        </w:rPr>
        <w:t> chapter endnote 54; </w:t>
      </w:r>
      <w:proofErr w:type="spellStart"/>
      <w:r w:rsidRPr="004D42AB">
        <w:rPr>
          <w:rFonts w:eastAsia="Times New Roman" w:cstheme="minorHAnsi"/>
          <w:i/>
          <w:iCs/>
          <w:bdr w:val="none" w:sz="0" w:space="0" w:color="auto" w:frame="1"/>
        </w:rPr>
        <w:t>Camara</w:t>
      </w:r>
      <w:proofErr w:type="spellEnd"/>
      <w:r w:rsidRPr="004D42AB">
        <w:rPr>
          <w:rFonts w:eastAsia="Times New Roman" w:cstheme="minorHAnsi"/>
          <w:i/>
          <w:iCs/>
          <w:bdr w:val="none" w:sz="0" w:space="0" w:color="auto" w:frame="1"/>
        </w:rPr>
        <w:t xml:space="preserve"> v. Municipal Court</w:t>
      </w:r>
      <w:r w:rsidRPr="004D42AB">
        <w:rPr>
          <w:rFonts w:eastAsia="Times New Roman" w:cstheme="minorHAnsi"/>
        </w:rPr>
        <w:t>, 387 U.S. 523 (1967). Available at </w:t>
      </w:r>
      <w:hyperlink r:id="rId111" w:history="1">
        <w:r w:rsidRPr="004D42AB">
          <w:rPr>
            <w:rFonts w:eastAsia="Times New Roman" w:cstheme="minorHAnsi"/>
            <w:u w:val="single"/>
            <w:bdr w:val="none" w:sz="0" w:space="0" w:color="auto" w:frame="1"/>
          </w:rPr>
          <w:t>http://caselaw.lp.findlaw.com/cgi-bin/getcase.pl?court=us&amp;vol=387&amp;invol=523</w:t>
        </w:r>
      </w:hyperlink>
      <w:r w:rsidRPr="004D42AB">
        <w:rPr>
          <w:rFonts w:eastAsia="Times New Roman" w:cstheme="minorHAnsi"/>
        </w:rPr>
        <w:t>. </w:t>
      </w:r>
      <w:r w:rsidRPr="004D42AB">
        <w:rPr>
          <w:rFonts w:eastAsia="Times New Roman" w:cstheme="minorHAnsi"/>
          <w:i/>
          <w:iCs/>
          <w:bdr w:val="none" w:sz="0" w:space="0" w:color="auto" w:frame="1"/>
        </w:rPr>
        <w:t>See also</w:t>
      </w:r>
      <w:r w:rsidRPr="004D42AB">
        <w:rPr>
          <w:rFonts w:eastAsia="Times New Roman" w:cstheme="minorHAnsi"/>
        </w:rPr>
        <w:t> </w:t>
      </w:r>
      <w:r w:rsidRPr="004D42AB">
        <w:rPr>
          <w:rFonts w:eastAsia="Times New Roman" w:cstheme="minorHAnsi"/>
          <w:i/>
          <w:iCs/>
          <w:bdr w:val="none" w:sz="0" w:space="0" w:color="auto" w:frame="1"/>
        </w:rPr>
        <w:t>See v. City of Seattle</w:t>
      </w:r>
      <w:r w:rsidRPr="004D42AB">
        <w:rPr>
          <w:rFonts w:eastAsia="Times New Roman" w:cstheme="minorHAnsi"/>
        </w:rPr>
        <w:t>, 387 U.S. 541 (1967). Available at </w:t>
      </w:r>
      <w:hyperlink r:id="rId112" w:history="1">
        <w:r w:rsidRPr="004D42AB">
          <w:rPr>
            <w:rFonts w:eastAsia="Times New Roman" w:cstheme="minorHAnsi"/>
            <w:u w:val="single"/>
            <w:bdr w:val="none" w:sz="0" w:space="0" w:color="auto" w:frame="1"/>
          </w:rPr>
          <w:t>http://caselaw.lp.findlaw.com/cgi-bin/getcase.pl?court=us&amp;vol=387&amp;invol=541</w:t>
        </w:r>
      </w:hyperlink>
      <w:r w:rsidRPr="004D42AB">
        <w:rPr>
          <w:rFonts w:eastAsia="Times New Roman" w:cstheme="minorHAnsi"/>
        </w:rPr>
        <w:t>. Accessed Nov. 15, 2012.</w:t>
      </w:r>
    </w:p>
    <w:p w14:paraId="2D1759A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Ferguson v. City of Charleston,</w:t>
      </w:r>
      <w:r w:rsidRPr="004D42AB">
        <w:rPr>
          <w:rFonts w:eastAsia="Times New Roman" w:cstheme="minorHAnsi"/>
        </w:rPr>
        <w:t> 532 U.S. 67, 121 S. Ct. 1281, 149 L. Ed. 2d.205 (2001). Available at </w:t>
      </w:r>
      <w:hyperlink r:id="rId113" w:history="1">
        <w:r w:rsidRPr="004D42AB">
          <w:rPr>
            <w:rFonts w:eastAsia="Times New Roman" w:cstheme="minorHAnsi"/>
            <w:u w:val="single"/>
            <w:bdr w:val="none" w:sz="0" w:space="0" w:color="auto" w:frame="1"/>
          </w:rPr>
          <w:t>http://caselaw.lp.findlaw.com/scripts/getcase.pl?court=us&amp;vol=000&amp;invol=99-936</w:t>
        </w:r>
      </w:hyperlink>
      <w:r w:rsidRPr="004D42AB">
        <w:rPr>
          <w:rFonts w:eastAsia="Times New Roman" w:cstheme="minorHAnsi"/>
        </w:rPr>
        <w:t>. Accessed Nov. 15, 2012.</w:t>
      </w:r>
    </w:p>
    <w:p w14:paraId="73D740E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23E17A3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lastRenderedPageBreak/>
        <w:t>Interview of Denise Chrysler, J.D., who served as director of the Michigan Department of Community Health Office of Legal Affairs during this measles incident.</w:t>
      </w:r>
    </w:p>
    <w:p w14:paraId="1C1B697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O'Connor J. "Informational Privacy Protections: Do State Laws Offer Public Health Leaders the Flexibility They Need?" 2009. Available at </w:t>
      </w:r>
      <w:hyperlink r:id="rId114" w:history="1">
        <w:r w:rsidRPr="004D42AB">
          <w:rPr>
            <w:rFonts w:eastAsia="Times New Roman" w:cstheme="minorHAnsi"/>
            <w:u w:val="single"/>
            <w:bdr w:val="none" w:sz="0" w:space="0" w:color="auto" w:frame="1"/>
          </w:rPr>
          <w:t>http://www.sph.unc.edu/images/stories/academic_programs/hpaa/documents/oconnor.pdf</w:t>
        </w:r>
      </w:hyperlink>
      <w:r w:rsidRPr="004D42AB">
        <w:rPr>
          <w:rFonts w:eastAsia="Times New Roman" w:cstheme="minorHAnsi"/>
        </w:rPr>
        <w:t>. Accessed Nov. 15, 2012.</w:t>
      </w:r>
    </w:p>
    <w:p w14:paraId="62AA35B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36DAFFB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Oregon Statutes, ORS § 433.008. Available at </w:t>
      </w:r>
      <w:hyperlink r:id="rId115" w:history="1">
        <w:r w:rsidRPr="004D42AB">
          <w:rPr>
            <w:rFonts w:eastAsia="Times New Roman" w:cstheme="minorHAnsi"/>
            <w:u w:val="single"/>
            <w:bdr w:val="none" w:sz="0" w:space="0" w:color="auto" w:frame="1"/>
          </w:rPr>
          <w:t>http://www.oregonlaws.org/ors/433.008</w:t>
        </w:r>
      </w:hyperlink>
      <w:r w:rsidRPr="004D42AB">
        <w:rPr>
          <w:rFonts w:eastAsia="Times New Roman" w:cstheme="minorHAnsi"/>
        </w:rPr>
        <w:t>. Accessed Nov. 15, 2012.</w:t>
      </w:r>
    </w:p>
    <w:p w14:paraId="0A90508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Tarasoff v. Regents of University of California</w:t>
      </w:r>
      <w:r w:rsidRPr="004D42AB">
        <w:rPr>
          <w:rFonts w:eastAsia="Times New Roman" w:cstheme="minorHAnsi"/>
        </w:rPr>
        <w:t xml:space="preserve">, 17 Cal 3d 425, 131 Cal. </w:t>
      </w:r>
      <w:proofErr w:type="spellStart"/>
      <w:r w:rsidRPr="004D42AB">
        <w:rPr>
          <w:rFonts w:eastAsia="Times New Roman" w:cstheme="minorHAnsi"/>
        </w:rPr>
        <w:t>Rptr</w:t>
      </w:r>
      <w:proofErr w:type="spellEnd"/>
      <w:r w:rsidRPr="004D42AB">
        <w:rPr>
          <w:rFonts w:eastAsia="Times New Roman" w:cstheme="minorHAnsi"/>
        </w:rPr>
        <w:t>. 14, 551 P.2d 334 (1976). Available at </w:t>
      </w:r>
      <w:hyperlink r:id="rId116" w:history="1">
        <w:r w:rsidRPr="004D42AB">
          <w:rPr>
            <w:rFonts w:eastAsia="Times New Roman" w:cstheme="minorHAnsi"/>
            <w:u w:val="single"/>
            <w:bdr w:val="none" w:sz="0" w:space="0" w:color="auto" w:frame="1"/>
          </w:rPr>
          <w:t>http://www.stanford.edu/group/psylawseminar/Tarsoff%20I.htm</w:t>
        </w:r>
      </w:hyperlink>
      <w:r w:rsidRPr="004D42AB">
        <w:rPr>
          <w:rFonts w:eastAsia="Times New Roman" w:cstheme="minorHAnsi"/>
        </w:rPr>
        <w:t xml:space="preserve">. Accessed Nov. 15, 2012. For discussion of data disclosure and ethics, see Fairchild A, </w:t>
      </w:r>
      <w:proofErr w:type="gramStart"/>
      <w:r w:rsidRPr="004D42AB">
        <w:rPr>
          <w:rFonts w:eastAsia="Times New Roman" w:cstheme="minorHAnsi"/>
        </w:rPr>
        <w:t>et al..</w:t>
      </w:r>
      <w:proofErr w:type="gramEnd"/>
      <w:r w:rsidRPr="004D42AB">
        <w:rPr>
          <w:rFonts w:eastAsia="Times New Roman" w:cstheme="minorHAnsi"/>
        </w:rPr>
        <w:t xml:space="preserve"> "Public Goods, Private Data: HIV and the History, Ethics, and Uses of Identifiable Public Health Information." Available at: </w:t>
      </w:r>
      <w:hyperlink r:id="rId117" w:history="1">
        <w:r w:rsidRPr="004D42AB">
          <w:rPr>
            <w:rFonts w:eastAsia="Times New Roman" w:cstheme="minorHAnsi"/>
            <w:u w:val="single"/>
            <w:bdr w:val="none" w:sz="0" w:space="0" w:color="auto" w:frame="1"/>
          </w:rPr>
          <w:t>http://www.ncbi.nlm.nih.gov/pmc/articles/PMC1804110</w:t>
        </w:r>
      </w:hyperlink>
      <w:r w:rsidRPr="004D42AB">
        <w:rPr>
          <w:rFonts w:eastAsia="Times New Roman" w:cstheme="minorHAnsi"/>
        </w:rPr>
        <w:t>. Accessed Dec. 31, 2012.</w:t>
      </w:r>
    </w:p>
    <w:p w14:paraId="5D6EA82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CDC. "National Notifiable Diseases Surveillance System (NNDSS)." Available at </w:t>
      </w:r>
      <w:hyperlink r:id="rId118" w:history="1">
        <w:r w:rsidRPr="004D42AB">
          <w:rPr>
            <w:rFonts w:eastAsia="Times New Roman" w:cstheme="minorHAnsi"/>
            <w:u w:val="single"/>
            <w:bdr w:val="none" w:sz="0" w:space="0" w:color="auto" w:frame="1"/>
          </w:rPr>
          <w:t>http://wwwn.cdc.gov/nndss/</w:t>
        </w:r>
      </w:hyperlink>
      <w:r w:rsidRPr="004D42AB">
        <w:rPr>
          <w:rFonts w:eastAsia="Times New Roman" w:cstheme="minorHAnsi"/>
        </w:rPr>
        <w:t>. Accessed Nov. 15, 2012.</w:t>
      </w:r>
    </w:p>
    <w:p w14:paraId="7935E131"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Speaker v. Centers for Disease Control and Prevention,</w:t>
      </w:r>
      <w:r w:rsidRPr="004D42AB">
        <w:rPr>
          <w:rFonts w:eastAsia="Times New Roman" w:cstheme="minorHAnsi"/>
        </w:rPr>
        <w:t> 623 F.3d 1371, 1386 (11</w:t>
      </w:r>
      <w:r w:rsidRPr="004D42AB">
        <w:rPr>
          <w:rFonts w:eastAsia="Times New Roman" w:cstheme="minorHAnsi"/>
          <w:bdr w:val="none" w:sz="0" w:space="0" w:color="auto" w:frame="1"/>
          <w:vertAlign w:val="superscript"/>
        </w:rPr>
        <w:t>th</w:t>
      </w:r>
      <w:r w:rsidRPr="004D42AB">
        <w:rPr>
          <w:rFonts w:eastAsia="Times New Roman" w:cstheme="minorHAnsi"/>
        </w:rPr>
        <w:t xml:space="preserve"> Cir. 2010), Ct </w:t>
      </w:r>
      <w:proofErr w:type="spellStart"/>
      <w:r w:rsidRPr="004D42AB">
        <w:rPr>
          <w:rFonts w:eastAsia="Times New Roman" w:cstheme="minorHAnsi"/>
        </w:rPr>
        <w:t>Apls</w:t>
      </w:r>
      <w:proofErr w:type="spellEnd"/>
      <w:r w:rsidRPr="004D42AB">
        <w:rPr>
          <w:rFonts w:eastAsia="Times New Roman" w:cstheme="minorHAnsi"/>
        </w:rPr>
        <w:t xml:space="preserve"> No 12-11967 09-14-2012. Available at </w:t>
      </w:r>
      <w:hyperlink r:id="rId119" w:history="1">
        <w:r w:rsidRPr="004D42AB">
          <w:rPr>
            <w:rFonts w:eastAsia="Times New Roman" w:cstheme="minorHAnsi"/>
            <w:u w:val="single"/>
            <w:bdr w:val="none" w:sz="0" w:space="0" w:color="auto" w:frame="1"/>
          </w:rPr>
          <w:t>http://law.justia.com/cases/federal/appellate-courts/ca11/12-11967/12-11967-2012-09-14.html</w:t>
        </w:r>
      </w:hyperlink>
      <w:r w:rsidRPr="004D42AB">
        <w:rPr>
          <w:rFonts w:eastAsia="Times New Roman" w:cstheme="minorHAnsi"/>
        </w:rPr>
        <w:t> and </w:t>
      </w:r>
      <w:hyperlink r:id="rId120" w:history="1">
        <w:r w:rsidRPr="004D42AB">
          <w:rPr>
            <w:rFonts w:eastAsia="Times New Roman" w:cstheme="minorHAnsi"/>
            <w:u w:val="single"/>
            <w:bdr w:val="none" w:sz="0" w:space="0" w:color="auto" w:frame="1"/>
          </w:rPr>
          <w:t>http://www.networkforphl.org/_asset/xdm731/TB-Control---Speaker-District-Ct--Decision.pdf</w:t>
        </w:r>
      </w:hyperlink>
      <w:r w:rsidRPr="004D42AB">
        <w:rPr>
          <w:rFonts w:eastAsia="Times New Roman" w:cstheme="minorHAnsi"/>
        </w:rPr>
        <w:t>. Accessed Nov. 15, 2012.</w:t>
      </w:r>
    </w:p>
    <w:p w14:paraId="230D0CC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Guidance on the release of information concerning deaths, epidemics or emerging diseases. Available at </w:t>
      </w:r>
      <w:hyperlink r:id="rId121" w:history="1">
        <w:r w:rsidRPr="004D42AB">
          <w:rPr>
            <w:rFonts w:eastAsia="Times New Roman" w:cstheme="minorHAnsi"/>
            <w:u w:val="single"/>
            <w:bdr w:val="none" w:sz="0" w:space="0" w:color="auto" w:frame="1"/>
          </w:rPr>
          <w:t>http://healthjournalism.org/secondarypage-details.php?id=965</w:t>
        </w:r>
      </w:hyperlink>
      <w:r w:rsidRPr="004D42AB">
        <w:rPr>
          <w:rFonts w:eastAsia="Times New Roman" w:cstheme="minorHAnsi"/>
        </w:rPr>
        <w:t>. Accessed Nov. 30, 2012.</w:t>
      </w:r>
    </w:p>
    <w:p w14:paraId="46AF675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California Constitution, Article 1, §3(b): North Dakota Constitution, Article XI, Section 6.</w:t>
      </w:r>
    </w:p>
    <w:p w14:paraId="521C278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5 I.L.C.S. § 140.3(c); (Illinois - a public body may not require the requester to specify the purpose for a request, except to determine whether the records are requested for a commercial purpose or whether to grant a request for a fee waiver). Idaho Code § 9-338(4</w:t>
      </w:r>
      <w:proofErr w:type="gramStart"/>
      <w:r w:rsidRPr="004D42AB">
        <w:rPr>
          <w:rFonts w:eastAsia="Times New Roman" w:cstheme="minorHAnsi"/>
        </w:rPr>
        <w:t>);  (</w:t>
      </w:r>
      <w:proofErr w:type="gramEnd"/>
      <w:r w:rsidRPr="004D42AB">
        <w:rPr>
          <w:rFonts w:eastAsia="Times New Roman" w:cstheme="minorHAnsi"/>
        </w:rPr>
        <w:t>the statute prohibits public agencies from inquiring as to why a person wants a public record). G.S. § 132-6(b); (North Carolina - the requester's purpose is irrelevant, and public officials are prohibited from inquiring about it).</w:t>
      </w:r>
    </w:p>
    <w:p w14:paraId="1D26603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Hempel v. City of Baraboo</w:t>
      </w:r>
      <w:r w:rsidRPr="004D42AB">
        <w:rPr>
          <w:rFonts w:eastAsia="Times New Roman" w:cstheme="minorHAnsi"/>
        </w:rPr>
        <w:t>, 284 Wis. 2d 162, 699 N.W.2d 551, 568 (2005); </w:t>
      </w:r>
      <w:r w:rsidRPr="004D42AB">
        <w:rPr>
          <w:rFonts w:eastAsia="Times New Roman" w:cstheme="minorHAnsi"/>
          <w:i/>
          <w:iCs/>
          <w:bdr w:val="none" w:sz="0" w:space="0" w:color="auto" w:frame="1"/>
        </w:rPr>
        <w:t>Gray v. Salem-Keizer School District</w:t>
      </w:r>
      <w:r w:rsidRPr="004D42AB">
        <w:rPr>
          <w:rFonts w:eastAsia="Times New Roman" w:cstheme="minorHAnsi"/>
        </w:rPr>
        <w:t>, 139 Ore. App. 556, 912 P.2d 938 (1996).</w:t>
      </w:r>
    </w:p>
    <w:p w14:paraId="6445A120"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lastRenderedPageBreak/>
        <w:t>Family Educational Rights and Privacy Act (FERPA), 20 U.S.C. § 1232g.</w:t>
      </w:r>
    </w:p>
    <w:p w14:paraId="5E433A9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42 C.F.R. Part 2.</w:t>
      </w:r>
    </w:p>
    <w:p w14:paraId="542B9742"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38 U.S.C. § 5701, implemented by 38 C.F.R. §§ 1.500-1.527.</w:t>
      </w:r>
    </w:p>
    <w:p w14:paraId="2756A81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Parts 160 and 164.</w:t>
      </w:r>
    </w:p>
    <w:p w14:paraId="427BC13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Pub. L. 104-191, 42 U.S.C. § 300gg </w:t>
      </w:r>
      <w:r w:rsidRPr="004D42AB">
        <w:rPr>
          <w:rFonts w:eastAsia="Times New Roman" w:cstheme="minorHAnsi"/>
          <w:i/>
          <w:iCs/>
          <w:bdr w:val="none" w:sz="0" w:space="0" w:color="auto" w:frame="1"/>
        </w:rPr>
        <w:t>et seq</w:t>
      </w:r>
      <w:r w:rsidRPr="004D42AB">
        <w:rPr>
          <w:rFonts w:eastAsia="Times New Roman" w:cstheme="minorHAnsi"/>
        </w:rPr>
        <w:t>.</w:t>
      </w:r>
    </w:p>
    <w:p w14:paraId="20B037A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164.512(a)</w:t>
      </w:r>
    </w:p>
    <w:p w14:paraId="2354690C"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Cincinnati Enquirer v. Daniels</w:t>
      </w:r>
      <w:r w:rsidRPr="004D42AB">
        <w:rPr>
          <w:rFonts w:eastAsia="Times New Roman" w:cstheme="minorHAnsi"/>
        </w:rPr>
        <w:t>, 108 Ohio St.3d 518; 844 N.E.2d 1181 (Ohio 2006). Available at </w:t>
      </w:r>
      <w:hyperlink r:id="rId122" w:history="1">
        <w:r w:rsidRPr="004D42AB">
          <w:rPr>
            <w:rFonts w:eastAsia="Times New Roman" w:cstheme="minorHAnsi"/>
            <w:u w:val="single"/>
            <w:bdr w:val="none" w:sz="0" w:space="0" w:color="auto" w:frame="1"/>
          </w:rPr>
          <w:t>http://www.sconet.state.oh.us/rod/docs/pdf/0/2006/2006-ohio-1215.pdf</w:t>
        </w:r>
      </w:hyperlink>
      <w:r w:rsidRPr="004D42AB">
        <w:rPr>
          <w:rFonts w:eastAsia="Times New Roman" w:cstheme="minorHAnsi"/>
        </w:rPr>
        <w:t>. Accessed Nov. 30, 2012.</w:t>
      </w:r>
    </w:p>
    <w:p w14:paraId="784EC799" w14:textId="77777777" w:rsidR="00F44300" w:rsidRPr="004D42AB" w:rsidRDefault="00F44300" w:rsidP="00F44300">
      <w:pPr>
        <w:numPr>
          <w:ilvl w:val="0"/>
          <w:numId w:val="33"/>
        </w:numPr>
        <w:spacing w:line="360" w:lineRule="auto"/>
        <w:ind w:left="450"/>
        <w:textAlignment w:val="baseline"/>
        <w:rPr>
          <w:rFonts w:eastAsia="Times New Roman" w:cstheme="minorHAnsi"/>
        </w:rPr>
      </w:pPr>
      <w:proofErr w:type="spellStart"/>
      <w:r w:rsidRPr="004D42AB">
        <w:rPr>
          <w:rFonts w:eastAsia="Times New Roman" w:cstheme="minorHAnsi"/>
          <w:i/>
          <w:iCs/>
          <w:bdr w:val="none" w:sz="0" w:space="0" w:color="auto" w:frame="1"/>
        </w:rPr>
        <w:t>Fadjo</w:t>
      </w:r>
      <w:proofErr w:type="spellEnd"/>
      <w:r w:rsidRPr="004D42AB">
        <w:rPr>
          <w:rFonts w:eastAsia="Times New Roman" w:cstheme="minorHAnsi"/>
          <w:i/>
          <w:iCs/>
          <w:bdr w:val="none" w:sz="0" w:space="0" w:color="auto" w:frame="1"/>
        </w:rPr>
        <w:t xml:space="preserve"> v. Coon,</w:t>
      </w:r>
      <w:r w:rsidRPr="004D42AB">
        <w:rPr>
          <w:rFonts w:eastAsia="Times New Roman" w:cstheme="minorHAnsi"/>
        </w:rPr>
        <w:t> 633 F.2d 1172, 1175 n.3 (5</w:t>
      </w:r>
      <w:r w:rsidRPr="004D42AB">
        <w:rPr>
          <w:rFonts w:eastAsia="Times New Roman" w:cstheme="minorHAnsi"/>
          <w:bdr w:val="none" w:sz="0" w:space="0" w:color="auto" w:frame="1"/>
          <w:vertAlign w:val="superscript"/>
        </w:rPr>
        <w:t>th</w:t>
      </w:r>
      <w:r w:rsidRPr="004D42AB">
        <w:rPr>
          <w:rFonts w:eastAsia="Times New Roman" w:cstheme="minorHAnsi"/>
        </w:rPr>
        <w:t> Cir. 1981). (Legislature cannot authorize by state an unconstitutional invasion of privacy). </w:t>
      </w:r>
      <w:r w:rsidRPr="004D42AB">
        <w:rPr>
          <w:rFonts w:eastAsia="Times New Roman" w:cstheme="minorHAnsi"/>
          <w:i/>
          <w:iCs/>
          <w:bdr w:val="none" w:sz="0" w:space="0" w:color="auto" w:frame="1"/>
        </w:rPr>
        <w:t>See also</w:t>
      </w:r>
      <w:r w:rsidRPr="004D42AB">
        <w:rPr>
          <w:rFonts w:eastAsia="Times New Roman" w:cstheme="minorHAnsi"/>
        </w:rPr>
        <w:t> Reporters Committee for Freedom of the Press. Available at </w:t>
      </w:r>
      <w:hyperlink r:id="rId123" w:history="1">
        <w:r w:rsidRPr="004D42AB">
          <w:rPr>
            <w:rFonts w:eastAsia="Times New Roman" w:cstheme="minorHAnsi"/>
            <w:u w:val="single"/>
            <w:bdr w:val="none" w:sz="0" w:space="0" w:color="auto" w:frame="1"/>
          </w:rPr>
          <w:t>http://www.rcfp.org/open-government-guide</w:t>
        </w:r>
      </w:hyperlink>
      <w:r w:rsidRPr="004D42AB">
        <w:rPr>
          <w:rFonts w:eastAsia="Times New Roman" w:cstheme="minorHAnsi"/>
        </w:rPr>
        <w:t>. Accessed Nov. 15, 2012.</w:t>
      </w:r>
    </w:p>
    <w:p w14:paraId="014C3B69"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Cal. Const. Art 1, § 3(b)(3).</w:t>
      </w:r>
    </w:p>
    <w:p w14:paraId="648FE450"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Lamy v. N.H. Public Utilities Commission</w:t>
      </w:r>
      <w:r w:rsidRPr="004D42AB">
        <w:rPr>
          <w:rFonts w:eastAsia="Times New Roman" w:cstheme="minorHAnsi"/>
        </w:rPr>
        <w:t>, 152 N.H. 106 (2005) (court uses a three-step analysis to determine whether disclosure of public record constitutes an invasion of privacy). Available at </w:t>
      </w:r>
      <w:hyperlink r:id="rId124" w:history="1">
        <w:r w:rsidRPr="004D42AB">
          <w:rPr>
            <w:rFonts w:eastAsia="Times New Roman" w:cstheme="minorHAnsi"/>
            <w:u w:val="single"/>
            <w:bdr w:val="none" w:sz="0" w:space="0" w:color="auto" w:frame="1"/>
          </w:rPr>
          <w:t>http://caselaw.findlaw.com/nh-supreme-court/1073489.html</w:t>
        </w:r>
      </w:hyperlink>
      <w:r w:rsidRPr="004D42AB">
        <w:rPr>
          <w:rFonts w:eastAsia="Times New Roman" w:cstheme="minorHAnsi"/>
        </w:rPr>
        <w:t>. Accessed Nov. 15, 2012.</w:t>
      </w:r>
    </w:p>
    <w:p w14:paraId="7F36C19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Minnesota Statutes § 13.05 (2012). Available at </w:t>
      </w:r>
      <w:hyperlink r:id="rId125" w:history="1">
        <w:r w:rsidRPr="004D42AB">
          <w:rPr>
            <w:rFonts w:eastAsia="Times New Roman" w:cstheme="minorHAnsi"/>
            <w:u w:val="single"/>
            <w:bdr w:val="none" w:sz="0" w:space="0" w:color="auto" w:frame="1"/>
          </w:rPr>
          <w:t>https://www.revisor.mn.gov/statutes/?id=13.05</w:t>
        </w:r>
      </w:hyperlink>
      <w:r w:rsidRPr="004D42AB">
        <w:rPr>
          <w:rFonts w:eastAsia="Times New Roman" w:cstheme="minorHAnsi"/>
        </w:rPr>
        <w:t>. Accessed Nov. 15, 2012.</w:t>
      </w:r>
    </w:p>
    <w:p w14:paraId="72AE35D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M.C.L. § 15.243(1)(a). Available at </w:t>
      </w:r>
      <w:hyperlink r:id="rId126" w:history="1">
        <w:r w:rsidRPr="004D42AB">
          <w:rPr>
            <w:rFonts w:eastAsia="Times New Roman" w:cstheme="minorHAnsi"/>
            <w:u w:val="single"/>
            <w:bdr w:val="none" w:sz="0" w:space="0" w:color="auto" w:frame="1"/>
          </w:rPr>
          <w:t>http://www.legislature.mi.gov/(S(k54g34i2kgkkyxr1ia5vreet))/mileg.aspx?page=getObject&amp;objectname=mcl-15-243</w:t>
        </w:r>
      </w:hyperlink>
      <w:r w:rsidRPr="004D42AB">
        <w:rPr>
          <w:rFonts w:eastAsia="Times New Roman" w:cstheme="minorHAnsi"/>
        </w:rPr>
        <w:t>. Accessed Nov. 15, 2012.</w:t>
      </w:r>
    </w:p>
    <w:p w14:paraId="2055687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Cal. Gov't. Code § 6254(c).</w:t>
      </w:r>
    </w:p>
    <w:p w14:paraId="079600A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1 V.S.A. § 317(b).</w:t>
      </w:r>
    </w:p>
    <w:p w14:paraId="20A351C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Hempel v. City of Baraboo, 284 Wis. 2d 162, 699 N.W.2d 551, 568 (2005); Gray v. Salem-Keizer School District, 139 Ore. App. 556, 912 P.2d 938 (1996); Baker, P.C. v. City of Westland, 245 Mich. App. 90 (2001).</w:t>
      </w:r>
    </w:p>
    <w:p w14:paraId="3484C34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5 I.L.C.S. § 140/7, 5 I.L.C.S. § 140/2.</w:t>
      </w:r>
    </w:p>
    <w:p w14:paraId="6443D33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FCC v. AT&amp;T</w:t>
      </w:r>
      <w:r w:rsidRPr="004D42AB">
        <w:rPr>
          <w:rFonts w:eastAsia="Times New Roman" w:cstheme="minorHAnsi"/>
        </w:rPr>
        <w:t>, 562 U.S. ___ (2011), Mar1, 2011. Available at </w:t>
      </w:r>
      <w:hyperlink r:id="rId127" w:history="1">
        <w:r w:rsidRPr="004D42AB">
          <w:rPr>
            <w:rFonts w:eastAsia="Times New Roman" w:cstheme="minorHAnsi"/>
            <w:u w:val="single"/>
            <w:bdr w:val="none" w:sz="0" w:space="0" w:color="auto" w:frame="1"/>
          </w:rPr>
          <w:t>http://www.supremecourt.gov/opinions/10pdf/09-1279.pdf</w:t>
        </w:r>
      </w:hyperlink>
      <w:r w:rsidRPr="004D42AB">
        <w:rPr>
          <w:rFonts w:eastAsia="Times New Roman" w:cstheme="minorHAnsi"/>
        </w:rPr>
        <w:t>. Accessed Nov. 15, 2012.</w:t>
      </w:r>
    </w:p>
    <w:p w14:paraId="190B5BDF"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Swickard v. Wayne Medical Examiner</w:t>
      </w:r>
      <w:r w:rsidRPr="004D42AB">
        <w:rPr>
          <w:rFonts w:eastAsia="Times New Roman" w:cstheme="minorHAnsi"/>
        </w:rPr>
        <w:t>, 438 Mich. 536; 475 N.W.2d 304 (1991). But see, </w:t>
      </w:r>
      <w:r w:rsidRPr="004D42AB">
        <w:rPr>
          <w:rFonts w:eastAsia="Times New Roman" w:cstheme="minorHAnsi"/>
          <w:i/>
          <w:iCs/>
          <w:bdr w:val="none" w:sz="0" w:space="0" w:color="auto" w:frame="1"/>
        </w:rPr>
        <w:t>Baker, P.C. v. City of Westland</w:t>
      </w:r>
      <w:r w:rsidRPr="004D42AB">
        <w:rPr>
          <w:rFonts w:eastAsia="Times New Roman" w:cstheme="minorHAnsi"/>
        </w:rPr>
        <w:t xml:space="preserve">, 245 Mich. App. 90 (2001), wherein the court held that the FOIA's privacy </w:t>
      </w:r>
      <w:r w:rsidRPr="004D42AB">
        <w:rPr>
          <w:rFonts w:eastAsia="Times New Roman" w:cstheme="minorHAnsi"/>
        </w:rPr>
        <w:lastRenderedPageBreak/>
        <w:t>exemption may be applied to deceased private citizens and their families where there is no public interest in disclosure.</w:t>
      </w:r>
    </w:p>
    <w:p w14:paraId="63D040E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Trent v. Coroner of Peoria County</w:t>
      </w:r>
      <w:r w:rsidRPr="004D42AB">
        <w:rPr>
          <w:rFonts w:eastAsia="Times New Roman" w:cstheme="minorHAnsi"/>
        </w:rPr>
        <w:t>, 349 Ill App 3d 276, 812 NE2d 21 (2004).</w:t>
      </w:r>
    </w:p>
    <w:p w14:paraId="4756649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S</w:t>
      </w:r>
      <w:r w:rsidRPr="004D42AB">
        <w:rPr>
          <w:rFonts w:eastAsia="Times New Roman" w:cstheme="minorHAnsi"/>
          <w:i/>
          <w:iCs/>
          <w:bdr w:val="none" w:sz="0" w:space="0" w:color="auto" w:frame="1"/>
        </w:rPr>
        <w:t>outhern Illinoisan v. Illinois Dept. Pub. Health</w:t>
      </w:r>
      <w:r w:rsidRPr="004D42AB">
        <w:rPr>
          <w:rFonts w:eastAsia="Times New Roman" w:cstheme="minorHAnsi"/>
        </w:rPr>
        <w:t>, 218 Ill. 2d 390; 844 N.E. 2d 1 (2006).  </w:t>
      </w:r>
      <w:hyperlink r:id="rId128" w:tooltip="Available here" w:history="1">
        <w:r w:rsidRPr="004D42AB">
          <w:rPr>
            <w:rFonts w:eastAsia="Times New Roman" w:cstheme="minorHAnsi"/>
            <w:u w:val="single"/>
            <w:bdr w:val="none" w:sz="0" w:space="0" w:color="auto" w:frame="1"/>
          </w:rPr>
          <w:t>Available here</w:t>
        </w:r>
      </w:hyperlink>
      <w:r w:rsidRPr="004D42AB">
        <w:rPr>
          <w:rFonts w:eastAsia="Times New Roman" w:cstheme="minorHAnsi"/>
        </w:rPr>
        <w:t>. Accessed Nov. 15, 2012.</w:t>
      </w:r>
    </w:p>
    <w:p w14:paraId="585DAEB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Ariz. Rev. Stat. § 12-2294 (Medical Records).</w:t>
      </w:r>
    </w:p>
    <w:p w14:paraId="1D03EB8F"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M.C.L. § 15.243(1)(l).</w:t>
      </w:r>
    </w:p>
    <w:p w14:paraId="3A70A152"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M.G.L. § c.4 s. 7 cl. 26.</w:t>
      </w:r>
    </w:p>
    <w:p w14:paraId="0DE98E80"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W. Va. Code § 29B-1-4(2). </w:t>
      </w:r>
      <w:proofErr w:type="spellStart"/>
      <w:r w:rsidRPr="004D42AB">
        <w:rPr>
          <w:rFonts w:eastAsia="Times New Roman" w:cstheme="minorHAnsi"/>
          <w:i/>
          <w:iCs/>
          <w:bdr w:val="none" w:sz="0" w:space="0" w:color="auto" w:frame="1"/>
        </w:rPr>
        <w:t>Hechler</w:t>
      </w:r>
      <w:proofErr w:type="spellEnd"/>
      <w:r w:rsidRPr="004D42AB">
        <w:rPr>
          <w:rFonts w:eastAsia="Times New Roman" w:cstheme="minorHAnsi"/>
          <w:i/>
          <w:iCs/>
          <w:bdr w:val="none" w:sz="0" w:space="0" w:color="auto" w:frame="1"/>
        </w:rPr>
        <w:t xml:space="preserve"> v. Casey</w:t>
      </w:r>
      <w:r w:rsidRPr="004D42AB">
        <w:rPr>
          <w:rFonts w:eastAsia="Times New Roman" w:cstheme="minorHAnsi"/>
        </w:rPr>
        <w:t>, 175 W. Va. 434, 333 S.E.2d 799 (1985). See also </w:t>
      </w:r>
      <w:r w:rsidRPr="004D42AB">
        <w:rPr>
          <w:rFonts w:eastAsia="Times New Roman" w:cstheme="minorHAnsi"/>
          <w:i/>
          <w:iCs/>
          <w:bdr w:val="none" w:sz="0" w:space="0" w:color="auto" w:frame="1"/>
        </w:rPr>
        <w:t>Robinson v. Merritt</w:t>
      </w:r>
      <w:r w:rsidRPr="004D42AB">
        <w:rPr>
          <w:rFonts w:eastAsia="Times New Roman" w:cstheme="minorHAnsi"/>
        </w:rPr>
        <w:t>, 180 W. Va. 26, 375 S.E.2d 204 (1988).</w:t>
      </w:r>
    </w:p>
    <w:p w14:paraId="540C717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51 O.S. §§ 24A.8.A.4.</w:t>
      </w:r>
    </w:p>
    <w:p w14:paraId="7C696EBD"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Wyo. Stat. § 16-4-203(d)(x).</w:t>
      </w:r>
    </w:p>
    <w:p w14:paraId="73CA55AC"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S.D.C.L. § 1-27-1.5(5).</w:t>
      </w:r>
    </w:p>
    <w:p w14:paraId="3445A1F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 xml:space="preserve">A.R.S. § 36-2220(A); (With some exceptions, information, records, and data related to the administration or evaluation of the Arizona emergency medical services system or trauma system are open to the public). OIP Op. </w:t>
      </w:r>
      <w:proofErr w:type="spellStart"/>
      <w:r w:rsidRPr="004D42AB">
        <w:rPr>
          <w:rFonts w:eastAsia="Times New Roman" w:cstheme="minorHAnsi"/>
        </w:rPr>
        <w:t>Ltr</w:t>
      </w:r>
      <w:proofErr w:type="spellEnd"/>
      <w:r w:rsidRPr="004D42AB">
        <w:rPr>
          <w:rFonts w:eastAsia="Times New Roman" w:cstheme="minorHAnsi"/>
        </w:rPr>
        <w:t>. N. 9-33 (Dec. 31, 1991); (Hawaii - An ambulance report about a deceased individual must be made available for public inspection).  1 M.R.S.A. § 402(3)(H); (Maine - Medical records and reports of municipal ambulance, rescue, and other emergency units are not available). Wis. Stat. § 256.15(12)(b); (Public ambulance transport records are public, including the name of the person transported, date of call, dispatch times and destination, but no information disclosed "may contain details of the medical history, condition or emergency treatment of any patient").</w:t>
      </w:r>
    </w:p>
    <w:p w14:paraId="6E64668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Idaho Code §§ 9-340</w:t>
      </w:r>
      <w:proofErr w:type="gramStart"/>
      <w:r w:rsidRPr="004D42AB">
        <w:rPr>
          <w:rFonts w:eastAsia="Times New Roman" w:cstheme="minorHAnsi"/>
        </w:rPr>
        <w:t>D(</w:t>
      </w:r>
      <w:proofErr w:type="gramEnd"/>
      <w:r w:rsidRPr="004D42AB">
        <w:rPr>
          <w:rFonts w:eastAsia="Times New Roman" w:cstheme="minorHAnsi"/>
        </w:rPr>
        <w:t>1)-(3), (5), (6), (8): R.I. Gen. Laws § 38-2-2(4)(</w:t>
      </w:r>
      <w:proofErr w:type="spellStart"/>
      <w:r w:rsidRPr="004D42AB">
        <w:rPr>
          <w:rFonts w:eastAsia="Times New Roman" w:cstheme="minorHAnsi"/>
        </w:rPr>
        <w:t>i</w:t>
      </w:r>
      <w:proofErr w:type="spellEnd"/>
      <w:r w:rsidRPr="004D42AB">
        <w:rPr>
          <w:rFonts w:eastAsia="Times New Roman" w:cstheme="minorHAnsi"/>
        </w:rPr>
        <w:t>)(B): S.D.C.L. §§ 1-27-1.5(3): and 1-27-1.6.</w:t>
      </w:r>
    </w:p>
    <w:p w14:paraId="1CBD963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5 I.L.C.S. 140/7(1)(g).</w:t>
      </w:r>
    </w:p>
    <w:p w14:paraId="30399CA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Utah Code Ann. § 63G-2-305(2). Wyo. Stat § 16-4-203(d)(v) </w:t>
      </w:r>
      <w:r w:rsidRPr="004D42AB">
        <w:rPr>
          <w:rFonts w:eastAsia="Times New Roman" w:cstheme="minorHAnsi"/>
          <w:i/>
          <w:iCs/>
          <w:bdr w:val="none" w:sz="0" w:space="0" w:color="auto" w:frame="1"/>
        </w:rPr>
        <w:t xml:space="preserve">and see Sublette County Rural </w:t>
      </w:r>
      <w:proofErr w:type="gramStart"/>
      <w:r w:rsidRPr="004D42AB">
        <w:rPr>
          <w:rFonts w:eastAsia="Times New Roman" w:cstheme="minorHAnsi"/>
          <w:i/>
          <w:iCs/>
          <w:bdr w:val="none" w:sz="0" w:space="0" w:color="auto" w:frame="1"/>
        </w:rPr>
        <w:t>Health  Care</w:t>
      </w:r>
      <w:proofErr w:type="gramEnd"/>
      <w:r w:rsidRPr="004D42AB">
        <w:rPr>
          <w:rFonts w:eastAsia="Times New Roman" w:cstheme="minorHAnsi"/>
          <w:i/>
          <w:iCs/>
          <w:bdr w:val="none" w:sz="0" w:space="0" w:color="auto" w:frame="1"/>
        </w:rPr>
        <w:t xml:space="preserve"> District v. Miley</w:t>
      </w:r>
      <w:r w:rsidRPr="004D42AB">
        <w:rPr>
          <w:rFonts w:eastAsia="Times New Roman" w:cstheme="minorHAnsi"/>
        </w:rPr>
        <w:t>, 942 P.2d 1101 (Wyo. 1997).</w:t>
      </w:r>
    </w:p>
    <w:p w14:paraId="2D3C254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 xml:space="preserve">M.G.L. c. 4, § </w:t>
      </w:r>
      <w:proofErr w:type="gramStart"/>
      <w:r w:rsidRPr="004D42AB">
        <w:rPr>
          <w:rFonts w:eastAsia="Times New Roman" w:cstheme="minorHAnsi"/>
        </w:rPr>
        <w:t>7,cl.</w:t>
      </w:r>
      <w:proofErr w:type="gramEnd"/>
      <w:r w:rsidRPr="004D42AB">
        <w:rPr>
          <w:rFonts w:eastAsia="Times New Roman" w:cstheme="minorHAnsi"/>
        </w:rPr>
        <w:t xml:space="preserve"> 26(g). M.C.L.A. § 15.243(1)(f).</w:t>
      </w:r>
    </w:p>
    <w:p w14:paraId="776F413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 xml:space="preserve">Op. </w:t>
      </w:r>
      <w:proofErr w:type="spellStart"/>
      <w:r w:rsidRPr="004D42AB">
        <w:rPr>
          <w:rFonts w:eastAsia="Times New Roman" w:cstheme="minorHAnsi"/>
        </w:rPr>
        <w:t>Att'y</w:t>
      </w:r>
      <w:proofErr w:type="spellEnd"/>
      <w:r w:rsidRPr="004D42AB">
        <w:rPr>
          <w:rFonts w:eastAsia="Times New Roman" w:cstheme="minorHAnsi"/>
        </w:rPr>
        <w:t xml:space="preserve">. Gen. Ala. No. 2007-015, 2006 Ala. AG (Dec. 4, 2006); (Alabama - records of the county coroner's autopsies are public records subject to disclosure under the Public Records Law, unless there is a pending criminal investigation). AS 40.25; (Alaska - the medical examiner's investigative report is privileged and confidential, and not subject to disclosure). C.R.S. 24-72-204(3)(a)(I); </w:t>
      </w:r>
      <w:r w:rsidRPr="004D42AB">
        <w:rPr>
          <w:rFonts w:eastAsia="Times New Roman" w:cstheme="minorHAnsi"/>
        </w:rPr>
        <w:lastRenderedPageBreak/>
        <w:t>(Colorado - Coroners' autopsy reports are specifically excluded from the general medical records exemption). Conn. Gen. Stat. §19a-411; (Supreme Court held that autopsy reports are exempt from disclosure).</w:t>
      </w:r>
    </w:p>
    <w:p w14:paraId="02254003"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Ala. Code § 36-12-40 (Supp. 2005). S.G. § 10-618(j)(2), (Maryland). For additional examples, see Reporters Committee for Freedom of the Press. "Guide Compare Tool; Comparing: E. Homeland Security Measures,". Available at http://www.rcfp.org/open-government-guide (Select all states and topic "Homeland Security"). Accessed November 15, 2012. See also, Homefront Confidential. "Prepared by How the War on Terrorism Affects Access to Information and the Public's Right to Know." September 2005. p 73. Available at </w:t>
      </w:r>
      <w:hyperlink r:id="rId129" w:history="1">
        <w:r w:rsidRPr="004D42AB">
          <w:rPr>
            <w:rFonts w:eastAsia="Times New Roman" w:cstheme="minorHAnsi"/>
            <w:u w:val="single"/>
            <w:bdr w:val="none" w:sz="0" w:space="0" w:color="auto" w:frame="1"/>
          </w:rPr>
          <w:t>http://www.rcfp.org/sites/default/files/homefront-confidential.pdf</w:t>
        </w:r>
      </w:hyperlink>
      <w:r w:rsidRPr="004D42AB">
        <w:rPr>
          <w:rFonts w:eastAsia="Times New Roman" w:cstheme="minorHAnsi"/>
        </w:rPr>
        <w:t>. Accessed Nov. 15, 2012. RCW 42.56.420(1) (Washington). </w:t>
      </w:r>
      <w:r w:rsidRPr="004D42AB">
        <w:rPr>
          <w:rFonts w:eastAsia="Times New Roman" w:cstheme="minorHAnsi"/>
          <w:i/>
          <w:iCs/>
          <w:bdr w:val="none" w:sz="0" w:space="0" w:color="auto" w:frame="1"/>
        </w:rPr>
        <w:t xml:space="preserve">See also Northwest Gas </w:t>
      </w:r>
      <w:proofErr w:type="spellStart"/>
      <w:r w:rsidRPr="004D42AB">
        <w:rPr>
          <w:rFonts w:eastAsia="Times New Roman" w:cstheme="minorHAnsi"/>
          <w:i/>
          <w:iCs/>
          <w:bdr w:val="none" w:sz="0" w:space="0" w:color="auto" w:frame="1"/>
        </w:rPr>
        <w:t>Ass'n</w:t>
      </w:r>
      <w:proofErr w:type="spellEnd"/>
      <w:r w:rsidRPr="004D42AB">
        <w:rPr>
          <w:rFonts w:eastAsia="Times New Roman" w:cstheme="minorHAnsi"/>
          <w:i/>
          <w:iCs/>
          <w:bdr w:val="none" w:sz="0" w:space="0" w:color="auto" w:frame="1"/>
        </w:rPr>
        <w:t xml:space="preserve"> v. Washington Utilities and Transp. Comm.</w:t>
      </w:r>
      <w:r w:rsidRPr="004D42AB">
        <w:rPr>
          <w:rFonts w:eastAsia="Times New Roman" w:cstheme="minorHAnsi"/>
        </w:rPr>
        <w:t xml:space="preserve">, 141 </w:t>
      </w:r>
      <w:proofErr w:type="spellStart"/>
      <w:r w:rsidRPr="004D42AB">
        <w:rPr>
          <w:rFonts w:eastAsia="Times New Roman" w:cstheme="minorHAnsi"/>
        </w:rPr>
        <w:t>Wn</w:t>
      </w:r>
      <w:proofErr w:type="spellEnd"/>
      <w:r w:rsidRPr="004D42AB">
        <w:rPr>
          <w:rFonts w:eastAsia="Times New Roman" w:cstheme="minorHAnsi"/>
        </w:rPr>
        <w:t>. App. 98, 168 P.3d 443 (2007). RCW 42.56.420(2)-(5).</w:t>
      </w:r>
    </w:p>
    <w:p w14:paraId="6A15579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N.J.S.A</w:t>
      </w:r>
      <w:r w:rsidRPr="004D42AB">
        <w:rPr>
          <w:rFonts w:eastAsia="Times New Roman" w:cstheme="minorHAnsi"/>
          <w:i/>
          <w:iCs/>
          <w:bdr w:val="none" w:sz="0" w:space="0" w:color="auto" w:frame="1"/>
        </w:rPr>
        <w:t>.</w:t>
      </w:r>
      <w:r w:rsidRPr="004D42AB">
        <w:rPr>
          <w:rFonts w:eastAsia="Times New Roman" w:cstheme="minorHAnsi"/>
        </w:rPr>
        <w:t>§ 47:1A (New Jersey). G.S. 132-1 (North Carolina). Ohio Rev. Code § 149.433(B).</w:t>
      </w:r>
    </w:p>
    <w:p w14:paraId="4FCDB43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 xml:space="preserve">M.C.L. § 15.243(1)(y). </w:t>
      </w:r>
      <w:proofErr w:type="spellStart"/>
      <w:r w:rsidRPr="004D42AB">
        <w:rPr>
          <w:rFonts w:eastAsia="Times New Roman" w:cstheme="minorHAnsi"/>
        </w:rPr>
        <w:t>Mo.Rev.Stat</w:t>
      </w:r>
      <w:proofErr w:type="spellEnd"/>
      <w:r w:rsidRPr="004D42AB">
        <w:rPr>
          <w:rFonts w:eastAsia="Times New Roman" w:cstheme="minorHAnsi"/>
        </w:rPr>
        <w:t>. § 610.021(18) (Provision to sunset 12/31/12).</w:t>
      </w:r>
    </w:p>
    <w:p w14:paraId="21877E9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Reporters Committee for Freedom of the Press. "Guide Compare Tool; Comparing: E. Homeland Security Measures." Available at </w:t>
      </w:r>
      <w:hyperlink r:id="rId130" w:history="1">
        <w:r w:rsidRPr="004D42AB">
          <w:rPr>
            <w:rFonts w:eastAsia="Times New Roman" w:cstheme="minorHAnsi"/>
            <w:u w:val="single"/>
            <w:bdr w:val="none" w:sz="0" w:space="0" w:color="auto" w:frame="1"/>
          </w:rPr>
          <w:t>http://www.rcfp.org/open-government-guide</w:t>
        </w:r>
      </w:hyperlink>
      <w:r w:rsidRPr="004D42AB">
        <w:rPr>
          <w:rFonts w:eastAsia="Times New Roman" w:cstheme="minorHAnsi"/>
        </w:rPr>
        <w:t> (Select all states and topic "Homeland Security"). Accessed Nov. 15, 2012.</w:t>
      </w:r>
    </w:p>
    <w:p w14:paraId="6610542D"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1B7A1CB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36AC4E3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0B4103CD"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Pub. L. 107-188, 42 U.S.C. 300hh </w:t>
      </w:r>
      <w:r w:rsidRPr="004D42AB">
        <w:rPr>
          <w:rFonts w:eastAsia="Times New Roman" w:cstheme="minorHAnsi"/>
          <w:i/>
          <w:iCs/>
          <w:bdr w:val="none" w:sz="0" w:space="0" w:color="auto" w:frame="1"/>
        </w:rPr>
        <w:t>et seq</w:t>
      </w:r>
      <w:r w:rsidRPr="004D42AB">
        <w:rPr>
          <w:rFonts w:eastAsia="Times New Roman" w:cstheme="minorHAnsi"/>
        </w:rPr>
        <w:t>.</w:t>
      </w:r>
    </w:p>
    <w:p w14:paraId="583B79F5" w14:textId="77777777" w:rsidR="00F44300" w:rsidRPr="004D42AB" w:rsidRDefault="00F44300" w:rsidP="00F44300">
      <w:pPr>
        <w:numPr>
          <w:ilvl w:val="0"/>
          <w:numId w:val="33"/>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131"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7CC2857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 xml:space="preserve">CDC. "National Program of Cancer Registries Cancer Surveillance System Rationale and </w:t>
      </w:r>
      <w:proofErr w:type="spellStart"/>
      <w:r w:rsidRPr="004D42AB">
        <w:rPr>
          <w:rFonts w:eastAsia="Times New Roman" w:cstheme="minorHAnsi"/>
        </w:rPr>
        <w:t>Approach."P</w:t>
      </w:r>
      <w:proofErr w:type="spellEnd"/>
      <w:r w:rsidRPr="004D42AB">
        <w:rPr>
          <w:rFonts w:eastAsia="Times New Roman" w:cstheme="minorHAnsi"/>
        </w:rPr>
        <w:t xml:space="preserve"> 13. Available at </w:t>
      </w:r>
      <w:hyperlink r:id="rId132" w:history="1">
        <w:r w:rsidRPr="004D42AB">
          <w:rPr>
            <w:rFonts w:eastAsia="Times New Roman" w:cstheme="minorHAnsi"/>
            <w:u w:val="single"/>
            <w:bdr w:val="none" w:sz="0" w:space="0" w:color="auto" w:frame="1"/>
          </w:rPr>
          <w:t>http://www.cdc.gov/cancer/npcr/pdf/npcr_css.pdf</w:t>
        </w:r>
      </w:hyperlink>
      <w:r w:rsidRPr="004D42AB">
        <w:rPr>
          <w:rFonts w:eastAsia="Times New Roman" w:cstheme="minorHAnsi"/>
        </w:rPr>
        <w:t>. Accessed Nov. 15, 2012.</w:t>
      </w:r>
    </w:p>
    <w:p w14:paraId="4D8721C9"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Homefront Confidential. "Prepared by How the War on Terrorism Affects Access to Information and the Public's Right to Know." September 2005. p 73. Available at </w:t>
      </w:r>
      <w:hyperlink r:id="rId133" w:history="1">
        <w:r w:rsidRPr="004D42AB">
          <w:rPr>
            <w:rFonts w:eastAsia="Times New Roman" w:cstheme="minorHAnsi"/>
            <w:u w:val="single"/>
            <w:bdr w:val="none" w:sz="0" w:space="0" w:color="auto" w:frame="1"/>
          </w:rPr>
          <w:t>http://www.rcfp.org/sites/default/files/homefront-confidential.pdf</w:t>
        </w:r>
      </w:hyperlink>
      <w:r w:rsidRPr="004D42AB">
        <w:rPr>
          <w:rFonts w:eastAsia="Times New Roman" w:cstheme="minorHAnsi"/>
        </w:rPr>
        <w:t>. Accessed Nov. 15, 2012.</w:t>
      </w:r>
    </w:p>
    <w:p w14:paraId="54280A1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Public Health Service Act, 42 U.S.C. § 247d-1.</w:t>
      </w:r>
    </w:p>
    <w:p w14:paraId="1F17E7A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lastRenderedPageBreak/>
        <w:t>Critical Infrastructure Information Act of 2002, Pub. L. 107-296, 6 U.S.C. 131 </w:t>
      </w:r>
      <w:r w:rsidRPr="004D42AB">
        <w:rPr>
          <w:rFonts w:eastAsia="Times New Roman" w:cstheme="minorHAnsi"/>
          <w:i/>
          <w:iCs/>
          <w:bdr w:val="none" w:sz="0" w:space="0" w:color="auto" w:frame="1"/>
        </w:rPr>
        <w:t>et seq</w:t>
      </w:r>
      <w:r w:rsidRPr="004D42AB">
        <w:rPr>
          <w:rFonts w:eastAsia="Times New Roman" w:cstheme="minorHAnsi"/>
        </w:rPr>
        <w:t>., which is part of the Homeland Security Act of 2002.</w:t>
      </w:r>
    </w:p>
    <w:p w14:paraId="731FB11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21D97FA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Parts 160 and 164.</w:t>
      </w:r>
    </w:p>
    <w:p w14:paraId="3002B11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Pub. L. 104-191, 42 U.S.C. § 300gg et seq.</w:t>
      </w:r>
    </w:p>
    <w:p w14:paraId="72507227"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164.514(b).</w:t>
      </w:r>
    </w:p>
    <w:p w14:paraId="1338483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164.514(e)(1).</w:t>
      </w:r>
    </w:p>
    <w:p w14:paraId="71373E2B"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CDC and HHS have provided significant guidance on the impact of the HIPAA Privacy Rule on public health practice. See "HIPAA Privacy Rules and Public Health: Guidance from CDC and the U.S. Department of Health and Human Services." </w:t>
      </w:r>
      <w:r w:rsidRPr="004D42AB">
        <w:rPr>
          <w:rFonts w:eastAsia="Times New Roman" w:cstheme="minorHAnsi"/>
          <w:i/>
          <w:iCs/>
          <w:bdr w:val="none" w:sz="0" w:space="0" w:color="auto" w:frame="1"/>
        </w:rPr>
        <w:t>MMWR</w:t>
      </w:r>
      <w:r w:rsidRPr="004D42AB">
        <w:rPr>
          <w:rFonts w:eastAsia="Times New Roman" w:cstheme="minorHAnsi"/>
        </w:rPr>
        <w:t>. 2003. 52:1-12. Available at </w:t>
      </w:r>
      <w:hyperlink r:id="rId134" w:history="1">
        <w:r w:rsidRPr="004D42AB">
          <w:rPr>
            <w:rFonts w:eastAsia="Times New Roman" w:cstheme="minorHAnsi"/>
            <w:u w:val="single"/>
            <w:bdr w:val="none" w:sz="0" w:space="0" w:color="auto" w:frame="1"/>
          </w:rPr>
          <w:t>http://www.cdc.gov/mmwr/preview/mmwrhtml/m2e411a1.htm</w:t>
        </w:r>
      </w:hyperlink>
      <w:r w:rsidRPr="004D42AB">
        <w:rPr>
          <w:rFonts w:eastAsia="Times New Roman" w:cstheme="minorHAnsi"/>
        </w:rPr>
        <w:t>. Accessed Nov. 30, 2012.</w:t>
      </w:r>
    </w:p>
    <w:p w14:paraId="6F58EFCE"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164.512(a).</w:t>
      </w:r>
    </w:p>
    <w:p w14:paraId="41F4992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164.512(b)(1)(</w:t>
      </w:r>
      <w:proofErr w:type="spellStart"/>
      <w:r w:rsidRPr="004D42AB">
        <w:rPr>
          <w:rFonts w:eastAsia="Times New Roman" w:cstheme="minorHAnsi"/>
        </w:rPr>
        <w:t>i</w:t>
      </w:r>
      <w:proofErr w:type="spellEnd"/>
      <w:r w:rsidRPr="004D42AB">
        <w:rPr>
          <w:rFonts w:eastAsia="Times New Roman" w:cstheme="minorHAnsi"/>
        </w:rPr>
        <w:t>).</w:t>
      </w:r>
    </w:p>
    <w:p w14:paraId="5FA4A650"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164.512(2)(b).</w:t>
      </w:r>
    </w:p>
    <w:p w14:paraId="4A8D44E5"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164.501, 45 C.F.R. § 164.502, 45 C.F.R. § 164.506.</w:t>
      </w:r>
    </w:p>
    <w:p w14:paraId="2898EC5F"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164.510(a)(3).</w:t>
      </w:r>
    </w:p>
    <w:p w14:paraId="0DB0B090"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164.512(j).</w:t>
      </w:r>
    </w:p>
    <w:p w14:paraId="4E7232B1"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164.512(k)(2).</w:t>
      </w:r>
    </w:p>
    <w:p w14:paraId="0E0F9AD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164.521(f); 45 C.F.R. § 164.512(k)(5).</w:t>
      </w:r>
    </w:p>
    <w:p w14:paraId="07B45BEA"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 164.512(e).</w:t>
      </w:r>
    </w:p>
    <w:p w14:paraId="2D36D4C2"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164.514(h)(2)(iii). An example of such a memo, issued by the Michigan Department of Community Health, is posted on CDC's website at </w:t>
      </w:r>
      <w:hyperlink r:id="rId135" w:history="1">
        <w:r w:rsidRPr="004D42AB">
          <w:rPr>
            <w:rFonts w:eastAsia="Times New Roman" w:cstheme="minorHAnsi"/>
            <w:u w:val="single"/>
            <w:bdr w:val="none" w:sz="0" w:space="0" w:color="auto" w:frame="1"/>
          </w:rPr>
          <w:t>http://www.cdc.gov/phlp/docs/Dir_Memo_HIPAA&amp;communicabledis_072004_1.pdf</w:t>
        </w:r>
      </w:hyperlink>
      <w:r w:rsidRPr="004D42AB">
        <w:rPr>
          <w:rFonts w:eastAsia="Times New Roman" w:cstheme="minorHAnsi"/>
        </w:rPr>
        <w:t>. Accessed Nov. 30, 2012.</w:t>
      </w:r>
    </w:p>
    <w:p w14:paraId="2B8CEB86"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Family Educational Rights and Privacy Act (FERPA), Pub. L. 93-380, 20 U.S.C. § 1232g.</w:t>
      </w:r>
    </w:p>
    <w:p w14:paraId="58342D60"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34 C.F.R. Part 99.</w:t>
      </w:r>
    </w:p>
    <w:p w14:paraId="64BD9078"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34 C.F.R. § 99.31.</w:t>
      </w:r>
    </w:p>
    <w:p w14:paraId="575C2834" w14:textId="77777777" w:rsidR="00F44300" w:rsidRPr="004D42AB" w:rsidRDefault="00F44300" w:rsidP="00F44300">
      <w:pPr>
        <w:numPr>
          <w:ilvl w:val="0"/>
          <w:numId w:val="33"/>
        </w:numPr>
        <w:spacing w:line="360" w:lineRule="auto"/>
        <w:ind w:left="450"/>
        <w:textAlignment w:val="baseline"/>
        <w:rPr>
          <w:rFonts w:eastAsia="Times New Roman" w:cstheme="minorHAnsi"/>
        </w:rPr>
      </w:pPr>
      <w:r w:rsidRPr="004D42AB">
        <w:rPr>
          <w:rFonts w:eastAsia="Times New Roman" w:cstheme="minorHAnsi"/>
        </w:rPr>
        <w:t>45 CFR Part 160 and Subparts A and C of Part 164.</w:t>
      </w:r>
    </w:p>
    <w:p w14:paraId="057F4037" w14:textId="1BDCA77C" w:rsidR="00F44300" w:rsidRPr="00F93EAF" w:rsidRDefault="008A359F" w:rsidP="00F00F20">
      <w:pPr>
        <w:shd w:val="clear" w:color="auto" w:fill="FFFFFF"/>
        <w:spacing w:after="225" w:line="360" w:lineRule="auto"/>
        <w:textAlignment w:val="baseline"/>
        <w:rPr>
          <w:rFonts w:eastAsia="Times New Roman" w:cstheme="minorHAnsi"/>
          <w:color w:val="0070C0"/>
        </w:rPr>
      </w:pPr>
      <w:hyperlink w:anchor="PH_Info_TOC_Top" w:history="1">
        <w:r w:rsidRPr="00F93EAF">
          <w:rPr>
            <w:rStyle w:val="Heading2Char"/>
            <w:rFonts w:asciiTheme="minorHAnsi" w:eastAsiaTheme="minorHAnsi" w:hAnsiTheme="minorHAnsi" w:cstheme="minorHAnsi"/>
            <w:color w:val="0070C0"/>
            <w:sz w:val="24"/>
          </w:rPr>
          <w:t xml:space="preserve">[TOC </w:t>
        </w:r>
        <w:r w:rsidRPr="00F93EAF">
          <w:rPr>
            <w:rStyle w:val="Heading2Char"/>
            <w:rFonts w:asciiTheme="minorHAnsi" w:eastAsiaTheme="minorHAnsi" w:hAnsiTheme="minorHAnsi" w:cstheme="minorHAnsi"/>
            <w:color w:val="0070C0"/>
            <w:sz w:val="24"/>
          </w:rPr>
          <w:t>T</w:t>
        </w:r>
        <w:r w:rsidRPr="00F93EAF">
          <w:rPr>
            <w:rStyle w:val="Heading2Char"/>
            <w:rFonts w:asciiTheme="minorHAnsi" w:eastAsiaTheme="minorHAnsi" w:hAnsiTheme="minorHAnsi" w:cstheme="minorHAnsi"/>
            <w:color w:val="0070C0"/>
            <w:sz w:val="24"/>
          </w:rPr>
          <w:t>o</w:t>
        </w:r>
        <w:r w:rsidRPr="00F93EAF">
          <w:rPr>
            <w:rStyle w:val="Heading2Char"/>
            <w:rFonts w:asciiTheme="minorHAnsi" w:eastAsiaTheme="minorHAnsi" w:hAnsiTheme="minorHAnsi" w:cstheme="minorHAnsi"/>
            <w:color w:val="0070C0"/>
            <w:sz w:val="24"/>
          </w:rPr>
          <w:t>p]</w:t>
        </w:r>
      </w:hyperlink>
    </w:p>
    <w:p w14:paraId="2B32A76B" w14:textId="77777777" w:rsidR="00840E3B" w:rsidRDefault="008A359F">
      <w:pPr>
        <w:rPr>
          <w:rFonts w:eastAsia="Times New Roman" w:cstheme="minorHAnsi"/>
        </w:rPr>
        <w:sectPr w:rsidR="00840E3B">
          <w:footerReference w:type="default" r:id="rId136"/>
          <w:pgSz w:w="12240" w:h="15840"/>
          <w:pgMar w:top="1440" w:right="1440" w:bottom="1440" w:left="1440" w:header="720" w:footer="720" w:gutter="0"/>
          <w:cols w:space="720"/>
          <w:docGrid w:linePitch="360"/>
        </w:sectPr>
      </w:pPr>
      <w:r>
        <w:rPr>
          <w:rFonts w:eastAsia="Times New Roman" w:cstheme="minorHAnsi"/>
        </w:rPr>
        <w:br w:type="page"/>
      </w:r>
    </w:p>
    <w:p w14:paraId="79D8F53B" w14:textId="77777777" w:rsidR="00F44300" w:rsidRPr="001732AA" w:rsidRDefault="00F44300" w:rsidP="00540B61">
      <w:pPr>
        <w:spacing w:after="120"/>
        <w:jc w:val="center"/>
        <w:rPr>
          <w:rFonts w:cs="Arial"/>
          <w:b/>
          <w:sz w:val="24"/>
          <w:szCs w:val="24"/>
        </w:rPr>
      </w:pPr>
      <w:r w:rsidRPr="001732AA">
        <w:rPr>
          <w:rFonts w:cs="Arial"/>
          <w:b/>
          <w:sz w:val="24"/>
          <w:szCs w:val="24"/>
        </w:rPr>
        <w:lastRenderedPageBreak/>
        <w:t>State Analysis Guide</w:t>
      </w:r>
    </w:p>
    <w:p w14:paraId="1344BF50" w14:textId="77777777" w:rsidR="00F44300" w:rsidRPr="001732AA" w:rsidRDefault="00F44300" w:rsidP="001421B0">
      <w:pPr>
        <w:jc w:val="center"/>
        <w:rPr>
          <w:rFonts w:cs="Arial"/>
          <w:b/>
          <w:sz w:val="26"/>
          <w:szCs w:val="26"/>
        </w:rPr>
      </w:pPr>
      <w:bookmarkStart w:id="8" w:name="EmployeeHealthInfo_SAG"/>
      <w:r w:rsidRPr="001732AA">
        <w:rPr>
          <w:rFonts w:cs="Arial"/>
          <w:b/>
          <w:sz w:val="26"/>
          <w:szCs w:val="26"/>
        </w:rPr>
        <w:t>Employee Health Information</w:t>
      </w:r>
      <w:bookmarkEnd w:id="8"/>
      <w:r w:rsidRPr="001732AA">
        <w:rPr>
          <w:rFonts w:cs="Arial"/>
          <w:b/>
          <w:sz w:val="26"/>
          <w:szCs w:val="26"/>
        </w:rPr>
        <w:t xml:space="preserve"> and</w:t>
      </w:r>
    </w:p>
    <w:p w14:paraId="4F6C22AC" w14:textId="77777777" w:rsidR="00F44300" w:rsidRPr="001732AA" w:rsidRDefault="00F44300" w:rsidP="001421B0">
      <w:pPr>
        <w:jc w:val="center"/>
        <w:rPr>
          <w:rFonts w:cs="Arial"/>
          <w:b/>
          <w:sz w:val="26"/>
          <w:szCs w:val="26"/>
        </w:rPr>
      </w:pPr>
      <w:r w:rsidRPr="001732AA">
        <w:rPr>
          <w:rFonts w:cs="Arial"/>
          <w:b/>
          <w:sz w:val="26"/>
          <w:szCs w:val="26"/>
        </w:rPr>
        <w:t xml:space="preserve"> Preparedness Planning and Response</w:t>
      </w:r>
    </w:p>
    <w:p w14:paraId="027B0CAF" w14:textId="77777777" w:rsidR="00F44300" w:rsidRPr="001732AA" w:rsidRDefault="00F44300" w:rsidP="001421B0">
      <w:pPr>
        <w:rPr>
          <w:sz w:val="16"/>
          <w:szCs w:val="20"/>
        </w:rPr>
      </w:pPr>
    </w:p>
    <w:p w14:paraId="45A25424" w14:textId="77777777" w:rsidR="00F44300" w:rsidRPr="001732AA" w:rsidRDefault="00F44300" w:rsidP="002A03E4">
      <w:pPr>
        <w:ind w:left="288" w:right="576"/>
        <w:jc w:val="both"/>
        <w:rPr>
          <w:rFonts w:cs="Arial"/>
        </w:rPr>
      </w:pPr>
      <w:r w:rsidRPr="001732AA">
        <w:rPr>
          <w:rFonts w:cs="Arial"/>
        </w:rPr>
        <w:t xml:space="preserve">This </w:t>
      </w:r>
      <w:r w:rsidRPr="001732AA">
        <w:rPr>
          <w:rFonts w:cs="Arial"/>
          <w:i/>
        </w:rPr>
        <w:t>State Analysis Guide</w:t>
      </w:r>
      <w:r w:rsidRPr="001732AA">
        <w:rPr>
          <w:rFonts w:cs="Arial"/>
        </w:rPr>
        <w:t xml:space="preserve"> is intended to assist state health agency staff and legal counsel with locating and analyzing their states’ laws, rules, policies, and implementation plans that govern the public health agency as an employer so that they may obtain and use employee health information for preparedness planning and response. Space is provided on the document to insert references or summaries of appropriate state or local authorities. Because each state’s law is unique, this guide may not identify all issues that arise in the course of analyzing a state’s law. </w:t>
      </w:r>
      <w:r w:rsidRPr="001732AA">
        <w:rPr>
          <w:rFonts w:cs="Arial"/>
          <w:b/>
        </w:rPr>
        <w:t xml:space="preserve">The language and requirements of specific state/local laws, regulations, ordinances, rules, policies, </w:t>
      </w:r>
      <w:proofErr w:type="spellStart"/>
      <w:r w:rsidRPr="001732AA">
        <w:rPr>
          <w:rFonts w:cs="Arial"/>
          <w:b/>
        </w:rPr>
        <w:t>guidances</w:t>
      </w:r>
      <w:proofErr w:type="spellEnd"/>
      <w:r w:rsidRPr="001732AA">
        <w:rPr>
          <w:rFonts w:cs="Arial"/>
          <w:b/>
        </w:rPr>
        <w:t>, case law, and other sources of legal authority overrule this general analysis guide in all instances. This resource is for informational purposes only and is not intended as a substitute for professional legal or other advice.</w:t>
      </w:r>
    </w:p>
    <w:p w14:paraId="7F82B641" w14:textId="77777777" w:rsidR="00F44300" w:rsidRPr="001732AA" w:rsidRDefault="00F44300" w:rsidP="001421B0"/>
    <w:tbl>
      <w:tblPr>
        <w:tblW w:w="14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562"/>
        <w:gridCol w:w="4575"/>
        <w:gridCol w:w="8633"/>
      </w:tblGrid>
      <w:tr w:rsidR="00F44300" w:rsidRPr="001732AA" w14:paraId="38C3AC5B" w14:textId="77777777" w:rsidTr="003B7F54">
        <w:trPr>
          <w:cantSplit/>
          <w:trHeight w:val="317"/>
          <w:tblHeader/>
        </w:trPr>
        <w:tc>
          <w:tcPr>
            <w:tcW w:w="5677" w:type="dxa"/>
            <w:gridSpan w:val="3"/>
            <w:shd w:val="clear" w:color="auto" w:fill="BFBFBF"/>
            <w:tcMar>
              <w:top w:w="58" w:type="dxa"/>
              <w:left w:w="130" w:type="dxa"/>
              <w:bottom w:w="58" w:type="dxa"/>
              <w:right w:w="115" w:type="dxa"/>
            </w:tcMar>
            <w:vAlign w:val="center"/>
          </w:tcPr>
          <w:p w14:paraId="5496CFE7" w14:textId="77777777" w:rsidR="00F44300" w:rsidRPr="001732AA" w:rsidRDefault="00F44300" w:rsidP="00E44C7F">
            <w:pPr>
              <w:rPr>
                <w:rFonts w:cs="Arial"/>
                <w:b/>
              </w:rPr>
            </w:pPr>
            <w:r w:rsidRPr="001732AA">
              <w:rPr>
                <w:rFonts w:cs="Arial"/>
                <w:b/>
              </w:rPr>
              <w:t>Issues for Analysis</w:t>
            </w:r>
          </w:p>
        </w:tc>
        <w:tc>
          <w:tcPr>
            <w:tcW w:w="8633" w:type="dxa"/>
            <w:shd w:val="clear" w:color="auto" w:fill="BFBFBF"/>
            <w:tcMar>
              <w:top w:w="58" w:type="dxa"/>
              <w:left w:w="130" w:type="dxa"/>
              <w:bottom w:w="58" w:type="dxa"/>
              <w:right w:w="115" w:type="dxa"/>
            </w:tcMar>
            <w:vAlign w:val="center"/>
          </w:tcPr>
          <w:p w14:paraId="38B2A729" w14:textId="77777777" w:rsidR="00F44300" w:rsidRPr="001732AA" w:rsidRDefault="00F44300" w:rsidP="00AB0FE4">
            <w:pPr>
              <w:jc w:val="center"/>
              <w:rPr>
                <w:rFonts w:cs="Arial"/>
                <w:b/>
              </w:rPr>
            </w:pPr>
            <w:r w:rsidRPr="001732AA">
              <w:rPr>
                <w:rFonts w:cs="Arial"/>
                <w:b/>
              </w:rPr>
              <w:t>State/Local Information</w:t>
            </w:r>
          </w:p>
        </w:tc>
      </w:tr>
      <w:tr w:rsidR="00F44300" w:rsidRPr="001732AA" w14:paraId="4ED9F719" w14:textId="77777777" w:rsidTr="003B7F54">
        <w:trPr>
          <w:cantSplit/>
        </w:trPr>
        <w:tc>
          <w:tcPr>
            <w:tcW w:w="540" w:type="dxa"/>
            <w:tcMar>
              <w:top w:w="58" w:type="dxa"/>
              <w:left w:w="130" w:type="dxa"/>
              <w:bottom w:w="58" w:type="dxa"/>
              <w:right w:w="115" w:type="dxa"/>
            </w:tcMar>
            <w:vAlign w:val="center"/>
          </w:tcPr>
          <w:p w14:paraId="45B7FE71" w14:textId="77777777" w:rsidR="00F44300" w:rsidRPr="001732AA" w:rsidRDefault="00F44300" w:rsidP="009260EF">
            <w:pPr>
              <w:rPr>
                <w:rFonts w:cs="Arial"/>
              </w:rPr>
            </w:pPr>
          </w:p>
        </w:tc>
        <w:tc>
          <w:tcPr>
            <w:tcW w:w="5137" w:type="dxa"/>
            <w:gridSpan w:val="2"/>
            <w:vAlign w:val="center"/>
          </w:tcPr>
          <w:p w14:paraId="3EA917A8" w14:textId="77777777" w:rsidR="00F44300" w:rsidRPr="001732AA" w:rsidRDefault="00F44300" w:rsidP="009260EF">
            <w:pPr>
              <w:rPr>
                <w:rFonts w:cs="Arial"/>
              </w:rPr>
            </w:pPr>
            <w:r w:rsidRPr="001732AA">
              <w:rPr>
                <w:rFonts w:cs="Arial"/>
              </w:rPr>
              <w:t>Laws governing public health agencies.</w:t>
            </w:r>
          </w:p>
        </w:tc>
        <w:tc>
          <w:tcPr>
            <w:tcW w:w="8633" w:type="dxa"/>
            <w:tcMar>
              <w:top w:w="58" w:type="dxa"/>
              <w:left w:w="130" w:type="dxa"/>
              <w:bottom w:w="58" w:type="dxa"/>
              <w:right w:w="115" w:type="dxa"/>
            </w:tcMar>
            <w:vAlign w:val="center"/>
          </w:tcPr>
          <w:p w14:paraId="77FD635E" w14:textId="77777777" w:rsidR="00F44300" w:rsidRPr="001732AA" w:rsidRDefault="00F44300" w:rsidP="009260EF">
            <w:pPr>
              <w:rPr>
                <w:rFonts w:cs="Arial"/>
              </w:rPr>
            </w:pPr>
          </w:p>
        </w:tc>
      </w:tr>
      <w:tr w:rsidR="00F44300" w:rsidRPr="001732AA" w14:paraId="59F72EFD" w14:textId="77777777" w:rsidTr="003B7F54">
        <w:trPr>
          <w:cantSplit/>
        </w:trPr>
        <w:tc>
          <w:tcPr>
            <w:tcW w:w="540" w:type="dxa"/>
            <w:tcMar>
              <w:top w:w="58" w:type="dxa"/>
              <w:left w:w="130" w:type="dxa"/>
              <w:bottom w:w="58" w:type="dxa"/>
              <w:right w:w="115" w:type="dxa"/>
            </w:tcMar>
            <w:vAlign w:val="center"/>
          </w:tcPr>
          <w:p w14:paraId="1AE94DEE" w14:textId="77777777" w:rsidR="00F44300" w:rsidRPr="001732AA" w:rsidRDefault="00F44300" w:rsidP="009260EF">
            <w:pPr>
              <w:rPr>
                <w:rFonts w:cs="Arial"/>
              </w:rPr>
            </w:pPr>
          </w:p>
        </w:tc>
        <w:tc>
          <w:tcPr>
            <w:tcW w:w="5137" w:type="dxa"/>
            <w:gridSpan w:val="2"/>
            <w:vAlign w:val="center"/>
          </w:tcPr>
          <w:p w14:paraId="035F60C2" w14:textId="77777777" w:rsidR="00F44300" w:rsidRPr="001732AA" w:rsidRDefault="00F44300" w:rsidP="009260EF">
            <w:pPr>
              <w:rPr>
                <w:rFonts w:cs="Arial"/>
              </w:rPr>
            </w:pPr>
            <w:r w:rsidRPr="001732AA">
              <w:rPr>
                <w:rFonts w:cs="Arial"/>
              </w:rPr>
              <w:t>Laws governing health facilities.</w:t>
            </w:r>
          </w:p>
        </w:tc>
        <w:tc>
          <w:tcPr>
            <w:tcW w:w="8633" w:type="dxa"/>
            <w:tcMar>
              <w:top w:w="58" w:type="dxa"/>
              <w:left w:w="130" w:type="dxa"/>
              <w:bottom w:w="58" w:type="dxa"/>
              <w:right w:w="115" w:type="dxa"/>
            </w:tcMar>
            <w:vAlign w:val="center"/>
          </w:tcPr>
          <w:p w14:paraId="7D0F95EA" w14:textId="77777777" w:rsidR="00F44300" w:rsidRPr="001732AA" w:rsidRDefault="00F44300" w:rsidP="009260EF">
            <w:pPr>
              <w:rPr>
                <w:rFonts w:cs="Arial"/>
              </w:rPr>
            </w:pPr>
          </w:p>
        </w:tc>
      </w:tr>
      <w:tr w:rsidR="00F44300" w:rsidRPr="001732AA" w14:paraId="5D1999BB" w14:textId="77777777" w:rsidTr="003B7F54">
        <w:trPr>
          <w:cantSplit/>
        </w:trPr>
        <w:tc>
          <w:tcPr>
            <w:tcW w:w="540" w:type="dxa"/>
            <w:tcMar>
              <w:top w:w="58" w:type="dxa"/>
              <w:left w:w="130" w:type="dxa"/>
              <w:bottom w:w="58" w:type="dxa"/>
              <w:right w:w="115" w:type="dxa"/>
            </w:tcMar>
            <w:vAlign w:val="center"/>
          </w:tcPr>
          <w:p w14:paraId="7AD278D9" w14:textId="77777777" w:rsidR="00F44300" w:rsidRPr="001732AA" w:rsidRDefault="00F44300" w:rsidP="009260EF">
            <w:pPr>
              <w:rPr>
                <w:rFonts w:cs="Arial"/>
              </w:rPr>
            </w:pPr>
          </w:p>
        </w:tc>
        <w:tc>
          <w:tcPr>
            <w:tcW w:w="5137" w:type="dxa"/>
            <w:gridSpan w:val="2"/>
            <w:vAlign w:val="center"/>
          </w:tcPr>
          <w:p w14:paraId="77730DF9" w14:textId="77777777" w:rsidR="00F44300" w:rsidRPr="001732AA" w:rsidRDefault="00F44300" w:rsidP="009260EF">
            <w:pPr>
              <w:rPr>
                <w:rFonts w:cs="Arial"/>
              </w:rPr>
            </w:pPr>
            <w:r w:rsidRPr="001732AA">
              <w:rPr>
                <w:rFonts w:cs="Arial"/>
              </w:rPr>
              <w:t>State privacy and health information privacy laws.</w:t>
            </w:r>
          </w:p>
        </w:tc>
        <w:tc>
          <w:tcPr>
            <w:tcW w:w="8633" w:type="dxa"/>
            <w:tcMar>
              <w:top w:w="58" w:type="dxa"/>
              <w:left w:w="130" w:type="dxa"/>
              <w:bottom w:w="58" w:type="dxa"/>
              <w:right w:w="115" w:type="dxa"/>
            </w:tcMar>
            <w:vAlign w:val="center"/>
          </w:tcPr>
          <w:p w14:paraId="13EBEE17" w14:textId="77777777" w:rsidR="00F44300" w:rsidRPr="001732AA" w:rsidRDefault="00F44300" w:rsidP="009260EF">
            <w:pPr>
              <w:rPr>
                <w:rFonts w:cs="Arial"/>
              </w:rPr>
            </w:pPr>
          </w:p>
        </w:tc>
      </w:tr>
      <w:tr w:rsidR="00F44300" w:rsidRPr="001732AA" w14:paraId="1377AC43" w14:textId="77777777" w:rsidTr="003B7F54">
        <w:trPr>
          <w:cantSplit/>
        </w:trPr>
        <w:tc>
          <w:tcPr>
            <w:tcW w:w="540" w:type="dxa"/>
            <w:tcMar>
              <w:top w:w="58" w:type="dxa"/>
              <w:left w:w="130" w:type="dxa"/>
              <w:bottom w:w="58" w:type="dxa"/>
              <w:right w:w="115" w:type="dxa"/>
            </w:tcMar>
            <w:vAlign w:val="center"/>
          </w:tcPr>
          <w:p w14:paraId="3A2B8FAC" w14:textId="77777777" w:rsidR="00F44300" w:rsidRPr="001732AA" w:rsidRDefault="00F44300" w:rsidP="009260EF">
            <w:pPr>
              <w:rPr>
                <w:rFonts w:cs="Arial"/>
              </w:rPr>
            </w:pPr>
          </w:p>
        </w:tc>
        <w:tc>
          <w:tcPr>
            <w:tcW w:w="5137" w:type="dxa"/>
            <w:gridSpan w:val="2"/>
            <w:vAlign w:val="center"/>
          </w:tcPr>
          <w:p w14:paraId="3433932D" w14:textId="77777777" w:rsidR="00F44300" w:rsidRPr="001732AA" w:rsidRDefault="00F44300" w:rsidP="009260EF">
            <w:pPr>
              <w:rPr>
                <w:rFonts w:cs="Arial"/>
              </w:rPr>
            </w:pPr>
            <w:r w:rsidRPr="001732AA">
              <w:rPr>
                <w:rFonts w:cs="Arial"/>
              </w:rPr>
              <w:t>Data collection and management laws, including laws that apply to electronic information.</w:t>
            </w:r>
          </w:p>
        </w:tc>
        <w:tc>
          <w:tcPr>
            <w:tcW w:w="8633" w:type="dxa"/>
            <w:tcMar>
              <w:top w:w="58" w:type="dxa"/>
              <w:left w:w="130" w:type="dxa"/>
              <w:bottom w:w="58" w:type="dxa"/>
              <w:right w:w="115" w:type="dxa"/>
            </w:tcMar>
            <w:vAlign w:val="center"/>
          </w:tcPr>
          <w:p w14:paraId="39A1E915" w14:textId="77777777" w:rsidR="00F44300" w:rsidRPr="001732AA" w:rsidRDefault="00F44300" w:rsidP="009260EF">
            <w:pPr>
              <w:rPr>
                <w:rFonts w:cs="Arial"/>
              </w:rPr>
            </w:pPr>
          </w:p>
        </w:tc>
      </w:tr>
      <w:tr w:rsidR="00F44300" w:rsidRPr="001732AA" w14:paraId="64883AE9" w14:textId="77777777" w:rsidTr="003B7F54">
        <w:trPr>
          <w:cantSplit/>
        </w:trPr>
        <w:tc>
          <w:tcPr>
            <w:tcW w:w="540" w:type="dxa"/>
            <w:tcMar>
              <w:top w:w="58" w:type="dxa"/>
              <w:left w:w="130" w:type="dxa"/>
              <w:bottom w:w="58" w:type="dxa"/>
              <w:right w:w="115" w:type="dxa"/>
            </w:tcMar>
            <w:vAlign w:val="center"/>
          </w:tcPr>
          <w:p w14:paraId="711853D0" w14:textId="77777777" w:rsidR="00F44300" w:rsidRPr="001732AA" w:rsidRDefault="00F44300" w:rsidP="009260EF">
            <w:pPr>
              <w:rPr>
                <w:rFonts w:cs="Arial"/>
              </w:rPr>
            </w:pPr>
          </w:p>
        </w:tc>
        <w:tc>
          <w:tcPr>
            <w:tcW w:w="5137" w:type="dxa"/>
            <w:gridSpan w:val="2"/>
            <w:vAlign w:val="center"/>
          </w:tcPr>
          <w:p w14:paraId="4D544BB9" w14:textId="77777777" w:rsidR="00F44300" w:rsidRPr="001732AA" w:rsidRDefault="00F44300" w:rsidP="009260EF">
            <w:pPr>
              <w:rPr>
                <w:rFonts w:cs="Arial"/>
              </w:rPr>
            </w:pPr>
            <w:r w:rsidRPr="001732AA">
              <w:rPr>
                <w:rFonts w:cs="Arial"/>
              </w:rPr>
              <w:t>Freedom of information laws.</w:t>
            </w:r>
          </w:p>
        </w:tc>
        <w:tc>
          <w:tcPr>
            <w:tcW w:w="8633" w:type="dxa"/>
            <w:tcMar>
              <w:top w:w="58" w:type="dxa"/>
              <w:left w:w="130" w:type="dxa"/>
              <w:bottom w:w="58" w:type="dxa"/>
              <w:right w:w="115" w:type="dxa"/>
            </w:tcMar>
            <w:vAlign w:val="center"/>
          </w:tcPr>
          <w:p w14:paraId="35E9C71C" w14:textId="77777777" w:rsidR="00F44300" w:rsidRPr="001732AA" w:rsidRDefault="00F44300" w:rsidP="009260EF">
            <w:pPr>
              <w:rPr>
                <w:rFonts w:cs="Arial"/>
              </w:rPr>
            </w:pPr>
          </w:p>
        </w:tc>
      </w:tr>
      <w:tr w:rsidR="00F44300" w:rsidRPr="001732AA" w14:paraId="02EA11C7" w14:textId="77777777" w:rsidTr="003B7F54">
        <w:trPr>
          <w:cantSplit/>
        </w:trPr>
        <w:tc>
          <w:tcPr>
            <w:tcW w:w="540" w:type="dxa"/>
            <w:tcMar>
              <w:top w:w="58" w:type="dxa"/>
              <w:left w:w="130" w:type="dxa"/>
              <w:bottom w:w="58" w:type="dxa"/>
              <w:right w:w="115" w:type="dxa"/>
            </w:tcMar>
            <w:vAlign w:val="center"/>
          </w:tcPr>
          <w:p w14:paraId="5948F042" w14:textId="77777777" w:rsidR="00F44300" w:rsidRPr="001732AA" w:rsidRDefault="00F44300" w:rsidP="009260EF">
            <w:pPr>
              <w:rPr>
                <w:rFonts w:cs="Arial"/>
              </w:rPr>
            </w:pPr>
          </w:p>
        </w:tc>
        <w:tc>
          <w:tcPr>
            <w:tcW w:w="5137" w:type="dxa"/>
            <w:gridSpan w:val="2"/>
            <w:vAlign w:val="center"/>
          </w:tcPr>
          <w:p w14:paraId="5E35F83B" w14:textId="77777777" w:rsidR="00F44300" w:rsidRPr="001732AA" w:rsidRDefault="00F44300" w:rsidP="009260EF">
            <w:pPr>
              <w:rPr>
                <w:rFonts w:cs="Arial"/>
              </w:rPr>
            </w:pPr>
            <w:r w:rsidRPr="001732AA">
              <w:rPr>
                <w:rFonts w:cs="Arial"/>
              </w:rPr>
              <w:t>Emergency preparedness laws.</w:t>
            </w:r>
          </w:p>
        </w:tc>
        <w:tc>
          <w:tcPr>
            <w:tcW w:w="8633" w:type="dxa"/>
            <w:tcMar>
              <w:top w:w="58" w:type="dxa"/>
              <w:left w:w="130" w:type="dxa"/>
              <w:bottom w:w="58" w:type="dxa"/>
              <w:right w:w="115" w:type="dxa"/>
            </w:tcMar>
            <w:vAlign w:val="center"/>
          </w:tcPr>
          <w:p w14:paraId="5780CA9F" w14:textId="77777777" w:rsidR="00F44300" w:rsidRPr="001732AA" w:rsidRDefault="00F44300" w:rsidP="009260EF">
            <w:pPr>
              <w:rPr>
                <w:rFonts w:cs="Arial"/>
              </w:rPr>
            </w:pPr>
          </w:p>
        </w:tc>
      </w:tr>
      <w:tr w:rsidR="00F44300" w:rsidRPr="001732AA" w14:paraId="219CDF6D" w14:textId="77777777" w:rsidTr="003B7F54">
        <w:trPr>
          <w:cantSplit/>
        </w:trPr>
        <w:tc>
          <w:tcPr>
            <w:tcW w:w="540" w:type="dxa"/>
            <w:tcMar>
              <w:top w:w="58" w:type="dxa"/>
              <w:left w:w="130" w:type="dxa"/>
              <w:bottom w:w="58" w:type="dxa"/>
              <w:right w:w="115" w:type="dxa"/>
            </w:tcMar>
            <w:vAlign w:val="center"/>
          </w:tcPr>
          <w:p w14:paraId="68B8B4DD" w14:textId="77777777" w:rsidR="00F44300" w:rsidRPr="001732AA" w:rsidRDefault="00F44300" w:rsidP="009260EF">
            <w:pPr>
              <w:rPr>
                <w:rFonts w:cs="Arial"/>
              </w:rPr>
            </w:pPr>
          </w:p>
        </w:tc>
        <w:tc>
          <w:tcPr>
            <w:tcW w:w="5137" w:type="dxa"/>
            <w:gridSpan w:val="2"/>
            <w:vAlign w:val="center"/>
          </w:tcPr>
          <w:p w14:paraId="10FF7D9F" w14:textId="77777777" w:rsidR="00F44300" w:rsidRPr="001732AA" w:rsidRDefault="00F44300" w:rsidP="009260EF">
            <w:pPr>
              <w:rPr>
                <w:rFonts w:cs="Arial"/>
              </w:rPr>
            </w:pPr>
            <w:r w:rsidRPr="001732AA">
              <w:rPr>
                <w:rFonts w:cs="Arial"/>
              </w:rPr>
              <w:t>State occupational safety and health laws.</w:t>
            </w:r>
          </w:p>
        </w:tc>
        <w:tc>
          <w:tcPr>
            <w:tcW w:w="8633" w:type="dxa"/>
            <w:tcMar>
              <w:top w:w="58" w:type="dxa"/>
              <w:left w:w="130" w:type="dxa"/>
              <w:bottom w:w="58" w:type="dxa"/>
              <w:right w:w="115" w:type="dxa"/>
            </w:tcMar>
            <w:vAlign w:val="center"/>
          </w:tcPr>
          <w:p w14:paraId="3483067E" w14:textId="77777777" w:rsidR="00F44300" w:rsidRPr="001732AA" w:rsidRDefault="00F44300" w:rsidP="009260EF">
            <w:pPr>
              <w:rPr>
                <w:rFonts w:cs="Arial"/>
              </w:rPr>
            </w:pPr>
          </w:p>
        </w:tc>
      </w:tr>
      <w:tr w:rsidR="00F44300" w:rsidRPr="001732AA" w14:paraId="681AC8B0" w14:textId="77777777" w:rsidTr="003B7F54">
        <w:trPr>
          <w:cantSplit/>
        </w:trPr>
        <w:tc>
          <w:tcPr>
            <w:tcW w:w="540" w:type="dxa"/>
            <w:tcMar>
              <w:top w:w="58" w:type="dxa"/>
              <w:left w:w="130" w:type="dxa"/>
              <w:bottom w:w="58" w:type="dxa"/>
              <w:right w:w="115" w:type="dxa"/>
            </w:tcMar>
            <w:vAlign w:val="center"/>
          </w:tcPr>
          <w:p w14:paraId="1A340F4C" w14:textId="77777777" w:rsidR="00F44300" w:rsidRPr="001732AA" w:rsidRDefault="00F44300" w:rsidP="009260EF">
            <w:pPr>
              <w:rPr>
                <w:rFonts w:cs="Arial"/>
              </w:rPr>
            </w:pPr>
          </w:p>
        </w:tc>
        <w:tc>
          <w:tcPr>
            <w:tcW w:w="5137" w:type="dxa"/>
            <w:gridSpan w:val="2"/>
            <w:vAlign w:val="center"/>
          </w:tcPr>
          <w:p w14:paraId="5A3BA103" w14:textId="77777777" w:rsidR="00F44300" w:rsidRPr="001732AA" w:rsidRDefault="00F44300" w:rsidP="009260EF">
            <w:pPr>
              <w:rPr>
                <w:rFonts w:cs="Arial"/>
              </w:rPr>
            </w:pPr>
            <w:r w:rsidRPr="001732AA">
              <w:rPr>
                <w:rFonts w:cs="Arial"/>
              </w:rPr>
              <w:t>State laws that protect against discrimination based on disability.</w:t>
            </w:r>
          </w:p>
        </w:tc>
        <w:tc>
          <w:tcPr>
            <w:tcW w:w="8633" w:type="dxa"/>
            <w:tcMar>
              <w:top w:w="58" w:type="dxa"/>
              <w:left w:w="130" w:type="dxa"/>
              <w:bottom w:w="58" w:type="dxa"/>
              <w:right w:w="115" w:type="dxa"/>
            </w:tcMar>
            <w:vAlign w:val="center"/>
          </w:tcPr>
          <w:p w14:paraId="3C9CD817" w14:textId="77777777" w:rsidR="00F44300" w:rsidRPr="001732AA" w:rsidRDefault="00F44300" w:rsidP="009260EF">
            <w:pPr>
              <w:rPr>
                <w:rFonts w:cs="Arial"/>
              </w:rPr>
            </w:pPr>
          </w:p>
        </w:tc>
      </w:tr>
      <w:tr w:rsidR="00F44300" w:rsidRPr="001732AA" w14:paraId="401113A8" w14:textId="77777777" w:rsidTr="003B7F54">
        <w:trPr>
          <w:cantSplit/>
        </w:trPr>
        <w:tc>
          <w:tcPr>
            <w:tcW w:w="540" w:type="dxa"/>
            <w:tcMar>
              <w:top w:w="58" w:type="dxa"/>
              <w:left w:w="130" w:type="dxa"/>
              <w:bottom w:w="58" w:type="dxa"/>
              <w:right w:w="115" w:type="dxa"/>
            </w:tcMar>
            <w:vAlign w:val="center"/>
          </w:tcPr>
          <w:p w14:paraId="6691FC13" w14:textId="77777777" w:rsidR="00F44300" w:rsidRPr="001732AA" w:rsidRDefault="00F44300" w:rsidP="009260EF">
            <w:pPr>
              <w:rPr>
                <w:rFonts w:cs="Arial"/>
              </w:rPr>
            </w:pPr>
          </w:p>
        </w:tc>
        <w:tc>
          <w:tcPr>
            <w:tcW w:w="5137" w:type="dxa"/>
            <w:gridSpan w:val="2"/>
            <w:vAlign w:val="center"/>
          </w:tcPr>
          <w:p w14:paraId="09805393" w14:textId="77777777" w:rsidR="00F44300" w:rsidRPr="001732AA" w:rsidRDefault="00F44300" w:rsidP="009260EF">
            <w:pPr>
              <w:rPr>
                <w:rFonts w:cs="Arial"/>
              </w:rPr>
            </w:pPr>
            <w:r w:rsidRPr="001732AA">
              <w:rPr>
                <w:rFonts w:cs="Arial"/>
              </w:rPr>
              <w:t>State common law (i.e. law developed through court opinions).</w:t>
            </w:r>
          </w:p>
        </w:tc>
        <w:tc>
          <w:tcPr>
            <w:tcW w:w="8633" w:type="dxa"/>
            <w:tcMar>
              <w:top w:w="58" w:type="dxa"/>
              <w:left w:w="130" w:type="dxa"/>
              <w:bottom w:w="58" w:type="dxa"/>
              <w:right w:w="115" w:type="dxa"/>
            </w:tcMar>
            <w:vAlign w:val="center"/>
          </w:tcPr>
          <w:p w14:paraId="1B12ECBF" w14:textId="77777777" w:rsidR="00F44300" w:rsidRPr="001732AA" w:rsidRDefault="00F44300" w:rsidP="009260EF">
            <w:pPr>
              <w:rPr>
                <w:rFonts w:cs="Arial"/>
              </w:rPr>
            </w:pPr>
          </w:p>
        </w:tc>
      </w:tr>
      <w:tr w:rsidR="00F44300" w:rsidRPr="001732AA" w14:paraId="759233BD" w14:textId="77777777" w:rsidTr="003B7F54">
        <w:trPr>
          <w:cantSplit/>
        </w:trPr>
        <w:tc>
          <w:tcPr>
            <w:tcW w:w="540" w:type="dxa"/>
            <w:tcMar>
              <w:top w:w="58" w:type="dxa"/>
              <w:left w:w="130" w:type="dxa"/>
              <w:bottom w:w="58" w:type="dxa"/>
              <w:right w:w="115" w:type="dxa"/>
            </w:tcMar>
            <w:vAlign w:val="center"/>
          </w:tcPr>
          <w:p w14:paraId="6A2BFDAE" w14:textId="77777777" w:rsidR="00F44300" w:rsidRPr="001732AA" w:rsidRDefault="00F44300" w:rsidP="009260EF">
            <w:pPr>
              <w:rPr>
                <w:rFonts w:cs="Arial"/>
              </w:rPr>
            </w:pPr>
          </w:p>
        </w:tc>
        <w:tc>
          <w:tcPr>
            <w:tcW w:w="5137" w:type="dxa"/>
            <w:gridSpan w:val="2"/>
            <w:vAlign w:val="center"/>
          </w:tcPr>
          <w:p w14:paraId="34AFDA66" w14:textId="77777777" w:rsidR="00F44300" w:rsidRPr="001732AA" w:rsidRDefault="00F44300" w:rsidP="00A42B85">
            <w:pPr>
              <w:rPr>
                <w:rFonts w:cs="Arial"/>
              </w:rPr>
            </w:pPr>
            <w:r w:rsidRPr="001732AA">
              <w:rPr>
                <w:rFonts w:cs="Arial"/>
              </w:rPr>
              <w:t>Civil service or other employment-related laws.</w:t>
            </w:r>
          </w:p>
        </w:tc>
        <w:tc>
          <w:tcPr>
            <w:tcW w:w="8633" w:type="dxa"/>
            <w:tcMar>
              <w:top w:w="58" w:type="dxa"/>
              <w:left w:w="130" w:type="dxa"/>
              <w:bottom w:w="58" w:type="dxa"/>
              <w:right w:w="115" w:type="dxa"/>
            </w:tcMar>
            <w:vAlign w:val="center"/>
          </w:tcPr>
          <w:p w14:paraId="595A3AE4" w14:textId="77777777" w:rsidR="00F44300" w:rsidRPr="001732AA" w:rsidRDefault="00F44300" w:rsidP="009260EF">
            <w:pPr>
              <w:rPr>
                <w:rFonts w:cs="Arial"/>
              </w:rPr>
            </w:pPr>
          </w:p>
        </w:tc>
      </w:tr>
      <w:tr w:rsidR="00F44300" w:rsidRPr="001732AA" w14:paraId="7EEADC40" w14:textId="77777777" w:rsidTr="003B7F54">
        <w:trPr>
          <w:cantSplit/>
        </w:trPr>
        <w:tc>
          <w:tcPr>
            <w:tcW w:w="540" w:type="dxa"/>
            <w:tcMar>
              <w:top w:w="58" w:type="dxa"/>
              <w:left w:w="130" w:type="dxa"/>
              <w:bottom w:w="58" w:type="dxa"/>
              <w:right w:w="115" w:type="dxa"/>
            </w:tcMar>
            <w:vAlign w:val="center"/>
          </w:tcPr>
          <w:p w14:paraId="04D7BD9E" w14:textId="77777777" w:rsidR="00F44300" w:rsidRPr="001732AA" w:rsidRDefault="00F44300" w:rsidP="009260EF">
            <w:pPr>
              <w:rPr>
                <w:rFonts w:cs="Arial"/>
              </w:rPr>
            </w:pPr>
          </w:p>
        </w:tc>
        <w:tc>
          <w:tcPr>
            <w:tcW w:w="5137" w:type="dxa"/>
            <w:gridSpan w:val="2"/>
            <w:vAlign w:val="center"/>
          </w:tcPr>
          <w:p w14:paraId="639215DC" w14:textId="77777777" w:rsidR="00F44300" w:rsidRPr="001732AA" w:rsidRDefault="00F44300" w:rsidP="009260EF">
            <w:pPr>
              <w:rPr>
                <w:rFonts w:cs="Arial"/>
              </w:rPr>
            </w:pPr>
            <w:r w:rsidRPr="001732AA">
              <w:rPr>
                <w:rFonts w:cs="Arial"/>
              </w:rPr>
              <w:t>Civil service or other employment policies and procedures.</w:t>
            </w:r>
          </w:p>
        </w:tc>
        <w:tc>
          <w:tcPr>
            <w:tcW w:w="8633" w:type="dxa"/>
            <w:tcMar>
              <w:top w:w="58" w:type="dxa"/>
              <w:left w:w="130" w:type="dxa"/>
              <w:bottom w:w="58" w:type="dxa"/>
              <w:right w:w="115" w:type="dxa"/>
            </w:tcMar>
            <w:vAlign w:val="center"/>
          </w:tcPr>
          <w:p w14:paraId="765D935A" w14:textId="77777777" w:rsidR="00F44300" w:rsidRPr="001732AA" w:rsidRDefault="00F44300" w:rsidP="009260EF">
            <w:pPr>
              <w:rPr>
                <w:rFonts w:cs="Arial"/>
              </w:rPr>
            </w:pPr>
          </w:p>
        </w:tc>
      </w:tr>
      <w:tr w:rsidR="00F44300" w:rsidRPr="001732AA" w14:paraId="0D06D1EE" w14:textId="77777777" w:rsidTr="003B7F54">
        <w:trPr>
          <w:cantSplit/>
        </w:trPr>
        <w:tc>
          <w:tcPr>
            <w:tcW w:w="540" w:type="dxa"/>
            <w:tcMar>
              <w:top w:w="58" w:type="dxa"/>
              <w:left w:w="130" w:type="dxa"/>
              <w:bottom w:w="58" w:type="dxa"/>
              <w:right w:w="115" w:type="dxa"/>
            </w:tcMar>
            <w:vAlign w:val="center"/>
          </w:tcPr>
          <w:p w14:paraId="13108D7F" w14:textId="77777777" w:rsidR="00F44300" w:rsidRPr="001732AA" w:rsidRDefault="00F44300" w:rsidP="009260EF">
            <w:pPr>
              <w:rPr>
                <w:rFonts w:cs="Arial"/>
              </w:rPr>
            </w:pPr>
          </w:p>
        </w:tc>
        <w:tc>
          <w:tcPr>
            <w:tcW w:w="5137" w:type="dxa"/>
            <w:gridSpan w:val="2"/>
            <w:vAlign w:val="center"/>
          </w:tcPr>
          <w:p w14:paraId="7D10F98E" w14:textId="77777777" w:rsidR="00F44300" w:rsidRPr="001732AA" w:rsidRDefault="00F44300" w:rsidP="009260EF">
            <w:pPr>
              <w:rPr>
                <w:rFonts w:cs="Arial"/>
              </w:rPr>
            </w:pPr>
            <w:r w:rsidRPr="001732AA">
              <w:rPr>
                <w:rFonts w:cs="Arial"/>
              </w:rPr>
              <w:t>Collective bargaining agreements.</w:t>
            </w:r>
          </w:p>
        </w:tc>
        <w:tc>
          <w:tcPr>
            <w:tcW w:w="8633" w:type="dxa"/>
            <w:tcMar>
              <w:top w:w="58" w:type="dxa"/>
              <w:left w:w="130" w:type="dxa"/>
              <w:bottom w:w="58" w:type="dxa"/>
              <w:right w:w="115" w:type="dxa"/>
            </w:tcMar>
            <w:vAlign w:val="center"/>
          </w:tcPr>
          <w:p w14:paraId="0F42B42D" w14:textId="77777777" w:rsidR="00F44300" w:rsidRPr="001732AA" w:rsidRDefault="00F44300" w:rsidP="009260EF">
            <w:pPr>
              <w:rPr>
                <w:rFonts w:cs="Arial"/>
              </w:rPr>
            </w:pPr>
          </w:p>
        </w:tc>
      </w:tr>
      <w:tr w:rsidR="00F44300" w:rsidRPr="001732AA" w14:paraId="162505C6" w14:textId="77777777" w:rsidTr="003B7F54">
        <w:trPr>
          <w:cantSplit/>
        </w:trPr>
        <w:tc>
          <w:tcPr>
            <w:tcW w:w="540" w:type="dxa"/>
            <w:tcMar>
              <w:top w:w="58" w:type="dxa"/>
              <w:left w:w="130" w:type="dxa"/>
              <w:bottom w:w="58" w:type="dxa"/>
              <w:right w:w="115" w:type="dxa"/>
            </w:tcMar>
            <w:vAlign w:val="center"/>
          </w:tcPr>
          <w:p w14:paraId="59B0580C" w14:textId="77777777" w:rsidR="00F44300" w:rsidRPr="001732AA" w:rsidRDefault="00F44300" w:rsidP="009260EF">
            <w:pPr>
              <w:rPr>
                <w:rFonts w:cs="Arial"/>
              </w:rPr>
            </w:pPr>
          </w:p>
        </w:tc>
        <w:tc>
          <w:tcPr>
            <w:tcW w:w="5137" w:type="dxa"/>
            <w:gridSpan w:val="2"/>
            <w:vAlign w:val="center"/>
          </w:tcPr>
          <w:p w14:paraId="5D2EB43A" w14:textId="77777777" w:rsidR="00F44300" w:rsidRPr="001732AA" w:rsidRDefault="00F44300" w:rsidP="009260EF">
            <w:pPr>
              <w:rPr>
                <w:rFonts w:cs="Arial"/>
              </w:rPr>
            </w:pPr>
            <w:r w:rsidRPr="001732AA">
              <w:rPr>
                <w:rFonts w:cs="Arial"/>
              </w:rPr>
              <w:t>Other.</w:t>
            </w:r>
          </w:p>
        </w:tc>
        <w:tc>
          <w:tcPr>
            <w:tcW w:w="8633" w:type="dxa"/>
            <w:tcMar>
              <w:top w:w="58" w:type="dxa"/>
              <w:left w:w="130" w:type="dxa"/>
              <w:bottom w:w="58" w:type="dxa"/>
              <w:right w:w="115" w:type="dxa"/>
            </w:tcMar>
            <w:vAlign w:val="center"/>
          </w:tcPr>
          <w:p w14:paraId="63C4F62D" w14:textId="77777777" w:rsidR="00F44300" w:rsidRPr="001732AA" w:rsidRDefault="00F44300" w:rsidP="009260EF">
            <w:pPr>
              <w:rPr>
                <w:rFonts w:cs="Arial"/>
              </w:rPr>
            </w:pPr>
          </w:p>
        </w:tc>
      </w:tr>
      <w:tr w:rsidR="00F44300" w:rsidRPr="001732AA" w14:paraId="543D98A3" w14:textId="77777777" w:rsidTr="003B7F54">
        <w:trPr>
          <w:cantSplit/>
        </w:trPr>
        <w:tc>
          <w:tcPr>
            <w:tcW w:w="540" w:type="dxa"/>
            <w:tcMar>
              <w:top w:w="58" w:type="dxa"/>
              <w:left w:w="130" w:type="dxa"/>
              <w:bottom w:w="58" w:type="dxa"/>
              <w:right w:w="115" w:type="dxa"/>
            </w:tcMar>
            <w:vAlign w:val="center"/>
          </w:tcPr>
          <w:p w14:paraId="255B4636" w14:textId="77777777" w:rsidR="00F44300" w:rsidRPr="001732AA" w:rsidRDefault="00F44300" w:rsidP="009260EF">
            <w:pPr>
              <w:rPr>
                <w:rFonts w:cs="Arial"/>
              </w:rPr>
            </w:pPr>
          </w:p>
        </w:tc>
        <w:tc>
          <w:tcPr>
            <w:tcW w:w="5137" w:type="dxa"/>
            <w:gridSpan w:val="2"/>
            <w:vAlign w:val="center"/>
          </w:tcPr>
          <w:p w14:paraId="39A151D2" w14:textId="77777777" w:rsidR="00F44300" w:rsidRPr="001732AA" w:rsidRDefault="00F44300" w:rsidP="009260EF">
            <w:pPr>
              <w:rPr>
                <w:rFonts w:cs="Arial"/>
              </w:rPr>
            </w:pPr>
          </w:p>
        </w:tc>
        <w:tc>
          <w:tcPr>
            <w:tcW w:w="8633" w:type="dxa"/>
            <w:tcMar>
              <w:top w:w="58" w:type="dxa"/>
              <w:left w:w="130" w:type="dxa"/>
              <w:bottom w:w="58" w:type="dxa"/>
              <w:right w:w="115" w:type="dxa"/>
            </w:tcMar>
            <w:vAlign w:val="center"/>
          </w:tcPr>
          <w:p w14:paraId="7CCCB4B6" w14:textId="77777777" w:rsidR="00F44300" w:rsidRPr="001732AA" w:rsidRDefault="00F44300" w:rsidP="009260EF">
            <w:pPr>
              <w:rPr>
                <w:rFonts w:cs="Arial"/>
              </w:rPr>
            </w:pPr>
          </w:p>
        </w:tc>
      </w:tr>
      <w:tr w:rsidR="00F44300" w:rsidRPr="001732AA" w14:paraId="45F4193D" w14:textId="77777777" w:rsidTr="003B7F54">
        <w:trPr>
          <w:cantSplit/>
          <w:trHeight w:val="403"/>
        </w:trPr>
        <w:tc>
          <w:tcPr>
            <w:tcW w:w="14310" w:type="dxa"/>
            <w:gridSpan w:val="4"/>
            <w:shd w:val="clear" w:color="auto" w:fill="F2F2F2"/>
            <w:tcMar>
              <w:top w:w="58" w:type="dxa"/>
              <w:left w:w="130" w:type="dxa"/>
              <w:bottom w:w="58" w:type="dxa"/>
              <w:right w:w="115" w:type="dxa"/>
            </w:tcMar>
            <w:vAlign w:val="center"/>
          </w:tcPr>
          <w:p w14:paraId="5A157C0E" w14:textId="77777777" w:rsidR="00F44300" w:rsidRPr="001732AA" w:rsidRDefault="00F44300" w:rsidP="00F44300">
            <w:pPr>
              <w:numPr>
                <w:ilvl w:val="0"/>
                <w:numId w:val="35"/>
              </w:numPr>
              <w:rPr>
                <w:rFonts w:cs="Arial"/>
              </w:rPr>
            </w:pPr>
            <w:r w:rsidRPr="001732AA">
              <w:rPr>
                <w:rFonts w:cs="Arial"/>
              </w:rPr>
              <w:t>Before collecting, using, or sharing employee health information, consider the following questions and compare to answers in #1 above and the federal Americans with Disabilities Act and federal Occupational Safety and Health Act requirements, to the extent applicable.</w:t>
            </w:r>
          </w:p>
          <w:p w14:paraId="054512EF" w14:textId="77777777" w:rsidR="00F44300" w:rsidRPr="001732AA" w:rsidRDefault="00F44300" w:rsidP="00AE177B">
            <w:pPr>
              <w:rPr>
                <w:rFonts w:cs="Arial"/>
              </w:rPr>
            </w:pPr>
          </w:p>
        </w:tc>
      </w:tr>
      <w:tr w:rsidR="00F44300" w:rsidRPr="001732AA" w14:paraId="261A68B6" w14:textId="77777777" w:rsidTr="003B7F54">
        <w:trPr>
          <w:cantSplit/>
        </w:trPr>
        <w:tc>
          <w:tcPr>
            <w:tcW w:w="5677" w:type="dxa"/>
            <w:gridSpan w:val="3"/>
            <w:tcMar>
              <w:top w:w="58" w:type="dxa"/>
              <w:left w:w="130" w:type="dxa"/>
              <w:bottom w:w="58" w:type="dxa"/>
              <w:right w:w="115" w:type="dxa"/>
            </w:tcMar>
            <w:vAlign w:val="center"/>
          </w:tcPr>
          <w:p w14:paraId="40791EC3" w14:textId="77777777" w:rsidR="00F44300" w:rsidRPr="001732AA" w:rsidRDefault="00F44300" w:rsidP="00064835">
            <w:pPr>
              <w:rPr>
                <w:rFonts w:cs="Arial"/>
              </w:rPr>
            </w:pPr>
            <w:r w:rsidRPr="001732AA">
              <w:rPr>
                <w:rFonts w:cs="Arial"/>
              </w:rPr>
              <w:t>Collection:</w:t>
            </w:r>
          </w:p>
        </w:tc>
        <w:tc>
          <w:tcPr>
            <w:tcW w:w="8633" w:type="dxa"/>
            <w:tcMar>
              <w:top w:w="58" w:type="dxa"/>
              <w:left w:w="130" w:type="dxa"/>
              <w:bottom w:w="58" w:type="dxa"/>
              <w:right w:w="115" w:type="dxa"/>
            </w:tcMar>
            <w:vAlign w:val="center"/>
          </w:tcPr>
          <w:p w14:paraId="019E045F" w14:textId="77777777" w:rsidR="00F44300" w:rsidRPr="001732AA" w:rsidRDefault="00F44300" w:rsidP="00064835">
            <w:pPr>
              <w:rPr>
                <w:rFonts w:cs="Arial"/>
              </w:rPr>
            </w:pPr>
          </w:p>
        </w:tc>
      </w:tr>
      <w:tr w:rsidR="00F44300" w:rsidRPr="001732AA" w14:paraId="5106C9C7" w14:textId="77777777" w:rsidTr="003B7F54">
        <w:trPr>
          <w:cantSplit/>
        </w:trPr>
        <w:tc>
          <w:tcPr>
            <w:tcW w:w="540" w:type="dxa"/>
            <w:tcMar>
              <w:top w:w="58" w:type="dxa"/>
              <w:left w:w="130" w:type="dxa"/>
              <w:bottom w:w="58" w:type="dxa"/>
              <w:right w:w="115" w:type="dxa"/>
            </w:tcMar>
            <w:vAlign w:val="center"/>
          </w:tcPr>
          <w:p w14:paraId="5E2FCA6F"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6A75F221" w14:textId="77777777" w:rsidR="00F44300" w:rsidRPr="001732AA" w:rsidRDefault="00F44300" w:rsidP="00064835">
            <w:pPr>
              <w:rPr>
                <w:rFonts w:cs="Arial"/>
              </w:rPr>
            </w:pPr>
            <w:r w:rsidRPr="001732AA">
              <w:rPr>
                <w:rFonts w:cs="Arial"/>
              </w:rPr>
              <w:t>Under what role is the public health agency collecting the information (e.g., public health authority, healthcare provider, or employer)?</w:t>
            </w:r>
          </w:p>
        </w:tc>
        <w:tc>
          <w:tcPr>
            <w:tcW w:w="8633" w:type="dxa"/>
            <w:tcMar>
              <w:top w:w="58" w:type="dxa"/>
              <w:left w:w="130" w:type="dxa"/>
              <w:bottom w:w="58" w:type="dxa"/>
              <w:right w:w="115" w:type="dxa"/>
            </w:tcMar>
            <w:vAlign w:val="center"/>
          </w:tcPr>
          <w:p w14:paraId="49D6D06D" w14:textId="77777777" w:rsidR="00F44300" w:rsidRPr="001732AA" w:rsidRDefault="00F44300" w:rsidP="00064835">
            <w:pPr>
              <w:rPr>
                <w:rFonts w:cs="Arial"/>
              </w:rPr>
            </w:pPr>
          </w:p>
        </w:tc>
      </w:tr>
      <w:tr w:rsidR="00F44300" w:rsidRPr="001732AA" w14:paraId="3690C20F" w14:textId="77777777" w:rsidTr="003B7F54">
        <w:trPr>
          <w:cantSplit/>
        </w:trPr>
        <w:tc>
          <w:tcPr>
            <w:tcW w:w="540" w:type="dxa"/>
            <w:tcMar>
              <w:top w:w="58" w:type="dxa"/>
              <w:left w:w="130" w:type="dxa"/>
              <w:bottom w:w="58" w:type="dxa"/>
              <w:right w:w="115" w:type="dxa"/>
            </w:tcMar>
            <w:vAlign w:val="center"/>
          </w:tcPr>
          <w:p w14:paraId="0C77AB84"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65FBA0B9" w14:textId="77777777" w:rsidR="00F44300" w:rsidRPr="001732AA" w:rsidRDefault="00F44300" w:rsidP="00064835">
            <w:pPr>
              <w:rPr>
                <w:rFonts w:cs="Arial"/>
              </w:rPr>
            </w:pPr>
            <w:r w:rsidRPr="001732AA">
              <w:rPr>
                <w:rFonts w:cs="Arial"/>
              </w:rPr>
              <w:t>What health information is being collected?</w:t>
            </w:r>
          </w:p>
        </w:tc>
        <w:tc>
          <w:tcPr>
            <w:tcW w:w="8633" w:type="dxa"/>
            <w:tcMar>
              <w:top w:w="58" w:type="dxa"/>
              <w:left w:w="130" w:type="dxa"/>
              <w:bottom w:w="58" w:type="dxa"/>
              <w:right w:w="115" w:type="dxa"/>
            </w:tcMar>
            <w:vAlign w:val="center"/>
          </w:tcPr>
          <w:p w14:paraId="0151B4C6" w14:textId="77777777" w:rsidR="00F44300" w:rsidRPr="001732AA" w:rsidRDefault="00F44300" w:rsidP="00064835">
            <w:pPr>
              <w:rPr>
                <w:rFonts w:cs="Arial"/>
              </w:rPr>
            </w:pPr>
          </w:p>
        </w:tc>
      </w:tr>
      <w:tr w:rsidR="00F44300" w:rsidRPr="001732AA" w14:paraId="3CE8D33C" w14:textId="77777777" w:rsidTr="003B7F54">
        <w:trPr>
          <w:cantSplit/>
        </w:trPr>
        <w:tc>
          <w:tcPr>
            <w:tcW w:w="540" w:type="dxa"/>
            <w:tcMar>
              <w:top w:w="58" w:type="dxa"/>
              <w:left w:w="130" w:type="dxa"/>
              <w:bottom w:w="58" w:type="dxa"/>
              <w:right w:w="115" w:type="dxa"/>
            </w:tcMar>
            <w:vAlign w:val="center"/>
          </w:tcPr>
          <w:p w14:paraId="6A7180C8"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1F665AF7" w14:textId="77777777" w:rsidR="00F44300" w:rsidRPr="001732AA" w:rsidRDefault="00F44300" w:rsidP="00064835">
            <w:pPr>
              <w:rPr>
                <w:rFonts w:cs="Arial"/>
              </w:rPr>
            </w:pPr>
            <w:r w:rsidRPr="001732AA">
              <w:rPr>
                <w:rFonts w:cs="Arial"/>
              </w:rPr>
              <w:t>What is the purpose of collecting the information? E.g.:</w:t>
            </w:r>
          </w:p>
        </w:tc>
        <w:tc>
          <w:tcPr>
            <w:tcW w:w="8633" w:type="dxa"/>
            <w:tcMar>
              <w:top w:w="58" w:type="dxa"/>
              <w:left w:w="130" w:type="dxa"/>
              <w:bottom w:w="58" w:type="dxa"/>
              <w:right w:w="115" w:type="dxa"/>
            </w:tcMar>
            <w:vAlign w:val="center"/>
          </w:tcPr>
          <w:p w14:paraId="34BC7532" w14:textId="77777777" w:rsidR="00F44300" w:rsidRPr="001732AA" w:rsidRDefault="00F44300" w:rsidP="00064835">
            <w:pPr>
              <w:rPr>
                <w:rFonts w:cs="Arial"/>
              </w:rPr>
            </w:pPr>
          </w:p>
        </w:tc>
      </w:tr>
      <w:tr w:rsidR="00F44300" w:rsidRPr="001732AA" w14:paraId="43FC181A" w14:textId="77777777" w:rsidTr="003B7F54">
        <w:trPr>
          <w:cantSplit/>
        </w:trPr>
        <w:tc>
          <w:tcPr>
            <w:tcW w:w="1102" w:type="dxa"/>
            <w:gridSpan w:val="2"/>
            <w:tcMar>
              <w:top w:w="58" w:type="dxa"/>
              <w:left w:w="130" w:type="dxa"/>
              <w:bottom w:w="58" w:type="dxa"/>
              <w:right w:w="115" w:type="dxa"/>
            </w:tcMar>
            <w:vAlign w:val="center"/>
          </w:tcPr>
          <w:p w14:paraId="4AFC76FE" w14:textId="77777777" w:rsidR="00F44300" w:rsidRPr="001732AA" w:rsidRDefault="00F44300" w:rsidP="00064835">
            <w:pPr>
              <w:rPr>
                <w:rFonts w:cs="Arial"/>
              </w:rPr>
            </w:pPr>
          </w:p>
        </w:tc>
        <w:tc>
          <w:tcPr>
            <w:tcW w:w="4575" w:type="dxa"/>
            <w:vAlign w:val="center"/>
          </w:tcPr>
          <w:p w14:paraId="526DD214" w14:textId="77777777" w:rsidR="00F44300" w:rsidRPr="001732AA" w:rsidRDefault="00F44300" w:rsidP="00064835">
            <w:pPr>
              <w:rPr>
                <w:rFonts w:cs="Arial"/>
              </w:rPr>
            </w:pPr>
            <w:r w:rsidRPr="001732AA">
              <w:rPr>
                <w:rFonts w:cs="Arial"/>
              </w:rPr>
              <w:t>To ensure adequate workforce to provide essential services during an emergency.</w:t>
            </w:r>
          </w:p>
        </w:tc>
        <w:tc>
          <w:tcPr>
            <w:tcW w:w="8633" w:type="dxa"/>
            <w:tcMar>
              <w:top w:w="58" w:type="dxa"/>
              <w:left w:w="130" w:type="dxa"/>
              <w:bottom w:w="58" w:type="dxa"/>
              <w:right w:w="115" w:type="dxa"/>
            </w:tcMar>
            <w:vAlign w:val="center"/>
          </w:tcPr>
          <w:p w14:paraId="5A212101" w14:textId="77777777" w:rsidR="00F44300" w:rsidRPr="001732AA" w:rsidRDefault="00F44300" w:rsidP="00064835">
            <w:pPr>
              <w:rPr>
                <w:rFonts w:cs="Arial"/>
              </w:rPr>
            </w:pPr>
          </w:p>
        </w:tc>
      </w:tr>
      <w:tr w:rsidR="00F44300" w:rsidRPr="001732AA" w14:paraId="6FFBF79E" w14:textId="77777777" w:rsidTr="003B7F54">
        <w:trPr>
          <w:cantSplit/>
        </w:trPr>
        <w:tc>
          <w:tcPr>
            <w:tcW w:w="1102" w:type="dxa"/>
            <w:gridSpan w:val="2"/>
            <w:tcMar>
              <w:top w:w="58" w:type="dxa"/>
              <w:left w:w="130" w:type="dxa"/>
              <w:bottom w:w="58" w:type="dxa"/>
              <w:right w:w="115" w:type="dxa"/>
            </w:tcMar>
            <w:vAlign w:val="center"/>
          </w:tcPr>
          <w:p w14:paraId="39357723" w14:textId="77777777" w:rsidR="00F44300" w:rsidRPr="001732AA" w:rsidRDefault="00F44300" w:rsidP="00064835">
            <w:pPr>
              <w:rPr>
                <w:rFonts w:cs="Arial"/>
              </w:rPr>
            </w:pPr>
          </w:p>
        </w:tc>
        <w:tc>
          <w:tcPr>
            <w:tcW w:w="4575" w:type="dxa"/>
            <w:vAlign w:val="center"/>
          </w:tcPr>
          <w:p w14:paraId="53283D73" w14:textId="77777777" w:rsidR="00F44300" w:rsidRPr="001732AA" w:rsidRDefault="00F44300" w:rsidP="00064835">
            <w:pPr>
              <w:rPr>
                <w:rFonts w:cs="Arial"/>
              </w:rPr>
            </w:pPr>
            <w:r w:rsidRPr="001732AA">
              <w:rPr>
                <w:rFonts w:cs="Arial"/>
              </w:rPr>
              <w:t>To protect the employee or coworkers’ exposure to communicable illnesses.</w:t>
            </w:r>
          </w:p>
        </w:tc>
        <w:tc>
          <w:tcPr>
            <w:tcW w:w="8633" w:type="dxa"/>
            <w:tcMar>
              <w:top w:w="58" w:type="dxa"/>
              <w:left w:w="130" w:type="dxa"/>
              <w:bottom w:w="58" w:type="dxa"/>
              <w:right w:w="115" w:type="dxa"/>
            </w:tcMar>
            <w:vAlign w:val="center"/>
          </w:tcPr>
          <w:p w14:paraId="49CA4669" w14:textId="77777777" w:rsidR="00F44300" w:rsidRPr="001732AA" w:rsidRDefault="00F44300" w:rsidP="00064835">
            <w:pPr>
              <w:rPr>
                <w:rFonts w:cs="Arial"/>
              </w:rPr>
            </w:pPr>
          </w:p>
        </w:tc>
      </w:tr>
      <w:tr w:rsidR="00F44300" w:rsidRPr="001732AA" w14:paraId="38C98D70" w14:textId="77777777" w:rsidTr="003B7F54">
        <w:trPr>
          <w:cantSplit/>
        </w:trPr>
        <w:tc>
          <w:tcPr>
            <w:tcW w:w="1102" w:type="dxa"/>
            <w:gridSpan w:val="2"/>
            <w:tcMar>
              <w:top w:w="58" w:type="dxa"/>
              <w:left w:w="130" w:type="dxa"/>
              <w:bottom w:w="58" w:type="dxa"/>
              <w:right w:w="115" w:type="dxa"/>
            </w:tcMar>
            <w:vAlign w:val="center"/>
          </w:tcPr>
          <w:p w14:paraId="3057618F" w14:textId="77777777" w:rsidR="00F44300" w:rsidRPr="001732AA" w:rsidRDefault="00F44300" w:rsidP="00064835">
            <w:pPr>
              <w:rPr>
                <w:rFonts w:cs="Arial"/>
              </w:rPr>
            </w:pPr>
          </w:p>
        </w:tc>
        <w:tc>
          <w:tcPr>
            <w:tcW w:w="4575" w:type="dxa"/>
            <w:vAlign w:val="center"/>
          </w:tcPr>
          <w:p w14:paraId="234679DA" w14:textId="77777777" w:rsidR="00F44300" w:rsidRPr="001732AA" w:rsidRDefault="00F44300" w:rsidP="00064835">
            <w:pPr>
              <w:rPr>
                <w:rFonts w:cs="Arial"/>
              </w:rPr>
            </w:pPr>
            <w:r w:rsidRPr="001732AA">
              <w:rPr>
                <w:rFonts w:cs="Arial"/>
              </w:rPr>
              <w:t>To track exposure to disease, illness, or injury.</w:t>
            </w:r>
          </w:p>
        </w:tc>
        <w:tc>
          <w:tcPr>
            <w:tcW w:w="8633" w:type="dxa"/>
            <w:tcMar>
              <w:top w:w="58" w:type="dxa"/>
              <w:left w:w="130" w:type="dxa"/>
              <w:bottom w:w="58" w:type="dxa"/>
              <w:right w:w="115" w:type="dxa"/>
            </w:tcMar>
            <w:vAlign w:val="center"/>
          </w:tcPr>
          <w:p w14:paraId="61BD5DEF" w14:textId="77777777" w:rsidR="00F44300" w:rsidRPr="001732AA" w:rsidRDefault="00F44300" w:rsidP="00064835">
            <w:pPr>
              <w:rPr>
                <w:rFonts w:cs="Arial"/>
              </w:rPr>
            </w:pPr>
          </w:p>
        </w:tc>
      </w:tr>
      <w:tr w:rsidR="00F44300" w:rsidRPr="001732AA" w14:paraId="2CB6896C" w14:textId="77777777" w:rsidTr="003B7F54">
        <w:trPr>
          <w:cantSplit/>
        </w:trPr>
        <w:tc>
          <w:tcPr>
            <w:tcW w:w="1102" w:type="dxa"/>
            <w:gridSpan w:val="2"/>
            <w:tcMar>
              <w:top w:w="58" w:type="dxa"/>
              <w:left w:w="130" w:type="dxa"/>
              <w:bottom w:w="58" w:type="dxa"/>
              <w:right w:w="115" w:type="dxa"/>
            </w:tcMar>
            <w:vAlign w:val="center"/>
          </w:tcPr>
          <w:p w14:paraId="2743E5F2" w14:textId="77777777" w:rsidR="00F44300" w:rsidRPr="001732AA" w:rsidRDefault="00F44300" w:rsidP="00064835">
            <w:pPr>
              <w:rPr>
                <w:rFonts w:cs="Arial"/>
              </w:rPr>
            </w:pPr>
          </w:p>
        </w:tc>
        <w:tc>
          <w:tcPr>
            <w:tcW w:w="4575" w:type="dxa"/>
            <w:vAlign w:val="center"/>
          </w:tcPr>
          <w:p w14:paraId="72D929BC" w14:textId="77777777" w:rsidR="00F44300" w:rsidRPr="001732AA" w:rsidRDefault="00F44300" w:rsidP="00064835">
            <w:pPr>
              <w:rPr>
                <w:rFonts w:cs="Arial"/>
              </w:rPr>
            </w:pPr>
            <w:r w:rsidRPr="001732AA">
              <w:rPr>
                <w:rFonts w:cs="Arial"/>
              </w:rPr>
              <w:t>To obtain appropriate treatment for employee.</w:t>
            </w:r>
          </w:p>
        </w:tc>
        <w:tc>
          <w:tcPr>
            <w:tcW w:w="8633" w:type="dxa"/>
            <w:tcMar>
              <w:top w:w="58" w:type="dxa"/>
              <w:left w:w="130" w:type="dxa"/>
              <w:bottom w:w="58" w:type="dxa"/>
              <w:right w:w="115" w:type="dxa"/>
            </w:tcMar>
            <w:vAlign w:val="center"/>
          </w:tcPr>
          <w:p w14:paraId="102313AD" w14:textId="77777777" w:rsidR="00F44300" w:rsidRPr="001732AA" w:rsidRDefault="00F44300" w:rsidP="00064835">
            <w:pPr>
              <w:rPr>
                <w:rFonts w:cs="Arial"/>
              </w:rPr>
            </w:pPr>
          </w:p>
        </w:tc>
      </w:tr>
      <w:tr w:rsidR="00F44300" w:rsidRPr="001732AA" w14:paraId="27459CAA" w14:textId="77777777" w:rsidTr="003B7F54">
        <w:trPr>
          <w:cantSplit/>
        </w:trPr>
        <w:tc>
          <w:tcPr>
            <w:tcW w:w="1102" w:type="dxa"/>
            <w:gridSpan w:val="2"/>
            <w:tcMar>
              <w:top w:w="58" w:type="dxa"/>
              <w:left w:w="130" w:type="dxa"/>
              <w:bottom w:w="58" w:type="dxa"/>
              <w:right w:w="115" w:type="dxa"/>
            </w:tcMar>
            <w:vAlign w:val="center"/>
          </w:tcPr>
          <w:p w14:paraId="71C2C933" w14:textId="77777777" w:rsidR="00F44300" w:rsidRPr="001732AA" w:rsidRDefault="00F44300" w:rsidP="00064835">
            <w:pPr>
              <w:rPr>
                <w:rFonts w:cs="Arial"/>
              </w:rPr>
            </w:pPr>
          </w:p>
        </w:tc>
        <w:tc>
          <w:tcPr>
            <w:tcW w:w="4575" w:type="dxa"/>
            <w:vAlign w:val="center"/>
          </w:tcPr>
          <w:p w14:paraId="58ADA8FB" w14:textId="77777777" w:rsidR="00F44300" w:rsidRPr="001732AA" w:rsidRDefault="00F44300" w:rsidP="00064835">
            <w:pPr>
              <w:rPr>
                <w:rFonts w:cs="Arial"/>
              </w:rPr>
            </w:pPr>
            <w:r w:rsidRPr="001732AA">
              <w:rPr>
                <w:rFonts w:cs="Arial"/>
              </w:rPr>
              <w:t>Other.</w:t>
            </w:r>
          </w:p>
        </w:tc>
        <w:tc>
          <w:tcPr>
            <w:tcW w:w="8633" w:type="dxa"/>
            <w:tcMar>
              <w:top w:w="58" w:type="dxa"/>
              <w:left w:w="130" w:type="dxa"/>
              <w:bottom w:w="58" w:type="dxa"/>
              <w:right w:w="115" w:type="dxa"/>
            </w:tcMar>
            <w:vAlign w:val="center"/>
          </w:tcPr>
          <w:p w14:paraId="19387DFA" w14:textId="77777777" w:rsidR="00F44300" w:rsidRPr="001732AA" w:rsidRDefault="00F44300" w:rsidP="00064835">
            <w:pPr>
              <w:rPr>
                <w:rFonts w:cs="Arial"/>
              </w:rPr>
            </w:pPr>
          </w:p>
        </w:tc>
      </w:tr>
      <w:tr w:rsidR="00F44300" w:rsidRPr="001732AA" w14:paraId="1A6E4CDF" w14:textId="77777777" w:rsidTr="003B7F54">
        <w:trPr>
          <w:cantSplit/>
        </w:trPr>
        <w:tc>
          <w:tcPr>
            <w:tcW w:w="540" w:type="dxa"/>
            <w:tcMar>
              <w:top w:w="58" w:type="dxa"/>
              <w:left w:w="130" w:type="dxa"/>
              <w:bottom w:w="58" w:type="dxa"/>
              <w:right w:w="115" w:type="dxa"/>
            </w:tcMar>
            <w:vAlign w:val="center"/>
          </w:tcPr>
          <w:p w14:paraId="3497EC1E"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434A03E1" w14:textId="77777777" w:rsidR="00F44300" w:rsidRPr="001732AA" w:rsidRDefault="00F44300" w:rsidP="00D603CE">
            <w:pPr>
              <w:rPr>
                <w:rFonts w:cs="Arial"/>
              </w:rPr>
            </w:pPr>
            <w:r w:rsidRPr="001732AA">
              <w:rPr>
                <w:rFonts w:cs="Arial"/>
              </w:rPr>
              <w:t>In what form is the information being collected (e.g., written, electronic, etc.)?</w:t>
            </w:r>
          </w:p>
        </w:tc>
        <w:tc>
          <w:tcPr>
            <w:tcW w:w="8633" w:type="dxa"/>
            <w:tcMar>
              <w:top w:w="58" w:type="dxa"/>
              <w:left w:w="130" w:type="dxa"/>
              <w:bottom w:w="58" w:type="dxa"/>
              <w:right w:w="115" w:type="dxa"/>
            </w:tcMar>
            <w:vAlign w:val="center"/>
          </w:tcPr>
          <w:p w14:paraId="0983A56F" w14:textId="77777777" w:rsidR="00F44300" w:rsidRPr="001732AA" w:rsidRDefault="00F44300" w:rsidP="00064835">
            <w:pPr>
              <w:rPr>
                <w:rFonts w:cs="Arial"/>
              </w:rPr>
            </w:pPr>
          </w:p>
        </w:tc>
      </w:tr>
      <w:tr w:rsidR="00F44300" w:rsidRPr="001732AA" w14:paraId="23DCBBF4" w14:textId="77777777" w:rsidTr="003B7F54">
        <w:trPr>
          <w:cantSplit/>
        </w:trPr>
        <w:tc>
          <w:tcPr>
            <w:tcW w:w="540" w:type="dxa"/>
            <w:tcMar>
              <w:top w:w="58" w:type="dxa"/>
              <w:left w:w="130" w:type="dxa"/>
              <w:bottom w:w="58" w:type="dxa"/>
              <w:right w:w="115" w:type="dxa"/>
            </w:tcMar>
            <w:vAlign w:val="center"/>
          </w:tcPr>
          <w:p w14:paraId="1487CDAC"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38E9FDFA" w14:textId="77777777" w:rsidR="00F44300" w:rsidRPr="001732AA" w:rsidRDefault="00F44300" w:rsidP="00064835">
            <w:pPr>
              <w:rPr>
                <w:rFonts w:cs="Arial"/>
              </w:rPr>
            </w:pPr>
            <w:r w:rsidRPr="001732AA">
              <w:rPr>
                <w:rFonts w:cs="Arial"/>
              </w:rPr>
              <w:t>Is the collection appropriate and consistent with applicable laws?</w:t>
            </w:r>
          </w:p>
        </w:tc>
        <w:tc>
          <w:tcPr>
            <w:tcW w:w="8633" w:type="dxa"/>
            <w:tcMar>
              <w:top w:w="58" w:type="dxa"/>
              <w:left w:w="130" w:type="dxa"/>
              <w:bottom w:w="58" w:type="dxa"/>
              <w:right w:w="115" w:type="dxa"/>
            </w:tcMar>
            <w:vAlign w:val="center"/>
          </w:tcPr>
          <w:p w14:paraId="03C12608" w14:textId="77777777" w:rsidR="00F44300" w:rsidRPr="001732AA" w:rsidRDefault="00F44300" w:rsidP="00064835">
            <w:pPr>
              <w:rPr>
                <w:rFonts w:cs="Arial"/>
              </w:rPr>
            </w:pPr>
          </w:p>
        </w:tc>
      </w:tr>
      <w:tr w:rsidR="00F44300" w:rsidRPr="001732AA" w14:paraId="3ECBF90D" w14:textId="77777777" w:rsidTr="003B7F54">
        <w:trPr>
          <w:cantSplit/>
        </w:trPr>
        <w:tc>
          <w:tcPr>
            <w:tcW w:w="540" w:type="dxa"/>
            <w:tcMar>
              <w:top w:w="58" w:type="dxa"/>
              <w:left w:w="130" w:type="dxa"/>
              <w:bottom w:w="58" w:type="dxa"/>
              <w:right w:w="115" w:type="dxa"/>
            </w:tcMar>
            <w:vAlign w:val="center"/>
          </w:tcPr>
          <w:p w14:paraId="66233836"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70304EC6" w14:textId="77777777" w:rsidR="00F44300" w:rsidRPr="001732AA" w:rsidRDefault="00F44300" w:rsidP="00064835">
            <w:pPr>
              <w:rPr>
                <w:rFonts w:cs="Arial"/>
              </w:rPr>
            </w:pPr>
          </w:p>
        </w:tc>
        <w:tc>
          <w:tcPr>
            <w:tcW w:w="8633" w:type="dxa"/>
            <w:tcMar>
              <w:top w:w="58" w:type="dxa"/>
              <w:left w:w="130" w:type="dxa"/>
              <w:bottom w:w="58" w:type="dxa"/>
              <w:right w:w="115" w:type="dxa"/>
            </w:tcMar>
            <w:vAlign w:val="center"/>
          </w:tcPr>
          <w:p w14:paraId="084AF5FF" w14:textId="77777777" w:rsidR="00F44300" w:rsidRPr="001732AA" w:rsidRDefault="00F44300" w:rsidP="00064835">
            <w:pPr>
              <w:rPr>
                <w:rFonts w:cs="Arial"/>
              </w:rPr>
            </w:pPr>
          </w:p>
        </w:tc>
      </w:tr>
      <w:tr w:rsidR="00F44300" w:rsidRPr="001732AA" w14:paraId="6A30C0E1" w14:textId="77777777" w:rsidTr="003B7F54">
        <w:trPr>
          <w:cantSplit/>
        </w:trPr>
        <w:tc>
          <w:tcPr>
            <w:tcW w:w="5677" w:type="dxa"/>
            <w:gridSpan w:val="3"/>
            <w:tcMar>
              <w:top w:w="58" w:type="dxa"/>
              <w:left w:w="130" w:type="dxa"/>
              <w:bottom w:w="58" w:type="dxa"/>
              <w:right w:w="115" w:type="dxa"/>
            </w:tcMar>
            <w:vAlign w:val="center"/>
          </w:tcPr>
          <w:p w14:paraId="321E3127" w14:textId="77777777" w:rsidR="00F44300" w:rsidRPr="001732AA" w:rsidRDefault="00F44300" w:rsidP="00064835">
            <w:pPr>
              <w:rPr>
                <w:rFonts w:cs="Arial"/>
              </w:rPr>
            </w:pPr>
            <w:r w:rsidRPr="001732AA">
              <w:rPr>
                <w:rFonts w:cs="Arial"/>
              </w:rPr>
              <w:lastRenderedPageBreak/>
              <w:t>Use:</w:t>
            </w:r>
          </w:p>
        </w:tc>
        <w:tc>
          <w:tcPr>
            <w:tcW w:w="8633" w:type="dxa"/>
            <w:tcMar>
              <w:top w:w="58" w:type="dxa"/>
              <w:left w:w="130" w:type="dxa"/>
              <w:bottom w:w="58" w:type="dxa"/>
              <w:right w:w="115" w:type="dxa"/>
            </w:tcMar>
            <w:vAlign w:val="center"/>
          </w:tcPr>
          <w:p w14:paraId="4B507F4E" w14:textId="77777777" w:rsidR="00F44300" w:rsidRPr="001732AA" w:rsidRDefault="00F44300" w:rsidP="00064835">
            <w:pPr>
              <w:rPr>
                <w:rFonts w:cs="Arial"/>
              </w:rPr>
            </w:pPr>
          </w:p>
        </w:tc>
      </w:tr>
      <w:tr w:rsidR="00F44300" w:rsidRPr="001732AA" w14:paraId="2B1C0D7C" w14:textId="77777777" w:rsidTr="003B7F54">
        <w:trPr>
          <w:cantSplit/>
        </w:trPr>
        <w:tc>
          <w:tcPr>
            <w:tcW w:w="540" w:type="dxa"/>
            <w:tcMar>
              <w:top w:w="58" w:type="dxa"/>
              <w:left w:w="130" w:type="dxa"/>
              <w:bottom w:w="58" w:type="dxa"/>
              <w:right w:w="115" w:type="dxa"/>
            </w:tcMar>
            <w:vAlign w:val="center"/>
          </w:tcPr>
          <w:p w14:paraId="6B646701"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05D08774" w14:textId="77777777" w:rsidR="00F44300" w:rsidRPr="001732AA" w:rsidRDefault="00F44300" w:rsidP="00064835">
            <w:pPr>
              <w:rPr>
                <w:rFonts w:cs="Arial"/>
              </w:rPr>
            </w:pPr>
            <w:r w:rsidRPr="001732AA">
              <w:rPr>
                <w:rFonts w:cs="Arial"/>
              </w:rPr>
              <w:t>What is the data being used for?</w:t>
            </w:r>
          </w:p>
        </w:tc>
        <w:tc>
          <w:tcPr>
            <w:tcW w:w="8633" w:type="dxa"/>
            <w:tcMar>
              <w:top w:w="58" w:type="dxa"/>
              <w:left w:w="130" w:type="dxa"/>
              <w:bottom w:w="58" w:type="dxa"/>
              <w:right w:w="115" w:type="dxa"/>
            </w:tcMar>
            <w:vAlign w:val="center"/>
          </w:tcPr>
          <w:p w14:paraId="2BE92ACF" w14:textId="77777777" w:rsidR="00F44300" w:rsidRPr="001732AA" w:rsidRDefault="00F44300" w:rsidP="00064835">
            <w:pPr>
              <w:rPr>
                <w:rFonts w:cs="Arial"/>
              </w:rPr>
            </w:pPr>
          </w:p>
        </w:tc>
      </w:tr>
      <w:tr w:rsidR="00F44300" w:rsidRPr="001732AA" w14:paraId="77DABA8D" w14:textId="77777777" w:rsidTr="003B7F54">
        <w:trPr>
          <w:cantSplit/>
        </w:trPr>
        <w:tc>
          <w:tcPr>
            <w:tcW w:w="540" w:type="dxa"/>
            <w:tcMar>
              <w:top w:w="58" w:type="dxa"/>
              <w:left w:w="130" w:type="dxa"/>
              <w:bottom w:w="58" w:type="dxa"/>
              <w:right w:w="115" w:type="dxa"/>
            </w:tcMar>
            <w:vAlign w:val="center"/>
          </w:tcPr>
          <w:p w14:paraId="6E3E100E" w14:textId="77777777" w:rsidR="00F44300" w:rsidRPr="001732AA" w:rsidRDefault="00F44300" w:rsidP="00064835">
            <w:pPr>
              <w:rPr>
                <w:rFonts w:cs="Arial"/>
              </w:rPr>
            </w:pPr>
          </w:p>
        </w:tc>
        <w:tc>
          <w:tcPr>
            <w:tcW w:w="5137" w:type="dxa"/>
            <w:gridSpan w:val="2"/>
            <w:vAlign w:val="center"/>
          </w:tcPr>
          <w:p w14:paraId="5DFAEA43" w14:textId="77777777" w:rsidR="00F44300" w:rsidRPr="001732AA" w:rsidRDefault="00F44300" w:rsidP="00064835">
            <w:pPr>
              <w:rPr>
                <w:rFonts w:cs="Arial"/>
              </w:rPr>
            </w:pPr>
            <w:r w:rsidRPr="001732AA">
              <w:rPr>
                <w:rFonts w:cs="Arial"/>
              </w:rPr>
              <w:t>If required, has the employee authorized the use of their health information?</w:t>
            </w:r>
          </w:p>
        </w:tc>
        <w:tc>
          <w:tcPr>
            <w:tcW w:w="8633" w:type="dxa"/>
            <w:tcMar>
              <w:top w:w="58" w:type="dxa"/>
              <w:left w:w="130" w:type="dxa"/>
              <w:bottom w:w="58" w:type="dxa"/>
              <w:right w:w="115" w:type="dxa"/>
            </w:tcMar>
            <w:vAlign w:val="center"/>
          </w:tcPr>
          <w:p w14:paraId="7DF9EBDF" w14:textId="77777777" w:rsidR="00F44300" w:rsidRPr="001732AA" w:rsidRDefault="00F44300" w:rsidP="00064835">
            <w:pPr>
              <w:rPr>
                <w:rFonts w:cs="Arial"/>
              </w:rPr>
            </w:pPr>
          </w:p>
        </w:tc>
      </w:tr>
      <w:tr w:rsidR="00F44300" w:rsidRPr="001732AA" w14:paraId="173EBCC7" w14:textId="77777777" w:rsidTr="003B7F54">
        <w:trPr>
          <w:cantSplit/>
        </w:trPr>
        <w:tc>
          <w:tcPr>
            <w:tcW w:w="540" w:type="dxa"/>
            <w:tcMar>
              <w:top w:w="58" w:type="dxa"/>
              <w:left w:w="130" w:type="dxa"/>
              <w:bottom w:w="58" w:type="dxa"/>
              <w:right w:w="115" w:type="dxa"/>
            </w:tcMar>
            <w:vAlign w:val="center"/>
          </w:tcPr>
          <w:p w14:paraId="1D33ACD5" w14:textId="77777777" w:rsidR="00F44300" w:rsidRPr="001732AA" w:rsidRDefault="00F44300" w:rsidP="00064835">
            <w:pPr>
              <w:rPr>
                <w:rFonts w:cs="Arial"/>
              </w:rPr>
            </w:pPr>
          </w:p>
        </w:tc>
        <w:tc>
          <w:tcPr>
            <w:tcW w:w="5137" w:type="dxa"/>
            <w:gridSpan w:val="2"/>
            <w:vAlign w:val="center"/>
          </w:tcPr>
          <w:p w14:paraId="627A39B9" w14:textId="77777777" w:rsidR="00F44300" w:rsidRPr="001732AA" w:rsidRDefault="00F44300" w:rsidP="00A42B85">
            <w:pPr>
              <w:rPr>
                <w:rFonts w:cs="Arial"/>
              </w:rPr>
            </w:pPr>
            <w:r w:rsidRPr="001732AA">
              <w:rPr>
                <w:rFonts w:cs="Arial"/>
              </w:rPr>
              <w:t>Is the use appropriate and consistent with applicable laws?</w:t>
            </w:r>
          </w:p>
        </w:tc>
        <w:tc>
          <w:tcPr>
            <w:tcW w:w="8633" w:type="dxa"/>
            <w:tcMar>
              <w:top w:w="58" w:type="dxa"/>
              <w:left w:w="130" w:type="dxa"/>
              <w:bottom w:w="58" w:type="dxa"/>
              <w:right w:w="115" w:type="dxa"/>
            </w:tcMar>
            <w:vAlign w:val="center"/>
          </w:tcPr>
          <w:p w14:paraId="06055FF4" w14:textId="77777777" w:rsidR="00F44300" w:rsidRPr="001732AA" w:rsidRDefault="00F44300" w:rsidP="00064835">
            <w:pPr>
              <w:rPr>
                <w:rFonts w:cs="Arial"/>
              </w:rPr>
            </w:pPr>
          </w:p>
        </w:tc>
      </w:tr>
      <w:tr w:rsidR="00F44300" w:rsidRPr="001732AA" w14:paraId="0CBDD746" w14:textId="77777777" w:rsidTr="003B7F54">
        <w:trPr>
          <w:cantSplit/>
        </w:trPr>
        <w:tc>
          <w:tcPr>
            <w:tcW w:w="540" w:type="dxa"/>
            <w:tcMar>
              <w:top w:w="58" w:type="dxa"/>
              <w:left w:w="130" w:type="dxa"/>
              <w:bottom w:w="58" w:type="dxa"/>
              <w:right w:w="115" w:type="dxa"/>
            </w:tcMar>
            <w:vAlign w:val="center"/>
          </w:tcPr>
          <w:p w14:paraId="5CDCED6A" w14:textId="77777777" w:rsidR="00F44300" w:rsidRPr="001732AA" w:rsidRDefault="00F44300" w:rsidP="00064835">
            <w:pPr>
              <w:rPr>
                <w:rFonts w:cs="Arial"/>
              </w:rPr>
            </w:pPr>
          </w:p>
        </w:tc>
        <w:tc>
          <w:tcPr>
            <w:tcW w:w="5137" w:type="dxa"/>
            <w:gridSpan w:val="2"/>
            <w:vAlign w:val="center"/>
          </w:tcPr>
          <w:p w14:paraId="228CF485" w14:textId="77777777" w:rsidR="00F44300" w:rsidRPr="001732AA" w:rsidRDefault="00F44300" w:rsidP="00A42B85">
            <w:pPr>
              <w:rPr>
                <w:rFonts w:cs="Arial"/>
              </w:rPr>
            </w:pPr>
          </w:p>
        </w:tc>
        <w:tc>
          <w:tcPr>
            <w:tcW w:w="8633" w:type="dxa"/>
            <w:tcMar>
              <w:top w:w="58" w:type="dxa"/>
              <w:left w:w="130" w:type="dxa"/>
              <w:bottom w:w="58" w:type="dxa"/>
              <w:right w:w="115" w:type="dxa"/>
            </w:tcMar>
            <w:vAlign w:val="center"/>
          </w:tcPr>
          <w:p w14:paraId="148D5335" w14:textId="77777777" w:rsidR="00F44300" w:rsidRPr="001732AA" w:rsidRDefault="00F44300" w:rsidP="00064835">
            <w:pPr>
              <w:rPr>
                <w:rFonts w:cs="Arial"/>
              </w:rPr>
            </w:pPr>
          </w:p>
        </w:tc>
      </w:tr>
      <w:tr w:rsidR="00F44300" w:rsidRPr="001732AA" w14:paraId="08158D7B" w14:textId="77777777" w:rsidTr="003B7F54">
        <w:trPr>
          <w:cantSplit/>
        </w:trPr>
        <w:tc>
          <w:tcPr>
            <w:tcW w:w="5677" w:type="dxa"/>
            <w:gridSpan w:val="3"/>
            <w:tcMar>
              <w:top w:w="58" w:type="dxa"/>
              <w:left w:w="130" w:type="dxa"/>
              <w:bottom w:w="58" w:type="dxa"/>
              <w:right w:w="115" w:type="dxa"/>
            </w:tcMar>
            <w:vAlign w:val="center"/>
          </w:tcPr>
          <w:p w14:paraId="69F842B0" w14:textId="77777777" w:rsidR="00F44300" w:rsidRPr="001732AA" w:rsidRDefault="00F44300" w:rsidP="00064835">
            <w:pPr>
              <w:rPr>
                <w:rFonts w:cs="Arial"/>
              </w:rPr>
            </w:pPr>
            <w:r w:rsidRPr="001732AA">
              <w:rPr>
                <w:rFonts w:cs="Arial"/>
              </w:rPr>
              <w:t>Disclosure:</w:t>
            </w:r>
          </w:p>
        </w:tc>
        <w:tc>
          <w:tcPr>
            <w:tcW w:w="8633" w:type="dxa"/>
            <w:tcMar>
              <w:top w:w="58" w:type="dxa"/>
              <w:left w:w="130" w:type="dxa"/>
              <w:bottom w:w="58" w:type="dxa"/>
              <w:right w:w="115" w:type="dxa"/>
            </w:tcMar>
            <w:vAlign w:val="center"/>
          </w:tcPr>
          <w:p w14:paraId="742344DB" w14:textId="77777777" w:rsidR="00F44300" w:rsidRPr="001732AA" w:rsidRDefault="00F44300" w:rsidP="00064835">
            <w:pPr>
              <w:rPr>
                <w:rFonts w:cs="Arial"/>
              </w:rPr>
            </w:pPr>
          </w:p>
        </w:tc>
      </w:tr>
      <w:tr w:rsidR="00F44300" w:rsidRPr="001732AA" w14:paraId="75E73F4E" w14:textId="77777777" w:rsidTr="003B7F54">
        <w:trPr>
          <w:cantSplit/>
        </w:trPr>
        <w:tc>
          <w:tcPr>
            <w:tcW w:w="540" w:type="dxa"/>
            <w:tcMar>
              <w:top w:w="58" w:type="dxa"/>
              <w:left w:w="130" w:type="dxa"/>
              <w:bottom w:w="58" w:type="dxa"/>
              <w:right w:w="115" w:type="dxa"/>
            </w:tcMar>
            <w:vAlign w:val="center"/>
          </w:tcPr>
          <w:p w14:paraId="3DE16E57"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0C52E476" w14:textId="77777777" w:rsidR="00F44300" w:rsidRPr="001732AA" w:rsidRDefault="00F44300" w:rsidP="00064835">
            <w:pPr>
              <w:rPr>
                <w:rFonts w:cs="Arial"/>
              </w:rPr>
            </w:pPr>
            <w:r w:rsidRPr="001732AA">
              <w:rPr>
                <w:rFonts w:cs="Arial"/>
              </w:rPr>
              <w:t>Who is requesting the data disclosure?</w:t>
            </w:r>
          </w:p>
        </w:tc>
        <w:tc>
          <w:tcPr>
            <w:tcW w:w="8633" w:type="dxa"/>
            <w:tcMar>
              <w:top w:w="58" w:type="dxa"/>
              <w:left w:w="130" w:type="dxa"/>
              <w:bottom w:w="58" w:type="dxa"/>
              <w:right w:w="115" w:type="dxa"/>
            </w:tcMar>
            <w:vAlign w:val="center"/>
          </w:tcPr>
          <w:p w14:paraId="63134913" w14:textId="77777777" w:rsidR="00F44300" w:rsidRPr="001732AA" w:rsidRDefault="00F44300" w:rsidP="00064835">
            <w:pPr>
              <w:rPr>
                <w:rFonts w:cs="Arial"/>
              </w:rPr>
            </w:pPr>
          </w:p>
        </w:tc>
      </w:tr>
      <w:tr w:rsidR="00F44300" w:rsidRPr="001732AA" w14:paraId="1C01A520" w14:textId="77777777" w:rsidTr="003B7F54">
        <w:trPr>
          <w:cantSplit/>
        </w:trPr>
        <w:tc>
          <w:tcPr>
            <w:tcW w:w="540" w:type="dxa"/>
            <w:tcMar>
              <w:top w:w="58" w:type="dxa"/>
              <w:left w:w="130" w:type="dxa"/>
              <w:bottom w:w="58" w:type="dxa"/>
              <w:right w:w="115" w:type="dxa"/>
            </w:tcMar>
            <w:vAlign w:val="center"/>
          </w:tcPr>
          <w:p w14:paraId="437498A2"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6B105E15" w14:textId="77777777" w:rsidR="00F44300" w:rsidRPr="001732AA" w:rsidRDefault="00F44300" w:rsidP="00064835">
            <w:pPr>
              <w:rPr>
                <w:rFonts w:cs="Arial"/>
              </w:rPr>
            </w:pPr>
            <w:r w:rsidRPr="001732AA">
              <w:rPr>
                <w:rFonts w:cs="Arial"/>
              </w:rPr>
              <w:t>What is the information request’s purpose?</w:t>
            </w:r>
          </w:p>
        </w:tc>
        <w:tc>
          <w:tcPr>
            <w:tcW w:w="8633" w:type="dxa"/>
            <w:tcMar>
              <w:top w:w="58" w:type="dxa"/>
              <w:left w:w="130" w:type="dxa"/>
              <w:bottom w:w="58" w:type="dxa"/>
              <w:right w:w="115" w:type="dxa"/>
            </w:tcMar>
            <w:vAlign w:val="center"/>
          </w:tcPr>
          <w:p w14:paraId="6DF646A9" w14:textId="77777777" w:rsidR="00F44300" w:rsidRPr="001732AA" w:rsidRDefault="00F44300" w:rsidP="00064835">
            <w:pPr>
              <w:rPr>
                <w:rFonts w:cs="Arial"/>
              </w:rPr>
            </w:pPr>
          </w:p>
        </w:tc>
      </w:tr>
      <w:tr w:rsidR="00F44300" w:rsidRPr="001732AA" w14:paraId="36D48B98" w14:textId="77777777" w:rsidTr="003B7F54">
        <w:trPr>
          <w:cantSplit/>
        </w:trPr>
        <w:tc>
          <w:tcPr>
            <w:tcW w:w="540" w:type="dxa"/>
            <w:tcMar>
              <w:top w:w="58" w:type="dxa"/>
              <w:left w:w="130" w:type="dxa"/>
              <w:bottom w:w="58" w:type="dxa"/>
              <w:right w:w="115" w:type="dxa"/>
            </w:tcMar>
            <w:vAlign w:val="center"/>
          </w:tcPr>
          <w:p w14:paraId="06288D7A"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5CC8346C" w14:textId="77777777" w:rsidR="00F44300" w:rsidRPr="001732AA" w:rsidRDefault="00F44300" w:rsidP="00064835">
            <w:pPr>
              <w:rPr>
                <w:rFonts w:cs="Arial"/>
              </w:rPr>
            </w:pPr>
            <w:r w:rsidRPr="001732AA">
              <w:rPr>
                <w:rFonts w:cs="Arial"/>
              </w:rPr>
              <w:t>What specific information is being requested?</w:t>
            </w:r>
          </w:p>
        </w:tc>
        <w:tc>
          <w:tcPr>
            <w:tcW w:w="8633" w:type="dxa"/>
            <w:tcMar>
              <w:top w:w="58" w:type="dxa"/>
              <w:left w:w="130" w:type="dxa"/>
              <w:bottom w:w="58" w:type="dxa"/>
              <w:right w:w="115" w:type="dxa"/>
            </w:tcMar>
            <w:vAlign w:val="center"/>
          </w:tcPr>
          <w:p w14:paraId="078FE86E" w14:textId="77777777" w:rsidR="00F44300" w:rsidRPr="001732AA" w:rsidRDefault="00F44300" w:rsidP="00064835">
            <w:pPr>
              <w:rPr>
                <w:rFonts w:cs="Arial"/>
              </w:rPr>
            </w:pPr>
          </w:p>
        </w:tc>
      </w:tr>
      <w:tr w:rsidR="00F44300" w:rsidRPr="001732AA" w14:paraId="7CDA2F77" w14:textId="77777777" w:rsidTr="003B7F54">
        <w:trPr>
          <w:cantSplit/>
        </w:trPr>
        <w:tc>
          <w:tcPr>
            <w:tcW w:w="540" w:type="dxa"/>
            <w:tcMar>
              <w:top w:w="58" w:type="dxa"/>
              <w:left w:w="130" w:type="dxa"/>
              <w:bottom w:w="58" w:type="dxa"/>
              <w:right w:w="115" w:type="dxa"/>
            </w:tcMar>
            <w:vAlign w:val="center"/>
          </w:tcPr>
          <w:p w14:paraId="12FC1293"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6B614866" w14:textId="77777777" w:rsidR="00F44300" w:rsidRPr="001732AA" w:rsidRDefault="00F44300" w:rsidP="00064835">
            <w:pPr>
              <w:rPr>
                <w:rFonts w:cs="Arial"/>
              </w:rPr>
            </w:pPr>
            <w:r w:rsidRPr="001732AA">
              <w:rPr>
                <w:rFonts w:cs="Arial"/>
              </w:rPr>
              <w:t>Is the information requested limited to the minimum necessary to fulfill the purpose?</w:t>
            </w:r>
          </w:p>
        </w:tc>
        <w:tc>
          <w:tcPr>
            <w:tcW w:w="8633" w:type="dxa"/>
            <w:tcMar>
              <w:top w:w="58" w:type="dxa"/>
              <w:left w:w="130" w:type="dxa"/>
              <w:bottom w:w="58" w:type="dxa"/>
              <w:right w:w="115" w:type="dxa"/>
            </w:tcMar>
            <w:vAlign w:val="center"/>
          </w:tcPr>
          <w:p w14:paraId="0E235756" w14:textId="77777777" w:rsidR="00F44300" w:rsidRPr="001732AA" w:rsidRDefault="00F44300" w:rsidP="00064835">
            <w:pPr>
              <w:rPr>
                <w:rFonts w:cs="Arial"/>
              </w:rPr>
            </w:pPr>
          </w:p>
        </w:tc>
      </w:tr>
      <w:tr w:rsidR="00F44300" w:rsidRPr="001732AA" w14:paraId="649EB0D8" w14:textId="77777777" w:rsidTr="003B7F54">
        <w:trPr>
          <w:cantSplit/>
        </w:trPr>
        <w:tc>
          <w:tcPr>
            <w:tcW w:w="540" w:type="dxa"/>
            <w:tcMar>
              <w:top w:w="58" w:type="dxa"/>
              <w:left w:w="130" w:type="dxa"/>
              <w:bottom w:w="58" w:type="dxa"/>
              <w:right w:w="115" w:type="dxa"/>
            </w:tcMar>
            <w:vAlign w:val="center"/>
          </w:tcPr>
          <w:p w14:paraId="595BF565"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37E205A0" w14:textId="77777777" w:rsidR="00F44300" w:rsidRPr="001732AA" w:rsidRDefault="00F44300" w:rsidP="001732AA">
            <w:pPr>
              <w:rPr>
                <w:rFonts w:cs="Arial"/>
              </w:rPr>
            </w:pPr>
            <w:r w:rsidRPr="001732AA">
              <w:rPr>
                <w:rFonts w:cs="Arial"/>
              </w:rPr>
              <w:t xml:space="preserve">If disclosure entails responding to a request under the state’s freedom of information law, does an exemption apply? </w:t>
            </w:r>
          </w:p>
        </w:tc>
        <w:tc>
          <w:tcPr>
            <w:tcW w:w="8633" w:type="dxa"/>
            <w:tcMar>
              <w:top w:w="58" w:type="dxa"/>
              <w:left w:w="130" w:type="dxa"/>
              <w:bottom w:w="58" w:type="dxa"/>
              <w:right w:w="115" w:type="dxa"/>
            </w:tcMar>
            <w:vAlign w:val="center"/>
          </w:tcPr>
          <w:p w14:paraId="74FE8E1C" w14:textId="77777777" w:rsidR="00F44300" w:rsidRPr="001732AA" w:rsidRDefault="00F44300" w:rsidP="00064835">
            <w:pPr>
              <w:rPr>
                <w:rFonts w:cs="Arial"/>
              </w:rPr>
            </w:pPr>
          </w:p>
        </w:tc>
      </w:tr>
      <w:tr w:rsidR="00F44300" w:rsidRPr="001732AA" w14:paraId="4698AB69" w14:textId="77777777" w:rsidTr="003B7F54">
        <w:trPr>
          <w:cantSplit/>
        </w:trPr>
        <w:tc>
          <w:tcPr>
            <w:tcW w:w="540" w:type="dxa"/>
            <w:tcMar>
              <w:top w:w="58" w:type="dxa"/>
              <w:left w:w="130" w:type="dxa"/>
              <w:bottom w:w="58" w:type="dxa"/>
              <w:right w:w="115" w:type="dxa"/>
            </w:tcMar>
            <w:vAlign w:val="center"/>
          </w:tcPr>
          <w:p w14:paraId="36F3453B" w14:textId="77777777" w:rsidR="00F44300" w:rsidRPr="001732AA" w:rsidRDefault="00F44300" w:rsidP="00064835">
            <w:pPr>
              <w:rPr>
                <w:rFonts w:cs="Arial"/>
              </w:rPr>
            </w:pPr>
          </w:p>
        </w:tc>
        <w:tc>
          <w:tcPr>
            <w:tcW w:w="5137" w:type="dxa"/>
            <w:gridSpan w:val="2"/>
            <w:tcMar>
              <w:top w:w="58" w:type="dxa"/>
              <w:left w:w="130" w:type="dxa"/>
              <w:bottom w:w="58" w:type="dxa"/>
              <w:right w:w="115" w:type="dxa"/>
            </w:tcMar>
            <w:vAlign w:val="center"/>
          </w:tcPr>
          <w:p w14:paraId="2DB3BE74" w14:textId="77777777" w:rsidR="00F44300" w:rsidRPr="001732AA" w:rsidRDefault="00F44300" w:rsidP="00064835">
            <w:pPr>
              <w:rPr>
                <w:rFonts w:cs="Arial"/>
              </w:rPr>
            </w:pPr>
            <w:r w:rsidRPr="001732AA">
              <w:rPr>
                <w:rFonts w:cs="Arial"/>
              </w:rPr>
              <w:t>If required, has the employee authorized the disclosure of their health information?</w:t>
            </w:r>
          </w:p>
        </w:tc>
        <w:tc>
          <w:tcPr>
            <w:tcW w:w="8633" w:type="dxa"/>
            <w:tcMar>
              <w:top w:w="58" w:type="dxa"/>
              <w:left w:w="130" w:type="dxa"/>
              <w:bottom w:w="58" w:type="dxa"/>
              <w:right w:w="115" w:type="dxa"/>
            </w:tcMar>
            <w:vAlign w:val="center"/>
          </w:tcPr>
          <w:p w14:paraId="639E2FB2" w14:textId="77777777" w:rsidR="00F44300" w:rsidRPr="001732AA" w:rsidRDefault="00F44300" w:rsidP="00064835">
            <w:pPr>
              <w:rPr>
                <w:rFonts w:cs="Arial"/>
              </w:rPr>
            </w:pPr>
          </w:p>
        </w:tc>
      </w:tr>
      <w:tr w:rsidR="00F44300" w:rsidRPr="001732AA" w14:paraId="61759947" w14:textId="77777777" w:rsidTr="003B7F54">
        <w:trPr>
          <w:cantSplit/>
        </w:trPr>
        <w:tc>
          <w:tcPr>
            <w:tcW w:w="540" w:type="dxa"/>
            <w:tcMar>
              <w:top w:w="58" w:type="dxa"/>
              <w:left w:w="130" w:type="dxa"/>
              <w:bottom w:w="58" w:type="dxa"/>
              <w:right w:w="115" w:type="dxa"/>
            </w:tcMar>
            <w:vAlign w:val="center"/>
          </w:tcPr>
          <w:p w14:paraId="69F4BCA0" w14:textId="77777777" w:rsidR="00F44300" w:rsidRPr="001732AA" w:rsidRDefault="00F44300" w:rsidP="001421B0">
            <w:pPr>
              <w:rPr>
                <w:rFonts w:cs="Arial"/>
              </w:rPr>
            </w:pPr>
          </w:p>
        </w:tc>
        <w:tc>
          <w:tcPr>
            <w:tcW w:w="5137" w:type="dxa"/>
            <w:gridSpan w:val="2"/>
            <w:tcMar>
              <w:top w:w="58" w:type="dxa"/>
              <w:left w:w="130" w:type="dxa"/>
              <w:bottom w:w="58" w:type="dxa"/>
              <w:right w:w="115" w:type="dxa"/>
            </w:tcMar>
            <w:vAlign w:val="center"/>
          </w:tcPr>
          <w:p w14:paraId="6CF52C06" w14:textId="77777777" w:rsidR="00F44300" w:rsidRPr="001732AA" w:rsidRDefault="00F44300" w:rsidP="00C726C3">
            <w:pPr>
              <w:rPr>
                <w:rFonts w:cs="Arial"/>
              </w:rPr>
            </w:pPr>
            <w:r w:rsidRPr="001732AA">
              <w:rPr>
                <w:rFonts w:cs="Arial"/>
              </w:rPr>
              <w:t>Is the disclosure appropriate and consistent with applicable laws?</w:t>
            </w:r>
          </w:p>
        </w:tc>
        <w:tc>
          <w:tcPr>
            <w:tcW w:w="8633" w:type="dxa"/>
            <w:tcMar>
              <w:top w:w="58" w:type="dxa"/>
              <w:left w:w="130" w:type="dxa"/>
              <w:bottom w:w="58" w:type="dxa"/>
              <w:right w:w="115" w:type="dxa"/>
            </w:tcMar>
            <w:vAlign w:val="center"/>
          </w:tcPr>
          <w:p w14:paraId="14A6E395" w14:textId="77777777" w:rsidR="00F44300" w:rsidRPr="001732AA" w:rsidRDefault="00F44300" w:rsidP="00064835">
            <w:pPr>
              <w:rPr>
                <w:rFonts w:cs="Arial"/>
              </w:rPr>
            </w:pPr>
          </w:p>
        </w:tc>
      </w:tr>
      <w:tr w:rsidR="00F44300" w:rsidRPr="001732AA" w14:paraId="64F452F4" w14:textId="77777777" w:rsidTr="003B7F54">
        <w:trPr>
          <w:cantSplit/>
        </w:trPr>
        <w:tc>
          <w:tcPr>
            <w:tcW w:w="540" w:type="dxa"/>
            <w:tcMar>
              <w:top w:w="58" w:type="dxa"/>
              <w:left w:w="130" w:type="dxa"/>
              <w:bottom w:w="58" w:type="dxa"/>
              <w:right w:w="115" w:type="dxa"/>
            </w:tcMar>
            <w:vAlign w:val="center"/>
          </w:tcPr>
          <w:p w14:paraId="778623F0" w14:textId="77777777" w:rsidR="00F44300" w:rsidRPr="001732AA" w:rsidRDefault="00F44300" w:rsidP="001421B0">
            <w:pPr>
              <w:rPr>
                <w:rFonts w:cs="Arial"/>
              </w:rPr>
            </w:pPr>
          </w:p>
        </w:tc>
        <w:tc>
          <w:tcPr>
            <w:tcW w:w="5137" w:type="dxa"/>
            <w:gridSpan w:val="2"/>
            <w:tcMar>
              <w:top w:w="58" w:type="dxa"/>
              <w:left w:w="130" w:type="dxa"/>
              <w:bottom w:w="58" w:type="dxa"/>
              <w:right w:w="115" w:type="dxa"/>
            </w:tcMar>
            <w:vAlign w:val="center"/>
          </w:tcPr>
          <w:p w14:paraId="701DA4A6" w14:textId="77777777" w:rsidR="00F44300" w:rsidRPr="001732AA" w:rsidRDefault="00F44300" w:rsidP="00C726C3">
            <w:pPr>
              <w:rPr>
                <w:rFonts w:cs="Arial"/>
              </w:rPr>
            </w:pPr>
          </w:p>
          <w:p w14:paraId="3C4254E3" w14:textId="77777777" w:rsidR="00F44300" w:rsidRPr="001732AA" w:rsidRDefault="00F44300" w:rsidP="00C726C3">
            <w:pPr>
              <w:rPr>
                <w:rFonts w:cs="Arial"/>
              </w:rPr>
            </w:pPr>
          </w:p>
        </w:tc>
        <w:tc>
          <w:tcPr>
            <w:tcW w:w="8633" w:type="dxa"/>
            <w:tcMar>
              <w:top w:w="58" w:type="dxa"/>
              <w:left w:w="130" w:type="dxa"/>
              <w:bottom w:w="58" w:type="dxa"/>
              <w:right w:w="115" w:type="dxa"/>
            </w:tcMar>
            <w:vAlign w:val="center"/>
          </w:tcPr>
          <w:p w14:paraId="57BF678C" w14:textId="77777777" w:rsidR="00F44300" w:rsidRPr="001732AA" w:rsidRDefault="00F44300" w:rsidP="00064835">
            <w:pPr>
              <w:rPr>
                <w:rFonts w:cs="Arial"/>
              </w:rPr>
            </w:pPr>
          </w:p>
        </w:tc>
      </w:tr>
    </w:tbl>
    <w:p w14:paraId="0AEDA0EE" w14:textId="724F66E5" w:rsidR="00840E3B" w:rsidRDefault="00840E3B" w:rsidP="001421B0"/>
    <w:p w14:paraId="6B2B4C5C" w14:textId="771D5849" w:rsidR="00F93EAF" w:rsidRPr="00F93EAF" w:rsidRDefault="00F93EAF" w:rsidP="001421B0">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[TOC Top]</w:t>
        </w:r>
      </w:hyperlink>
    </w:p>
    <w:p w14:paraId="0E7F63A3" w14:textId="77777777" w:rsidR="00840E3B" w:rsidRDefault="00840E3B">
      <w:r>
        <w:br w:type="page"/>
      </w:r>
    </w:p>
    <w:p w14:paraId="0C1F4677" w14:textId="6CA30BC3" w:rsidR="00F44300" w:rsidRPr="001732AA" w:rsidRDefault="00F44300" w:rsidP="001421B0"/>
    <w:p w14:paraId="642E832D" w14:textId="77777777" w:rsidR="00F44300" w:rsidRPr="003830AA" w:rsidRDefault="00F44300" w:rsidP="00540B61">
      <w:pPr>
        <w:spacing w:after="120"/>
        <w:jc w:val="center"/>
        <w:rPr>
          <w:rFonts w:cs="Arial"/>
          <w:b/>
          <w:sz w:val="26"/>
          <w:szCs w:val="26"/>
        </w:rPr>
      </w:pPr>
      <w:r w:rsidRPr="003830AA">
        <w:rPr>
          <w:rFonts w:cs="Arial"/>
          <w:b/>
          <w:sz w:val="26"/>
          <w:szCs w:val="26"/>
        </w:rPr>
        <w:t>State Analysis Guide</w:t>
      </w:r>
    </w:p>
    <w:p w14:paraId="676B3361" w14:textId="77777777" w:rsidR="00F44300" w:rsidRPr="003830AA" w:rsidRDefault="00F44300" w:rsidP="001B540B">
      <w:pPr>
        <w:spacing w:before="120" w:after="120"/>
        <w:jc w:val="center"/>
        <w:rPr>
          <w:rFonts w:cs="Arial"/>
          <w:b/>
          <w:sz w:val="26"/>
          <w:szCs w:val="26"/>
        </w:rPr>
      </w:pPr>
      <w:bookmarkStart w:id="9" w:name="PH_CollectUseShare_SAG"/>
      <w:r w:rsidRPr="003830AA">
        <w:rPr>
          <w:rFonts w:cs="Arial"/>
          <w:b/>
          <w:sz w:val="26"/>
          <w:szCs w:val="26"/>
        </w:rPr>
        <w:t>Public H</w:t>
      </w:r>
      <w:r>
        <w:rPr>
          <w:rFonts w:cs="Arial"/>
          <w:b/>
          <w:sz w:val="26"/>
          <w:szCs w:val="26"/>
        </w:rPr>
        <w:t>ealth Collection, Use, Sharing and</w:t>
      </w:r>
      <w:r w:rsidRPr="003830AA">
        <w:rPr>
          <w:rFonts w:cs="Arial"/>
          <w:b/>
          <w:sz w:val="26"/>
          <w:szCs w:val="26"/>
        </w:rPr>
        <w:t xml:space="preserve"> Protection of Information</w:t>
      </w:r>
      <w:bookmarkEnd w:id="9"/>
    </w:p>
    <w:p w14:paraId="169F0EDF" w14:textId="77777777" w:rsidR="00F44300" w:rsidRPr="00F83BA4" w:rsidRDefault="00F44300" w:rsidP="001421B0"/>
    <w:p w14:paraId="6F0A3370" w14:textId="77777777" w:rsidR="00F44300" w:rsidRPr="00F83BA4" w:rsidRDefault="00F44300" w:rsidP="002A03E4">
      <w:pPr>
        <w:ind w:left="288" w:right="576"/>
        <w:jc w:val="both"/>
        <w:rPr>
          <w:rFonts w:cs="Arial"/>
        </w:rPr>
      </w:pPr>
      <w:r w:rsidRPr="00F83BA4">
        <w:rPr>
          <w:rFonts w:cs="Arial"/>
        </w:rPr>
        <w:t xml:space="preserve">This </w:t>
      </w:r>
      <w:r w:rsidRPr="00F83BA4">
        <w:rPr>
          <w:rFonts w:cs="Arial"/>
          <w:i/>
        </w:rPr>
        <w:t>State Analysis Guide</w:t>
      </w:r>
      <w:r w:rsidRPr="00F83BA4">
        <w:rPr>
          <w:rFonts w:cs="Arial"/>
        </w:rPr>
        <w:t xml:space="preserve"> is intended to assist state health agency staff and legal counsel </w:t>
      </w:r>
      <w:r>
        <w:rPr>
          <w:rFonts w:cs="Arial"/>
        </w:rPr>
        <w:t>with</w:t>
      </w:r>
      <w:r w:rsidRPr="00F83BA4">
        <w:rPr>
          <w:rFonts w:cs="Arial"/>
        </w:rPr>
        <w:t xml:space="preserve"> locat</w:t>
      </w:r>
      <w:r>
        <w:rPr>
          <w:rFonts w:cs="Arial"/>
        </w:rPr>
        <w:t>ing</w:t>
      </w:r>
      <w:r w:rsidRPr="00F83BA4">
        <w:rPr>
          <w:rFonts w:cs="Arial"/>
        </w:rPr>
        <w:t xml:space="preserve"> and analyz</w:t>
      </w:r>
      <w:r>
        <w:rPr>
          <w:rFonts w:cs="Arial"/>
        </w:rPr>
        <w:t>ing</w:t>
      </w:r>
      <w:r w:rsidRPr="00F83BA4">
        <w:rPr>
          <w:rFonts w:cs="Arial"/>
        </w:rPr>
        <w:t xml:space="preserve"> their state’s laws, rules, policies, and implementation plans </w:t>
      </w:r>
      <w:r>
        <w:rPr>
          <w:rFonts w:cs="Arial"/>
        </w:rPr>
        <w:t xml:space="preserve">that </w:t>
      </w:r>
      <w:r w:rsidRPr="00F83BA4">
        <w:rPr>
          <w:rFonts w:cs="Arial"/>
        </w:rPr>
        <w:t xml:space="preserve">govern the public health collection, use, sharing, and protection of information for emergency preparedness and response. Space is provided on the document to insert references or summaries of appropriate state or local authorities. Because each state’s law is unique, this guide may not identify all issues that arise in the course of analyzing a state’s law. </w:t>
      </w:r>
      <w:r>
        <w:rPr>
          <w:rFonts w:cs="Arial"/>
          <w:b/>
        </w:rPr>
        <w:t>T</w:t>
      </w:r>
      <w:r w:rsidRPr="00F83BA4">
        <w:rPr>
          <w:rFonts w:cs="Arial"/>
          <w:b/>
        </w:rPr>
        <w:t xml:space="preserve">he language and requirements of specific state/local laws, regulations, ordinances, rules, policies, </w:t>
      </w:r>
      <w:proofErr w:type="spellStart"/>
      <w:r w:rsidRPr="00F83BA4">
        <w:rPr>
          <w:rFonts w:cs="Arial"/>
          <w:b/>
        </w:rPr>
        <w:t>guidances</w:t>
      </w:r>
      <w:proofErr w:type="spellEnd"/>
      <w:r w:rsidRPr="00F83BA4">
        <w:rPr>
          <w:rFonts w:cs="Arial"/>
          <w:b/>
        </w:rPr>
        <w:t>, case law, and other sources of legal authority overrule this general analysis guide</w:t>
      </w:r>
      <w:r>
        <w:rPr>
          <w:rFonts w:cs="Arial"/>
          <w:b/>
        </w:rPr>
        <w:t xml:space="preserve"> in all instances</w:t>
      </w:r>
      <w:r w:rsidRPr="00F83BA4">
        <w:rPr>
          <w:rFonts w:cs="Arial"/>
          <w:b/>
        </w:rPr>
        <w:t>. This resource is for informational purposes only and is not intended as a substitute for professional legal or other advice.</w:t>
      </w:r>
    </w:p>
    <w:p w14:paraId="756432E4" w14:textId="77777777" w:rsidR="00F44300" w:rsidRPr="00F83BA4" w:rsidRDefault="00F44300" w:rsidP="001421B0"/>
    <w:tbl>
      <w:tblPr>
        <w:tblW w:w="14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562"/>
        <w:gridCol w:w="540"/>
        <w:gridCol w:w="4035"/>
        <w:gridCol w:w="8633"/>
      </w:tblGrid>
      <w:tr w:rsidR="00F44300" w:rsidRPr="00F83BA4" w14:paraId="0C1E8C75" w14:textId="77777777" w:rsidTr="008352E3">
        <w:trPr>
          <w:cantSplit/>
          <w:trHeight w:val="317"/>
          <w:tblHeader/>
        </w:trPr>
        <w:tc>
          <w:tcPr>
            <w:tcW w:w="5677" w:type="dxa"/>
            <w:gridSpan w:val="4"/>
            <w:shd w:val="clear" w:color="auto" w:fill="BFBFBF"/>
            <w:tcMar>
              <w:top w:w="58" w:type="dxa"/>
              <w:left w:w="130" w:type="dxa"/>
              <w:bottom w:w="58" w:type="dxa"/>
              <w:right w:w="115" w:type="dxa"/>
            </w:tcMar>
            <w:vAlign w:val="center"/>
          </w:tcPr>
          <w:p w14:paraId="2001418D" w14:textId="77777777" w:rsidR="00F44300" w:rsidRPr="00F83BA4" w:rsidRDefault="00F44300" w:rsidP="00E44C7F">
            <w:pPr>
              <w:rPr>
                <w:rFonts w:cs="Arial"/>
                <w:b/>
              </w:rPr>
            </w:pPr>
            <w:r w:rsidRPr="00F83BA4">
              <w:rPr>
                <w:rFonts w:cs="Arial"/>
                <w:b/>
              </w:rPr>
              <w:t>Issues for Analysis</w:t>
            </w:r>
          </w:p>
        </w:tc>
        <w:tc>
          <w:tcPr>
            <w:tcW w:w="8633" w:type="dxa"/>
            <w:shd w:val="clear" w:color="auto" w:fill="BFBFBF"/>
            <w:tcMar>
              <w:top w:w="58" w:type="dxa"/>
              <w:left w:w="130" w:type="dxa"/>
              <w:bottom w:w="58" w:type="dxa"/>
              <w:right w:w="115" w:type="dxa"/>
            </w:tcMar>
            <w:vAlign w:val="center"/>
          </w:tcPr>
          <w:p w14:paraId="6B3C8747" w14:textId="77777777" w:rsidR="00F44300" w:rsidRPr="00F83BA4" w:rsidRDefault="00F44300" w:rsidP="00AB0FE4">
            <w:pPr>
              <w:jc w:val="center"/>
              <w:rPr>
                <w:rFonts w:cs="Arial"/>
                <w:b/>
              </w:rPr>
            </w:pPr>
            <w:r w:rsidRPr="00F83BA4">
              <w:rPr>
                <w:rFonts w:cs="Arial"/>
                <w:b/>
              </w:rPr>
              <w:t>State/Local Information</w:t>
            </w:r>
          </w:p>
        </w:tc>
      </w:tr>
      <w:tr w:rsidR="00F44300" w:rsidRPr="00F83BA4" w14:paraId="7798463B" w14:textId="77777777" w:rsidTr="008352E3">
        <w:trPr>
          <w:cantSplit/>
          <w:trHeight w:val="403"/>
        </w:trPr>
        <w:tc>
          <w:tcPr>
            <w:tcW w:w="14310" w:type="dxa"/>
            <w:gridSpan w:val="5"/>
            <w:shd w:val="clear" w:color="auto" w:fill="F2F2F2"/>
            <w:tcMar>
              <w:top w:w="58" w:type="dxa"/>
              <w:left w:w="130" w:type="dxa"/>
              <w:bottom w:w="58" w:type="dxa"/>
              <w:right w:w="115" w:type="dxa"/>
            </w:tcMar>
            <w:vAlign w:val="center"/>
          </w:tcPr>
          <w:p w14:paraId="0AFF1A15" w14:textId="77777777" w:rsidR="00F44300" w:rsidRPr="00F83BA4" w:rsidRDefault="00F44300" w:rsidP="001421B0">
            <w:pPr>
              <w:rPr>
                <w:rFonts w:cs="Arial"/>
                <w:b/>
              </w:rPr>
            </w:pPr>
            <w:r w:rsidRPr="00F83BA4">
              <w:rPr>
                <w:rFonts w:cs="Arial"/>
                <w:b/>
              </w:rPr>
              <w:t>Collection and Use of Information</w:t>
            </w:r>
          </w:p>
        </w:tc>
      </w:tr>
      <w:tr w:rsidR="00F44300" w:rsidRPr="00F83BA4" w14:paraId="7BB74DD1" w14:textId="77777777" w:rsidTr="008352E3">
        <w:trPr>
          <w:cantSplit/>
        </w:trPr>
        <w:tc>
          <w:tcPr>
            <w:tcW w:w="5677" w:type="dxa"/>
            <w:gridSpan w:val="4"/>
            <w:tcMar>
              <w:top w:w="58" w:type="dxa"/>
              <w:left w:w="130" w:type="dxa"/>
              <w:bottom w:w="58" w:type="dxa"/>
              <w:right w:w="115" w:type="dxa"/>
            </w:tcMar>
            <w:vAlign w:val="center"/>
          </w:tcPr>
          <w:p w14:paraId="27CB44E3" w14:textId="77777777" w:rsidR="00F44300" w:rsidRPr="00F83BA4" w:rsidRDefault="00F44300" w:rsidP="00ED7CBB">
            <w:pPr>
              <w:rPr>
                <w:rFonts w:cs="Arial"/>
              </w:rPr>
            </w:pPr>
            <w:r w:rsidRPr="00F83BA4">
              <w:rPr>
                <w:rFonts w:cs="Arial"/>
              </w:rPr>
              <w:t>Identify authority for collection and use of information; for each area identify any prerequisites, conditions</w:t>
            </w:r>
            <w:r>
              <w:rPr>
                <w:rFonts w:cs="Arial"/>
              </w:rPr>
              <w:t>,</w:t>
            </w:r>
            <w:r w:rsidRPr="00F83BA4">
              <w:rPr>
                <w:rFonts w:cs="Arial"/>
              </w:rPr>
              <w:t xml:space="preserve"> or limitations:</w:t>
            </w:r>
          </w:p>
        </w:tc>
        <w:tc>
          <w:tcPr>
            <w:tcW w:w="8633" w:type="dxa"/>
            <w:tcMar>
              <w:top w:w="58" w:type="dxa"/>
              <w:left w:w="130" w:type="dxa"/>
              <w:bottom w:w="58" w:type="dxa"/>
              <w:right w:w="115" w:type="dxa"/>
            </w:tcMar>
            <w:vAlign w:val="center"/>
          </w:tcPr>
          <w:p w14:paraId="3C1E9141" w14:textId="77777777" w:rsidR="00F44300" w:rsidRPr="00F83BA4" w:rsidRDefault="00F44300" w:rsidP="001421B0">
            <w:pPr>
              <w:rPr>
                <w:rFonts w:cs="Arial"/>
              </w:rPr>
            </w:pPr>
          </w:p>
        </w:tc>
      </w:tr>
      <w:tr w:rsidR="00F44300" w:rsidRPr="00F83BA4" w14:paraId="30CD7091" w14:textId="77777777" w:rsidTr="008352E3">
        <w:trPr>
          <w:cantSplit/>
        </w:trPr>
        <w:tc>
          <w:tcPr>
            <w:tcW w:w="540" w:type="dxa"/>
            <w:tcMar>
              <w:top w:w="58" w:type="dxa"/>
              <w:left w:w="130" w:type="dxa"/>
              <w:bottom w:w="58" w:type="dxa"/>
              <w:right w:w="115" w:type="dxa"/>
            </w:tcMar>
            <w:vAlign w:val="center"/>
          </w:tcPr>
          <w:p w14:paraId="423137A6" w14:textId="77777777" w:rsidR="00F44300" w:rsidRPr="00F83BA4" w:rsidRDefault="00F44300" w:rsidP="001421B0">
            <w:pPr>
              <w:rPr>
                <w:rFonts w:cs="Arial"/>
              </w:rPr>
            </w:pPr>
          </w:p>
        </w:tc>
        <w:tc>
          <w:tcPr>
            <w:tcW w:w="5137" w:type="dxa"/>
            <w:gridSpan w:val="3"/>
            <w:tcMar>
              <w:top w:w="58" w:type="dxa"/>
              <w:left w:w="130" w:type="dxa"/>
              <w:bottom w:w="58" w:type="dxa"/>
              <w:right w:w="115" w:type="dxa"/>
            </w:tcMar>
            <w:vAlign w:val="center"/>
          </w:tcPr>
          <w:p w14:paraId="7530A45B" w14:textId="77777777" w:rsidR="00F44300" w:rsidRPr="00F83BA4" w:rsidRDefault="00F44300" w:rsidP="001421B0">
            <w:pPr>
              <w:rPr>
                <w:rFonts w:cs="Arial"/>
              </w:rPr>
            </w:pPr>
            <w:r w:rsidRPr="00F83BA4">
              <w:rPr>
                <w:rFonts w:cs="Arial"/>
              </w:rPr>
              <w:t>General authority</w:t>
            </w:r>
            <w:r>
              <w:rPr>
                <w:rFonts w:cs="Arial"/>
              </w:rPr>
              <w:t>.</w:t>
            </w:r>
          </w:p>
        </w:tc>
        <w:tc>
          <w:tcPr>
            <w:tcW w:w="8633" w:type="dxa"/>
            <w:tcMar>
              <w:top w:w="58" w:type="dxa"/>
              <w:left w:w="130" w:type="dxa"/>
              <w:bottom w:w="58" w:type="dxa"/>
              <w:right w:w="115" w:type="dxa"/>
            </w:tcMar>
            <w:vAlign w:val="center"/>
          </w:tcPr>
          <w:p w14:paraId="661E3B15" w14:textId="77777777" w:rsidR="00F44300" w:rsidRPr="00F83BA4" w:rsidRDefault="00F44300" w:rsidP="001421B0">
            <w:pPr>
              <w:rPr>
                <w:rFonts w:cs="Arial"/>
              </w:rPr>
            </w:pPr>
          </w:p>
        </w:tc>
      </w:tr>
      <w:tr w:rsidR="00F44300" w:rsidRPr="00F83BA4" w14:paraId="24155500" w14:textId="77777777" w:rsidTr="008352E3">
        <w:trPr>
          <w:cantSplit/>
        </w:trPr>
        <w:tc>
          <w:tcPr>
            <w:tcW w:w="540" w:type="dxa"/>
            <w:tcMar>
              <w:top w:w="58" w:type="dxa"/>
              <w:left w:w="130" w:type="dxa"/>
              <w:bottom w:w="58" w:type="dxa"/>
              <w:right w:w="115" w:type="dxa"/>
            </w:tcMar>
            <w:vAlign w:val="center"/>
          </w:tcPr>
          <w:p w14:paraId="54643FA5" w14:textId="77777777" w:rsidR="00F44300" w:rsidRPr="00F83BA4" w:rsidRDefault="00F44300" w:rsidP="001421B0">
            <w:pPr>
              <w:rPr>
                <w:rFonts w:cs="Arial"/>
              </w:rPr>
            </w:pPr>
          </w:p>
        </w:tc>
        <w:tc>
          <w:tcPr>
            <w:tcW w:w="5137" w:type="dxa"/>
            <w:gridSpan w:val="3"/>
            <w:tcMar>
              <w:top w:w="58" w:type="dxa"/>
              <w:left w:w="130" w:type="dxa"/>
              <w:bottom w:w="58" w:type="dxa"/>
              <w:right w:w="115" w:type="dxa"/>
            </w:tcMar>
            <w:vAlign w:val="center"/>
          </w:tcPr>
          <w:p w14:paraId="24EA7608" w14:textId="77777777" w:rsidR="00F44300" w:rsidRPr="00F83BA4" w:rsidRDefault="00F44300" w:rsidP="001421B0">
            <w:pPr>
              <w:rPr>
                <w:rFonts w:cs="Arial"/>
              </w:rPr>
            </w:pPr>
            <w:r w:rsidRPr="00F83BA4">
              <w:rPr>
                <w:rFonts w:cs="Arial"/>
              </w:rPr>
              <w:t>Disease specific</w:t>
            </w:r>
            <w:r>
              <w:rPr>
                <w:rFonts w:cs="Arial"/>
              </w:rPr>
              <w:t>.</w:t>
            </w:r>
          </w:p>
        </w:tc>
        <w:tc>
          <w:tcPr>
            <w:tcW w:w="8633" w:type="dxa"/>
            <w:tcMar>
              <w:top w:w="58" w:type="dxa"/>
              <w:left w:w="130" w:type="dxa"/>
              <w:bottom w:w="58" w:type="dxa"/>
              <w:right w:w="115" w:type="dxa"/>
            </w:tcMar>
            <w:vAlign w:val="center"/>
          </w:tcPr>
          <w:p w14:paraId="51BEE99F" w14:textId="77777777" w:rsidR="00F44300" w:rsidRPr="00F83BA4" w:rsidRDefault="00F44300" w:rsidP="001421B0">
            <w:pPr>
              <w:rPr>
                <w:rFonts w:cs="Arial"/>
              </w:rPr>
            </w:pPr>
          </w:p>
        </w:tc>
      </w:tr>
      <w:tr w:rsidR="00F44300" w:rsidRPr="00F83BA4" w14:paraId="0E53A03C" w14:textId="77777777" w:rsidTr="008352E3">
        <w:trPr>
          <w:cantSplit/>
        </w:trPr>
        <w:tc>
          <w:tcPr>
            <w:tcW w:w="540" w:type="dxa"/>
            <w:tcMar>
              <w:top w:w="58" w:type="dxa"/>
              <w:left w:w="130" w:type="dxa"/>
              <w:bottom w:w="58" w:type="dxa"/>
              <w:right w:w="115" w:type="dxa"/>
            </w:tcMar>
            <w:vAlign w:val="center"/>
          </w:tcPr>
          <w:p w14:paraId="616AAB7A" w14:textId="77777777" w:rsidR="00F44300" w:rsidRPr="00F83BA4" w:rsidRDefault="00F44300" w:rsidP="001421B0">
            <w:pPr>
              <w:rPr>
                <w:rFonts w:cs="Arial"/>
              </w:rPr>
            </w:pPr>
          </w:p>
        </w:tc>
        <w:tc>
          <w:tcPr>
            <w:tcW w:w="5137" w:type="dxa"/>
            <w:gridSpan w:val="3"/>
            <w:tcMar>
              <w:top w:w="58" w:type="dxa"/>
              <w:left w:w="130" w:type="dxa"/>
              <w:bottom w:w="58" w:type="dxa"/>
              <w:right w:w="115" w:type="dxa"/>
            </w:tcMar>
            <w:vAlign w:val="center"/>
          </w:tcPr>
          <w:p w14:paraId="5441564A" w14:textId="77777777" w:rsidR="00F44300" w:rsidRPr="00F83BA4" w:rsidRDefault="00F44300" w:rsidP="001421B0">
            <w:pPr>
              <w:rPr>
                <w:rFonts w:cs="Arial"/>
              </w:rPr>
            </w:pPr>
            <w:r w:rsidRPr="00F83BA4">
              <w:rPr>
                <w:rFonts w:cs="Arial"/>
              </w:rPr>
              <w:t>Other conditions (e.g.</w:t>
            </w:r>
            <w:r>
              <w:rPr>
                <w:rFonts w:cs="Arial"/>
              </w:rPr>
              <w:t>,</w:t>
            </w:r>
            <w:r w:rsidRPr="00F83BA4">
              <w:rPr>
                <w:rFonts w:cs="Arial"/>
              </w:rPr>
              <w:t xml:space="preserve"> poisonings, radiologic events, suspected acts of bioterrorism)</w:t>
            </w:r>
            <w:r>
              <w:rPr>
                <w:rFonts w:cs="Arial"/>
              </w:rPr>
              <w:t>.</w:t>
            </w:r>
          </w:p>
        </w:tc>
        <w:tc>
          <w:tcPr>
            <w:tcW w:w="8633" w:type="dxa"/>
            <w:tcMar>
              <w:top w:w="58" w:type="dxa"/>
              <w:left w:w="130" w:type="dxa"/>
              <w:bottom w:w="58" w:type="dxa"/>
              <w:right w:w="115" w:type="dxa"/>
            </w:tcMar>
            <w:vAlign w:val="center"/>
          </w:tcPr>
          <w:p w14:paraId="69982F18" w14:textId="77777777" w:rsidR="00F44300" w:rsidRPr="00F83BA4" w:rsidRDefault="00F44300" w:rsidP="001421B0">
            <w:pPr>
              <w:rPr>
                <w:rFonts w:cs="Arial"/>
              </w:rPr>
            </w:pPr>
          </w:p>
        </w:tc>
      </w:tr>
      <w:tr w:rsidR="00F44300" w:rsidRPr="00F83BA4" w14:paraId="064C60CF" w14:textId="77777777" w:rsidTr="008352E3">
        <w:trPr>
          <w:cantSplit/>
        </w:trPr>
        <w:tc>
          <w:tcPr>
            <w:tcW w:w="540" w:type="dxa"/>
            <w:tcMar>
              <w:top w:w="58" w:type="dxa"/>
              <w:left w:w="130" w:type="dxa"/>
              <w:bottom w:w="58" w:type="dxa"/>
              <w:right w:w="115" w:type="dxa"/>
            </w:tcMar>
            <w:vAlign w:val="center"/>
          </w:tcPr>
          <w:p w14:paraId="3936E295" w14:textId="77777777" w:rsidR="00F44300" w:rsidRPr="00F83BA4" w:rsidRDefault="00F44300" w:rsidP="001421B0">
            <w:pPr>
              <w:rPr>
                <w:rFonts w:cs="Arial"/>
              </w:rPr>
            </w:pPr>
          </w:p>
        </w:tc>
        <w:tc>
          <w:tcPr>
            <w:tcW w:w="5137" w:type="dxa"/>
            <w:gridSpan w:val="3"/>
            <w:tcMar>
              <w:top w:w="58" w:type="dxa"/>
              <w:left w:w="130" w:type="dxa"/>
              <w:bottom w:w="58" w:type="dxa"/>
              <w:right w:w="115" w:type="dxa"/>
            </w:tcMar>
            <w:vAlign w:val="center"/>
          </w:tcPr>
          <w:p w14:paraId="099F3E3B" w14:textId="77777777" w:rsidR="00F44300" w:rsidRPr="00F83BA4" w:rsidRDefault="00F44300" w:rsidP="002965C8">
            <w:pPr>
              <w:rPr>
                <w:rFonts w:cs="Arial"/>
              </w:rPr>
            </w:pPr>
            <w:r w:rsidRPr="00F83BA4">
              <w:rPr>
                <w:rFonts w:cs="Arial"/>
              </w:rPr>
              <w:t>Catch-all (e.g.</w:t>
            </w:r>
            <w:r>
              <w:rPr>
                <w:rFonts w:cs="Arial"/>
              </w:rPr>
              <w:t>,</w:t>
            </w:r>
            <w:r w:rsidRPr="00F83BA4">
              <w:rPr>
                <w:rFonts w:cs="Arial"/>
              </w:rPr>
              <w:t xml:space="preserve"> unusual occurrence of a disease, infection, or condition)</w:t>
            </w:r>
            <w:r>
              <w:rPr>
                <w:rFonts w:cs="Arial"/>
              </w:rPr>
              <w:t>.</w:t>
            </w:r>
          </w:p>
        </w:tc>
        <w:tc>
          <w:tcPr>
            <w:tcW w:w="8633" w:type="dxa"/>
            <w:tcMar>
              <w:top w:w="58" w:type="dxa"/>
              <w:left w:w="130" w:type="dxa"/>
              <w:bottom w:w="58" w:type="dxa"/>
              <w:right w:w="115" w:type="dxa"/>
            </w:tcMar>
            <w:vAlign w:val="center"/>
          </w:tcPr>
          <w:p w14:paraId="3D231794" w14:textId="77777777" w:rsidR="00F44300" w:rsidRPr="00F83BA4" w:rsidRDefault="00F44300" w:rsidP="001421B0">
            <w:pPr>
              <w:rPr>
                <w:rFonts w:cs="Arial"/>
              </w:rPr>
            </w:pPr>
          </w:p>
        </w:tc>
      </w:tr>
      <w:tr w:rsidR="00F44300" w:rsidRPr="00F83BA4" w14:paraId="0A28FB63" w14:textId="77777777" w:rsidTr="008352E3">
        <w:trPr>
          <w:cantSplit/>
        </w:trPr>
        <w:tc>
          <w:tcPr>
            <w:tcW w:w="540" w:type="dxa"/>
            <w:tcMar>
              <w:top w:w="58" w:type="dxa"/>
              <w:left w:w="130" w:type="dxa"/>
              <w:bottom w:w="58" w:type="dxa"/>
              <w:right w:w="115" w:type="dxa"/>
            </w:tcMar>
            <w:vAlign w:val="center"/>
          </w:tcPr>
          <w:p w14:paraId="3B2AA916" w14:textId="77777777" w:rsidR="00F44300" w:rsidRPr="00F83BA4" w:rsidRDefault="00F44300" w:rsidP="001421B0">
            <w:pPr>
              <w:rPr>
                <w:rFonts w:cs="Arial"/>
              </w:rPr>
            </w:pPr>
          </w:p>
        </w:tc>
        <w:tc>
          <w:tcPr>
            <w:tcW w:w="5137" w:type="dxa"/>
            <w:gridSpan w:val="3"/>
            <w:tcMar>
              <w:top w:w="58" w:type="dxa"/>
              <w:left w:w="130" w:type="dxa"/>
              <w:bottom w:w="58" w:type="dxa"/>
              <w:right w:w="115" w:type="dxa"/>
            </w:tcMar>
            <w:vAlign w:val="center"/>
          </w:tcPr>
          <w:p w14:paraId="6EA57A32" w14:textId="77777777" w:rsidR="00F44300" w:rsidRPr="00F83BA4" w:rsidRDefault="00F44300" w:rsidP="001421B0">
            <w:pPr>
              <w:rPr>
                <w:rFonts w:cs="Arial"/>
              </w:rPr>
            </w:pPr>
            <w:r w:rsidRPr="00F83BA4">
              <w:rPr>
                <w:rFonts w:cs="Arial"/>
              </w:rPr>
              <w:t>Syndromic surveillance</w:t>
            </w:r>
            <w:r>
              <w:rPr>
                <w:rFonts w:cs="Arial"/>
              </w:rPr>
              <w:t>.</w:t>
            </w:r>
          </w:p>
        </w:tc>
        <w:tc>
          <w:tcPr>
            <w:tcW w:w="8633" w:type="dxa"/>
            <w:tcMar>
              <w:top w:w="58" w:type="dxa"/>
              <w:left w:w="130" w:type="dxa"/>
              <w:bottom w:w="58" w:type="dxa"/>
              <w:right w:w="115" w:type="dxa"/>
            </w:tcMar>
            <w:vAlign w:val="center"/>
          </w:tcPr>
          <w:p w14:paraId="5D4DBBC2" w14:textId="77777777" w:rsidR="00F44300" w:rsidRPr="00F83BA4" w:rsidRDefault="00F44300" w:rsidP="001421B0">
            <w:pPr>
              <w:rPr>
                <w:rFonts w:cs="Arial"/>
              </w:rPr>
            </w:pPr>
          </w:p>
        </w:tc>
      </w:tr>
      <w:tr w:rsidR="00F44300" w:rsidRPr="00F83BA4" w14:paraId="1B7504C2" w14:textId="77777777" w:rsidTr="008352E3">
        <w:trPr>
          <w:cantSplit/>
        </w:trPr>
        <w:tc>
          <w:tcPr>
            <w:tcW w:w="540" w:type="dxa"/>
            <w:tcMar>
              <w:top w:w="58" w:type="dxa"/>
              <w:left w:w="130" w:type="dxa"/>
              <w:bottom w:w="58" w:type="dxa"/>
              <w:right w:w="115" w:type="dxa"/>
            </w:tcMar>
            <w:vAlign w:val="center"/>
          </w:tcPr>
          <w:p w14:paraId="6140CCBF" w14:textId="77777777" w:rsidR="00F44300" w:rsidRPr="00F83BA4" w:rsidRDefault="00F44300" w:rsidP="001421B0">
            <w:pPr>
              <w:rPr>
                <w:rFonts w:cs="Arial"/>
              </w:rPr>
            </w:pPr>
          </w:p>
        </w:tc>
        <w:tc>
          <w:tcPr>
            <w:tcW w:w="5137" w:type="dxa"/>
            <w:gridSpan w:val="3"/>
            <w:tcMar>
              <w:top w:w="58" w:type="dxa"/>
              <w:left w:w="130" w:type="dxa"/>
              <w:bottom w:w="58" w:type="dxa"/>
              <w:right w:w="115" w:type="dxa"/>
            </w:tcMar>
            <w:vAlign w:val="center"/>
          </w:tcPr>
          <w:p w14:paraId="0DFB95AE" w14:textId="77777777" w:rsidR="00F44300" w:rsidRPr="00F83BA4" w:rsidRDefault="00F44300" w:rsidP="001421B0">
            <w:pPr>
              <w:rPr>
                <w:rFonts w:cs="Arial"/>
              </w:rPr>
            </w:pPr>
            <w:r w:rsidRPr="00F83BA4">
              <w:rPr>
                <w:rFonts w:cs="Arial"/>
              </w:rPr>
              <w:t>Public health workforce</w:t>
            </w:r>
            <w:r>
              <w:rPr>
                <w:rFonts w:cs="Arial"/>
              </w:rPr>
              <w:t>.</w:t>
            </w:r>
          </w:p>
        </w:tc>
        <w:tc>
          <w:tcPr>
            <w:tcW w:w="8633" w:type="dxa"/>
            <w:tcMar>
              <w:top w:w="58" w:type="dxa"/>
              <w:left w:w="130" w:type="dxa"/>
              <w:bottom w:w="58" w:type="dxa"/>
              <w:right w:w="115" w:type="dxa"/>
            </w:tcMar>
            <w:vAlign w:val="center"/>
          </w:tcPr>
          <w:p w14:paraId="07A9E2F8" w14:textId="77777777" w:rsidR="00F44300" w:rsidRPr="00F83BA4" w:rsidRDefault="00F44300" w:rsidP="001421B0">
            <w:pPr>
              <w:rPr>
                <w:rFonts w:cs="Arial"/>
              </w:rPr>
            </w:pPr>
          </w:p>
        </w:tc>
      </w:tr>
      <w:tr w:rsidR="00F44300" w:rsidRPr="00F83BA4" w14:paraId="14451BB6" w14:textId="77777777" w:rsidTr="008352E3">
        <w:trPr>
          <w:cantSplit/>
        </w:trPr>
        <w:tc>
          <w:tcPr>
            <w:tcW w:w="540" w:type="dxa"/>
            <w:tcMar>
              <w:top w:w="58" w:type="dxa"/>
              <w:left w:w="130" w:type="dxa"/>
              <w:bottom w:w="58" w:type="dxa"/>
              <w:right w:w="115" w:type="dxa"/>
            </w:tcMar>
            <w:vAlign w:val="center"/>
          </w:tcPr>
          <w:p w14:paraId="734456F2" w14:textId="77777777" w:rsidR="00F44300" w:rsidRPr="00F83BA4" w:rsidRDefault="00F44300" w:rsidP="001421B0">
            <w:pPr>
              <w:rPr>
                <w:rFonts w:cs="Arial"/>
              </w:rPr>
            </w:pPr>
          </w:p>
        </w:tc>
        <w:tc>
          <w:tcPr>
            <w:tcW w:w="5137" w:type="dxa"/>
            <w:gridSpan w:val="3"/>
            <w:tcMar>
              <w:top w:w="58" w:type="dxa"/>
              <w:left w:w="130" w:type="dxa"/>
              <w:bottom w:w="58" w:type="dxa"/>
              <w:right w:w="115" w:type="dxa"/>
            </w:tcMar>
            <w:vAlign w:val="center"/>
          </w:tcPr>
          <w:p w14:paraId="1FC88544" w14:textId="77777777" w:rsidR="00F44300" w:rsidRPr="00F83BA4" w:rsidRDefault="00F44300" w:rsidP="001421B0">
            <w:pPr>
              <w:rPr>
                <w:rFonts w:cs="Arial"/>
              </w:rPr>
            </w:pPr>
            <w:r w:rsidRPr="00F83BA4">
              <w:rPr>
                <w:rFonts w:cs="Arial"/>
              </w:rPr>
              <w:t>Other</w:t>
            </w:r>
            <w:r>
              <w:rPr>
                <w:rFonts w:cs="Arial"/>
              </w:rPr>
              <w:t>.</w:t>
            </w:r>
          </w:p>
        </w:tc>
        <w:tc>
          <w:tcPr>
            <w:tcW w:w="8633" w:type="dxa"/>
            <w:tcMar>
              <w:top w:w="58" w:type="dxa"/>
              <w:left w:w="130" w:type="dxa"/>
              <w:bottom w:w="58" w:type="dxa"/>
              <w:right w:w="115" w:type="dxa"/>
            </w:tcMar>
            <w:vAlign w:val="center"/>
          </w:tcPr>
          <w:p w14:paraId="6AAD4536" w14:textId="77777777" w:rsidR="00F44300" w:rsidRPr="00F83BA4" w:rsidRDefault="00F44300" w:rsidP="001421B0">
            <w:pPr>
              <w:rPr>
                <w:rFonts w:cs="Arial"/>
              </w:rPr>
            </w:pPr>
          </w:p>
        </w:tc>
      </w:tr>
      <w:tr w:rsidR="00F44300" w:rsidRPr="00F83BA4" w14:paraId="7F564437" w14:textId="77777777" w:rsidTr="008352E3">
        <w:trPr>
          <w:cantSplit/>
        </w:trPr>
        <w:tc>
          <w:tcPr>
            <w:tcW w:w="5677" w:type="dxa"/>
            <w:gridSpan w:val="4"/>
            <w:tcMar>
              <w:top w:w="58" w:type="dxa"/>
              <w:left w:w="130" w:type="dxa"/>
              <w:bottom w:w="58" w:type="dxa"/>
              <w:right w:w="115" w:type="dxa"/>
            </w:tcMar>
            <w:vAlign w:val="center"/>
          </w:tcPr>
          <w:p w14:paraId="3A44C898" w14:textId="77777777" w:rsidR="00F44300" w:rsidRPr="00F83BA4" w:rsidRDefault="00F44300" w:rsidP="00896DBC">
            <w:pPr>
              <w:rPr>
                <w:rFonts w:cs="Arial"/>
              </w:rPr>
            </w:pPr>
            <w:r w:rsidRPr="00F83BA4">
              <w:rPr>
                <w:rFonts w:cs="Arial"/>
              </w:rPr>
              <w:lastRenderedPageBreak/>
              <w:t>Identify authority and procedures to conduct investigations and collect evidence; identify any prerequisites, conditions</w:t>
            </w:r>
            <w:r>
              <w:rPr>
                <w:rFonts w:cs="Arial"/>
              </w:rPr>
              <w:t>,</w:t>
            </w:r>
            <w:r w:rsidRPr="00F83BA4">
              <w:rPr>
                <w:rFonts w:cs="Arial"/>
              </w:rPr>
              <w:t xml:space="preserve"> or limitations.</w:t>
            </w:r>
          </w:p>
        </w:tc>
        <w:tc>
          <w:tcPr>
            <w:tcW w:w="8633" w:type="dxa"/>
            <w:tcMar>
              <w:top w:w="58" w:type="dxa"/>
              <w:left w:w="130" w:type="dxa"/>
              <w:bottom w:w="58" w:type="dxa"/>
              <w:right w:w="115" w:type="dxa"/>
            </w:tcMar>
            <w:vAlign w:val="center"/>
          </w:tcPr>
          <w:p w14:paraId="7BD040E3" w14:textId="77777777" w:rsidR="00F44300" w:rsidRPr="00F83BA4" w:rsidRDefault="00F44300" w:rsidP="001421B0">
            <w:pPr>
              <w:rPr>
                <w:rFonts w:cs="Arial"/>
              </w:rPr>
            </w:pPr>
          </w:p>
        </w:tc>
      </w:tr>
      <w:tr w:rsidR="00F44300" w:rsidRPr="00F83BA4" w14:paraId="7E341ABC" w14:textId="77777777" w:rsidTr="00770C36">
        <w:trPr>
          <w:cantSplit/>
        </w:trPr>
        <w:tc>
          <w:tcPr>
            <w:tcW w:w="14310" w:type="dxa"/>
            <w:gridSpan w:val="5"/>
            <w:tcMar>
              <w:top w:w="58" w:type="dxa"/>
              <w:left w:w="130" w:type="dxa"/>
              <w:bottom w:w="58" w:type="dxa"/>
              <w:right w:w="115" w:type="dxa"/>
            </w:tcMar>
            <w:vAlign w:val="center"/>
          </w:tcPr>
          <w:p w14:paraId="2B83E6A5" w14:textId="77777777" w:rsidR="00F44300" w:rsidRPr="00F83BA4" w:rsidRDefault="00F44300" w:rsidP="001421B0">
            <w:pPr>
              <w:rPr>
                <w:rFonts w:cs="Arial"/>
              </w:rPr>
            </w:pPr>
          </w:p>
        </w:tc>
      </w:tr>
      <w:tr w:rsidR="00F44300" w:rsidRPr="00F83BA4" w14:paraId="0810D930" w14:textId="77777777" w:rsidTr="008352E3">
        <w:trPr>
          <w:cantSplit/>
          <w:trHeight w:val="403"/>
        </w:trPr>
        <w:tc>
          <w:tcPr>
            <w:tcW w:w="14310" w:type="dxa"/>
            <w:gridSpan w:val="5"/>
            <w:shd w:val="clear" w:color="auto" w:fill="F2F2F2"/>
            <w:tcMar>
              <w:top w:w="58" w:type="dxa"/>
              <w:left w:w="130" w:type="dxa"/>
              <w:bottom w:w="58" w:type="dxa"/>
              <w:right w:w="115" w:type="dxa"/>
            </w:tcMar>
            <w:vAlign w:val="center"/>
          </w:tcPr>
          <w:p w14:paraId="2FF2937C" w14:textId="77777777" w:rsidR="00F44300" w:rsidRPr="00F83BA4" w:rsidRDefault="00F44300" w:rsidP="005D0842">
            <w:pPr>
              <w:rPr>
                <w:rFonts w:cs="Arial"/>
                <w:b/>
              </w:rPr>
            </w:pPr>
            <w:r w:rsidRPr="00F83BA4">
              <w:rPr>
                <w:rFonts w:cs="Arial"/>
                <w:b/>
              </w:rPr>
              <w:t>Sharing Information</w:t>
            </w:r>
          </w:p>
        </w:tc>
      </w:tr>
      <w:tr w:rsidR="00F44300" w:rsidRPr="00F83BA4" w14:paraId="24D189F5" w14:textId="77777777" w:rsidTr="008352E3">
        <w:trPr>
          <w:cantSplit/>
        </w:trPr>
        <w:tc>
          <w:tcPr>
            <w:tcW w:w="5677" w:type="dxa"/>
            <w:gridSpan w:val="4"/>
            <w:tcMar>
              <w:top w:w="58" w:type="dxa"/>
              <w:left w:w="130" w:type="dxa"/>
              <w:bottom w:w="58" w:type="dxa"/>
              <w:right w:w="115" w:type="dxa"/>
            </w:tcMar>
            <w:vAlign w:val="center"/>
          </w:tcPr>
          <w:p w14:paraId="0968B173" w14:textId="77777777" w:rsidR="00F44300" w:rsidRPr="00F83BA4" w:rsidRDefault="00F44300" w:rsidP="00896DBC">
            <w:pPr>
              <w:rPr>
                <w:rFonts w:cs="Arial"/>
              </w:rPr>
            </w:pPr>
            <w:r w:rsidRPr="00F83BA4">
              <w:rPr>
                <w:rFonts w:cs="Arial"/>
              </w:rPr>
              <w:t>Identify authority that allows, requires, or limits sharing of information by public health agencies.</w:t>
            </w:r>
          </w:p>
        </w:tc>
        <w:tc>
          <w:tcPr>
            <w:tcW w:w="8633" w:type="dxa"/>
            <w:tcMar>
              <w:top w:w="58" w:type="dxa"/>
              <w:left w:w="130" w:type="dxa"/>
              <w:bottom w:w="58" w:type="dxa"/>
              <w:right w:w="115" w:type="dxa"/>
            </w:tcMar>
            <w:vAlign w:val="center"/>
          </w:tcPr>
          <w:p w14:paraId="106C464C" w14:textId="77777777" w:rsidR="00F44300" w:rsidRPr="00F83BA4" w:rsidRDefault="00F44300" w:rsidP="001421B0">
            <w:pPr>
              <w:rPr>
                <w:rFonts w:cs="Arial"/>
              </w:rPr>
            </w:pPr>
          </w:p>
        </w:tc>
      </w:tr>
      <w:tr w:rsidR="00F44300" w:rsidRPr="00F83BA4" w14:paraId="68847EA4" w14:textId="77777777" w:rsidTr="008352E3">
        <w:trPr>
          <w:cantSplit/>
        </w:trPr>
        <w:tc>
          <w:tcPr>
            <w:tcW w:w="540" w:type="dxa"/>
            <w:tcMar>
              <w:top w:w="58" w:type="dxa"/>
              <w:left w:w="130" w:type="dxa"/>
              <w:bottom w:w="58" w:type="dxa"/>
              <w:right w:w="115" w:type="dxa"/>
            </w:tcMar>
            <w:vAlign w:val="center"/>
          </w:tcPr>
          <w:p w14:paraId="15A64643" w14:textId="77777777" w:rsidR="00F44300" w:rsidRPr="00F83BA4" w:rsidRDefault="00F44300" w:rsidP="004E12E8">
            <w:pPr>
              <w:rPr>
                <w:rFonts w:cs="Arial"/>
              </w:rPr>
            </w:pPr>
          </w:p>
        </w:tc>
        <w:tc>
          <w:tcPr>
            <w:tcW w:w="5137" w:type="dxa"/>
            <w:gridSpan w:val="3"/>
            <w:vAlign w:val="center"/>
          </w:tcPr>
          <w:p w14:paraId="26E22C0B" w14:textId="77777777" w:rsidR="00F44300" w:rsidRPr="00F83BA4" w:rsidRDefault="00F44300" w:rsidP="004E12E8">
            <w:pPr>
              <w:rPr>
                <w:rFonts w:cs="Arial"/>
              </w:rPr>
            </w:pPr>
            <w:r w:rsidRPr="00F83BA4">
              <w:rPr>
                <w:rFonts w:cs="Arial"/>
              </w:rPr>
              <w:t>General authority</w:t>
            </w:r>
            <w:r>
              <w:rPr>
                <w:rFonts w:cs="Arial"/>
              </w:rPr>
              <w:t>.</w:t>
            </w:r>
          </w:p>
        </w:tc>
        <w:tc>
          <w:tcPr>
            <w:tcW w:w="8633" w:type="dxa"/>
            <w:tcMar>
              <w:top w:w="58" w:type="dxa"/>
              <w:left w:w="130" w:type="dxa"/>
              <w:bottom w:w="58" w:type="dxa"/>
              <w:right w:w="115" w:type="dxa"/>
            </w:tcMar>
            <w:vAlign w:val="center"/>
          </w:tcPr>
          <w:p w14:paraId="4DC06236" w14:textId="77777777" w:rsidR="00F44300" w:rsidRPr="00F83BA4" w:rsidRDefault="00F44300" w:rsidP="001421B0">
            <w:pPr>
              <w:rPr>
                <w:rFonts w:cs="Arial"/>
              </w:rPr>
            </w:pPr>
          </w:p>
        </w:tc>
      </w:tr>
      <w:tr w:rsidR="00F44300" w:rsidRPr="00F83BA4" w14:paraId="7C566031" w14:textId="77777777" w:rsidTr="008352E3">
        <w:trPr>
          <w:cantSplit/>
        </w:trPr>
        <w:tc>
          <w:tcPr>
            <w:tcW w:w="540" w:type="dxa"/>
            <w:tcMar>
              <w:top w:w="58" w:type="dxa"/>
              <w:left w:w="130" w:type="dxa"/>
              <w:bottom w:w="58" w:type="dxa"/>
              <w:right w:w="115" w:type="dxa"/>
            </w:tcMar>
            <w:vAlign w:val="center"/>
          </w:tcPr>
          <w:p w14:paraId="3DFB4F4A" w14:textId="77777777" w:rsidR="00F44300" w:rsidRPr="00F83BA4" w:rsidRDefault="00F44300" w:rsidP="004E12E8">
            <w:pPr>
              <w:rPr>
                <w:rFonts w:cs="Arial"/>
              </w:rPr>
            </w:pPr>
          </w:p>
        </w:tc>
        <w:tc>
          <w:tcPr>
            <w:tcW w:w="5137" w:type="dxa"/>
            <w:gridSpan w:val="3"/>
            <w:vAlign w:val="center"/>
          </w:tcPr>
          <w:p w14:paraId="6D1DB16E" w14:textId="77777777" w:rsidR="00F44300" w:rsidRPr="00F83BA4" w:rsidRDefault="00F44300" w:rsidP="004E12E8">
            <w:pPr>
              <w:rPr>
                <w:rFonts w:cs="Arial"/>
              </w:rPr>
            </w:pPr>
            <w:r w:rsidRPr="00F83BA4">
              <w:rPr>
                <w:rFonts w:cs="Arial"/>
              </w:rPr>
              <w:t>Data practices laws</w:t>
            </w:r>
            <w:r>
              <w:rPr>
                <w:rFonts w:cs="Arial"/>
              </w:rPr>
              <w:t>.</w:t>
            </w:r>
          </w:p>
        </w:tc>
        <w:tc>
          <w:tcPr>
            <w:tcW w:w="8633" w:type="dxa"/>
            <w:tcMar>
              <w:top w:w="58" w:type="dxa"/>
              <w:left w:w="130" w:type="dxa"/>
              <w:bottom w:w="58" w:type="dxa"/>
              <w:right w:w="115" w:type="dxa"/>
            </w:tcMar>
            <w:vAlign w:val="center"/>
          </w:tcPr>
          <w:p w14:paraId="272CCA37" w14:textId="77777777" w:rsidR="00F44300" w:rsidRPr="00F83BA4" w:rsidRDefault="00F44300" w:rsidP="001421B0">
            <w:pPr>
              <w:rPr>
                <w:rFonts w:cs="Arial"/>
              </w:rPr>
            </w:pPr>
          </w:p>
        </w:tc>
      </w:tr>
      <w:tr w:rsidR="00F44300" w:rsidRPr="00F83BA4" w14:paraId="66518918" w14:textId="77777777" w:rsidTr="008352E3">
        <w:trPr>
          <w:cantSplit/>
        </w:trPr>
        <w:tc>
          <w:tcPr>
            <w:tcW w:w="540" w:type="dxa"/>
            <w:tcMar>
              <w:top w:w="58" w:type="dxa"/>
              <w:left w:w="130" w:type="dxa"/>
              <w:bottom w:w="58" w:type="dxa"/>
              <w:right w:w="115" w:type="dxa"/>
            </w:tcMar>
            <w:vAlign w:val="center"/>
          </w:tcPr>
          <w:p w14:paraId="18B52B31" w14:textId="77777777" w:rsidR="00F44300" w:rsidRPr="00F83BA4" w:rsidRDefault="00F44300" w:rsidP="004E12E8">
            <w:pPr>
              <w:rPr>
                <w:rFonts w:cs="Arial"/>
              </w:rPr>
            </w:pPr>
          </w:p>
        </w:tc>
        <w:tc>
          <w:tcPr>
            <w:tcW w:w="5137" w:type="dxa"/>
            <w:gridSpan w:val="3"/>
            <w:vAlign w:val="center"/>
          </w:tcPr>
          <w:p w14:paraId="7946C626" w14:textId="77777777" w:rsidR="00F44300" w:rsidRPr="00F83BA4" w:rsidRDefault="00F44300" w:rsidP="004E12E8">
            <w:pPr>
              <w:rPr>
                <w:rFonts w:cs="Arial"/>
              </w:rPr>
            </w:pPr>
            <w:r w:rsidRPr="00F83BA4">
              <w:rPr>
                <w:rFonts w:cs="Arial"/>
              </w:rPr>
              <w:t>Health information privacy laws</w:t>
            </w:r>
            <w:r>
              <w:rPr>
                <w:rFonts w:cs="Arial"/>
              </w:rPr>
              <w:t>.</w:t>
            </w:r>
          </w:p>
        </w:tc>
        <w:tc>
          <w:tcPr>
            <w:tcW w:w="8633" w:type="dxa"/>
            <w:tcMar>
              <w:top w:w="58" w:type="dxa"/>
              <w:left w:w="130" w:type="dxa"/>
              <w:bottom w:w="58" w:type="dxa"/>
              <w:right w:w="115" w:type="dxa"/>
            </w:tcMar>
            <w:vAlign w:val="center"/>
          </w:tcPr>
          <w:p w14:paraId="2B2C875B" w14:textId="77777777" w:rsidR="00F44300" w:rsidRPr="00F83BA4" w:rsidRDefault="00F44300" w:rsidP="001421B0">
            <w:pPr>
              <w:rPr>
                <w:rFonts w:cs="Arial"/>
              </w:rPr>
            </w:pPr>
          </w:p>
        </w:tc>
      </w:tr>
      <w:tr w:rsidR="00F44300" w:rsidRPr="00F83BA4" w14:paraId="605F4160" w14:textId="77777777" w:rsidTr="008352E3">
        <w:trPr>
          <w:cantSplit/>
        </w:trPr>
        <w:tc>
          <w:tcPr>
            <w:tcW w:w="540" w:type="dxa"/>
            <w:tcMar>
              <w:top w:w="58" w:type="dxa"/>
              <w:left w:w="130" w:type="dxa"/>
              <w:bottom w:w="58" w:type="dxa"/>
              <w:right w:w="115" w:type="dxa"/>
            </w:tcMar>
            <w:vAlign w:val="center"/>
          </w:tcPr>
          <w:p w14:paraId="61055228" w14:textId="77777777" w:rsidR="00F44300" w:rsidRPr="00F83BA4" w:rsidRDefault="00F44300" w:rsidP="004E12E8">
            <w:pPr>
              <w:rPr>
                <w:rFonts w:cs="Arial"/>
              </w:rPr>
            </w:pPr>
          </w:p>
        </w:tc>
        <w:tc>
          <w:tcPr>
            <w:tcW w:w="5137" w:type="dxa"/>
            <w:gridSpan w:val="3"/>
            <w:vAlign w:val="center"/>
          </w:tcPr>
          <w:p w14:paraId="242DACB6" w14:textId="77777777" w:rsidR="00F44300" w:rsidRPr="00F83BA4" w:rsidRDefault="00F44300" w:rsidP="004E12E8">
            <w:pPr>
              <w:rPr>
                <w:rFonts w:cs="Arial"/>
              </w:rPr>
            </w:pPr>
            <w:r w:rsidRPr="00F83BA4">
              <w:rPr>
                <w:rFonts w:cs="Arial"/>
              </w:rPr>
              <w:t>Right to privacy statutory or common law</w:t>
            </w:r>
            <w:r>
              <w:rPr>
                <w:rFonts w:cs="Arial"/>
              </w:rPr>
              <w:t>.</w:t>
            </w:r>
          </w:p>
        </w:tc>
        <w:tc>
          <w:tcPr>
            <w:tcW w:w="8633" w:type="dxa"/>
            <w:tcMar>
              <w:top w:w="58" w:type="dxa"/>
              <w:left w:w="130" w:type="dxa"/>
              <w:bottom w:w="58" w:type="dxa"/>
              <w:right w:w="115" w:type="dxa"/>
            </w:tcMar>
            <w:vAlign w:val="center"/>
          </w:tcPr>
          <w:p w14:paraId="07479657" w14:textId="77777777" w:rsidR="00F44300" w:rsidRPr="00F83BA4" w:rsidRDefault="00F44300" w:rsidP="001421B0">
            <w:pPr>
              <w:rPr>
                <w:rFonts w:cs="Arial"/>
              </w:rPr>
            </w:pPr>
          </w:p>
        </w:tc>
      </w:tr>
      <w:tr w:rsidR="00F44300" w:rsidRPr="00F83BA4" w14:paraId="30BFA8D7" w14:textId="77777777" w:rsidTr="008352E3">
        <w:trPr>
          <w:cantSplit/>
        </w:trPr>
        <w:tc>
          <w:tcPr>
            <w:tcW w:w="540" w:type="dxa"/>
            <w:tcMar>
              <w:top w:w="58" w:type="dxa"/>
              <w:left w:w="130" w:type="dxa"/>
              <w:bottom w:w="58" w:type="dxa"/>
              <w:right w:w="115" w:type="dxa"/>
            </w:tcMar>
            <w:vAlign w:val="center"/>
          </w:tcPr>
          <w:p w14:paraId="415BDB70" w14:textId="77777777" w:rsidR="00F44300" w:rsidRPr="00F83BA4" w:rsidRDefault="00F44300" w:rsidP="004E12E8">
            <w:pPr>
              <w:rPr>
                <w:rFonts w:cs="Arial"/>
              </w:rPr>
            </w:pPr>
          </w:p>
        </w:tc>
        <w:tc>
          <w:tcPr>
            <w:tcW w:w="5137" w:type="dxa"/>
            <w:gridSpan w:val="3"/>
            <w:vAlign w:val="center"/>
          </w:tcPr>
          <w:p w14:paraId="7BFE302D" w14:textId="77777777" w:rsidR="00F44300" w:rsidRPr="00F83BA4" w:rsidRDefault="00F44300" w:rsidP="004E12E8">
            <w:pPr>
              <w:rPr>
                <w:rFonts w:cs="Arial"/>
              </w:rPr>
            </w:pPr>
            <w:r w:rsidRPr="00F83BA4">
              <w:rPr>
                <w:rFonts w:cs="Arial"/>
              </w:rPr>
              <w:t>With other public health agencies (federal, state, local)</w:t>
            </w:r>
            <w:r>
              <w:rPr>
                <w:rFonts w:cs="Arial"/>
              </w:rPr>
              <w:t>.</w:t>
            </w:r>
          </w:p>
        </w:tc>
        <w:tc>
          <w:tcPr>
            <w:tcW w:w="8633" w:type="dxa"/>
            <w:tcMar>
              <w:top w:w="58" w:type="dxa"/>
              <w:left w:w="130" w:type="dxa"/>
              <w:bottom w:w="58" w:type="dxa"/>
              <w:right w:w="115" w:type="dxa"/>
            </w:tcMar>
            <w:vAlign w:val="center"/>
          </w:tcPr>
          <w:p w14:paraId="618B1C0A" w14:textId="77777777" w:rsidR="00F44300" w:rsidRPr="00F83BA4" w:rsidRDefault="00F44300" w:rsidP="001421B0">
            <w:pPr>
              <w:rPr>
                <w:rFonts w:cs="Arial"/>
              </w:rPr>
            </w:pPr>
          </w:p>
        </w:tc>
      </w:tr>
      <w:tr w:rsidR="00F44300" w:rsidRPr="00F83BA4" w14:paraId="77910BA5" w14:textId="77777777" w:rsidTr="008352E3">
        <w:trPr>
          <w:cantSplit/>
        </w:trPr>
        <w:tc>
          <w:tcPr>
            <w:tcW w:w="540" w:type="dxa"/>
            <w:tcMar>
              <w:top w:w="58" w:type="dxa"/>
              <w:left w:w="130" w:type="dxa"/>
              <w:bottom w:w="58" w:type="dxa"/>
              <w:right w:w="115" w:type="dxa"/>
            </w:tcMar>
            <w:vAlign w:val="center"/>
          </w:tcPr>
          <w:p w14:paraId="43BD0796" w14:textId="77777777" w:rsidR="00F44300" w:rsidRPr="00F83BA4" w:rsidRDefault="00F44300" w:rsidP="004E12E8">
            <w:pPr>
              <w:rPr>
                <w:rFonts w:cs="Arial"/>
              </w:rPr>
            </w:pPr>
          </w:p>
        </w:tc>
        <w:tc>
          <w:tcPr>
            <w:tcW w:w="5137" w:type="dxa"/>
            <w:gridSpan w:val="3"/>
            <w:vAlign w:val="center"/>
          </w:tcPr>
          <w:p w14:paraId="45D8EA45" w14:textId="77777777" w:rsidR="00F44300" w:rsidRPr="00F83BA4" w:rsidRDefault="00F44300" w:rsidP="009318B1">
            <w:pPr>
              <w:rPr>
                <w:rFonts w:cs="Arial"/>
              </w:rPr>
            </w:pPr>
            <w:r w:rsidRPr="00F83BA4">
              <w:rPr>
                <w:rFonts w:cs="Arial"/>
              </w:rPr>
              <w:t xml:space="preserve">With law enforcement (see also, </w:t>
            </w:r>
            <w:r>
              <w:rPr>
                <w:rFonts w:cs="Arial"/>
              </w:rPr>
              <w:t>“</w:t>
            </w:r>
            <w:r w:rsidRPr="00F83BA4">
              <w:rPr>
                <w:rFonts w:cs="Arial"/>
              </w:rPr>
              <w:t>State Analysis Guide–Sharing Information between Public Health and Law Enforcement,</w:t>
            </w:r>
            <w:r>
              <w:rPr>
                <w:rFonts w:cs="Arial"/>
              </w:rPr>
              <w:t>”</w:t>
            </w:r>
            <w:r w:rsidRPr="00F83BA4">
              <w:rPr>
                <w:rFonts w:cs="Arial"/>
              </w:rPr>
              <w:t xml:space="preserve"> which is part of the Public Health and Information Sharing Toolkit).</w:t>
            </w:r>
          </w:p>
        </w:tc>
        <w:tc>
          <w:tcPr>
            <w:tcW w:w="8633" w:type="dxa"/>
            <w:tcMar>
              <w:top w:w="58" w:type="dxa"/>
              <w:left w:w="130" w:type="dxa"/>
              <w:bottom w:w="58" w:type="dxa"/>
              <w:right w:w="115" w:type="dxa"/>
            </w:tcMar>
            <w:vAlign w:val="center"/>
          </w:tcPr>
          <w:p w14:paraId="2DA03EAC" w14:textId="77777777" w:rsidR="00F44300" w:rsidRPr="00F83BA4" w:rsidRDefault="00F44300" w:rsidP="001421B0">
            <w:pPr>
              <w:rPr>
                <w:rFonts w:cs="Arial"/>
              </w:rPr>
            </w:pPr>
          </w:p>
        </w:tc>
      </w:tr>
      <w:tr w:rsidR="00F44300" w:rsidRPr="00F83BA4" w14:paraId="050151E2" w14:textId="77777777" w:rsidTr="008352E3">
        <w:trPr>
          <w:cantSplit/>
        </w:trPr>
        <w:tc>
          <w:tcPr>
            <w:tcW w:w="540" w:type="dxa"/>
            <w:tcMar>
              <w:top w:w="58" w:type="dxa"/>
              <w:left w:w="130" w:type="dxa"/>
              <w:bottom w:w="58" w:type="dxa"/>
              <w:right w:w="115" w:type="dxa"/>
            </w:tcMar>
            <w:vAlign w:val="center"/>
          </w:tcPr>
          <w:p w14:paraId="1278BDDE" w14:textId="77777777" w:rsidR="00F44300" w:rsidRPr="00F83BA4" w:rsidRDefault="00F44300" w:rsidP="004E12E8">
            <w:pPr>
              <w:rPr>
                <w:rFonts w:cs="Arial"/>
              </w:rPr>
            </w:pPr>
          </w:p>
        </w:tc>
        <w:tc>
          <w:tcPr>
            <w:tcW w:w="5137" w:type="dxa"/>
            <w:gridSpan w:val="3"/>
            <w:vAlign w:val="center"/>
          </w:tcPr>
          <w:p w14:paraId="3D18AA1E" w14:textId="77777777" w:rsidR="00F44300" w:rsidRPr="00F83BA4" w:rsidRDefault="00F44300" w:rsidP="004E12E8">
            <w:pPr>
              <w:rPr>
                <w:rFonts w:cs="Arial"/>
              </w:rPr>
            </w:pPr>
            <w:r w:rsidRPr="00F83BA4">
              <w:rPr>
                <w:rFonts w:cs="Arial"/>
              </w:rPr>
              <w:t>With public</w:t>
            </w:r>
            <w:r>
              <w:rPr>
                <w:rFonts w:cs="Arial"/>
              </w:rPr>
              <w:t>.</w:t>
            </w:r>
          </w:p>
        </w:tc>
        <w:tc>
          <w:tcPr>
            <w:tcW w:w="8633" w:type="dxa"/>
            <w:tcMar>
              <w:top w:w="58" w:type="dxa"/>
              <w:left w:w="130" w:type="dxa"/>
              <w:bottom w:w="58" w:type="dxa"/>
              <w:right w:w="115" w:type="dxa"/>
            </w:tcMar>
            <w:vAlign w:val="center"/>
          </w:tcPr>
          <w:p w14:paraId="76430AC6" w14:textId="77777777" w:rsidR="00F44300" w:rsidRPr="00F83BA4" w:rsidRDefault="00F44300" w:rsidP="001421B0">
            <w:pPr>
              <w:rPr>
                <w:rFonts w:cs="Arial"/>
              </w:rPr>
            </w:pPr>
          </w:p>
        </w:tc>
      </w:tr>
      <w:tr w:rsidR="00F44300" w:rsidRPr="00F83BA4" w14:paraId="10CB271D" w14:textId="77777777" w:rsidTr="008352E3">
        <w:trPr>
          <w:cantSplit/>
        </w:trPr>
        <w:tc>
          <w:tcPr>
            <w:tcW w:w="540" w:type="dxa"/>
            <w:tcMar>
              <w:top w:w="58" w:type="dxa"/>
              <w:left w:w="130" w:type="dxa"/>
              <w:bottom w:w="58" w:type="dxa"/>
              <w:right w:w="115" w:type="dxa"/>
            </w:tcMar>
            <w:vAlign w:val="center"/>
          </w:tcPr>
          <w:p w14:paraId="1EAEF9A2" w14:textId="77777777" w:rsidR="00F44300" w:rsidRPr="00F83BA4" w:rsidRDefault="00F44300" w:rsidP="004E12E8">
            <w:pPr>
              <w:rPr>
                <w:rFonts w:cs="Arial"/>
              </w:rPr>
            </w:pPr>
          </w:p>
        </w:tc>
        <w:tc>
          <w:tcPr>
            <w:tcW w:w="5137" w:type="dxa"/>
            <w:gridSpan w:val="3"/>
            <w:vAlign w:val="center"/>
          </w:tcPr>
          <w:p w14:paraId="39AB8DF9" w14:textId="77777777" w:rsidR="00F44300" w:rsidRPr="00F83BA4" w:rsidRDefault="00F44300" w:rsidP="004E12E8">
            <w:pPr>
              <w:rPr>
                <w:rFonts w:cs="Arial"/>
              </w:rPr>
            </w:pPr>
            <w:r w:rsidRPr="00F83BA4">
              <w:rPr>
                <w:rFonts w:cs="Arial"/>
              </w:rPr>
              <w:t>Other</w:t>
            </w:r>
            <w:r>
              <w:rPr>
                <w:rFonts w:cs="Arial"/>
              </w:rPr>
              <w:t>.</w:t>
            </w:r>
          </w:p>
        </w:tc>
        <w:tc>
          <w:tcPr>
            <w:tcW w:w="8633" w:type="dxa"/>
            <w:tcMar>
              <w:top w:w="58" w:type="dxa"/>
              <w:left w:w="130" w:type="dxa"/>
              <w:bottom w:w="58" w:type="dxa"/>
              <w:right w:w="115" w:type="dxa"/>
            </w:tcMar>
            <w:vAlign w:val="center"/>
          </w:tcPr>
          <w:p w14:paraId="0572664C" w14:textId="77777777" w:rsidR="00F44300" w:rsidRPr="00F83BA4" w:rsidRDefault="00F44300" w:rsidP="001421B0">
            <w:pPr>
              <w:rPr>
                <w:rFonts w:cs="Arial"/>
              </w:rPr>
            </w:pPr>
          </w:p>
        </w:tc>
      </w:tr>
      <w:tr w:rsidR="00F44300" w:rsidRPr="00F83BA4" w14:paraId="514C9A81" w14:textId="77777777" w:rsidTr="008352E3">
        <w:trPr>
          <w:cantSplit/>
        </w:trPr>
        <w:tc>
          <w:tcPr>
            <w:tcW w:w="5677" w:type="dxa"/>
            <w:gridSpan w:val="4"/>
            <w:tcMar>
              <w:top w:w="58" w:type="dxa"/>
              <w:left w:w="130" w:type="dxa"/>
              <w:bottom w:w="58" w:type="dxa"/>
              <w:right w:w="115" w:type="dxa"/>
            </w:tcMar>
            <w:vAlign w:val="center"/>
          </w:tcPr>
          <w:p w14:paraId="5CA82B2C" w14:textId="77777777" w:rsidR="00F44300" w:rsidRPr="00F83BA4" w:rsidRDefault="00F44300" w:rsidP="00185F1B">
            <w:pPr>
              <w:rPr>
                <w:rFonts w:cs="Arial"/>
              </w:rPr>
            </w:pPr>
            <w:r w:rsidRPr="00F83BA4">
              <w:rPr>
                <w:rFonts w:cs="Arial"/>
              </w:rPr>
              <w:t>If state law does not sufficiently allow information to be shared when necessary to protect the public, identify options to address rare but compelling circumstances where disclosure is indicated.</w:t>
            </w:r>
          </w:p>
        </w:tc>
        <w:tc>
          <w:tcPr>
            <w:tcW w:w="8633" w:type="dxa"/>
            <w:tcMar>
              <w:top w:w="58" w:type="dxa"/>
              <w:left w:w="130" w:type="dxa"/>
              <w:bottom w:w="58" w:type="dxa"/>
              <w:right w:w="115" w:type="dxa"/>
            </w:tcMar>
            <w:vAlign w:val="center"/>
          </w:tcPr>
          <w:p w14:paraId="3A8D1432" w14:textId="77777777" w:rsidR="00F44300" w:rsidRPr="00F83BA4" w:rsidRDefault="00F44300" w:rsidP="001421B0">
            <w:pPr>
              <w:rPr>
                <w:rFonts w:cs="Arial"/>
              </w:rPr>
            </w:pPr>
          </w:p>
        </w:tc>
      </w:tr>
      <w:tr w:rsidR="00F44300" w:rsidRPr="00F83BA4" w14:paraId="066680D9" w14:textId="77777777" w:rsidTr="00EF1558">
        <w:trPr>
          <w:cantSplit/>
        </w:trPr>
        <w:tc>
          <w:tcPr>
            <w:tcW w:w="14310" w:type="dxa"/>
            <w:gridSpan w:val="5"/>
            <w:tcMar>
              <w:top w:w="58" w:type="dxa"/>
              <w:left w:w="130" w:type="dxa"/>
              <w:bottom w:w="58" w:type="dxa"/>
              <w:right w:w="115" w:type="dxa"/>
            </w:tcMar>
            <w:vAlign w:val="center"/>
          </w:tcPr>
          <w:p w14:paraId="02D026A0" w14:textId="77777777" w:rsidR="00F44300" w:rsidRPr="00F83BA4" w:rsidRDefault="00F44300" w:rsidP="001421B0">
            <w:pPr>
              <w:rPr>
                <w:rFonts w:cs="Arial"/>
              </w:rPr>
            </w:pPr>
          </w:p>
        </w:tc>
      </w:tr>
      <w:tr w:rsidR="00F44300" w:rsidRPr="00F83BA4" w14:paraId="66B35620" w14:textId="77777777" w:rsidTr="008352E3">
        <w:trPr>
          <w:cantSplit/>
          <w:trHeight w:val="439"/>
        </w:trPr>
        <w:tc>
          <w:tcPr>
            <w:tcW w:w="14310" w:type="dxa"/>
            <w:gridSpan w:val="5"/>
            <w:shd w:val="clear" w:color="auto" w:fill="F2F2F2"/>
            <w:tcMar>
              <w:top w:w="58" w:type="dxa"/>
              <w:left w:w="130" w:type="dxa"/>
              <w:bottom w:w="58" w:type="dxa"/>
              <w:right w:w="115" w:type="dxa"/>
            </w:tcMar>
            <w:vAlign w:val="center"/>
          </w:tcPr>
          <w:p w14:paraId="2569CB92" w14:textId="77777777" w:rsidR="00F44300" w:rsidRPr="00F83BA4" w:rsidRDefault="00F44300" w:rsidP="007B15AB">
            <w:pPr>
              <w:rPr>
                <w:rFonts w:cs="Arial"/>
              </w:rPr>
            </w:pPr>
            <w:r w:rsidRPr="00F83BA4">
              <w:rPr>
                <w:rFonts w:cs="Arial"/>
                <w:b/>
              </w:rPr>
              <w:lastRenderedPageBreak/>
              <w:t>Emergency Declarations</w:t>
            </w:r>
          </w:p>
        </w:tc>
      </w:tr>
      <w:tr w:rsidR="00F44300" w:rsidRPr="00F83BA4" w14:paraId="2785C78D" w14:textId="77777777" w:rsidTr="008352E3">
        <w:trPr>
          <w:cantSplit/>
        </w:trPr>
        <w:tc>
          <w:tcPr>
            <w:tcW w:w="5677" w:type="dxa"/>
            <w:gridSpan w:val="4"/>
            <w:tcMar>
              <w:top w:w="58" w:type="dxa"/>
              <w:left w:w="130" w:type="dxa"/>
              <w:bottom w:w="58" w:type="dxa"/>
              <w:right w:w="115" w:type="dxa"/>
            </w:tcMar>
            <w:vAlign w:val="center"/>
          </w:tcPr>
          <w:p w14:paraId="08FC0021" w14:textId="77777777" w:rsidR="00F44300" w:rsidRPr="00F83BA4" w:rsidRDefault="00F44300" w:rsidP="008352E3">
            <w:pPr>
              <w:rPr>
                <w:rFonts w:cs="Arial"/>
              </w:rPr>
            </w:pPr>
            <w:r w:rsidRPr="00F83BA4">
              <w:rPr>
                <w:rFonts w:cs="Arial"/>
              </w:rPr>
              <w:t>Identify the state's statute(s) regarding emergency declarations and powers. Identify any provisions that apply to authority to share information or might be used to allow sharing as necessary to respond to an emergency.</w:t>
            </w:r>
          </w:p>
        </w:tc>
        <w:tc>
          <w:tcPr>
            <w:tcW w:w="8633" w:type="dxa"/>
            <w:tcMar>
              <w:top w:w="58" w:type="dxa"/>
              <w:left w:w="130" w:type="dxa"/>
              <w:bottom w:w="58" w:type="dxa"/>
              <w:right w:w="115" w:type="dxa"/>
            </w:tcMar>
            <w:vAlign w:val="center"/>
          </w:tcPr>
          <w:p w14:paraId="469D9C66" w14:textId="77777777" w:rsidR="00F44300" w:rsidRPr="00F83BA4" w:rsidRDefault="00F44300" w:rsidP="007B15AB">
            <w:pPr>
              <w:rPr>
                <w:rFonts w:cs="Arial"/>
              </w:rPr>
            </w:pPr>
          </w:p>
        </w:tc>
      </w:tr>
      <w:tr w:rsidR="00F44300" w:rsidRPr="00F83BA4" w14:paraId="46898664" w14:textId="77777777" w:rsidTr="00BE3929">
        <w:trPr>
          <w:cantSplit/>
        </w:trPr>
        <w:tc>
          <w:tcPr>
            <w:tcW w:w="14310" w:type="dxa"/>
            <w:gridSpan w:val="5"/>
            <w:tcMar>
              <w:top w:w="58" w:type="dxa"/>
              <w:left w:w="130" w:type="dxa"/>
              <w:bottom w:w="58" w:type="dxa"/>
              <w:right w:w="115" w:type="dxa"/>
            </w:tcMar>
            <w:vAlign w:val="center"/>
          </w:tcPr>
          <w:p w14:paraId="52454589" w14:textId="77777777" w:rsidR="00F44300" w:rsidRPr="00F83BA4" w:rsidRDefault="00F44300" w:rsidP="007B15AB">
            <w:pPr>
              <w:rPr>
                <w:rFonts w:cs="Arial"/>
              </w:rPr>
            </w:pPr>
          </w:p>
        </w:tc>
      </w:tr>
      <w:tr w:rsidR="00F44300" w:rsidRPr="00F83BA4" w14:paraId="785DE87D" w14:textId="77777777" w:rsidTr="008352E3">
        <w:trPr>
          <w:cantSplit/>
          <w:trHeight w:val="403"/>
        </w:trPr>
        <w:tc>
          <w:tcPr>
            <w:tcW w:w="14310" w:type="dxa"/>
            <w:gridSpan w:val="5"/>
            <w:shd w:val="clear" w:color="auto" w:fill="F2F2F2"/>
            <w:tcMar>
              <w:top w:w="58" w:type="dxa"/>
              <w:left w:w="130" w:type="dxa"/>
              <w:bottom w:w="58" w:type="dxa"/>
              <w:right w:w="115" w:type="dxa"/>
            </w:tcMar>
            <w:vAlign w:val="center"/>
          </w:tcPr>
          <w:p w14:paraId="24F57A34" w14:textId="77777777" w:rsidR="00F44300" w:rsidRPr="00F83BA4" w:rsidRDefault="00F44300" w:rsidP="005D0842">
            <w:pPr>
              <w:rPr>
                <w:rFonts w:cs="Arial"/>
                <w:b/>
              </w:rPr>
            </w:pPr>
            <w:r w:rsidRPr="00F83BA4">
              <w:rPr>
                <w:rFonts w:cs="Arial"/>
                <w:b/>
              </w:rPr>
              <w:t>Protection of Information</w:t>
            </w:r>
          </w:p>
        </w:tc>
      </w:tr>
      <w:tr w:rsidR="00F44300" w:rsidRPr="00F83BA4" w14:paraId="46429EBA" w14:textId="77777777" w:rsidTr="008352E3">
        <w:trPr>
          <w:cantSplit/>
        </w:trPr>
        <w:tc>
          <w:tcPr>
            <w:tcW w:w="5677" w:type="dxa"/>
            <w:gridSpan w:val="4"/>
            <w:tcMar>
              <w:top w:w="58" w:type="dxa"/>
              <w:left w:w="130" w:type="dxa"/>
              <w:bottom w:w="58" w:type="dxa"/>
              <w:right w:w="115" w:type="dxa"/>
            </w:tcMar>
            <w:vAlign w:val="center"/>
          </w:tcPr>
          <w:p w14:paraId="45AD0E2D" w14:textId="77777777" w:rsidR="00F44300" w:rsidRPr="00F83BA4" w:rsidRDefault="00F44300" w:rsidP="00185F1B">
            <w:pPr>
              <w:rPr>
                <w:rFonts w:cs="Arial"/>
              </w:rPr>
            </w:pPr>
            <w:r w:rsidRPr="00F83BA4">
              <w:rPr>
                <w:rFonts w:cs="Arial"/>
              </w:rPr>
              <w:t>Identify state authority for protecting information; for each area identify any perquisites, conditions</w:t>
            </w:r>
            <w:r>
              <w:rPr>
                <w:rFonts w:cs="Arial"/>
              </w:rPr>
              <w:t>,</w:t>
            </w:r>
            <w:r w:rsidRPr="00F83BA4">
              <w:rPr>
                <w:rFonts w:cs="Arial"/>
              </w:rPr>
              <w:t xml:space="preserve"> or limitations:</w:t>
            </w:r>
          </w:p>
        </w:tc>
        <w:tc>
          <w:tcPr>
            <w:tcW w:w="8633" w:type="dxa"/>
            <w:tcMar>
              <w:top w:w="58" w:type="dxa"/>
              <w:left w:w="130" w:type="dxa"/>
              <w:bottom w:w="58" w:type="dxa"/>
              <w:right w:w="115" w:type="dxa"/>
            </w:tcMar>
            <w:vAlign w:val="center"/>
          </w:tcPr>
          <w:p w14:paraId="1B05BD7A" w14:textId="77777777" w:rsidR="00F44300" w:rsidRPr="00F83BA4" w:rsidRDefault="00F44300" w:rsidP="001421B0">
            <w:pPr>
              <w:rPr>
                <w:rFonts w:cs="Arial"/>
              </w:rPr>
            </w:pPr>
          </w:p>
        </w:tc>
      </w:tr>
      <w:tr w:rsidR="00F44300" w:rsidRPr="00F83BA4" w14:paraId="53A6C85B" w14:textId="77777777" w:rsidTr="008352E3">
        <w:trPr>
          <w:cantSplit/>
        </w:trPr>
        <w:tc>
          <w:tcPr>
            <w:tcW w:w="540" w:type="dxa"/>
            <w:tcMar>
              <w:top w:w="58" w:type="dxa"/>
              <w:left w:w="130" w:type="dxa"/>
              <w:bottom w:w="58" w:type="dxa"/>
              <w:right w:w="115" w:type="dxa"/>
            </w:tcMar>
            <w:vAlign w:val="center"/>
          </w:tcPr>
          <w:p w14:paraId="04D02243" w14:textId="77777777" w:rsidR="00F44300" w:rsidRPr="00F83BA4" w:rsidRDefault="00F44300" w:rsidP="00573F1E">
            <w:pPr>
              <w:rPr>
                <w:rFonts w:cs="Arial"/>
              </w:rPr>
            </w:pPr>
          </w:p>
        </w:tc>
        <w:tc>
          <w:tcPr>
            <w:tcW w:w="5137" w:type="dxa"/>
            <w:gridSpan w:val="3"/>
            <w:vAlign w:val="center"/>
          </w:tcPr>
          <w:p w14:paraId="3FBF0BE7" w14:textId="77777777" w:rsidR="00F44300" w:rsidRPr="00F83BA4" w:rsidRDefault="00F44300" w:rsidP="00573F1E">
            <w:pPr>
              <w:rPr>
                <w:rFonts w:cs="Arial"/>
              </w:rPr>
            </w:pPr>
            <w:r w:rsidRPr="00F83BA4">
              <w:rPr>
                <w:rFonts w:cs="Arial"/>
              </w:rPr>
              <w:t>Freedom of information laws</w:t>
            </w:r>
            <w:r>
              <w:rPr>
                <w:rFonts w:cs="Arial"/>
              </w:rPr>
              <w:t>.</w:t>
            </w:r>
          </w:p>
        </w:tc>
        <w:tc>
          <w:tcPr>
            <w:tcW w:w="8633" w:type="dxa"/>
            <w:tcMar>
              <w:top w:w="58" w:type="dxa"/>
              <w:left w:w="130" w:type="dxa"/>
              <w:bottom w:w="58" w:type="dxa"/>
              <w:right w:w="115" w:type="dxa"/>
            </w:tcMar>
            <w:vAlign w:val="center"/>
          </w:tcPr>
          <w:p w14:paraId="1F38732A" w14:textId="77777777" w:rsidR="00F44300" w:rsidRPr="00F83BA4" w:rsidRDefault="00F44300" w:rsidP="00573F1E">
            <w:pPr>
              <w:rPr>
                <w:rFonts w:cs="Arial"/>
              </w:rPr>
            </w:pPr>
          </w:p>
        </w:tc>
      </w:tr>
      <w:tr w:rsidR="00F44300" w:rsidRPr="00F83BA4" w14:paraId="2287D319" w14:textId="77777777" w:rsidTr="008352E3">
        <w:trPr>
          <w:cantSplit/>
        </w:trPr>
        <w:tc>
          <w:tcPr>
            <w:tcW w:w="1102" w:type="dxa"/>
            <w:gridSpan w:val="2"/>
            <w:tcMar>
              <w:top w:w="58" w:type="dxa"/>
              <w:left w:w="130" w:type="dxa"/>
              <w:bottom w:w="58" w:type="dxa"/>
              <w:right w:w="115" w:type="dxa"/>
            </w:tcMar>
            <w:vAlign w:val="center"/>
          </w:tcPr>
          <w:p w14:paraId="40612A71" w14:textId="77777777" w:rsidR="00F44300" w:rsidRPr="00F83BA4" w:rsidRDefault="00F44300" w:rsidP="00573F1E">
            <w:pPr>
              <w:rPr>
                <w:rFonts w:cs="Arial"/>
              </w:rPr>
            </w:pPr>
          </w:p>
        </w:tc>
        <w:tc>
          <w:tcPr>
            <w:tcW w:w="4575" w:type="dxa"/>
            <w:gridSpan w:val="2"/>
            <w:vAlign w:val="center"/>
          </w:tcPr>
          <w:p w14:paraId="6AA613A7" w14:textId="77777777" w:rsidR="00F44300" w:rsidRPr="00F83BA4" w:rsidRDefault="00F44300" w:rsidP="00573F1E">
            <w:pPr>
              <w:rPr>
                <w:rFonts w:cs="Arial"/>
              </w:rPr>
            </w:pPr>
            <w:r w:rsidRPr="00F83BA4">
              <w:rPr>
                <w:rFonts w:cs="Arial"/>
              </w:rPr>
              <w:t>Information excluded from definition of public records</w:t>
            </w:r>
            <w:r>
              <w:rPr>
                <w:rFonts w:cs="Arial"/>
              </w:rPr>
              <w:t>.</w:t>
            </w:r>
          </w:p>
        </w:tc>
        <w:tc>
          <w:tcPr>
            <w:tcW w:w="8633" w:type="dxa"/>
            <w:tcMar>
              <w:top w:w="58" w:type="dxa"/>
              <w:left w:w="130" w:type="dxa"/>
              <w:bottom w:w="58" w:type="dxa"/>
              <w:right w:w="115" w:type="dxa"/>
            </w:tcMar>
            <w:vAlign w:val="center"/>
          </w:tcPr>
          <w:p w14:paraId="004CEF60" w14:textId="77777777" w:rsidR="00F44300" w:rsidRPr="00F83BA4" w:rsidRDefault="00F44300" w:rsidP="00573F1E">
            <w:pPr>
              <w:rPr>
                <w:rFonts w:cs="Arial"/>
              </w:rPr>
            </w:pPr>
          </w:p>
        </w:tc>
      </w:tr>
      <w:tr w:rsidR="00F44300" w:rsidRPr="00F83BA4" w14:paraId="4CA29597" w14:textId="77777777" w:rsidTr="008352E3">
        <w:trPr>
          <w:cantSplit/>
        </w:trPr>
        <w:tc>
          <w:tcPr>
            <w:tcW w:w="1102" w:type="dxa"/>
            <w:gridSpan w:val="2"/>
            <w:tcMar>
              <w:top w:w="58" w:type="dxa"/>
              <w:left w:w="130" w:type="dxa"/>
              <w:bottom w:w="58" w:type="dxa"/>
              <w:right w:w="115" w:type="dxa"/>
            </w:tcMar>
            <w:vAlign w:val="center"/>
          </w:tcPr>
          <w:p w14:paraId="4FBA39C7" w14:textId="77777777" w:rsidR="00F44300" w:rsidRPr="00F83BA4" w:rsidRDefault="00F44300" w:rsidP="00573F1E">
            <w:pPr>
              <w:rPr>
                <w:rFonts w:cs="Arial"/>
              </w:rPr>
            </w:pPr>
          </w:p>
        </w:tc>
        <w:tc>
          <w:tcPr>
            <w:tcW w:w="4575" w:type="dxa"/>
            <w:gridSpan w:val="2"/>
            <w:vAlign w:val="center"/>
          </w:tcPr>
          <w:p w14:paraId="36476B66" w14:textId="77777777" w:rsidR="00F44300" w:rsidRPr="00F83BA4" w:rsidRDefault="00F44300" w:rsidP="00573F1E">
            <w:pPr>
              <w:rPr>
                <w:rFonts w:cs="Arial"/>
              </w:rPr>
            </w:pPr>
            <w:r w:rsidRPr="00F83BA4">
              <w:rPr>
                <w:rFonts w:cs="Arial"/>
              </w:rPr>
              <w:t>Permitted exceptions to disclosure</w:t>
            </w:r>
            <w:r>
              <w:rPr>
                <w:rFonts w:cs="Arial"/>
              </w:rPr>
              <w:t>.</w:t>
            </w:r>
          </w:p>
        </w:tc>
        <w:tc>
          <w:tcPr>
            <w:tcW w:w="8633" w:type="dxa"/>
            <w:tcMar>
              <w:top w:w="58" w:type="dxa"/>
              <w:left w:w="130" w:type="dxa"/>
              <w:bottom w:w="58" w:type="dxa"/>
              <w:right w:w="115" w:type="dxa"/>
            </w:tcMar>
            <w:vAlign w:val="center"/>
          </w:tcPr>
          <w:p w14:paraId="6CEFF54E" w14:textId="77777777" w:rsidR="00F44300" w:rsidRPr="00F83BA4" w:rsidRDefault="00F44300" w:rsidP="00573F1E">
            <w:pPr>
              <w:rPr>
                <w:rFonts w:cs="Arial"/>
              </w:rPr>
            </w:pPr>
          </w:p>
        </w:tc>
      </w:tr>
      <w:tr w:rsidR="00F44300" w:rsidRPr="00F83BA4" w14:paraId="6B149A21" w14:textId="77777777" w:rsidTr="008352E3">
        <w:trPr>
          <w:cantSplit/>
        </w:trPr>
        <w:tc>
          <w:tcPr>
            <w:tcW w:w="1642" w:type="dxa"/>
            <w:gridSpan w:val="3"/>
            <w:tcMar>
              <w:top w:w="58" w:type="dxa"/>
              <w:left w:w="130" w:type="dxa"/>
              <w:bottom w:w="58" w:type="dxa"/>
              <w:right w:w="115" w:type="dxa"/>
            </w:tcMar>
            <w:vAlign w:val="center"/>
          </w:tcPr>
          <w:p w14:paraId="14519D32" w14:textId="77777777" w:rsidR="00F44300" w:rsidRPr="00F83BA4" w:rsidRDefault="00F44300" w:rsidP="00573F1E">
            <w:pPr>
              <w:rPr>
                <w:rFonts w:cs="Arial"/>
              </w:rPr>
            </w:pPr>
          </w:p>
        </w:tc>
        <w:tc>
          <w:tcPr>
            <w:tcW w:w="4035" w:type="dxa"/>
            <w:vAlign w:val="center"/>
          </w:tcPr>
          <w:p w14:paraId="1A084AC1" w14:textId="77777777" w:rsidR="00F44300" w:rsidRPr="00F83BA4" w:rsidRDefault="00F44300" w:rsidP="00573F1E">
            <w:pPr>
              <w:rPr>
                <w:rFonts w:cs="Arial"/>
              </w:rPr>
            </w:pPr>
            <w:r w:rsidRPr="00F83BA4">
              <w:rPr>
                <w:rFonts w:cs="Arial"/>
              </w:rPr>
              <w:t>Information not subject to disclosure under another law</w:t>
            </w:r>
            <w:r>
              <w:rPr>
                <w:rFonts w:cs="Arial"/>
              </w:rPr>
              <w:t>.</w:t>
            </w:r>
          </w:p>
        </w:tc>
        <w:tc>
          <w:tcPr>
            <w:tcW w:w="8633" w:type="dxa"/>
            <w:tcMar>
              <w:top w:w="58" w:type="dxa"/>
              <w:left w:w="130" w:type="dxa"/>
              <w:bottom w:w="58" w:type="dxa"/>
              <w:right w:w="115" w:type="dxa"/>
            </w:tcMar>
            <w:vAlign w:val="center"/>
          </w:tcPr>
          <w:p w14:paraId="4B287B72" w14:textId="77777777" w:rsidR="00F44300" w:rsidRPr="00F83BA4" w:rsidRDefault="00F44300" w:rsidP="00573F1E">
            <w:pPr>
              <w:rPr>
                <w:rFonts w:cs="Arial"/>
              </w:rPr>
            </w:pPr>
          </w:p>
        </w:tc>
      </w:tr>
      <w:tr w:rsidR="00F44300" w:rsidRPr="00F83BA4" w14:paraId="5A2DCD5C" w14:textId="77777777" w:rsidTr="008352E3">
        <w:trPr>
          <w:cantSplit/>
        </w:trPr>
        <w:tc>
          <w:tcPr>
            <w:tcW w:w="1642" w:type="dxa"/>
            <w:gridSpan w:val="3"/>
            <w:tcMar>
              <w:top w:w="58" w:type="dxa"/>
              <w:left w:w="130" w:type="dxa"/>
              <w:bottom w:w="58" w:type="dxa"/>
              <w:right w:w="115" w:type="dxa"/>
            </w:tcMar>
            <w:vAlign w:val="center"/>
          </w:tcPr>
          <w:p w14:paraId="1069DC67" w14:textId="77777777" w:rsidR="00F44300" w:rsidRPr="00F83BA4" w:rsidRDefault="00F44300" w:rsidP="00573F1E">
            <w:pPr>
              <w:rPr>
                <w:rFonts w:cs="Arial"/>
              </w:rPr>
            </w:pPr>
          </w:p>
        </w:tc>
        <w:tc>
          <w:tcPr>
            <w:tcW w:w="4035" w:type="dxa"/>
            <w:vAlign w:val="center"/>
          </w:tcPr>
          <w:p w14:paraId="48390AFF" w14:textId="77777777" w:rsidR="00F44300" w:rsidRPr="00F83BA4" w:rsidRDefault="00F44300" w:rsidP="00573F1E">
            <w:pPr>
              <w:rPr>
                <w:rFonts w:cs="Arial"/>
              </w:rPr>
            </w:pPr>
            <w:r w:rsidRPr="00F83BA4">
              <w:rPr>
                <w:rFonts w:cs="Arial"/>
              </w:rPr>
              <w:t>Personal privacy</w:t>
            </w:r>
            <w:r>
              <w:rPr>
                <w:rFonts w:cs="Arial"/>
              </w:rPr>
              <w:t>.</w:t>
            </w:r>
          </w:p>
        </w:tc>
        <w:tc>
          <w:tcPr>
            <w:tcW w:w="8633" w:type="dxa"/>
            <w:tcMar>
              <w:top w:w="58" w:type="dxa"/>
              <w:left w:w="130" w:type="dxa"/>
              <w:bottom w:w="58" w:type="dxa"/>
              <w:right w:w="115" w:type="dxa"/>
            </w:tcMar>
            <w:vAlign w:val="center"/>
          </w:tcPr>
          <w:p w14:paraId="4F67BF96" w14:textId="77777777" w:rsidR="00F44300" w:rsidRPr="00F83BA4" w:rsidRDefault="00F44300" w:rsidP="00573F1E">
            <w:pPr>
              <w:rPr>
                <w:rFonts w:cs="Arial"/>
              </w:rPr>
            </w:pPr>
          </w:p>
        </w:tc>
      </w:tr>
      <w:tr w:rsidR="00F44300" w:rsidRPr="00F83BA4" w14:paraId="4E4184BA" w14:textId="77777777" w:rsidTr="008352E3">
        <w:trPr>
          <w:cantSplit/>
        </w:trPr>
        <w:tc>
          <w:tcPr>
            <w:tcW w:w="1642" w:type="dxa"/>
            <w:gridSpan w:val="3"/>
            <w:tcMar>
              <w:top w:w="58" w:type="dxa"/>
              <w:left w:w="130" w:type="dxa"/>
              <w:bottom w:w="58" w:type="dxa"/>
              <w:right w:w="115" w:type="dxa"/>
            </w:tcMar>
            <w:vAlign w:val="center"/>
          </w:tcPr>
          <w:p w14:paraId="2A2C2388" w14:textId="77777777" w:rsidR="00F44300" w:rsidRPr="00F83BA4" w:rsidRDefault="00F44300" w:rsidP="00573F1E">
            <w:pPr>
              <w:rPr>
                <w:rFonts w:cs="Arial"/>
              </w:rPr>
            </w:pPr>
          </w:p>
        </w:tc>
        <w:tc>
          <w:tcPr>
            <w:tcW w:w="4035" w:type="dxa"/>
            <w:vAlign w:val="center"/>
          </w:tcPr>
          <w:p w14:paraId="7A5BDB77" w14:textId="77777777" w:rsidR="00F44300" w:rsidRPr="00F83BA4" w:rsidRDefault="00F44300" w:rsidP="00573F1E">
            <w:pPr>
              <w:rPr>
                <w:rFonts w:cs="Arial"/>
              </w:rPr>
            </w:pPr>
            <w:r w:rsidRPr="00F83BA4">
              <w:rPr>
                <w:rFonts w:cs="Arial"/>
              </w:rPr>
              <w:t>Investigatory records</w:t>
            </w:r>
            <w:r>
              <w:rPr>
                <w:rFonts w:cs="Arial"/>
              </w:rPr>
              <w:t>.</w:t>
            </w:r>
          </w:p>
        </w:tc>
        <w:tc>
          <w:tcPr>
            <w:tcW w:w="8633" w:type="dxa"/>
            <w:tcMar>
              <w:top w:w="58" w:type="dxa"/>
              <w:left w:w="130" w:type="dxa"/>
              <w:bottom w:w="58" w:type="dxa"/>
              <w:right w:w="115" w:type="dxa"/>
            </w:tcMar>
            <w:vAlign w:val="center"/>
          </w:tcPr>
          <w:p w14:paraId="30FF53E0" w14:textId="77777777" w:rsidR="00F44300" w:rsidRPr="00F83BA4" w:rsidRDefault="00F44300" w:rsidP="00573F1E">
            <w:pPr>
              <w:rPr>
                <w:rFonts w:cs="Arial"/>
              </w:rPr>
            </w:pPr>
          </w:p>
        </w:tc>
      </w:tr>
      <w:tr w:rsidR="00F44300" w:rsidRPr="00F83BA4" w14:paraId="46F9602E" w14:textId="77777777" w:rsidTr="008352E3">
        <w:trPr>
          <w:cantSplit/>
        </w:trPr>
        <w:tc>
          <w:tcPr>
            <w:tcW w:w="1642" w:type="dxa"/>
            <w:gridSpan w:val="3"/>
            <w:tcMar>
              <w:top w:w="58" w:type="dxa"/>
              <w:left w:w="130" w:type="dxa"/>
              <w:bottom w:w="58" w:type="dxa"/>
              <w:right w:w="115" w:type="dxa"/>
            </w:tcMar>
            <w:vAlign w:val="center"/>
          </w:tcPr>
          <w:p w14:paraId="428DB0EE" w14:textId="77777777" w:rsidR="00F44300" w:rsidRPr="00F83BA4" w:rsidRDefault="00F44300" w:rsidP="00573F1E">
            <w:pPr>
              <w:rPr>
                <w:rFonts w:cs="Arial"/>
              </w:rPr>
            </w:pPr>
          </w:p>
        </w:tc>
        <w:tc>
          <w:tcPr>
            <w:tcW w:w="4035" w:type="dxa"/>
            <w:vAlign w:val="center"/>
          </w:tcPr>
          <w:p w14:paraId="50C980BD" w14:textId="77777777" w:rsidR="00F44300" w:rsidRPr="00F83BA4" w:rsidRDefault="00F44300" w:rsidP="00573F1E">
            <w:pPr>
              <w:rPr>
                <w:rFonts w:cs="Arial"/>
              </w:rPr>
            </w:pPr>
            <w:r w:rsidRPr="00F83BA4">
              <w:rPr>
                <w:rFonts w:cs="Arial"/>
              </w:rPr>
              <w:t>Health information or medical records</w:t>
            </w:r>
            <w:r>
              <w:rPr>
                <w:rFonts w:cs="Arial"/>
              </w:rPr>
              <w:t>.</w:t>
            </w:r>
          </w:p>
        </w:tc>
        <w:tc>
          <w:tcPr>
            <w:tcW w:w="8633" w:type="dxa"/>
            <w:tcMar>
              <w:top w:w="58" w:type="dxa"/>
              <w:left w:w="130" w:type="dxa"/>
              <w:bottom w:w="58" w:type="dxa"/>
              <w:right w:w="115" w:type="dxa"/>
            </w:tcMar>
            <w:vAlign w:val="center"/>
          </w:tcPr>
          <w:p w14:paraId="5D5CAA2D" w14:textId="77777777" w:rsidR="00F44300" w:rsidRPr="00F83BA4" w:rsidRDefault="00F44300" w:rsidP="00573F1E">
            <w:pPr>
              <w:rPr>
                <w:rFonts w:cs="Arial"/>
              </w:rPr>
            </w:pPr>
          </w:p>
        </w:tc>
      </w:tr>
      <w:tr w:rsidR="00F44300" w:rsidRPr="00F83BA4" w14:paraId="55738D67" w14:textId="77777777" w:rsidTr="008352E3">
        <w:trPr>
          <w:cantSplit/>
        </w:trPr>
        <w:tc>
          <w:tcPr>
            <w:tcW w:w="1642" w:type="dxa"/>
            <w:gridSpan w:val="3"/>
            <w:tcMar>
              <w:top w:w="58" w:type="dxa"/>
              <w:left w:w="130" w:type="dxa"/>
              <w:bottom w:w="58" w:type="dxa"/>
              <w:right w:w="115" w:type="dxa"/>
            </w:tcMar>
            <w:vAlign w:val="center"/>
          </w:tcPr>
          <w:p w14:paraId="67EBAAC3" w14:textId="77777777" w:rsidR="00F44300" w:rsidRPr="00F83BA4" w:rsidRDefault="00F44300" w:rsidP="00573F1E">
            <w:pPr>
              <w:rPr>
                <w:rFonts w:cs="Arial"/>
              </w:rPr>
            </w:pPr>
          </w:p>
        </w:tc>
        <w:tc>
          <w:tcPr>
            <w:tcW w:w="4035" w:type="dxa"/>
            <w:vAlign w:val="center"/>
          </w:tcPr>
          <w:p w14:paraId="5702E3D0" w14:textId="77777777" w:rsidR="00F44300" w:rsidRPr="00F83BA4" w:rsidRDefault="00F44300" w:rsidP="00573F1E">
            <w:pPr>
              <w:rPr>
                <w:rFonts w:cs="Arial"/>
              </w:rPr>
            </w:pPr>
            <w:r w:rsidRPr="00F83BA4">
              <w:rPr>
                <w:rFonts w:cs="Arial"/>
              </w:rPr>
              <w:t>Business information</w:t>
            </w:r>
            <w:r>
              <w:rPr>
                <w:rFonts w:cs="Arial"/>
              </w:rPr>
              <w:t>.</w:t>
            </w:r>
          </w:p>
        </w:tc>
        <w:tc>
          <w:tcPr>
            <w:tcW w:w="8633" w:type="dxa"/>
            <w:tcMar>
              <w:top w:w="58" w:type="dxa"/>
              <w:left w:w="130" w:type="dxa"/>
              <w:bottom w:w="58" w:type="dxa"/>
              <w:right w:w="115" w:type="dxa"/>
            </w:tcMar>
            <w:vAlign w:val="center"/>
          </w:tcPr>
          <w:p w14:paraId="24EA8EC3" w14:textId="77777777" w:rsidR="00F44300" w:rsidRPr="00F83BA4" w:rsidRDefault="00F44300" w:rsidP="00573F1E">
            <w:pPr>
              <w:rPr>
                <w:rFonts w:cs="Arial"/>
              </w:rPr>
            </w:pPr>
          </w:p>
        </w:tc>
      </w:tr>
      <w:tr w:rsidR="00F44300" w:rsidRPr="00F83BA4" w14:paraId="3CACCC70" w14:textId="77777777" w:rsidTr="008352E3">
        <w:trPr>
          <w:cantSplit/>
        </w:trPr>
        <w:tc>
          <w:tcPr>
            <w:tcW w:w="1642" w:type="dxa"/>
            <w:gridSpan w:val="3"/>
            <w:tcMar>
              <w:top w:w="58" w:type="dxa"/>
              <w:left w:w="130" w:type="dxa"/>
              <w:bottom w:w="58" w:type="dxa"/>
              <w:right w:w="115" w:type="dxa"/>
            </w:tcMar>
            <w:vAlign w:val="center"/>
          </w:tcPr>
          <w:p w14:paraId="4D049BF5" w14:textId="77777777" w:rsidR="00F44300" w:rsidRPr="00F83BA4" w:rsidRDefault="00F44300" w:rsidP="00573F1E">
            <w:pPr>
              <w:rPr>
                <w:rFonts w:cs="Arial"/>
              </w:rPr>
            </w:pPr>
          </w:p>
        </w:tc>
        <w:tc>
          <w:tcPr>
            <w:tcW w:w="4035" w:type="dxa"/>
            <w:vAlign w:val="center"/>
          </w:tcPr>
          <w:p w14:paraId="44DFE34A" w14:textId="77777777" w:rsidR="00F44300" w:rsidRPr="00F83BA4" w:rsidRDefault="00F44300" w:rsidP="00573F1E">
            <w:pPr>
              <w:rPr>
                <w:rFonts w:cs="Arial"/>
              </w:rPr>
            </w:pPr>
            <w:r w:rsidRPr="00F83BA4">
              <w:rPr>
                <w:rFonts w:cs="Arial"/>
              </w:rPr>
              <w:t>National or state security</w:t>
            </w:r>
            <w:r>
              <w:rPr>
                <w:rFonts w:cs="Arial"/>
              </w:rPr>
              <w:t>.</w:t>
            </w:r>
          </w:p>
        </w:tc>
        <w:tc>
          <w:tcPr>
            <w:tcW w:w="8633" w:type="dxa"/>
            <w:tcMar>
              <w:top w:w="58" w:type="dxa"/>
              <w:left w:w="130" w:type="dxa"/>
              <w:bottom w:w="58" w:type="dxa"/>
              <w:right w:w="115" w:type="dxa"/>
            </w:tcMar>
            <w:vAlign w:val="center"/>
          </w:tcPr>
          <w:p w14:paraId="5C1F6D31" w14:textId="77777777" w:rsidR="00F44300" w:rsidRPr="00F83BA4" w:rsidRDefault="00F44300" w:rsidP="00573F1E">
            <w:pPr>
              <w:rPr>
                <w:rFonts w:cs="Arial"/>
              </w:rPr>
            </w:pPr>
          </w:p>
        </w:tc>
      </w:tr>
      <w:tr w:rsidR="00F44300" w:rsidRPr="00F83BA4" w14:paraId="5481EB72" w14:textId="77777777" w:rsidTr="008352E3">
        <w:trPr>
          <w:cantSplit/>
        </w:trPr>
        <w:tc>
          <w:tcPr>
            <w:tcW w:w="1642" w:type="dxa"/>
            <w:gridSpan w:val="3"/>
            <w:tcMar>
              <w:top w:w="58" w:type="dxa"/>
              <w:left w:w="130" w:type="dxa"/>
              <w:bottom w:w="58" w:type="dxa"/>
              <w:right w:w="115" w:type="dxa"/>
            </w:tcMar>
            <w:vAlign w:val="center"/>
          </w:tcPr>
          <w:p w14:paraId="4C2BC425" w14:textId="77777777" w:rsidR="00F44300" w:rsidRPr="00F83BA4" w:rsidRDefault="00F44300" w:rsidP="00573F1E">
            <w:pPr>
              <w:rPr>
                <w:rFonts w:cs="Arial"/>
              </w:rPr>
            </w:pPr>
          </w:p>
        </w:tc>
        <w:tc>
          <w:tcPr>
            <w:tcW w:w="4035" w:type="dxa"/>
            <w:vAlign w:val="center"/>
          </w:tcPr>
          <w:p w14:paraId="4610A904" w14:textId="77777777" w:rsidR="00F44300" w:rsidRPr="00F83BA4" w:rsidRDefault="00F44300" w:rsidP="00573F1E">
            <w:pPr>
              <w:rPr>
                <w:rFonts w:cs="Arial"/>
              </w:rPr>
            </w:pPr>
            <w:r w:rsidRPr="00F83BA4">
              <w:rPr>
                <w:rFonts w:cs="Arial"/>
              </w:rPr>
              <w:t>Other</w:t>
            </w:r>
            <w:r>
              <w:rPr>
                <w:rFonts w:cs="Arial"/>
              </w:rPr>
              <w:t>.</w:t>
            </w:r>
          </w:p>
        </w:tc>
        <w:tc>
          <w:tcPr>
            <w:tcW w:w="8633" w:type="dxa"/>
            <w:tcMar>
              <w:top w:w="58" w:type="dxa"/>
              <w:left w:w="130" w:type="dxa"/>
              <w:bottom w:w="58" w:type="dxa"/>
              <w:right w:w="115" w:type="dxa"/>
            </w:tcMar>
            <w:vAlign w:val="center"/>
          </w:tcPr>
          <w:p w14:paraId="0830D5AC" w14:textId="77777777" w:rsidR="00F44300" w:rsidRPr="00F83BA4" w:rsidRDefault="00F44300" w:rsidP="00573F1E">
            <w:pPr>
              <w:rPr>
                <w:rFonts w:cs="Arial"/>
              </w:rPr>
            </w:pPr>
          </w:p>
        </w:tc>
      </w:tr>
      <w:tr w:rsidR="00F44300" w:rsidRPr="00F83BA4" w14:paraId="796A20B6" w14:textId="77777777" w:rsidTr="008352E3">
        <w:trPr>
          <w:cantSplit/>
        </w:trPr>
        <w:tc>
          <w:tcPr>
            <w:tcW w:w="540" w:type="dxa"/>
            <w:tcMar>
              <w:top w:w="58" w:type="dxa"/>
              <w:left w:w="130" w:type="dxa"/>
              <w:bottom w:w="58" w:type="dxa"/>
              <w:right w:w="115" w:type="dxa"/>
            </w:tcMar>
            <w:vAlign w:val="center"/>
          </w:tcPr>
          <w:p w14:paraId="17324497" w14:textId="77777777" w:rsidR="00F44300" w:rsidRPr="00F83BA4" w:rsidRDefault="00F44300" w:rsidP="00612C61">
            <w:pPr>
              <w:rPr>
                <w:rFonts w:cs="Arial"/>
              </w:rPr>
            </w:pPr>
          </w:p>
        </w:tc>
        <w:tc>
          <w:tcPr>
            <w:tcW w:w="5137" w:type="dxa"/>
            <w:gridSpan w:val="3"/>
            <w:vAlign w:val="center"/>
          </w:tcPr>
          <w:p w14:paraId="7E7E15F7" w14:textId="77777777" w:rsidR="00F44300" w:rsidRPr="00F83BA4" w:rsidRDefault="00F44300" w:rsidP="00612C61">
            <w:pPr>
              <w:rPr>
                <w:rFonts w:cs="Arial"/>
              </w:rPr>
            </w:pPr>
            <w:r w:rsidRPr="00F83BA4">
              <w:rPr>
                <w:rFonts w:cs="Arial"/>
              </w:rPr>
              <w:t>Other laws</w:t>
            </w:r>
            <w:r>
              <w:rPr>
                <w:rFonts w:cs="Arial"/>
              </w:rPr>
              <w:t>.</w:t>
            </w:r>
          </w:p>
        </w:tc>
        <w:tc>
          <w:tcPr>
            <w:tcW w:w="8633" w:type="dxa"/>
            <w:tcMar>
              <w:top w:w="58" w:type="dxa"/>
              <w:left w:w="130" w:type="dxa"/>
              <w:bottom w:w="58" w:type="dxa"/>
              <w:right w:w="115" w:type="dxa"/>
            </w:tcMar>
            <w:vAlign w:val="center"/>
          </w:tcPr>
          <w:p w14:paraId="461D9F03" w14:textId="77777777" w:rsidR="00F44300" w:rsidRPr="00F83BA4" w:rsidRDefault="00F44300" w:rsidP="00612C61">
            <w:pPr>
              <w:rPr>
                <w:rFonts w:cs="Arial"/>
              </w:rPr>
            </w:pPr>
          </w:p>
        </w:tc>
      </w:tr>
    </w:tbl>
    <w:p w14:paraId="315746DB" w14:textId="77777777" w:rsidR="00840E3B" w:rsidRDefault="00840E3B" w:rsidP="001421B0"/>
    <w:p w14:paraId="6B394CB9" w14:textId="4E3C8A64" w:rsidR="00840E3B" w:rsidRDefault="00F93EAF">
      <w:hyperlink w:anchor="PH_Info_TOC_Top" w:history="1">
        <w:r w:rsidRPr="00F93EAF">
          <w:rPr>
            <w:rStyle w:val="Heading2Char"/>
            <w:rFonts w:asciiTheme="minorHAnsi" w:eastAsiaTheme="minorHAnsi" w:hAnsiTheme="minorHAnsi" w:cstheme="minorHAnsi"/>
            <w:color w:val="0070C0"/>
            <w:sz w:val="24"/>
          </w:rPr>
          <w:t>[TOC</w:t>
        </w:r>
        <w:r w:rsidRPr="00F93EAF">
          <w:rPr>
            <w:rStyle w:val="Heading2Char"/>
            <w:rFonts w:asciiTheme="minorHAnsi" w:eastAsiaTheme="minorHAnsi" w:hAnsiTheme="minorHAnsi" w:cstheme="minorHAnsi"/>
            <w:color w:val="0070C0"/>
            <w:sz w:val="24"/>
          </w:rPr>
          <w:t xml:space="preserve"> </w:t>
        </w:r>
        <w:r w:rsidRPr="00F93EAF">
          <w:rPr>
            <w:rStyle w:val="Heading2Char"/>
            <w:rFonts w:asciiTheme="minorHAnsi" w:eastAsiaTheme="minorHAnsi" w:hAnsiTheme="minorHAnsi" w:cstheme="minorHAnsi"/>
            <w:color w:val="0070C0"/>
            <w:sz w:val="24"/>
          </w:rPr>
          <w:t>Top]</w:t>
        </w:r>
      </w:hyperlink>
      <w:r w:rsidR="00840E3B">
        <w:br w:type="page"/>
      </w:r>
    </w:p>
    <w:p w14:paraId="7775D229" w14:textId="358E898A" w:rsidR="00F44300" w:rsidRPr="00F83BA4" w:rsidRDefault="00F44300" w:rsidP="001421B0"/>
    <w:p w14:paraId="18A647A3" w14:textId="77777777" w:rsidR="00F44300" w:rsidRPr="00F313EA" w:rsidRDefault="00F44300" w:rsidP="00540B61">
      <w:pPr>
        <w:spacing w:after="120"/>
        <w:jc w:val="center"/>
        <w:rPr>
          <w:rFonts w:ascii="Arial" w:hAnsi="Arial" w:cs="Arial"/>
          <w:b/>
          <w:sz w:val="24"/>
          <w:szCs w:val="24"/>
        </w:rPr>
      </w:pPr>
      <w:r w:rsidRPr="00F313EA">
        <w:rPr>
          <w:rFonts w:ascii="Arial" w:hAnsi="Arial" w:cs="Arial"/>
          <w:b/>
          <w:sz w:val="24"/>
          <w:szCs w:val="24"/>
        </w:rPr>
        <w:t>State Analysis Guide</w:t>
      </w:r>
    </w:p>
    <w:p w14:paraId="3E16F249" w14:textId="77777777" w:rsidR="00F44300" w:rsidRPr="00F313EA" w:rsidRDefault="00F44300" w:rsidP="001421B0">
      <w:pPr>
        <w:jc w:val="center"/>
        <w:rPr>
          <w:rFonts w:ascii="Arial" w:hAnsi="Arial" w:cs="Arial"/>
          <w:b/>
          <w:sz w:val="26"/>
          <w:szCs w:val="26"/>
        </w:rPr>
      </w:pPr>
      <w:bookmarkStart w:id="10" w:name="InfoShare_LawEnforce_SAG"/>
      <w:r w:rsidRPr="00F313EA">
        <w:rPr>
          <w:rFonts w:ascii="Arial" w:hAnsi="Arial" w:cs="Arial"/>
          <w:b/>
          <w:sz w:val="26"/>
          <w:szCs w:val="26"/>
        </w:rPr>
        <w:t>Sharing Information between Public Health and Law Enforcement</w:t>
      </w:r>
      <w:bookmarkEnd w:id="10"/>
    </w:p>
    <w:p w14:paraId="1159AB98" w14:textId="77777777" w:rsidR="00F44300" w:rsidRPr="00F313EA" w:rsidRDefault="00F44300" w:rsidP="001421B0">
      <w:pPr>
        <w:rPr>
          <w:rFonts w:ascii="Arial" w:hAnsi="Arial" w:cs="Arial"/>
          <w:sz w:val="16"/>
          <w:szCs w:val="20"/>
        </w:rPr>
      </w:pPr>
    </w:p>
    <w:p w14:paraId="3818AE3A" w14:textId="77777777" w:rsidR="00F44300" w:rsidRPr="00F313EA" w:rsidRDefault="00F44300" w:rsidP="002A03E4">
      <w:pPr>
        <w:ind w:left="288" w:right="576"/>
        <w:jc w:val="both"/>
        <w:rPr>
          <w:rFonts w:ascii="Arial" w:hAnsi="Arial" w:cs="Arial"/>
        </w:rPr>
      </w:pPr>
      <w:r w:rsidRPr="00F313EA">
        <w:rPr>
          <w:rFonts w:ascii="Arial" w:hAnsi="Arial" w:cs="Arial"/>
        </w:rPr>
        <w:t xml:space="preserve">This </w:t>
      </w:r>
      <w:r w:rsidRPr="00F313EA">
        <w:rPr>
          <w:rFonts w:ascii="Arial" w:hAnsi="Arial" w:cs="Arial"/>
          <w:i/>
        </w:rPr>
        <w:t>State Analysis Guide</w:t>
      </w:r>
      <w:r w:rsidRPr="00F313EA">
        <w:rPr>
          <w:rFonts w:ascii="Arial" w:hAnsi="Arial" w:cs="Arial"/>
        </w:rPr>
        <w:t xml:space="preserve"> is intended to assist state health agency staff and legal counsel with locating and analyzing their state’s laws, rules, policies, and implementation plans that govern information sharing between public health agencies and law enforcement. Space is provided on the document to insert references or summaries of appropriate state or local authorities. Because each state’s law is unique, this guide may not identify all issues that arise in the course of analyzing a state’s law. </w:t>
      </w:r>
      <w:r w:rsidRPr="00F313EA">
        <w:rPr>
          <w:rFonts w:ascii="Arial" w:hAnsi="Arial" w:cs="Arial"/>
          <w:b/>
        </w:rPr>
        <w:t xml:space="preserve">The language and requirements of specific state/local laws, regulations, ordinances, rules, policies, </w:t>
      </w:r>
      <w:proofErr w:type="spellStart"/>
      <w:r w:rsidRPr="00F313EA">
        <w:rPr>
          <w:rFonts w:ascii="Arial" w:hAnsi="Arial" w:cs="Arial"/>
          <w:b/>
        </w:rPr>
        <w:t>guidances</w:t>
      </w:r>
      <w:proofErr w:type="spellEnd"/>
      <w:r w:rsidRPr="00F313EA">
        <w:rPr>
          <w:rFonts w:ascii="Arial" w:hAnsi="Arial" w:cs="Arial"/>
          <w:b/>
        </w:rPr>
        <w:t>, case law, and other sources of legal authority overrule this general analysis guide in all instances. This resource is for informational purposes only and is not intended as a substitute for professional legal or other advice.</w:t>
      </w:r>
    </w:p>
    <w:p w14:paraId="25E0AFE7" w14:textId="77777777" w:rsidR="00F44300" w:rsidRPr="00F313EA" w:rsidRDefault="00F44300" w:rsidP="001421B0">
      <w:pPr>
        <w:rPr>
          <w:rFonts w:cs="Arial"/>
        </w:rPr>
      </w:pPr>
    </w:p>
    <w:tbl>
      <w:tblPr>
        <w:tblW w:w="14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562"/>
        <w:gridCol w:w="4575"/>
        <w:gridCol w:w="8633"/>
      </w:tblGrid>
      <w:tr w:rsidR="00F44300" w:rsidRPr="00F313EA" w14:paraId="29A6EA20" w14:textId="77777777" w:rsidTr="00517F72">
        <w:trPr>
          <w:cantSplit/>
          <w:trHeight w:val="317"/>
          <w:tblHeader/>
        </w:trPr>
        <w:tc>
          <w:tcPr>
            <w:tcW w:w="5677" w:type="dxa"/>
            <w:gridSpan w:val="3"/>
            <w:shd w:val="clear" w:color="auto" w:fill="BFBFBF"/>
            <w:tcMar>
              <w:top w:w="58" w:type="dxa"/>
              <w:left w:w="130" w:type="dxa"/>
              <w:bottom w:w="58" w:type="dxa"/>
              <w:right w:w="115" w:type="dxa"/>
            </w:tcMar>
            <w:vAlign w:val="center"/>
          </w:tcPr>
          <w:p w14:paraId="37C8F9AD" w14:textId="77777777" w:rsidR="00F44300" w:rsidRPr="00F313EA" w:rsidRDefault="00F44300" w:rsidP="00E44C7F">
            <w:pPr>
              <w:rPr>
                <w:rFonts w:cs="Arial"/>
                <w:b/>
              </w:rPr>
            </w:pPr>
            <w:r w:rsidRPr="00F313EA">
              <w:rPr>
                <w:rFonts w:cs="Arial"/>
                <w:b/>
              </w:rPr>
              <w:t>Issues for Analysis</w:t>
            </w:r>
          </w:p>
        </w:tc>
        <w:tc>
          <w:tcPr>
            <w:tcW w:w="8633" w:type="dxa"/>
            <w:shd w:val="clear" w:color="auto" w:fill="BFBFBF"/>
            <w:tcMar>
              <w:top w:w="58" w:type="dxa"/>
              <w:left w:w="130" w:type="dxa"/>
              <w:bottom w:w="58" w:type="dxa"/>
              <w:right w:w="115" w:type="dxa"/>
            </w:tcMar>
            <w:vAlign w:val="center"/>
          </w:tcPr>
          <w:p w14:paraId="341F23A3" w14:textId="77777777" w:rsidR="00F44300" w:rsidRPr="00F313EA" w:rsidRDefault="00F44300" w:rsidP="00AB0FE4">
            <w:pPr>
              <w:jc w:val="center"/>
              <w:rPr>
                <w:rFonts w:cs="Arial"/>
                <w:b/>
              </w:rPr>
            </w:pPr>
            <w:r w:rsidRPr="00F313EA">
              <w:rPr>
                <w:rFonts w:cs="Arial"/>
                <w:b/>
              </w:rPr>
              <w:t>State/Local Information</w:t>
            </w:r>
          </w:p>
        </w:tc>
      </w:tr>
      <w:tr w:rsidR="00F44300" w:rsidRPr="00F313EA" w14:paraId="10CA54F4" w14:textId="77777777" w:rsidTr="00517F72">
        <w:trPr>
          <w:cantSplit/>
          <w:trHeight w:val="403"/>
        </w:trPr>
        <w:tc>
          <w:tcPr>
            <w:tcW w:w="14310" w:type="dxa"/>
            <w:gridSpan w:val="4"/>
            <w:shd w:val="clear" w:color="auto" w:fill="F2F2F2"/>
            <w:tcMar>
              <w:top w:w="58" w:type="dxa"/>
              <w:left w:w="130" w:type="dxa"/>
              <w:bottom w:w="58" w:type="dxa"/>
              <w:right w:w="115" w:type="dxa"/>
            </w:tcMar>
            <w:vAlign w:val="center"/>
          </w:tcPr>
          <w:p w14:paraId="0370932A" w14:textId="77777777" w:rsidR="00F44300" w:rsidRPr="00F313EA" w:rsidRDefault="00F44300" w:rsidP="001421B0">
            <w:pPr>
              <w:rPr>
                <w:rFonts w:cs="Arial"/>
                <w:b/>
              </w:rPr>
            </w:pPr>
            <w:r w:rsidRPr="00F313EA">
              <w:rPr>
                <w:rFonts w:cs="Arial"/>
                <w:b/>
              </w:rPr>
              <w:t>Disclosure of Information</w:t>
            </w:r>
          </w:p>
        </w:tc>
      </w:tr>
      <w:tr w:rsidR="00F44300" w:rsidRPr="00F313EA" w14:paraId="10C9EADB" w14:textId="77777777" w:rsidTr="00517F72">
        <w:trPr>
          <w:cantSplit/>
        </w:trPr>
        <w:tc>
          <w:tcPr>
            <w:tcW w:w="5677" w:type="dxa"/>
            <w:gridSpan w:val="3"/>
            <w:tcMar>
              <w:top w:w="58" w:type="dxa"/>
              <w:left w:w="130" w:type="dxa"/>
              <w:bottom w:w="58" w:type="dxa"/>
              <w:right w:w="115" w:type="dxa"/>
            </w:tcMar>
            <w:vAlign w:val="center"/>
          </w:tcPr>
          <w:p w14:paraId="3D29CBF0" w14:textId="77777777" w:rsidR="00F44300" w:rsidRPr="00F313EA" w:rsidRDefault="00F44300" w:rsidP="00A971BD">
            <w:pPr>
              <w:rPr>
                <w:rFonts w:cs="Arial"/>
              </w:rPr>
            </w:pPr>
            <w:r w:rsidRPr="00F313EA">
              <w:rPr>
                <w:rFonts w:cs="Arial"/>
              </w:rPr>
              <w:t>Identify authority for public health agencies to share necessary information with law enforcement; for each area, identify any prerequisites, conditions, or limitations (e.g., consent required, de-identified information only, state of emergency declaration, minimum necessary, etc.):</w:t>
            </w:r>
          </w:p>
        </w:tc>
        <w:tc>
          <w:tcPr>
            <w:tcW w:w="8633" w:type="dxa"/>
            <w:tcMar>
              <w:top w:w="58" w:type="dxa"/>
              <w:left w:w="130" w:type="dxa"/>
              <w:bottom w:w="58" w:type="dxa"/>
              <w:right w:w="115" w:type="dxa"/>
            </w:tcMar>
            <w:vAlign w:val="center"/>
          </w:tcPr>
          <w:p w14:paraId="078191FA" w14:textId="77777777" w:rsidR="00F44300" w:rsidRPr="00F313EA" w:rsidRDefault="00F44300" w:rsidP="001421B0">
            <w:pPr>
              <w:rPr>
                <w:rFonts w:cs="Arial"/>
              </w:rPr>
            </w:pPr>
          </w:p>
        </w:tc>
      </w:tr>
      <w:tr w:rsidR="00F44300" w:rsidRPr="00F313EA" w14:paraId="7C383B0D" w14:textId="77777777" w:rsidTr="00517F72">
        <w:trPr>
          <w:cantSplit/>
        </w:trPr>
        <w:tc>
          <w:tcPr>
            <w:tcW w:w="540" w:type="dxa"/>
            <w:tcMar>
              <w:top w:w="58" w:type="dxa"/>
              <w:left w:w="130" w:type="dxa"/>
              <w:bottom w:w="58" w:type="dxa"/>
              <w:right w:w="115" w:type="dxa"/>
            </w:tcMar>
            <w:vAlign w:val="center"/>
          </w:tcPr>
          <w:p w14:paraId="2D438E87"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13BFA903" w14:textId="77777777" w:rsidR="00F44300" w:rsidRPr="00F313EA" w:rsidRDefault="00F44300" w:rsidP="001421B0">
            <w:pPr>
              <w:rPr>
                <w:rFonts w:cs="Arial"/>
              </w:rPr>
            </w:pPr>
            <w:r w:rsidRPr="00F313EA">
              <w:rPr>
                <w:rFonts w:cs="Arial"/>
              </w:rPr>
              <w:t>General authority.</w:t>
            </w:r>
          </w:p>
        </w:tc>
        <w:tc>
          <w:tcPr>
            <w:tcW w:w="8633" w:type="dxa"/>
            <w:tcMar>
              <w:top w:w="58" w:type="dxa"/>
              <w:left w:w="130" w:type="dxa"/>
              <w:bottom w:w="58" w:type="dxa"/>
              <w:right w:w="115" w:type="dxa"/>
            </w:tcMar>
            <w:vAlign w:val="center"/>
          </w:tcPr>
          <w:p w14:paraId="3AC39502" w14:textId="77777777" w:rsidR="00F44300" w:rsidRPr="00F313EA" w:rsidRDefault="00F44300" w:rsidP="001421B0">
            <w:pPr>
              <w:rPr>
                <w:rFonts w:cs="Arial"/>
              </w:rPr>
            </w:pPr>
          </w:p>
        </w:tc>
      </w:tr>
      <w:tr w:rsidR="00F44300" w:rsidRPr="00F313EA" w14:paraId="1D0BFE59" w14:textId="77777777" w:rsidTr="00517F72">
        <w:trPr>
          <w:cantSplit/>
        </w:trPr>
        <w:tc>
          <w:tcPr>
            <w:tcW w:w="540" w:type="dxa"/>
            <w:tcMar>
              <w:top w:w="58" w:type="dxa"/>
              <w:left w:w="130" w:type="dxa"/>
              <w:bottom w:w="58" w:type="dxa"/>
              <w:right w:w="115" w:type="dxa"/>
            </w:tcMar>
            <w:vAlign w:val="center"/>
          </w:tcPr>
          <w:p w14:paraId="143E4CF3"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351AB70F" w14:textId="77777777" w:rsidR="00F44300" w:rsidRPr="00F313EA" w:rsidRDefault="00F44300" w:rsidP="001421B0">
            <w:pPr>
              <w:rPr>
                <w:rFonts w:cs="Arial"/>
              </w:rPr>
            </w:pPr>
            <w:r w:rsidRPr="00F313EA">
              <w:rPr>
                <w:rFonts w:cs="Arial"/>
              </w:rPr>
              <w:t>Disease specific.</w:t>
            </w:r>
          </w:p>
        </w:tc>
        <w:tc>
          <w:tcPr>
            <w:tcW w:w="8633" w:type="dxa"/>
            <w:tcMar>
              <w:top w:w="58" w:type="dxa"/>
              <w:left w:w="130" w:type="dxa"/>
              <w:bottom w:w="58" w:type="dxa"/>
              <w:right w:w="115" w:type="dxa"/>
            </w:tcMar>
            <w:vAlign w:val="center"/>
          </w:tcPr>
          <w:p w14:paraId="5CED7770" w14:textId="77777777" w:rsidR="00F44300" w:rsidRPr="00F313EA" w:rsidRDefault="00F44300" w:rsidP="001421B0">
            <w:pPr>
              <w:rPr>
                <w:rFonts w:cs="Arial"/>
              </w:rPr>
            </w:pPr>
          </w:p>
        </w:tc>
      </w:tr>
      <w:tr w:rsidR="00F44300" w:rsidRPr="00F313EA" w14:paraId="10B8D67B" w14:textId="77777777" w:rsidTr="00517F72">
        <w:trPr>
          <w:cantSplit/>
        </w:trPr>
        <w:tc>
          <w:tcPr>
            <w:tcW w:w="540" w:type="dxa"/>
            <w:tcMar>
              <w:top w:w="58" w:type="dxa"/>
              <w:left w:w="130" w:type="dxa"/>
              <w:bottom w:w="58" w:type="dxa"/>
              <w:right w:w="115" w:type="dxa"/>
            </w:tcMar>
            <w:vAlign w:val="center"/>
          </w:tcPr>
          <w:p w14:paraId="70295D11"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7DE452FA" w14:textId="77777777" w:rsidR="00F44300" w:rsidRPr="00F313EA" w:rsidRDefault="00F44300" w:rsidP="001421B0">
            <w:pPr>
              <w:rPr>
                <w:rFonts w:cs="Arial"/>
              </w:rPr>
            </w:pPr>
            <w:r w:rsidRPr="00F313EA">
              <w:rPr>
                <w:rFonts w:cs="Arial"/>
              </w:rPr>
              <w:t>Other conditions (e.g., poisonings, radiologic events, suspected acts of bioterrorism).</w:t>
            </w:r>
          </w:p>
        </w:tc>
        <w:tc>
          <w:tcPr>
            <w:tcW w:w="8633" w:type="dxa"/>
            <w:tcMar>
              <w:top w:w="58" w:type="dxa"/>
              <w:left w:w="130" w:type="dxa"/>
              <w:bottom w:w="58" w:type="dxa"/>
              <w:right w:w="115" w:type="dxa"/>
            </w:tcMar>
            <w:vAlign w:val="center"/>
          </w:tcPr>
          <w:p w14:paraId="3B504020" w14:textId="77777777" w:rsidR="00F44300" w:rsidRPr="00F313EA" w:rsidRDefault="00F44300" w:rsidP="001421B0">
            <w:pPr>
              <w:rPr>
                <w:rFonts w:cs="Arial"/>
              </w:rPr>
            </w:pPr>
          </w:p>
        </w:tc>
      </w:tr>
      <w:tr w:rsidR="00F44300" w:rsidRPr="00F313EA" w14:paraId="1052440E" w14:textId="77777777" w:rsidTr="00517F72">
        <w:trPr>
          <w:cantSplit/>
        </w:trPr>
        <w:tc>
          <w:tcPr>
            <w:tcW w:w="540" w:type="dxa"/>
            <w:tcMar>
              <w:top w:w="58" w:type="dxa"/>
              <w:left w:w="130" w:type="dxa"/>
              <w:bottom w:w="58" w:type="dxa"/>
              <w:right w:w="115" w:type="dxa"/>
            </w:tcMar>
            <w:vAlign w:val="center"/>
          </w:tcPr>
          <w:p w14:paraId="1E08F1C5"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582FD82C" w14:textId="77777777" w:rsidR="00F44300" w:rsidRPr="00F313EA" w:rsidRDefault="00F44300" w:rsidP="002965C8">
            <w:pPr>
              <w:rPr>
                <w:rFonts w:cs="Arial"/>
              </w:rPr>
            </w:pPr>
            <w:r w:rsidRPr="00F313EA">
              <w:rPr>
                <w:rFonts w:cs="Arial"/>
              </w:rPr>
              <w:t>Catch-all (e.g., unusual occurrence of a disease, infection, or condition).</w:t>
            </w:r>
          </w:p>
        </w:tc>
        <w:tc>
          <w:tcPr>
            <w:tcW w:w="8633" w:type="dxa"/>
            <w:tcMar>
              <w:top w:w="58" w:type="dxa"/>
              <w:left w:w="130" w:type="dxa"/>
              <w:bottom w:w="58" w:type="dxa"/>
              <w:right w:w="115" w:type="dxa"/>
            </w:tcMar>
            <w:vAlign w:val="center"/>
          </w:tcPr>
          <w:p w14:paraId="3E85065F" w14:textId="77777777" w:rsidR="00F44300" w:rsidRPr="00F313EA" w:rsidRDefault="00F44300" w:rsidP="001421B0">
            <w:pPr>
              <w:rPr>
                <w:rFonts w:cs="Arial"/>
              </w:rPr>
            </w:pPr>
          </w:p>
        </w:tc>
      </w:tr>
      <w:tr w:rsidR="00F44300" w:rsidRPr="00F313EA" w14:paraId="1ABAF4B3" w14:textId="77777777" w:rsidTr="00517F72">
        <w:trPr>
          <w:cantSplit/>
        </w:trPr>
        <w:tc>
          <w:tcPr>
            <w:tcW w:w="540" w:type="dxa"/>
            <w:tcMar>
              <w:top w:w="58" w:type="dxa"/>
              <w:left w:w="130" w:type="dxa"/>
              <w:bottom w:w="58" w:type="dxa"/>
              <w:right w:w="115" w:type="dxa"/>
            </w:tcMar>
            <w:vAlign w:val="center"/>
          </w:tcPr>
          <w:p w14:paraId="3F0982E3"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6AEF01F9" w14:textId="77777777" w:rsidR="00F44300" w:rsidRPr="00F313EA" w:rsidRDefault="00F44300" w:rsidP="001421B0">
            <w:pPr>
              <w:rPr>
                <w:rFonts w:cs="Arial"/>
              </w:rPr>
            </w:pPr>
            <w:r w:rsidRPr="00F313EA">
              <w:rPr>
                <w:rFonts w:cs="Arial"/>
              </w:rPr>
              <w:t>Syndromic surveillance.</w:t>
            </w:r>
          </w:p>
        </w:tc>
        <w:tc>
          <w:tcPr>
            <w:tcW w:w="8633" w:type="dxa"/>
            <w:tcMar>
              <w:top w:w="58" w:type="dxa"/>
              <w:left w:w="130" w:type="dxa"/>
              <w:bottom w:w="58" w:type="dxa"/>
              <w:right w:w="115" w:type="dxa"/>
            </w:tcMar>
            <w:vAlign w:val="center"/>
          </w:tcPr>
          <w:p w14:paraId="6E2BA08B" w14:textId="77777777" w:rsidR="00F44300" w:rsidRPr="00F313EA" w:rsidRDefault="00F44300" w:rsidP="001421B0">
            <w:pPr>
              <w:rPr>
                <w:rFonts w:cs="Arial"/>
              </w:rPr>
            </w:pPr>
          </w:p>
        </w:tc>
      </w:tr>
      <w:tr w:rsidR="00F44300" w:rsidRPr="00F313EA" w14:paraId="66966A09" w14:textId="77777777" w:rsidTr="00517F72">
        <w:trPr>
          <w:cantSplit/>
        </w:trPr>
        <w:tc>
          <w:tcPr>
            <w:tcW w:w="540" w:type="dxa"/>
            <w:tcMar>
              <w:top w:w="58" w:type="dxa"/>
              <w:left w:w="130" w:type="dxa"/>
              <w:bottom w:w="58" w:type="dxa"/>
              <w:right w:w="115" w:type="dxa"/>
            </w:tcMar>
            <w:vAlign w:val="center"/>
          </w:tcPr>
          <w:p w14:paraId="114A48C7"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69D6B449" w14:textId="77777777" w:rsidR="00F44300" w:rsidRPr="00F313EA" w:rsidRDefault="00F44300" w:rsidP="001421B0">
            <w:pPr>
              <w:rPr>
                <w:rFonts w:cs="Arial"/>
              </w:rPr>
            </w:pPr>
            <w:r w:rsidRPr="00F313EA">
              <w:rPr>
                <w:rFonts w:cs="Arial"/>
              </w:rPr>
              <w:t>Public health workforce.</w:t>
            </w:r>
          </w:p>
        </w:tc>
        <w:tc>
          <w:tcPr>
            <w:tcW w:w="8633" w:type="dxa"/>
            <w:tcMar>
              <w:top w:w="58" w:type="dxa"/>
              <w:left w:w="130" w:type="dxa"/>
              <w:bottom w:w="58" w:type="dxa"/>
              <w:right w:w="115" w:type="dxa"/>
            </w:tcMar>
            <w:vAlign w:val="center"/>
          </w:tcPr>
          <w:p w14:paraId="6CCF44FC" w14:textId="77777777" w:rsidR="00F44300" w:rsidRPr="00F313EA" w:rsidRDefault="00F44300" w:rsidP="001421B0">
            <w:pPr>
              <w:rPr>
                <w:rFonts w:cs="Arial"/>
              </w:rPr>
            </w:pPr>
          </w:p>
        </w:tc>
      </w:tr>
      <w:tr w:rsidR="00F44300" w:rsidRPr="00F313EA" w14:paraId="06605DED" w14:textId="77777777" w:rsidTr="00517F72">
        <w:trPr>
          <w:cantSplit/>
        </w:trPr>
        <w:tc>
          <w:tcPr>
            <w:tcW w:w="540" w:type="dxa"/>
            <w:tcMar>
              <w:top w:w="58" w:type="dxa"/>
              <w:left w:w="130" w:type="dxa"/>
              <w:bottom w:w="58" w:type="dxa"/>
              <w:right w:w="115" w:type="dxa"/>
            </w:tcMar>
            <w:vAlign w:val="center"/>
          </w:tcPr>
          <w:p w14:paraId="336ECA17"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3C4BA0A2" w14:textId="77777777" w:rsidR="00F44300" w:rsidRPr="00F313EA" w:rsidRDefault="00F44300" w:rsidP="001421B0">
            <w:pPr>
              <w:rPr>
                <w:rFonts w:cs="Arial"/>
              </w:rPr>
            </w:pPr>
            <w:r w:rsidRPr="00F313EA">
              <w:rPr>
                <w:rFonts w:cs="Arial"/>
              </w:rPr>
              <w:t>Other.</w:t>
            </w:r>
          </w:p>
        </w:tc>
        <w:tc>
          <w:tcPr>
            <w:tcW w:w="8633" w:type="dxa"/>
            <w:tcMar>
              <w:top w:w="58" w:type="dxa"/>
              <w:left w:w="130" w:type="dxa"/>
              <w:bottom w:w="58" w:type="dxa"/>
              <w:right w:w="115" w:type="dxa"/>
            </w:tcMar>
            <w:vAlign w:val="center"/>
          </w:tcPr>
          <w:p w14:paraId="3C5E3D3F" w14:textId="77777777" w:rsidR="00F44300" w:rsidRPr="00F313EA" w:rsidRDefault="00F44300" w:rsidP="001421B0">
            <w:pPr>
              <w:rPr>
                <w:rFonts w:cs="Arial"/>
              </w:rPr>
            </w:pPr>
          </w:p>
        </w:tc>
      </w:tr>
      <w:tr w:rsidR="00F44300" w:rsidRPr="00F313EA" w14:paraId="2CBB5DBB" w14:textId="77777777" w:rsidTr="00007A54">
        <w:trPr>
          <w:cantSplit/>
        </w:trPr>
        <w:tc>
          <w:tcPr>
            <w:tcW w:w="14310" w:type="dxa"/>
            <w:gridSpan w:val="4"/>
            <w:tcMar>
              <w:top w:w="58" w:type="dxa"/>
              <w:left w:w="130" w:type="dxa"/>
              <w:bottom w:w="58" w:type="dxa"/>
              <w:right w:w="115" w:type="dxa"/>
            </w:tcMar>
            <w:vAlign w:val="center"/>
          </w:tcPr>
          <w:p w14:paraId="39FFFDE0" w14:textId="77777777" w:rsidR="00F44300" w:rsidRPr="00F313EA" w:rsidRDefault="00F44300" w:rsidP="001421B0">
            <w:pPr>
              <w:rPr>
                <w:rFonts w:cs="Arial"/>
              </w:rPr>
            </w:pPr>
          </w:p>
        </w:tc>
      </w:tr>
      <w:tr w:rsidR="00F44300" w:rsidRPr="00F313EA" w14:paraId="2FD1A26D" w14:textId="77777777" w:rsidTr="00517F72">
        <w:trPr>
          <w:cantSplit/>
        </w:trPr>
        <w:tc>
          <w:tcPr>
            <w:tcW w:w="5677" w:type="dxa"/>
            <w:gridSpan w:val="3"/>
            <w:tcMar>
              <w:top w:w="58" w:type="dxa"/>
              <w:left w:w="130" w:type="dxa"/>
              <w:bottom w:w="58" w:type="dxa"/>
              <w:right w:w="115" w:type="dxa"/>
            </w:tcMar>
            <w:vAlign w:val="center"/>
          </w:tcPr>
          <w:p w14:paraId="2B07A33B" w14:textId="77777777" w:rsidR="00F44300" w:rsidRPr="00F313EA" w:rsidRDefault="00F44300" w:rsidP="00A971BD">
            <w:pPr>
              <w:rPr>
                <w:rFonts w:cs="Arial"/>
              </w:rPr>
            </w:pPr>
            <w:r w:rsidRPr="00F313EA">
              <w:rPr>
                <w:rFonts w:cs="Arial"/>
              </w:rPr>
              <w:lastRenderedPageBreak/>
              <w:t>Identify authority that allows sharing or limits sharing of information by public health agencies with law enforcement:</w:t>
            </w:r>
          </w:p>
        </w:tc>
        <w:tc>
          <w:tcPr>
            <w:tcW w:w="8633" w:type="dxa"/>
            <w:tcMar>
              <w:top w:w="58" w:type="dxa"/>
              <w:left w:w="130" w:type="dxa"/>
              <w:bottom w:w="58" w:type="dxa"/>
              <w:right w:w="115" w:type="dxa"/>
            </w:tcMar>
            <w:vAlign w:val="center"/>
          </w:tcPr>
          <w:p w14:paraId="5F0DCF2C" w14:textId="77777777" w:rsidR="00F44300" w:rsidRPr="00F313EA" w:rsidRDefault="00F44300" w:rsidP="001421B0">
            <w:pPr>
              <w:rPr>
                <w:rFonts w:cs="Arial"/>
              </w:rPr>
            </w:pPr>
          </w:p>
        </w:tc>
      </w:tr>
      <w:tr w:rsidR="00F44300" w:rsidRPr="00F313EA" w14:paraId="7B91D826" w14:textId="77777777" w:rsidTr="00517F72">
        <w:trPr>
          <w:cantSplit/>
        </w:trPr>
        <w:tc>
          <w:tcPr>
            <w:tcW w:w="540" w:type="dxa"/>
            <w:tcMar>
              <w:top w:w="58" w:type="dxa"/>
              <w:left w:w="130" w:type="dxa"/>
              <w:bottom w:w="58" w:type="dxa"/>
              <w:right w:w="115" w:type="dxa"/>
            </w:tcMar>
            <w:vAlign w:val="center"/>
          </w:tcPr>
          <w:p w14:paraId="18510877" w14:textId="77777777" w:rsidR="00F44300" w:rsidRPr="00F313EA" w:rsidRDefault="00F44300" w:rsidP="004E12E8">
            <w:pPr>
              <w:rPr>
                <w:rFonts w:cs="Arial"/>
              </w:rPr>
            </w:pPr>
          </w:p>
        </w:tc>
        <w:tc>
          <w:tcPr>
            <w:tcW w:w="5137" w:type="dxa"/>
            <w:gridSpan w:val="2"/>
            <w:vAlign w:val="center"/>
          </w:tcPr>
          <w:p w14:paraId="77BE810A" w14:textId="77777777" w:rsidR="00F44300" w:rsidRPr="00F313EA" w:rsidRDefault="00F44300" w:rsidP="004E12E8">
            <w:pPr>
              <w:rPr>
                <w:rFonts w:cs="Arial"/>
              </w:rPr>
            </w:pPr>
            <w:r w:rsidRPr="00F313EA">
              <w:rPr>
                <w:rFonts w:cs="Arial"/>
              </w:rPr>
              <w:t>General authority.</w:t>
            </w:r>
          </w:p>
        </w:tc>
        <w:tc>
          <w:tcPr>
            <w:tcW w:w="8633" w:type="dxa"/>
            <w:tcMar>
              <w:top w:w="58" w:type="dxa"/>
              <w:left w:w="130" w:type="dxa"/>
              <w:bottom w:w="58" w:type="dxa"/>
              <w:right w:w="115" w:type="dxa"/>
            </w:tcMar>
            <w:vAlign w:val="center"/>
          </w:tcPr>
          <w:p w14:paraId="6269453B" w14:textId="77777777" w:rsidR="00F44300" w:rsidRPr="00F313EA" w:rsidRDefault="00F44300" w:rsidP="001421B0">
            <w:pPr>
              <w:rPr>
                <w:rFonts w:cs="Arial"/>
              </w:rPr>
            </w:pPr>
          </w:p>
        </w:tc>
      </w:tr>
      <w:tr w:rsidR="00F44300" w:rsidRPr="00F313EA" w14:paraId="0F408F61" w14:textId="77777777" w:rsidTr="00517F72">
        <w:trPr>
          <w:cantSplit/>
        </w:trPr>
        <w:tc>
          <w:tcPr>
            <w:tcW w:w="540" w:type="dxa"/>
            <w:tcMar>
              <w:top w:w="58" w:type="dxa"/>
              <w:left w:w="130" w:type="dxa"/>
              <w:bottom w:w="58" w:type="dxa"/>
              <w:right w:w="115" w:type="dxa"/>
            </w:tcMar>
            <w:vAlign w:val="center"/>
          </w:tcPr>
          <w:p w14:paraId="251E2357" w14:textId="77777777" w:rsidR="00F44300" w:rsidRPr="00F313EA" w:rsidRDefault="00F44300" w:rsidP="004E12E8">
            <w:pPr>
              <w:rPr>
                <w:rFonts w:cs="Arial"/>
              </w:rPr>
            </w:pPr>
          </w:p>
        </w:tc>
        <w:tc>
          <w:tcPr>
            <w:tcW w:w="5137" w:type="dxa"/>
            <w:gridSpan w:val="2"/>
            <w:vAlign w:val="center"/>
          </w:tcPr>
          <w:p w14:paraId="103E8C10" w14:textId="77777777" w:rsidR="00F44300" w:rsidRPr="00F313EA" w:rsidRDefault="00F44300" w:rsidP="004E12E8">
            <w:pPr>
              <w:rPr>
                <w:rFonts w:cs="Arial"/>
              </w:rPr>
            </w:pPr>
            <w:r w:rsidRPr="00F313EA">
              <w:rPr>
                <w:rFonts w:cs="Arial"/>
              </w:rPr>
              <w:t>Data practices laws.</w:t>
            </w:r>
          </w:p>
        </w:tc>
        <w:tc>
          <w:tcPr>
            <w:tcW w:w="8633" w:type="dxa"/>
            <w:tcMar>
              <w:top w:w="58" w:type="dxa"/>
              <w:left w:w="130" w:type="dxa"/>
              <w:bottom w:w="58" w:type="dxa"/>
              <w:right w:w="115" w:type="dxa"/>
            </w:tcMar>
            <w:vAlign w:val="center"/>
          </w:tcPr>
          <w:p w14:paraId="4A8FF1EB" w14:textId="77777777" w:rsidR="00F44300" w:rsidRPr="00F313EA" w:rsidRDefault="00F44300" w:rsidP="001421B0">
            <w:pPr>
              <w:rPr>
                <w:rFonts w:cs="Arial"/>
              </w:rPr>
            </w:pPr>
          </w:p>
        </w:tc>
      </w:tr>
      <w:tr w:rsidR="00F44300" w:rsidRPr="00F313EA" w14:paraId="65169FB8" w14:textId="77777777" w:rsidTr="00517F72">
        <w:trPr>
          <w:cantSplit/>
        </w:trPr>
        <w:tc>
          <w:tcPr>
            <w:tcW w:w="540" w:type="dxa"/>
            <w:tcMar>
              <w:top w:w="58" w:type="dxa"/>
              <w:left w:w="130" w:type="dxa"/>
              <w:bottom w:w="58" w:type="dxa"/>
              <w:right w:w="115" w:type="dxa"/>
            </w:tcMar>
            <w:vAlign w:val="center"/>
          </w:tcPr>
          <w:p w14:paraId="3AC928E5" w14:textId="77777777" w:rsidR="00F44300" w:rsidRPr="00F313EA" w:rsidRDefault="00F44300" w:rsidP="004E12E8">
            <w:pPr>
              <w:rPr>
                <w:rFonts w:cs="Arial"/>
              </w:rPr>
            </w:pPr>
          </w:p>
        </w:tc>
        <w:tc>
          <w:tcPr>
            <w:tcW w:w="5137" w:type="dxa"/>
            <w:gridSpan w:val="2"/>
            <w:vAlign w:val="center"/>
          </w:tcPr>
          <w:p w14:paraId="5232BCEC" w14:textId="77777777" w:rsidR="00F44300" w:rsidRPr="00F313EA" w:rsidRDefault="00F44300" w:rsidP="004E12E8">
            <w:pPr>
              <w:rPr>
                <w:rFonts w:cs="Arial"/>
              </w:rPr>
            </w:pPr>
            <w:r w:rsidRPr="00F313EA">
              <w:rPr>
                <w:rFonts w:cs="Arial"/>
              </w:rPr>
              <w:t>Health information privacy laws.</w:t>
            </w:r>
          </w:p>
        </w:tc>
        <w:tc>
          <w:tcPr>
            <w:tcW w:w="8633" w:type="dxa"/>
            <w:tcMar>
              <w:top w:w="58" w:type="dxa"/>
              <w:left w:w="130" w:type="dxa"/>
              <w:bottom w:w="58" w:type="dxa"/>
              <w:right w:w="115" w:type="dxa"/>
            </w:tcMar>
            <w:vAlign w:val="center"/>
          </w:tcPr>
          <w:p w14:paraId="7F867A81" w14:textId="77777777" w:rsidR="00F44300" w:rsidRPr="00F313EA" w:rsidRDefault="00F44300" w:rsidP="001421B0">
            <w:pPr>
              <w:rPr>
                <w:rFonts w:cs="Arial"/>
              </w:rPr>
            </w:pPr>
          </w:p>
        </w:tc>
      </w:tr>
      <w:tr w:rsidR="00F44300" w:rsidRPr="00F313EA" w14:paraId="4164689E" w14:textId="77777777" w:rsidTr="00517F72">
        <w:trPr>
          <w:cantSplit/>
        </w:trPr>
        <w:tc>
          <w:tcPr>
            <w:tcW w:w="540" w:type="dxa"/>
            <w:tcMar>
              <w:top w:w="58" w:type="dxa"/>
              <w:left w:w="130" w:type="dxa"/>
              <w:bottom w:w="58" w:type="dxa"/>
              <w:right w:w="115" w:type="dxa"/>
            </w:tcMar>
            <w:vAlign w:val="center"/>
          </w:tcPr>
          <w:p w14:paraId="2FFA5599" w14:textId="77777777" w:rsidR="00F44300" w:rsidRPr="00F313EA" w:rsidRDefault="00F44300" w:rsidP="004E12E8">
            <w:pPr>
              <w:rPr>
                <w:rFonts w:cs="Arial"/>
              </w:rPr>
            </w:pPr>
          </w:p>
        </w:tc>
        <w:tc>
          <w:tcPr>
            <w:tcW w:w="5137" w:type="dxa"/>
            <w:gridSpan w:val="2"/>
            <w:vAlign w:val="center"/>
          </w:tcPr>
          <w:p w14:paraId="31B29CCF" w14:textId="77777777" w:rsidR="00F44300" w:rsidRPr="00F313EA" w:rsidRDefault="00F44300" w:rsidP="004E12E8">
            <w:pPr>
              <w:rPr>
                <w:rFonts w:cs="Arial"/>
              </w:rPr>
            </w:pPr>
            <w:r w:rsidRPr="00F313EA">
              <w:rPr>
                <w:rFonts w:cs="Arial"/>
              </w:rPr>
              <w:t>Right to privacy statutory or common law.</w:t>
            </w:r>
          </w:p>
        </w:tc>
        <w:tc>
          <w:tcPr>
            <w:tcW w:w="8633" w:type="dxa"/>
            <w:tcMar>
              <w:top w:w="58" w:type="dxa"/>
              <w:left w:w="130" w:type="dxa"/>
              <w:bottom w:w="58" w:type="dxa"/>
              <w:right w:w="115" w:type="dxa"/>
            </w:tcMar>
            <w:vAlign w:val="center"/>
          </w:tcPr>
          <w:p w14:paraId="2C367CF4" w14:textId="77777777" w:rsidR="00F44300" w:rsidRPr="00F313EA" w:rsidRDefault="00F44300" w:rsidP="001421B0">
            <w:pPr>
              <w:rPr>
                <w:rFonts w:cs="Arial"/>
              </w:rPr>
            </w:pPr>
          </w:p>
        </w:tc>
      </w:tr>
      <w:tr w:rsidR="00F44300" w:rsidRPr="00F313EA" w14:paraId="39A8E2ED" w14:textId="77777777" w:rsidTr="00517F72">
        <w:trPr>
          <w:cantSplit/>
        </w:trPr>
        <w:tc>
          <w:tcPr>
            <w:tcW w:w="540" w:type="dxa"/>
            <w:tcMar>
              <w:top w:w="58" w:type="dxa"/>
              <w:left w:w="130" w:type="dxa"/>
              <w:bottom w:w="58" w:type="dxa"/>
              <w:right w:w="115" w:type="dxa"/>
            </w:tcMar>
            <w:vAlign w:val="center"/>
          </w:tcPr>
          <w:p w14:paraId="440E5648" w14:textId="77777777" w:rsidR="00F44300" w:rsidRPr="00F313EA" w:rsidRDefault="00F44300" w:rsidP="004E12E8">
            <w:pPr>
              <w:rPr>
                <w:rFonts w:cs="Arial"/>
              </w:rPr>
            </w:pPr>
          </w:p>
        </w:tc>
        <w:tc>
          <w:tcPr>
            <w:tcW w:w="5137" w:type="dxa"/>
            <w:gridSpan w:val="2"/>
            <w:vAlign w:val="center"/>
          </w:tcPr>
          <w:p w14:paraId="7510DCAC" w14:textId="77777777" w:rsidR="00F44300" w:rsidRPr="00F313EA" w:rsidRDefault="00F44300" w:rsidP="004E12E8">
            <w:pPr>
              <w:rPr>
                <w:rFonts w:cs="Arial"/>
              </w:rPr>
            </w:pPr>
            <w:r w:rsidRPr="00F313EA">
              <w:rPr>
                <w:rFonts w:cs="Arial"/>
              </w:rPr>
              <w:t>Other.</w:t>
            </w:r>
          </w:p>
        </w:tc>
        <w:tc>
          <w:tcPr>
            <w:tcW w:w="8633" w:type="dxa"/>
            <w:tcMar>
              <w:top w:w="58" w:type="dxa"/>
              <w:left w:w="130" w:type="dxa"/>
              <w:bottom w:w="58" w:type="dxa"/>
              <w:right w:w="115" w:type="dxa"/>
            </w:tcMar>
            <w:vAlign w:val="center"/>
          </w:tcPr>
          <w:p w14:paraId="22EEAE7E" w14:textId="77777777" w:rsidR="00F44300" w:rsidRPr="00F313EA" w:rsidRDefault="00F44300" w:rsidP="001421B0">
            <w:pPr>
              <w:rPr>
                <w:rFonts w:cs="Arial"/>
              </w:rPr>
            </w:pPr>
          </w:p>
        </w:tc>
      </w:tr>
      <w:tr w:rsidR="00F44300" w:rsidRPr="00F313EA" w14:paraId="3D151793" w14:textId="77777777" w:rsidTr="009B5C63">
        <w:trPr>
          <w:cantSplit/>
        </w:trPr>
        <w:tc>
          <w:tcPr>
            <w:tcW w:w="14310" w:type="dxa"/>
            <w:gridSpan w:val="4"/>
            <w:tcMar>
              <w:top w:w="58" w:type="dxa"/>
              <w:left w:w="130" w:type="dxa"/>
              <w:bottom w:w="58" w:type="dxa"/>
              <w:right w:w="115" w:type="dxa"/>
            </w:tcMar>
            <w:vAlign w:val="center"/>
          </w:tcPr>
          <w:p w14:paraId="1F167F0F" w14:textId="77777777" w:rsidR="00F44300" w:rsidRPr="00F313EA" w:rsidRDefault="00F44300" w:rsidP="001421B0">
            <w:pPr>
              <w:rPr>
                <w:rFonts w:cs="Arial"/>
              </w:rPr>
            </w:pPr>
          </w:p>
        </w:tc>
      </w:tr>
      <w:tr w:rsidR="00F44300" w:rsidRPr="00F313EA" w14:paraId="779DB5C3" w14:textId="77777777" w:rsidTr="00517F72">
        <w:trPr>
          <w:cantSplit/>
        </w:trPr>
        <w:tc>
          <w:tcPr>
            <w:tcW w:w="5677" w:type="dxa"/>
            <w:gridSpan w:val="3"/>
            <w:tcMar>
              <w:top w:w="58" w:type="dxa"/>
              <w:left w:w="130" w:type="dxa"/>
              <w:bottom w:w="58" w:type="dxa"/>
              <w:right w:w="115" w:type="dxa"/>
            </w:tcMar>
            <w:vAlign w:val="center"/>
          </w:tcPr>
          <w:p w14:paraId="6D3633EC" w14:textId="77777777" w:rsidR="00F44300" w:rsidRPr="00F313EA" w:rsidRDefault="00F44300" w:rsidP="004E12E8">
            <w:pPr>
              <w:rPr>
                <w:rFonts w:cs="Arial"/>
              </w:rPr>
            </w:pPr>
            <w:r w:rsidRPr="00F313EA">
              <w:rPr>
                <w:rFonts w:cs="Arial"/>
              </w:rPr>
              <w:t>Identify state authorities that mandate information sharing with law enforcement.</w:t>
            </w:r>
          </w:p>
        </w:tc>
        <w:tc>
          <w:tcPr>
            <w:tcW w:w="8633" w:type="dxa"/>
            <w:tcMar>
              <w:top w:w="58" w:type="dxa"/>
              <w:left w:w="130" w:type="dxa"/>
              <w:bottom w:w="58" w:type="dxa"/>
              <w:right w:w="115" w:type="dxa"/>
            </w:tcMar>
            <w:vAlign w:val="center"/>
          </w:tcPr>
          <w:p w14:paraId="5372D68D" w14:textId="77777777" w:rsidR="00F44300" w:rsidRPr="00F313EA" w:rsidRDefault="00F44300" w:rsidP="001421B0">
            <w:pPr>
              <w:rPr>
                <w:rFonts w:cs="Arial"/>
              </w:rPr>
            </w:pPr>
          </w:p>
        </w:tc>
      </w:tr>
      <w:tr w:rsidR="00F44300" w:rsidRPr="00F313EA" w14:paraId="1BEE4FCF" w14:textId="77777777" w:rsidTr="007B15AB">
        <w:trPr>
          <w:cantSplit/>
        </w:trPr>
        <w:tc>
          <w:tcPr>
            <w:tcW w:w="5677" w:type="dxa"/>
            <w:gridSpan w:val="3"/>
            <w:tcMar>
              <w:top w:w="58" w:type="dxa"/>
              <w:left w:w="130" w:type="dxa"/>
              <w:bottom w:w="58" w:type="dxa"/>
              <w:right w:w="115" w:type="dxa"/>
            </w:tcMar>
            <w:vAlign w:val="center"/>
          </w:tcPr>
          <w:p w14:paraId="7852F22C" w14:textId="77777777" w:rsidR="00F44300" w:rsidRPr="00F313EA" w:rsidRDefault="00F44300" w:rsidP="007B15AB">
            <w:pPr>
              <w:rPr>
                <w:rFonts w:cs="Arial"/>
              </w:rPr>
            </w:pPr>
            <w:r w:rsidRPr="00F313EA">
              <w:rPr>
                <w:rFonts w:cs="Arial"/>
              </w:rPr>
              <w:t>If state law does not sufficiently allow information to be shared when necessary to protect the public, identify options to address rare but compelling circumstances where disclosure is indicated.</w:t>
            </w:r>
          </w:p>
        </w:tc>
        <w:tc>
          <w:tcPr>
            <w:tcW w:w="8633" w:type="dxa"/>
            <w:tcMar>
              <w:top w:w="58" w:type="dxa"/>
              <w:left w:w="130" w:type="dxa"/>
              <w:bottom w:w="58" w:type="dxa"/>
              <w:right w:w="115" w:type="dxa"/>
            </w:tcMar>
            <w:vAlign w:val="center"/>
          </w:tcPr>
          <w:p w14:paraId="21217766" w14:textId="77777777" w:rsidR="00F44300" w:rsidRPr="00F313EA" w:rsidRDefault="00F44300" w:rsidP="007B15AB">
            <w:pPr>
              <w:rPr>
                <w:rFonts w:cs="Arial"/>
              </w:rPr>
            </w:pPr>
          </w:p>
        </w:tc>
      </w:tr>
      <w:tr w:rsidR="00F44300" w:rsidRPr="00F313EA" w14:paraId="4EE412F4" w14:textId="77777777" w:rsidTr="00517F72">
        <w:trPr>
          <w:cantSplit/>
        </w:trPr>
        <w:tc>
          <w:tcPr>
            <w:tcW w:w="5677" w:type="dxa"/>
            <w:gridSpan w:val="3"/>
            <w:tcMar>
              <w:top w:w="58" w:type="dxa"/>
              <w:left w:w="130" w:type="dxa"/>
              <w:bottom w:w="58" w:type="dxa"/>
              <w:right w:w="115" w:type="dxa"/>
            </w:tcMar>
            <w:vAlign w:val="center"/>
          </w:tcPr>
          <w:p w14:paraId="2078842E" w14:textId="77777777" w:rsidR="00F44300" w:rsidRPr="00F313EA" w:rsidRDefault="00F44300" w:rsidP="00352C43">
            <w:pPr>
              <w:rPr>
                <w:rFonts w:cs="Arial"/>
              </w:rPr>
            </w:pPr>
            <w:r w:rsidRPr="00F313EA">
              <w:rPr>
                <w:rFonts w:cs="Arial"/>
              </w:rPr>
              <w:t xml:space="preserve">Identify components of public health agency covered by HIPAA and applicable HIPAA exceptions to share information with law enforcement for emergency preparedness and response purposes. </w:t>
            </w:r>
          </w:p>
        </w:tc>
        <w:tc>
          <w:tcPr>
            <w:tcW w:w="8633" w:type="dxa"/>
            <w:tcMar>
              <w:top w:w="58" w:type="dxa"/>
              <w:left w:w="130" w:type="dxa"/>
              <w:bottom w:w="58" w:type="dxa"/>
              <w:right w:w="115" w:type="dxa"/>
            </w:tcMar>
            <w:vAlign w:val="center"/>
          </w:tcPr>
          <w:p w14:paraId="4A73933B" w14:textId="77777777" w:rsidR="00F44300" w:rsidRPr="00F313EA" w:rsidRDefault="00F44300" w:rsidP="00573F1E">
            <w:pPr>
              <w:rPr>
                <w:rFonts w:cs="Arial"/>
              </w:rPr>
            </w:pPr>
          </w:p>
        </w:tc>
      </w:tr>
      <w:tr w:rsidR="00F44300" w:rsidRPr="00F313EA" w14:paraId="1189EB9A" w14:textId="77777777" w:rsidTr="003456CD">
        <w:trPr>
          <w:cantSplit/>
        </w:trPr>
        <w:tc>
          <w:tcPr>
            <w:tcW w:w="14310" w:type="dxa"/>
            <w:gridSpan w:val="4"/>
            <w:tcMar>
              <w:top w:w="58" w:type="dxa"/>
              <w:left w:w="130" w:type="dxa"/>
              <w:bottom w:w="58" w:type="dxa"/>
              <w:right w:w="115" w:type="dxa"/>
            </w:tcMar>
            <w:vAlign w:val="center"/>
          </w:tcPr>
          <w:p w14:paraId="1EB7F049" w14:textId="77777777" w:rsidR="00F44300" w:rsidRPr="00F313EA" w:rsidRDefault="00F44300" w:rsidP="00573F1E">
            <w:pPr>
              <w:rPr>
                <w:rFonts w:cs="Arial"/>
              </w:rPr>
            </w:pPr>
          </w:p>
        </w:tc>
      </w:tr>
      <w:tr w:rsidR="00F44300" w:rsidRPr="00F313EA" w14:paraId="33748EA6" w14:textId="77777777" w:rsidTr="00517F72">
        <w:trPr>
          <w:cantSplit/>
          <w:trHeight w:val="439"/>
        </w:trPr>
        <w:tc>
          <w:tcPr>
            <w:tcW w:w="14310" w:type="dxa"/>
            <w:gridSpan w:val="4"/>
            <w:shd w:val="clear" w:color="auto" w:fill="F2F2F2"/>
            <w:tcMar>
              <w:top w:w="58" w:type="dxa"/>
              <w:left w:w="130" w:type="dxa"/>
              <w:bottom w:w="58" w:type="dxa"/>
              <w:right w:w="115" w:type="dxa"/>
            </w:tcMar>
            <w:vAlign w:val="center"/>
          </w:tcPr>
          <w:p w14:paraId="73202691" w14:textId="77777777" w:rsidR="00F44300" w:rsidRPr="00F313EA" w:rsidRDefault="00F44300" w:rsidP="00C26D13">
            <w:pPr>
              <w:rPr>
                <w:rFonts w:cs="Arial"/>
              </w:rPr>
            </w:pPr>
            <w:r w:rsidRPr="00F313EA">
              <w:rPr>
                <w:rFonts w:cs="Arial"/>
                <w:b/>
              </w:rPr>
              <w:t>Emergency Declarations</w:t>
            </w:r>
          </w:p>
        </w:tc>
      </w:tr>
      <w:tr w:rsidR="00F44300" w:rsidRPr="00F313EA" w14:paraId="3DCACF9C" w14:textId="77777777" w:rsidTr="00517F72">
        <w:trPr>
          <w:cantSplit/>
        </w:trPr>
        <w:tc>
          <w:tcPr>
            <w:tcW w:w="5677" w:type="dxa"/>
            <w:gridSpan w:val="3"/>
            <w:tcMar>
              <w:top w:w="58" w:type="dxa"/>
              <w:left w:w="130" w:type="dxa"/>
              <w:bottom w:w="58" w:type="dxa"/>
              <w:right w:w="115" w:type="dxa"/>
            </w:tcMar>
            <w:vAlign w:val="center"/>
          </w:tcPr>
          <w:p w14:paraId="19914774" w14:textId="77777777" w:rsidR="00F44300" w:rsidRPr="00F313EA" w:rsidRDefault="00F44300" w:rsidP="00C26D13">
            <w:pPr>
              <w:rPr>
                <w:rFonts w:cs="Arial"/>
              </w:rPr>
            </w:pPr>
            <w:r w:rsidRPr="00F313EA">
              <w:rPr>
                <w:rFonts w:cs="Arial"/>
              </w:rPr>
              <w:t>Identify the state's statute(s) regarding emergency declarations and powers. Identify any provisions that apply to authority to share information with law enforcement or might be used to allow sharing as necessary to respond to an emergency.</w:t>
            </w:r>
          </w:p>
        </w:tc>
        <w:tc>
          <w:tcPr>
            <w:tcW w:w="8633" w:type="dxa"/>
            <w:tcMar>
              <w:top w:w="58" w:type="dxa"/>
              <w:left w:w="130" w:type="dxa"/>
              <w:bottom w:w="58" w:type="dxa"/>
              <w:right w:w="115" w:type="dxa"/>
            </w:tcMar>
            <w:vAlign w:val="center"/>
          </w:tcPr>
          <w:p w14:paraId="756EFC1D" w14:textId="77777777" w:rsidR="00F44300" w:rsidRPr="00F313EA" w:rsidRDefault="00F44300" w:rsidP="00C26D13">
            <w:pPr>
              <w:rPr>
                <w:rFonts w:cs="Arial"/>
              </w:rPr>
            </w:pPr>
          </w:p>
        </w:tc>
      </w:tr>
      <w:tr w:rsidR="00F44300" w:rsidRPr="00F313EA" w14:paraId="0576E8FA" w14:textId="77777777" w:rsidTr="00366CBA">
        <w:trPr>
          <w:cantSplit/>
        </w:trPr>
        <w:tc>
          <w:tcPr>
            <w:tcW w:w="14310" w:type="dxa"/>
            <w:gridSpan w:val="4"/>
            <w:tcMar>
              <w:top w:w="58" w:type="dxa"/>
              <w:left w:w="130" w:type="dxa"/>
              <w:bottom w:w="58" w:type="dxa"/>
              <w:right w:w="115" w:type="dxa"/>
            </w:tcMar>
            <w:vAlign w:val="center"/>
          </w:tcPr>
          <w:p w14:paraId="288B5CE1" w14:textId="77777777" w:rsidR="00F44300" w:rsidRPr="00F313EA" w:rsidRDefault="00F44300" w:rsidP="00C26D13">
            <w:pPr>
              <w:rPr>
                <w:rFonts w:cs="Arial"/>
              </w:rPr>
            </w:pPr>
          </w:p>
        </w:tc>
      </w:tr>
      <w:tr w:rsidR="00F44300" w:rsidRPr="00F313EA" w14:paraId="19402A26" w14:textId="77777777" w:rsidTr="00517F72">
        <w:trPr>
          <w:cantSplit/>
          <w:trHeight w:val="439"/>
        </w:trPr>
        <w:tc>
          <w:tcPr>
            <w:tcW w:w="14310" w:type="dxa"/>
            <w:gridSpan w:val="4"/>
            <w:shd w:val="clear" w:color="auto" w:fill="F2F2F2"/>
            <w:tcMar>
              <w:top w:w="58" w:type="dxa"/>
              <w:left w:w="130" w:type="dxa"/>
              <w:bottom w:w="58" w:type="dxa"/>
              <w:right w:w="115" w:type="dxa"/>
            </w:tcMar>
            <w:vAlign w:val="center"/>
          </w:tcPr>
          <w:p w14:paraId="3DD46C01" w14:textId="77777777" w:rsidR="00F44300" w:rsidRPr="00F313EA" w:rsidRDefault="00F44300" w:rsidP="00915CEA">
            <w:pPr>
              <w:rPr>
                <w:rFonts w:cs="Arial"/>
              </w:rPr>
            </w:pPr>
            <w:r w:rsidRPr="00F313EA">
              <w:rPr>
                <w:rFonts w:cs="Arial"/>
                <w:b/>
              </w:rPr>
              <w:t>Coordination with Law Enforcement</w:t>
            </w:r>
          </w:p>
        </w:tc>
      </w:tr>
      <w:tr w:rsidR="00F44300" w:rsidRPr="00F313EA" w14:paraId="777B87BF" w14:textId="77777777" w:rsidTr="00517F72">
        <w:trPr>
          <w:cantSplit/>
        </w:trPr>
        <w:tc>
          <w:tcPr>
            <w:tcW w:w="5677" w:type="dxa"/>
            <w:gridSpan w:val="3"/>
            <w:tcMar>
              <w:top w:w="58" w:type="dxa"/>
              <w:left w:w="130" w:type="dxa"/>
              <w:bottom w:w="58" w:type="dxa"/>
              <w:right w:w="115" w:type="dxa"/>
            </w:tcMar>
            <w:vAlign w:val="center"/>
          </w:tcPr>
          <w:p w14:paraId="4D9DA7BB" w14:textId="77777777" w:rsidR="00F44300" w:rsidRPr="00F313EA" w:rsidRDefault="00F44300" w:rsidP="00292E3C">
            <w:pPr>
              <w:rPr>
                <w:rFonts w:cs="Arial"/>
              </w:rPr>
            </w:pPr>
            <w:r w:rsidRPr="00F313EA">
              <w:rPr>
                <w:rFonts w:cs="Arial"/>
              </w:rPr>
              <w:t>Identify authority to conduct joint investigations and collect evidence; identify any prerequisites, conditions, or limitations.</w:t>
            </w:r>
          </w:p>
        </w:tc>
        <w:tc>
          <w:tcPr>
            <w:tcW w:w="8633" w:type="dxa"/>
            <w:tcMar>
              <w:top w:w="58" w:type="dxa"/>
              <w:left w:w="130" w:type="dxa"/>
              <w:bottom w:w="58" w:type="dxa"/>
              <w:right w:w="115" w:type="dxa"/>
            </w:tcMar>
            <w:vAlign w:val="center"/>
          </w:tcPr>
          <w:p w14:paraId="3438860E" w14:textId="77777777" w:rsidR="00F44300" w:rsidRPr="00F313EA" w:rsidRDefault="00F44300" w:rsidP="00915CEA">
            <w:pPr>
              <w:rPr>
                <w:rFonts w:cs="Arial"/>
              </w:rPr>
            </w:pPr>
          </w:p>
        </w:tc>
      </w:tr>
      <w:tr w:rsidR="00F44300" w:rsidRPr="00F313EA" w14:paraId="2C8403D8" w14:textId="77777777" w:rsidTr="00517F72">
        <w:trPr>
          <w:cantSplit/>
        </w:trPr>
        <w:tc>
          <w:tcPr>
            <w:tcW w:w="5677" w:type="dxa"/>
            <w:gridSpan w:val="3"/>
            <w:tcMar>
              <w:top w:w="58" w:type="dxa"/>
              <w:left w:w="130" w:type="dxa"/>
              <w:bottom w:w="58" w:type="dxa"/>
              <w:right w:w="115" w:type="dxa"/>
            </w:tcMar>
            <w:vAlign w:val="center"/>
          </w:tcPr>
          <w:p w14:paraId="5913A139" w14:textId="77777777" w:rsidR="00F44300" w:rsidRPr="00F313EA" w:rsidRDefault="00F44300" w:rsidP="00292E3C">
            <w:pPr>
              <w:rPr>
                <w:rFonts w:cs="Arial"/>
              </w:rPr>
            </w:pPr>
            <w:r w:rsidRPr="00F313EA">
              <w:rPr>
                <w:rFonts w:cs="Arial"/>
              </w:rPr>
              <w:t>Identify and review policy and procedure related to public health investigations and information/specimen collections to ensure that the process comports with law enforcement’s Fourth and Fifth Amendment requirements.</w:t>
            </w:r>
          </w:p>
        </w:tc>
        <w:tc>
          <w:tcPr>
            <w:tcW w:w="8633" w:type="dxa"/>
            <w:tcMar>
              <w:top w:w="58" w:type="dxa"/>
              <w:left w:w="130" w:type="dxa"/>
              <w:bottom w:w="58" w:type="dxa"/>
              <w:right w:w="115" w:type="dxa"/>
            </w:tcMar>
            <w:vAlign w:val="center"/>
          </w:tcPr>
          <w:p w14:paraId="611CE4D7" w14:textId="77777777" w:rsidR="00F44300" w:rsidRPr="00F313EA" w:rsidRDefault="00F44300" w:rsidP="00573F1E">
            <w:pPr>
              <w:rPr>
                <w:rFonts w:cs="Arial"/>
              </w:rPr>
            </w:pPr>
          </w:p>
        </w:tc>
      </w:tr>
      <w:tr w:rsidR="00F44300" w:rsidRPr="00F313EA" w14:paraId="4577137F" w14:textId="77777777" w:rsidTr="00517F72">
        <w:trPr>
          <w:cantSplit/>
        </w:trPr>
        <w:tc>
          <w:tcPr>
            <w:tcW w:w="540" w:type="dxa"/>
            <w:tcMar>
              <w:top w:w="58" w:type="dxa"/>
              <w:left w:w="130" w:type="dxa"/>
              <w:bottom w:w="58" w:type="dxa"/>
              <w:right w:w="115" w:type="dxa"/>
            </w:tcMar>
            <w:vAlign w:val="center"/>
          </w:tcPr>
          <w:p w14:paraId="5F9432FC" w14:textId="77777777" w:rsidR="00F44300" w:rsidRPr="00F313EA" w:rsidRDefault="00F44300" w:rsidP="00573F1E">
            <w:pPr>
              <w:rPr>
                <w:rFonts w:cs="Arial"/>
              </w:rPr>
            </w:pPr>
          </w:p>
        </w:tc>
        <w:tc>
          <w:tcPr>
            <w:tcW w:w="5137" w:type="dxa"/>
            <w:gridSpan w:val="2"/>
            <w:vAlign w:val="center"/>
          </w:tcPr>
          <w:p w14:paraId="5374CC41" w14:textId="77777777" w:rsidR="00F44300" w:rsidRPr="00F313EA" w:rsidRDefault="00F44300" w:rsidP="00967268">
            <w:pPr>
              <w:rPr>
                <w:rFonts w:cs="Arial"/>
              </w:rPr>
            </w:pPr>
            <w:r w:rsidRPr="00F313EA">
              <w:rPr>
                <w:rFonts w:cs="Arial"/>
              </w:rPr>
              <w:t>Chain of custody.</w:t>
            </w:r>
          </w:p>
        </w:tc>
        <w:tc>
          <w:tcPr>
            <w:tcW w:w="8633" w:type="dxa"/>
            <w:tcMar>
              <w:top w:w="58" w:type="dxa"/>
              <w:left w:w="130" w:type="dxa"/>
              <w:bottom w:w="58" w:type="dxa"/>
              <w:right w:w="115" w:type="dxa"/>
            </w:tcMar>
            <w:vAlign w:val="center"/>
          </w:tcPr>
          <w:p w14:paraId="42CCCA3B" w14:textId="77777777" w:rsidR="00F44300" w:rsidRPr="00F313EA" w:rsidRDefault="00F44300" w:rsidP="00573F1E">
            <w:pPr>
              <w:rPr>
                <w:rFonts w:cs="Arial"/>
              </w:rPr>
            </w:pPr>
          </w:p>
        </w:tc>
      </w:tr>
      <w:tr w:rsidR="00F44300" w:rsidRPr="00F313EA" w14:paraId="6EEEBAF3" w14:textId="77777777" w:rsidTr="00517F72">
        <w:trPr>
          <w:cantSplit/>
        </w:trPr>
        <w:tc>
          <w:tcPr>
            <w:tcW w:w="540" w:type="dxa"/>
            <w:tcMar>
              <w:top w:w="58" w:type="dxa"/>
              <w:left w:w="130" w:type="dxa"/>
              <w:bottom w:w="58" w:type="dxa"/>
              <w:right w:w="115" w:type="dxa"/>
            </w:tcMar>
            <w:vAlign w:val="center"/>
          </w:tcPr>
          <w:p w14:paraId="0433D5B8" w14:textId="77777777" w:rsidR="00F44300" w:rsidRPr="00F313EA" w:rsidRDefault="00F44300" w:rsidP="00573F1E">
            <w:pPr>
              <w:rPr>
                <w:rFonts w:cs="Arial"/>
              </w:rPr>
            </w:pPr>
          </w:p>
        </w:tc>
        <w:tc>
          <w:tcPr>
            <w:tcW w:w="5137" w:type="dxa"/>
            <w:gridSpan w:val="2"/>
            <w:vAlign w:val="center"/>
          </w:tcPr>
          <w:p w14:paraId="539A9A82" w14:textId="77777777" w:rsidR="00F44300" w:rsidRPr="00F313EA" w:rsidRDefault="00F44300" w:rsidP="00573F1E">
            <w:pPr>
              <w:rPr>
                <w:rFonts w:cs="Arial"/>
              </w:rPr>
            </w:pPr>
            <w:r w:rsidRPr="00F313EA">
              <w:rPr>
                <w:rFonts w:cs="Arial"/>
              </w:rPr>
              <w:t>Evidence obtained as part of a legitimate public health investigation.</w:t>
            </w:r>
          </w:p>
        </w:tc>
        <w:tc>
          <w:tcPr>
            <w:tcW w:w="8633" w:type="dxa"/>
            <w:tcMar>
              <w:top w:w="58" w:type="dxa"/>
              <w:left w:w="130" w:type="dxa"/>
              <w:bottom w:w="58" w:type="dxa"/>
              <w:right w:w="115" w:type="dxa"/>
            </w:tcMar>
            <w:vAlign w:val="center"/>
          </w:tcPr>
          <w:p w14:paraId="6D263C93" w14:textId="77777777" w:rsidR="00F44300" w:rsidRPr="00F313EA" w:rsidRDefault="00F44300" w:rsidP="00573F1E">
            <w:pPr>
              <w:rPr>
                <w:rFonts w:cs="Arial"/>
              </w:rPr>
            </w:pPr>
          </w:p>
        </w:tc>
      </w:tr>
      <w:tr w:rsidR="00F44300" w:rsidRPr="00F313EA" w14:paraId="017CAF4B" w14:textId="77777777" w:rsidTr="00517F72">
        <w:trPr>
          <w:cantSplit/>
        </w:trPr>
        <w:tc>
          <w:tcPr>
            <w:tcW w:w="540" w:type="dxa"/>
            <w:tcMar>
              <w:top w:w="58" w:type="dxa"/>
              <w:left w:w="130" w:type="dxa"/>
              <w:bottom w:w="58" w:type="dxa"/>
              <w:right w:w="115" w:type="dxa"/>
            </w:tcMar>
            <w:vAlign w:val="center"/>
          </w:tcPr>
          <w:p w14:paraId="5786FDAD" w14:textId="77777777" w:rsidR="00F44300" w:rsidRPr="00F313EA" w:rsidRDefault="00F44300" w:rsidP="004E12E8">
            <w:pPr>
              <w:rPr>
                <w:rFonts w:cs="Arial"/>
              </w:rPr>
            </w:pPr>
          </w:p>
        </w:tc>
        <w:tc>
          <w:tcPr>
            <w:tcW w:w="5137" w:type="dxa"/>
            <w:gridSpan w:val="2"/>
            <w:vAlign w:val="center"/>
          </w:tcPr>
          <w:p w14:paraId="70BECA5C" w14:textId="77777777" w:rsidR="00F44300" w:rsidRPr="00F313EA" w:rsidRDefault="00F44300" w:rsidP="004E12E8">
            <w:pPr>
              <w:rPr>
                <w:rFonts w:cs="Arial"/>
              </w:rPr>
            </w:pPr>
            <w:r w:rsidRPr="00F313EA">
              <w:rPr>
                <w:rFonts w:cs="Arial"/>
              </w:rPr>
              <w:t>Voluntary consent.</w:t>
            </w:r>
          </w:p>
        </w:tc>
        <w:tc>
          <w:tcPr>
            <w:tcW w:w="8633" w:type="dxa"/>
            <w:tcMar>
              <w:top w:w="58" w:type="dxa"/>
              <w:left w:w="130" w:type="dxa"/>
              <w:bottom w:w="58" w:type="dxa"/>
              <w:right w:w="115" w:type="dxa"/>
            </w:tcMar>
            <w:vAlign w:val="center"/>
          </w:tcPr>
          <w:p w14:paraId="62661691" w14:textId="77777777" w:rsidR="00F44300" w:rsidRPr="00F313EA" w:rsidRDefault="00F44300" w:rsidP="001421B0">
            <w:pPr>
              <w:rPr>
                <w:rFonts w:cs="Arial"/>
              </w:rPr>
            </w:pPr>
          </w:p>
        </w:tc>
      </w:tr>
      <w:tr w:rsidR="00F44300" w:rsidRPr="00F313EA" w14:paraId="5B775244" w14:textId="77777777" w:rsidTr="00517F72">
        <w:trPr>
          <w:cantSplit/>
        </w:trPr>
        <w:tc>
          <w:tcPr>
            <w:tcW w:w="540" w:type="dxa"/>
            <w:tcMar>
              <w:top w:w="58" w:type="dxa"/>
              <w:left w:w="130" w:type="dxa"/>
              <w:bottom w:w="58" w:type="dxa"/>
              <w:right w:w="115" w:type="dxa"/>
            </w:tcMar>
            <w:vAlign w:val="center"/>
          </w:tcPr>
          <w:p w14:paraId="275D71F7" w14:textId="77777777" w:rsidR="00F44300" w:rsidRPr="00F313EA" w:rsidRDefault="00F44300" w:rsidP="004E12E8">
            <w:pPr>
              <w:rPr>
                <w:rFonts w:cs="Arial"/>
              </w:rPr>
            </w:pPr>
          </w:p>
        </w:tc>
        <w:tc>
          <w:tcPr>
            <w:tcW w:w="5137" w:type="dxa"/>
            <w:gridSpan w:val="2"/>
            <w:vAlign w:val="center"/>
          </w:tcPr>
          <w:p w14:paraId="46E9E088" w14:textId="77777777" w:rsidR="00F44300" w:rsidRPr="00F313EA" w:rsidRDefault="00F44300" w:rsidP="007528AD">
            <w:pPr>
              <w:rPr>
                <w:rFonts w:cs="Arial"/>
              </w:rPr>
            </w:pPr>
            <w:r w:rsidRPr="00F313EA">
              <w:rPr>
                <w:rFonts w:cs="Arial"/>
              </w:rPr>
              <w:t>Awareness of “in custody” interviews or joint interview conditions; need for sensitivity with law enforcement presence and proper actions/protocol.</w:t>
            </w:r>
          </w:p>
        </w:tc>
        <w:tc>
          <w:tcPr>
            <w:tcW w:w="8633" w:type="dxa"/>
            <w:tcMar>
              <w:top w:w="58" w:type="dxa"/>
              <w:left w:w="130" w:type="dxa"/>
              <w:bottom w:w="58" w:type="dxa"/>
              <w:right w:w="115" w:type="dxa"/>
            </w:tcMar>
            <w:vAlign w:val="center"/>
          </w:tcPr>
          <w:p w14:paraId="1557918C" w14:textId="77777777" w:rsidR="00F44300" w:rsidRPr="00F313EA" w:rsidRDefault="00F44300" w:rsidP="001421B0">
            <w:pPr>
              <w:rPr>
                <w:rFonts w:cs="Arial"/>
              </w:rPr>
            </w:pPr>
          </w:p>
        </w:tc>
      </w:tr>
      <w:tr w:rsidR="00F44300" w:rsidRPr="00F313EA" w14:paraId="563FAE56" w14:textId="77777777" w:rsidTr="00517F72">
        <w:trPr>
          <w:cantSplit/>
        </w:trPr>
        <w:tc>
          <w:tcPr>
            <w:tcW w:w="540" w:type="dxa"/>
            <w:tcMar>
              <w:top w:w="58" w:type="dxa"/>
              <w:left w:w="130" w:type="dxa"/>
              <w:bottom w:w="58" w:type="dxa"/>
              <w:right w:w="115" w:type="dxa"/>
            </w:tcMar>
            <w:vAlign w:val="center"/>
          </w:tcPr>
          <w:p w14:paraId="0B9BF391" w14:textId="77777777" w:rsidR="00F44300" w:rsidRPr="00F313EA" w:rsidRDefault="00F44300" w:rsidP="004E12E8">
            <w:pPr>
              <w:rPr>
                <w:rFonts w:cs="Arial"/>
              </w:rPr>
            </w:pPr>
          </w:p>
        </w:tc>
        <w:tc>
          <w:tcPr>
            <w:tcW w:w="5137" w:type="dxa"/>
            <w:gridSpan w:val="2"/>
            <w:vAlign w:val="center"/>
          </w:tcPr>
          <w:p w14:paraId="78DBB4A0" w14:textId="77777777" w:rsidR="00F44300" w:rsidRPr="00F313EA" w:rsidRDefault="00F44300" w:rsidP="00043913">
            <w:pPr>
              <w:rPr>
                <w:rFonts w:cs="Arial"/>
              </w:rPr>
            </w:pPr>
            <w:r w:rsidRPr="00F313EA">
              <w:rPr>
                <w:rFonts w:cs="Arial"/>
              </w:rPr>
              <w:t>Identify state law regarding exceptions to warrant and probable cause requirements that may apply to public health. Provisions may be included in the state’s constitution, statutes, or case law. Possible exceptions may include, but are not limited to:</w:t>
            </w:r>
          </w:p>
        </w:tc>
        <w:tc>
          <w:tcPr>
            <w:tcW w:w="8633" w:type="dxa"/>
            <w:tcMar>
              <w:top w:w="58" w:type="dxa"/>
              <w:left w:w="130" w:type="dxa"/>
              <w:bottom w:w="58" w:type="dxa"/>
              <w:right w:w="115" w:type="dxa"/>
            </w:tcMar>
            <w:vAlign w:val="center"/>
          </w:tcPr>
          <w:p w14:paraId="1FAD4BBF" w14:textId="77777777" w:rsidR="00F44300" w:rsidRPr="00F313EA" w:rsidRDefault="00F44300" w:rsidP="001421B0">
            <w:pPr>
              <w:rPr>
                <w:rFonts w:cs="Arial"/>
              </w:rPr>
            </w:pPr>
          </w:p>
        </w:tc>
      </w:tr>
      <w:tr w:rsidR="00F44300" w:rsidRPr="00F313EA" w14:paraId="56C9FF57" w14:textId="77777777" w:rsidTr="00517F72">
        <w:trPr>
          <w:cantSplit/>
        </w:trPr>
        <w:tc>
          <w:tcPr>
            <w:tcW w:w="1102" w:type="dxa"/>
            <w:gridSpan w:val="2"/>
            <w:tcMar>
              <w:top w:w="58" w:type="dxa"/>
              <w:left w:w="130" w:type="dxa"/>
              <w:bottom w:w="58" w:type="dxa"/>
              <w:right w:w="115" w:type="dxa"/>
            </w:tcMar>
            <w:vAlign w:val="center"/>
          </w:tcPr>
          <w:p w14:paraId="640FEBD0" w14:textId="77777777" w:rsidR="00F44300" w:rsidRPr="00F313EA" w:rsidRDefault="00F44300" w:rsidP="004E12E8">
            <w:pPr>
              <w:rPr>
                <w:rFonts w:cs="Arial"/>
              </w:rPr>
            </w:pPr>
          </w:p>
        </w:tc>
        <w:tc>
          <w:tcPr>
            <w:tcW w:w="4575" w:type="dxa"/>
            <w:vAlign w:val="center"/>
          </w:tcPr>
          <w:p w14:paraId="51D66AD8" w14:textId="77777777" w:rsidR="00F44300" w:rsidRPr="00F313EA" w:rsidRDefault="00F44300" w:rsidP="004E12E8">
            <w:pPr>
              <w:rPr>
                <w:rFonts w:cs="Arial"/>
              </w:rPr>
            </w:pPr>
            <w:r w:rsidRPr="00F313EA">
              <w:rPr>
                <w:rFonts w:cs="Arial"/>
              </w:rPr>
              <w:t>Pervasively regulated businesses.</w:t>
            </w:r>
          </w:p>
        </w:tc>
        <w:tc>
          <w:tcPr>
            <w:tcW w:w="8633" w:type="dxa"/>
            <w:tcMar>
              <w:top w:w="58" w:type="dxa"/>
              <w:left w:w="130" w:type="dxa"/>
              <w:bottom w:w="58" w:type="dxa"/>
              <w:right w:w="115" w:type="dxa"/>
            </w:tcMar>
            <w:vAlign w:val="center"/>
          </w:tcPr>
          <w:p w14:paraId="29CDC9F8" w14:textId="77777777" w:rsidR="00F44300" w:rsidRPr="00F313EA" w:rsidRDefault="00F44300" w:rsidP="001421B0">
            <w:pPr>
              <w:rPr>
                <w:rFonts w:cs="Arial"/>
              </w:rPr>
            </w:pPr>
          </w:p>
        </w:tc>
      </w:tr>
      <w:tr w:rsidR="00F44300" w:rsidRPr="00F313EA" w14:paraId="71D21396" w14:textId="77777777" w:rsidTr="00517F72">
        <w:trPr>
          <w:cantSplit/>
        </w:trPr>
        <w:tc>
          <w:tcPr>
            <w:tcW w:w="1102" w:type="dxa"/>
            <w:gridSpan w:val="2"/>
            <w:tcMar>
              <w:top w:w="58" w:type="dxa"/>
              <w:left w:w="130" w:type="dxa"/>
              <w:bottom w:w="58" w:type="dxa"/>
              <w:right w:w="115" w:type="dxa"/>
            </w:tcMar>
            <w:vAlign w:val="center"/>
          </w:tcPr>
          <w:p w14:paraId="1E559B0D" w14:textId="77777777" w:rsidR="00F44300" w:rsidRPr="00F313EA" w:rsidRDefault="00F44300" w:rsidP="004E12E8">
            <w:pPr>
              <w:rPr>
                <w:rFonts w:cs="Arial"/>
              </w:rPr>
            </w:pPr>
          </w:p>
        </w:tc>
        <w:tc>
          <w:tcPr>
            <w:tcW w:w="4575" w:type="dxa"/>
            <w:vAlign w:val="center"/>
          </w:tcPr>
          <w:p w14:paraId="552A1185" w14:textId="77777777" w:rsidR="00F44300" w:rsidRPr="00F313EA" w:rsidRDefault="00F44300" w:rsidP="004E12E8">
            <w:pPr>
              <w:rPr>
                <w:rFonts w:cs="Arial"/>
              </w:rPr>
            </w:pPr>
            <w:r w:rsidRPr="00F313EA">
              <w:rPr>
                <w:rFonts w:cs="Arial"/>
              </w:rPr>
              <w:t>Checkpoints and other blanket searches.</w:t>
            </w:r>
          </w:p>
        </w:tc>
        <w:tc>
          <w:tcPr>
            <w:tcW w:w="8633" w:type="dxa"/>
            <w:tcMar>
              <w:top w:w="58" w:type="dxa"/>
              <w:left w:w="130" w:type="dxa"/>
              <w:bottom w:w="58" w:type="dxa"/>
              <w:right w:w="115" w:type="dxa"/>
            </w:tcMar>
            <w:vAlign w:val="center"/>
          </w:tcPr>
          <w:p w14:paraId="49EF0650" w14:textId="77777777" w:rsidR="00F44300" w:rsidRPr="00F313EA" w:rsidRDefault="00F44300" w:rsidP="001421B0">
            <w:pPr>
              <w:rPr>
                <w:rFonts w:cs="Arial"/>
              </w:rPr>
            </w:pPr>
          </w:p>
        </w:tc>
      </w:tr>
      <w:tr w:rsidR="00F44300" w:rsidRPr="00F313EA" w14:paraId="34D4F865" w14:textId="77777777" w:rsidTr="00517F72">
        <w:trPr>
          <w:cantSplit/>
        </w:trPr>
        <w:tc>
          <w:tcPr>
            <w:tcW w:w="1102" w:type="dxa"/>
            <w:gridSpan w:val="2"/>
            <w:tcMar>
              <w:top w:w="58" w:type="dxa"/>
              <w:left w:w="130" w:type="dxa"/>
              <w:bottom w:w="58" w:type="dxa"/>
              <w:right w:w="115" w:type="dxa"/>
            </w:tcMar>
            <w:vAlign w:val="center"/>
          </w:tcPr>
          <w:p w14:paraId="23464A3E" w14:textId="77777777" w:rsidR="00F44300" w:rsidRPr="00F313EA" w:rsidRDefault="00F44300" w:rsidP="004E12E8">
            <w:pPr>
              <w:rPr>
                <w:rFonts w:cs="Arial"/>
              </w:rPr>
            </w:pPr>
          </w:p>
        </w:tc>
        <w:tc>
          <w:tcPr>
            <w:tcW w:w="4575" w:type="dxa"/>
            <w:vAlign w:val="center"/>
          </w:tcPr>
          <w:p w14:paraId="5A9B03F7" w14:textId="77777777" w:rsidR="00F44300" w:rsidRPr="00F313EA" w:rsidRDefault="00F44300" w:rsidP="004E12E8">
            <w:pPr>
              <w:rPr>
                <w:rFonts w:cs="Arial"/>
              </w:rPr>
            </w:pPr>
            <w:r w:rsidRPr="00F313EA">
              <w:rPr>
                <w:rFonts w:cs="Arial"/>
              </w:rPr>
              <w:t>Emergency circumstances.</w:t>
            </w:r>
          </w:p>
        </w:tc>
        <w:tc>
          <w:tcPr>
            <w:tcW w:w="8633" w:type="dxa"/>
            <w:tcMar>
              <w:top w:w="58" w:type="dxa"/>
              <w:left w:w="130" w:type="dxa"/>
              <w:bottom w:w="58" w:type="dxa"/>
              <w:right w:w="115" w:type="dxa"/>
            </w:tcMar>
            <w:vAlign w:val="center"/>
          </w:tcPr>
          <w:p w14:paraId="07F3F399" w14:textId="77777777" w:rsidR="00F44300" w:rsidRPr="00F313EA" w:rsidRDefault="00F44300" w:rsidP="001421B0">
            <w:pPr>
              <w:rPr>
                <w:rFonts w:cs="Arial"/>
              </w:rPr>
            </w:pPr>
          </w:p>
        </w:tc>
      </w:tr>
      <w:tr w:rsidR="00F44300" w:rsidRPr="00F313EA" w14:paraId="01DB3264" w14:textId="77777777" w:rsidTr="00517F72">
        <w:trPr>
          <w:cantSplit/>
        </w:trPr>
        <w:tc>
          <w:tcPr>
            <w:tcW w:w="1102" w:type="dxa"/>
            <w:gridSpan w:val="2"/>
            <w:tcMar>
              <w:top w:w="58" w:type="dxa"/>
              <w:left w:w="130" w:type="dxa"/>
              <w:bottom w:w="58" w:type="dxa"/>
              <w:right w:w="115" w:type="dxa"/>
            </w:tcMar>
            <w:vAlign w:val="center"/>
          </w:tcPr>
          <w:p w14:paraId="6949FCED" w14:textId="77777777" w:rsidR="00F44300" w:rsidRPr="00F313EA" w:rsidRDefault="00F44300" w:rsidP="004E12E8">
            <w:pPr>
              <w:rPr>
                <w:rFonts w:cs="Arial"/>
              </w:rPr>
            </w:pPr>
          </w:p>
        </w:tc>
        <w:tc>
          <w:tcPr>
            <w:tcW w:w="4575" w:type="dxa"/>
            <w:vAlign w:val="center"/>
          </w:tcPr>
          <w:p w14:paraId="5678FFD1" w14:textId="77777777" w:rsidR="00F44300" w:rsidRPr="00F313EA" w:rsidRDefault="00F44300" w:rsidP="004E12E8">
            <w:pPr>
              <w:rPr>
                <w:rFonts w:cs="Arial"/>
              </w:rPr>
            </w:pPr>
            <w:r w:rsidRPr="00F313EA">
              <w:rPr>
                <w:rFonts w:cs="Arial"/>
              </w:rPr>
              <w:t>Open-fields doctrine.</w:t>
            </w:r>
          </w:p>
        </w:tc>
        <w:tc>
          <w:tcPr>
            <w:tcW w:w="8633" w:type="dxa"/>
            <w:tcMar>
              <w:top w:w="58" w:type="dxa"/>
              <w:left w:w="130" w:type="dxa"/>
              <w:bottom w:w="58" w:type="dxa"/>
              <w:right w:w="115" w:type="dxa"/>
            </w:tcMar>
            <w:vAlign w:val="center"/>
          </w:tcPr>
          <w:p w14:paraId="7AFAC818" w14:textId="77777777" w:rsidR="00F44300" w:rsidRPr="00F313EA" w:rsidRDefault="00F44300" w:rsidP="001421B0">
            <w:pPr>
              <w:rPr>
                <w:rFonts w:cs="Arial"/>
              </w:rPr>
            </w:pPr>
          </w:p>
        </w:tc>
      </w:tr>
      <w:tr w:rsidR="00F44300" w:rsidRPr="00F313EA" w14:paraId="0FCED64A" w14:textId="77777777" w:rsidTr="00517F72">
        <w:trPr>
          <w:cantSplit/>
        </w:trPr>
        <w:tc>
          <w:tcPr>
            <w:tcW w:w="1102" w:type="dxa"/>
            <w:gridSpan w:val="2"/>
            <w:tcMar>
              <w:top w:w="58" w:type="dxa"/>
              <w:left w:w="130" w:type="dxa"/>
              <w:bottom w:w="58" w:type="dxa"/>
              <w:right w:w="115" w:type="dxa"/>
            </w:tcMar>
            <w:vAlign w:val="center"/>
          </w:tcPr>
          <w:p w14:paraId="5128C892" w14:textId="77777777" w:rsidR="00F44300" w:rsidRPr="00F313EA" w:rsidRDefault="00F44300" w:rsidP="004E12E8">
            <w:pPr>
              <w:rPr>
                <w:rFonts w:cs="Arial"/>
              </w:rPr>
            </w:pPr>
          </w:p>
        </w:tc>
        <w:tc>
          <w:tcPr>
            <w:tcW w:w="4575" w:type="dxa"/>
            <w:vAlign w:val="center"/>
          </w:tcPr>
          <w:p w14:paraId="24A36342" w14:textId="77777777" w:rsidR="00F44300" w:rsidRPr="00F313EA" w:rsidRDefault="00F44300" w:rsidP="004E12E8">
            <w:pPr>
              <w:rPr>
                <w:rFonts w:cs="Arial"/>
              </w:rPr>
            </w:pPr>
            <w:r w:rsidRPr="00F313EA">
              <w:rPr>
                <w:rFonts w:cs="Arial"/>
              </w:rPr>
              <w:t>Other.</w:t>
            </w:r>
          </w:p>
        </w:tc>
        <w:tc>
          <w:tcPr>
            <w:tcW w:w="8633" w:type="dxa"/>
            <w:tcMar>
              <w:top w:w="58" w:type="dxa"/>
              <w:left w:w="130" w:type="dxa"/>
              <w:bottom w:w="58" w:type="dxa"/>
              <w:right w:w="115" w:type="dxa"/>
            </w:tcMar>
            <w:vAlign w:val="center"/>
          </w:tcPr>
          <w:p w14:paraId="2B2399C5" w14:textId="77777777" w:rsidR="00F44300" w:rsidRPr="00F313EA" w:rsidRDefault="00F44300" w:rsidP="001421B0">
            <w:pPr>
              <w:rPr>
                <w:rFonts w:cs="Arial"/>
              </w:rPr>
            </w:pPr>
          </w:p>
        </w:tc>
      </w:tr>
      <w:tr w:rsidR="00F44300" w:rsidRPr="00F313EA" w14:paraId="780B501E" w14:textId="77777777" w:rsidTr="00517F72">
        <w:trPr>
          <w:cantSplit/>
        </w:trPr>
        <w:tc>
          <w:tcPr>
            <w:tcW w:w="5677" w:type="dxa"/>
            <w:gridSpan w:val="3"/>
            <w:tcMar>
              <w:top w:w="58" w:type="dxa"/>
              <w:left w:w="130" w:type="dxa"/>
              <w:bottom w:w="58" w:type="dxa"/>
              <w:right w:w="115" w:type="dxa"/>
            </w:tcMar>
            <w:vAlign w:val="center"/>
          </w:tcPr>
          <w:p w14:paraId="0CFF7F72" w14:textId="77777777" w:rsidR="00F44300" w:rsidRPr="00F313EA" w:rsidRDefault="00F44300" w:rsidP="00292E3C">
            <w:pPr>
              <w:rPr>
                <w:rFonts w:cs="Arial"/>
              </w:rPr>
            </w:pPr>
            <w:r w:rsidRPr="00F313EA">
              <w:rPr>
                <w:rFonts w:cs="Arial"/>
              </w:rPr>
              <w:t>Has joint training occurred? Consider joint investigative training between law enforcement and public health.</w:t>
            </w:r>
          </w:p>
        </w:tc>
        <w:tc>
          <w:tcPr>
            <w:tcW w:w="8633" w:type="dxa"/>
            <w:tcMar>
              <w:top w:w="58" w:type="dxa"/>
              <w:left w:w="130" w:type="dxa"/>
              <w:bottom w:w="58" w:type="dxa"/>
              <w:right w:w="115" w:type="dxa"/>
            </w:tcMar>
            <w:vAlign w:val="center"/>
          </w:tcPr>
          <w:p w14:paraId="40C8F27C" w14:textId="77777777" w:rsidR="00F44300" w:rsidRPr="00F313EA" w:rsidRDefault="00F44300" w:rsidP="001421B0">
            <w:pPr>
              <w:rPr>
                <w:rFonts w:cs="Arial"/>
              </w:rPr>
            </w:pPr>
          </w:p>
        </w:tc>
      </w:tr>
      <w:tr w:rsidR="00F44300" w:rsidRPr="00F313EA" w14:paraId="6EFF30BD" w14:textId="77777777" w:rsidTr="00517F72">
        <w:trPr>
          <w:cantSplit/>
        </w:trPr>
        <w:tc>
          <w:tcPr>
            <w:tcW w:w="540" w:type="dxa"/>
            <w:tcMar>
              <w:top w:w="58" w:type="dxa"/>
              <w:left w:w="130" w:type="dxa"/>
              <w:bottom w:w="58" w:type="dxa"/>
              <w:right w:w="115" w:type="dxa"/>
            </w:tcMar>
            <w:vAlign w:val="center"/>
          </w:tcPr>
          <w:p w14:paraId="650D7D44"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518B88F9" w14:textId="77777777" w:rsidR="00F44300" w:rsidRPr="00F313EA" w:rsidRDefault="00F44300" w:rsidP="00292E3C">
            <w:pPr>
              <w:rPr>
                <w:rFonts w:cs="Arial"/>
              </w:rPr>
            </w:pPr>
            <w:r w:rsidRPr="00F313EA">
              <w:rPr>
                <w:rFonts w:cs="Arial"/>
              </w:rPr>
              <w:t>Forensic epidemiology (CDC).</w:t>
            </w:r>
          </w:p>
        </w:tc>
        <w:tc>
          <w:tcPr>
            <w:tcW w:w="8633" w:type="dxa"/>
            <w:tcMar>
              <w:top w:w="58" w:type="dxa"/>
              <w:left w:w="130" w:type="dxa"/>
              <w:bottom w:w="58" w:type="dxa"/>
              <w:right w:w="115" w:type="dxa"/>
            </w:tcMar>
            <w:vAlign w:val="center"/>
          </w:tcPr>
          <w:p w14:paraId="7112882E" w14:textId="77777777" w:rsidR="00F44300" w:rsidRPr="00F313EA" w:rsidRDefault="00F44300" w:rsidP="001421B0">
            <w:pPr>
              <w:rPr>
                <w:rFonts w:cs="Arial"/>
              </w:rPr>
            </w:pPr>
          </w:p>
        </w:tc>
      </w:tr>
      <w:tr w:rsidR="00F44300" w:rsidRPr="00F313EA" w14:paraId="2E4AA73D" w14:textId="77777777" w:rsidTr="00517F72">
        <w:trPr>
          <w:cantSplit/>
        </w:trPr>
        <w:tc>
          <w:tcPr>
            <w:tcW w:w="540" w:type="dxa"/>
            <w:tcMar>
              <w:top w:w="58" w:type="dxa"/>
              <w:left w:w="130" w:type="dxa"/>
              <w:bottom w:w="58" w:type="dxa"/>
              <w:right w:w="115" w:type="dxa"/>
            </w:tcMar>
            <w:vAlign w:val="center"/>
          </w:tcPr>
          <w:p w14:paraId="4EFDAF61"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753E0BA7" w14:textId="77777777" w:rsidR="00F44300" w:rsidRPr="00F313EA" w:rsidRDefault="00F44300" w:rsidP="003D6B21">
            <w:pPr>
              <w:rPr>
                <w:rFonts w:cs="Arial"/>
              </w:rPr>
            </w:pPr>
            <w:r w:rsidRPr="00F313EA">
              <w:rPr>
                <w:rFonts w:cs="Arial"/>
              </w:rPr>
              <w:t>“FBI Criminal and Epidemiological Investigation Handbook.”</w:t>
            </w:r>
          </w:p>
        </w:tc>
        <w:tc>
          <w:tcPr>
            <w:tcW w:w="8633" w:type="dxa"/>
            <w:tcMar>
              <w:top w:w="58" w:type="dxa"/>
              <w:left w:w="130" w:type="dxa"/>
              <w:bottom w:w="58" w:type="dxa"/>
              <w:right w:w="115" w:type="dxa"/>
            </w:tcMar>
            <w:vAlign w:val="center"/>
          </w:tcPr>
          <w:p w14:paraId="685209B1" w14:textId="77777777" w:rsidR="00F44300" w:rsidRPr="00F313EA" w:rsidRDefault="00F44300" w:rsidP="001421B0">
            <w:pPr>
              <w:rPr>
                <w:rFonts w:cs="Arial"/>
              </w:rPr>
            </w:pPr>
          </w:p>
        </w:tc>
      </w:tr>
      <w:tr w:rsidR="00F44300" w:rsidRPr="00F313EA" w14:paraId="43EB5F14" w14:textId="77777777" w:rsidTr="00025588">
        <w:trPr>
          <w:cantSplit/>
        </w:trPr>
        <w:tc>
          <w:tcPr>
            <w:tcW w:w="14310" w:type="dxa"/>
            <w:gridSpan w:val="4"/>
            <w:tcMar>
              <w:top w:w="58" w:type="dxa"/>
              <w:left w:w="130" w:type="dxa"/>
              <w:bottom w:w="58" w:type="dxa"/>
              <w:right w:w="115" w:type="dxa"/>
            </w:tcMar>
            <w:vAlign w:val="center"/>
          </w:tcPr>
          <w:p w14:paraId="00FEA422" w14:textId="77777777" w:rsidR="00F44300" w:rsidRPr="00F313EA" w:rsidRDefault="00F44300" w:rsidP="001421B0">
            <w:pPr>
              <w:rPr>
                <w:rFonts w:cs="Arial"/>
              </w:rPr>
            </w:pPr>
          </w:p>
        </w:tc>
      </w:tr>
      <w:tr w:rsidR="00F44300" w:rsidRPr="00F313EA" w14:paraId="591C64ED" w14:textId="77777777" w:rsidTr="00517F72">
        <w:trPr>
          <w:cantSplit/>
        </w:trPr>
        <w:tc>
          <w:tcPr>
            <w:tcW w:w="5677" w:type="dxa"/>
            <w:gridSpan w:val="3"/>
            <w:tcMar>
              <w:top w:w="58" w:type="dxa"/>
              <w:left w:w="130" w:type="dxa"/>
              <w:bottom w:w="58" w:type="dxa"/>
              <w:right w:w="115" w:type="dxa"/>
            </w:tcMar>
            <w:vAlign w:val="center"/>
          </w:tcPr>
          <w:p w14:paraId="37AB5AFC" w14:textId="77777777" w:rsidR="00F44300" w:rsidRPr="00F313EA" w:rsidRDefault="00F44300" w:rsidP="00B10951">
            <w:pPr>
              <w:rPr>
                <w:rFonts w:cs="Arial"/>
              </w:rPr>
            </w:pPr>
            <w:r w:rsidRPr="00F313EA">
              <w:rPr>
                <w:rFonts w:cs="Arial"/>
              </w:rPr>
              <w:t>Is the public health agency involved with a state or local FUSION center? What policies, procedures, and agreements govern data sharing?</w:t>
            </w:r>
          </w:p>
        </w:tc>
        <w:tc>
          <w:tcPr>
            <w:tcW w:w="8633" w:type="dxa"/>
            <w:tcMar>
              <w:top w:w="58" w:type="dxa"/>
              <w:left w:w="130" w:type="dxa"/>
              <w:bottom w:w="58" w:type="dxa"/>
              <w:right w:w="115" w:type="dxa"/>
            </w:tcMar>
            <w:vAlign w:val="center"/>
          </w:tcPr>
          <w:p w14:paraId="43CE36E2" w14:textId="77777777" w:rsidR="00F44300" w:rsidRPr="00F313EA" w:rsidRDefault="00F44300" w:rsidP="001421B0">
            <w:pPr>
              <w:rPr>
                <w:rFonts w:cs="Arial"/>
              </w:rPr>
            </w:pPr>
          </w:p>
        </w:tc>
      </w:tr>
      <w:tr w:rsidR="00F44300" w:rsidRPr="00F313EA" w14:paraId="3358AE3B" w14:textId="77777777" w:rsidTr="00B95238">
        <w:trPr>
          <w:cantSplit/>
        </w:trPr>
        <w:tc>
          <w:tcPr>
            <w:tcW w:w="14310" w:type="dxa"/>
            <w:gridSpan w:val="4"/>
            <w:tcMar>
              <w:top w:w="58" w:type="dxa"/>
              <w:left w:w="130" w:type="dxa"/>
              <w:bottom w:w="58" w:type="dxa"/>
              <w:right w:w="115" w:type="dxa"/>
            </w:tcMar>
            <w:vAlign w:val="center"/>
          </w:tcPr>
          <w:p w14:paraId="3158B65C" w14:textId="77777777" w:rsidR="00F44300" w:rsidRPr="00F313EA" w:rsidRDefault="00F44300" w:rsidP="001421B0">
            <w:pPr>
              <w:rPr>
                <w:rFonts w:cs="Arial"/>
              </w:rPr>
            </w:pPr>
          </w:p>
        </w:tc>
      </w:tr>
      <w:tr w:rsidR="00F44300" w:rsidRPr="00F313EA" w14:paraId="5666C67B" w14:textId="77777777" w:rsidTr="00517F72">
        <w:trPr>
          <w:cantSplit/>
        </w:trPr>
        <w:tc>
          <w:tcPr>
            <w:tcW w:w="5677" w:type="dxa"/>
            <w:gridSpan w:val="3"/>
            <w:tcMar>
              <w:top w:w="58" w:type="dxa"/>
              <w:left w:w="130" w:type="dxa"/>
              <w:bottom w:w="58" w:type="dxa"/>
              <w:right w:w="115" w:type="dxa"/>
            </w:tcMar>
            <w:vAlign w:val="center"/>
          </w:tcPr>
          <w:p w14:paraId="6C20D9DC" w14:textId="77777777" w:rsidR="00F44300" w:rsidRPr="00F313EA" w:rsidRDefault="00F44300" w:rsidP="00B10951">
            <w:pPr>
              <w:rPr>
                <w:rFonts w:cs="Arial"/>
              </w:rPr>
            </w:pPr>
            <w:r w:rsidRPr="00F313EA">
              <w:rPr>
                <w:rFonts w:cs="Arial"/>
              </w:rPr>
              <w:t>Identify existing memoranda of understanding (MOUs) or data sharing agreements with law enforcement; analyze if updates are required or additional agreements are needed.</w:t>
            </w:r>
          </w:p>
        </w:tc>
        <w:tc>
          <w:tcPr>
            <w:tcW w:w="8633" w:type="dxa"/>
            <w:tcMar>
              <w:top w:w="58" w:type="dxa"/>
              <w:left w:w="130" w:type="dxa"/>
              <w:bottom w:w="58" w:type="dxa"/>
              <w:right w:w="115" w:type="dxa"/>
            </w:tcMar>
            <w:vAlign w:val="center"/>
          </w:tcPr>
          <w:p w14:paraId="4352B140" w14:textId="77777777" w:rsidR="00F44300" w:rsidRPr="00F313EA" w:rsidRDefault="00F44300" w:rsidP="001421B0">
            <w:pPr>
              <w:rPr>
                <w:rFonts w:cs="Arial"/>
              </w:rPr>
            </w:pPr>
          </w:p>
        </w:tc>
      </w:tr>
      <w:tr w:rsidR="00F44300" w:rsidRPr="00F313EA" w14:paraId="5D6EF9CD" w14:textId="77777777" w:rsidTr="00517F72">
        <w:trPr>
          <w:cantSplit/>
        </w:trPr>
        <w:tc>
          <w:tcPr>
            <w:tcW w:w="540" w:type="dxa"/>
            <w:tcMar>
              <w:top w:w="58" w:type="dxa"/>
              <w:left w:w="130" w:type="dxa"/>
              <w:bottom w:w="58" w:type="dxa"/>
              <w:right w:w="115" w:type="dxa"/>
            </w:tcMar>
            <w:vAlign w:val="center"/>
          </w:tcPr>
          <w:p w14:paraId="3FD93B8B" w14:textId="77777777" w:rsidR="00F44300" w:rsidRPr="00F313EA" w:rsidRDefault="00F44300" w:rsidP="001421B0">
            <w:pPr>
              <w:rPr>
                <w:rFonts w:cs="Arial"/>
              </w:rPr>
            </w:pPr>
          </w:p>
        </w:tc>
        <w:tc>
          <w:tcPr>
            <w:tcW w:w="5137" w:type="dxa"/>
            <w:gridSpan w:val="2"/>
            <w:tcMar>
              <w:top w:w="58" w:type="dxa"/>
              <w:left w:w="130" w:type="dxa"/>
              <w:bottom w:w="58" w:type="dxa"/>
              <w:right w:w="115" w:type="dxa"/>
            </w:tcMar>
            <w:vAlign w:val="center"/>
          </w:tcPr>
          <w:p w14:paraId="0BCE1BB1" w14:textId="77777777" w:rsidR="00F44300" w:rsidRPr="00F313EA" w:rsidRDefault="00F44300" w:rsidP="00EF2227">
            <w:pPr>
              <w:rPr>
                <w:rFonts w:cs="Arial"/>
              </w:rPr>
            </w:pPr>
            <w:r w:rsidRPr="00F313EA">
              <w:rPr>
                <w:rFonts w:cs="Arial"/>
              </w:rPr>
              <w:t>A MOU may include provisions regarding:</w:t>
            </w:r>
          </w:p>
        </w:tc>
        <w:tc>
          <w:tcPr>
            <w:tcW w:w="8633" w:type="dxa"/>
            <w:tcMar>
              <w:top w:w="58" w:type="dxa"/>
              <w:left w:w="130" w:type="dxa"/>
              <w:bottom w:w="58" w:type="dxa"/>
              <w:right w:w="115" w:type="dxa"/>
            </w:tcMar>
            <w:vAlign w:val="center"/>
          </w:tcPr>
          <w:p w14:paraId="7D0900C1" w14:textId="77777777" w:rsidR="00F44300" w:rsidRPr="00F313EA" w:rsidRDefault="00F44300" w:rsidP="001421B0">
            <w:pPr>
              <w:rPr>
                <w:rFonts w:cs="Arial"/>
              </w:rPr>
            </w:pPr>
          </w:p>
        </w:tc>
      </w:tr>
      <w:tr w:rsidR="00F44300" w:rsidRPr="00F313EA" w14:paraId="7FFB9272" w14:textId="77777777" w:rsidTr="00517F72">
        <w:trPr>
          <w:cantSplit/>
        </w:trPr>
        <w:tc>
          <w:tcPr>
            <w:tcW w:w="1102" w:type="dxa"/>
            <w:gridSpan w:val="2"/>
            <w:tcMar>
              <w:top w:w="58" w:type="dxa"/>
              <w:left w:w="130" w:type="dxa"/>
              <w:bottom w:w="58" w:type="dxa"/>
              <w:right w:w="115" w:type="dxa"/>
            </w:tcMar>
            <w:vAlign w:val="center"/>
          </w:tcPr>
          <w:p w14:paraId="057219E6" w14:textId="77777777" w:rsidR="00F44300" w:rsidRPr="00F313EA" w:rsidRDefault="00F44300" w:rsidP="00064835">
            <w:pPr>
              <w:rPr>
                <w:rFonts w:cs="Arial"/>
              </w:rPr>
            </w:pPr>
          </w:p>
        </w:tc>
        <w:tc>
          <w:tcPr>
            <w:tcW w:w="4575" w:type="dxa"/>
            <w:vAlign w:val="center"/>
          </w:tcPr>
          <w:p w14:paraId="055839AA" w14:textId="77777777" w:rsidR="00F44300" w:rsidRPr="00F313EA" w:rsidRDefault="00F44300" w:rsidP="00064835">
            <w:pPr>
              <w:rPr>
                <w:rFonts w:cs="Arial"/>
              </w:rPr>
            </w:pPr>
            <w:r w:rsidRPr="00F313EA">
              <w:rPr>
                <w:rFonts w:cs="Arial"/>
              </w:rPr>
              <w:t>Information to be shared.</w:t>
            </w:r>
          </w:p>
        </w:tc>
        <w:tc>
          <w:tcPr>
            <w:tcW w:w="8633" w:type="dxa"/>
            <w:tcMar>
              <w:top w:w="58" w:type="dxa"/>
              <w:left w:w="130" w:type="dxa"/>
              <w:bottom w:w="58" w:type="dxa"/>
              <w:right w:w="115" w:type="dxa"/>
            </w:tcMar>
            <w:vAlign w:val="center"/>
          </w:tcPr>
          <w:p w14:paraId="24A8EF93" w14:textId="77777777" w:rsidR="00F44300" w:rsidRPr="00F313EA" w:rsidRDefault="00F44300" w:rsidP="00064835">
            <w:pPr>
              <w:rPr>
                <w:rFonts w:cs="Arial"/>
              </w:rPr>
            </w:pPr>
          </w:p>
        </w:tc>
      </w:tr>
      <w:tr w:rsidR="00F44300" w:rsidRPr="00F313EA" w14:paraId="1A0545A9" w14:textId="77777777" w:rsidTr="00517F72">
        <w:trPr>
          <w:cantSplit/>
        </w:trPr>
        <w:tc>
          <w:tcPr>
            <w:tcW w:w="1102" w:type="dxa"/>
            <w:gridSpan w:val="2"/>
            <w:tcMar>
              <w:top w:w="58" w:type="dxa"/>
              <w:left w:w="130" w:type="dxa"/>
              <w:bottom w:w="58" w:type="dxa"/>
              <w:right w:w="115" w:type="dxa"/>
            </w:tcMar>
            <w:vAlign w:val="center"/>
          </w:tcPr>
          <w:p w14:paraId="712E1A85" w14:textId="77777777" w:rsidR="00F44300" w:rsidRPr="00F313EA" w:rsidRDefault="00F44300" w:rsidP="00064835">
            <w:pPr>
              <w:rPr>
                <w:rFonts w:cs="Arial"/>
              </w:rPr>
            </w:pPr>
          </w:p>
        </w:tc>
        <w:tc>
          <w:tcPr>
            <w:tcW w:w="4575" w:type="dxa"/>
            <w:vAlign w:val="center"/>
          </w:tcPr>
          <w:p w14:paraId="10BC4AF1" w14:textId="77777777" w:rsidR="00F44300" w:rsidRPr="00F313EA" w:rsidRDefault="00F44300" w:rsidP="00064835">
            <w:pPr>
              <w:rPr>
                <w:rFonts w:cs="Arial"/>
              </w:rPr>
            </w:pPr>
            <w:r w:rsidRPr="00F313EA">
              <w:rPr>
                <w:rFonts w:cs="Arial"/>
              </w:rPr>
              <w:t>Purpose for which information is to be used.</w:t>
            </w:r>
          </w:p>
        </w:tc>
        <w:tc>
          <w:tcPr>
            <w:tcW w:w="8633" w:type="dxa"/>
            <w:tcMar>
              <w:top w:w="58" w:type="dxa"/>
              <w:left w:w="130" w:type="dxa"/>
              <w:bottom w:w="58" w:type="dxa"/>
              <w:right w:w="115" w:type="dxa"/>
            </w:tcMar>
            <w:vAlign w:val="center"/>
          </w:tcPr>
          <w:p w14:paraId="2293C550" w14:textId="77777777" w:rsidR="00F44300" w:rsidRPr="00F313EA" w:rsidRDefault="00F44300" w:rsidP="00064835">
            <w:pPr>
              <w:rPr>
                <w:rFonts w:cs="Arial"/>
              </w:rPr>
            </w:pPr>
          </w:p>
        </w:tc>
      </w:tr>
      <w:tr w:rsidR="00F44300" w:rsidRPr="00F313EA" w14:paraId="4ECB9BBB" w14:textId="77777777" w:rsidTr="00517F72">
        <w:trPr>
          <w:cantSplit/>
        </w:trPr>
        <w:tc>
          <w:tcPr>
            <w:tcW w:w="1102" w:type="dxa"/>
            <w:gridSpan w:val="2"/>
            <w:tcMar>
              <w:top w:w="58" w:type="dxa"/>
              <w:left w:w="130" w:type="dxa"/>
              <w:bottom w:w="58" w:type="dxa"/>
              <w:right w:w="115" w:type="dxa"/>
            </w:tcMar>
            <w:vAlign w:val="center"/>
          </w:tcPr>
          <w:p w14:paraId="574E35B1" w14:textId="77777777" w:rsidR="00F44300" w:rsidRPr="00F313EA" w:rsidRDefault="00F44300" w:rsidP="00064835">
            <w:pPr>
              <w:rPr>
                <w:rFonts w:cs="Arial"/>
              </w:rPr>
            </w:pPr>
          </w:p>
        </w:tc>
        <w:tc>
          <w:tcPr>
            <w:tcW w:w="4575" w:type="dxa"/>
            <w:vAlign w:val="center"/>
          </w:tcPr>
          <w:p w14:paraId="6E6EA436" w14:textId="77777777" w:rsidR="00F44300" w:rsidRPr="00F313EA" w:rsidRDefault="00F44300" w:rsidP="00064835">
            <w:pPr>
              <w:rPr>
                <w:rFonts w:cs="Arial"/>
              </w:rPr>
            </w:pPr>
            <w:r w:rsidRPr="00F313EA">
              <w:rPr>
                <w:rFonts w:cs="Arial"/>
              </w:rPr>
              <w:t>Method for sharing.</w:t>
            </w:r>
          </w:p>
        </w:tc>
        <w:tc>
          <w:tcPr>
            <w:tcW w:w="8633" w:type="dxa"/>
            <w:tcMar>
              <w:top w:w="58" w:type="dxa"/>
              <w:left w:w="130" w:type="dxa"/>
              <w:bottom w:w="58" w:type="dxa"/>
              <w:right w:w="115" w:type="dxa"/>
            </w:tcMar>
            <w:vAlign w:val="center"/>
          </w:tcPr>
          <w:p w14:paraId="259E8E73" w14:textId="77777777" w:rsidR="00F44300" w:rsidRPr="00F313EA" w:rsidRDefault="00F44300" w:rsidP="00064835">
            <w:pPr>
              <w:rPr>
                <w:rFonts w:cs="Arial"/>
              </w:rPr>
            </w:pPr>
          </w:p>
        </w:tc>
      </w:tr>
      <w:tr w:rsidR="00F44300" w:rsidRPr="00F313EA" w14:paraId="7C388255" w14:textId="77777777" w:rsidTr="00517F72">
        <w:trPr>
          <w:cantSplit/>
        </w:trPr>
        <w:tc>
          <w:tcPr>
            <w:tcW w:w="1102" w:type="dxa"/>
            <w:gridSpan w:val="2"/>
            <w:tcMar>
              <w:top w:w="58" w:type="dxa"/>
              <w:left w:w="130" w:type="dxa"/>
              <w:bottom w:w="58" w:type="dxa"/>
              <w:right w:w="115" w:type="dxa"/>
            </w:tcMar>
            <w:vAlign w:val="center"/>
          </w:tcPr>
          <w:p w14:paraId="7422397C" w14:textId="77777777" w:rsidR="00F44300" w:rsidRPr="00F313EA" w:rsidRDefault="00F44300" w:rsidP="00064835">
            <w:pPr>
              <w:rPr>
                <w:rFonts w:cs="Arial"/>
              </w:rPr>
            </w:pPr>
          </w:p>
        </w:tc>
        <w:tc>
          <w:tcPr>
            <w:tcW w:w="4575" w:type="dxa"/>
            <w:vAlign w:val="center"/>
          </w:tcPr>
          <w:p w14:paraId="6004411B" w14:textId="77777777" w:rsidR="00F44300" w:rsidRPr="00F313EA" w:rsidRDefault="00F44300" w:rsidP="00064835">
            <w:pPr>
              <w:rPr>
                <w:rFonts w:cs="Arial"/>
              </w:rPr>
            </w:pPr>
            <w:r w:rsidRPr="00F313EA">
              <w:rPr>
                <w:rFonts w:cs="Arial"/>
              </w:rPr>
              <w:t xml:space="preserve">Who has access to the </w:t>
            </w:r>
            <w:proofErr w:type="gramStart"/>
            <w:r w:rsidRPr="00F313EA">
              <w:rPr>
                <w:rFonts w:cs="Arial"/>
              </w:rPr>
              <w:t>information.</w:t>
            </w:r>
            <w:proofErr w:type="gramEnd"/>
          </w:p>
        </w:tc>
        <w:tc>
          <w:tcPr>
            <w:tcW w:w="8633" w:type="dxa"/>
            <w:tcMar>
              <w:top w:w="58" w:type="dxa"/>
              <w:left w:w="130" w:type="dxa"/>
              <w:bottom w:w="58" w:type="dxa"/>
              <w:right w:w="115" w:type="dxa"/>
            </w:tcMar>
            <w:vAlign w:val="center"/>
          </w:tcPr>
          <w:p w14:paraId="1E429AC7" w14:textId="77777777" w:rsidR="00F44300" w:rsidRPr="00F313EA" w:rsidRDefault="00F44300" w:rsidP="00064835">
            <w:pPr>
              <w:rPr>
                <w:rFonts w:cs="Arial"/>
              </w:rPr>
            </w:pPr>
          </w:p>
        </w:tc>
      </w:tr>
      <w:tr w:rsidR="00F44300" w:rsidRPr="00F313EA" w14:paraId="2A9B6274" w14:textId="77777777" w:rsidTr="00517F72">
        <w:trPr>
          <w:cantSplit/>
        </w:trPr>
        <w:tc>
          <w:tcPr>
            <w:tcW w:w="1102" w:type="dxa"/>
            <w:gridSpan w:val="2"/>
            <w:tcMar>
              <w:top w:w="58" w:type="dxa"/>
              <w:left w:w="130" w:type="dxa"/>
              <w:bottom w:w="58" w:type="dxa"/>
              <w:right w:w="115" w:type="dxa"/>
            </w:tcMar>
            <w:vAlign w:val="center"/>
          </w:tcPr>
          <w:p w14:paraId="1EECE001" w14:textId="77777777" w:rsidR="00F44300" w:rsidRPr="00F313EA" w:rsidRDefault="00F44300" w:rsidP="00064835">
            <w:pPr>
              <w:rPr>
                <w:rFonts w:cs="Arial"/>
              </w:rPr>
            </w:pPr>
          </w:p>
        </w:tc>
        <w:tc>
          <w:tcPr>
            <w:tcW w:w="4575" w:type="dxa"/>
            <w:vAlign w:val="center"/>
          </w:tcPr>
          <w:p w14:paraId="005A5A36" w14:textId="77777777" w:rsidR="00F44300" w:rsidRPr="00F313EA" w:rsidRDefault="00F44300" w:rsidP="00064835">
            <w:pPr>
              <w:rPr>
                <w:rFonts w:cs="Arial"/>
              </w:rPr>
            </w:pPr>
            <w:r w:rsidRPr="00F313EA">
              <w:rPr>
                <w:rFonts w:cs="Arial"/>
              </w:rPr>
              <w:t>Acceptable uses and linkages of the information.</w:t>
            </w:r>
          </w:p>
        </w:tc>
        <w:tc>
          <w:tcPr>
            <w:tcW w:w="8633" w:type="dxa"/>
            <w:tcMar>
              <w:top w:w="58" w:type="dxa"/>
              <w:left w:w="130" w:type="dxa"/>
              <w:bottom w:w="58" w:type="dxa"/>
              <w:right w:w="115" w:type="dxa"/>
            </w:tcMar>
            <w:vAlign w:val="center"/>
          </w:tcPr>
          <w:p w14:paraId="254386E9" w14:textId="77777777" w:rsidR="00F44300" w:rsidRPr="00F313EA" w:rsidRDefault="00F44300" w:rsidP="00064835">
            <w:pPr>
              <w:rPr>
                <w:rFonts w:cs="Arial"/>
              </w:rPr>
            </w:pPr>
          </w:p>
        </w:tc>
      </w:tr>
      <w:tr w:rsidR="00F44300" w:rsidRPr="00F313EA" w14:paraId="1094C7E7" w14:textId="77777777" w:rsidTr="00517F72">
        <w:trPr>
          <w:cantSplit/>
        </w:trPr>
        <w:tc>
          <w:tcPr>
            <w:tcW w:w="1102" w:type="dxa"/>
            <w:gridSpan w:val="2"/>
            <w:tcMar>
              <w:top w:w="58" w:type="dxa"/>
              <w:left w:w="130" w:type="dxa"/>
              <w:bottom w:w="58" w:type="dxa"/>
              <w:right w:w="115" w:type="dxa"/>
            </w:tcMar>
            <w:vAlign w:val="center"/>
          </w:tcPr>
          <w:p w14:paraId="261CBAC8" w14:textId="77777777" w:rsidR="00F44300" w:rsidRPr="00F313EA" w:rsidRDefault="00F44300" w:rsidP="00064835">
            <w:pPr>
              <w:rPr>
                <w:rFonts w:cs="Arial"/>
              </w:rPr>
            </w:pPr>
          </w:p>
        </w:tc>
        <w:tc>
          <w:tcPr>
            <w:tcW w:w="4575" w:type="dxa"/>
            <w:vAlign w:val="center"/>
          </w:tcPr>
          <w:p w14:paraId="37365ECD" w14:textId="77777777" w:rsidR="00F44300" w:rsidRPr="00F313EA" w:rsidRDefault="00F44300" w:rsidP="00064835">
            <w:pPr>
              <w:rPr>
                <w:rFonts w:cs="Arial"/>
              </w:rPr>
            </w:pPr>
            <w:r w:rsidRPr="00F313EA">
              <w:rPr>
                <w:rFonts w:cs="Arial"/>
              </w:rPr>
              <w:t>Protection and security of the information.</w:t>
            </w:r>
          </w:p>
        </w:tc>
        <w:tc>
          <w:tcPr>
            <w:tcW w:w="8633" w:type="dxa"/>
            <w:tcMar>
              <w:top w:w="58" w:type="dxa"/>
              <w:left w:w="130" w:type="dxa"/>
              <w:bottom w:w="58" w:type="dxa"/>
              <w:right w:w="115" w:type="dxa"/>
            </w:tcMar>
            <w:vAlign w:val="center"/>
          </w:tcPr>
          <w:p w14:paraId="3BDFB7A3" w14:textId="77777777" w:rsidR="00F44300" w:rsidRPr="00F313EA" w:rsidRDefault="00F44300" w:rsidP="00064835">
            <w:pPr>
              <w:rPr>
                <w:rFonts w:cs="Arial"/>
              </w:rPr>
            </w:pPr>
          </w:p>
        </w:tc>
      </w:tr>
      <w:tr w:rsidR="00F44300" w:rsidRPr="00F313EA" w14:paraId="219BFCE9" w14:textId="77777777" w:rsidTr="00517F72">
        <w:trPr>
          <w:cantSplit/>
        </w:trPr>
        <w:tc>
          <w:tcPr>
            <w:tcW w:w="1102" w:type="dxa"/>
            <w:gridSpan w:val="2"/>
            <w:tcMar>
              <w:top w:w="58" w:type="dxa"/>
              <w:left w:w="130" w:type="dxa"/>
              <w:bottom w:w="58" w:type="dxa"/>
              <w:right w:w="115" w:type="dxa"/>
            </w:tcMar>
            <w:vAlign w:val="center"/>
          </w:tcPr>
          <w:p w14:paraId="36C59AAC" w14:textId="77777777" w:rsidR="00F44300" w:rsidRPr="00F313EA" w:rsidRDefault="00F44300" w:rsidP="00064835">
            <w:pPr>
              <w:rPr>
                <w:rFonts w:cs="Arial"/>
              </w:rPr>
            </w:pPr>
          </w:p>
        </w:tc>
        <w:tc>
          <w:tcPr>
            <w:tcW w:w="4575" w:type="dxa"/>
            <w:vAlign w:val="center"/>
          </w:tcPr>
          <w:p w14:paraId="55CB8356" w14:textId="77777777" w:rsidR="00F44300" w:rsidRPr="00F313EA" w:rsidRDefault="00F44300" w:rsidP="00064835">
            <w:pPr>
              <w:rPr>
                <w:rFonts w:cs="Arial"/>
              </w:rPr>
            </w:pPr>
            <w:r>
              <w:rPr>
                <w:rFonts w:cs="Arial"/>
              </w:rPr>
              <w:t>Retaining, reusing</w:t>
            </w:r>
            <w:r w:rsidRPr="00F313EA">
              <w:rPr>
                <w:rFonts w:cs="Arial"/>
              </w:rPr>
              <w:t xml:space="preserve">, and further </w:t>
            </w:r>
            <w:r>
              <w:rPr>
                <w:rFonts w:cs="Arial"/>
              </w:rPr>
              <w:t>sharing</w:t>
            </w:r>
            <w:r w:rsidRPr="00F313EA">
              <w:rPr>
                <w:rFonts w:cs="Arial"/>
              </w:rPr>
              <w:t xml:space="preserve"> information. </w:t>
            </w:r>
          </w:p>
        </w:tc>
        <w:tc>
          <w:tcPr>
            <w:tcW w:w="8633" w:type="dxa"/>
            <w:tcMar>
              <w:top w:w="58" w:type="dxa"/>
              <w:left w:w="130" w:type="dxa"/>
              <w:bottom w:w="58" w:type="dxa"/>
              <w:right w:w="115" w:type="dxa"/>
            </w:tcMar>
            <w:vAlign w:val="center"/>
          </w:tcPr>
          <w:p w14:paraId="7B7A65B0" w14:textId="77777777" w:rsidR="00F44300" w:rsidRPr="00F313EA" w:rsidRDefault="00F44300" w:rsidP="00064835">
            <w:pPr>
              <w:rPr>
                <w:rFonts w:cs="Arial"/>
              </w:rPr>
            </w:pPr>
          </w:p>
        </w:tc>
      </w:tr>
      <w:tr w:rsidR="00F44300" w:rsidRPr="00F313EA" w14:paraId="77CCF3A9" w14:textId="77777777" w:rsidTr="00517F72">
        <w:trPr>
          <w:cantSplit/>
        </w:trPr>
        <w:tc>
          <w:tcPr>
            <w:tcW w:w="1102" w:type="dxa"/>
            <w:gridSpan w:val="2"/>
            <w:tcMar>
              <w:top w:w="58" w:type="dxa"/>
              <w:left w:w="130" w:type="dxa"/>
              <w:bottom w:w="58" w:type="dxa"/>
              <w:right w:w="115" w:type="dxa"/>
            </w:tcMar>
            <w:vAlign w:val="center"/>
          </w:tcPr>
          <w:p w14:paraId="784246BD" w14:textId="77777777" w:rsidR="00F44300" w:rsidRPr="00F313EA" w:rsidRDefault="00F44300" w:rsidP="00064835">
            <w:pPr>
              <w:rPr>
                <w:rFonts w:cs="Arial"/>
              </w:rPr>
            </w:pPr>
          </w:p>
        </w:tc>
        <w:tc>
          <w:tcPr>
            <w:tcW w:w="4575" w:type="dxa"/>
            <w:vAlign w:val="center"/>
          </w:tcPr>
          <w:p w14:paraId="21A0C789" w14:textId="77777777" w:rsidR="00F44300" w:rsidRPr="00F313EA" w:rsidRDefault="00F44300" w:rsidP="00064835">
            <w:pPr>
              <w:rPr>
                <w:rFonts w:cs="Arial"/>
              </w:rPr>
            </w:pPr>
            <w:r w:rsidRPr="00F313EA">
              <w:rPr>
                <w:rFonts w:cs="Arial"/>
              </w:rPr>
              <w:t>Audits or other mechanisms to monitor proper use.</w:t>
            </w:r>
          </w:p>
        </w:tc>
        <w:tc>
          <w:tcPr>
            <w:tcW w:w="8633" w:type="dxa"/>
            <w:tcMar>
              <w:top w:w="58" w:type="dxa"/>
              <w:left w:w="130" w:type="dxa"/>
              <w:bottom w:w="58" w:type="dxa"/>
              <w:right w:w="115" w:type="dxa"/>
            </w:tcMar>
            <w:vAlign w:val="center"/>
          </w:tcPr>
          <w:p w14:paraId="30138473" w14:textId="77777777" w:rsidR="00F44300" w:rsidRPr="00F313EA" w:rsidRDefault="00F44300" w:rsidP="00064835">
            <w:pPr>
              <w:rPr>
                <w:rFonts w:cs="Arial"/>
              </w:rPr>
            </w:pPr>
          </w:p>
        </w:tc>
      </w:tr>
      <w:tr w:rsidR="00F44300" w:rsidRPr="00F313EA" w14:paraId="1887A578" w14:textId="77777777" w:rsidTr="00517F72">
        <w:trPr>
          <w:cantSplit/>
        </w:trPr>
        <w:tc>
          <w:tcPr>
            <w:tcW w:w="1102" w:type="dxa"/>
            <w:gridSpan w:val="2"/>
            <w:tcMar>
              <w:top w:w="58" w:type="dxa"/>
              <w:left w:w="130" w:type="dxa"/>
              <w:bottom w:w="58" w:type="dxa"/>
              <w:right w:w="115" w:type="dxa"/>
            </w:tcMar>
            <w:vAlign w:val="center"/>
          </w:tcPr>
          <w:p w14:paraId="0CAC89F7" w14:textId="77777777" w:rsidR="00F44300" w:rsidRPr="00F313EA" w:rsidRDefault="00F44300" w:rsidP="004E12E8">
            <w:pPr>
              <w:rPr>
                <w:rFonts w:cs="Arial"/>
              </w:rPr>
            </w:pPr>
          </w:p>
        </w:tc>
        <w:tc>
          <w:tcPr>
            <w:tcW w:w="4575" w:type="dxa"/>
            <w:vAlign w:val="center"/>
          </w:tcPr>
          <w:p w14:paraId="52358E0A" w14:textId="77777777" w:rsidR="00F44300" w:rsidRPr="00F313EA" w:rsidRDefault="00F44300" w:rsidP="004E12E8">
            <w:pPr>
              <w:rPr>
                <w:rFonts w:cs="Arial"/>
              </w:rPr>
            </w:pPr>
            <w:r>
              <w:rPr>
                <w:rFonts w:cs="Arial"/>
              </w:rPr>
              <w:t>Accountability and enforcing</w:t>
            </w:r>
            <w:r w:rsidRPr="00F313EA">
              <w:rPr>
                <w:rFonts w:cs="Arial"/>
              </w:rPr>
              <w:t xml:space="preserve"> terms of agreement.</w:t>
            </w:r>
          </w:p>
        </w:tc>
        <w:tc>
          <w:tcPr>
            <w:tcW w:w="8633" w:type="dxa"/>
            <w:tcMar>
              <w:top w:w="58" w:type="dxa"/>
              <w:left w:w="130" w:type="dxa"/>
              <w:bottom w:w="58" w:type="dxa"/>
              <w:right w:w="115" w:type="dxa"/>
            </w:tcMar>
            <w:vAlign w:val="center"/>
          </w:tcPr>
          <w:p w14:paraId="6B96F025" w14:textId="77777777" w:rsidR="00F44300" w:rsidRPr="00F313EA" w:rsidRDefault="00F44300" w:rsidP="001421B0">
            <w:pPr>
              <w:rPr>
                <w:rFonts w:cs="Arial"/>
              </w:rPr>
            </w:pPr>
          </w:p>
        </w:tc>
      </w:tr>
      <w:tr w:rsidR="00F44300" w:rsidRPr="00F313EA" w14:paraId="5C172E62" w14:textId="77777777" w:rsidTr="00517F72">
        <w:trPr>
          <w:cantSplit/>
        </w:trPr>
        <w:tc>
          <w:tcPr>
            <w:tcW w:w="1102" w:type="dxa"/>
            <w:gridSpan w:val="2"/>
            <w:tcMar>
              <w:top w:w="58" w:type="dxa"/>
              <w:left w:w="130" w:type="dxa"/>
              <w:bottom w:w="58" w:type="dxa"/>
              <w:right w:w="115" w:type="dxa"/>
            </w:tcMar>
            <w:vAlign w:val="center"/>
          </w:tcPr>
          <w:p w14:paraId="26E3A0F8" w14:textId="77777777" w:rsidR="00F44300" w:rsidRPr="00F313EA" w:rsidRDefault="00F44300" w:rsidP="004E12E8">
            <w:pPr>
              <w:rPr>
                <w:rFonts w:cs="Arial"/>
              </w:rPr>
            </w:pPr>
          </w:p>
        </w:tc>
        <w:tc>
          <w:tcPr>
            <w:tcW w:w="4575" w:type="dxa"/>
            <w:vAlign w:val="center"/>
          </w:tcPr>
          <w:p w14:paraId="05A322AA" w14:textId="77777777" w:rsidR="00F44300" w:rsidRPr="00F313EA" w:rsidRDefault="00F44300" w:rsidP="004E12E8">
            <w:pPr>
              <w:rPr>
                <w:rFonts w:cs="Arial"/>
              </w:rPr>
            </w:pPr>
            <w:r w:rsidRPr="00F313EA">
              <w:rPr>
                <w:rFonts w:cs="Arial"/>
              </w:rPr>
              <w:t>Other.</w:t>
            </w:r>
          </w:p>
        </w:tc>
        <w:tc>
          <w:tcPr>
            <w:tcW w:w="8633" w:type="dxa"/>
            <w:tcMar>
              <w:top w:w="58" w:type="dxa"/>
              <w:left w:w="130" w:type="dxa"/>
              <w:bottom w:w="58" w:type="dxa"/>
              <w:right w:w="115" w:type="dxa"/>
            </w:tcMar>
            <w:vAlign w:val="center"/>
          </w:tcPr>
          <w:p w14:paraId="5E757BB1" w14:textId="77777777" w:rsidR="00F44300" w:rsidRPr="00F313EA" w:rsidRDefault="00F44300" w:rsidP="001421B0">
            <w:pPr>
              <w:rPr>
                <w:rFonts w:cs="Arial"/>
              </w:rPr>
            </w:pPr>
          </w:p>
        </w:tc>
      </w:tr>
      <w:tr w:rsidR="00F44300" w:rsidRPr="00F313EA" w14:paraId="306F4BDC" w14:textId="77777777" w:rsidTr="00517F72">
        <w:trPr>
          <w:cantSplit/>
        </w:trPr>
        <w:tc>
          <w:tcPr>
            <w:tcW w:w="5677" w:type="dxa"/>
            <w:gridSpan w:val="3"/>
            <w:tcMar>
              <w:top w:w="58" w:type="dxa"/>
              <w:left w:w="130" w:type="dxa"/>
              <w:bottom w:w="58" w:type="dxa"/>
              <w:right w:w="115" w:type="dxa"/>
            </w:tcMar>
            <w:vAlign w:val="center"/>
          </w:tcPr>
          <w:p w14:paraId="005B53D3" w14:textId="77777777" w:rsidR="00F44300" w:rsidRPr="00F313EA" w:rsidRDefault="00F44300" w:rsidP="001421B0">
            <w:pPr>
              <w:rPr>
                <w:rFonts w:cs="Arial"/>
              </w:rPr>
            </w:pPr>
          </w:p>
        </w:tc>
        <w:tc>
          <w:tcPr>
            <w:tcW w:w="8633" w:type="dxa"/>
            <w:tcMar>
              <w:top w:w="58" w:type="dxa"/>
              <w:left w:w="130" w:type="dxa"/>
              <w:bottom w:w="58" w:type="dxa"/>
              <w:right w:w="115" w:type="dxa"/>
            </w:tcMar>
            <w:vAlign w:val="center"/>
          </w:tcPr>
          <w:p w14:paraId="4AAB808C" w14:textId="77777777" w:rsidR="00F44300" w:rsidRPr="00F313EA" w:rsidRDefault="00F44300" w:rsidP="001421B0">
            <w:pPr>
              <w:rPr>
                <w:rFonts w:cs="Arial"/>
              </w:rPr>
            </w:pPr>
          </w:p>
        </w:tc>
      </w:tr>
    </w:tbl>
    <w:p w14:paraId="76E21A0A" w14:textId="383F52BE" w:rsidR="00D57B4C" w:rsidRDefault="00D57B4C" w:rsidP="001421B0">
      <w:pPr>
        <w:rPr>
          <w:rFonts w:cs="Arial"/>
        </w:rPr>
      </w:pPr>
    </w:p>
    <w:p w14:paraId="7056142B" w14:textId="7600DC22" w:rsidR="00F93EAF" w:rsidRDefault="00F93EAF" w:rsidP="001421B0">
      <w:pPr>
        <w:rPr>
          <w:rFonts w:cs="Arial"/>
        </w:rPr>
      </w:pPr>
    </w:p>
    <w:p w14:paraId="79F9F390" w14:textId="77777777" w:rsidR="00F93EAF" w:rsidRPr="00F93EAF" w:rsidRDefault="00F93EAF" w:rsidP="00F93EAF">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[TOC</w:t>
        </w:r>
        <w:r w:rsidRPr="00F93EAF">
          <w:rPr>
            <w:rStyle w:val="Heading2Char"/>
            <w:rFonts w:asciiTheme="minorHAnsi" w:eastAsiaTheme="minorHAnsi" w:hAnsiTheme="minorHAnsi" w:cstheme="minorHAnsi"/>
            <w:color w:val="0070C0"/>
            <w:sz w:val="24"/>
          </w:rPr>
          <w:t xml:space="preserve"> </w:t>
        </w:r>
        <w:r w:rsidRPr="00F93EAF">
          <w:rPr>
            <w:rStyle w:val="Heading2Char"/>
            <w:rFonts w:asciiTheme="minorHAnsi" w:eastAsiaTheme="minorHAnsi" w:hAnsiTheme="minorHAnsi" w:cstheme="minorHAnsi"/>
            <w:color w:val="0070C0"/>
            <w:sz w:val="24"/>
          </w:rPr>
          <w:t>To</w:t>
        </w:r>
        <w:r w:rsidRPr="00F93EAF">
          <w:rPr>
            <w:rStyle w:val="Heading2Char"/>
            <w:rFonts w:asciiTheme="minorHAnsi" w:eastAsiaTheme="minorHAnsi" w:hAnsiTheme="minorHAnsi" w:cstheme="minorHAnsi"/>
            <w:color w:val="0070C0"/>
            <w:sz w:val="24"/>
          </w:rPr>
          <w:t>p</w:t>
        </w:r>
        <w:r w:rsidRPr="00F93EAF">
          <w:rPr>
            <w:rStyle w:val="Heading2Char"/>
            <w:rFonts w:asciiTheme="minorHAnsi" w:eastAsiaTheme="minorHAnsi" w:hAnsiTheme="minorHAnsi" w:cstheme="minorHAnsi"/>
            <w:color w:val="0070C0"/>
            <w:sz w:val="24"/>
          </w:rPr>
          <w:t>]</w:t>
        </w:r>
      </w:hyperlink>
    </w:p>
    <w:p w14:paraId="1A0A0741" w14:textId="0DC508AE" w:rsidR="00F93EAF" w:rsidRDefault="00F93EAF" w:rsidP="001421B0">
      <w:pPr>
        <w:rPr>
          <w:rFonts w:cs="Arial"/>
        </w:rPr>
      </w:pPr>
    </w:p>
    <w:p w14:paraId="5AEABA4D" w14:textId="77777777" w:rsidR="00F93EAF" w:rsidRDefault="00F93EAF" w:rsidP="001421B0">
      <w:pPr>
        <w:rPr>
          <w:rFonts w:cs="Arial"/>
        </w:rPr>
      </w:pPr>
    </w:p>
    <w:p w14:paraId="26DFB10A" w14:textId="77777777" w:rsidR="00D57B4C" w:rsidRDefault="00D57B4C" w:rsidP="001421B0">
      <w:pPr>
        <w:rPr>
          <w:rFonts w:cs="Arial"/>
        </w:rPr>
        <w:sectPr w:rsidR="00D57B4C" w:rsidSect="00CF5EC2">
          <w:pgSz w:w="15840" w:h="12240" w:orient="landscape"/>
          <w:pgMar w:top="1440" w:right="1440" w:bottom="1440" w:left="1440" w:header="720" w:footer="720" w:gutter="0"/>
          <w:cols w:space="720"/>
          <w:docGrid w:linePitch="360"/>
        </w:sectPr>
      </w:pPr>
    </w:p>
    <w:p w14:paraId="6C8BF117" w14:textId="03B6402B" w:rsidR="00F44300" w:rsidRPr="003519DD" w:rsidRDefault="00F44300" w:rsidP="003519DD">
      <w:pPr>
        <w:rPr>
          <w:rFonts w:eastAsia="Times New Roman" w:cstheme="minorHAnsi"/>
          <w:b/>
          <w:bCs/>
          <w:color w:val="333333"/>
          <w:spacing w:val="15"/>
          <w:kern w:val="36"/>
          <w:sz w:val="28"/>
          <w:szCs w:val="36"/>
        </w:rPr>
      </w:pPr>
      <w:bookmarkStart w:id="11" w:name="SuppMaterials"/>
      <w:bookmarkStart w:id="12" w:name="_GoBack"/>
      <w:bookmarkEnd w:id="12"/>
      <w:r w:rsidRPr="003519DD">
        <w:rPr>
          <w:rFonts w:eastAsia="Times New Roman" w:cstheme="minorHAnsi"/>
          <w:b/>
          <w:bCs/>
          <w:color w:val="333333"/>
          <w:spacing w:val="15"/>
          <w:kern w:val="36"/>
          <w:sz w:val="28"/>
          <w:szCs w:val="36"/>
        </w:rPr>
        <w:lastRenderedPageBreak/>
        <w:t>Supplemental Materials</w:t>
      </w:r>
      <w:bookmarkEnd w:id="11"/>
    </w:p>
    <w:p w14:paraId="4FACE555" w14:textId="77777777" w:rsidR="00F44300" w:rsidRPr="003519DD" w:rsidRDefault="00F44300" w:rsidP="00923CE4">
      <w:pPr>
        <w:shd w:val="clear" w:color="auto" w:fill="FFFFFF"/>
        <w:spacing w:line="360" w:lineRule="auto"/>
        <w:textAlignment w:val="baseline"/>
        <w:rPr>
          <w:rFonts w:eastAsia="Times New Roman" w:cstheme="minorHAnsi"/>
        </w:rPr>
      </w:pPr>
      <w:r w:rsidRPr="003519DD">
        <w:rPr>
          <w:rFonts w:eastAsia="Times New Roman" w:cstheme="minorHAnsi"/>
        </w:rPr>
        <w:t>The Supplemental Materials compilation lists key documents and additional resources about the issues raised in the </w:t>
      </w:r>
      <w:r w:rsidRPr="003519DD">
        <w:rPr>
          <w:rFonts w:eastAsia="Times New Roman" w:cstheme="minorHAnsi"/>
          <w:i/>
          <w:iCs/>
          <w:bdr w:val="none" w:sz="0" w:space="0" w:color="auto" w:frame="1"/>
        </w:rPr>
        <w:t>Public Health &amp; Information Sharing Toolkit</w:t>
      </w:r>
      <w:r w:rsidRPr="003519DD">
        <w:rPr>
          <w:rFonts w:eastAsia="Times New Roman" w:cstheme="minorHAnsi"/>
        </w:rPr>
        <w:t>. The documents listed are for reference purposes only and are </w:t>
      </w:r>
      <w:r w:rsidRPr="003519DD">
        <w:rPr>
          <w:rFonts w:eastAsia="Times New Roman" w:cstheme="minorHAnsi"/>
          <w:i/>
          <w:iCs/>
          <w:bdr w:val="none" w:sz="0" w:space="0" w:color="auto" w:frame="1"/>
        </w:rPr>
        <w:t>not</w:t>
      </w:r>
      <w:r w:rsidRPr="003519DD">
        <w:rPr>
          <w:rFonts w:eastAsia="Times New Roman" w:cstheme="minorHAnsi"/>
        </w:rPr>
        <w: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Feb. 15, 2013. Please report broken links to ASTHO at </w:t>
      </w:r>
      <w:hyperlink r:id="rId137" w:history="1">
        <w:r w:rsidRPr="003519DD">
          <w:rPr>
            <w:rFonts w:eastAsia="Times New Roman" w:cstheme="minorHAnsi"/>
            <w:u w:val="single"/>
            <w:bdr w:val="none" w:sz="0" w:space="0" w:color="auto" w:frame="1"/>
          </w:rPr>
          <w:t>communications@astho.org</w:t>
        </w:r>
      </w:hyperlink>
      <w:r w:rsidRPr="003519DD">
        <w:rPr>
          <w:rFonts w:eastAsia="Times New Roman" w:cstheme="minorHAnsi"/>
        </w:rPr>
        <w:t>.</w:t>
      </w:r>
    </w:p>
    <w:p w14:paraId="36E6CFF6" w14:textId="77777777" w:rsidR="00F44300" w:rsidRPr="003519DD" w:rsidRDefault="00F44300" w:rsidP="00923CE4">
      <w:pPr>
        <w:spacing w:line="360" w:lineRule="auto"/>
        <w:rPr>
          <w:rFonts w:eastAsia="Times New Roman" w:cstheme="minorHAnsi"/>
          <w:b/>
          <w:bCs/>
          <w:color w:val="3C3030"/>
        </w:rPr>
      </w:pPr>
    </w:p>
    <w:p w14:paraId="4FC4E14A" w14:textId="77777777" w:rsidR="00F44300" w:rsidRPr="003519DD" w:rsidRDefault="00F44300" w:rsidP="003519DD">
      <w:pPr>
        <w:rPr>
          <w:rFonts w:eastAsia="Times New Roman" w:cstheme="minorHAnsi"/>
          <w:b/>
          <w:bCs/>
          <w:color w:val="3C3030"/>
          <w:sz w:val="24"/>
          <w:szCs w:val="24"/>
        </w:rPr>
      </w:pPr>
      <w:r w:rsidRPr="003519DD">
        <w:rPr>
          <w:rFonts w:eastAsia="Times New Roman" w:cstheme="minorHAnsi"/>
          <w:b/>
          <w:bCs/>
          <w:color w:val="3C3030"/>
          <w:sz w:val="24"/>
          <w:szCs w:val="24"/>
        </w:rPr>
        <w:t>Index </w:t>
      </w:r>
    </w:p>
    <w:p w14:paraId="4F03B451" w14:textId="77777777" w:rsidR="00F44300" w:rsidRPr="00923CE4" w:rsidRDefault="00F44300" w:rsidP="00E978DD">
      <w:pPr>
        <w:shd w:val="clear" w:color="auto" w:fill="FFFFFF"/>
        <w:spacing w:line="240" w:lineRule="atLeast"/>
        <w:textAlignment w:val="baseline"/>
        <w:rPr>
          <w:rFonts w:eastAsia="Times New Roman" w:cstheme="minorHAnsi"/>
          <w:color w:val="737373"/>
        </w:rPr>
      </w:pPr>
      <w:hyperlink r:id="rId138" w:anchor="General-Resources" w:history="1">
        <w:r w:rsidRPr="00923CE4">
          <w:rPr>
            <w:rFonts w:eastAsia="Times New Roman" w:cstheme="minorHAnsi"/>
            <w:color w:val="0F88B8"/>
            <w:u w:val="single"/>
            <w:bdr w:val="none" w:sz="0" w:space="0" w:color="auto" w:frame="1"/>
          </w:rPr>
          <w:t>General Resources and Compilations</w:t>
        </w:r>
      </w:hyperlink>
    </w:p>
    <w:p w14:paraId="5C29587F" w14:textId="77777777" w:rsidR="00F44300" w:rsidRPr="00923CE4" w:rsidRDefault="00F44300" w:rsidP="00E978DD">
      <w:pPr>
        <w:shd w:val="clear" w:color="auto" w:fill="FFFFFF"/>
        <w:spacing w:line="240" w:lineRule="atLeast"/>
        <w:textAlignment w:val="baseline"/>
        <w:rPr>
          <w:rFonts w:eastAsia="Times New Roman" w:cstheme="minorHAnsi"/>
          <w:b/>
          <w:bCs/>
          <w:bdr w:val="none" w:sz="0" w:space="0" w:color="auto" w:frame="1"/>
        </w:rPr>
      </w:pPr>
    </w:p>
    <w:p w14:paraId="3934EE82" w14:textId="77777777" w:rsidR="00F44300" w:rsidRPr="00923CE4" w:rsidRDefault="00F44300" w:rsidP="00E978DD">
      <w:pPr>
        <w:shd w:val="clear" w:color="auto" w:fill="FFFFFF"/>
        <w:spacing w:line="240" w:lineRule="atLeast"/>
        <w:textAlignment w:val="baseline"/>
        <w:rPr>
          <w:rFonts w:eastAsia="Times New Roman" w:cstheme="minorHAnsi"/>
          <w:color w:val="737373"/>
        </w:rPr>
      </w:pPr>
      <w:r w:rsidRPr="003519DD">
        <w:rPr>
          <w:rFonts w:eastAsia="Times New Roman" w:cstheme="minorHAnsi"/>
          <w:b/>
          <w:bCs/>
          <w:szCs w:val="20"/>
          <w:bdr w:val="none" w:sz="0" w:space="0" w:color="auto" w:frame="1"/>
        </w:rPr>
        <w:t>A-F</w:t>
      </w:r>
      <w:r w:rsidRPr="003519DD">
        <w:rPr>
          <w:rFonts w:eastAsia="Times New Roman" w:cstheme="minorHAnsi"/>
          <w:szCs w:val="20"/>
        </w:rPr>
        <w:t> </w:t>
      </w:r>
      <w:r w:rsidRPr="003519DD">
        <w:rPr>
          <w:rFonts w:eastAsia="Times New Roman" w:cstheme="minorHAnsi"/>
          <w:szCs w:val="20"/>
        </w:rPr>
        <w:br/>
      </w:r>
      <w:hyperlink r:id="rId139" w:anchor="ADA" w:history="1">
        <w:r w:rsidRPr="00923CE4">
          <w:rPr>
            <w:rFonts w:eastAsia="Times New Roman" w:cstheme="minorHAnsi"/>
            <w:color w:val="0F88B8"/>
            <w:u w:val="single"/>
            <w:bdr w:val="none" w:sz="0" w:space="0" w:color="auto" w:frame="1"/>
          </w:rPr>
          <w:t>Americans with Disabilities Act</w:t>
        </w:r>
      </w:hyperlink>
      <w:r w:rsidRPr="00923CE4">
        <w:rPr>
          <w:rFonts w:eastAsia="Times New Roman" w:cstheme="minorHAnsi"/>
          <w:color w:val="737373"/>
        </w:rPr>
        <w:br/>
      </w:r>
      <w:hyperlink r:id="rId140" w:anchor="Business-and-Employer" w:history="1">
        <w:r w:rsidRPr="00923CE4">
          <w:rPr>
            <w:rFonts w:eastAsia="Times New Roman" w:cstheme="minorHAnsi"/>
            <w:color w:val="0F88B8"/>
            <w:u w:val="single"/>
            <w:bdr w:val="none" w:sz="0" w:space="0" w:color="auto" w:frame="1"/>
          </w:rPr>
          <w:t>Business and Employer Planning and Preparedness</w:t>
        </w:r>
      </w:hyperlink>
      <w:r w:rsidRPr="00923CE4">
        <w:rPr>
          <w:rFonts w:eastAsia="Times New Roman" w:cstheme="minorHAnsi"/>
          <w:color w:val="737373"/>
        </w:rPr>
        <w:br/>
      </w:r>
      <w:hyperlink r:id="rId141" w:anchor="Civil-Liberties" w:history="1">
        <w:r w:rsidRPr="00923CE4">
          <w:rPr>
            <w:rFonts w:eastAsia="Times New Roman" w:cstheme="minorHAnsi"/>
            <w:color w:val="0F88B8"/>
            <w:u w:val="single"/>
            <w:bdr w:val="none" w:sz="0" w:space="0" w:color="auto" w:frame="1"/>
          </w:rPr>
          <w:t>Civil Liberties</w:t>
        </w:r>
      </w:hyperlink>
      <w:r w:rsidRPr="00923CE4">
        <w:rPr>
          <w:rFonts w:eastAsia="Times New Roman" w:cstheme="minorHAnsi"/>
          <w:color w:val="737373"/>
        </w:rPr>
        <w:br/>
      </w:r>
      <w:hyperlink r:id="rId142" w:anchor="Coordinated-Response" w:history="1">
        <w:r w:rsidRPr="00923CE4">
          <w:rPr>
            <w:rFonts w:eastAsia="Times New Roman" w:cstheme="minorHAnsi"/>
            <w:color w:val="0F88B8"/>
            <w:u w:val="single"/>
            <w:bdr w:val="none" w:sz="0" w:space="0" w:color="auto" w:frame="1"/>
          </w:rPr>
          <w:t>Coordinated Response to Emergencies</w:t>
        </w:r>
      </w:hyperlink>
      <w:r w:rsidRPr="00923CE4">
        <w:rPr>
          <w:rFonts w:eastAsia="Times New Roman" w:cstheme="minorHAnsi"/>
          <w:color w:val="737373"/>
        </w:rPr>
        <w:br/>
      </w:r>
      <w:hyperlink r:id="rId143" w:anchor="Critical-Infrastructure" w:history="1">
        <w:r w:rsidRPr="00923CE4">
          <w:rPr>
            <w:rFonts w:eastAsia="Times New Roman" w:cstheme="minorHAnsi"/>
            <w:color w:val="0F88B8"/>
            <w:u w:val="single"/>
            <w:bdr w:val="none" w:sz="0" w:space="0" w:color="auto" w:frame="1"/>
          </w:rPr>
          <w:t>Critical Infrastructure Information Act</w:t>
        </w:r>
      </w:hyperlink>
      <w:r w:rsidRPr="00923CE4">
        <w:rPr>
          <w:rFonts w:eastAsia="Times New Roman" w:cstheme="minorHAnsi"/>
          <w:color w:val="737373"/>
        </w:rPr>
        <w:br/>
      </w:r>
      <w:hyperlink r:id="rId144" w:anchor="De-Identification" w:history="1">
        <w:r w:rsidRPr="00923CE4">
          <w:rPr>
            <w:rFonts w:eastAsia="Times New Roman" w:cstheme="minorHAnsi"/>
            <w:color w:val="0F88B8"/>
            <w:u w:val="single"/>
            <w:bdr w:val="none" w:sz="0" w:space="0" w:color="auto" w:frame="1"/>
          </w:rPr>
          <w:t>De-Identification</w:t>
        </w:r>
      </w:hyperlink>
      <w:r w:rsidRPr="00923CE4">
        <w:rPr>
          <w:rFonts w:eastAsia="Times New Roman" w:cstheme="minorHAnsi"/>
          <w:color w:val="737373"/>
        </w:rPr>
        <w:br/>
      </w:r>
      <w:hyperlink r:id="rId145" w:anchor="Duty-to-Warn" w:history="1">
        <w:r w:rsidRPr="00923CE4">
          <w:rPr>
            <w:rFonts w:eastAsia="Times New Roman" w:cstheme="minorHAnsi"/>
            <w:color w:val="0F88B8"/>
            <w:u w:val="single"/>
            <w:bdr w:val="none" w:sz="0" w:space="0" w:color="auto" w:frame="1"/>
          </w:rPr>
          <w:t>Duty to Warn</w:t>
        </w:r>
      </w:hyperlink>
      <w:r w:rsidRPr="00923CE4">
        <w:rPr>
          <w:rFonts w:eastAsia="Times New Roman" w:cstheme="minorHAnsi"/>
          <w:color w:val="737373"/>
        </w:rPr>
        <w:br/>
      </w:r>
      <w:hyperlink r:id="rId146" w:anchor="Electronic-Health" w:history="1">
        <w:r w:rsidRPr="00923CE4">
          <w:rPr>
            <w:rFonts w:eastAsia="Times New Roman" w:cstheme="minorHAnsi"/>
            <w:color w:val="0F88B8"/>
            <w:u w:val="single"/>
            <w:bdr w:val="none" w:sz="0" w:space="0" w:color="auto" w:frame="1"/>
          </w:rPr>
          <w:t>Electronic Health Information</w:t>
        </w:r>
      </w:hyperlink>
      <w:r w:rsidRPr="00923CE4">
        <w:rPr>
          <w:rFonts w:eastAsia="Times New Roman" w:cstheme="minorHAnsi"/>
          <w:color w:val="737373"/>
        </w:rPr>
        <w:br/>
      </w:r>
      <w:hyperlink r:id="rId147" w:anchor="Employee-Health" w:history="1">
        <w:r w:rsidRPr="00923CE4">
          <w:rPr>
            <w:rFonts w:eastAsia="Times New Roman" w:cstheme="minorHAnsi"/>
            <w:color w:val="0F88B8"/>
            <w:u w:val="single"/>
            <w:bdr w:val="none" w:sz="0" w:space="0" w:color="auto" w:frame="1"/>
          </w:rPr>
          <w:t>Employee Health Information</w:t>
        </w:r>
      </w:hyperlink>
      <w:r w:rsidRPr="00923CE4">
        <w:rPr>
          <w:rFonts w:eastAsia="Times New Roman" w:cstheme="minorHAnsi"/>
          <w:color w:val="737373"/>
        </w:rPr>
        <w:br/>
      </w:r>
      <w:hyperlink r:id="rId148" w:anchor="Ethics" w:history="1">
        <w:r w:rsidRPr="00923CE4">
          <w:rPr>
            <w:rFonts w:eastAsia="Times New Roman" w:cstheme="minorHAnsi"/>
            <w:color w:val="0F88B8"/>
            <w:u w:val="single"/>
            <w:bdr w:val="none" w:sz="0" w:space="0" w:color="auto" w:frame="1"/>
          </w:rPr>
          <w:t>Ethics, Data Use, and Disclosure</w:t>
        </w:r>
      </w:hyperlink>
      <w:r w:rsidRPr="00923CE4">
        <w:rPr>
          <w:rFonts w:eastAsia="Times New Roman" w:cstheme="minorHAnsi"/>
          <w:color w:val="737373"/>
        </w:rPr>
        <w:br/>
      </w:r>
      <w:hyperlink r:id="rId149" w:anchor="FERPA" w:history="1">
        <w:r w:rsidRPr="00923CE4">
          <w:rPr>
            <w:rFonts w:eastAsia="Times New Roman" w:cstheme="minorHAnsi"/>
            <w:color w:val="0F88B8"/>
            <w:u w:val="single"/>
            <w:bdr w:val="none" w:sz="0" w:space="0" w:color="auto" w:frame="1"/>
          </w:rPr>
          <w:t>Family Educational Rights and Privacy Act (FERPA)</w:t>
        </w:r>
      </w:hyperlink>
      <w:r w:rsidRPr="00923CE4">
        <w:rPr>
          <w:rFonts w:eastAsia="Times New Roman" w:cstheme="minorHAnsi"/>
          <w:color w:val="737373"/>
        </w:rPr>
        <w:br/>
      </w:r>
      <w:hyperlink r:id="rId150" w:anchor="Forensic-Epidemiology" w:history="1">
        <w:r w:rsidRPr="00923CE4">
          <w:rPr>
            <w:rFonts w:eastAsia="Times New Roman" w:cstheme="minorHAnsi"/>
            <w:color w:val="0F88B8"/>
            <w:u w:val="single"/>
            <w:bdr w:val="none" w:sz="0" w:space="0" w:color="auto" w:frame="1"/>
          </w:rPr>
          <w:t>Forensic Epidemiology</w:t>
        </w:r>
      </w:hyperlink>
      <w:r w:rsidRPr="00923CE4">
        <w:rPr>
          <w:rFonts w:eastAsia="Times New Roman" w:cstheme="minorHAnsi"/>
          <w:color w:val="737373"/>
        </w:rPr>
        <w:br/>
      </w:r>
      <w:hyperlink r:id="rId151" w:anchor="Fourth-Amendment" w:history="1">
        <w:r w:rsidRPr="00923CE4">
          <w:rPr>
            <w:rFonts w:eastAsia="Times New Roman" w:cstheme="minorHAnsi"/>
            <w:color w:val="0F88B8"/>
            <w:u w:val="single"/>
            <w:bdr w:val="none" w:sz="0" w:space="0" w:color="auto" w:frame="1"/>
          </w:rPr>
          <w:t>Fourth Amendment</w:t>
        </w:r>
      </w:hyperlink>
      <w:r w:rsidRPr="00923CE4">
        <w:rPr>
          <w:rFonts w:eastAsia="Times New Roman" w:cstheme="minorHAnsi"/>
          <w:color w:val="737373"/>
        </w:rPr>
        <w:br/>
      </w:r>
      <w:hyperlink r:id="rId152" w:anchor="Freedom-of-Information" w:history="1">
        <w:r w:rsidRPr="00923CE4">
          <w:rPr>
            <w:rFonts w:eastAsia="Times New Roman" w:cstheme="minorHAnsi"/>
            <w:color w:val="0F88B8"/>
            <w:u w:val="single"/>
            <w:bdr w:val="none" w:sz="0" w:space="0" w:color="auto" w:frame="1"/>
          </w:rPr>
          <w:t>Freedom of Information Laws</w:t>
        </w:r>
      </w:hyperlink>
      <w:r w:rsidRPr="00923CE4">
        <w:rPr>
          <w:rFonts w:eastAsia="Times New Roman" w:cstheme="minorHAnsi"/>
          <w:color w:val="737373"/>
        </w:rPr>
        <w:br/>
      </w:r>
      <w:hyperlink r:id="rId153" w:anchor="Fusion-Centers" w:history="1">
        <w:r w:rsidRPr="00923CE4">
          <w:rPr>
            <w:rFonts w:eastAsia="Times New Roman" w:cstheme="minorHAnsi"/>
            <w:color w:val="0F88B8"/>
            <w:u w:val="single"/>
            <w:bdr w:val="none" w:sz="0" w:space="0" w:color="auto" w:frame="1"/>
          </w:rPr>
          <w:t>Fusion Centers</w:t>
        </w:r>
      </w:hyperlink>
    </w:p>
    <w:p w14:paraId="3EAEBA0F" w14:textId="77777777" w:rsidR="00F44300" w:rsidRDefault="00F44300" w:rsidP="00E978DD">
      <w:pPr>
        <w:shd w:val="clear" w:color="auto" w:fill="FFFFFF"/>
        <w:spacing w:line="240" w:lineRule="atLeast"/>
        <w:textAlignment w:val="baseline"/>
        <w:rPr>
          <w:rFonts w:eastAsia="Times New Roman" w:cstheme="minorHAnsi"/>
          <w:b/>
          <w:bCs/>
          <w:color w:val="737373"/>
          <w:sz w:val="20"/>
          <w:szCs w:val="20"/>
          <w:bdr w:val="none" w:sz="0" w:space="0" w:color="auto" w:frame="1"/>
        </w:rPr>
      </w:pPr>
    </w:p>
    <w:p w14:paraId="50249A34" w14:textId="77777777" w:rsidR="00F44300" w:rsidRPr="00923CE4" w:rsidRDefault="00F44300" w:rsidP="00E978DD">
      <w:pPr>
        <w:shd w:val="clear" w:color="auto" w:fill="FFFFFF"/>
        <w:spacing w:line="240" w:lineRule="atLeast"/>
        <w:textAlignment w:val="baseline"/>
        <w:rPr>
          <w:rFonts w:eastAsia="Times New Roman" w:cstheme="minorHAnsi"/>
          <w:color w:val="737373"/>
        </w:rPr>
      </w:pPr>
      <w:r w:rsidRPr="003519DD">
        <w:rPr>
          <w:rFonts w:eastAsia="Times New Roman" w:cstheme="minorHAnsi"/>
          <w:b/>
          <w:bCs/>
          <w:szCs w:val="20"/>
          <w:bdr w:val="none" w:sz="0" w:space="0" w:color="auto" w:frame="1"/>
        </w:rPr>
        <w:t>G-Z</w:t>
      </w:r>
      <w:r w:rsidRPr="003519DD">
        <w:rPr>
          <w:rFonts w:eastAsia="Times New Roman" w:cstheme="minorHAnsi"/>
          <w:szCs w:val="20"/>
        </w:rPr>
        <w:t> </w:t>
      </w:r>
      <w:r w:rsidRPr="003519DD">
        <w:rPr>
          <w:rFonts w:eastAsia="Times New Roman" w:cstheme="minorHAnsi"/>
          <w:szCs w:val="20"/>
        </w:rPr>
        <w:br/>
      </w:r>
      <w:hyperlink r:id="rId154" w:anchor="Homeland-Security-Act" w:history="1">
        <w:r w:rsidRPr="00923CE4">
          <w:rPr>
            <w:rFonts w:eastAsia="Times New Roman" w:cstheme="minorHAnsi"/>
            <w:color w:val="0F88B8"/>
            <w:u w:val="single"/>
            <w:bdr w:val="none" w:sz="0" w:space="0" w:color="auto" w:frame="1"/>
          </w:rPr>
          <w:t>Homeland Security Act</w:t>
        </w:r>
      </w:hyperlink>
      <w:r w:rsidRPr="00923CE4">
        <w:rPr>
          <w:rFonts w:eastAsia="Times New Roman" w:cstheme="minorHAnsi"/>
          <w:color w:val="737373"/>
        </w:rPr>
        <w:br/>
      </w:r>
      <w:hyperlink r:id="rId155" w:anchor="HITECH" w:history="1">
        <w:r w:rsidRPr="00923CE4">
          <w:rPr>
            <w:rFonts w:eastAsia="Times New Roman" w:cstheme="minorHAnsi"/>
            <w:color w:val="0F88B8"/>
            <w:u w:val="single"/>
            <w:bdr w:val="none" w:sz="0" w:space="0" w:color="auto" w:frame="1"/>
          </w:rPr>
          <w:t>Health Information Technology for Economic and Clinical Health Act (HITECH)</w:t>
        </w:r>
      </w:hyperlink>
      <w:r w:rsidRPr="00923CE4">
        <w:rPr>
          <w:rFonts w:eastAsia="Times New Roman" w:cstheme="minorHAnsi"/>
          <w:color w:val="737373"/>
        </w:rPr>
        <w:br/>
      </w:r>
      <w:hyperlink r:id="rId156" w:anchor="HIPAA" w:history="1">
        <w:r w:rsidRPr="00923CE4">
          <w:rPr>
            <w:rFonts w:eastAsia="Times New Roman" w:cstheme="minorHAnsi"/>
            <w:color w:val="0F88B8"/>
            <w:u w:val="single"/>
            <w:bdr w:val="none" w:sz="0" w:space="0" w:color="auto" w:frame="1"/>
          </w:rPr>
          <w:t>Health Insurance Portability and Accountability Act (HIPAA)</w:t>
        </w:r>
      </w:hyperlink>
      <w:r w:rsidRPr="00923CE4">
        <w:rPr>
          <w:rFonts w:eastAsia="Times New Roman" w:cstheme="minorHAnsi"/>
          <w:color w:val="737373"/>
        </w:rPr>
        <w:br/>
      </w:r>
      <w:hyperlink r:id="rId157" w:anchor="Information-Sharing" w:history="1">
        <w:r w:rsidRPr="00923CE4">
          <w:rPr>
            <w:rFonts w:eastAsia="Times New Roman" w:cstheme="minorHAnsi"/>
            <w:color w:val="0F88B8"/>
            <w:u w:val="single"/>
            <w:bdr w:val="none" w:sz="0" w:space="0" w:color="auto" w:frame="1"/>
          </w:rPr>
          <w:t>Information Sharing Environment</w:t>
        </w:r>
      </w:hyperlink>
      <w:r w:rsidRPr="00923CE4">
        <w:rPr>
          <w:rFonts w:eastAsia="Times New Roman" w:cstheme="minorHAnsi"/>
          <w:color w:val="737373"/>
        </w:rPr>
        <w:br/>
      </w:r>
      <w:hyperlink r:id="rId158" w:anchor="Informational-Privacy" w:history="1">
        <w:r w:rsidRPr="00923CE4">
          <w:rPr>
            <w:rFonts w:eastAsia="Times New Roman" w:cstheme="minorHAnsi"/>
            <w:color w:val="0F88B8"/>
            <w:u w:val="single"/>
            <w:bdr w:val="none" w:sz="0" w:space="0" w:color="auto" w:frame="1"/>
          </w:rPr>
          <w:t>Informational Privacy</w:t>
        </w:r>
      </w:hyperlink>
      <w:r w:rsidRPr="00923CE4">
        <w:rPr>
          <w:rFonts w:eastAsia="Times New Roman" w:cstheme="minorHAnsi"/>
          <w:color w:val="737373"/>
        </w:rPr>
        <w:br/>
      </w:r>
      <w:hyperlink r:id="rId159" w:anchor="Intelligence-Reform" w:history="1">
        <w:r w:rsidRPr="00923CE4">
          <w:rPr>
            <w:rFonts w:eastAsia="Times New Roman" w:cstheme="minorHAnsi"/>
            <w:color w:val="0F88B8"/>
            <w:u w:val="single"/>
            <w:bdr w:val="none" w:sz="0" w:space="0" w:color="auto" w:frame="1"/>
          </w:rPr>
          <w:t>Intelligence Reform and Terrorism Prevention Act</w:t>
        </w:r>
      </w:hyperlink>
      <w:r w:rsidRPr="00923CE4">
        <w:rPr>
          <w:rFonts w:eastAsia="Times New Roman" w:cstheme="minorHAnsi"/>
          <w:color w:val="737373"/>
        </w:rPr>
        <w:br/>
      </w:r>
      <w:hyperlink r:id="rId160" w:anchor="Individual-Rights" w:history="1">
        <w:r w:rsidRPr="00923CE4">
          <w:rPr>
            <w:rFonts w:eastAsia="Times New Roman" w:cstheme="minorHAnsi"/>
            <w:color w:val="0F88B8"/>
            <w:u w:val="single"/>
            <w:bdr w:val="none" w:sz="0" w:space="0" w:color="auto" w:frame="1"/>
          </w:rPr>
          <w:t>Individual Rights vs. Police Powers</w:t>
        </w:r>
      </w:hyperlink>
      <w:r w:rsidRPr="00923CE4">
        <w:rPr>
          <w:rFonts w:eastAsia="Times New Roman" w:cstheme="minorHAnsi"/>
          <w:color w:val="737373"/>
        </w:rPr>
        <w:br/>
      </w:r>
      <w:hyperlink r:id="rId161" w:anchor="Law-Enforcement" w:history="1">
        <w:r w:rsidRPr="00923CE4">
          <w:rPr>
            <w:rFonts w:eastAsia="Times New Roman" w:cstheme="minorHAnsi"/>
            <w:color w:val="0F88B8"/>
            <w:u w:val="single"/>
            <w:bdr w:val="none" w:sz="0" w:space="0" w:color="auto" w:frame="1"/>
          </w:rPr>
          <w:t>Law Enforcement</w:t>
        </w:r>
      </w:hyperlink>
      <w:r w:rsidRPr="00923CE4">
        <w:rPr>
          <w:rFonts w:eastAsia="Times New Roman" w:cstheme="minorHAnsi"/>
          <w:color w:val="737373"/>
        </w:rPr>
        <w:br/>
      </w:r>
      <w:hyperlink r:id="rId162" w:anchor="Media" w:history="1">
        <w:r w:rsidRPr="00923CE4">
          <w:rPr>
            <w:rFonts w:eastAsia="Times New Roman" w:cstheme="minorHAnsi"/>
            <w:color w:val="0F88B8"/>
            <w:u w:val="single"/>
            <w:bdr w:val="none" w:sz="0" w:space="0" w:color="auto" w:frame="1"/>
          </w:rPr>
          <w:t>Media</w:t>
        </w:r>
      </w:hyperlink>
      <w:r w:rsidRPr="00923CE4">
        <w:rPr>
          <w:rFonts w:eastAsia="Times New Roman" w:cstheme="minorHAnsi"/>
          <w:color w:val="737373"/>
        </w:rPr>
        <w:br/>
      </w:r>
      <w:hyperlink r:id="rId163" w:anchor="National-Security-Act" w:history="1">
        <w:r w:rsidRPr="00923CE4">
          <w:rPr>
            <w:rFonts w:eastAsia="Times New Roman" w:cstheme="minorHAnsi"/>
            <w:color w:val="0F88B8"/>
            <w:u w:val="single"/>
            <w:bdr w:val="none" w:sz="0" w:space="0" w:color="auto" w:frame="1"/>
          </w:rPr>
          <w:t>National Security Act</w:t>
        </w:r>
      </w:hyperlink>
      <w:r w:rsidRPr="00923CE4">
        <w:rPr>
          <w:rFonts w:eastAsia="Times New Roman" w:cstheme="minorHAnsi"/>
          <w:color w:val="737373"/>
        </w:rPr>
        <w:br/>
      </w:r>
      <w:hyperlink r:id="rId164" w:anchor="Occupational-Safety" w:history="1">
        <w:r w:rsidRPr="00923CE4">
          <w:rPr>
            <w:rFonts w:eastAsia="Times New Roman" w:cstheme="minorHAnsi"/>
            <w:color w:val="0F88B8"/>
            <w:u w:val="single"/>
            <w:bdr w:val="none" w:sz="0" w:space="0" w:color="auto" w:frame="1"/>
          </w:rPr>
          <w:t>Occupational Safety and Health Act</w:t>
        </w:r>
      </w:hyperlink>
      <w:r w:rsidRPr="00923CE4">
        <w:rPr>
          <w:rFonts w:eastAsia="Times New Roman" w:cstheme="minorHAnsi"/>
          <w:color w:val="737373"/>
        </w:rPr>
        <w:br/>
      </w:r>
      <w:hyperlink r:id="rId165" w:anchor="Public-Health-Security" w:history="1">
        <w:r w:rsidRPr="00923CE4">
          <w:rPr>
            <w:rFonts w:eastAsia="Times New Roman" w:cstheme="minorHAnsi"/>
            <w:color w:val="0F88B8"/>
            <w:u w:val="single"/>
            <w:bdr w:val="none" w:sz="0" w:space="0" w:color="auto" w:frame="1"/>
          </w:rPr>
          <w:t>Public Health Security and Bioterrorism Response Act</w:t>
        </w:r>
      </w:hyperlink>
      <w:r w:rsidRPr="00923CE4">
        <w:rPr>
          <w:rFonts w:eastAsia="Times New Roman" w:cstheme="minorHAnsi"/>
          <w:color w:val="737373"/>
        </w:rPr>
        <w:br/>
      </w:r>
      <w:hyperlink r:id="rId166" w:anchor="Right-to-Privacy" w:history="1">
        <w:r w:rsidRPr="00923CE4">
          <w:rPr>
            <w:rFonts w:eastAsia="Times New Roman" w:cstheme="minorHAnsi"/>
            <w:color w:val="0F88B8"/>
            <w:u w:val="single"/>
            <w:bdr w:val="none" w:sz="0" w:space="0" w:color="auto" w:frame="1"/>
          </w:rPr>
          <w:t>Right to Privacy</w:t>
        </w:r>
      </w:hyperlink>
      <w:r w:rsidRPr="00923CE4">
        <w:rPr>
          <w:rFonts w:eastAsia="Times New Roman" w:cstheme="minorHAnsi"/>
          <w:color w:val="737373"/>
        </w:rPr>
        <w:br/>
      </w:r>
      <w:hyperlink r:id="rId167" w:anchor="Surveillance" w:history="1">
        <w:r w:rsidRPr="00923CE4">
          <w:rPr>
            <w:rFonts w:eastAsia="Times New Roman" w:cstheme="minorHAnsi"/>
            <w:color w:val="0F88B8"/>
            <w:u w:val="single"/>
            <w:bdr w:val="none" w:sz="0" w:space="0" w:color="auto" w:frame="1"/>
          </w:rPr>
          <w:t>Surveillance, Public Health</w:t>
        </w:r>
      </w:hyperlink>
      <w:r w:rsidRPr="00923CE4">
        <w:rPr>
          <w:rFonts w:eastAsia="Times New Roman" w:cstheme="minorHAnsi"/>
          <w:color w:val="737373"/>
        </w:rPr>
        <w:br/>
      </w:r>
      <w:hyperlink r:id="rId168" w:anchor="Syndromic" w:history="1">
        <w:r w:rsidRPr="00923CE4">
          <w:rPr>
            <w:rFonts w:eastAsia="Times New Roman" w:cstheme="minorHAnsi"/>
            <w:color w:val="0F88B8"/>
            <w:u w:val="single"/>
            <w:bdr w:val="none" w:sz="0" w:space="0" w:color="auto" w:frame="1"/>
          </w:rPr>
          <w:t>Syndromic Surveillance</w:t>
        </w:r>
      </w:hyperlink>
      <w:r w:rsidRPr="00923CE4">
        <w:rPr>
          <w:rFonts w:eastAsia="Times New Roman" w:cstheme="minorHAnsi"/>
          <w:color w:val="737373"/>
        </w:rPr>
        <w:br/>
      </w:r>
      <w:hyperlink r:id="rId169" w:anchor="Patriot-Act" w:history="1">
        <w:r w:rsidRPr="00923CE4">
          <w:rPr>
            <w:rFonts w:eastAsia="Times New Roman" w:cstheme="minorHAnsi"/>
            <w:color w:val="0F88B8"/>
            <w:u w:val="single"/>
            <w:bdr w:val="none" w:sz="0" w:space="0" w:color="auto" w:frame="1"/>
          </w:rPr>
          <w:t>U.S.A. Patriot Act</w:t>
        </w:r>
      </w:hyperlink>
      <w:r w:rsidRPr="00923CE4">
        <w:rPr>
          <w:rFonts w:eastAsia="Times New Roman" w:cstheme="minorHAnsi"/>
          <w:color w:val="737373"/>
        </w:rPr>
        <w:br/>
      </w:r>
      <w:hyperlink r:id="rId170" w:anchor="Workplace-Preparedness" w:history="1">
        <w:r w:rsidRPr="00923CE4">
          <w:rPr>
            <w:rFonts w:eastAsia="Times New Roman" w:cstheme="minorHAnsi"/>
            <w:color w:val="0F88B8"/>
            <w:u w:val="single"/>
            <w:bdr w:val="none" w:sz="0" w:space="0" w:color="auto" w:frame="1"/>
          </w:rPr>
          <w:t>Workplace Preparedness</w:t>
        </w:r>
      </w:hyperlink>
    </w:p>
    <w:p w14:paraId="273CA50B" w14:textId="77777777" w:rsidR="00F44300" w:rsidRPr="003519DD" w:rsidRDefault="00F44300" w:rsidP="00E978DD">
      <w:pPr>
        <w:shd w:val="clear" w:color="auto" w:fill="FFFFFF"/>
        <w:spacing w:after="225" w:line="240" w:lineRule="atLeast"/>
        <w:textAlignment w:val="baseline"/>
        <w:rPr>
          <w:rFonts w:eastAsia="Times New Roman" w:cstheme="minorHAnsi"/>
          <w:color w:val="737373"/>
          <w:sz w:val="20"/>
          <w:szCs w:val="20"/>
        </w:rPr>
      </w:pPr>
      <w:r w:rsidRPr="003519DD">
        <w:rPr>
          <w:rFonts w:eastAsia="Times New Roman" w:cstheme="minorHAnsi"/>
          <w:color w:val="737373"/>
          <w:sz w:val="20"/>
          <w:szCs w:val="20"/>
        </w:rPr>
        <w:t> </w:t>
      </w:r>
    </w:p>
    <w:p w14:paraId="5C945CE7" w14:textId="77777777" w:rsidR="00F44300" w:rsidRPr="003519DD" w:rsidRDefault="00F44300" w:rsidP="00E978DD">
      <w:pPr>
        <w:rPr>
          <w:rFonts w:eastAsia="Times New Roman" w:cstheme="minorHAnsi"/>
          <w:sz w:val="24"/>
          <w:szCs w:val="24"/>
        </w:rPr>
      </w:pPr>
      <w:r>
        <w:rPr>
          <w:rFonts w:eastAsia="Times New Roman" w:cstheme="minorHAnsi"/>
          <w:sz w:val="24"/>
          <w:szCs w:val="24"/>
        </w:rPr>
        <w:pict w14:anchorId="7B2F9C4B">
          <v:rect id="_x0000_i1033" style="width:0;height:1.5pt" o:hralign="center" o:hrstd="t" o:hrnoshade="t" o:hr="t" fillcolor="#737373" stroked="f"/>
        </w:pict>
      </w:r>
    </w:p>
    <w:p w14:paraId="42BCF5D1" w14:textId="77777777" w:rsidR="00F44300" w:rsidRDefault="00F44300" w:rsidP="00E978DD">
      <w:pPr>
        <w:shd w:val="clear" w:color="auto" w:fill="FFFFFF"/>
        <w:spacing w:line="240" w:lineRule="atLeast"/>
        <w:textAlignment w:val="baseline"/>
        <w:rPr>
          <w:rFonts w:eastAsia="Times New Roman" w:cstheme="minorHAnsi"/>
          <w:b/>
          <w:bCs/>
          <w:bdr w:val="none" w:sz="0" w:space="0" w:color="auto" w:frame="1"/>
        </w:rPr>
      </w:pPr>
    </w:p>
    <w:p w14:paraId="662F1BFB"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General Resources and Compilations</w:t>
      </w:r>
    </w:p>
    <w:p w14:paraId="385149D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18ABF42"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Governmental</w:t>
      </w:r>
    </w:p>
    <w:p w14:paraId="62D80E02"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Public Health Law Program. "Emergency Preparedness." Available at </w:t>
      </w:r>
      <w:hyperlink r:id="rId171" w:tgtFrame="_blank" w:tooltip="http://www.cdc.gov/phlp/publications/topic/emergency.html" w:history="1">
        <w:r w:rsidRPr="00EF6C8D">
          <w:rPr>
            <w:rFonts w:eastAsia="Times New Roman" w:cstheme="minorHAnsi"/>
            <w:color w:val="0F88B8"/>
            <w:u w:val="single"/>
            <w:bdr w:val="none" w:sz="0" w:space="0" w:color="auto" w:frame="1"/>
          </w:rPr>
          <w:t>http://www.cdc.gov/phlp/publications/topic/emergency.html</w:t>
        </w:r>
      </w:hyperlink>
      <w:r w:rsidRPr="00EF6C8D">
        <w:rPr>
          <w:rFonts w:eastAsia="Times New Roman" w:cstheme="minorHAnsi"/>
          <w:color w:val="737373"/>
        </w:rPr>
        <w:t>.</w:t>
      </w:r>
    </w:p>
    <w:p w14:paraId="159E4410" w14:textId="77777777" w:rsidR="00F44300" w:rsidRDefault="00F44300" w:rsidP="00E978DD">
      <w:pPr>
        <w:shd w:val="clear" w:color="auto" w:fill="FFFFFF"/>
        <w:spacing w:line="240" w:lineRule="atLeast"/>
        <w:textAlignment w:val="baseline"/>
        <w:rPr>
          <w:rFonts w:eastAsia="Times New Roman" w:cstheme="minorHAnsi"/>
        </w:rPr>
      </w:pPr>
    </w:p>
    <w:p w14:paraId="73A5CB6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FEMA, Department of Homeland Security. "National Response Framework." December 2008. Available at </w:t>
      </w:r>
      <w:hyperlink r:id="rId172" w:tgtFrame="_blank" w:tooltip="http://www.fema.gov/pdf/emergency/nrf/nrf-core.pdf" w:history="1">
        <w:r w:rsidRPr="00EF6C8D">
          <w:rPr>
            <w:rFonts w:eastAsia="Times New Roman" w:cstheme="minorHAnsi"/>
            <w:color w:val="0F88B8"/>
            <w:u w:val="single"/>
            <w:bdr w:val="none" w:sz="0" w:space="0" w:color="auto" w:frame="1"/>
          </w:rPr>
          <w:t>http://www.fema.gov/pdf/emergency/nrf/nrf-core.pdf</w:t>
        </w:r>
      </w:hyperlink>
      <w:r w:rsidRPr="00EF6C8D">
        <w:rPr>
          <w:rFonts w:eastAsia="Times New Roman" w:cstheme="minorHAnsi"/>
          <w:color w:val="737373"/>
        </w:rPr>
        <w:t>.</w:t>
      </w:r>
    </w:p>
    <w:p w14:paraId="3A7984CA" w14:textId="77777777" w:rsidR="00F44300" w:rsidRDefault="00F44300" w:rsidP="00E978DD">
      <w:pPr>
        <w:shd w:val="clear" w:color="auto" w:fill="FFFFFF"/>
        <w:spacing w:line="240" w:lineRule="atLeast"/>
        <w:textAlignment w:val="baseline"/>
        <w:rPr>
          <w:rFonts w:eastAsia="Times New Roman" w:cstheme="minorHAnsi"/>
        </w:rPr>
      </w:pPr>
    </w:p>
    <w:p w14:paraId="62E806C8"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rPr>
        <w:t>HHS. "Public Health Preparedness Capabilities: National Standards for State and Local Planning." March 2011. Available at </w:t>
      </w:r>
      <w:hyperlink r:id="rId173" w:tgtFrame="_blank" w:tooltip="http://www.cdc.gov/phpr/capabilities/DSLR_capabilities_July.pdf" w:history="1">
        <w:r w:rsidRPr="00EF6C8D">
          <w:rPr>
            <w:rFonts w:eastAsia="Times New Roman" w:cstheme="minorHAnsi"/>
            <w:u w:val="single"/>
            <w:bdr w:val="none" w:sz="0" w:space="0" w:color="auto" w:frame="1"/>
          </w:rPr>
          <w:t>http://www.cdc.gov/phpr/capabilities/DSLR_capabilities_July.pdf</w:t>
        </w:r>
      </w:hyperlink>
      <w:r w:rsidRPr="00EF6C8D">
        <w:rPr>
          <w:rFonts w:eastAsia="Times New Roman" w:cstheme="minorHAnsi"/>
        </w:rPr>
        <w:t>.</w:t>
      </w:r>
    </w:p>
    <w:p w14:paraId="7A5918D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471B0FC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Sources</w:t>
      </w:r>
    </w:p>
    <w:p w14:paraId="7439222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American Health Information Management Association (AHIMA). "Homeland Security Act, Patriot Act, Freedom of Information Act, and HIM," updated November 2010. Available at</w:t>
      </w:r>
      <w:r w:rsidRPr="00EF6C8D">
        <w:rPr>
          <w:rFonts w:eastAsia="Times New Roman" w:cstheme="minorHAnsi"/>
          <w:color w:val="737373"/>
        </w:rPr>
        <w:t> </w:t>
      </w:r>
      <w:hyperlink r:id="rId174" w:tgtFrame="_blank" w:tooltip="http://library.ahima.org/xpedio/groups/public/documents/ahima/bok1_048641.hcsp?dDocName=bok1_048641" w:history="1">
        <w:r w:rsidRPr="00EF6C8D">
          <w:rPr>
            <w:rFonts w:eastAsia="Times New Roman" w:cstheme="minorHAnsi"/>
            <w:color w:val="0F88B8"/>
            <w:u w:val="single"/>
            <w:bdr w:val="none" w:sz="0" w:space="0" w:color="auto" w:frame="1"/>
          </w:rPr>
          <w:t>http://library.ahima.org/xpedio/groups/public/documents/ahima/bok1_048641.hcsp?dDocName=bok1_048641</w:t>
        </w:r>
      </w:hyperlink>
      <w:r w:rsidRPr="00EF6C8D">
        <w:rPr>
          <w:rFonts w:eastAsia="Times New Roman" w:cstheme="minorHAnsi"/>
          <w:color w:val="737373"/>
        </w:rPr>
        <w:t>.</w:t>
      </w:r>
    </w:p>
    <w:p w14:paraId="4EDF27DA" w14:textId="77777777" w:rsidR="00F44300" w:rsidRDefault="00F44300" w:rsidP="00E978DD">
      <w:pPr>
        <w:shd w:val="clear" w:color="auto" w:fill="FFFFFF"/>
        <w:spacing w:line="240" w:lineRule="atLeast"/>
        <w:textAlignment w:val="baseline"/>
        <w:rPr>
          <w:rFonts w:eastAsia="Times New Roman" w:cstheme="minorHAnsi"/>
        </w:rPr>
      </w:pPr>
    </w:p>
    <w:p w14:paraId="6208A45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George Washington University, Hirsh Health Law and Policy Program. "Health Information &amp; the Law." Available at </w:t>
      </w:r>
      <w:hyperlink r:id="rId175" w:tgtFrame="_blank" w:tooltip="http://www.healthinfolaw.org" w:history="1">
        <w:r w:rsidRPr="00EF6C8D">
          <w:rPr>
            <w:rFonts w:eastAsia="Times New Roman" w:cstheme="minorHAnsi"/>
            <w:color w:val="0F88B8"/>
            <w:u w:val="single"/>
            <w:bdr w:val="none" w:sz="0" w:space="0" w:color="auto" w:frame="1"/>
          </w:rPr>
          <w:t>http://www.healthinfolaw.org</w:t>
        </w:r>
      </w:hyperlink>
      <w:r w:rsidRPr="00EF6C8D">
        <w:rPr>
          <w:rFonts w:eastAsia="Times New Roman" w:cstheme="minorHAnsi"/>
          <w:color w:val="737373"/>
        </w:rPr>
        <w:t>.</w:t>
      </w:r>
    </w:p>
    <w:p w14:paraId="0095AF1F" w14:textId="77777777" w:rsidR="00F44300" w:rsidRDefault="00F44300" w:rsidP="00E978DD">
      <w:pPr>
        <w:shd w:val="clear" w:color="auto" w:fill="FFFFFF"/>
        <w:spacing w:after="225" w:line="240" w:lineRule="atLeast"/>
        <w:textAlignment w:val="baseline"/>
        <w:rPr>
          <w:rFonts w:eastAsia="Times New Roman" w:cstheme="minorHAnsi"/>
        </w:rPr>
      </w:pPr>
    </w:p>
    <w:p w14:paraId="096BE200"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Goodman, R. (ed.). "Chapter Three: Regulating Public Health: Principles and Application of Administrative Law." "Chapter Six: Criminal Law and Public Health Practice." "Chapter Ten: Identifiable Health and the Public's Health: Practice, Research, and Policy." In: "Law in Public Health Practice," 2d edition. Oxford University Press.</w:t>
      </w:r>
    </w:p>
    <w:p w14:paraId="0AC9D426" w14:textId="77777777" w:rsidR="00F44300" w:rsidRPr="00EF6C8D" w:rsidRDefault="00F44300" w:rsidP="00E978DD">
      <w:pPr>
        <w:shd w:val="clear" w:color="auto" w:fill="FFFFFF"/>
        <w:spacing w:after="225" w:line="240" w:lineRule="atLeast"/>
        <w:textAlignment w:val="baseline"/>
        <w:rPr>
          <w:rFonts w:eastAsia="Times New Roman" w:cstheme="minorHAnsi"/>
        </w:rPr>
      </w:pPr>
      <w:proofErr w:type="spellStart"/>
      <w:r w:rsidRPr="00EF6C8D">
        <w:rPr>
          <w:rFonts w:eastAsia="Times New Roman" w:cstheme="minorHAnsi"/>
        </w:rPr>
        <w:t>Gostin</w:t>
      </w:r>
      <w:proofErr w:type="spellEnd"/>
      <w:r w:rsidRPr="00EF6C8D">
        <w:rPr>
          <w:rFonts w:eastAsia="Times New Roman" w:cstheme="minorHAnsi"/>
        </w:rPr>
        <w:t>, L. "Public Health Law: Power, Duty, Restraint." California/Milbank Books on Health and the Public.</w:t>
      </w:r>
    </w:p>
    <w:p w14:paraId="7BDC72F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The State of Health Privacy. "A Survey of State Health Privacy Laws," organized alphabetically by state, 2nd edition, 2002. Volume 1 (Alabama to Montana) available at</w:t>
      </w:r>
      <w:r w:rsidRPr="00EF6C8D">
        <w:rPr>
          <w:rFonts w:eastAsia="Times New Roman" w:cstheme="minorHAnsi"/>
          <w:color w:val="737373"/>
        </w:rPr>
        <w:t> </w:t>
      </w:r>
      <w:hyperlink r:id="rId176" w:tgtFrame="_blank" w:tooltip="http://sharps.org/wp-content/uploads/PRITTS-REPORT1.pdf" w:history="1">
        <w:r w:rsidRPr="00EF6C8D">
          <w:rPr>
            <w:rFonts w:eastAsia="Times New Roman" w:cstheme="minorHAnsi"/>
            <w:color w:val="0F88B8"/>
            <w:u w:val="single"/>
            <w:bdr w:val="none" w:sz="0" w:space="0" w:color="auto" w:frame="1"/>
          </w:rPr>
          <w:t>http://sharps.org/wp-content/uploads/PRITTS-REPORT1.pdf</w:t>
        </w:r>
      </w:hyperlink>
      <w:r w:rsidRPr="00EF6C8D">
        <w:rPr>
          <w:rFonts w:eastAsia="Times New Roman" w:cstheme="minorHAnsi"/>
          <w:color w:val="737373"/>
        </w:rPr>
        <w:t xml:space="preserve">. </w:t>
      </w:r>
      <w:r w:rsidRPr="00EF6C8D">
        <w:rPr>
          <w:rFonts w:eastAsia="Times New Roman" w:cstheme="minorHAnsi"/>
        </w:rPr>
        <w:t>Volume 2 (Nebraska to Wyoming) available at</w:t>
      </w:r>
      <w:r w:rsidRPr="00EF6C8D">
        <w:rPr>
          <w:rFonts w:eastAsia="Times New Roman" w:cstheme="minorHAnsi"/>
          <w:color w:val="737373"/>
        </w:rPr>
        <w:t> </w:t>
      </w:r>
      <w:hyperlink r:id="rId177" w:tgtFrame="_blank" w:tooltip="http://sharps.org/wp-content/uploads/PRITTS-REPORT2.pdf" w:history="1">
        <w:r w:rsidRPr="00EF6C8D">
          <w:rPr>
            <w:rFonts w:eastAsia="Times New Roman" w:cstheme="minorHAnsi"/>
            <w:color w:val="0F88B8"/>
            <w:u w:val="single"/>
            <w:bdr w:val="none" w:sz="0" w:space="0" w:color="auto" w:frame="1"/>
          </w:rPr>
          <w:t>http://sharps.org/wp-content/uploads/PRITTS-REPORT2.pdf</w:t>
        </w:r>
      </w:hyperlink>
      <w:r w:rsidRPr="00EF6C8D">
        <w:rPr>
          <w:rFonts w:eastAsia="Times New Roman" w:cstheme="minorHAnsi"/>
          <w:color w:val="737373"/>
        </w:rPr>
        <w:t>.</w:t>
      </w:r>
    </w:p>
    <w:p w14:paraId="53340014"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0CF3EF49"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Americans with Disabilities Act</w:t>
      </w:r>
    </w:p>
    <w:p w14:paraId="052F8C34"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See also </w:t>
      </w:r>
      <w:r w:rsidRPr="00EF6C8D">
        <w:rPr>
          <w:rFonts w:eastAsia="Times New Roman" w:cstheme="minorHAnsi"/>
          <w:i/>
          <w:iCs/>
          <w:color w:val="737373"/>
          <w:bdr w:val="none" w:sz="0" w:space="0" w:color="auto" w:frame="1"/>
        </w:rPr>
        <w:t>"</w:t>
      </w:r>
      <w:hyperlink r:id="rId178" w:anchor="Business-and-Employer" w:history="1">
        <w:r w:rsidRPr="00EF6C8D">
          <w:rPr>
            <w:rFonts w:eastAsia="Times New Roman" w:cstheme="minorHAnsi"/>
            <w:i/>
            <w:iCs/>
            <w:color w:val="0F88B8"/>
            <w:u w:val="single"/>
            <w:bdr w:val="none" w:sz="0" w:space="0" w:color="auto" w:frame="1"/>
          </w:rPr>
          <w:t>Business and Employer Planning and Preparedness</w:t>
        </w:r>
      </w:hyperlink>
      <w:r w:rsidRPr="00EF6C8D">
        <w:rPr>
          <w:rFonts w:eastAsia="Times New Roman" w:cstheme="minorHAnsi"/>
          <w:i/>
          <w:iCs/>
          <w:color w:val="737373"/>
          <w:bdr w:val="none" w:sz="0" w:space="0" w:color="auto" w:frame="1"/>
        </w:rPr>
        <w:t>"</w:t>
      </w:r>
    </w:p>
    <w:p w14:paraId="0C2261B6"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1E0B4D26"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329B6FF7"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Americans with Disabilities Act of 1990. Pub. L. 101-336, as amended, codified at 42 U.S.C. 12101 </w:t>
      </w:r>
      <w:r w:rsidRPr="00EF6C8D">
        <w:rPr>
          <w:rFonts w:eastAsia="Times New Roman" w:cstheme="minorHAnsi"/>
          <w:i/>
          <w:iCs/>
          <w:bdr w:val="none" w:sz="0" w:space="0" w:color="auto" w:frame="1"/>
        </w:rPr>
        <w:t>et seq</w:t>
      </w:r>
      <w:r w:rsidRPr="00EF6C8D">
        <w:rPr>
          <w:rFonts w:eastAsia="Times New Roman" w:cstheme="minorHAnsi"/>
        </w:rPr>
        <w:t>. Titles I and V available at </w:t>
      </w:r>
      <w:hyperlink r:id="rId179" w:tgtFrame="_blank" w:tooltip="http://www.eeoc.gov/laws/statutes/ada.cfm" w:history="1">
        <w:r w:rsidRPr="00EF6C8D">
          <w:rPr>
            <w:rFonts w:eastAsia="Times New Roman" w:cstheme="minorHAnsi"/>
            <w:color w:val="0F88B8"/>
            <w:u w:val="single"/>
            <w:bdr w:val="none" w:sz="0" w:space="0" w:color="auto" w:frame="1"/>
          </w:rPr>
          <w:t>http://www.eeoc.gov/laws/statutes/ada.cfm</w:t>
        </w:r>
      </w:hyperlink>
      <w:r w:rsidRPr="00EF6C8D">
        <w:rPr>
          <w:rFonts w:eastAsia="Times New Roman" w:cstheme="minorHAnsi"/>
          <w:color w:val="737373"/>
        </w:rPr>
        <w:t xml:space="preserve">. </w:t>
      </w:r>
      <w:r w:rsidRPr="00EF6C8D">
        <w:rPr>
          <w:rFonts w:eastAsia="Times New Roman" w:cstheme="minorHAnsi"/>
        </w:rPr>
        <w:t>Titles I, II, III, and V available at</w:t>
      </w:r>
      <w:r w:rsidRPr="00EF6C8D">
        <w:rPr>
          <w:rFonts w:eastAsia="Times New Roman" w:cstheme="minorHAnsi"/>
          <w:color w:val="737373"/>
        </w:rPr>
        <w:t> </w:t>
      </w:r>
      <w:hyperlink r:id="rId180" w:tgtFrame="_blank" w:tooltip="http://www.ada.gov/pubs/ada.htm" w:history="1">
        <w:r w:rsidRPr="00EF6C8D">
          <w:rPr>
            <w:rFonts w:eastAsia="Times New Roman" w:cstheme="minorHAnsi"/>
            <w:color w:val="0F88B8"/>
            <w:u w:val="single"/>
            <w:bdr w:val="none" w:sz="0" w:space="0" w:color="auto" w:frame="1"/>
          </w:rPr>
          <w:t>http://www.ada.gov/pubs/ada.htm</w:t>
        </w:r>
      </w:hyperlink>
      <w:r w:rsidRPr="00EF6C8D">
        <w:rPr>
          <w:rFonts w:eastAsia="Times New Roman" w:cstheme="minorHAnsi"/>
          <w:color w:val="737373"/>
        </w:rPr>
        <w:t>.  </w:t>
      </w:r>
    </w:p>
    <w:p w14:paraId="1023234F" w14:textId="77777777" w:rsidR="00F44300" w:rsidRDefault="00F44300" w:rsidP="00E978DD">
      <w:pPr>
        <w:shd w:val="clear" w:color="auto" w:fill="FFFFFF"/>
        <w:spacing w:line="240" w:lineRule="atLeast"/>
        <w:textAlignment w:val="baseline"/>
        <w:rPr>
          <w:rFonts w:eastAsia="Times New Roman" w:cstheme="minorHAnsi"/>
        </w:rPr>
      </w:pPr>
    </w:p>
    <w:p w14:paraId="2F0E599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Regulations to Implement the Equal Employment Provisions of the Americans with Disabilities Act. 29 C.F.R. Part 1630. </w:t>
      </w:r>
      <w:hyperlink r:id="rId181"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549042DC" w14:textId="77777777" w:rsidR="00F44300" w:rsidRDefault="00F44300" w:rsidP="00E978DD">
      <w:pPr>
        <w:shd w:val="clear" w:color="auto" w:fill="FFFFFF"/>
        <w:spacing w:line="240" w:lineRule="atLeast"/>
        <w:textAlignment w:val="baseline"/>
        <w:rPr>
          <w:rFonts w:eastAsia="Times New Roman" w:cstheme="minorHAnsi"/>
        </w:rPr>
      </w:pPr>
    </w:p>
    <w:p w14:paraId="3D61CA9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Nondiscrimination </w:t>
      </w:r>
      <w:proofErr w:type="gramStart"/>
      <w:r w:rsidRPr="00EF6C8D">
        <w:rPr>
          <w:rFonts w:eastAsia="Times New Roman" w:cstheme="minorHAnsi"/>
        </w:rPr>
        <w:t>on the Basis of</w:t>
      </w:r>
      <w:proofErr w:type="gramEnd"/>
      <w:r w:rsidRPr="00EF6C8D">
        <w:rPr>
          <w:rFonts w:eastAsia="Times New Roman" w:cstheme="minorHAnsi"/>
        </w:rPr>
        <w:t xml:space="preserve"> Disability in State and Local Government Services. 28 C.F.R. Part 35. </w:t>
      </w:r>
      <w:hyperlink r:id="rId182"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6BA4CB94"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C22E1BB"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Guidance Documents</w:t>
      </w:r>
    </w:p>
    <w:p w14:paraId="513A8B3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Interpretive Guidance on Title I of the Americans with Disabilities Act. 29 C.F.R. Part 1630, Appendix to Part 1630. </w:t>
      </w:r>
      <w:hyperlink r:id="rId183"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4DFC87DD"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BF507EB"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323DAC05"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Americans with Disabilities Act. "ADA HOME PAGE." Available at </w:t>
      </w:r>
      <w:hyperlink r:id="rId184" w:tgtFrame="_blank" w:tooltip="http://www.ada.gov" w:history="1">
        <w:r w:rsidRPr="00EF6C8D">
          <w:rPr>
            <w:rFonts w:eastAsia="Times New Roman" w:cstheme="minorHAnsi"/>
            <w:color w:val="0F88B8"/>
            <w:u w:val="single"/>
            <w:bdr w:val="none" w:sz="0" w:space="0" w:color="auto" w:frame="1"/>
          </w:rPr>
          <w:t>http://www.ada.gov</w:t>
        </w:r>
      </w:hyperlink>
      <w:r w:rsidRPr="00EF6C8D">
        <w:rPr>
          <w:rFonts w:eastAsia="Times New Roman" w:cstheme="minorHAnsi"/>
          <w:color w:val="737373"/>
        </w:rPr>
        <w:t>.</w:t>
      </w:r>
    </w:p>
    <w:p w14:paraId="02FD1A28" w14:textId="77777777" w:rsidR="00F44300" w:rsidRDefault="00F44300" w:rsidP="00E978DD">
      <w:pPr>
        <w:shd w:val="clear" w:color="auto" w:fill="FFFFFF"/>
        <w:spacing w:line="240" w:lineRule="atLeast"/>
        <w:textAlignment w:val="baseline"/>
        <w:rPr>
          <w:rFonts w:eastAsia="Times New Roman" w:cstheme="minorHAnsi"/>
        </w:rPr>
      </w:pPr>
    </w:p>
    <w:p w14:paraId="42E117F2"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rPr>
        <w:t>U.S. Equal Employment Opportunity Commission. Available at </w:t>
      </w:r>
      <w:hyperlink r:id="rId185" w:tgtFrame="_blank" w:tooltip="http://www.eeoc.gov/eeoc/index.cfm" w:history="1">
        <w:r w:rsidRPr="00EF6C8D">
          <w:rPr>
            <w:rFonts w:eastAsia="Times New Roman" w:cstheme="minorHAnsi"/>
            <w:u w:val="single"/>
            <w:bdr w:val="none" w:sz="0" w:space="0" w:color="auto" w:frame="1"/>
          </w:rPr>
          <w:t>http://www.eeoc.gov/eeoc/index.cfm</w:t>
        </w:r>
      </w:hyperlink>
      <w:r w:rsidRPr="00EF6C8D">
        <w:rPr>
          <w:rFonts w:eastAsia="Times New Roman" w:cstheme="minorHAnsi"/>
        </w:rPr>
        <w:t>.</w:t>
      </w:r>
    </w:p>
    <w:p w14:paraId="50606739"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1D64CB0E"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3ECE874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"ADA Best Practices Tool Kit for State and Local Governments: Chapter 7 Addendum 1: Title II Checklist (Emergency Management)." Available at: </w:t>
      </w:r>
      <w:hyperlink r:id="rId186" w:tgtFrame="_blank" w:tooltip="http://www.usdoj.gov/crt/ada/pcatoolkit/chap7emergencymgmtadd1.htm" w:history="1">
        <w:r w:rsidRPr="00EF6C8D">
          <w:rPr>
            <w:rFonts w:eastAsia="Times New Roman" w:cstheme="minorHAnsi"/>
            <w:color w:val="0F88B8"/>
            <w:u w:val="single"/>
            <w:bdr w:val="none" w:sz="0" w:space="0" w:color="auto" w:frame="1"/>
          </w:rPr>
          <w:t>http://www.usdoj.gov/crt/ada/pcatoolkit/chap7emergencymgmtadd1.htm</w:t>
        </w:r>
      </w:hyperlink>
      <w:r w:rsidRPr="00EF6C8D">
        <w:rPr>
          <w:rFonts w:eastAsia="Times New Roman" w:cstheme="minorHAnsi"/>
          <w:color w:val="737373"/>
        </w:rPr>
        <w:t>.</w:t>
      </w:r>
    </w:p>
    <w:p w14:paraId="14290C5C" w14:textId="77777777" w:rsidR="00F44300" w:rsidRDefault="00F44300" w:rsidP="00E978DD">
      <w:pPr>
        <w:shd w:val="clear" w:color="auto" w:fill="FFFFFF"/>
        <w:spacing w:line="240" w:lineRule="atLeast"/>
        <w:textAlignment w:val="baseline"/>
        <w:rPr>
          <w:rFonts w:eastAsia="Times New Roman" w:cstheme="minorHAnsi"/>
        </w:rPr>
      </w:pPr>
    </w:p>
    <w:p w14:paraId="05CBDD2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Equal Employment Opportunity Commission. "Pandemic Preparedness in the Workplace and the Americans with Disabilities Act." Available at </w:t>
      </w:r>
      <w:hyperlink r:id="rId187" w:tgtFrame="_blank" w:tooltip="http://www.eeoc.gov/facts/pandemic_flu.html" w:history="1">
        <w:r w:rsidRPr="00EF6C8D">
          <w:rPr>
            <w:rFonts w:eastAsia="Times New Roman" w:cstheme="minorHAnsi"/>
            <w:color w:val="0F88B8"/>
            <w:u w:val="single"/>
            <w:bdr w:val="none" w:sz="0" w:space="0" w:color="auto" w:frame="1"/>
          </w:rPr>
          <w:t>http://www.eeoc.gov/facts/pandemic_flu.html</w:t>
        </w:r>
      </w:hyperlink>
      <w:r w:rsidRPr="00EF6C8D">
        <w:rPr>
          <w:rFonts w:eastAsia="Times New Roman" w:cstheme="minorHAnsi"/>
          <w:color w:val="737373"/>
        </w:rPr>
        <w:t>.</w:t>
      </w:r>
    </w:p>
    <w:p w14:paraId="78F099DA" w14:textId="77777777" w:rsidR="00F44300" w:rsidRDefault="00F44300" w:rsidP="00E978DD">
      <w:pPr>
        <w:shd w:val="clear" w:color="auto" w:fill="FFFFFF"/>
        <w:spacing w:line="240" w:lineRule="atLeast"/>
        <w:textAlignment w:val="baseline"/>
        <w:rPr>
          <w:rFonts w:eastAsia="Times New Roman" w:cstheme="minorHAnsi"/>
        </w:rPr>
      </w:pPr>
    </w:p>
    <w:p w14:paraId="414B3B3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Equal Employment Opportunity Commission and U.S. Department of Justice Civil Rights Division. "Americans with Disabilities Act: Questions and Answers." Available at </w:t>
      </w:r>
      <w:hyperlink r:id="rId188" w:tgtFrame="_blank" w:tooltip="http://www.ada.gov/q%26aeng02.htm" w:history="1">
        <w:r w:rsidRPr="00EF6C8D">
          <w:rPr>
            <w:rFonts w:eastAsia="Times New Roman" w:cstheme="minorHAnsi"/>
            <w:color w:val="0F88B8"/>
            <w:u w:val="single"/>
            <w:bdr w:val="none" w:sz="0" w:space="0" w:color="auto" w:frame="1"/>
          </w:rPr>
          <w:t>http://www.ada.gov/q%26aeng02.htm</w:t>
        </w:r>
      </w:hyperlink>
      <w:r w:rsidRPr="00EF6C8D">
        <w:rPr>
          <w:rFonts w:eastAsia="Times New Roman" w:cstheme="minorHAnsi"/>
          <w:color w:val="737373"/>
        </w:rPr>
        <w:t>.</w:t>
      </w:r>
    </w:p>
    <w:p w14:paraId="7E2C03CC"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color w:val="737373"/>
        </w:rPr>
        <w:t> </w:t>
      </w:r>
    </w:p>
    <w:p w14:paraId="799AA03E"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Business and Employer Planning and Preparedness</w:t>
      </w:r>
    </w:p>
    <w:p w14:paraId="3C02638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189" w:anchor="ADA" w:history="1">
        <w:r w:rsidRPr="00EF6C8D">
          <w:rPr>
            <w:rFonts w:eastAsia="Times New Roman" w:cstheme="minorHAnsi"/>
            <w:i/>
            <w:iCs/>
            <w:color w:val="0F88B8"/>
            <w:u w:val="single"/>
            <w:bdr w:val="none" w:sz="0" w:space="0" w:color="auto" w:frame="1"/>
          </w:rPr>
          <w:t>Americans with Disabilities Act</w:t>
        </w:r>
      </w:hyperlink>
      <w:r w:rsidRPr="00EF6C8D">
        <w:rPr>
          <w:rFonts w:eastAsia="Times New Roman" w:cstheme="minorHAnsi"/>
          <w:color w:val="737373"/>
        </w:rPr>
        <w:t>"</w:t>
      </w:r>
    </w:p>
    <w:p w14:paraId="42B13FBC"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4E6D548"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4690F7A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CDC. "Guidance for Businesses and Employers </w:t>
      </w:r>
      <w:proofErr w:type="gramStart"/>
      <w:r w:rsidRPr="00EF6C8D">
        <w:rPr>
          <w:rFonts w:eastAsia="Times New Roman" w:cstheme="minorHAnsi"/>
        </w:rPr>
        <w:t>To</w:t>
      </w:r>
      <w:proofErr w:type="gramEnd"/>
      <w:r w:rsidRPr="00EF6C8D">
        <w:rPr>
          <w:rFonts w:eastAsia="Times New Roman" w:cstheme="minorHAnsi"/>
        </w:rPr>
        <w:t xml:space="preserve"> Plan and Respond to the 2009 - 2010 Influenza Season." August 19, 2009. Available at </w:t>
      </w:r>
      <w:hyperlink r:id="rId190" w:tgtFrame="_blank" w:tooltip="http://www.flu.gov/planning-preparedness/business/guidance.pdf" w:history="1">
        <w:r w:rsidRPr="00EF6C8D">
          <w:rPr>
            <w:rFonts w:eastAsia="Times New Roman" w:cstheme="minorHAnsi"/>
            <w:color w:val="0F88B8"/>
            <w:u w:val="single"/>
            <w:bdr w:val="none" w:sz="0" w:space="0" w:color="auto" w:frame="1"/>
          </w:rPr>
          <w:t>http://www.flu.gov/planning-preparedness/business/guidance.pdf</w:t>
        </w:r>
      </w:hyperlink>
      <w:r w:rsidRPr="00EF6C8D">
        <w:rPr>
          <w:rFonts w:eastAsia="Times New Roman" w:cstheme="minorHAnsi"/>
          <w:color w:val="737373"/>
        </w:rPr>
        <w:t>.</w:t>
      </w:r>
    </w:p>
    <w:p w14:paraId="4279D354" w14:textId="77777777" w:rsidR="00F44300" w:rsidRDefault="00F44300" w:rsidP="00E978DD">
      <w:pPr>
        <w:shd w:val="clear" w:color="auto" w:fill="FFFFFF"/>
        <w:spacing w:line="240" w:lineRule="atLeast"/>
        <w:textAlignment w:val="baseline"/>
        <w:rPr>
          <w:rFonts w:eastAsia="Times New Roman" w:cstheme="minorHAnsi"/>
        </w:rPr>
      </w:pPr>
    </w:p>
    <w:p w14:paraId="56AD1B8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Labor, Occupational Safety and Health Administration. "Guidance on Preparing Workplaces for an Influenza Pandemic." OSHA Publication No. 3327. Available at </w:t>
      </w:r>
      <w:hyperlink r:id="rId191" w:tgtFrame="_blank" w:tooltip="http://www.osha.gov/Publications/influenza_pandemic.html" w:history="1">
        <w:r w:rsidRPr="00EF6C8D">
          <w:rPr>
            <w:rFonts w:eastAsia="Times New Roman" w:cstheme="minorHAnsi"/>
            <w:color w:val="0F88B8"/>
            <w:u w:val="single"/>
            <w:bdr w:val="none" w:sz="0" w:space="0" w:color="auto" w:frame="1"/>
          </w:rPr>
          <w:t>http://www.osha.gov/Publications/influenza_pandemic.html</w:t>
        </w:r>
      </w:hyperlink>
      <w:r w:rsidRPr="00EF6C8D">
        <w:rPr>
          <w:rFonts w:eastAsia="Times New Roman" w:cstheme="minorHAnsi"/>
          <w:color w:val="737373"/>
          <w:u w:val="single"/>
          <w:bdr w:val="none" w:sz="0" w:space="0" w:color="auto" w:frame="1"/>
        </w:rPr>
        <w:t>.</w:t>
      </w:r>
    </w:p>
    <w:p w14:paraId="4A06C87D" w14:textId="77777777" w:rsidR="00F44300" w:rsidRDefault="00F44300" w:rsidP="00E978DD">
      <w:pPr>
        <w:shd w:val="clear" w:color="auto" w:fill="FFFFFF"/>
        <w:spacing w:line="240" w:lineRule="atLeast"/>
        <w:textAlignment w:val="baseline"/>
        <w:rPr>
          <w:rFonts w:eastAsia="Times New Roman" w:cstheme="minorHAnsi"/>
        </w:rPr>
      </w:pPr>
    </w:p>
    <w:p w14:paraId="01463C34"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Flu Business Planning and Preparedness Resources. Available at</w:t>
      </w:r>
      <w:r w:rsidRPr="00EF6C8D">
        <w:rPr>
          <w:rFonts w:eastAsia="Times New Roman" w:cstheme="minorHAnsi"/>
          <w:color w:val="737373"/>
        </w:rPr>
        <w:t> </w:t>
      </w:r>
      <w:hyperlink r:id="rId192" w:tgtFrame="_blank" w:tooltip="http://www.flu.gov/planning-preparedness/business/index.html" w:history="1">
        <w:r w:rsidRPr="00EF6C8D">
          <w:rPr>
            <w:rFonts w:eastAsia="Times New Roman" w:cstheme="minorHAnsi"/>
            <w:color w:val="0F88B8"/>
            <w:u w:val="single"/>
            <w:bdr w:val="none" w:sz="0" w:space="0" w:color="auto" w:frame="1"/>
          </w:rPr>
          <w:t>http://www.flu.gov/planning-preparedness/business/index.html</w:t>
        </w:r>
      </w:hyperlink>
      <w:r w:rsidRPr="00EF6C8D">
        <w:rPr>
          <w:rFonts w:eastAsia="Times New Roman" w:cstheme="minorHAnsi"/>
          <w:color w:val="737373"/>
          <w:u w:val="single"/>
          <w:bdr w:val="none" w:sz="0" w:space="0" w:color="auto" w:frame="1"/>
        </w:rPr>
        <w:t>.</w:t>
      </w:r>
    </w:p>
    <w:p w14:paraId="7E8053BB" w14:textId="77777777" w:rsidR="00F44300" w:rsidRDefault="00F44300" w:rsidP="00E978DD">
      <w:pPr>
        <w:shd w:val="clear" w:color="auto" w:fill="FFFFFF"/>
        <w:spacing w:line="240" w:lineRule="atLeast"/>
        <w:textAlignment w:val="baseline"/>
        <w:rPr>
          <w:rFonts w:eastAsia="Times New Roman" w:cstheme="minorHAnsi"/>
        </w:rPr>
      </w:pPr>
    </w:p>
    <w:p w14:paraId="1C1919A9"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Labor, Occupational Safety and Health Administration. "Safety and Health Topics: Pandemic Influenza." Available at </w:t>
      </w:r>
      <w:hyperlink r:id="rId193" w:tgtFrame="_blank" w:tooltip="http://www.osha.gov/dsg/topics/pandemicflu/index.html" w:history="1">
        <w:r w:rsidRPr="00EF6C8D">
          <w:rPr>
            <w:rFonts w:eastAsia="Times New Roman" w:cstheme="minorHAnsi"/>
            <w:color w:val="0F88B8"/>
            <w:u w:val="single"/>
            <w:bdr w:val="none" w:sz="0" w:space="0" w:color="auto" w:frame="1"/>
          </w:rPr>
          <w:t>http://www.osha.gov/dsg/topics/pandemicflu/index.html</w:t>
        </w:r>
      </w:hyperlink>
      <w:r w:rsidRPr="00EF6C8D">
        <w:rPr>
          <w:rFonts w:eastAsia="Times New Roman" w:cstheme="minorHAnsi"/>
          <w:color w:val="737373"/>
        </w:rPr>
        <w:t>.</w:t>
      </w:r>
    </w:p>
    <w:p w14:paraId="09FA16A1" w14:textId="77777777" w:rsidR="00F44300" w:rsidRDefault="00F44300" w:rsidP="00E978DD">
      <w:pPr>
        <w:shd w:val="clear" w:color="auto" w:fill="FFFFFF"/>
        <w:spacing w:line="240" w:lineRule="atLeast"/>
        <w:textAlignment w:val="baseline"/>
        <w:rPr>
          <w:rFonts w:eastAsia="Times New Roman" w:cstheme="minorHAnsi"/>
        </w:rPr>
      </w:pPr>
    </w:p>
    <w:p w14:paraId="5A42D4B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U.S. Department of Labor Office of Disability Employment Policy. "Disability Employment Policy Resources by Topic: Emergency Preparedness." Available at </w:t>
      </w:r>
      <w:hyperlink r:id="rId194" w:tgtFrame="_blank" w:tooltip="http://www.dol.gov/odep/topics/EmergencyPreparedness.htm" w:history="1">
        <w:r w:rsidRPr="00EF6C8D">
          <w:rPr>
            <w:rFonts w:eastAsia="Times New Roman" w:cstheme="minorHAnsi"/>
            <w:color w:val="0F88B8"/>
            <w:u w:val="single"/>
            <w:bdr w:val="none" w:sz="0" w:space="0" w:color="auto" w:frame="1"/>
          </w:rPr>
          <w:t>http://www.dol.gov/odep/topics/EmergencyPreparedness.htm</w:t>
        </w:r>
      </w:hyperlink>
      <w:r w:rsidRPr="00EF6C8D">
        <w:rPr>
          <w:rFonts w:eastAsia="Times New Roman" w:cstheme="minorHAnsi"/>
          <w:color w:val="737373"/>
          <w:u w:val="single"/>
          <w:bdr w:val="none" w:sz="0" w:space="0" w:color="auto" w:frame="1"/>
        </w:rPr>
        <w:t>.</w:t>
      </w:r>
    </w:p>
    <w:p w14:paraId="50E81D9E" w14:textId="77777777" w:rsidR="00F44300" w:rsidRDefault="00F44300" w:rsidP="00E978DD">
      <w:pPr>
        <w:shd w:val="clear" w:color="auto" w:fill="FFFFFF"/>
        <w:spacing w:line="240" w:lineRule="atLeast"/>
        <w:textAlignment w:val="baseline"/>
        <w:rPr>
          <w:rFonts w:eastAsia="Times New Roman" w:cstheme="minorHAnsi"/>
        </w:rPr>
      </w:pPr>
    </w:p>
    <w:p w14:paraId="73C510C2"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Equal Employment Opportunity Commission. "Fact Sheet on Obtaining and Using Employee Medical Information as Part of Emergency Evacuation Procedures." Available at </w:t>
      </w:r>
      <w:hyperlink r:id="rId195" w:anchor="N_2" w:tgtFrame="_blank" w:tooltip="http://eeoc.gov/facts/evacuation.html#N_2" w:history="1">
        <w:r w:rsidRPr="00EF6C8D">
          <w:rPr>
            <w:rFonts w:eastAsia="Times New Roman" w:cstheme="minorHAnsi"/>
            <w:color w:val="0F88B8"/>
            <w:u w:val="single"/>
            <w:bdr w:val="none" w:sz="0" w:space="0" w:color="auto" w:frame="1"/>
          </w:rPr>
          <w:t>http://eeoc.gov/facts/evacuation.html#N_2</w:t>
        </w:r>
      </w:hyperlink>
      <w:r w:rsidRPr="00EF6C8D">
        <w:rPr>
          <w:rFonts w:eastAsia="Times New Roman" w:cstheme="minorHAnsi"/>
          <w:color w:val="737373"/>
        </w:rPr>
        <w:t>.</w:t>
      </w:r>
    </w:p>
    <w:p w14:paraId="6A20E4ED" w14:textId="77777777" w:rsidR="00F44300" w:rsidRDefault="00F44300" w:rsidP="00E978DD">
      <w:pPr>
        <w:shd w:val="clear" w:color="auto" w:fill="FFFFFF"/>
        <w:spacing w:line="240" w:lineRule="atLeast"/>
        <w:textAlignment w:val="baseline"/>
        <w:rPr>
          <w:rFonts w:eastAsia="Times New Roman" w:cstheme="minorHAnsi"/>
        </w:rPr>
      </w:pPr>
    </w:p>
    <w:p w14:paraId="0AFB3B15"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rPr>
        <w:t>U.S. Equal Employment Opportunity Commission. "Pandemic Preparedness in the Workplace and the Americans with Disabilities Act." Available at </w:t>
      </w:r>
      <w:hyperlink r:id="rId196" w:tgtFrame="_blank" w:tooltip="http://www.eeoc.gov/facts/pandemic_flu.html" w:history="1">
        <w:r w:rsidRPr="00EF6C8D">
          <w:rPr>
            <w:rFonts w:eastAsia="Times New Roman" w:cstheme="minorHAnsi"/>
            <w:u w:val="single"/>
            <w:bdr w:val="none" w:sz="0" w:space="0" w:color="auto" w:frame="1"/>
          </w:rPr>
          <w:t>http://www.eeoc.gov/facts/pandemic_flu.html</w:t>
        </w:r>
      </w:hyperlink>
      <w:r w:rsidRPr="00EF6C8D">
        <w:rPr>
          <w:rFonts w:eastAsia="Times New Roman" w:cstheme="minorHAnsi"/>
        </w:rPr>
        <w:t>.</w:t>
      </w:r>
    </w:p>
    <w:p w14:paraId="63164614"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688B68F8"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Civil Liberties</w:t>
      </w:r>
    </w:p>
    <w:p w14:paraId="4746EE06"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197" w:anchor="Fourth-Amendment" w:history="1">
        <w:r w:rsidRPr="00EF6C8D">
          <w:rPr>
            <w:rFonts w:eastAsia="Times New Roman" w:cstheme="minorHAnsi"/>
            <w:i/>
            <w:iCs/>
            <w:color w:val="0F88B8"/>
            <w:u w:val="single"/>
            <w:bdr w:val="none" w:sz="0" w:space="0" w:color="auto" w:frame="1"/>
          </w:rPr>
          <w:t>Fourth Amendment</w:t>
        </w:r>
      </w:hyperlink>
      <w:r w:rsidRPr="00EF6C8D">
        <w:rPr>
          <w:rFonts w:eastAsia="Times New Roman" w:cstheme="minorHAnsi"/>
          <w:color w:val="737373"/>
        </w:rPr>
        <w:t>"</w:t>
      </w:r>
    </w:p>
    <w:p w14:paraId="072646A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198" w:anchor="Individual-Rights" w:history="1">
        <w:r w:rsidRPr="00EF6C8D">
          <w:rPr>
            <w:rFonts w:eastAsia="Times New Roman" w:cstheme="minorHAnsi"/>
            <w:i/>
            <w:iCs/>
            <w:color w:val="0F88B8"/>
            <w:u w:val="single"/>
            <w:bdr w:val="none" w:sz="0" w:space="0" w:color="auto" w:frame="1"/>
          </w:rPr>
          <w:t>Individual Rights vs. Police Powers</w:t>
        </w:r>
      </w:hyperlink>
      <w:r w:rsidRPr="00EF6C8D">
        <w:rPr>
          <w:rFonts w:eastAsia="Times New Roman" w:cstheme="minorHAnsi"/>
          <w:color w:val="737373"/>
        </w:rPr>
        <w:t>"</w:t>
      </w:r>
    </w:p>
    <w:p w14:paraId="627152C7"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30817B8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Constitution</w:t>
      </w:r>
    </w:p>
    <w:p w14:paraId="726CBEB6"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Constitution. Available at </w:t>
      </w:r>
      <w:hyperlink r:id="rId199" w:tgtFrame="_blank" w:tooltip="http://www.law.cornell.edu/constitution" w:history="1">
        <w:r w:rsidRPr="00EF6C8D">
          <w:rPr>
            <w:rFonts w:eastAsia="Times New Roman" w:cstheme="minorHAnsi"/>
            <w:color w:val="0F88B8"/>
            <w:u w:val="single"/>
            <w:bdr w:val="none" w:sz="0" w:space="0" w:color="auto" w:frame="1"/>
          </w:rPr>
          <w:t>http://www.law.cornell.edu/constitution</w:t>
        </w:r>
      </w:hyperlink>
      <w:r w:rsidRPr="00EF6C8D">
        <w:rPr>
          <w:rFonts w:eastAsia="Times New Roman" w:cstheme="minorHAnsi"/>
          <w:color w:val="737373"/>
        </w:rPr>
        <w:t>.</w:t>
      </w:r>
    </w:p>
    <w:p w14:paraId="50DD2FB2"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07BA8F0"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330CE0E5"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and U.S. Department of Justice. "Fusion Center Privacy Policy Development - Privacy Civil Rights, and Civil Liberties Policy Template." April 2010. Available for download at </w:t>
      </w:r>
      <w:hyperlink r:id="rId200" w:tgtFrame="_blank" w:tooltip="http://www.it.ojp.gov/docdownloader.aspx?ddid=1269" w:history="1">
        <w:r w:rsidRPr="00EF6C8D">
          <w:rPr>
            <w:rFonts w:eastAsia="Times New Roman" w:cstheme="minorHAnsi"/>
            <w:color w:val="0F88B8"/>
            <w:u w:val="single"/>
            <w:bdr w:val="none" w:sz="0" w:space="0" w:color="auto" w:frame="1"/>
          </w:rPr>
          <w:t>http://www.it.ojp.gov/docdownloader.aspx?ddid=1269</w:t>
        </w:r>
      </w:hyperlink>
      <w:r w:rsidRPr="00EF6C8D">
        <w:rPr>
          <w:rFonts w:eastAsia="Times New Roman" w:cstheme="minorHAnsi"/>
          <w:color w:val="737373"/>
        </w:rPr>
        <w:t>.</w:t>
      </w:r>
    </w:p>
    <w:p w14:paraId="101C85A4" w14:textId="77777777" w:rsidR="00F44300" w:rsidRDefault="00F44300" w:rsidP="00E978DD">
      <w:pPr>
        <w:shd w:val="clear" w:color="auto" w:fill="FFFFFF"/>
        <w:spacing w:line="240" w:lineRule="atLeast"/>
        <w:textAlignment w:val="baseline"/>
        <w:rPr>
          <w:rFonts w:eastAsia="Times New Roman" w:cstheme="minorHAnsi"/>
        </w:rPr>
      </w:pPr>
    </w:p>
    <w:p w14:paraId="313F8CE4"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German, M. and Stanley, J. "Fusion Center Update." American Civil Liberties Union. July 2008. Available at</w:t>
      </w:r>
      <w:r w:rsidRPr="00EF6C8D">
        <w:rPr>
          <w:rFonts w:eastAsia="Times New Roman" w:cstheme="minorHAnsi"/>
          <w:color w:val="737373"/>
        </w:rPr>
        <w:t> </w:t>
      </w:r>
      <w:hyperlink r:id="rId201" w:tgtFrame="_blank" w:tooltip="http://www.aclu.org/files/pdfs/privacy/fusion_update_20080729.pdf" w:history="1">
        <w:r w:rsidRPr="00EF6C8D">
          <w:rPr>
            <w:rFonts w:eastAsia="Times New Roman" w:cstheme="minorHAnsi"/>
            <w:color w:val="0F88B8"/>
            <w:u w:val="single"/>
            <w:bdr w:val="none" w:sz="0" w:space="0" w:color="auto" w:frame="1"/>
          </w:rPr>
          <w:t>http://www.aclu.org/files/pdfs/privacy/fusion_update_20080729.pdf</w:t>
        </w:r>
      </w:hyperlink>
      <w:r w:rsidRPr="00EF6C8D">
        <w:rPr>
          <w:rFonts w:eastAsia="Times New Roman" w:cstheme="minorHAnsi"/>
          <w:color w:val="737373"/>
        </w:rPr>
        <w:t>.</w:t>
      </w:r>
    </w:p>
    <w:p w14:paraId="6E0CD606"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7D7BA42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Coordinated Response to Emergencies</w:t>
      </w:r>
    </w:p>
    <w:p w14:paraId="0B5575A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202" w:anchor="Law-Enforcement" w:history="1">
        <w:r w:rsidRPr="00EF6C8D">
          <w:rPr>
            <w:rFonts w:eastAsia="Times New Roman" w:cstheme="minorHAnsi"/>
            <w:i/>
            <w:iCs/>
            <w:color w:val="0F88B8"/>
            <w:u w:val="single"/>
            <w:bdr w:val="none" w:sz="0" w:space="0" w:color="auto" w:frame="1"/>
          </w:rPr>
          <w:t>Law Enforcement</w:t>
        </w:r>
      </w:hyperlink>
      <w:r w:rsidRPr="00EF6C8D">
        <w:rPr>
          <w:rFonts w:eastAsia="Times New Roman" w:cstheme="minorHAnsi"/>
          <w:color w:val="737373"/>
        </w:rPr>
        <w:t>"</w:t>
      </w:r>
    </w:p>
    <w:p w14:paraId="688FBA3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CE7F0C6"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190CD47E"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FEMA, U.S. Department of Homeland Security. "National Response Framework." December 2008. Available at </w:t>
      </w:r>
      <w:hyperlink r:id="rId203" w:tgtFrame="_blank" w:tooltip="http://www.fema.gov/pdf/emergency/nrf/nrf-core.pdf" w:history="1">
        <w:r w:rsidRPr="00EF6C8D">
          <w:rPr>
            <w:rFonts w:eastAsia="Times New Roman" w:cstheme="minorHAnsi"/>
            <w:color w:val="0F88B8"/>
            <w:u w:val="single"/>
            <w:bdr w:val="none" w:sz="0" w:space="0" w:color="auto" w:frame="1"/>
          </w:rPr>
          <w:t>http://www.fema.gov/pdf/emergency/nrf/nrf-core.pdf</w:t>
        </w:r>
      </w:hyperlink>
      <w:r w:rsidRPr="00EF6C8D">
        <w:rPr>
          <w:rFonts w:eastAsia="Times New Roman" w:cstheme="minorHAnsi"/>
          <w:color w:val="737373"/>
        </w:rPr>
        <w:t>.</w:t>
      </w:r>
    </w:p>
    <w:p w14:paraId="1C40A34B"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76C52C9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054C8D7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and U.S. Department of Justice, Bureau of Justice Assistance. "A Framework for Improving Cross-Sector Coordination for Emergency Preparedness and Response: Action Steps for Public Health, Law Enforcement, the Judiciary and Corrections." July 2008. Available at </w:t>
      </w:r>
      <w:hyperlink r:id="rId204" w:tgtFrame="_blank" w:tooltip="http://cdc.gov/phlp/docs/CDC_BJA_Framework.pdf" w:history="1">
        <w:r w:rsidRPr="00EF6C8D">
          <w:rPr>
            <w:rFonts w:eastAsia="Times New Roman" w:cstheme="minorHAnsi"/>
            <w:color w:val="0F88B8"/>
            <w:u w:val="single"/>
            <w:bdr w:val="none" w:sz="0" w:space="0" w:color="auto" w:frame="1"/>
          </w:rPr>
          <w:t>http://cdc.gov/phlp/docs/CDC_BJA_Framework.pdf</w:t>
        </w:r>
      </w:hyperlink>
      <w:r w:rsidRPr="00EF6C8D">
        <w:rPr>
          <w:rFonts w:eastAsia="Times New Roman" w:cstheme="minorHAnsi"/>
          <w:color w:val="737373"/>
        </w:rPr>
        <w:t>.</w:t>
      </w:r>
    </w:p>
    <w:p w14:paraId="64DC3518" w14:textId="77777777" w:rsidR="00F44300" w:rsidRDefault="00F44300" w:rsidP="00E978DD">
      <w:pPr>
        <w:shd w:val="clear" w:color="auto" w:fill="FFFFFF"/>
        <w:spacing w:line="240" w:lineRule="atLeast"/>
        <w:textAlignment w:val="baseline"/>
        <w:rPr>
          <w:rFonts w:eastAsia="Times New Roman" w:cstheme="minorHAnsi"/>
        </w:rPr>
      </w:pPr>
    </w:p>
    <w:p w14:paraId="6EEDC74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and U.S. Department of Justice, Bureau of Justice Assistance. "Joint Public Health - Law Enforcement Investigation: Model Memorandum of Understanding." July 2008. Available at </w:t>
      </w:r>
      <w:hyperlink r:id="rId205" w:tgtFrame="_blank" w:tooltip="http://www.nasemso.org/Projects/DomesticPreparedness/documents/JIMOUFinal.pdf" w:history="1">
        <w:r w:rsidRPr="00EF6C8D">
          <w:rPr>
            <w:rFonts w:eastAsia="Times New Roman" w:cstheme="minorHAnsi"/>
            <w:color w:val="0F88B8"/>
            <w:u w:val="single"/>
            <w:bdr w:val="none" w:sz="0" w:space="0" w:color="auto" w:frame="1"/>
          </w:rPr>
          <w:t>http://www.nasemso.org/Projects/DomesticPreparedness/documents/JIMOUFinal.pdf</w:t>
        </w:r>
      </w:hyperlink>
      <w:r w:rsidRPr="00EF6C8D">
        <w:rPr>
          <w:rFonts w:eastAsia="Times New Roman" w:cstheme="minorHAnsi"/>
          <w:color w:val="737373"/>
        </w:rPr>
        <w:t>.</w:t>
      </w:r>
    </w:p>
    <w:p w14:paraId="3302449C"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790EE478"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Critical Infrastructure Information Act</w:t>
      </w:r>
    </w:p>
    <w:p w14:paraId="4B5FBA9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32861B62"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Critical Infrastructure Information Act of 2002. Pub. L. 107-296, codified at 6 U.S.C. 131 </w:t>
      </w:r>
      <w:r w:rsidRPr="00EF6C8D">
        <w:rPr>
          <w:rFonts w:eastAsia="Times New Roman" w:cstheme="minorHAnsi"/>
          <w:i/>
          <w:iCs/>
          <w:bdr w:val="none" w:sz="0" w:space="0" w:color="auto" w:frame="1"/>
        </w:rPr>
        <w:t>et seq</w:t>
      </w:r>
      <w:r w:rsidRPr="00EF6C8D">
        <w:rPr>
          <w:rFonts w:eastAsia="Times New Roman" w:cstheme="minorHAnsi"/>
        </w:rPr>
        <w:t>. Available at </w:t>
      </w:r>
      <w:hyperlink r:id="rId206" w:tgtFrame="_blank" w:tooltip="http://www.dhs.gov/sites/default/files/publications/CII-Act-508.pdf" w:history="1">
        <w:r w:rsidRPr="00EF6C8D">
          <w:rPr>
            <w:rFonts w:eastAsia="Times New Roman" w:cstheme="minorHAnsi"/>
            <w:color w:val="0F88B8"/>
            <w:u w:val="single"/>
            <w:bdr w:val="none" w:sz="0" w:space="0" w:color="auto" w:frame="1"/>
          </w:rPr>
          <w:t>http://www.dhs.gov/sites/default/files/publications/CII-Act-508.pdf</w:t>
        </w:r>
      </w:hyperlink>
      <w:r w:rsidRPr="00EF6C8D">
        <w:rPr>
          <w:rFonts w:eastAsia="Times New Roman" w:cstheme="minorHAnsi"/>
          <w:color w:val="737373"/>
        </w:rPr>
        <w:t>.</w:t>
      </w:r>
    </w:p>
    <w:p w14:paraId="5DD540FD"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92B0133"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61D9F2D1"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"Protected Critical Infrastructure Information (PCII) Program." Available at </w:t>
      </w:r>
      <w:hyperlink r:id="rId207" w:tgtFrame="_blank" w:tooltip="http://www.dhs.gov/protected-critical-infrastructure-information-pcii-program" w:history="1">
        <w:r w:rsidRPr="00EF6C8D">
          <w:rPr>
            <w:rFonts w:eastAsia="Times New Roman" w:cstheme="minorHAnsi"/>
            <w:color w:val="0F88B8"/>
            <w:u w:val="single"/>
            <w:bdr w:val="none" w:sz="0" w:space="0" w:color="auto" w:frame="1"/>
          </w:rPr>
          <w:t>http://www.dhs.gov/protected-critical-infrastructure-information-pcii-program</w:t>
        </w:r>
      </w:hyperlink>
      <w:r w:rsidRPr="00EF6C8D">
        <w:rPr>
          <w:rFonts w:eastAsia="Times New Roman" w:cstheme="minorHAnsi"/>
          <w:color w:val="737373"/>
        </w:rPr>
        <w:t>.</w:t>
      </w:r>
    </w:p>
    <w:p w14:paraId="01452E58"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560FA774"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De-Identification</w:t>
      </w:r>
    </w:p>
    <w:p w14:paraId="319803E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208" w:anchor="HIPAA" w:history="1">
        <w:r w:rsidRPr="00EF6C8D">
          <w:rPr>
            <w:rFonts w:eastAsia="Times New Roman" w:cstheme="minorHAnsi"/>
            <w:i/>
            <w:iCs/>
            <w:color w:val="0F88B8"/>
            <w:u w:val="single"/>
            <w:bdr w:val="none" w:sz="0" w:space="0" w:color="auto" w:frame="1"/>
          </w:rPr>
          <w:t>Health Insurance Portability and Accountability Act (HIPAA)</w:t>
        </w:r>
      </w:hyperlink>
      <w:r w:rsidRPr="00EF6C8D">
        <w:rPr>
          <w:rFonts w:eastAsia="Times New Roman" w:cstheme="minorHAnsi"/>
          <w:color w:val="737373"/>
        </w:rPr>
        <w:t>"</w:t>
      </w:r>
    </w:p>
    <w:p w14:paraId="2FDA966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 </w:t>
      </w:r>
    </w:p>
    <w:p w14:paraId="6FC8ACF4"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Duty to Warn</w:t>
      </w:r>
    </w:p>
    <w:p w14:paraId="00A00E0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209" w:anchor="Ethics" w:history="1">
        <w:r w:rsidRPr="00EF6C8D">
          <w:rPr>
            <w:rFonts w:eastAsia="Times New Roman" w:cstheme="minorHAnsi"/>
            <w:i/>
            <w:iCs/>
            <w:color w:val="0F88B8"/>
            <w:u w:val="single"/>
            <w:bdr w:val="none" w:sz="0" w:space="0" w:color="auto" w:frame="1"/>
          </w:rPr>
          <w:t>Ethics, Data Use, and Disclosure</w:t>
        </w:r>
      </w:hyperlink>
      <w:r w:rsidRPr="00EF6C8D">
        <w:rPr>
          <w:rFonts w:eastAsia="Times New Roman" w:cstheme="minorHAnsi"/>
          <w:color w:val="737373"/>
        </w:rPr>
        <w:t>"</w:t>
      </w:r>
    </w:p>
    <w:p w14:paraId="17478A26"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 </w:t>
      </w:r>
    </w:p>
    <w:p w14:paraId="2E8B989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Electronic Health Information</w:t>
      </w:r>
    </w:p>
    <w:p w14:paraId="3C69B475"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3E3CB54C"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3A03FD07"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Office of National Coordinator for Health Information Technology Health Information Technology webpage. Available at </w:t>
      </w:r>
      <w:hyperlink r:id="rId210" w:tgtFrame="_blank" w:tooltip="http://www.healthit.gov/" w:history="1">
        <w:r w:rsidRPr="00EF6C8D">
          <w:rPr>
            <w:rFonts w:eastAsia="Times New Roman" w:cstheme="minorHAnsi"/>
            <w:color w:val="0F88B8"/>
            <w:u w:val="single"/>
            <w:bdr w:val="none" w:sz="0" w:space="0" w:color="auto" w:frame="1"/>
          </w:rPr>
          <w:t>http://www.healthit.gov/</w:t>
        </w:r>
      </w:hyperlink>
      <w:r w:rsidRPr="00EF6C8D">
        <w:rPr>
          <w:rFonts w:eastAsia="Times New Roman" w:cstheme="minorHAnsi"/>
          <w:color w:val="737373"/>
        </w:rPr>
        <w:t>.  </w:t>
      </w:r>
    </w:p>
    <w:p w14:paraId="460EB5E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3D65603F"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752A17FE"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"Meaningful Use." Available at </w:t>
      </w:r>
      <w:hyperlink r:id="rId211" w:tgtFrame="_blank" w:tooltip="http://www.cdc.gov/ehrmeaningfuluse" w:history="1">
        <w:r w:rsidRPr="00EF6C8D">
          <w:rPr>
            <w:rFonts w:eastAsia="Times New Roman" w:cstheme="minorHAnsi"/>
            <w:color w:val="0F88B8"/>
            <w:u w:val="single"/>
            <w:bdr w:val="none" w:sz="0" w:space="0" w:color="auto" w:frame="1"/>
          </w:rPr>
          <w:t>http://www.cdc.gov/ehrmeaningfuluse</w:t>
        </w:r>
      </w:hyperlink>
      <w:r w:rsidRPr="00EF6C8D">
        <w:rPr>
          <w:rFonts w:eastAsia="Times New Roman" w:cstheme="minorHAnsi"/>
          <w:color w:val="737373"/>
        </w:rPr>
        <w:t>.</w:t>
      </w:r>
    </w:p>
    <w:p w14:paraId="6AE75392" w14:textId="77777777" w:rsidR="00F44300" w:rsidRDefault="00F44300" w:rsidP="00E978DD">
      <w:pPr>
        <w:shd w:val="clear" w:color="auto" w:fill="FFFFFF"/>
        <w:spacing w:line="240" w:lineRule="atLeast"/>
        <w:textAlignment w:val="baseline"/>
        <w:rPr>
          <w:rFonts w:eastAsia="Times New Roman" w:cstheme="minorHAnsi"/>
        </w:rPr>
      </w:pPr>
    </w:p>
    <w:p w14:paraId="477E023F"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"Health Information Technology." Available at </w:t>
      </w:r>
      <w:hyperlink r:id="rId212" w:tgtFrame="_blank" w:tooltip="http://www.hhs.gov/ocr/privacy/hipaa/understanding/special/healthit/index.html" w:history="1">
        <w:r w:rsidRPr="00EF6C8D">
          <w:rPr>
            <w:rFonts w:eastAsia="Times New Roman" w:cstheme="minorHAnsi"/>
            <w:color w:val="0F88B8"/>
            <w:u w:val="single"/>
            <w:bdr w:val="none" w:sz="0" w:space="0" w:color="auto" w:frame="1"/>
          </w:rPr>
          <w:t>http://www.hhs.gov/ocr/privacy/hipaa/understanding/special/healthit/index.html</w:t>
        </w:r>
      </w:hyperlink>
      <w:r w:rsidRPr="00EF6C8D">
        <w:rPr>
          <w:rFonts w:eastAsia="Times New Roman" w:cstheme="minorHAnsi"/>
          <w:color w:val="737373"/>
        </w:rPr>
        <w:t>.</w:t>
      </w:r>
    </w:p>
    <w:p w14:paraId="48290E9E" w14:textId="77777777" w:rsidR="00F44300" w:rsidRDefault="00F44300" w:rsidP="00E978DD">
      <w:pPr>
        <w:shd w:val="clear" w:color="auto" w:fill="FFFFFF"/>
        <w:spacing w:line="240" w:lineRule="atLeast"/>
        <w:textAlignment w:val="baseline"/>
        <w:rPr>
          <w:rFonts w:eastAsia="Times New Roman" w:cstheme="minorHAnsi"/>
        </w:rPr>
      </w:pPr>
    </w:p>
    <w:p w14:paraId="6A22942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Office of the National Coordinator for Health Information Technology. "What is meaningful use?" Available at </w:t>
      </w:r>
      <w:hyperlink r:id="rId213" w:tgtFrame="_blank" w:tooltip="http://www.healthit.gov/policy-researchers-implementers/meaningful-use" w:history="1">
        <w:r w:rsidRPr="00EF6C8D">
          <w:rPr>
            <w:rFonts w:eastAsia="Times New Roman" w:cstheme="minorHAnsi"/>
            <w:color w:val="0F88B8"/>
            <w:u w:val="single"/>
            <w:bdr w:val="none" w:sz="0" w:space="0" w:color="auto" w:frame="1"/>
          </w:rPr>
          <w:t>http://www.healthit.gov/policy-researchers-implementers/meaningful-use</w:t>
        </w:r>
      </w:hyperlink>
      <w:r w:rsidRPr="00EF6C8D">
        <w:rPr>
          <w:rFonts w:eastAsia="Times New Roman" w:cstheme="minorHAnsi"/>
          <w:color w:val="737373"/>
        </w:rPr>
        <w:t>.</w:t>
      </w:r>
    </w:p>
    <w:p w14:paraId="4B9B2E7B"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1B52FE00"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Employee Health Information</w:t>
      </w:r>
    </w:p>
    <w:p w14:paraId="59E70D41"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See also </w:t>
      </w:r>
      <w:r w:rsidRPr="00EF6C8D">
        <w:rPr>
          <w:rFonts w:eastAsia="Times New Roman" w:cstheme="minorHAnsi"/>
          <w:i/>
          <w:iCs/>
          <w:color w:val="737373"/>
          <w:bdr w:val="none" w:sz="0" w:space="0" w:color="auto" w:frame="1"/>
        </w:rPr>
        <w:t>"</w:t>
      </w:r>
      <w:hyperlink r:id="rId214" w:anchor="ADA" w:history="1">
        <w:r w:rsidRPr="00EF6C8D">
          <w:rPr>
            <w:rFonts w:eastAsia="Times New Roman" w:cstheme="minorHAnsi"/>
            <w:i/>
            <w:iCs/>
            <w:color w:val="0F88B8"/>
            <w:u w:val="single"/>
            <w:bdr w:val="none" w:sz="0" w:space="0" w:color="auto" w:frame="1"/>
          </w:rPr>
          <w:t>Americans with Disabilities Act</w:t>
        </w:r>
      </w:hyperlink>
      <w:r w:rsidRPr="00EF6C8D">
        <w:rPr>
          <w:rFonts w:eastAsia="Times New Roman" w:cstheme="minorHAnsi"/>
          <w:i/>
          <w:iCs/>
          <w:color w:val="737373"/>
          <w:bdr w:val="none" w:sz="0" w:space="0" w:color="auto" w:frame="1"/>
        </w:rPr>
        <w:t>"</w:t>
      </w:r>
    </w:p>
    <w:p w14:paraId="0FF46CDA"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F00B2CD"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48D8208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HIPAA Collaborative of Wisconsin Privacy Taskforce. "Management of Employee Health Records Whitepaper." 2006. Available for download at </w:t>
      </w:r>
      <w:hyperlink r:id="rId215" w:tgtFrame="_blank" w:tooltip="http://hipaacow.org/wp-content/uploads/2013/04/2013-Occupational-Health-Services-Whitepaper-4-15-13-FINAL.doc" w:history="1">
        <w:r w:rsidRPr="00EF6C8D">
          <w:rPr>
            <w:rFonts w:eastAsia="Times New Roman" w:cstheme="minorHAnsi"/>
            <w:color w:val="0F88B8"/>
            <w:u w:val="single"/>
            <w:bdr w:val="none" w:sz="0" w:space="0" w:color="auto" w:frame="1"/>
          </w:rPr>
          <w:t>http://hipaacow.org/wp-content/uploads/2013/04/2013-Occupational-Health-Services-Whitepaper-4-15-13-FINAL.doc</w:t>
        </w:r>
      </w:hyperlink>
      <w:r w:rsidRPr="00EF6C8D">
        <w:rPr>
          <w:rFonts w:eastAsia="Times New Roman" w:cstheme="minorHAnsi"/>
          <w:color w:val="737373"/>
        </w:rPr>
        <w:t>.  </w:t>
      </w:r>
    </w:p>
    <w:p w14:paraId="26642AB7" w14:textId="77777777" w:rsidR="00F44300" w:rsidRDefault="00F44300" w:rsidP="00E978DD">
      <w:pPr>
        <w:shd w:val="clear" w:color="auto" w:fill="FFFFFF"/>
        <w:spacing w:line="240" w:lineRule="atLeast"/>
        <w:textAlignment w:val="baseline"/>
        <w:rPr>
          <w:rFonts w:eastAsia="Times New Roman" w:cstheme="minorHAnsi"/>
        </w:rPr>
      </w:pPr>
    </w:p>
    <w:p w14:paraId="6BC7823F"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U.S. Equal Employment Opportunity Commission. "The ADA: Your Employment Rights as an Individual </w:t>
      </w:r>
      <w:proofErr w:type="gramStart"/>
      <w:r w:rsidRPr="00EF6C8D">
        <w:rPr>
          <w:rFonts w:eastAsia="Times New Roman" w:cstheme="minorHAnsi"/>
        </w:rPr>
        <w:t>With</w:t>
      </w:r>
      <w:proofErr w:type="gramEnd"/>
      <w:r w:rsidRPr="00EF6C8D">
        <w:rPr>
          <w:rFonts w:eastAsia="Times New Roman" w:cstheme="minorHAnsi"/>
        </w:rPr>
        <w:t xml:space="preserve"> a Disability." Available at </w:t>
      </w:r>
      <w:hyperlink r:id="rId216" w:tgtFrame="_blank" w:tooltip="http://www.eeoc.gov/facts/ada18.html" w:history="1">
        <w:r w:rsidRPr="00EF6C8D">
          <w:rPr>
            <w:rFonts w:eastAsia="Times New Roman" w:cstheme="minorHAnsi"/>
            <w:color w:val="0F88B8"/>
            <w:u w:val="single"/>
            <w:bdr w:val="none" w:sz="0" w:space="0" w:color="auto" w:frame="1"/>
          </w:rPr>
          <w:t>http://www.eeoc.gov/facts/ada18.html</w:t>
        </w:r>
      </w:hyperlink>
      <w:r w:rsidRPr="00EF6C8D">
        <w:rPr>
          <w:rFonts w:eastAsia="Times New Roman" w:cstheme="minorHAnsi"/>
          <w:color w:val="737373"/>
          <w:u w:val="single"/>
          <w:bdr w:val="none" w:sz="0" w:space="0" w:color="auto" w:frame="1"/>
        </w:rPr>
        <w:t>.</w:t>
      </w:r>
    </w:p>
    <w:p w14:paraId="5FDCADEF"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0099E30"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Ethics, Data Use, and Disclosure</w:t>
      </w:r>
    </w:p>
    <w:p w14:paraId="7C0674A5"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1EB5DCA6"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Fairchild, A., </w:t>
      </w:r>
      <w:r w:rsidRPr="00EF6C8D">
        <w:rPr>
          <w:rFonts w:eastAsia="Times New Roman" w:cstheme="minorHAnsi"/>
          <w:i/>
          <w:iCs/>
          <w:bdr w:val="none" w:sz="0" w:space="0" w:color="auto" w:frame="1"/>
        </w:rPr>
        <w:t>et al</w:t>
      </w:r>
      <w:r w:rsidRPr="00EF6C8D">
        <w:rPr>
          <w:rFonts w:eastAsia="Times New Roman" w:cstheme="minorHAnsi"/>
        </w:rPr>
        <w:t>. "Public Goods, Private Data: HIV and the History, Ethics, and Uses of Identifiable Public Health Information." Public Health Rep. 2007; 122(Suppl 1): 7-15. Available at </w:t>
      </w:r>
      <w:hyperlink r:id="rId217" w:tgtFrame="_blank" w:tooltip="http://www.ncbi.nlm.nih.gov/pmc/articles/PMC1804110" w:history="1">
        <w:r w:rsidRPr="00EF6C8D">
          <w:rPr>
            <w:rFonts w:eastAsia="Times New Roman" w:cstheme="minorHAnsi"/>
            <w:color w:val="0F88B8"/>
            <w:u w:val="single"/>
            <w:bdr w:val="none" w:sz="0" w:space="0" w:color="auto" w:frame="1"/>
          </w:rPr>
          <w:t>http://www.ncbi.nlm.nih.gov/pmc/articles/PMC1804110</w:t>
        </w:r>
      </w:hyperlink>
      <w:r w:rsidRPr="00EF6C8D">
        <w:rPr>
          <w:rFonts w:eastAsia="Times New Roman" w:cstheme="minorHAnsi"/>
          <w:color w:val="737373"/>
        </w:rPr>
        <w:t>.</w:t>
      </w:r>
    </w:p>
    <w:p w14:paraId="41DE85C6"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10BEE2FC"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lastRenderedPageBreak/>
        <w:t>Family Educational Rights and Privacy Act (FERPA)</w:t>
      </w:r>
    </w:p>
    <w:p w14:paraId="0616A029"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D0B0ABB"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1BA7668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Family Educational Rights and Privacy Act. Pub. L. 93-380, as amended. Codified at 20 U.S.C. § 1232g. Available at </w:t>
      </w:r>
      <w:hyperlink r:id="rId218" w:tgtFrame="_blank" w:tooltip="http://www.gpo.gov/fdsys/pkg/USCODE-2009-title20/pdf/USCODE-2009-title20-chap31-subchapIII-part4-sec1232g.pdf" w:history="1">
        <w:r w:rsidRPr="00EF6C8D">
          <w:rPr>
            <w:rFonts w:eastAsia="Times New Roman" w:cstheme="minorHAnsi"/>
            <w:color w:val="0F88B8"/>
            <w:u w:val="single"/>
            <w:bdr w:val="none" w:sz="0" w:space="0" w:color="auto" w:frame="1"/>
          </w:rPr>
          <w:t>http://www.gpo.gov/fdsys/pkg/USCODE-2009-title20/pdf/USCODE-2009-title20-chap31-subchapIII-part4-sec1232g.pdf</w:t>
        </w:r>
      </w:hyperlink>
      <w:r w:rsidRPr="00EF6C8D">
        <w:rPr>
          <w:rFonts w:eastAsia="Times New Roman" w:cstheme="minorHAnsi"/>
          <w:color w:val="737373"/>
        </w:rPr>
        <w:t>.</w:t>
      </w:r>
    </w:p>
    <w:p w14:paraId="001409AE" w14:textId="77777777" w:rsidR="00F44300" w:rsidRDefault="00F44300" w:rsidP="00E978DD">
      <w:pPr>
        <w:shd w:val="clear" w:color="auto" w:fill="FFFFFF"/>
        <w:spacing w:line="240" w:lineRule="atLeast"/>
        <w:textAlignment w:val="baseline"/>
        <w:rPr>
          <w:rFonts w:eastAsia="Times New Roman" w:cstheme="minorHAnsi"/>
        </w:rPr>
      </w:pPr>
    </w:p>
    <w:p w14:paraId="1BC40F2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Family Educational Rights and Privacy Act Regulations. 34 C.F.R. Part 99. Available at </w:t>
      </w:r>
      <w:hyperlink r:id="rId219" w:tgtFrame="_blank" w:tooltip="http://www.ecfr.gov/cgi-bin/text-idx?c=ecfr&amp;amp;SID=e6995dd27bbb4145f812c2db6cf0198f&amp;amp;tpl=/ecfrbrowse/Title34/34cfr99_main_02.tpl" w:history="1">
        <w:r w:rsidRPr="00EF6C8D">
          <w:rPr>
            <w:rFonts w:eastAsia="Times New Roman" w:cstheme="minorHAnsi"/>
            <w:color w:val="0F88B8"/>
            <w:u w:val="single"/>
            <w:bdr w:val="none" w:sz="0" w:space="0" w:color="auto" w:frame="1"/>
          </w:rPr>
          <w:t>http://www.ecfr.gov/cgi-bin/text-idx?c=ecfr&amp;SID=e6995dd27bbb4145f812c2db6cf0198f&amp;tpl=/ecfrbrowse/Title34/34cfr99_main_02.tpl</w:t>
        </w:r>
      </w:hyperlink>
      <w:r w:rsidRPr="00EF6C8D">
        <w:rPr>
          <w:rFonts w:eastAsia="Times New Roman" w:cstheme="minorHAnsi"/>
          <w:color w:val="737373"/>
        </w:rPr>
        <w:t>.</w:t>
      </w:r>
    </w:p>
    <w:p w14:paraId="4B856AA9" w14:textId="77777777" w:rsidR="00F44300" w:rsidRDefault="00F44300" w:rsidP="00E978DD">
      <w:pPr>
        <w:shd w:val="clear" w:color="auto" w:fill="FFFFFF"/>
        <w:spacing w:line="240" w:lineRule="atLeast"/>
        <w:textAlignment w:val="baseline"/>
        <w:rPr>
          <w:rFonts w:eastAsia="Times New Roman" w:cstheme="minorHAnsi"/>
        </w:rPr>
      </w:pPr>
    </w:p>
    <w:p w14:paraId="5859BEA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76 F.R. 75604. Dec. 2, 2011. Available at </w:t>
      </w:r>
      <w:hyperlink r:id="rId220" w:tgtFrame="_blank" w:tooltip="www.gpo.gov/fdsys/pkg/FR-2011-12-02/pdf/2011-30683.pdf" w:history="1">
        <w:r w:rsidRPr="00EF6C8D">
          <w:rPr>
            <w:rFonts w:eastAsia="Times New Roman" w:cstheme="minorHAnsi"/>
            <w:color w:val="0F88B8"/>
            <w:u w:val="single"/>
            <w:bdr w:val="none" w:sz="0" w:space="0" w:color="auto" w:frame="1"/>
          </w:rPr>
          <w:t>www.gpo.gov/fdsys/pkg/FR-2011-12-02/pdf/2011-30683.pdf</w:t>
        </w:r>
      </w:hyperlink>
      <w:r w:rsidRPr="00EF6C8D">
        <w:rPr>
          <w:rFonts w:eastAsia="Times New Roman" w:cstheme="minorHAnsi"/>
          <w:color w:val="737373"/>
        </w:rPr>
        <w:t>.</w:t>
      </w:r>
    </w:p>
    <w:p w14:paraId="05F487D5"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110BA47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Guidance Documents</w:t>
      </w:r>
    </w:p>
    <w:p w14:paraId="06B1118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and U.S. Department of Education. "Joint Guidance on the Application of the Family Educational Rights and Privacy Act and the Health Insurance Portability and Accountability Act of 1996 to Student Health Records." November 2008. Available at </w:t>
      </w:r>
      <w:hyperlink r:id="rId221" w:tgtFrame="_blank" w:tooltip="http://www2.ed.gov/policy/gen/guid/fpco/doc/ferpa-hipaa-guidance.pdf" w:history="1">
        <w:r w:rsidRPr="00EF6C8D">
          <w:rPr>
            <w:rFonts w:eastAsia="Times New Roman" w:cstheme="minorHAnsi"/>
            <w:color w:val="0F88B8"/>
            <w:u w:val="single"/>
            <w:bdr w:val="none" w:sz="0" w:space="0" w:color="auto" w:frame="1"/>
          </w:rPr>
          <w:t>http://www2.ed.gov/policy/gen/guid/fpco/doc/ferpa-hipaa-guidance.pdf</w:t>
        </w:r>
      </w:hyperlink>
      <w:r w:rsidRPr="00EF6C8D">
        <w:rPr>
          <w:rFonts w:eastAsia="Times New Roman" w:cstheme="minorHAnsi"/>
          <w:color w:val="737373"/>
        </w:rPr>
        <w:t>. </w:t>
      </w:r>
    </w:p>
    <w:p w14:paraId="51FAD0B2"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1E251648"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0FD484E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Act (FERPA)." Available at </w:t>
      </w:r>
      <w:hyperlink r:id="rId222" w:tgtFrame="_blank" w:tooltip="http://www2.ed.gov/policy/gen/guid/fpco/ferpa/index.html" w:history="1">
        <w:r w:rsidRPr="00EF6C8D">
          <w:rPr>
            <w:rFonts w:eastAsia="Times New Roman" w:cstheme="minorHAnsi"/>
            <w:color w:val="0F88B8"/>
            <w:u w:val="single"/>
            <w:bdr w:val="none" w:sz="0" w:space="0" w:color="auto" w:frame="1"/>
          </w:rPr>
          <w:t>http://www2.ed.gov/policy/gen/guid/fpco/ferpa/index.html</w:t>
        </w:r>
      </w:hyperlink>
      <w:r w:rsidRPr="00EF6C8D">
        <w:rPr>
          <w:rFonts w:eastAsia="Times New Roman" w:cstheme="minorHAnsi"/>
          <w:color w:val="737373"/>
        </w:rPr>
        <w:t>.</w:t>
      </w:r>
    </w:p>
    <w:p w14:paraId="66FC377C"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74E98382"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3D670EE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Act and H1N1." October 2009. Available at </w:t>
      </w:r>
      <w:hyperlink r:id="rId223" w:tgtFrame="_blank" w:tooltip="http://www2.ed.gov/policy/gen/guid/fpco/pdf/ferpa-h1n1.pdf" w:history="1">
        <w:r w:rsidRPr="00EF6C8D">
          <w:rPr>
            <w:rFonts w:eastAsia="Times New Roman" w:cstheme="minorHAnsi"/>
            <w:color w:val="0F88B8"/>
            <w:u w:val="single"/>
            <w:bdr w:val="none" w:sz="0" w:space="0" w:color="auto" w:frame="1"/>
          </w:rPr>
          <w:t>http://www2.ed.gov/policy/gen/guid/fpco/pdf/ferpa-h1n1.pdf</w:t>
        </w:r>
      </w:hyperlink>
      <w:r w:rsidRPr="00EF6C8D">
        <w:rPr>
          <w:rFonts w:eastAsia="Times New Roman" w:cstheme="minorHAnsi"/>
          <w:color w:val="737373"/>
        </w:rPr>
        <w:t>.</w:t>
      </w:r>
    </w:p>
    <w:p w14:paraId="35B3BDB6" w14:textId="77777777" w:rsidR="00F44300" w:rsidRDefault="00F44300" w:rsidP="00E978DD">
      <w:pPr>
        <w:shd w:val="clear" w:color="auto" w:fill="FFFFFF"/>
        <w:spacing w:line="240" w:lineRule="atLeast"/>
        <w:textAlignment w:val="baseline"/>
        <w:rPr>
          <w:rFonts w:eastAsia="Times New Roman" w:cstheme="minorHAnsi"/>
        </w:rPr>
      </w:pPr>
    </w:p>
    <w:p w14:paraId="4B81CA61"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Educational Rights and Privacy Act (FERPA) and the Disclosure of Student Information Related to Emergencies and Disasters." June 2010. Available at</w:t>
      </w:r>
      <w:r w:rsidRPr="00EF6C8D">
        <w:rPr>
          <w:rFonts w:eastAsia="Times New Roman" w:cstheme="minorHAnsi"/>
          <w:color w:val="737373"/>
        </w:rPr>
        <w:t> </w:t>
      </w:r>
      <w:hyperlink r:id="rId224" w:tgtFrame="_blank" w:tooltip="http://www2.ed.gov/policy/gen/guid/fpco/pdf/ferpa-disaster-guidance.pdf" w:history="1">
        <w:r w:rsidRPr="00EF6C8D">
          <w:rPr>
            <w:rFonts w:eastAsia="Times New Roman" w:cstheme="minorHAnsi"/>
            <w:color w:val="0F88B8"/>
            <w:u w:val="single"/>
            <w:bdr w:val="none" w:sz="0" w:space="0" w:color="auto" w:frame="1"/>
          </w:rPr>
          <w:t>http://www2.ed.gov/policy/gen/guid/fpco/pdf/ferpa-disaster-guidance.pdf</w:t>
        </w:r>
      </w:hyperlink>
      <w:r w:rsidRPr="00EF6C8D">
        <w:rPr>
          <w:rFonts w:eastAsia="Times New Roman" w:cstheme="minorHAnsi"/>
          <w:color w:val="737373"/>
        </w:rPr>
        <w:t>.</w:t>
      </w:r>
    </w:p>
    <w:p w14:paraId="4D3DCE38" w14:textId="77777777" w:rsidR="00F44300" w:rsidRDefault="00F44300" w:rsidP="00E978DD">
      <w:pPr>
        <w:shd w:val="clear" w:color="auto" w:fill="FFFFFF"/>
        <w:spacing w:line="240" w:lineRule="atLeast"/>
        <w:textAlignment w:val="baseline"/>
        <w:rPr>
          <w:rFonts w:eastAsia="Times New Roman" w:cstheme="minorHAnsi"/>
        </w:rPr>
      </w:pPr>
    </w:p>
    <w:p w14:paraId="571D1229"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Policy Compliance Office. "Letter of Technical Assistance to the Regents of the University of California." Sept. 17, 1999. Available at </w:t>
      </w:r>
      <w:hyperlink r:id="rId225" w:tgtFrame="_blank" w:tooltip="http://www2.ed.gov/policy/gen/guid/fpco/ferpa/library/oakland_ca.html" w:history="1">
        <w:r w:rsidRPr="00EF6C8D">
          <w:rPr>
            <w:rFonts w:eastAsia="Times New Roman" w:cstheme="minorHAnsi"/>
            <w:color w:val="0F88B8"/>
            <w:u w:val="single"/>
            <w:bdr w:val="none" w:sz="0" w:space="0" w:color="auto" w:frame="1"/>
          </w:rPr>
          <w:t>http://www2.ed.gov/policy/gen/guid/fpco/ferpa/library/oakland_ca.html</w:t>
        </w:r>
      </w:hyperlink>
      <w:r w:rsidRPr="00EF6C8D">
        <w:rPr>
          <w:rFonts w:eastAsia="Times New Roman" w:cstheme="minorHAnsi"/>
          <w:color w:val="737373"/>
        </w:rPr>
        <w:t>. </w:t>
      </w:r>
    </w:p>
    <w:p w14:paraId="114E843E" w14:textId="77777777" w:rsidR="00F44300" w:rsidRDefault="00F44300" w:rsidP="00E978DD">
      <w:pPr>
        <w:shd w:val="clear" w:color="auto" w:fill="FFFFFF"/>
        <w:spacing w:line="240" w:lineRule="atLeast"/>
        <w:textAlignment w:val="baseline"/>
        <w:rPr>
          <w:rFonts w:eastAsia="Times New Roman" w:cstheme="minorHAnsi"/>
        </w:rPr>
      </w:pPr>
    </w:p>
    <w:p w14:paraId="0C33EDB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Policy Compliance Office. "Letter to Grossmont-Cuyamaca Community College District (CA) re: Potential Conflict with State Law." Jan. 16, 2004. Available at </w:t>
      </w:r>
      <w:hyperlink r:id="rId226" w:tgtFrame="_blank" w:tooltip="http://www2.ed.gov/policy/gen/guid/fpco/ferpa/library/suarezconflict.html" w:history="1">
        <w:r w:rsidRPr="00EF6C8D">
          <w:rPr>
            <w:rFonts w:eastAsia="Times New Roman" w:cstheme="minorHAnsi"/>
            <w:color w:val="0F88B8"/>
            <w:u w:val="single"/>
            <w:bdr w:val="none" w:sz="0" w:space="0" w:color="auto" w:frame="1"/>
          </w:rPr>
          <w:t>http://www2.ed.gov/policy/gen/guid/fpco/ferpa/library/suarezconflict.html</w:t>
        </w:r>
      </w:hyperlink>
      <w:r w:rsidRPr="00EF6C8D">
        <w:rPr>
          <w:rFonts w:eastAsia="Times New Roman" w:cstheme="minorHAnsi"/>
          <w:color w:val="737373"/>
        </w:rPr>
        <w:t>. </w:t>
      </w:r>
    </w:p>
    <w:p w14:paraId="3F33E30B" w14:textId="77777777" w:rsidR="00F44300" w:rsidRDefault="00F44300" w:rsidP="00E978DD">
      <w:pPr>
        <w:shd w:val="clear" w:color="auto" w:fill="FFFFFF"/>
        <w:spacing w:line="240" w:lineRule="atLeast"/>
        <w:textAlignment w:val="baseline"/>
        <w:rPr>
          <w:rFonts w:eastAsia="Times New Roman" w:cstheme="minorHAnsi"/>
        </w:rPr>
      </w:pPr>
    </w:p>
    <w:p w14:paraId="4499FB1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Education, Family Policy Compliance Office. "Letter to University of New Mexico re: Applicability of FERPA to Health and Other State Reporting Requirements." Nov. 29, 2004. Available at </w:t>
      </w:r>
      <w:hyperlink r:id="rId227" w:tgtFrame="_blank" w:tooltip="http://www2.ed.gov/policy/gen/guid/fpco/ferpa/library/baiseunmslc.html" w:history="1">
        <w:r w:rsidRPr="00EF6C8D">
          <w:rPr>
            <w:rFonts w:eastAsia="Times New Roman" w:cstheme="minorHAnsi"/>
            <w:color w:val="0F88B8"/>
            <w:u w:val="single"/>
            <w:bdr w:val="none" w:sz="0" w:space="0" w:color="auto" w:frame="1"/>
          </w:rPr>
          <w:t>http://www2.ed.gov/policy/gen/guid/fpco/ferpa/library/baiseunmslc.html</w:t>
        </w:r>
      </w:hyperlink>
      <w:r w:rsidRPr="00EF6C8D">
        <w:rPr>
          <w:rFonts w:eastAsia="Times New Roman" w:cstheme="minorHAnsi"/>
          <w:color w:val="737373"/>
        </w:rPr>
        <w:t>. </w:t>
      </w:r>
    </w:p>
    <w:p w14:paraId="62431A0A"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434AECAA"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Forensic Epidemiology</w:t>
      </w:r>
    </w:p>
    <w:p w14:paraId="2C661957"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228" w:anchor="Law-Enforcement" w:history="1">
        <w:r w:rsidRPr="00EF6C8D">
          <w:rPr>
            <w:rFonts w:eastAsia="Times New Roman" w:cstheme="minorHAnsi"/>
            <w:i/>
            <w:iCs/>
            <w:color w:val="0F88B8"/>
            <w:u w:val="single"/>
            <w:bdr w:val="none" w:sz="0" w:space="0" w:color="auto" w:frame="1"/>
          </w:rPr>
          <w:t>Law Enforcement</w:t>
        </w:r>
      </w:hyperlink>
      <w:r w:rsidRPr="00EF6C8D">
        <w:rPr>
          <w:rFonts w:eastAsia="Times New Roman" w:cstheme="minorHAnsi"/>
          <w:color w:val="737373"/>
        </w:rPr>
        <w:t>"</w:t>
      </w:r>
    </w:p>
    <w:p w14:paraId="63E6E171"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2B6386CA"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lastRenderedPageBreak/>
        <w:t>Fourth Amendment</w:t>
      </w:r>
    </w:p>
    <w:p w14:paraId="2436CBF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229" w:anchor="Law-Enforcement" w:history="1">
        <w:r w:rsidRPr="00EF6C8D">
          <w:rPr>
            <w:rFonts w:eastAsia="Times New Roman" w:cstheme="minorHAnsi"/>
            <w:i/>
            <w:iCs/>
            <w:color w:val="0F88B8"/>
            <w:u w:val="single"/>
            <w:bdr w:val="none" w:sz="0" w:space="0" w:color="auto" w:frame="1"/>
          </w:rPr>
          <w:t>Law Enforcement</w:t>
        </w:r>
      </w:hyperlink>
      <w:r w:rsidRPr="00EF6C8D">
        <w:rPr>
          <w:rFonts w:eastAsia="Times New Roman" w:cstheme="minorHAnsi"/>
          <w:color w:val="737373"/>
        </w:rPr>
        <w:t>"</w:t>
      </w:r>
    </w:p>
    <w:p w14:paraId="653AF793"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238BB7D"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Constitution</w:t>
      </w:r>
    </w:p>
    <w:p w14:paraId="757D724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Constitution. Text available at </w:t>
      </w:r>
      <w:hyperlink r:id="rId230" w:tgtFrame="_blank" w:tooltip="http://www.law.cornell.edu/constitution" w:history="1">
        <w:r w:rsidRPr="00EF6C8D">
          <w:rPr>
            <w:rFonts w:eastAsia="Times New Roman" w:cstheme="minorHAnsi"/>
            <w:color w:val="0F88B8"/>
            <w:u w:val="single"/>
            <w:bdr w:val="none" w:sz="0" w:space="0" w:color="auto" w:frame="1"/>
          </w:rPr>
          <w:t>http://www.law.cornell.edu/constitution</w:t>
        </w:r>
      </w:hyperlink>
      <w:r w:rsidRPr="00EF6C8D">
        <w:rPr>
          <w:rFonts w:eastAsia="Times New Roman" w:cstheme="minorHAnsi"/>
          <w:color w:val="737373"/>
        </w:rPr>
        <w:t>.</w:t>
      </w:r>
    </w:p>
    <w:p w14:paraId="68957BF5"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49C15D84"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Cases</w:t>
      </w:r>
    </w:p>
    <w:p w14:paraId="1A2D5FEE"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proofErr w:type="spellStart"/>
      <w:r w:rsidRPr="00EF6C8D">
        <w:rPr>
          <w:rFonts w:eastAsia="Times New Roman" w:cstheme="minorHAnsi"/>
          <w:i/>
          <w:iCs/>
          <w:bdr w:val="none" w:sz="0" w:space="0" w:color="auto" w:frame="1"/>
        </w:rPr>
        <w:t>Camara</w:t>
      </w:r>
      <w:proofErr w:type="spellEnd"/>
      <w:r w:rsidRPr="00EF6C8D">
        <w:rPr>
          <w:rFonts w:eastAsia="Times New Roman" w:cstheme="minorHAnsi"/>
          <w:i/>
          <w:iCs/>
          <w:bdr w:val="none" w:sz="0" w:space="0" w:color="auto" w:frame="1"/>
        </w:rPr>
        <w:t xml:space="preserve"> v. Municipal Court</w:t>
      </w:r>
      <w:r w:rsidRPr="00EF6C8D">
        <w:rPr>
          <w:rFonts w:eastAsia="Times New Roman" w:cstheme="minorHAnsi"/>
        </w:rPr>
        <w:t>, 387 U.S. 523 (1967). Available at </w:t>
      </w:r>
      <w:hyperlink r:id="rId231" w:tgtFrame="_blank" w:tooltip="http://caselaw.lp.findlaw.com/cgi-bin/getcase.pl?court=us&amp;amp;vol=387&amp;amp;invol=523" w:history="1">
        <w:r w:rsidRPr="00EF6C8D">
          <w:rPr>
            <w:rFonts w:eastAsia="Times New Roman" w:cstheme="minorHAnsi"/>
            <w:color w:val="0F88B8"/>
            <w:u w:val="single"/>
            <w:bdr w:val="none" w:sz="0" w:space="0" w:color="auto" w:frame="1"/>
          </w:rPr>
          <w:t>http://caselaw.lp.findlaw.com/cgi-bin/getcase.pl?court=us&amp;vol=387&amp;invol=523</w:t>
        </w:r>
      </w:hyperlink>
      <w:r w:rsidRPr="00EF6C8D">
        <w:rPr>
          <w:rFonts w:eastAsia="Times New Roman" w:cstheme="minorHAnsi"/>
          <w:color w:val="737373"/>
        </w:rPr>
        <w:t>.</w:t>
      </w:r>
    </w:p>
    <w:p w14:paraId="59C5F22B"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19E84B1E"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Ferguson v. City of Charleston,</w:t>
      </w:r>
      <w:r w:rsidRPr="00EF6C8D">
        <w:rPr>
          <w:rFonts w:eastAsia="Times New Roman" w:cstheme="minorHAnsi"/>
        </w:rPr>
        <w:t> 532 U.S. 67 (2001). Available at </w:t>
      </w:r>
      <w:hyperlink r:id="rId232" w:tgtFrame="_blank" w:tooltip="http://caselaw.lp.findlaw.com/scripts/getcase.pl?court=us&amp;amp;vol=000&amp;amp;invol=99-936" w:history="1">
        <w:r w:rsidRPr="00EF6C8D">
          <w:rPr>
            <w:rFonts w:eastAsia="Times New Roman" w:cstheme="minorHAnsi"/>
            <w:color w:val="0F88B8"/>
            <w:u w:val="single"/>
            <w:bdr w:val="none" w:sz="0" w:space="0" w:color="auto" w:frame="1"/>
          </w:rPr>
          <w:t>http://caselaw.lp.findlaw.com/scripts/getcase.pl?court=us&amp;vol=000&amp;invol=99-936</w:t>
        </w:r>
      </w:hyperlink>
      <w:r w:rsidRPr="00EF6C8D">
        <w:rPr>
          <w:rFonts w:eastAsia="Times New Roman" w:cstheme="minorHAnsi"/>
          <w:color w:val="737373"/>
        </w:rPr>
        <w:t>.</w:t>
      </w:r>
    </w:p>
    <w:p w14:paraId="7F967C29"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4B262EE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See v. City of Seattle</w:t>
      </w:r>
      <w:r w:rsidRPr="00EF6C8D">
        <w:rPr>
          <w:rFonts w:eastAsia="Times New Roman" w:cstheme="minorHAnsi"/>
        </w:rPr>
        <w:t>, 387 U.S. 541 (1967). Available at </w:t>
      </w:r>
      <w:hyperlink r:id="rId233" w:tgtFrame="_blank" w:tooltip="http://caselaw.lp.findlaw.com/cgi-bin/getcase.pl?court=us&amp;amp;vol=387&amp;amp;invol=541" w:history="1">
        <w:r w:rsidRPr="00EF6C8D">
          <w:rPr>
            <w:rFonts w:eastAsia="Times New Roman" w:cstheme="minorHAnsi"/>
            <w:color w:val="0F88B8"/>
            <w:u w:val="single"/>
            <w:bdr w:val="none" w:sz="0" w:space="0" w:color="auto" w:frame="1"/>
          </w:rPr>
          <w:t>http://caselaw.lp.findlaw.com/cgi-bin/getcase.pl?court=us&amp;vol=387&amp;invol=541</w:t>
        </w:r>
      </w:hyperlink>
      <w:r w:rsidRPr="00EF6C8D">
        <w:rPr>
          <w:rFonts w:eastAsia="Times New Roman" w:cstheme="minorHAnsi"/>
          <w:color w:val="737373"/>
        </w:rPr>
        <w:t>.</w:t>
      </w:r>
    </w:p>
    <w:p w14:paraId="12E301A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9C34F6B"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44CA76FD"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Goodman, R. (ed.). "Chapter Six: Criminal Law and Public Health Practice." In: "Law in Public Health Practice," 2d edition. Oxford University Press.</w:t>
      </w:r>
    </w:p>
    <w:p w14:paraId="2643ADD1"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0D6FDF9B"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Freedom of Information Laws</w:t>
      </w:r>
    </w:p>
    <w:p w14:paraId="17E1E506"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501BD4FF"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Reporters Committee for Freedom of the Press. "Open Government Guide." Available at </w:t>
      </w:r>
      <w:hyperlink r:id="rId234" w:tgtFrame="_blank" w:tooltip="http://www.rcfp.org/open-government-guide" w:history="1">
        <w:r w:rsidRPr="00EF6C8D">
          <w:rPr>
            <w:rFonts w:eastAsia="Times New Roman" w:cstheme="minorHAnsi"/>
            <w:color w:val="0F88B8"/>
            <w:u w:val="single"/>
            <w:bdr w:val="none" w:sz="0" w:space="0" w:color="auto" w:frame="1"/>
          </w:rPr>
          <w:t>http://www.rcfp.org/open-government-guide</w:t>
        </w:r>
      </w:hyperlink>
      <w:r w:rsidRPr="00EF6C8D">
        <w:rPr>
          <w:rFonts w:eastAsia="Times New Roman" w:cstheme="minorHAnsi"/>
          <w:color w:val="737373"/>
        </w:rPr>
        <w:t>.</w:t>
      </w:r>
    </w:p>
    <w:p w14:paraId="56C70EDB"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2D91C7B1"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Fusion Centers</w:t>
      </w:r>
    </w:p>
    <w:p w14:paraId="4CA6ACD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235" w:anchor="Information-Sharing" w:history="1">
        <w:r w:rsidRPr="00EF6C8D">
          <w:rPr>
            <w:rFonts w:eastAsia="Times New Roman" w:cstheme="minorHAnsi"/>
            <w:color w:val="0F88B8"/>
            <w:u w:val="single"/>
            <w:bdr w:val="none" w:sz="0" w:space="0" w:color="auto" w:frame="1"/>
          </w:rPr>
          <w:t>Information Sharing Environment</w:t>
        </w:r>
      </w:hyperlink>
      <w:r w:rsidRPr="00EF6C8D">
        <w:rPr>
          <w:rFonts w:eastAsia="Times New Roman" w:cstheme="minorHAnsi"/>
          <w:color w:val="737373"/>
        </w:rPr>
        <w:t>"</w:t>
      </w:r>
    </w:p>
    <w:p w14:paraId="314272C7" w14:textId="77777777" w:rsidR="00F44300" w:rsidRPr="00EF6C8D" w:rsidRDefault="00F44300" w:rsidP="00E978DD">
      <w:pPr>
        <w:shd w:val="clear" w:color="auto" w:fill="FFFFFF"/>
        <w:spacing w:after="225" w:line="240" w:lineRule="atLeast"/>
        <w:textAlignment w:val="baseline"/>
        <w:rPr>
          <w:rFonts w:eastAsia="Times New Roman" w:cstheme="minorHAnsi"/>
          <w:color w:val="737373"/>
        </w:rPr>
      </w:pPr>
      <w:r w:rsidRPr="00EF6C8D">
        <w:rPr>
          <w:rFonts w:eastAsia="Times New Roman" w:cstheme="minorHAnsi"/>
          <w:color w:val="737373"/>
        </w:rPr>
        <w:t> </w:t>
      </w:r>
    </w:p>
    <w:p w14:paraId="5D3A03A0"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Health Information Technology for Economic and Clinical Health Act (HITECH)</w:t>
      </w:r>
    </w:p>
    <w:p w14:paraId="15A9E7F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236" w:anchor="Electronic-Health" w:history="1">
        <w:r w:rsidRPr="00EF6C8D">
          <w:rPr>
            <w:rFonts w:eastAsia="Times New Roman" w:cstheme="minorHAnsi"/>
            <w:i/>
            <w:iCs/>
            <w:color w:val="0F88B8"/>
            <w:u w:val="single"/>
            <w:bdr w:val="none" w:sz="0" w:space="0" w:color="auto" w:frame="1"/>
          </w:rPr>
          <w:t>Electronic Health Information</w:t>
        </w:r>
      </w:hyperlink>
      <w:r w:rsidRPr="00EF6C8D">
        <w:rPr>
          <w:rFonts w:eastAsia="Times New Roman" w:cstheme="minorHAnsi"/>
          <w:color w:val="737373"/>
        </w:rPr>
        <w:t>"</w:t>
      </w:r>
    </w:p>
    <w:p w14:paraId="3234DC94"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30FED82F"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3BB8425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Health Information Technology for Economic and Clinical Health Act (HITECH). Pub. L. 111-5, 42 U.S.C. 300jj </w:t>
      </w:r>
      <w:r w:rsidRPr="00EF6C8D">
        <w:rPr>
          <w:rFonts w:eastAsia="Times New Roman" w:cstheme="minorHAnsi"/>
          <w:i/>
          <w:iCs/>
          <w:bdr w:val="none" w:sz="0" w:space="0" w:color="auto" w:frame="1"/>
        </w:rPr>
        <w:t>et seq</w:t>
      </w:r>
      <w:r w:rsidRPr="00EF6C8D">
        <w:rPr>
          <w:rFonts w:eastAsia="Times New Roman" w:cstheme="minorHAnsi"/>
        </w:rPr>
        <w:t>.; 17901 </w:t>
      </w:r>
      <w:r w:rsidRPr="00EF6C8D">
        <w:rPr>
          <w:rFonts w:eastAsia="Times New Roman" w:cstheme="minorHAnsi"/>
          <w:i/>
          <w:iCs/>
          <w:bdr w:val="none" w:sz="0" w:space="0" w:color="auto" w:frame="1"/>
        </w:rPr>
        <w:t>et seq</w:t>
      </w:r>
      <w:r w:rsidRPr="00EF6C8D">
        <w:rPr>
          <w:rFonts w:eastAsia="Times New Roman" w:cstheme="minorHAnsi"/>
        </w:rPr>
        <w:t>. Available at</w:t>
      </w:r>
      <w:r w:rsidRPr="00EF6C8D">
        <w:rPr>
          <w:rFonts w:eastAsia="Times New Roman" w:cstheme="minorHAnsi"/>
          <w:color w:val="737373"/>
        </w:rPr>
        <w:t> </w:t>
      </w:r>
      <w:hyperlink r:id="rId237" w:tgtFrame="_blank" w:tooltip="http://www.hhs.gov/ocr/privacy/hipaa/understanding/coveredentities/hitechact.pdf" w:history="1">
        <w:r w:rsidRPr="00EF6C8D">
          <w:rPr>
            <w:rFonts w:eastAsia="Times New Roman" w:cstheme="minorHAnsi"/>
            <w:color w:val="0F88B8"/>
            <w:u w:val="single"/>
            <w:bdr w:val="none" w:sz="0" w:space="0" w:color="auto" w:frame="1"/>
          </w:rPr>
          <w:t>http://www.hhs.gov/ocr/privacy/hipaa/understanding/coveredentities/hitechact.pdf</w:t>
        </w:r>
      </w:hyperlink>
    </w:p>
    <w:p w14:paraId="26D4DC9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4F1F6B6A"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0368A431"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"HITECH Act Rulemaking and Implementation Update." Available at </w:t>
      </w:r>
      <w:hyperlink r:id="rId238" w:tgtFrame="_blank" w:tooltip="http://www.hhs.gov/ocr/privacy/hipaa/understanding/coveredentities/hitechblurb.html" w:history="1">
        <w:r w:rsidRPr="00EF6C8D">
          <w:rPr>
            <w:rFonts w:eastAsia="Times New Roman" w:cstheme="minorHAnsi"/>
            <w:color w:val="0F88B8"/>
            <w:u w:val="single"/>
            <w:bdr w:val="none" w:sz="0" w:space="0" w:color="auto" w:frame="1"/>
          </w:rPr>
          <w:t>http://www.hhs.gov/ocr/privacy/hipaa/understanding/coveredentities/hitechblurb.html</w:t>
        </w:r>
      </w:hyperlink>
      <w:r w:rsidRPr="00EF6C8D">
        <w:rPr>
          <w:rFonts w:eastAsia="Times New Roman" w:cstheme="minorHAnsi"/>
          <w:color w:val="737373"/>
        </w:rPr>
        <w:t>.</w:t>
      </w:r>
    </w:p>
    <w:p w14:paraId="606FA7BE"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68309DA"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Health Insurance Portability and Accountability Act (HIPAA)</w:t>
      </w:r>
    </w:p>
    <w:p w14:paraId="5C1DC443"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7CFF36E5"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Health Insurance Portability and Accountability Act of 1996. Pub. L. No. 104-191, codified at 42 U.S.C. §1320d </w:t>
      </w:r>
      <w:r w:rsidRPr="00EF6C8D">
        <w:rPr>
          <w:rFonts w:eastAsia="Times New Roman" w:cstheme="minorHAnsi"/>
          <w:i/>
          <w:iCs/>
          <w:bdr w:val="none" w:sz="0" w:space="0" w:color="auto" w:frame="1"/>
        </w:rPr>
        <w:t>et seq</w:t>
      </w:r>
      <w:r w:rsidRPr="00EF6C8D">
        <w:rPr>
          <w:rFonts w:eastAsia="Times New Roman" w:cstheme="minorHAnsi"/>
        </w:rPr>
        <w:t>. and §300gg; and 29 U.S.C §1181 </w:t>
      </w:r>
      <w:r w:rsidRPr="00EF6C8D">
        <w:rPr>
          <w:rFonts w:eastAsia="Times New Roman" w:cstheme="minorHAnsi"/>
          <w:i/>
          <w:iCs/>
          <w:bdr w:val="none" w:sz="0" w:space="0" w:color="auto" w:frame="1"/>
        </w:rPr>
        <w:t>et seq</w:t>
      </w:r>
      <w:r w:rsidRPr="00EF6C8D">
        <w:rPr>
          <w:rFonts w:eastAsia="Times New Roman" w:cstheme="minorHAnsi"/>
        </w:rPr>
        <w:t>. Available at</w:t>
      </w:r>
      <w:r w:rsidRPr="00EF6C8D">
        <w:rPr>
          <w:rFonts w:eastAsia="Times New Roman" w:cstheme="minorHAnsi"/>
          <w:color w:val="737373"/>
        </w:rPr>
        <w:t> </w:t>
      </w:r>
      <w:hyperlink r:id="rId239" w:tgtFrame="_blank" w:tooltip="http://frwebgate.access.gpo.gov/cgi-bin/getdoc.cgi?dbname=104_cong_public_laws&amp;amp;docid=f:publ191.104" w:history="1">
        <w:r w:rsidRPr="00EF6C8D">
          <w:rPr>
            <w:rFonts w:eastAsia="Times New Roman" w:cstheme="minorHAnsi"/>
            <w:color w:val="0F88B8"/>
            <w:u w:val="single"/>
            <w:bdr w:val="none" w:sz="0" w:space="0" w:color="auto" w:frame="1"/>
          </w:rPr>
          <w:t>http://frwebgate.access.gpo.gov/cgi-bin/getdoc.cgi?dbname=104_cong_public_laws&amp;docid=f:publ191.104</w:t>
        </w:r>
      </w:hyperlink>
      <w:r w:rsidRPr="00EF6C8D">
        <w:rPr>
          <w:rFonts w:eastAsia="Times New Roman" w:cstheme="minorHAnsi"/>
          <w:color w:val="737373"/>
        </w:rPr>
        <w:t>.</w:t>
      </w:r>
    </w:p>
    <w:p w14:paraId="65E9F95B" w14:textId="77777777" w:rsidR="00F44300" w:rsidRDefault="00F44300" w:rsidP="00E978DD">
      <w:pPr>
        <w:shd w:val="clear" w:color="auto" w:fill="FFFFFF"/>
        <w:spacing w:line="240" w:lineRule="atLeast"/>
        <w:textAlignment w:val="baseline"/>
        <w:rPr>
          <w:rFonts w:eastAsia="Times New Roman" w:cstheme="minorHAnsi"/>
        </w:rPr>
      </w:pPr>
    </w:p>
    <w:p w14:paraId="5C101629"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Standards for Privacy of Individually Identifiable Health Information. 45 C.F.R. Parts 160 and 164 available at </w:t>
      </w:r>
      <w:hyperlink r:id="rId240" w:tgtFrame="_blank" w:tooltip="http://www.hhs.gov/ocr/privacy/hipaa/understanding/coveredentities/introduction.html" w:history="1">
        <w:r w:rsidRPr="00EF6C8D">
          <w:rPr>
            <w:rFonts w:eastAsia="Times New Roman" w:cstheme="minorHAnsi"/>
            <w:color w:val="0F88B8"/>
            <w:u w:val="single"/>
            <w:bdr w:val="none" w:sz="0" w:space="0" w:color="auto" w:frame="1"/>
          </w:rPr>
          <w:t>http://www.hhs.gov/ocr/privacy/hipaa/understanding/coveredentities/introduction.html</w:t>
        </w:r>
      </w:hyperlink>
      <w:r w:rsidRPr="00EF6C8D">
        <w:rPr>
          <w:rFonts w:eastAsia="Times New Roman" w:cstheme="minorHAnsi"/>
          <w:color w:val="737373"/>
        </w:rPr>
        <w:t>.</w:t>
      </w:r>
    </w:p>
    <w:p w14:paraId="702F17A1"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9AA7B8A"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Guidance Documents</w:t>
      </w:r>
    </w:p>
    <w:p w14:paraId="7C52474E"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"Guidance Regarding Methods for De-identification of Protected Health Information in Accordance with the Health Insurance Portability and Accountability Act (HIPAA) Privacy Rule." Available at </w:t>
      </w:r>
      <w:hyperlink r:id="rId241" w:tgtFrame="_blank" w:tooltip="http://www.hhs.gov/ocr/privacy/hipaa/understanding/coveredentities/De-identification/guidance.html" w:history="1">
        <w:r w:rsidRPr="00EF6C8D">
          <w:rPr>
            <w:rFonts w:eastAsia="Times New Roman" w:cstheme="minorHAnsi"/>
            <w:color w:val="0F88B8"/>
            <w:u w:val="single"/>
            <w:bdr w:val="none" w:sz="0" w:space="0" w:color="auto" w:frame="1"/>
          </w:rPr>
          <w:t>http://www.hhs.gov/ocr/privacy/hipaa/understanding/coveredentities/De-identification/guidance.html</w:t>
        </w:r>
      </w:hyperlink>
      <w:r w:rsidRPr="00EF6C8D">
        <w:rPr>
          <w:rFonts w:eastAsia="Times New Roman" w:cstheme="minorHAnsi"/>
          <w:color w:val="737373"/>
          <w:u w:val="single"/>
          <w:bdr w:val="none" w:sz="0" w:space="0" w:color="auto" w:frame="1"/>
        </w:rPr>
        <w:t>.</w:t>
      </w:r>
    </w:p>
    <w:p w14:paraId="7B8663EF" w14:textId="77777777" w:rsidR="00F44300" w:rsidRDefault="00F44300" w:rsidP="00E978DD">
      <w:pPr>
        <w:shd w:val="clear" w:color="auto" w:fill="FFFFFF"/>
        <w:spacing w:line="240" w:lineRule="atLeast"/>
        <w:textAlignment w:val="baseline"/>
        <w:rPr>
          <w:rFonts w:eastAsia="Times New Roman" w:cstheme="minorHAnsi"/>
        </w:rPr>
      </w:pPr>
    </w:p>
    <w:p w14:paraId="6DB4B78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"HIPAA Privacy Rule and Public Health: Guidance from CDC and the U.S. Department of Health and Human Services." April 11, 2003. Available at </w:t>
      </w:r>
      <w:hyperlink r:id="rId242" w:tgtFrame="_blank" w:tooltip="http://www.cdc.gov/mmwr/preview/mmwrhtml/m2e411a1.htm" w:history="1">
        <w:r w:rsidRPr="00EF6C8D">
          <w:rPr>
            <w:rFonts w:eastAsia="Times New Roman" w:cstheme="minorHAnsi"/>
            <w:color w:val="0F88B8"/>
            <w:u w:val="single"/>
            <w:bdr w:val="none" w:sz="0" w:space="0" w:color="auto" w:frame="1"/>
          </w:rPr>
          <w:t>http://www.cdc.gov/mmwr/preview/mmwrhtml/m2e411a1.htm</w:t>
        </w:r>
      </w:hyperlink>
      <w:r w:rsidRPr="00EF6C8D">
        <w:rPr>
          <w:rFonts w:eastAsia="Times New Roman" w:cstheme="minorHAnsi"/>
          <w:color w:val="737373"/>
        </w:rPr>
        <w:t>.</w:t>
      </w:r>
    </w:p>
    <w:p w14:paraId="48F222BE" w14:textId="77777777" w:rsidR="00F44300" w:rsidRDefault="00F44300" w:rsidP="00E978DD">
      <w:pPr>
        <w:shd w:val="clear" w:color="auto" w:fill="FFFFFF"/>
        <w:spacing w:line="240" w:lineRule="atLeast"/>
        <w:textAlignment w:val="baseline"/>
        <w:rPr>
          <w:rFonts w:eastAsia="Times New Roman" w:cstheme="minorHAnsi"/>
        </w:rPr>
      </w:pPr>
    </w:p>
    <w:p w14:paraId="0C2BA56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and U.S. Department of Education. "Joint Guidance on the Application of the Family Educational Rights and Privacy Act and the Health Insurance Portability and Accountability Act of 1996 to Student Health Records." November 2008. Available at</w:t>
      </w:r>
      <w:r w:rsidRPr="00EF6C8D">
        <w:rPr>
          <w:rFonts w:eastAsia="Times New Roman" w:cstheme="minorHAnsi"/>
          <w:color w:val="737373"/>
        </w:rPr>
        <w:t> </w:t>
      </w:r>
      <w:hyperlink r:id="rId243" w:tgtFrame="_blank" w:tooltip="http://www2.ed.gov/policy/gen/guid/fpco/doc/ferpa-hipaa-guidance.pdf" w:history="1">
        <w:r w:rsidRPr="00EF6C8D">
          <w:rPr>
            <w:rFonts w:eastAsia="Times New Roman" w:cstheme="minorHAnsi"/>
            <w:color w:val="0F88B8"/>
            <w:u w:val="single"/>
            <w:bdr w:val="none" w:sz="0" w:space="0" w:color="auto" w:frame="1"/>
          </w:rPr>
          <w:t>http://www2.ed.gov/policy/gen/guid/fpco/doc/ferpa-hipaa-guidance.pdf</w:t>
        </w:r>
      </w:hyperlink>
      <w:r w:rsidRPr="00EF6C8D">
        <w:rPr>
          <w:rFonts w:eastAsia="Times New Roman" w:cstheme="minorHAnsi"/>
          <w:color w:val="737373"/>
        </w:rPr>
        <w:t>.</w:t>
      </w:r>
    </w:p>
    <w:p w14:paraId="0173F8E5"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9201253"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Summaries of Law, Statute, and Regulations</w:t>
      </w:r>
    </w:p>
    <w:p w14:paraId="3E6BEFA4"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"Summary of HIPAA Privacy Rule." Available at </w:t>
      </w:r>
      <w:hyperlink r:id="rId244" w:tgtFrame="_blank" w:tooltip="http://www.hhs.gov/ocr/privacy/hipaa/understanding/summary/index.html" w:history="1">
        <w:r w:rsidRPr="00EF6C8D">
          <w:rPr>
            <w:rFonts w:eastAsia="Times New Roman" w:cstheme="minorHAnsi"/>
            <w:color w:val="0F88B8"/>
            <w:u w:val="single"/>
            <w:bdr w:val="none" w:sz="0" w:space="0" w:color="auto" w:frame="1"/>
          </w:rPr>
          <w:t>http://www.hhs.gov/ocr/privacy/hipaa/understanding/summary/index.html</w:t>
        </w:r>
      </w:hyperlink>
      <w:r w:rsidRPr="00EF6C8D">
        <w:rPr>
          <w:rFonts w:eastAsia="Times New Roman" w:cstheme="minorHAnsi"/>
          <w:color w:val="737373"/>
        </w:rPr>
        <w:t>.</w:t>
      </w:r>
    </w:p>
    <w:p w14:paraId="4DD544B0"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09B8F32D"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1755B3A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"Health Information Privacy." Available at </w:t>
      </w:r>
      <w:hyperlink r:id="rId245" w:tgtFrame="_blank" w:tooltip="http://www.hhs.gov/ocr/privacy/index.html" w:history="1">
        <w:r w:rsidRPr="00EF6C8D">
          <w:rPr>
            <w:rFonts w:eastAsia="Times New Roman" w:cstheme="minorHAnsi"/>
            <w:color w:val="0F88B8"/>
            <w:u w:val="single"/>
            <w:bdr w:val="none" w:sz="0" w:space="0" w:color="auto" w:frame="1"/>
          </w:rPr>
          <w:t>http://www.hhs.gov/ocr/privacy/index.html</w:t>
        </w:r>
      </w:hyperlink>
      <w:r w:rsidRPr="00EF6C8D">
        <w:rPr>
          <w:rFonts w:eastAsia="Times New Roman" w:cstheme="minorHAnsi"/>
          <w:color w:val="737373"/>
        </w:rPr>
        <w:t>.</w:t>
      </w:r>
    </w:p>
    <w:p w14:paraId="4DD9F13F"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3D08E716"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199611B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proofErr w:type="spellStart"/>
      <w:r w:rsidRPr="00EF6C8D">
        <w:rPr>
          <w:rFonts w:eastAsia="Times New Roman" w:cstheme="minorHAnsi"/>
        </w:rPr>
        <w:t>Chaikind</w:t>
      </w:r>
      <w:proofErr w:type="spellEnd"/>
      <w:r w:rsidRPr="00EF6C8D">
        <w:rPr>
          <w:rFonts w:eastAsia="Times New Roman" w:cstheme="minorHAnsi"/>
        </w:rPr>
        <w:t xml:space="preserve"> H., </w:t>
      </w:r>
      <w:r w:rsidRPr="00EF6C8D">
        <w:rPr>
          <w:rFonts w:eastAsia="Times New Roman" w:cstheme="minorHAnsi"/>
          <w:i/>
          <w:iCs/>
          <w:bdr w:val="none" w:sz="0" w:space="0" w:color="auto" w:frame="1"/>
        </w:rPr>
        <w:t>et al</w:t>
      </w:r>
      <w:r w:rsidRPr="00EF6C8D">
        <w:rPr>
          <w:rFonts w:eastAsia="Times New Roman" w:cstheme="minorHAnsi"/>
        </w:rPr>
        <w:t>. "The Health Insurance Portability and Accountability Act (HIPAA) of 1996: Overview and Guidance on Frequently Asked Questions." Congressional Research Service. Jan. 24, 2005. Available at </w:t>
      </w:r>
      <w:hyperlink r:id="rId246" w:tgtFrame="_blank" w:tooltip="http://www.law.umaryland.edu/marshall/crsreports/crsdocuments/RL3163401242005.pdf" w:history="1">
        <w:r w:rsidRPr="00EF6C8D">
          <w:rPr>
            <w:rFonts w:eastAsia="Times New Roman" w:cstheme="minorHAnsi"/>
            <w:color w:val="0F88B8"/>
            <w:u w:val="single"/>
            <w:bdr w:val="none" w:sz="0" w:space="0" w:color="auto" w:frame="1"/>
          </w:rPr>
          <w:t>http://www.law.umaryland.edu/marshall/crsreports/crsdocuments/RL3163401242005.pdf</w:t>
        </w:r>
      </w:hyperlink>
      <w:r w:rsidRPr="00EF6C8D">
        <w:rPr>
          <w:rFonts w:eastAsia="Times New Roman" w:cstheme="minorHAnsi"/>
          <w:color w:val="737373"/>
        </w:rPr>
        <w:t>.</w:t>
      </w:r>
    </w:p>
    <w:p w14:paraId="2D330B80" w14:textId="77777777" w:rsidR="00F44300" w:rsidRDefault="00F44300" w:rsidP="00E978DD">
      <w:pPr>
        <w:shd w:val="clear" w:color="auto" w:fill="FFFFFF"/>
        <w:spacing w:line="240" w:lineRule="atLeast"/>
        <w:textAlignment w:val="baseline"/>
        <w:rPr>
          <w:rFonts w:eastAsia="Times New Roman" w:cstheme="minorHAnsi"/>
        </w:rPr>
      </w:pPr>
    </w:p>
    <w:p w14:paraId="1A4CFBC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Moore, J. "Disclosing Protected Health Information (PHI) to Law Enforcement: Guidelines for N.C. Local Health Departments." May 2013. Available at</w:t>
      </w:r>
      <w:r w:rsidRPr="00EF6C8D">
        <w:rPr>
          <w:rFonts w:eastAsia="Times New Roman" w:cstheme="minorHAnsi"/>
          <w:color w:val="737373"/>
        </w:rPr>
        <w:t> </w:t>
      </w:r>
      <w:hyperlink r:id="rId247" w:tgtFrame="_blank" w:tooltip="http://www.sog.unc.edu/sites/www.sog.unc.edu/files/additional_files/LE-May%202013.pdf" w:history="1">
        <w:r w:rsidRPr="00EF6C8D">
          <w:rPr>
            <w:rFonts w:eastAsia="Times New Roman" w:cstheme="minorHAnsi"/>
            <w:color w:val="0F88B8"/>
            <w:u w:val="single"/>
            <w:bdr w:val="none" w:sz="0" w:space="0" w:color="auto" w:frame="1"/>
          </w:rPr>
          <w:t>http://www.sog.unc.edu/sites/www.sog.unc.edu/files/additional_files/LE-May%202013.pdf</w:t>
        </w:r>
      </w:hyperlink>
      <w:r w:rsidRPr="00EF6C8D">
        <w:rPr>
          <w:rFonts w:eastAsia="Times New Roman" w:cstheme="minorHAnsi"/>
          <w:color w:val="737373"/>
        </w:rPr>
        <w:t>.</w:t>
      </w:r>
    </w:p>
    <w:p w14:paraId="1664BA32" w14:textId="77777777" w:rsidR="00F44300" w:rsidRDefault="00F44300" w:rsidP="00E978DD">
      <w:pPr>
        <w:shd w:val="clear" w:color="auto" w:fill="FFFFFF"/>
        <w:spacing w:line="240" w:lineRule="atLeast"/>
        <w:textAlignment w:val="baseline"/>
        <w:rPr>
          <w:rFonts w:eastAsia="Times New Roman" w:cstheme="minorHAnsi"/>
        </w:rPr>
      </w:pPr>
    </w:p>
    <w:p w14:paraId="3147D806"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"Disclosures for Emergency Preparedness - A Decision Tool." Available at: </w:t>
      </w:r>
      <w:hyperlink r:id="rId248" w:tgtFrame="_blank" w:tooltip="http://www.hhs.gov/ocr/privacy/hipaa/understanding/special/emergency/decisiontoolintro.html" w:history="1">
        <w:r w:rsidRPr="00EF6C8D">
          <w:rPr>
            <w:rFonts w:eastAsia="Times New Roman" w:cstheme="minorHAnsi"/>
            <w:color w:val="0F88B8"/>
            <w:u w:val="single"/>
            <w:bdr w:val="none" w:sz="0" w:space="0" w:color="auto" w:frame="1"/>
          </w:rPr>
          <w:t>http://www.hhs.gov/ocr/privacy/hipaa/understanding/special/emergency/decisiontoolintro.html</w:t>
        </w:r>
      </w:hyperlink>
      <w:r w:rsidRPr="00EF6C8D">
        <w:rPr>
          <w:rFonts w:eastAsia="Times New Roman" w:cstheme="minorHAnsi"/>
          <w:color w:val="737373"/>
        </w:rPr>
        <w:t>.</w:t>
      </w:r>
    </w:p>
    <w:p w14:paraId="2C371913" w14:textId="77777777" w:rsidR="00F44300" w:rsidRDefault="00F44300" w:rsidP="00E978DD">
      <w:pPr>
        <w:shd w:val="clear" w:color="auto" w:fill="FFFFFF"/>
        <w:spacing w:line="240" w:lineRule="atLeast"/>
        <w:textAlignment w:val="baseline"/>
        <w:rPr>
          <w:rFonts w:eastAsia="Times New Roman" w:cstheme="minorHAnsi"/>
        </w:rPr>
      </w:pPr>
    </w:p>
    <w:p w14:paraId="58C9BEE6"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Frequently Asked Questions Database. Available at </w:t>
      </w:r>
      <w:hyperlink r:id="rId249" w:tgtFrame="_blank" w:tooltip="http://www.hhs.gov/ocr/privacy/hipaa/faq/index.html" w:history="1">
        <w:r w:rsidRPr="00EF6C8D">
          <w:rPr>
            <w:rFonts w:eastAsia="Times New Roman" w:cstheme="minorHAnsi"/>
            <w:color w:val="0F88B8"/>
            <w:u w:val="single"/>
            <w:bdr w:val="none" w:sz="0" w:space="0" w:color="auto" w:frame="1"/>
          </w:rPr>
          <w:t>http://www.hhs.gov/ocr/privacy/hipaa/faq/index.html</w:t>
        </w:r>
      </w:hyperlink>
      <w:r w:rsidRPr="00EF6C8D">
        <w:rPr>
          <w:rFonts w:eastAsia="Times New Roman" w:cstheme="minorHAnsi"/>
          <w:color w:val="737373"/>
        </w:rPr>
        <w:t>.</w:t>
      </w:r>
    </w:p>
    <w:p w14:paraId="4EAD64F5" w14:textId="77777777" w:rsidR="00F44300" w:rsidRDefault="00F44300" w:rsidP="00E978DD">
      <w:pPr>
        <w:shd w:val="clear" w:color="auto" w:fill="FFFFFF"/>
        <w:spacing w:line="240" w:lineRule="atLeast"/>
        <w:textAlignment w:val="baseline"/>
        <w:rPr>
          <w:rFonts w:eastAsia="Times New Roman" w:cstheme="minorHAnsi"/>
        </w:rPr>
      </w:pPr>
    </w:p>
    <w:p w14:paraId="6D06D7F4"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"When does the Privacy Rule allow covered entities to disclose protected health information to law enforcement officials?" Available at </w:t>
      </w:r>
      <w:hyperlink r:id="rId250" w:tgtFrame="_blank" w:tooltip="http://www.hhs.gov/ocr/privacy/hipaa/faq/disclosures_for_law_enforcement_purposes/505.html" w:history="1">
        <w:r w:rsidRPr="00EF6C8D">
          <w:rPr>
            <w:rFonts w:eastAsia="Times New Roman" w:cstheme="minorHAnsi"/>
            <w:color w:val="0F88B8"/>
            <w:u w:val="single"/>
            <w:bdr w:val="none" w:sz="0" w:space="0" w:color="auto" w:frame="1"/>
          </w:rPr>
          <w:t>http://www.hhs.gov/ocr/privacy/hipaa/faq/disclosures_for_law_enforcement_purposes/505.html</w:t>
        </w:r>
      </w:hyperlink>
      <w:r w:rsidRPr="00EF6C8D">
        <w:rPr>
          <w:rFonts w:eastAsia="Times New Roman" w:cstheme="minorHAnsi"/>
          <w:color w:val="737373"/>
        </w:rPr>
        <w:t>.</w:t>
      </w:r>
    </w:p>
    <w:p w14:paraId="3A979A63" w14:textId="77777777" w:rsidR="00F44300" w:rsidRDefault="00F44300" w:rsidP="00E978DD">
      <w:pPr>
        <w:shd w:val="clear" w:color="auto" w:fill="FFFFFF"/>
        <w:spacing w:line="240" w:lineRule="atLeast"/>
        <w:textAlignment w:val="baseline"/>
        <w:rPr>
          <w:rFonts w:eastAsia="Times New Roman" w:cstheme="minorHAnsi"/>
        </w:rPr>
      </w:pPr>
    </w:p>
    <w:p w14:paraId="650A8D6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lastRenderedPageBreak/>
        <w:t>HHS Office for Civil Rights. "Health Information Privacy: Public Health." Available at </w:t>
      </w:r>
      <w:hyperlink r:id="rId251" w:tgtFrame="_blank" w:tooltip="http://www.hhs.gov/ocr/privacy/hipaa/understanding/special/publichealth/index.html" w:history="1">
        <w:r w:rsidRPr="00EF6C8D">
          <w:rPr>
            <w:rFonts w:eastAsia="Times New Roman" w:cstheme="minorHAnsi"/>
            <w:color w:val="0F88B8"/>
            <w:u w:val="single"/>
            <w:bdr w:val="none" w:sz="0" w:space="0" w:color="auto" w:frame="1"/>
          </w:rPr>
          <w:t>http://www.hhs.gov/ocr/privacy/hipaa/understanding/special/publichealth/index.html</w:t>
        </w:r>
      </w:hyperlink>
      <w:r w:rsidRPr="00EF6C8D">
        <w:rPr>
          <w:rFonts w:eastAsia="Times New Roman" w:cstheme="minorHAnsi"/>
          <w:color w:val="737373"/>
        </w:rPr>
        <w:t>.</w:t>
      </w:r>
    </w:p>
    <w:p w14:paraId="60E050AF"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color w:val="737373"/>
        </w:rPr>
        <w:t> </w:t>
      </w:r>
    </w:p>
    <w:p w14:paraId="18842B5C"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Homeland Security Act of 2002</w:t>
      </w:r>
    </w:p>
    <w:p w14:paraId="21801D79"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4AF77583"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1263F22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Homeland Security Act of 2002. P.L. 107-296. Available at </w:t>
      </w:r>
      <w:hyperlink r:id="rId252" w:tgtFrame="_blank" w:tooltip="http://www.gpo.gov/fdsys/pkg/PLAW-107publ296/pdf/PLAW-107publ296.pdf" w:history="1">
        <w:r w:rsidRPr="00EF6C8D">
          <w:rPr>
            <w:rFonts w:eastAsia="Times New Roman" w:cstheme="minorHAnsi"/>
            <w:color w:val="0F88B8"/>
            <w:u w:val="single"/>
            <w:bdr w:val="none" w:sz="0" w:space="0" w:color="auto" w:frame="1"/>
          </w:rPr>
          <w:t>http://www.gpo.gov/fdsys/pkg/PLAW-107publ296/pdf/PLAW-107publ296.pdf</w:t>
        </w:r>
      </w:hyperlink>
      <w:r w:rsidRPr="00EF6C8D">
        <w:rPr>
          <w:rFonts w:eastAsia="Times New Roman" w:cstheme="minorHAnsi"/>
          <w:color w:val="737373"/>
        </w:rPr>
        <w:t>.</w:t>
      </w:r>
    </w:p>
    <w:p w14:paraId="1F4E0B5A"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10164A39"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422A2DF8"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rPr>
        <w:t>U.S. Department of Homeland Security. Available at </w:t>
      </w:r>
      <w:hyperlink r:id="rId253" w:tgtFrame="_blank" w:tooltip="http://www.dhs.gov" w:history="1">
        <w:r w:rsidRPr="00EF6C8D">
          <w:rPr>
            <w:rFonts w:eastAsia="Times New Roman" w:cstheme="minorHAnsi"/>
            <w:u w:val="single"/>
            <w:bdr w:val="none" w:sz="0" w:space="0" w:color="auto" w:frame="1"/>
          </w:rPr>
          <w:t>http://www.dhs.gov</w:t>
        </w:r>
      </w:hyperlink>
      <w:r w:rsidRPr="00EF6C8D">
        <w:rPr>
          <w:rFonts w:eastAsia="Times New Roman" w:cstheme="minorHAnsi"/>
        </w:rPr>
        <w:t>.</w:t>
      </w:r>
    </w:p>
    <w:p w14:paraId="673264F3"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1357A0A9"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Individual Rights vs. Police Powers</w:t>
      </w:r>
    </w:p>
    <w:p w14:paraId="23BB39D4"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0A649F6"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Cases</w:t>
      </w:r>
    </w:p>
    <w:p w14:paraId="66705B4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Ferguson v. City of Charleston,</w:t>
      </w:r>
      <w:r w:rsidRPr="00EF6C8D">
        <w:rPr>
          <w:rFonts w:eastAsia="Times New Roman" w:cstheme="minorHAnsi"/>
        </w:rPr>
        <w:t> 532 U.S. 67 (2001). Available at </w:t>
      </w:r>
      <w:hyperlink r:id="rId254" w:tgtFrame="_blank" w:tooltip="http://caselaw.lp.findlaw.com/scripts/getcase.pl?court=us&amp;amp;vol=000&amp;amp;invol=99-936" w:history="1">
        <w:r w:rsidRPr="00EF6C8D">
          <w:rPr>
            <w:rFonts w:eastAsia="Times New Roman" w:cstheme="minorHAnsi"/>
            <w:color w:val="0F88B8"/>
            <w:u w:val="single"/>
            <w:bdr w:val="none" w:sz="0" w:space="0" w:color="auto" w:frame="1"/>
          </w:rPr>
          <w:t>http://caselaw.lp.findlaw.com/scripts/getcase.pl?court=us&amp;vol=000&amp;invol=99-936</w:t>
        </w:r>
      </w:hyperlink>
      <w:r w:rsidRPr="00EF6C8D">
        <w:rPr>
          <w:rFonts w:eastAsia="Times New Roman" w:cstheme="minorHAnsi"/>
          <w:color w:val="737373"/>
        </w:rPr>
        <w:t>.</w:t>
      </w:r>
    </w:p>
    <w:p w14:paraId="7F6B7941"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9179C1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Jacobson v. Com. of Massachusetts</w:t>
      </w:r>
      <w:r w:rsidRPr="00EF6C8D">
        <w:rPr>
          <w:rFonts w:eastAsia="Times New Roman" w:cstheme="minorHAnsi"/>
        </w:rPr>
        <w:t>, 197 U.S. 11 (1905). Available at </w:t>
      </w:r>
      <w:hyperlink r:id="rId255" w:tgtFrame="_blank" w:tooltip="http://caselaw.lp.findlaw.com/cgi-bin/getcase.pl?court=us&amp;amp;vol=197&amp;amp;invol=11" w:history="1">
        <w:r w:rsidRPr="00EF6C8D">
          <w:rPr>
            <w:rFonts w:eastAsia="Times New Roman" w:cstheme="minorHAnsi"/>
            <w:color w:val="0F88B8"/>
            <w:u w:val="single"/>
            <w:bdr w:val="none" w:sz="0" w:space="0" w:color="auto" w:frame="1"/>
          </w:rPr>
          <w:t>http://caselaw.lp.findlaw.com/cgi-bin/getcase.pl?court=us&amp;vol=197&amp;invol=11</w:t>
        </w:r>
      </w:hyperlink>
      <w:r w:rsidRPr="00EF6C8D">
        <w:rPr>
          <w:rFonts w:eastAsia="Times New Roman" w:cstheme="minorHAnsi"/>
          <w:color w:val="737373"/>
        </w:rPr>
        <w:t>.</w:t>
      </w:r>
    </w:p>
    <w:p w14:paraId="79CCD4C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420BEB1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Planned Parenthood of Missouri v. Danforth,</w:t>
      </w:r>
      <w:r w:rsidRPr="00EF6C8D">
        <w:rPr>
          <w:rFonts w:eastAsia="Times New Roman" w:cstheme="minorHAnsi"/>
        </w:rPr>
        <w:t> 428 U.S. 52 (1976). Available at </w:t>
      </w:r>
      <w:hyperlink r:id="rId256" w:tgtFrame="_blank" w:tooltip="http://www.law.cornell.edu/supct/html/historics/USSC_CR_0428_0052_ZS.html" w:history="1">
        <w:r w:rsidRPr="00EF6C8D">
          <w:rPr>
            <w:rFonts w:eastAsia="Times New Roman" w:cstheme="minorHAnsi"/>
            <w:color w:val="0F88B8"/>
            <w:u w:val="single"/>
            <w:bdr w:val="none" w:sz="0" w:space="0" w:color="auto" w:frame="1"/>
          </w:rPr>
          <w:t>http://www.law.cornell.edu/supct/html/historics/USSC_CR_0428_0052_ZS.html</w:t>
        </w:r>
      </w:hyperlink>
      <w:r w:rsidRPr="00EF6C8D">
        <w:rPr>
          <w:rFonts w:eastAsia="Times New Roman" w:cstheme="minorHAnsi"/>
          <w:color w:val="737373"/>
        </w:rPr>
        <w:t>.</w:t>
      </w:r>
    </w:p>
    <w:p w14:paraId="5E471464"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7E6394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i/>
          <w:iCs/>
          <w:bdr w:val="none" w:sz="0" w:space="0" w:color="auto" w:frame="1"/>
        </w:rPr>
        <w:t>Whalen v. Roe</w:t>
      </w:r>
      <w:r w:rsidRPr="00EF6C8D">
        <w:rPr>
          <w:rFonts w:eastAsia="Times New Roman" w:cstheme="minorHAnsi"/>
        </w:rPr>
        <w:t>, 429 U.S. 589 (1977). Available at </w:t>
      </w:r>
      <w:hyperlink r:id="rId257" w:tgtFrame="_blank" w:tooltip="http://www.law.cornell.edu/supct/html/historics/USSC_CR_0429_0589_ZO.html" w:history="1">
        <w:r w:rsidRPr="00EF6C8D">
          <w:rPr>
            <w:rFonts w:eastAsia="Times New Roman" w:cstheme="minorHAnsi"/>
            <w:color w:val="0F88B8"/>
            <w:u w:val="single"/>
            <w:bdr w:val="none" w:sz="0" w:space="0" w:color="auto" w:frame="1"/>
          </w:rPr>
          <w:t>http://www.law.cornell.edu/supct/html/historics/USSC_CR_0429_0589_ZO.html</w:t>
        </w:r>
      </w:hyperlink>
      <w:r w:rsidRPr="00EF6C8D">
        <w:rPr>
          <w:rFonts w:eastAsia="Times New Roman" w:cstheme="minorHAnsi"/>
          <w:color w:val="737373"/>
        </w:rPr>
        <w:t>.</w:t>
      </w:r>
    </w:p>
    <w:p w14:paraId="062F9FA0"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C0B8042"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10445A9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rPr>
        <w:t>O'Connor, J. "Informational Privacy Protections: Do State Laws Offer Public Health Leaders the Flexibility They Need?" 2009. Available at </w:t>
      </w:r>
      <w:hyperlink r:id="rId258" w:tgtFrame="_blank" w:tooltip="http://www.sph-dev.sites.unc.edu/files/2013/08/oconnor.pdf" w:history="1">
        <w:r w:rsidRPr="00EF6C8D">
          <w:rPr>
            <w:rFonts w:eastAsia="Times New Roman" w:cstheme="minorHAnsi"/>
            <w:u w:val="single"/>
            <w:bdr w:val="none" w:sz="0" w:space="0" w:color="auto" w:frame="1"/>
          </w:rPr>
          <w:t>http://www.sph-dev.sites.unc.edu/files/2013/08/oconnor.pdf</w:t>
        </w:r>
      </w:hyperlink>
      <w:r w:rsidRPr="00EF6C8D">
        <w:rPr>
          <w:rFonts w:eastAsia="Times New Roman" w:cstheme="minorHAnsi"/>
        </w:rPr>
        <w:t>.</w:t>
      </w:r>
    </w:p>
    <w:p w14:paraId="29541B03"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1A9D18DC"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Information Sharing Environment</w:t>
      </w:r>
    </w:p>
    <w:p w14:paraId="17CF7070"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0C193B3A"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Offices/Programs/Activities</w:t>
      </w:r>
    </w:p>
    <w:p w14:paraId="3F01DEEF"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"Information Sharing." Available at</w:t>
      </w:r>
      <w:r w:rsidRPr="00EF6C8D">
        <w:rPr>
          <w:rFonts w:eastAsia="Times New Roman" w:cstheme="minorHAnsi"/>
          <w:color w:val="737373"/>
        </w:rPr>
        <w:t> </w:t>
      </w:r>
      <w:hyperlink r:id="rId259" w:tgtFrame="_blank" w:tooltip="http://www.dhs.gov/information-sharing" w:history="1">
        <w:r w:rsidRPr="00EF6C8D">
          <w:rPr>
            <w:rFonts w:eastAsia="Times New Roman" w:cstheme="minorHAnsi"/>
            <w:color w:val="0F88B8"/>
            <w:u w:val="single"/>
            <w:bdr w:val="none" w:sz="0" w:space="0" w:color="auto" w:frame="1"/>
          </w:rPr>
          <w:t>http://www.dhs.gov/information-sharing</w:t>
        </w:r>
      </w:hyperlink>
      <w:r w:rsidRPr="00EF6C8D">
        <w:rPr>
          <w:rFonts w:eastAsia="Times New Roman" w:cstheme="minorHAnsi"/>
          <w:color w:val="737373"/>
        </w:rPr>
        <w:t>.</w:t>
      </w:r>
    </w:p>
    <w:p w14:paraId="45D25FE0" w14:textId="77777777" w:rsidR="00F44300" w:rsidRDefault="00F44300" w:rsidP="00E978DD">
      <w:pPr>
        <w:shd w:val="clear" w:color="auto" w:fill="FFFFFF"/>
        <w:spacing w:line="240" w:lineRule="atLeast"/>
        <w:textAlignment w:val="baseline"/>
        <w:rPr>
          <w:rFonts w:eastAsia="Times New Roman" w:cstheme="minorHAnsi"/>
        </w:rPr>
      </w:pPr>
    </w:p>
    <w:p w14:paraId="32B4E12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Office of Justice Programs. "Fusion Centers and Intelligence Sharing." Available at </w:t>
      </w:r>
      <w:hyperlink r:id="rId260" w:tgtFrame="_blank" w:tooltip="http://www.it.ojp.gov/default.aspx?area=nationalInitiatives&amp;amp;page=1181" w:history="1">
        <w:r w:rsidRPr="00EF6C8D">
          <w:rPr>
            <w:rFonts w:eastAsia="Times New Roman" w:cstheme="minorHAnsi"/>
            <w:color w:val="0F88B8"/>
            <w:u w:val="single"/>
            <w:bdr w:val="none" w:sz="0" w:space="0" w:color="auto" w:frame="1"/>
          </w:rPr>
          <w:t>http://www.it.ojp.gov/default.aspx?area=nationalInitiatives&amp;page=1181</w:t>
        </w:r>
      </w:hyperlink>
      <w:r w:rsidRPr="00EF6C8D">
        <w:rPr>
          <w:rFonts w:eastAsia="Times New Roman" w:cstheme="minorHAnsi"/>
          <w:color w:val="737373"/>
        </w:rPr>
        <w:t>.</w:t>
      </w:r>
    </w:p>
    <w:p w14:paraId="602F5C27" w14:textId="77777777" w:rsidR="00F44300" w:rsidRDefault="00F44300" w:rsidP="00E978DD">
      <w:pPr>
        <w:shd w:val="clear" w:color="auto" w:fill="FFFFFF"/>
        <w:spacing w:line="240" w:lineRule="atLeast"/>
        <w:textAlignment w:val="baseline"/>
        <w:rPr>
          <w:rFonts w:eastAsia="Times New Roman" w:cstheme="minorHAnsi"/>
        </w:rPr>
      </w:pPr>
    </w:p>
    <w:p w14:paraId="13EF3816"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Government. "Information Sharing Environment." Available at </w:t>
      </w:r>
      <w:hyperlink r:id="rId261" w:tgtFrame="_blank" w:tooltip="http://ise.gov/" w:history="1">
        <w:r w:rsidRPr="00EF6C8D">
          <w:rPr>
            <w:rFonts w:eastAsia="Times New Roman" w:cstheme="minorHAnsi"/>
            <w:color w:val="0F88B8"/>
            <w:u w:val="single"/>
            <w:bdr w:val="none" w:sz="0" w:space="0" w:color="auto" w:frame="1"/>
          </w:rPr>
          <w:t>http://ise.gov/</w:t>
        </w:r>
      </w:hyperlink>
      <w:r w:rsidRPr="00EF6C8D">
        <w:rPr>
          <w:rFonts w:eastAsia="Times New Roman" w:cstheme="minorHAnsi"/>
          <w:color w:val="737373"/>
        </w:rPr>
        <w:t>.</w:t>
      </w:r>
    </w:p>
    <w:p w14:paraId="5B475764"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AF08865"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Key Documents</w:t>
      </w:r>
    </w:p>
    <w:p w14:paraId="58AD683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Senate. "Federal Support for and Involvement in State and Local Fusion Centers." Oct. 3, 2012. </w:t>
      </w:r>
      <w:hyperlink r:id="rId262"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0F8360BF"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3E23284C"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Other Resources</w:t>
      </w:r>
    </w:p>
    <w:p w14:paraId="65CDCC31"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"National Network of Fusion Centers Fact Sheet." Available at </w:t>
      </w:r>
      <w:hyperlink r:id="rId263" w:tgtFrame="_blank" w:tooltip="http://www.dhs.gov/files/programs/gc_1296484657738.shtm" w:history="1">
        <w:r w:rsidRPr="00EF6C8D">
          <w:rPr>
            <w:rFonts w:eastAsia="Times New Roman" w:cstheme="minorHAnsi"/>
            <w:color w:val="0F88B8"/>
            <w:u w:val="single"/>
            <w:bdr w:val="none" w:sz="0" w:space="0" w:color="auto" w:frame="1"/>
          </w:rPr>
          <w:t>http://www.dhs.gov/files/programs/gc_1296484657738.shtm</w:t>
        </w:r>
      </w:hyperlink>
      <w:r w:rsidRPr="00EF6C8D">
        <w:rPr>
          <w:rFonts w:eastAsia="Times New Roman" w:cstheme="minorHAnsi"/>
          <w:color w:val="737373"/>
        </w:rPr>
        <w:t>.</w:t>
      </w:r>
    </w:p>
    <w:p w14:paraId="231F52D0" w14:textId="77777777" w:rsidR="00F44300" w:rsidRDefault="00F44300" w:rsidP="00E978DD">
      <w:pPr>
        <w:shd w:val="clear" w:color="auto" w:fill="FFFFFF"/>
        <w:spacing w:line="240" w:lineRule="atLeast"/>
        <w:textAlignment w:val="baseline"/>
        <w:rPr>
          <w:rFonts w:eastAsia="Times New Roman" w:cstheme="minorHAnsi"/>
        </w:rPr>
      </w:pPr>
    </w:p>
    <w:p w14:paraId="03B8B555"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"State and Major Urban Area Fusion Centers." Available at </w:t>
      </w:r>
      <w:hyperlink r:id="rId264" w:tgtFrame="_blank" w:tooltip="http://www.dhs.gov/files/programs/gc_1156877184684.shtm" w:history="1">
        <w:r w:rsidRPr="00EF6C8D">
          <w:rPr>
            <w:rFonts w:eastAsia="Times New Roman" w:cstheme="minorHAnsi"/>
            <w:color w:val="0F88B8"/>
            <w:u w:val="single"/>
            <w:bdr w:val="none" w:sz="0" w:space="0" w:color="auto" w:frame="1"/>
          </w:rPr>
          <w:t>http://www.dhs.gov/files/programs/gc_1156877184684.shtm</w:t>
        </w:r>
      </w:hyperlink>
      <w:r w:rsidRPr="00EF6C8D">
        <w:rPr>
          <w:rFonts w:eastAsia="Times New Roman" w:cstheme="minorHAnsi"/>
          <w:color w:val="737373"/>
        </w:rPr>
        <w:t>.</w:t>
      </w:r>
    </w:p>
    <w:p w14:paraId="60112118" w14:textId="77777777" w:rsidR="00F44300" w:rsidRDefault="00F44300" w:rsidP="00E978DD">
      <w:pPr>
        <w:shd w:val="clear" w:color="auto" w:fill="FFFFFF"/>
        <w:spacing w:line="240" w:lineRule="atLeast"/>
        <w:textAlignment w:val="baseline"/>
        <w:rPr>
          <w:rFonts w:eastAsia="Times New Roman" w:cstheme="minorHAnsi"/>
        </w:rPr>
      </w:pPr>
    </w:p>
    <w:p w14:paraId="0C2F7DC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and U.S. Department of Homeland Security. "Fusion Center Guidelines: Developing and Sharing Information and Intelligence in a New Era." Available at </w:t>
      </w:r>
      <w:hyperlink r:id="rId265" w:tgtFrame="_blank" w:tooltip="http://www.it.ojp.gov/documents/fusion_center_guidelines_law_enforcement.pdf" w:history="1">
        <w:r w:rsidRPr="00EF6C8D">
          <w:rPr>
            <w:rFonts w:eastAsia="Times New Roman" w:cstheme="minorHAnsi"/>
            <w:color w:val="0F88B8"/>
            <w:u w:val="single"/>
            <w:bdr w:val="none" w:sz="0" w:space="0" w:color="auto" w:frame="1"/>
          </w:rPr>
          <w:t>http://www.it.ojp.gov/documents/fusion_center_guidelines_law_enforcement.pdf</w:t>
        </w:r>
      </w:hyperlink>
      <w:r w:rsidRPr="00EF6C8D">
        <w:rPr>
          <w:rFonts w:eastAsia="Times New Roman" w:cstheme="minorHAnsi"/>
          <w:color w:val="737373"/>
        </w:rPr>
        <w:t>.</w:t>
      </w:r>
    </w:p>
    <w:p w14:paraId="14F9BA0D" w14:textId="77777777" w:rsidR="00F44300" w:rsidRDefault="00F44300" w:rsidP="00E978DD">
      <w:pPr>
        <w:shd w:val="clear" w:color="auto" w:fill="FFFFFF"/>
        <w:spacing w:line="240" w:lineRule="atLeast"/>
        <w:textAlignment w:val="baseline"/>
        <w:rPr>
          <w:rFonts w:eastAsia="Times New Roman" w:cstheme="minorHAnsi"/>
        </w:rPr>
      </w:pPr>
    </w:p>
    <w:p w14:paraId="4B634E6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Homeland Security and U.S. Department of Justice. "Fusion Center Privacy Policy Development - Privacy Civil Rights, and Civil Liberties Policy Template." April 2010. Available for download at </w:t>
      </w:r>
      <w:hyperlink r:id="rId266" w:tgtFrame="_blank" w:tooltip="http://www.it.ojp.gov/docdownloader.aspx?ddid=1269" w:history="1">
        <w:r w:rsidRPr="00EF6C8D">
          <w:rPr>
            <w:rFonts w:eastAsia="Times New Roman" w:cstheme="minorHAnsi"/>
            <w:color w:val="0F88B8"/>
            <w:u w:val="single"/>
            <w:bdr w:val="none" w:sz="0" w:space="0" w:color="auto" w:frame="1"/>
          </w:rPr>
          <w:t>http://www.it.ojp.gov/docdownloader.aspx?ddid=1269</w:t>
        </w:r>
      </w:hyperlink>
      <w:r w:rsidRPr="00EF6C8D">
        <w:rPr>
          <w:rFonts w:eastAsia="Times New Roman" w:cstheme="minorHAnsi"/>
          <w:color w:val="737373"/>
        </w:rPr>
        <w:t>.</w:t>
      </w:r>
    </w:p>
    <w:p w14:paraId="3BC2A7EB" w14:textId="77777777" w:rsidR="00F44300" w:rsidRDefault="00F44300" w:rsidP="00E978DD">
      <w:pPr>
        <w:shd w:val="clear" w:color="auto" w:fill="FFFFFF"/>
        <w:spacing w:line="240" w:lineRule="atLeast"/>
        <w:textAlignment w:val="baseline"/>
        <w:rPr>
          <w:rFonts w:eastAsia="Times New Roman" w:cstheme="minorHAnsi"/>
        </w:rPr>
      </w:pPr>
    </w:p>
    <w:p w14:paraId="35B0C38E"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U.S. Department of Justice, Office of Justice Program. "Baseline Capabilities for State and Major Urban Area Fusion </w:t>
      </w:r>
      <w:proofErr w:type="gramStart"/>
      <w:r w:rsidRPr="00EF6C8D">
        <w:rPr>
          <w:rFonts w:eastAsia="Times New Roman" w:cstheme="minorHAnsi"/>
        </w:rPr>
        <w:t>Centers .</w:t>
      </w:r>
      <w:proofErr w:type="gramEnd"/>
      <w:r w:rsidRPr="00EF6C8D">
        <w:rPr>
          <w:rFonts w:eastAsia="Times New Roman" w:cstheme="minorHAnsi"/>
        </w:rPr>
        <w:t>" September 2008. Available for download at </w:t>
      </w:r>
      <w:hyperlink r:id="rId267" w:tgtFrame="_blank" w:tooltip="http://www.it.ojp.gov/default.aspx?area=nationalInitiatives&amp;amp;page=1181" w:history="1">
        <w:r w:rsidRPr="00EF6C8D">
          <w:rPr>
            <w:rFonts w:eastAsia="Times New Roman" w:cstheme="minorHAnsi"/>
            <w:color w:val="0F88B8"/>
            <w:u w:val="single"/>
            <w:bdr w:val="none" w:sz="0" w:space="0" w:color="auto" w:frame="1"/>
          </w:rPr>
          <w:t>http://www.it.ojp.gov/default.aspx?area=nationalInitiatives&amp;page=1181</w:t>
        </w:r>
      </w:hyperlink>
      <w:r w:rsidRPr="00EF6C8D">
        <w:rPr>
          <w:rFonts w:eastAsia="Times New Roman" w:cstheme="minorHAnsi"/>
          <w:color w:val="737373"/>
        </w:rPr>
        <w:t>.</w:t>
      </w:r>
    </w:p>
    <w:p w14:paraId="594AE89D" w14:textId="77777777" w:rsidR="00F44300" w:rsidRDefault="00F44300" w:rsidP="00E978DD">
      <w:pPr>
        <w:shd w:val="clear" w:color="auto" w:fill="FFFFFF"/>
        <w:spacing w:line="240" w:lineRule="atLeast"/>
        <w:textAlignment w:val="baseline"/>
        <w:rPr>
          <w:rFonts w:eastAsia="Times New Roman" w:cstheme="minorHAnsi"/>
        </w:rPr>
      </w:pPr>
    </w:p>
    <w:p w14:paraId="29CABA8F"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Office of Justice Program. "Health Security: Public Health and Medical Integration for Fusion Centers Appendix." July 2011. Available for download at </w:t>
      </w:r>
      <w:hyperlink r:id="rId268" w:tgtFrame="_blank" w:tooltip="http://www.it.ojp.gov/default.aspx?area=nationalInitiatives&amp;amp;page=1181" w:history="1">
        <w:r w:rsidRPr="00EF6C8D">
          <w:rPr>
            <w:rFonts w:eastAsia="Times New Roman" w:cstheme="minorHAnsi"/>
            <w:color w:val="0F88B8"/>
            <w:u w:val="single"/>
            <w:bdr w:val="none" w:sz="0" w:space="0" w:color="auto" w:frame="1"/>
          </w:rPr>
          <w:t>http://www.it.ojp.gov/default.aspx?area=nationalInitiatives&amp;page=1181</w:t>
        </w:r>
      </w:hyperlink>
      <w:r w:rsidRPr="00EF6C8D">
        <w:rPr>
          <w:rFonts w:eastAsia="Times New Roman" w:cstheme="minorHAnsi"/>
          <w:color w:val="737373"/>
        </w:rPr>
        <w:t>.</w:t>
      </w:r>
    </w:p>
    <w:p w14:paraId="6163CC86" w14:textId="77777777" w:rsidR="00F44300" w:rsidRDefault="00F44300" w:rsidP="00E978DD">
      <w:pPr>
        <w:shd w:val="clear" w:color="auto" w:fill="FFFFFF"/>
        <w:spacing w:line="240" w:lineRule="atLeast"/>
        <w:textAlignment w:val="baseline"/>
        <w:rPr>
          <w:rFonts w:eastAsia="Times New Roman" w:cstheme="minorHAnsi"/>
        </w:rPr>
      </w:pPr>
    </w:p>
    <w:p w14:paraId="4CAA22F2"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Government, Information Sharing Environment. "Background and Authorities for ISE." Available at </w:t>
      </w:r>
      <w:hyperlink r:id="rId269" w:tgtFrame="_blank" w:tooltip="http://ise.gov/background-and-authorities" w:history="1">
        <w:r w:rsidRPr="00EF6C8D">
          <w:rPr>
            <w:rFonts w:eastAsia="Times New Roman" w:cstheme="minorHAnsi"/>
            <w:color w:val="0F88B8"/>
            <w:u w:val="single"/>
            <w:bdr w:val="none" w:sz="0" w:space="0" w:color="auto" w:frame="1"/>
          </w:rPr>
          <w:t>http://ise.gov/background-and-authorities</w:t>
        </w:r>
      </w:hyperlink>
      <w:r w:rsidRPr="00EF6C8D">
        <w:rPr>
          <w:rFonts w:eastAsia="Times New Roman" w:cstheme="minorHAnsi"/>
          <w:color w:val="737373"/>
        </w:rPr>
        <w:t>.</w:t>
      </w:r>
    </w:p>
    <w:p w14:paraId="360B77D4"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7100D8A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Informational Privacy</w:t>
      </w:r>
    </w:p>
    <w:p w14:paraId="48847A4D"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w:t>
      </w:r>
      <w:r w:rsidRPr="00EF6C8D">
        <w:rPr>
          <w:rFonts w:eastAsia="Times New Roman" w:cstheme="minorHAnsi"/>
          <w:color w:val="737373"/>
        </w:rPr>
        <w:t>"</w:t>
      </w:r>
      <w:hyperlink r:id="rId270" w:anchor="Individual-Rights" w:history="1">
        <w:r w:rsidRPr="00EF6C8D">
          <w:rPr>
            <w:rFonts w:eastAsia="Times New Roman" w:cstheme="minorHAnsi"/>
            <w:i/>
            <w:iCs/>
            <w:color w:val="0F88B8"/>
            <w:u w:val="single"/>
            <w:bdr w:val="none" w:sz="0" w:space="0" w:color="auto" w:frame="1"/>
          </w:rPr>
          <w:t>Individual Rights vs. Police Powers</w:t>
        </w:r>
      </w:hyperlink>
      <w:r w:rsidRPr="00EF6C8D">
        <w:rPr>
          <w:rFonts w:eastAsia="Times New Roman" w:cstheme="minorHAnsi"/>
          <w:color w:val="737373"/>
        </w:rPr>
        <w:t>"</w:t>
      </w:r>
    </w:p>
    <w:p w14:paraId="1D54AAB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271" w:anchor="Right-to-Privacy" w:history="1">
        <w:r w:rsidRPr="00EF6C8D">
          <w:rPr>
            <w:rFonts w:eastAsia="Times New Roman" w:cstheme="minorHAnsi"/>
            <w:i/>
            <w:iCs/>
            <w:color w:val="0F88B8"/>
            <w:u w:val="single"/>
            <w:bdr w:val="none" w:sz="0" w:space="0" w:color="auto" w:frame="1"/>
          </w:rPr>
          <w:t>Right to Privacy</w:t>
        </w:r>
      </w:hyperlink>
      <w:r w:rsidRPr="00EF6C8D">
        <w:rPr>
          <w:rFonts w:eastAsia="Times New Roman" w:cstheme="minorHAnsi"/>
          <w:color w:val="737373"/>
        </w:rPr>
        <w:t>"</w:t>
      </w:r>
    </w:p>
    <w:p w14:paraId="54265160"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5D0CA55E"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Intelligence Reform and Terrorism Prevention Act</w:t>
      </w:r>
    </w:p>
    <w:p w14:paraId="4930EAA7"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74A6EAE5"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428E586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Intelligence Reform and Terrorism Prevention Act of 2004. P.L. 105-458. Available at </w:t>
      </w:r>
      <w:hyperlink r:id="rId272" w:tgtFrame="_blank" w:tooltip="http://www.gpo.gov/fdsys/pkg/PLAW-108publ458/pdf/PLAW-108publ458.pdf" w:history="1">
        <w:r w:rsidRPr="00EF6C8D">
          <w:rPr>
            <w:rFonts w:eastAsia="Times New Roman" w:cstheme="minorHAnsi"/>
            <w:color w:val="0F88B8"/>
            <w:u w:val="single"/>
            <w:bdr w:val="none" w:sz="0" w:space="0" w:color="auto" w:frame="1"/>
          </w:rPr>
          <w:t>http://www.gpo.gov/fdsys/pkg/PLAW-108publ458/pdf/PLAW-108publ458.pdf</w:t>
        </w:r>
      </w:hyperlink>
      <w:r w:rsidRPr="00EF6C8D">
        <w:rPr>
          <w:rFonts w:eastAsia="Times New Roman" w:cstheme="minorHAnsi"/>
          <w:color w:val="737373"/>
        </w:rPr>
        <w:t>.</w:t>
      </w:r>
    </w:p>
    <w:p w14:paraId="69E2B2D9"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8F40E97"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Law Enforcement</w:t>
      </w:r>
    </w:p>
    <w:p w14:paraId="05E095F1"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273" w:anchor="Coordinated-Response" w:history="1">
        <w:r w:rsidRPr="00EF6C8D">
          <w:rPr>
            <w:rFonts w:eastAsia="Times New Roman" w:cstheme="minorHAnsi"/>
            <w:i/>
            <w:iCs/>
            <w:color w:val="0F88B8"/>
            <w:u w:val="single"/>
            <w:bdr w:val="none" w:sz="0" w:space="0" w:color="auto" w:frame="1"/>
          </w:rPr>
          <w:t>Coordinated Response to Emergencies</w:t>
        </w:r>
      </w:hyperlink>
      <w:r w:rsidRPr="00EF6C8D">
        <w:rPr>
          <w:rFonts w:eastAsia="Times New Roman" w:cstheme="minorHAnsi"/>
          <w:color w:val="737373"/>
        </w:rPr>
        <w:t>"</w:t>
      </w:r>
    </w:p>
    <w:p w14:paraId="13E50549"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40886FA"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662F0D45"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Association of State and Territorial Health Officers (ASTHO). "Information Management for State Health Officials: Public Health, Law Enforcement, and Privacy Issues." 2006. Available at</w:t>
      </w:r>
      <w:r w:rsidRPr="00EF6C8D">
        <w:rPr>
          <w:rFonts w:eastAsia="Times New Roman" w:cstheme="minorHAnsi"/>
          <w:color w:val="737373"/>
        </w:rPr>
        <w:t> </w:t>
      </w:r>
      <w:hyperlink r:id="rId274" w:tgtFrame="_blank" w:tooltip="http://www.astho.org/Programs/e-Health/Privacy/Materials/Public-Health,-Law-Enforcement,-and-Privacy-Issues/" w:history="1">
        <w:r w:rsidRPr="00EF6C8D">
          <w:rPr>
            <w:rFonts w:eastAsia="Times New Roman" w:cstheme="minorHAnsi"/>
            <w:color w:val="0F88B8"/>
            <w:u w:val="single"/>
            <w:bdr w:val="none" w:sz="0" w:space="0" w:color="auto" w:frame="1"/>
          </w:rPr>
          <w:t>http://www.astho.org/Programs/e-Health/Privacy/Materials/Public-Health,-Law-Enforcement,-and-Privacy-Issues/</w:t>
        </w:r>
      </w:hyperlink>
      <w:r w:rsidRPr="00EF6C8D">
        <w:rPr>
          <w:rFonts w:eastAsia="Times New Roman" w:cstheme="minorHAnsi"/>
          <w:color w:val="737373"/>
        </w:rPr>
        <w:t>.  </w:t>
      </w:r>
    </w:p>
    <w:p w14:paraId="361CF1D9" w14:textId="77777777" w:rsidR="00F44300" w:rsidRDefault="00F44300" w:rsidP="00E978DD">
      <w:pPr>
        <w:shd w:val="clear" w:color="auto" w:fill="FFFFFF"/>
        <w:spacing w:line="240" w:lineRule="atLeast"/>
        <w:textAlignment w:val="baseline"/>
        <w:rPr>
          <w:rFonts w:eastAsia="Times New Roman" w:cstheme="minorHAnsi"/>
        </w:rPr>
      </w:pPr>
    </w:p>
    <w:p w14:paraId="0F76ED3F"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HHS, and U.S. Department of Justice, Bureau of Justice Assistance. "Joint Public Health - Law Enforcement Investigation: Model Memorandum of Understanding." July 2008. Available at </w:t>
      </w:r>
      <w:hyperlink r:id="rId275" w:tgtFrame="_blank" w:tooltip="http://www.nasemso.org/Projects/DomesticPreparedness/documents/JIMOUFinal.pdf" w:history="1">
        <w:r w:rsidRPr="00EF6C8D">
          <w:rPr>
            <w:rFonts w:eastAsia="Times New Roman" w:cstheme="minorHAnsi"/>
            <w:color w:val="0F88B8"/>
            <w:u w:val="single"/>
            <w:bdr w:val="none" w:sz="0" w:space="0" w:color="auto" w:frame="1"/>
          </w:rPr>
          <w:t>http://www.nasemso.org/Projects/DomesticPreparedness/documents/JIMOUFinal.pdf</w:t>
        </w:r>
      </w:hyperlink>
      <w:r w:rsidRPr="00EF6C8D">
        <w:rPr>
          <w:rFonts w:eastAsia="Times New Roman" w:cstheme="minorHAnsi"/>
          <w:color w:val="737373"/>
        </w:rPr>
        <w:t>.</w:t>
      </w:r>
    </w:p>
    <w:p w14:paraId="60785470" w14:textId="77777777" w:rsidR="00F44300" w:rsidRDefault="00F44300" w:rsidP="00E978DD">
      <w:pPr>
        <w:shd w:val="clear" w:color="auto" w:fill="FFFFFF"/>
        <w:spacing w:line="240" w:lineRule="atLeast"/>
        <w:textAlignment w:val="baseline"/>
        <w:rPr>
          <w:rFonts w:eastAsia="Times New Roman" w:cstheme="minorHAnsi"/>
        </w:rPr>
      </w:pPr>
    </w:p>
    <w:p w14:paraId="034C42A1"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CDC. "Forensic Epidemiology." Available at </w:t>
      </w:r>
      <w:hyperlink r:id="rId276" w:tgtFrame="_blank" w:tooltip="http://www.cdc.gov/phlp/publications/forensicepidemiology/index.html" w:history="1">
        <w:r w:rsidRPr="00EF6C8D">
          <w:rPr>
            <w:rFonts w:eastAsia="Times New Roman" w:cstheme="minorHAnsi"/>
            <w:color w:val="0F88B8"/>
            <w:u w:val="single"/>
            <w:bdr w:val="none" w:sz="0" w:space="0" w:color="auto" w:frame="1"/>
          </w:rPr>
          <w:t>http://www.cdc.gov/phlp/publications/forensicepidemiology/index.html</w:t>
        </w:r>
      </w:hyperlink>
      <w:r w:rsidRPr="00EF6C8D">
        <w:rPr>
          <w:rFonts w:eastAsia="Times New Roman" w:cstheme="minorHAnsi"/>
          <w:color w:val="737373"/>
        </w:rPr>
        <w:t>.</w:t>
      </w:r>
    </w:p>
    <w:p w14:paraId="1FA4CA38" w14:textId="77777777" w:rsidR="00F44300" w:rsidRDefault="00F44300" w:rsidP="00E978DD">
      <w:pPr>
        <w:shd w:val="clear" w:color="auto" w:fill="FFFFFF"/>
        <w:spacing w:line="240" w:lineRule="atLeast"/>
        <w:textAlignment w:val="baseline"/>
        <w:rPr>
          <w:rFonts w:eastAsia="Times New Roman" w:cstheme="minorHAnsi"/>
        </w:rPr>
      </w:pPr>
    </w:p>
    <w:p w14:paraId="0FEE94E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Goodman, RA, Munson, JW, </w:t>
      </w:r>
      <w:proofErr w:type="spellStart"/>
      <w:r w:rsidRPr="00EF6C8D">
        <w:rPr>
          <w:rFonts w:eastAsia="Times New Roman" w:cstheme="minorHAnsi"/>
        </w:rPr>
        <w:t>Dammer</w:t>
      </w:r>
      <w:proofErr w:type="spellEnd"/>
      <w:r w:rsidRPr="00EF6C8D">
        <w:rPr>
          <w:rFonts w:eastAsia="Times New Roman" w:cstheme="minorHAnsi"/>
        </w:rPr>
        <w:t xml:space="preserve">, K., </w:t>
      </w:r>
      <w:proofErr w:type="spellStart"/>
      <w:r w:rsidRPr="00EF6C8D">
        <w:rPr>
          <w:rFonts w:eastAsia="Times New Roman" w:cstheme="minorHAnsi"/>
        </w:rPr>
        <w:t>Lazzarini</w:t>
      </w:r>
      <w:proofErr w:type="spellEnd"/>
      <w:r w:rsidRPr="00EF6C8D">
        <w:rPr>
          <w:rFonts w:eastAsia="Times New Roman" w:cstheme="minorHAnsi"/>
        </w:rPr>
        <w:t xml:space="preserve">, Z., and </w:t>
      </w:r>
      <w:proofErr w:type="spellStart"/>
      <w:r w:rsidRPr="00EF6C8D">
        <w:rPr>
          <w:rFonts w:eastAsia="Times New Roman" w:cstheme="minorHAnsi"/>
        </w:rPr>
        <w:t>Barkely</w:t>
      </w:r>
      <w:proofErr w:type="spellEnd"/>
      <w:r w:rsidRPr="00EF6C8D">
        <w:rPr>
          <w:rFonts w:eastAsia="Times New Roman" w:cstheme="minorHAnsi"/>
        </w:rPr>
        <w:t xml:space="preserve"> JP. "Forensic Epidemiology: Law at the Intersection of Public Health and Criminal Investigations." </w:t>
      </w:r>
      <w:r w:rsidRPr="00EF6C8D">
        <w:rPr>
          <w:rFonts w:eastAsia="Times New Roman" w:cstheme="minorHAnsi"/>
          <w:i/>
          <w:iCs/>
          <w:bdr w:val="none" w:sz="0" w:space="0" w:color="auto" w:frame="1"/>
        </w:rPr>
        <w:t>Journal of the American Society of Law, Medicine &amp; Ethics</w:t>
      </w:r>
      <w:r w:rsidRPr="00EF6C8D">
        <w:rPr>
          <w:rFonts w:eastAsia="Times New Roman" w:cstheme="minorHAnsi"/>
        </w:rPr>
        <w:t>. December 2003. 31(4) 684-700. Abstract available at </w:t>
      </w:r>
      <w:hyperlink r:id="rId277" w:tgtFrame="_blank" w:tooltip="http://onlinelibrary.wiley.com/doi/10.1111/j.1748-720X.2003.tb00135.x/abstract" w:history="1">
        <w:r w:rsidRPr="00EF6C8D">
          <w:rPr>
            <w:rFonts w:eastAsia="Times New Roman" w:cstheme="minorHAnsi"/>
            <w:color w:val="0F88B8"/>
            <w:u w:val="single"/>
            <w:bdr w:val="none" w:sz="0" w:space="0" w:color="auto" w:frame="1"/>
          </w:rPr>
          <w:t>http://onlinelibrary.wiley.com/doi/10.1111/j.1748-720X.2003.tb00135.x/abstract</w:t>
        </w:r>
      </w:hyperlink>
      <w:r w:rsidRPr="00EF6C8D">
        <w:rPr>
          <w:rFonts w:eastAsia="Times New Roman" w:cstheme="minorHAnsi"/>
          <w:color w:val="737373"/>
        </w:rPr>
        <w:t>.</w:t>
      </w:r>
    </w:p>
    <w:p w14:paraId="4ED20747" w14:textId="77777777" w:rsidR="00F44300" w:rsidRDefault="00F44300" w:rsidP="00E978DD">
      <w:pPr>
        <w:shd w:val="clear" w:color="auto" w:fill="FFFFFF"/>
        <w:spacing w:line="240" w:lineRule="atLeast"/>
        <w:textAlignment w:val="baseline"/>
        <w:rPr>
          <w:rFonts w:eastAsia="Times New Roman" w:cstheme="minorHAnsi"/>
        </w:rPr>
      </w:pPr>
    </w:p>
    <w:p w14:paraId="6A6E0795"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Moore, J. "Disclosing Protected Health Information (PHI) to Law Enforcement: Guidelines for N.C. Local Health Departments." May 2013. Available at </w:t>
      </w:r>
      <w:hyperlink r:id="rId278" w:tgtFrame="_blank" w:tooltip="http://www.sog.unc.edu/sites/www.sog.unc.edu/files/additional_files/LE-May%202013.pdf" w:history="1">
        <w:r w:rsidRPr="00EF6C8D">
          <w:rPr>
            <w:rFonts w:eastAsia="Times New Roman" w:cstheme="minorHAnsi"/>
            <w:color w:val="0F88B8"/>
            <w:u w:val="single"/>
            <w:bdr w:val="none" w:sz="0" w:space="0" w:color="auto" w:frame="1"/>
          </w:rPr>
          <w:t>http://www.sog.unc.edu/sites/www.sog.unc.edu/files/additional_files/LE-May%202013.pdf</w:t>
        </w:r>
      </w:hyperlink>
      <w:r w:rsidRPr="00EF6C8D">
        <w:rPr>
          <w:rFonts w:eastAsia="Times New Roman" w:cstheme="minorHAnsi"/>
          <w:color w:val="737373"/>
        </w:rPr>
        <w:t>.</w:t>
      </w:r>
    </w:p>
    <w:p w14:paraId="1A25C256" w14:textId="77777777" w:rsidR="00F44300" w:rsidRDefault="00F44300" w:rsidP="00E978DD">
      <w:pPr>
        <w:shd w:val="clear" w:color="auto" w:fill="FFFFFF"/>
        <w:spacing w:line="240" w:lineRule="atLeast"/>
        <w:textAlignment w:val="baseline"/>
        <w:rPr>
          <w:rFonts w:eastAsia="Times New Roman" w:cstheme="minorHAnsi"/>
        </w:rPr>
      </w:pPr>
    </w:p>
    <w:p w14:paraId="359D239A"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HHS Office for Civil Rights. "When does the Privacy Rule allow covered entities to disclose protected health information to law enforcement officials?</w:t>
      </w:r>
      <w:r w:rsidRPr="00EF6C8D">
        <w:rPr>
          <w:rFonts w:eastAsia="Times New Roman" w:cstheme="minorHAnsi"/>
          <w:color w:val="737373"/>
        </w:rPr>
        <w:t>" </w:t>
      </w:r>
      <w:hyperlink r:id="rId279" w:tgtFrame="_blank" w:tooltip="Available here" w:history="1">
        <w:r w:rsidRPr="00EF6C8D">
          <w:rPr>
            <w:rFonts w:eastAsia="Times New Roman" w:cstheme="minorHAnsi"/>
            <w:color w:val="0F88B8"/>
            <w:u w:val="single"/>
            <w:bdr w:val="none" w:sz="0" w:space="0" w:color="auto" w:frame="1"/>
          </w:rPr>
          <w:t>Available here</w:t>
        </w:r>
      </w:hyperlink>
      <w:r w:rsidRPr="00EF6C8D">
        <w:rPr>
          <w:rFonts w:eastAsia="Times New Roman" w:cstheme="minorHAnsi"/>
          <w:color w:val="737373"/>
        </w:rPr>
        <w:t>.</w:t>
      </w:r>
    </w:p>
    <w:p w14:paraId="686B93EC" w14:textId="77777777" w:rsidR="00F44300" w:rsidRDefault="00F44300" w:rsidP="00E978DD">
      <w:pPr>
        <w:shd w:val="clear" w:color="auto" w:fill="FFFFFF"/>
        <w:spacing w:line="240" w:lineRule="atLeast"/>
        <w:textAlignment w:val="baseline"/>
        <w:rPr>
          <w:rFonts w:eastAsia="Times New Roman" w:cstheme="minorHAnsi"/>
        </w:rPr>
      </w:pPr>
    </w:p>
    <w:p w14:paraId="0216C1CB"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"Criminal and Epidemiological Investigation Handbook." 2011 edition. Available at </w:t>
      </w:r>
      <w:hyperlink r:id="rId280" w:tgtFrame="_blank" w:tooltip="http://www.cdc.gov/phlp/docs/CrimEpiHandbook2011.pdf" w:history="1">
        <w:r w:rsidRPr="00EF6C8D">
          <w:rPr>
            <w:rFonts w:eastAsia="Times New Roman" w:cstheme="minorHAnsi"/>
            <w:color w:val="0F88B8"/>
            <w:u w:val="single"/>
            <w:bdr w:val="none" w:sz="0" w:space="0" w:color="auto" w:frame="1"/>
          </w:rPr>
          <w:t>http://www.cdc.gov/phlp/docs/CrimEpiHandbook2011.pdf</w:t>
        </w:r>
      </w:hyperlink>
      <w:r w:rsidRPr="00EF6C8D">
        <w:rPr>
          <w:rFonts w:eastAsia="Times New Roman" w:cstheme="minorHAnsi"/>
          <w:color w:val="737373"/>
        </w:rPr>
        <w:t>.</w:t>
      </w:r>
    </w:p>
    <w:p w14:paraId="3E15424B" w14:textId="77777777" w:rsidR="00F44300" w:rsidRDefault="00F44300" w:rsidP="00E978DD">
      <w:pPr>
        <w:shd w:val="clear" w:color="auto" w:fill="FFFFFF"/>
        <w:spacing w:line="240" w:lineRule="atLeast"/>
        <w:textAlignment w:val="baseline"/>
        <w:rPr>
          <w:rFonts w:eastAsia="Times New Roman" w:cstheme="minorHAnsi"/>
        </w:rPr>
      </w:pPr>
    </w:p>
    <w:p w14:paraId="509CFDE8"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U.S. Department of Justice, Bureau of Justice Assistance. "The Role of Law Enforcement in Public health Emergencies: Special Considerations for an All-Hazards Approach." September 2006. Available at </w:t>
      </w:r>
      <w:hyperlink r:id="rId281" w:tgtFrame="_blank" w:tooltip="https://www.ncjrs.gov/pdffiles1/bja/214333.pdf" w:history="1">
        <w:r w:rsidRPr="00EF6C8D">
          <w:rPr>
            <w:rFonts w:eastAsia="Times New Roman" w:cstheme="minorHAnsi"/>
            <w:color w:val="0F88B8"/>
            <w:u w:val="single"/>
            <w:bdr w:val="none" w:sz="0" w:space="0" w:color="auto" w:frame="1"/>
          </w:rPr>
          <w:t>https://www.ncjrs.gov/pdffiles1/bja/214333.pdf</w:t>
        </w:r>
      </w:hyperlink>
      <w:r w:rsidRPr="00EF6C8D">
        <w:rPr>
          <w:rFonts w:eastAsia="Times New Roman" w:cstheme="minorHAnsi"/>
          <w:color w:val="737373"/>
        </w:rPr>
        <w:t>.</w:t>
      </w:r>
    </w:p>
    <w:p w14:paraId="31C582C7" w14:textId="77777777" w:rsidR="00F44300" w:rsidRDefault="00F44300" w:rsidP="00E978DD">
      <w:pPr>
        <w:shd w:val="clear" w:color="auto" w:fill="FFFFFF"/>
        <w:spacing w:line="240" w:lineRule="atLeast"/>
        <w:textAlignment w:val="baseline"/>
        <w:rPr>
          <w:rFonts w:eastAsia="Times New Roman" w:cstheme="minorHAnsi"/>
        </w:rPr>
      </w:pPr>
    </w:p>
    <w:p w14:paraId="0136C970"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United States Government, Information Sharing Environment. "Law Enforcement Information Sharing." Available at </w:t>
      </w:r>
      <w:hyperlink r:id="rId282" w:tgtFrame="_blank" w:tooltip="http://ise.gov/law-enforcement-information-sharing" w:history="1">
        <w:r w:rsidRPr="00EF6C8D">
          <w:rPr>
            <w:rFonts w:eastAsia="Times New Roman" w:cstheme="minorHAnsi"/>
            <w:color w:val="0F88B8"/>
            <w:u w:val="single"/>
            <w:bdr w:val="none" w:sz="0" w:space="0" w:color="auto" w:frame="1"/>
          </w:rPr>
          <w:t>http://ise.gov/law-enforcement-information-sharing</w:t>
        </w:r>
      </w:hyperlink>
      <w:r w:rsidRPr="00EF6C8D">
        <w:rPr>
          <w:rFonts w:eastAsia="Times New Roman" w:cstheme="minorHAnsi"/>
          <w:color w:val="737373"/>
        </w:rPr>
        <w:t>.</w:t>
      </w:r>
    </w:p>
    <w:p w14:paraId="2DDA898F"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33DBEB73"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Media</w:t>
      </w:r>
    </w:p>
    <w:p w14:paraId="16E4581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 xml:space="preserve">See also </w:t>
      </w:r>
      <w:r w:rsidRPr="00EF6C8D">
        <w:rPr>
          <w:rFonts w:eastAsia="Times New Roman" w:cstheme="minorHAnsi"/>
          <w:color w:val="737373"/>
        </w:rPr>
        <w:t>"</w:t>
      </w:r>
      <w:hyperlink r:id="rId283" w:anchor="Freedom-of-Information" w:history="1">
        <w:r w:rsidRPr="00EF6C8D">
          <w:rPr>
            <w:rFonts w:eastAsia="Times New Roman" w:cstheme="minorHAnsi"/>
            <w:i/>
            <w:iCs/>
            <w:color w:val="0F88B8"/>
            <w:u w:val="single"/>
            <w:bdr w:val="none" w:sz="0" w:space="0" w:color="auto" w:frame="1"/>
          </w:rPr>
          <w:t>Freedom of Information Laws</w:t>
        </w:r>
      </w:hyperlink>
      <w:r w:rsidRPr="00EF6C8D">
        <w:rPr>
          <w:rFonts w:eastAsia="Times New Roman" w:cstheme="minorHAnsi"/>
          <w:color w:val="737373"/>
        </w:rPr>
        <w:t>"</w:t>
      </w:r>
    </w:p>
    <w:p w14:paraId="5114E447"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9865F88"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Resources</w:t>
      </w:r>
    </w:p>
    <w:p w14:paraId="230BBD93"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Association of Health Care Journalists. "Guidance on the release of information concerning deaths, epidemics or emerging diseases." Available at</w:t>
      </w:r>
      <w:r w:rsidRPr="00EF6C8D">
        <w:rPr>
          <w:rFonts w:eastAsia="Times New Roman" w:cstheme="minorHAnsi"/>
          <w:color w:val="737373"/>
        </w:rPr>
        <w:t> </w:t>
      </w:r>
      <w:hyperlink r:id="rId284" w:tgtFrame="_blank" w:tooltip="http://healthjournalism.org/secondarypage-details.php?id=965" w:history="1">
        <w:r w:rsidRPr="00EF6C8D">
          <w:rPr>
            <w:rFonts w:eastAsia="Times New Roman" w:cstheme="minorHAnsi"/>
            <w:color w:val="0F88B8"/>
            <w:u w:val="single"/>
            <w:bdr w:val="none" w:sz="0" w:space="0" w:color="auto" w:frame="1"/>
          </w:rPr>
          <w:t>http://healthjournalism.org/secondarypage-details.php?id=965</w:t>
        </w:r>
      </w:hyperlink>
      <w:r w:rsidRPr="00EF6C8D">
        <w:rPr>
          <w:rFonts w:eastAsia="Times New Roman" w:cstheme="minorHAnsi"/>
          <w:color w:val="737373"/>
        </w:rPr>
        <w:t>.</w:t>
      </w:r>
    </w:p>
    <w:p w14:paraId="147469BA" w14:textId="77777777" w:rsidR="00F44300" w:rsidRPr="00EF6C8D" w:rsidRDefault="00F44300" w:rsidP="00E978DD">
      <w:pPr>
        <w:shd w:val="clear" w:color="auto" w:fill="FFFFFF"/>
        <w:spacing w:after="225" w:line="240" w:lineRule="atLeast"/>
        <w:textAlignment w:val="baseline"/>
        <w:rPr>
          <w:rFonts w:eastAsia="Times New Roman" w:cstheme="minorHAnsi"/>
        </w:rPr>
      </w:pPr>
      <w:r w:rsidRPr="00EF6C8D">
        <w:rPr>
          <w:rFonts w:eastAsia="Times New Roman" w:cstheme="minorHAnsi"/>
        </w:rPr>
        <w:t> </w:t>
      </w:r>
    </w:p>
    <w:p w14:paraId="5108B652"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b/>
          <w:bCs/>
          <w:bdr w:val="none" w:sz="0" w:space="0" w:color="auto" w:frame="1"/>
        </w:rPr>
        <w:t>National Security Act</w:t>
      </w:r>
    </w:p>
    <w:p w14:paraId="56475901"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0A2E66D0" w14:textId="77777777" w:rsidR="00F44300" w:rsidRPr="00EF6C8D" w:rsidRDefault="00F44300" w:rsidP="00E978DD">
      <w:pPr>
        <w:shd w:val="clear" w:color="auto" w:fill="FFFFFF"/>
        <w:spacing w:line="240" w:lineRule="atLeast"/>
        <w:textAlignment w:val="baseline"/>
        <w:rPr>
          <w:rFonts w:eastAsia="Times New Roman" w:cstheme="minorHAnsi"/>
        </w:rPr>
      </w:pPr>
      <w:r w:rsidRPr="00EF6C8D">
        <w:rPr>
          <w:rFonts w:eastAsia="Times New Roman" w:cstheme="minorHAnsi"/>
          <w:i/>
          <w:iCs/>
          <w:bdr w:val="none" w:sz="0" w:space="0" w:color="auto" w:frame="1"/>
        </w:rPr>
        <w:t>Public Law, Statute and Regulations</w:t>
      </w:r>
    </w:p>
    <w:p w14:paraId="312AFF2C" w14:textId="77777777" w:rsidR="00F44300" w:rsidRPr="00EF6C8D" w:rsidRDefault="00F44300" w:rsidP="00E978DD">
      <w:pPr>
        <w:shd w:val="clear" w:color="auto" w:fill="FFFFFF"/>
        <w:spacing w:line="240" w:lineRule="atLeast"/>
        <w:textAlignment w:val="baseline"/>
        <w:rPr>
          <w:rFonts w:eastAsia="Times New Roman" w:cstheme="minorHAnsi"/>
          <w:color w:val="737373"/>
        </w:rPr>
      </w:pPr>
      <w:r w:rsidRPr="00EF6C8D">
        <w:rPr>
          <w:rFonts w:eastAsia="Times New Roman" w:cstheme="minorHAnsi"/>
        </w:rPr>
        <w:t>National Security Act of 1947. P.L. 80-253, as amended, codified at 50 U.S.C. 401 </w:t>
      </w:r>
      <w:r w:rsidRPr="00EF6C8D">
        <w:rPr>
          <w:rFonts w:eastAsia="Times New Roman" w:cstheme="minorHAnsi"/>
          <w:i/>
          <w:iCs/>
          <w:bdr w:val="none" w:sz="0" w:space="0" w:color="auto" w:frame="1"/>
        </w:rPr>
        <w:t>et seq</w:t>
      </w:r>
      <w:r w:rsidRPr="00EF6C8D">
        <w:rPr>
          <w:rFonts w:eastAsia="Times New Roman" w:cstheme="minorHAnsi"/>
        </w:rPr>
        <w:t>. Available at </w:t>
      </w:r>
      <w:hyperlink r:id="rId285" w:tgtFrame="_blank" w:tooltip="http://www.law.cornell.edu/uscode/text/50/chapter-15" w:history="1">
        <w:r w:rsidRPr="00EF6C8D">
          <w:rPr>
            <w:rFonts w:eastAsia="Times New Roman" w:cstheme="minorHAnsi"/>
            <w:color w:val="0F88B8"/>
            <w:u w:val="single"/>
            <w:bdr w:val="none" w:sz="0" w:space="0" w:color="auto" w:frame="1"/>
          </w:rPr>
          <w:t>http://www.law.cornell.edu/uscode/text/50/chapter-15</w:t>
        </w:r>
      </w:hyperlink>
      <w:r w:rsidRPr="00EF6C8D">
        <w:rPr>
          <w:rFonts w:eastAsia="Times New Roman" w:cstheme="minorHAnsi"/>
          <w:color w:val="737373"/>
        </w:rPr>
        <w:t>.</w:t>
      </w:r>
    </w:p>
    <w:p w14:paraId="598C0B02" w14:textId="77777777" w:rsidR="00F44300" w:rsidRPr="00F467FC" w:rsidRDefault="00F44300" w:rsidP="00E978DD">
      <w:pPr>
        <w:shd w:val="clear" w:color="auto" w:fill="FFFFFF"/>
        <w:spacing w:after="225" w:line="240" w:lineRule="atLeast"/>
        <w:textAlignment w:val="baseline"/>
        <w:rPr>
          <w:rFonts w:eastAsia="Times New Roman" w:cstheme="minorHAnsi"/>
        </w:rPr>
      </w:pPr>
      <w:r w:rsidRPr="00F467FC">
        <w:rPr>
          <w:rFonts w:eastAsia="Times New Roman" w:cstheme="minorHAnsi"/>
          <w:color w:val="737373"/>
        </w:rPr>
        <w:t> </w:t>
      </w:r>
    </w:p>
    <w:p w14:paraId="6C8F2543" w14:textId="77777777" w:rsidR="00F44300" w:rsidRPr="00F467FC" w:rsidRDefault="00F44300" w:rsidP="00BC71D0">
      <w:pPr>
        <w:keepNext/>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lastRenderedPageBreak/>
        <w:t>Occupational Safety and Health Act</w:t>
      </w:r>
    </w:p>
    <w:p w14:paraId="4A957DDD"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40A714F"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Public Law, Statute and Regulations</w:t>
      </w:r>
    </w:p>
    <w:p w14:paraId="7FA9BE5C"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Occupational Safety and Health Act of 1970. Public Law 91-596, as amended, codified at 29 U.S.C. 651 </w:t>
      </w:r>
      <w:r w:rsidRPr="00F467FC">
        <w:rPr>
          <w:rFonts w:eastAsia="Times New Roman" w:cstheme="minorHAnsi"/>
          <w:i/>
          <w:iCs/>
          <w:bdr w:val="none" w:sz="0" w:space="0" w:color="auto" w:frame="1"/>
        </w:rPr>
        <w:t>et seq</w:t>
      </w:r>
      <w:r w:rsidRPr="00F467FC">
        <w:rPr>
          <w:rFonts w:eastAsia="Times New Roman" w:cstheme="minorHAnsi"/>
        </w:rPr>
        <w:t>. Available at</w:t>
      </w:r>
      <w:r w:rsidRPr="00F467FC">
        <w:rPr>
          <w:rFonts w:eastAsia="Times New Roman" w:cstheme="minorHAnsi"/>
          <w:color w:val="737373"/>
        </w:rPr>
        <w:t> </w:t>
      </w:r>
      <w:hyperlink r:id="rId286" w:tgtFrame="_blank" w:tooltip="http://www.osha.gov/law-regs.html" w:history="1">
        <w:r w:rsidRPr="00F467FC">
          <w:rPr>
            <w:rFonts w:eastAsia="Times New Roman" w:cstheme="minorHAnsi"/>
            <w:color w:val="0F88B8"/>
            <w:u w:val="single"/>
            <w:bdr w:val="none" w:sz="0" w:space="0" w:color="auto" w:frame="1"/>
          </w:rPr>
          <w:t>http://www.osha.gov/law-regs.html</w:t>
        </w:r>
      </w:hyperlink>
      <w:r w:rsidRPr="00F467FC">
        <w:rPr>
          <w:rFonts w:eastAsia="Times New Roman" w:cstheme="minorHAnsi"/>
          <w:color w:val="737373"/>
        </w:rPr>
        <w:t>.</w:t>
      </w:r>
    </w:p>
    <w:p w14:paraId="2DF8C762" w14:textId="77777777" w:rsidR="00F44300" w:rsidRDefault="00F44300" w:rsidP="00E978DD">
      <w:pPr>
        <w:shd w:val="clear" w:color="auto" w:fill="FFFFFF"/>
        <w:spacing w:line="240" w:lineRule="atLeast"/>
        <w:textAlignment w:val="baseline"/>
        <w:rPr>
          <w:rFonts w:eastAsia="Times New Roman" w:cstheme="minorHAnsi"/>
        </w:rPr>
      </w:pPr>
    </w:p>
    <w:p w14:paraId="3C05CD19"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"Occupational Safety and Health Administration, Department of Labor." 29 C.F.R. Parts 1900-1910. Available at</w:t>
      </w:r>
      <w:r w:rsidRPr="00F467FC">
        <w:rPr>
          <w:rFonts w:eastAsia="Times New Roman" w:cstheme="minorHAnsi"/>
          <w:color w:val="737373"/>
        </w:rPr>
        <w:t> </w:t>
      </w:r>
      <w:hyperlink r:id="rId287" w:tgtFrame="_blank" w:tooltip="http://www.ecfr.gov/cgi-bin/text-idx?SID=449145ee248d8381a44e34f33379e3f6&amp;amp;c=ecfr&amp;amp;tpl=/ecfrbrowse/Title29/29cfrv5_02.tpl" w:history="1">
        <w:r w:rsidRPr="00F467FC">
          <w:rPr>
            <w:rFonts w:eastAsia="Times New Roman" w:cstheme="minorHAnsi"/>
            <w:color w:val="0F88B8"/>
            <w:u w:val="single"/>
            <w:bdr w:val="none" w:sz="0" w:space="0" w:color="auto" w:frame="1"/>
          </w:rPr>
          <w:t>http://www.ecfr.gov/cgi-bin/text-idx?SID=449145ee248d8381a44e34f33379e3f6&amp;c=ecfr&amp;tpl=/ecfrbrowse/Title29/29cfrv5_02.tpl</w:t>
        </w:r>
      </w:hyperlink>
      <w:r w:rsidRPr="00F467FC">
        <w:rPr>
          <w:rFonts w:eastAsia="Times New Roman" w:cstheme="minorHAnsi"/>
          <w:color w:val="737373"/>
        </w:rPr>
        <w:t>.</w:t>
      </w:r>
    </w:p>
    <w:p w14:paraId="459A1166" w14:textId="77777777" w:rsidR="00F44300" w:rsidRDefault="00F44300" w:rsidP="00E978DD">
      <w:pPr>
        <w:shd w:val="clear" w:color="auto" w:fill="FFFFFF"/>
        <w:spacing w:after="225" w:line="240" w:lineRule="atLeast"/>
        <w:textAlignment w:val="baseline"/>
        <w:rPr>
          <w:rFonts w:eastAsia="Times New Roman" w:cstheme="minorHAnsi"/>
        </w:rPr>
      </w:pPr>
    </w:p>
    <w:p w14:paraId="429A3D50" w14:textId="77777777" w:rsidR="00F44300" w:rsidRPr="00BC71D0" w:rsidRDefault="00F44300" w:rsidP="00BC71D0">
      <w:pPr>
        <w:shd w:val="clear" w:color="auto" w:fill="FFFFFF"/>
        <w:spacing w:line="240" w:lineRule="atLeast"/>
        <w:textAlignment w:val="baseline"/>
        <w:rPr>
          <w:rFonts w:eastAsia="Times New Roman" w:cstheme="minorHAnsi"/>
          <w:i/>
        </w:rPr>
      </w:pPr>
      <w:r w:rsidRPr="00BC71D0">
        <w:rPr>
          <w:rFonts w:eastAsia="Times New Roman" w:cstheme="minorHAnsi"/>
          <w:i/>
        </w:rPr>
        <w:t>Offices/Programs/Activities</w:t>
      </w:r>
    </w:p>
    <w:p w14:paraId="322EF5F0"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Available at</w:t>
      </w:r>
      <w:r w:rsidRPr="00F467FC">
        <w:rPr>
          <w:rFonts w:eastAsia="Times New Roman" w:cstheme="minorHAnsi"/>
          <w:color w:val="737373"/>
        </w:rPr>
        <w:t> </w:t>
      </w:r>
      <w:hyperlink r:id="rId288" w:tgtFrame="_blank" w:tooltip="http://www.osha.gov" w:history="1">
        <w:r w:rsidRPr="00F467FC">
          <w:rPr>
            <w:rFonts w:eastAsia="Times New Roman" w:cstheme="minorHAnsi"/>
            <w:color w:val="0F88B8"/>
            <w:u w:val="single"/>
            <w:bdr w:val="none" w:sz="0" w:space="0" w:color="auto" w:frame="1"/>
          </w:rPr>
          <w:t>http://www.osha.gov</w:t>
        </w:r>
      </w:hyperlink>
      <w:r w:rsidRPr="00F467FC">
        <w:rPr>
          <w:rFonts w:eastAsia="Times New Roman" w:cstheme="minorHAnsi"/>
          <w:color w:val="737373"/>
        </w:rPr>
        <w:t>.</w:t>
      </w:r>
    </w:p>
    <w:p w14:paraId="4E9DC3CA"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156D00CA"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Other Resources</w:t>
      </w:r>
    </w:p>
    <w:p w14:paraId="11C40826"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"Emergency Preparedness and Response." Available at </w:t>
      </w:r>
      <w:hyperlink r:id="rId289" w:tgtFrame="_blank" w:tooltip="http://www.osha.gov/SLTC/emergencypreparedness/index.html" w:history="1">
        <w:r w:rsidRPr="00F467FC">
          <w:rPr>
            <w:rFonts w:eastAsia="Times New Roman" w:cstheme="minorHAnsi"/>
            <w:color w:val="0F88B8"/>
            <w:u w:val="single"/>
            <w:bdr w:val="none" w:sz="0" w:space="0" w:color="auto" w:frame="1"/>
          </w:rPr>
          <w:t>http://www.osha.gov/SLTC/emergencypreparedness/index.html</w:t>
        </w:r>
      </w:hyperlink>
      <w:r w:rsidRPr="00F467FC">
        <w:rPr>
          <w:rFonts w:eastAsia="Times New Roman" w:cstheme="minorHAnsi"/>
          <w:color w:val="737373"/>
        </w:rPr>
        <w:t>.</w:t>
      </w:r>
    </w:p>
    <w:p w14:paraId="28794737" w14:textId="77777777" w:rsidR="00F44300" w:rsidRDefault="00F44300" w:rsidP="00E978DD">
      <w:pPr>
        <w:shd w:val="clear" w:color="auto" w:fill="FFFFFF"/>
        <w:spacing w:line="240" w:lineRule="atLeast"/>
        <w:textAlignment w:val="baseline"/>
        <w:rPr>
          <w:rFonts w:eastAsia="Times New Roman" w:cstheme="minorHAnsi"/>
        </w:rPr>
      </w:pPr>
    </w:p>
    <w:p w14:paraId="4FADBF4E"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Information about OSHA for Workers. Available at </w:t>
      </w:r>
      <w:hyperlink r:id="rId290" w:tgtFrame="_blank" w:tooltip="http://www.osha.gov/workers.html" w:history="1">
        <w:r w:rsidRPr="00F467FC">
          <w:rPr>
            <w:rFonts w:eastAsia="Times New Roman" w:cstheme="minorHAnsi"/>
            <w:color w:val="0F88B8"/>
            <w:u w:val="single"/>
            <w:bdr w:val="none" w:sz="0" w:space="0" w:color="auto" w:frame="1"/>
          </w:rPr>
          <w:t>http://www.osha.gov/workers.html</w:t>
        </w:r>
      </w:hyperlink>
      <w:r w:rsidRPr="00F467FC">
        <w:rPr>
          <w:rFonts w:eastAsia="Times New Roman" w:cstheme="minorHAnsi"/>
          <w:color w:val="737373"/>
        </w:rPr>
        <w:t>. </w:t>
      </w:r>
    </w:p>
    <w:p w14:paraId="5790E143" w14:textId="77777777" w:rsidR="00F44300" w:rsidRDefault="00F44300" w:rsidP="00E978DD">
      <w:pPr>
        <w:shd w:val="clear" w:color="auto" w:fill="FFFFFF"/>
        <w:spacing w:line="240" w:lineRule="atLeast"/>
        <w:textAlignment w:val="baseline"/>
        <w:rPr>
          <w:rFonts w:eastAsia="Times New Roman" w:cstheme="minorHAnsi"/>
        </w:rPr>
      </w:pPr>
    </w:p>
    <w:p w14:paraId="6C1E9D94"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 Department of Labor, Occupational Safety and Health Administration. "OSHA Coverage of State and Local Government Workers." Available at </w:t>
      </w:r>
      <w:hyperlink r:id="rId291" w:tgtFrame="_blank" w:tooltip="http://www.osha.gov/workers/index.html" w:history="1">
        <w:r w:rsidRPr="00F467FC">
          <w:rPr>
            <w:rFonts w:eastAsia="Times New Roman" w:cstheme="minorHAnsi"/>
            <w:color w:val="0F88B8"/>
            <w:u w:val="single"/>
            <w:bdr w:val="none" w:sz="0" w:space="0" w:color="auto" w:frame="1"/>
          </w:rPr>
          <w:t>http://www.osha.gov/workers/index.html</w:t>
        </w:r>
      </w:hyperlink>
      <w:r w:rsidRPr="00F467FC">
        <w:rPr>
          <w:rFonts w:eastAsia="Times New Roman" w:cstheme="minorHAnsi"/>
          <w:color w:val="737373"/>
        </w:rPr>
        <w:t>. </w:t>
      </w:r>
    </w:p>
    <w:p w14:paraId="6D903997" w14:textId="77777777" w:rsidR="00F44300" w:rsidRPr="00F467FC" w:rsidRDefault="00F44300"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50FE3563"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Public Health Security and Bioterrorism Response Act</w:t>
      </w:r>
    </w:p>
    <w:p w14:paraId="43530795"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356B931"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Public Law, Statute and Regulations</w:t>
      </w:r>
    </w:p>
    <w:p w14:paraId="110B7361"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Public Health Security and Bioterrorism Response Act of 2002. Pub. L. 107-188. Available at</w:t>
      </w:r>
      <w:r w:rsidRPr="00F467FC">
        <w:rPr>
          <w:rFonts w:eastAsia="Times New Roman" w:cstheme="minorHAnsi"/>
          <w:color w:val="737373"/>
        </w:rPr>
        <w:t> </w:t>
      </w:r>
      <w:hyperlink r:id="rId292" w:tgtFrame="_blank" w:tooltip="http://www.gpo.gov/fdsys/pkg/PLAW-107publ188/html/PLAW-107publ188.htm" w:history="1">
        <w:r w:rsidRPr="00F467FC">
          <w:rPr>
            <w:rFonts w:eastAsia="Times New Roman" w:cstheme="minorHAnsi"/>
            <w:color w:val="0F88B8"/>
            <w:u w:val="single"/>
            <w:bdr w:val="none" w:sz="0" w:space="0" w:color="auto" w:frame="1"/>
          </w:rPr>
          <w:t>http://www.gpo.gov/fdsys/pkg/PLAW-107publ188/html/PLAW-107publ188.htm</w:t>
        </w:r>
      </w:hyperlink>
      <w:r w:rsidRPr="00F467FC">
        <w:rPr>
          <w:rFonts w:eastAsia="Times New Roman" w:cstheme="minorHAnsi"/>
          <w:color w:val="737373"/>
        </w:rPr>
        <w:t>.</w:t>
      </w:r>
    </w:p>
    <w:p w14:paraId="7F561D43" w14:textId="77777777" w:rsidR="00F44300" w:rsidRPr="00F467FC" w:rsidRDefault="00F44300"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25AD890E"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Right to Privacy</w:t>
      </w:r>
    </w:p>
    <w:p w14:paraId="0D6F9F5A"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 xml:space="preserve">See </w:t>
      </w:r>
      <w:r w:rsidRPr="00F467FC">
        <w:rPr>
          <w:rFonts w:eastAsia="Times New Roman" w:cstheme="minorHAnsi"/>
          <w:color w:val="737373"/>
        </w:rPr>
        <w:t>"</w:t>
      </w:r>
      <w:hyperlink r:id="rId293" w:anchor="Individual-Rights" w:history="1">
        <w:r w:rsidRPr="00F467FC">
          <w:rPr>
            <w:rFonts w:eastAsia="Times New Roman" w:cstheme="minorHAnsi"/>
            <w:i/>
            <w:iCs/>
            <w:color w:val="0F88B8"/>
            <w:u w:val="single"/>
            <w:bdr w:val="none" w:sz="0" w:space="0" w:color="auto" w:frame="1"/>
          </w:rPr>
          <w:t>Individual Rights vs. Police Powers</w:t>
        </w:r>
      </w:hyperlink>
      <w:r w:rsidRPr="00F467FC">
        <w:rPr>
          <w:rFonts w:eastAsia="Times New Roman" w:cstheme="minorHAnsi"/>
          <w:color w:val="737373"/>
        </w:rPr>
        <w:t>"</w:t>
      </w:r>
    </w:p>
    <w:p w14:paraId="0E40FB31"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6DF142D1"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Resources</w:t>
      </w:r>
    </w:p>
    <w:p w14:paraId="5B9D38B8"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proofErr w:type="spellStart"/>
      <w:r w:rsidRPr="00F467FC">
        <w:rPr>
          <w:rFonts w:eastAsia="Times New Roman" w:cstheme="minorHAnsi"/>
        </w:rPr>
        <w:t>Gorkin</w:t>
      </w:r>
      <w:proofErr w:type="spellEnd"/>
      <w:r w:rsidRPr="00F467FC">
        <w:rPr>
          <w:rFonts w:eastAsia="Times New Roman" w:cstheme="minorHAnsi"/>
        </w:rPr>
        <w:t>, R. "The Constitutional Right to Information Privacy: </w:t>
      </w:r>
      <w:r w:rsidRPr="00F467FC">
        <w:rPr>
          <w:rFonts w:eastAsia="Times New Roman" w:cstheme="minorHAnsi"/>
          <w:i/>
          <w:iCs/>
          <w:bdr w:val="none" w:sz="0" w:space="0" w:color="auto" w:frame="1"/>
        </w:rPr>
        <w:t>NASA v. Nelson</w:t>
      </w:r>
      <w:r w:rsidRPr="00F467FC">
        <w:rPr>
          <w:rFonts w:eastAsia="Times New Roman" w:cstheme="minorHAnsi"/>
        </w:rPr>
        <w:t>." 2012. Available at </w:t>
      </w:r>
      <w:hyperlink r:id="rId294" w:tgtFrame="_blank" w:tooltip="http://scholarship.law.duke.edu/cgi/viewcontent.cgi?article=1063&amp;amp;context=djclpp_sidebar" w:history="1">
        <w:r w:rsidRPr="00F467FC">
          <w:rPr>
            <w:rFonts w:eastAsia="Times New Roman" w:cstheme="minorHAnsi"/>
            <w:color w:val="0F88B8"/>
            <w:u w:val="single"/>
            <w:bdr w:val="none" w:sz="0" w:space="0" w:color="auto" w:frame="1"/>
          </w:rPr>
          <w:t>http://scholarship.law.duke.edu/cgi/viewcontent.cgi?article=1063&amp;context=djclpp_sidebar</w:t>
        </w:r>
      </w:hyperlink>
      <w:r w:rsidRPr="00F467FC">
        <w:rPr>
          <w:rFonts w:eastAsia="Times New Roman" w:cstheme="minorHAnsi"/>
          <w:color w:val="737373"/>
        </w:rPr>
        <w:t>.</w:t>
      </w:r>
    </w:p>
    <w:p w14:paraId="3995E128" w14:textId="77777777" w:rsidR="00F44300" w:rsidRPr="00F467FC" w:rsidRDefault="00F44300"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45EB8E1A"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Surveillance, Public Health</w:t>
      </w:r>
    </w:p>
    <w:p w14:paraId="78B75BBA"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2D46D812"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Offices/Programs/Activities</w:t>
      </w:r>
    </w:p>
    <w:p w14:paraId="11DBFACA"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rPr>
        <w:t>CDC. "CDC Surveillance Resource Center." Available at </w:t>
      </w:r>
      <w:hyperlink r:id="rId295" w:tgtFrame="_blank" w:tooltip="http://www.cdc.gov/surveillancepractice" w:history="1">
        <w:r w:rsidRPr="00F467FC">
          <w:rPr>
            <w:rFonts w:eastAsia="Times New Roman" w:cstheme="minorHAnsi"/>
            <w:u w:val="single"/>
            <w:bdr w:val="none" w:sz="0" w:space="0" w:color="auto" w:frame="1"/>
          </w:rPr>
          <w:t>http://www.cdc.gov/surveillancepractice</w:t>
        </w:r>
      </w:hyperlink>
      <w:r w:rsidRPr="00F467FC">
        <w:rPr>
          <w:rFonts w:eastAsia="Times New Roman" w:cstheme="minorHAnsi"/>
        </w:rPr>
        <w:t>.</w:t>
      </w:r>
    </w:p>
    <w:p w14:paraId="3F30DF77"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Other Resources</w:t>
      </w:r>
    </w:p>
    <w:p w14:paraId="50F9A807" w14:textId="77777777" w:rsidR="00F44300" w:rsidRDefault="00F44300" w:rsidP="00E978DD">
      <w:pPr>
        <w:shd w:val="clear" w:color="auto" w:fill="FFFFFF"/>
        <w:spacing w:line="240" w:lineRule="atLeast"/>
        <w:textAlignment w:val="baseline"/>
        <w:rPr>
          <w:rFonts w:eastAsia="Times New Roman" w:cstheme="minorHAnsi"/>
        </w:rPr>
      </w:pPr>
    </w:p>
    <w:p w14:paraId="14AFFF8B"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lastRenderedPageBreak/>
        <w:t>CDC. "Emergency Preparedness and Response: Surveillance." Available at</w:t>
      </w:r>
      <w:r w:rsidRPr="00F467FC">
        <w:rPr>
          <w:rFonts w:eastAsia="Times New Roman" w:cstheme="minorHAnsi"/>
          <w:color w:val="737373"/>
        </w:rPr>
        <w:t> </w:t>
      </w:r>
      <w:hyperlink r:id="rId296" w:tgtFrame="_blank" w:tooltip="http://www.bt.cdc.gov/episurv" w:history="1">
        <w:r w:rsidRPr="00F467FC">
          <w:rPr>
            <w:rFonts w:eastAsia="Times New Roman" w:cstheme="minorHAnsi"/>
            <w:color w:val="0F88B8"/>
            <w:u w:val="single"/>
            <w:bdr w:val="none" w:sz="0" w:space="0" w:color="auto" w:frame="1"/>
          </w:rPr>
          <w:t>http://www.bt.cdc.gov/episurv</w:t>
        </w:r>
      </w:hyperlink>
      <w:r w:rsidRPr="00F467FC">
        <w:rPr>
          <w:rFonts w:eastAsia="Times New Roman" w:cstheme="minorHAnsi"/>
          <w:color w:val="737373"/>
        </w:rPr>
        <w:t>.</w:t>
      </w:r>
    </w:p>
    <w:p w14:paraId="3EEB39A8" w14:textId="77777777" w:rsidR="00F44300" w:rsidRDefault="00F44300" w:rsidP="00E978DD">
      <w:pPr>
        <w:shd w:val="clear" w:color="auto" w:fill="FFFFFF"/>
        <w:spacing w:line="240" w:lineRule="atLeast"/>
        <w:textAlignment w:val="baseline"/>
        <w:rPr>
          <w:rFonts w:eastAsia="Times New Roman" w:cstheme="minorHAnsi"/>
        </w:rPr>
      </w:pPr>
    </w:p>
    <w:p w14:paraId="610FCAC8"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CDC. "National Notifiable Diseases Surveillance System (NNDSS)." Available at </w:t>
      </w:r>
      <w:hyperlink r:id="rId297" w:tgtFrame="_blank" w:tooltip="http://wwwn.cdc.gov/nndss/" w:history="1">
        <w:r w:rsidRPr="00F467FC">
          <w:rPr>
            <w:rFonts w:eastAsia="Times New Roman" w:cstheme="minorHAnsi"/>
            <w:color w:val="0F88B8"/>
            <w:u w:val="single"/>
            <w:bdr w:val="none" w:sz="0" w:space="0" w:color="auto" w:frame="1"/>
          </w:rPr>
          <w:t>http://wwwn.cdc.gov/nndss/</w:t>
        </w:r>
      </w:hyperlink>
      <w:r w:rsidRPr="00F467FC">
        <w:rPr>
          <w:rFonts w:eastAsia="Times New Roman" w:cstheme="minorHAnsi"/>
          <w:color w:val="737373"/>
        </w:rPr>
        <w:t>.</w:t>
      </w:r>
    </w:p>
    <w:p w14:paraId="35E331F3"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 </w:t>
      </w:r>
    </w:p>
    <w:p w14:paraId="68000234"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Syndromic Surveillance</w:t>
      </w:r>
    </w:p>
    <w:p w14:paraId="6361774E"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 xml:space="preserve">See also </w:t>
      </w:r>
      <w:r w:rsidRPr="00F467FC">
        <w:rPr>
          <w:rFonts w:eastAsia="Times New Roman" w:cstheme="minorHAnsi"/>
          <w:color w:val="737373"/>
        </w:rPr>
        <w:t>"</w:t>
      </w:r>
      <w:hyperlink r:id="rId298" w:anchor="Surveillance" w:history="1">
        <w:r w:rsidRPr="00F467FC">
          <w:rPr>
            <w:rFonts w:eastAsia="Times New Roman" w:cstheme="minorHAnsi"/>
            <w:i/>
            <w:iCs/>
            <w:color w:val="0F88B8"/>
            <w:u w:val="single"/>
            <w:bdr w:val="none" w:sz="0" w:space="0" w:color="auto" w:frame="1"/>
          </w:rPr>
          <w:t>Surveillance</w:t>
        </w:r>
      </w:hyperlink>
      <w:r w:rsidRPr="00F467FC">
        <w:rPr>
          <w:rFonts w:eastAsia="Times New Roman" w:cstheme="minorHAnsi"/>
          <w:color w:val="737373"/>
        </w:rPr>
        <w:t>"</w:t>
      </w:r>
    </w:p>
    <w:p w14:paraId="2D2AD330"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5EF4A8D6"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Resources</w:t>
      </w:r>
    </w:p>
    <w:p w14:paraId="6AFDEFC2"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Association of State and Territorial Health Officers (ASTHO). "Information Management for State Health Officials: The Impact of the HIPAA Privacy Rule on Syndromic Surveillance." 2004. Available at</w:t>
      </w:r>
      <w:r w:rsidRPr="00F467FC">
        <w:rPr>
          <w:rFonts w:eastAsia="Times New Roman" w:cstheme="minorHAnsi"/>
          <w:color w:val="737373"/>
          <w:u w:val="single"/>
          <w:bdr w:val="none" w:sz="0" w:space="0" w:color="auto" w:frame="1"/>
        </w:rPr>
        <w:t> </w:t>
      </w:r>
      <w:bookmarkStart w:id="13" w:name="_Hlk346707553"/>
      <w:bookmarkEnd w:id="13"/>
      <w:r w:rsidRPr="00F467FC">
        <w:rPr>
          <w:rFonts w:eastAsia="Times New Roman" w:cstheme="minorHAnsi"/>
          <w:color w:val="737373"/>
        </w:rPr>
        <w:fldChar w:fldCharType="begin"/>
      </w:r>
      <w:r w:rsidRPr="00F467FC">
        <w:rPr>
          <w:rFonts w:eastAsia="Times New Roman" w:cstheme="minorHAnsi"/>
          <w:color w:val="737373"/>
        </w:rPr>
        <w:instrText xml:space="preserve"> HYPERLINK "http://www.astho.org/Programs/e-Health/Privacy/Materials/The-Impact-of-the-HIPAA-Privacy-Rule-on-Syndromic-Surveillance-(2004)/" \o "http://www.astho.org/Programs/e-Health/Privacy/Materials/The-Impact-of-the-HIPAA-Privacy-Rule-on-Syndromic-Surveillance-(2004)/" </w:instrText>
      </w:r>
      <w:r w:rsidRPr="00F467FC">
        <w:rPr>
          <w:rFonts w:eastAsia="Times New Roman" w:cstheme="minorHAnsi"/>
          <w:color w:val="737373"/>
        </w:rPr>
        <w:fldChar w:fldCharType="separate"/>
      </w:r>
      <w:r w:rsidRPr="00F467FC">
        <w:rPr>
          <w:rFonts w:eastAsia="Times New Roman" w:cstheme="minorHAnsi"/>
          <w:color w:val="0F88B8"/>
          <w:u w:val="single"/>
          <w:bdr w:val="none" w:sz="0" w:space="0" w:color="auto" w:frame="1"/>
        </w:rPr>
        <w:t>http://www.astho.org/Programs/e-Health/Privacy/Materials/The-Impact-of-the-HIPAA-Privacy-Rule-on-Syndromic-Surveillance-(2004)/</w:t>
      </w:r>
      <w:r w:rsidRPr="00F467FC">
        <w:rPr>
          <w:rFonts w:eastAsia="Times New Roman" w:cstheme="minorHAnsi"/>
          <w:color w:val="737373"/>
        </w:rPr>
        <w:fldChar w:fldCharType="end"/>
      </w:r>
      <w:r w:rsidRPr="00F467FC">
        <w:rPr>
          <w:rFonts w:eastAsia="Times New Roman" w:cstheme="minorHAnsi"/>
          <w:color w:val="737373"/>
        </w:rPr>
        <w:t>.</w:t>
      </w:r>
    </w:p>
    <w:p w14:paraId="2AE3D366" w14:textId="77777777" w:rsidR="00F44300" w:rsidRDefault="00F44300" w:rsidP="00E978DD">
      <w:pPr>
        <w:shd w:val="clear" w:color="auto" w:fill="FFFFFF"/>
        <w:spacing w:line="240" w:lineRule="atLeast"/>
        <w:textAlignment w:val="baseline"/>
        <w:rPr>
          <w:rFonts w:eastAsia="Times New Roman" w:cstheme="minorHAnsi"/>
        </w:rPr>
      </w:pPr>
    </w:p>
    <w:p w14:paraId="0131B584"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CDC. "Overview of Syndromic Surveillance: What is Syndromic Surveillance?" </w:t>
      </w:r>
      <w:r w:rsidRPr="00F467FC">
        <w:rPr>
          <w:rFonts w:eastAsia="Times New Roman" w:cstheme="minorHAnsi"/>
          <w:i/>
          <w:iCs/>
          <w:bdr w:val="none" w:sz="0" w:space="0" w:color="auto" w:frame="1"/>
        </w:rPr>
        <w:t>Morbidity and Mortality Weekly Report</w:t>
      </w:r>
      <w:r w:rsidRPr="00F467FC">
        <w:rPr>
          <w:rFonts w:eastAsia="Times New Roman" w:cstheme="minorHAnsi"/>
        </w:rPr>
        <w:t> 2004:53 5-11. Available at </w:t>
      </w:r>
      <w:hyperlink r:id="rId299" w:tgtFrame="_blank" w:tooltip="http://www.cdc.gov/mmwr/preview/mmwrhtml/su5301a3.htm" w:history="1">
        <w:r w:rsidRPr="00F467FC">
          <w:rPr>
            <w:rFonts w:eastAsia="Times New Roman" w:cstheme="minorHAnsi"/>
            <w:color w:val="0F88B8"/>
            <w:u w:val="single"/>
            <w:bdr w:val="none" w:sz="0" w:space="0" w:color="auto" w:frame="1"/>
          </w:rPr>
          <w:t>http://www.cdc.gov/mmwr/preview/mmwrhtml/su5301a3.htm</w:t>
        </w:r>
      </w:hyperlink>
      <w:r w:rsidRPr="00F467FC">
        <w:rPr>
          <w:rFonts w:eastAsia="Times New Roman" w:cstheme="minorHAnsi"/>
          <w:color w:val="737373"/>
        </w:rPr>
        <w:t>.</w:t>
      </w:r>
    </w:p>
    <w:p w14:paraId="6B0D4B0A" w14:textId="77777777" w:rsidR="00F44300" w:rsidRPr="00F467FC" w:rsidRDefault="00F44300" w:rsidP="00E978DD">
      <w:pPr>
        <w:shd w:val="clear" w:color="auto" w:fill="FFFFFF"/>
        <w:spacing w:after="225" w:line="240" w:lineRule="atLeast"/>
        <w:textAlignment w:val="baseline"/>
        <w:rPr>
          <w:rFonts w:eastAsia="Times New Roman" w:cstheme="minorHAnsi"/>
        </w:rPr>
      </w:pPr>
      <w:r w:rsidRPr="00F467FC">
        <w:rPr>
          <w:rFonts w:eastAsia="Times New Roman" w:cstheme="minorHAnsi"/>
          <w:color w:val="737373"/>
        </w:rPr>
        <w:t> </w:t>
      </w:r>
    </w:p>
    <w:p w14:paraId="7804A06A"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U.S.A. Patriot Act</w:t>
      </w:r>
    </w:p>
    <w:p w14:paraId="648AE988" w14:textId="77777777" w:rsidR="00F44300" w:rsidRDefault="00F44300" w:rsidP="00E978DD">
      <w:pPr>
        <w:shd w:val="clear" w:color="auto" w:fill="FFFFFF"/>
        <w:spacing w:line="240" w:lineRule="atLeast"/>
        <w:textAlignment w:val="baseline"/>
        <w:rPr>
          <w:rFonts w:eastAsia="Times New Roman" w:cstheme="minorHAnsi"/>
          <w:i/>
          <w:iCs/>
          <w:bdr w:val="none" w:sz="0" w:space="0" w:color="auto" w:frame="1"/>
        </w:rPr>
      </w:pPr>
    </w:p>
    <w:p w14:paraId="402DFD51"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i/>
          <w:iCs/>
          <w:bdr w:val="none" w:sz="0" w:space="0" w:color="auto" w:frame="1"/>
        </w:rPr>
        <w:t>Public Law, Statute and Regulations</w:t>
      </w:r>
    </w:p>
    <w:p w14:paraId="3F5BF061"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U.S.A. Patriot Act of 2001. P.L. 107-56. Available at </w:t>
      </w:r>
      <w:hyperlink r:id="rId300" w:tgtFrame="_blank" w:tooltip="http://www.gpo.gov/fdsys/pkg/PLAW-107publ56/pdf/PLAW-107publ56.pdf" w:history="1">
        <w:r w:rsidRPr="00F467FC">
          <w:rPr>
            <w:rFonts w:eastAsia="Times New Roman" w:cstheme="minorHAnsi"/>
            <w:color w:val="0F88B8"/>
            <w:u w:val="single"/>
            <w:bdr w:val="none" w:sz="0" w:space="0" w:color="auto" w:frame="1"/>
          </w:rPr>
          <w:t>http://www.gpo.gov/fdsys/pkg/PLAW-107publ56/pdf/PLAW-107publ56.pdf</w:t>
        </w:r>
      </w:hyperlink>
      <w:r w:rsidRPr="00F467FC">
        <w:rPr>
          <w:rFonts w:eastAsia="Times New Roman" w:cstheme="minorHAnsi"/>
          <w:color w:val="737373"/>
        </w:rPr>
        <w:t>.</w:t>
      </w:r>
    </w:p>
    <w:p w14:paraId="45219EEA" w14:textId="77777777" w:rsidR="00F44300" w:rsidRPr="00F467FC" w:rsidRDefault="00F44300" w:rsidP="00E978DD">
      <w:pPr>
        <w:shd w:val="clear" w:color="auto" w:fill="FFFFFF"/>
        <w:spacing w:after="225" w:line="240" w:lineRule="atLeast"/>
        <w:textAlignment w:val="baseline"/>
        <w:rPr>
          <w:rFonts w:eastAsia="Times New Roman" w:cstheme="minorHAnsi"/>
        </w:rPr>
      </w:pPr>
      <w:r w:rsidRPr="00F467FC">
        <w:rPr>
          <w:rFonts w:eastAsia="Times New Roman" w:cstheme="minorHAnsi"/>
        </w:rPr>
        <w:t> </w:t>
      </w:r>
    </w:p>
    <w:p w14:paraId="35DA6381" w14:textId="77777777" w:rsidR="00F44300" w:rsidRPr="00F467FC" w:rsidRDefault="00F44300" w:rsidP="00E978DD">
      <w:pPr>
        <w:shd w:val="clear" w:color="auto" w:fill="FFFFFF"/>
        <w:spacing w:line="240" w:lineRule="atLeast"/>
        <w:textAlignment w:val="baseline"/>
        <w:rPr>
          <w:rFonts w:eastAsia="Times New Roman" w:cstheme="minorHAnsi"/>
        </w:rPr>
      </w:pPr>
      <w:r w:rsidRPr="00F467FC">
        <w:rPr>
          <w:rFonts w:eastAsia="Times New Roman" w:cstheme="minorHAnsi"/>
          <w:b/>
          <w:bCs/>
          <w:bdr w:val="none" w:sz="0" w:space="0" w:color="auto" w:frame="1"/>
        </w:rPr>
        <w:t>Workplace Preparedness</w:t>
      </w:r>
    </w:p>
    <w:p w14:paraId="1628264E" w14:textId="77777777" w:rsidR="00F44300" w:rsidRPr="00F467FC" w:rsidRDefault="00F44300" w:rsidP="00E978DD">
      <w:pPr>
        <w:shd w:val="clear" w:color="auto" w:fill="FFFFFF"/>
        <w:spacing w:line="240" w:lineRule="atLeast"/>
        <w:textAlignment w:val="baseline"/>
        <w:rPr>
          <w:rFonts w:eastAsia="Times New Roman" w:cstheme="minorHAnsi"/>
          <w:color w:val="737373"/>
        </w:rPr>
      </w:pPr>
      <w:r w:rsidRPr="00F467FC">
        <w:rPr>
          <w:rFonts w:eastAsia="Times New Roman" w:cstheme="minorHAnsi"/>
        </w:rPr>
        <w:t xml:space="preserve">See </w:t>
      </w:r>
      <w:r w:rsidRPr="00F467FC">
        <w:rPr>
          <w:rFonts w:eastAsia="Times New Roman" w:cstheme="minorHAnsi"/>
          <w:color w:val="737373"/>
        </w:rPr>
        <w:t>"</w:t>
      </w:r>
      <w:hyperlink r:id="rId301" w:anchor="Business-and-Employer" w:history="1">
        <w:r w:rsidRPr="00F467FC">
          <w:rPr>
            <w:rFonts w:eastAsia="Times New Roman" w:cstheme="minorHAnsi"/>
            <w:i/>
            <w:iCs/>
            <w:color w:val="0F88B8"/>
            <w:u w:val="single"/>
            <w:bdr w:val="none" w:sz="0" w:space="0" w:color="auto" w:frame="1"/>
          </w:rPr>
          <w:t>Business and Employer Planning and Preparedness</w:t>
        </w:r>
      </w:hyperlink>
      <w:r w:rsidRPr="00F467FC">
        <w:rPr>
          <w:rFonts w:eastAsia="Times New Roman" w:cstheme="minorHAnsi"/>
          <w:color w:val="737373"/>
        </w:rPr>
        <w:t>"</w:t>
      </w:r>
    </w:p>
    <w:p w14:paraId="1D523B08" w14:textId="77777777" w:rsidR="00F44300" w:rsidRPr="00F467FC" w:rsidRDefault="00F44300">
      <w:pPr>
        <w:rPr>
          <w:rFonts w:cstheme="minorHAnsi"/>
        </w:rPr>
      </w:pPr>
    </w:p>
    <w:p w14:paraId="3E6A18A6" w14:textId="2AE19956" w:rsidR="00D75B67" w:rsidRDefault="00D75B67" w:rsidP="001B6E3F">
      <w:pPr>
        <w:spacing w:line="480" w:lineRule="auto"/>
        <w:rPr>
          <w:rFonts w:cstheme="minorHAnsi"/>
        </w:rPr>
      </w:pPr>
    </w:p>
    <w:p w14:paraId="2BC44F29" w14:textId="251DA659" w:rsidR="00CF5EC2" w:rsidRDefault="00CF5EC2" w:rsidP="001B6E3F">
      <w:pPr>
        <w:spacing w:line="480" w:lineRule="auto"/>
        <w:rPr>
          <w:rFonts w:cstheme="minorHAnsi"/>
        </w:rPr>
      </w:pPr>
    </w:p>
    <w:p w14:paraId="33D2061A" w14:textId="77777777" w:rsidR="00CF5EC2" w:rsidRPr="00F93EAF" w:rsidRDefault="00CF5EC2" w:rsidP="00CF5EC2">
      <w:pPr>
        <w:rPr>
          <w:rFonts w:cstheme="minorHAnsi"/>
          <w:color w:val="0070C0"/>
        </w:rPr>
      </w:pPr>
      <w:hyperlink w:anchor="PH_Info_TOC_Top" w:history="1">
        <w:r w:rsidRPr="00F93EAF">
          <w:rPr>
            <w:rStyle w:val="Heading2Char"/>
            <w:rFonts w:asciiTheme="minorHAnsi" w:eastAsiaTheme="minorHAnsi" w:hAnsiTheme="minorHAnsi" w:cstheme="minorHAnsi"/>
            <w:color w:val="0070C0"/>
            <w:sz w:val="24"/>
          </w:rPr>
          <w:t>[TOC Top]</w:t>
        </w:r>
      </w:hyperlink>
    </w:p>
    <w:p w14:paraId="7D835E9F" w14:textId="77777777" w:rsidR="00CF5EC2" w:rsidRPr="002F2093" w:rsidRDefault="00CF5EC2" w:rsidP="001B6E3F">
      <w:pPr>
        <w:spacing w:line="480" w:lineRule="auto"/>
        <w:rPr>
          <w:rFonts w:cstheme="minorHAnsi"/>
        </w:rPr>
      </w:pPr>
    </w:p>
    <w:sectPr w:rsidR="00CF5EC2" w:rsidRPr="002F2093" w:rsidSect="00D57B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63A3F" w14:textId="77777777" w:rsidR="00641B66" w:rsidRDefault="00641B66" w:rsidP="00641B66">
      <w:r>
        <w:separator/>
      </w:r>
    </w:p>
  </w:endnote>
  <w:endnote w:type="continuationSeparator" w:id="0">
    <w:p w14:paraId="6A44FE47" w14:textId="77777777" w:rsidR="00641B66" w:rsidRDefault="00641B66" w:rsidP="00641B66">
      <w:r>
        <w:continuationSeparator/>
      </w:r>
    </w:p>
  </w:endnote>
  <w:endnote w:type="continuationNotice" w:id="1">
    <w:p w14:paraId="532BD5A8" w14:textId="77777777" w:rsidR="00DC2066" w:rsidRDefault="00DC20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2908693"/>
      <w:docPartObj>
        <w:docPartGallery w:val="Page Numbers (Bottom of Page)"/>
        <w:docPartUnique/>
      </w:docPartObj>
    </w:sdtPr>
    <w:sdtEndPr>
      <w:rPr>
        <w:noProof/>
      </w:rPr>
    </w:sdtEndPr>
    <w:sdtContent>
      <w:p w14:paraId="58CF37A0" w14:textId="7A69FA71" w:rsidR="00641B66" w:rsidRDefault="00641B66" w:rsidP="001B6E3F">
        <w:pP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57A36" w14:textId="77777777" w:rsidR="00641B66" w:rsidRDefault="00641B66" w:rsidP="00641B66">
      <w:r>
        <w:separator/>
      </w:r>
    </w:p>
  </w:footnote>
  <w:footnote w:type="continuationSeparator" w:id="0">
    <w:p w14:paraId="3830A2B1" w14:textId="77777777" w:rsidR="00641B66" w:rsidRDefault="00641B66" w:rsidP="00641B66">
      <w:r>
        <w:continuationSeparator/>
      </w:r>
    </w:p>
  </w:footnote>
  <w:footnote w:type="continuationNotice" w:id="1">
    <w:p w14:paraId="342FCB56" w14:textId="77777777" w:rsidR="00DC2066" w:rsidRDefault="00DC20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4089"/>
    <w:multiLevelType w:val="hybridMultilevel"/>
    <w:tmpl w:val="1C7AE0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0E48E6"/>
    <w:multiLevelType w:val="multilevel"/>
    <w:tmpl w:val="C9B0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44A7B"/>
    <w:multiLevelType w:val="multilevel"/>
    <w:tmpl w:val="2820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345E9"/>
    <w:multiLevelType w:val="hybridMultilevel"/>
    <w:tmpl w:val="83EEA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12146D"/>
    <w:multiLevelType w:val="hybridMultilevel"/>
    <w:tmpl w:val="A01E2F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C35317"/>
    <w:multiLevelType w:val="multilevel"/>
    <w:tmpl w:val="BBFA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C1E1B"/>
    <w:multiLevelType w:val="multilevel"/>
    <w:tmpl w:val="2D7C4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7028F"/>
    <w:multiLevelType w:val="hybridMultilevel"/>
    <w:tmpl w:val="A1C6C8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0462CD"/>
    <w:multiLevelType w:val="multilevel"/>
    <w:tmpl w:val="3C14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B1EF8"/>
    <w:multiLevelType w:val="multilevel"/>
    <w:tmpl w:val="7FC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23D8A"/>
    <w:multiLevelType w:val="hybridMultilevel"/>
    <w:tmpl w:val="1270B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C527ACA"/>
    <w:multiLevelType w:val="hybridMultilevel"/>
    <w:tmpl w:val="B3DA4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795839"/>
    <w:multiLevelType w:val="hybridMultilevel"/>
    <w:tmpl w:val="8EF6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3A0A04"/>
    <w:multiLevelType w:val="hybridMultilevel"/>
    <w:tmpl w:val="C62C3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5B1D24"/>
    <w:multiLevelType w:val="hybridMultilevel"/>
    <w:tmpl w:val="2D46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A5BD0"/>
    <w:multiLevelType w:val="hybridMultilevel"/>
    <w:tmpl w:val="29A069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264C04"/>
    <w:multiLevelType w:val="hybridMultilevel"/>
    <w:tmpl w:val="FC56F8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641606"/>
    <w:multiLevelType w:val="hybridMultilevel"/>
    <w:tmpl w:val="15C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A47FD5"/>
    <w:multiLevelType w:val="hybridMultilevel"/>
    <w:tmpl w:val="A3D2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253ECE"/>
    <w:multiLevelType w:val="hybridMultilevel"/>
    <w:tmpl w:val="E2D21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04F7C"/>
    <w:multiLevelType w:val="multilevel"/>
    <w:tmpl w:val="FE244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152340"/>
    <w:multiLevelType w:val="hybridMultilevel"/>
    <w:tmpl w:val="15EC5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4842E8"/>
    <w:multiLevelType w:val="hybridMultilevel"/>
    <w:tmpl w:val="ED0EC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C6F1155"/>
    <w:multiLevelType w:val="multilevel"/>
    <w:tmpl w:val="3B56A6B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F509BC"/>
    <w:multiLevelType w:val="hybridMultilevel"/>
    <w:tmpl w:val="4D286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6664E9"/>
    <w:multiLevelType w:val="multilevel"/>
    <w:tmpl w:val="F9442D0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395ADB"/>
    <w:multiLevelType w:val="hybridMultilevel"/>
    <w:tmpl w:val="C5584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1C33F3"/>
    <w:multiLevelType w:val="multilevel"/>
    <w:tmpl w:val="4966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97FD5"/>
    <w:multiLevelType w:val="hybridMultilevel"/>
    <w:tmpl w:val="CE2E6F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C7181A"/>
    <w:multiLevelType w:val="hybridMultilevel"/>
    <w:tmpl w:val="BF1E7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286854"/>
    <w:multiLevelType w:val="hybridMultilevel"/>
    <w:tmpl w:val="4F62C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A75254F"/>
    <w:multiLevelType w:val="multilevel"/>
    <w:tmpl w:val="135C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98619D"/>
    <w:multiLevelType w:val="hybridMultilevel"/>
    <w:tmpl w:val="278ED0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AA30E26"/>
    <w:multiLevelType w:val="multilevel"/>
    <w:tmpl w:val="E9EC8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B20EE7"/>
    <w:multiLevelType w:val="hybridMultilevel"/>
    <w:tmpl w:val="C974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8"/>
  </w:num>
  <w:num w:numId="5">
    <w:abstractNumId w:val="9"/>
  </w:num>
  <w:num w:numId="6">
    <w:abstractNumId w:val="27"/>
  </w:num>
  <w:num w:numId="7">
    <w:abstractNumId w:val="1"/>
  </w:num>
  <w:num w:numId="8">
    <w:abstractNumId w:val="31"/>
  </w:num>
  <w:num w:numId="9">
    <w:abstractNumId w:val="4"/>
  </w:num>
  <w:num w:numId="10">
    <w:abstractNumId w:val="7"/>
  </w:num>
  <w:num w:numId="11">
    <w:abstractNumId w:val="0"/>
  </w:num>
  <w:num w:numId="12">
    <w:abstractNumId w:val="28"/>
  </w:num>
  <w:num w:numId="13">
    <w:abstractNumId w:val="30"/>
  </w:num>
  <w:num w:numId="14">
    <w:abstractNumId w:val="26"/>
  </w:num>
  <w:num w:numId="15">
    <w:abstractNumId w:val="25"/>
  </w:num>
  <w:num w:numId="16">
    <w:abstractNumId w:val="11"/>
  </w:num>
  <w:num w:numId="17">
    <w:abstractNumId w:val="13"/>
  </w:num>
  <w:num w:numId="18">
    <w:abstractNumId w:val="23"/>
  </w:num>
  <w:num w:numId="19">
    <w:abstractNumId w:val="3"/>
  </w:num>
  <w:num w:numId="20">
    <w:abstractNumId w:val="20"/>
  </w:num>
  <w:num w:numId="21">
    <w:abstractNumId w:val="17"/>
  </w:num>
  <w:num w:numId="22">
    <w:abstractNumId w:val="24"/>
  </w:num>
  <w:num w:numId="23">
    <w:abstractNumId w:val="21"/>
  </w:num>
  <w:num w:numId="24">
    <w:abstractNumId w:val="18"/>
  </w:num>
  <w:num w:numId="25">
    <w:abstractNumId w:val="12"/>
  </w:num>
  <w:num w:numId="26">
    <w:abstractNumId w:val="34"/>
  </w:num>
  <w:num w:numId="27">
    <w:abstractNumId w:val="22"/>
  </w:num>
  <w:num w:numId="28">
    <w:abstractNumId w:val="15"/>
  </w:num>
  <w:num w:numId="29">
    <w:abstractNumId w:val="16"/>
  </w:num>
  <w:num w:numId="30">
    <w:abstractNumId w:val="32"/>
  </w:num>
  <w:num w:numId="31">
    <w:abstractNumId w:val="10"/>
  </w:num>
  <w:num w:numId="32">
    <w:abstractNumId w:val="29"/>
  </w:num>
  <w:num w:numId="33">
    <w:abstractNumId w:val="33"/>
  </w:num>
  <w:num w:numId="34">
    <w:abstractNumId w:val="14"/>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B67"/>
    <w:rsid w:val="00016694"/>
    <w:rsid w:val="00105592"/>
    <w:rsid w:val="00145779"/>
    <w:rsid w:val="00151278"/>
    <w:rsid w:val="00153263"/>
    <w:rsid w:val="00192387"/>
    <w:rsid w:val="001B6E3F"/>
    <w:rsid w:val="002121D5"/>
    <w:rsid w:val="0022105D"/>
    <w:rsid w:val="00243C12"/>
    <w:rsid w:val="002C7869"/>
    <w:rsid w:val="002F2093"/>
    <w:rsid w:val="003522C2"/>
    <w:rsid w:val="004505F9"/>
    <w:rsid w:val="004573E0"/>
    <w:rsid w:val="00476446"/>
    <w:rsid w:val="0058152B"/>
    <w:rsid w:val="005B6797"/>
    <w:rsid w:val="00641B66"/>
    <w:rsid w:val="0066574D"/>
    <w:rsid w:val="006B0020"/>
    <w:rsid w:val="008028EB"/>
    <w:rsid w:val="00840E3B"/>
    <w:rsid w:val="008520DA"/>
    <w:rsid w:val="008A359F"/>
    <w:rsid w:val="008B30E7"/>
    <w:rsid w:val="008F4E09"/>
    <w:rsid w:val="00A6696B"/>
    <w:rsid w:val="00AE177B"/>
    <w:rsid w:val="00B75B7F"/>
    <w:rsid w:val="00BE5941"/>
    <w:rsid w:val="00BF7968"/>
    <w:rsid w:val="00CF5EC2"/>
    <w:rsid w:val="00D57B4C"/>
    <w:rsid w:val="00D75B67"/>
    <w:rsid w:val="00D7729C"/>
    <w:rsid w:val="00D774CF"/>
    <w:rsid w:val="00DC2066"/>
    <w:rsid w:val="00F1572E"/>
    <w:rsid w:val="00F44300"/>
    <w:rsid w:val="00F93EAF"/>
    <w:rsid w:val="00FD5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0923"/>
  <w15:chartTrackingRefBased/>
  <w15:docId w15:val="{0207B1C6-5561-4316-9358-C168465F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4430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75B6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30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75B6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75B67"/>
    <w:rPr>
      <w:color w:val="0000FF"/>
      <w:u w:val="single"/>
    </w:rPr>
  </w:style>
  <w:style w:type="paragraph" w:styleId="NormalWeb">
    <w:name w:val="Normal (Web)"/>
    <w:basedOn w:val="Normal"/>
    <w:uiPriority w:val="99"/>
    <w:semiHidden/>
    <w:unhideWhenUsed/>
    <w:rsid w:val="00D75B67"/>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D75B67"/>
    <w:rPr>
      <w:i/>
      <w:iCs/>
    </w:rPr>
  </w:style>
  <w:style w:type="character" w:styleId="Strong">
    <w:name w:val="Strong"/>
    <w:basedOn w:val="DefaultParagraphFont"/>
    <w:uiPriority w:val="22"/>
    <w:qFormat/>
    <w:rsid w:val="00D75B67"/>
    <w:rPr>
      <w:b/>
      <w:bCs/>
    </w:rPr>
  </w:style>
  <w:style w:type="paragraph" w:styleId="BalloonText">
    <w:name w:val="Balloon Text"/>
    <w:basedOn w:val="Normal"/>
    <w:link w:val="BalloonTextChar"/>
    <w:uiPriority w:val="99"/>
    <w:semiHidden/>
    <w:unhideWhenUsed/>
    <w:rsid w:val="00D75B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B67"/>
    <w:rPr>
      <w:rFonts w:ascii="Segoe UI" w:hAnsi="Segoe UI" w:cs="Segoe UI"/>
      <w:sz w:val="18"/>
      <w:szCs w:val="18"/>
    </w:rPr>
  </w:style>
  <w:style w:type="paragraph" w:styleId="Header">
    <w:name w:val="header"/>
    <w:basedOn w:val="Normal"/>
    <w:link w:val="HeaderChar"/>
    <w:uiPriority w:val="99"/>
    <w:unhideWhenUsed/>
    <w:rsid w:val="00641B66"/>
    <w:pPr>
      <w:tabs>
        <w:tab w:val="center" w:pos="4680"/>
        <w:tab w:val="right" w:pos="9360"/>
      </w:tabs>
    </w:pPr>
  </w:style>
  <w:style w:type="character" w:customStyle="1" w:styleId="HeaderChar">
    <w:name w:val="Header Char"/>
    <w:basedOn w:val="DefaultParagraphFont"/>
    <w:link w:val="Header"/>
    <w:uiPriority w:val="99"/>
    <w:rsid w:val="00641B66"/>
  </w:style>
  <w:style w:type="paragraph" w:styleId="Footer">
    <w:name w:val="footer"/>
    <w:basedOn w:val="Normal"/>
    <w:link w:val="FooterChar"/>
    <w:uiPriority w:val="99"/>
    <w:unhideWhenUsed/>
    <w:rsid w:val="00641B66"/>
    <w:pPr>
      <w:tabs>
        <w:tab w:val="center" w:pos="4680"/>
        <w:tab w:val="right" w:pos="9360"/>
      </w:tabs>
    </w:pPr>
  </w:style>
  <w:style w:type="character" w:customStyle="1" w:styleId="FooterChar">
    <w:name w:val="Footer Char"/>
    <w:basedOn w:val="DefaultParagraphFont"/>
    <w:link w:val="Footer"/>
    <w:uiPriority w:val="99"/>
    <w:rsid w:val="00641B66"/>
  </w:style>
  <w:style w:type="paragraph" w:styleId="ListParagraph">
    <w:name w:val="List Paragraph"/>
    <w:basedOn w:val="Normal"/>
    <w:uiPriority w:val="34"/>
    <w:qFormat/>
    <w:rsid w:val="00105592"/>
    <w:pPr>
      <w:ind w:left="720"/>
      <w:contextualSpacing/>
    </w:pPr>
  </w:style>
  <w:style w:type="paragraph" w:customStyle="1" w:styleId="Default">
    <w:name w:val="Default"/>
    <w:uiPriority w:val="99"/>
    <w:rsid w:val="00F44300"/>
    <w:pPr>
      <w:autoSpaceDE w:val="0"/>
      <w:autoSpaceDN w:val="0"/>
      <w:adjustRightInd w:val="0"/>
    </w:pPr>
    <w:rPr>
      <w:rFonts w:ascii="Garamond" w:eastAsia="Calibri" w:hAnsi="Garamond" w:cs="Garamond"/>
      <w:color w:val="000000"/>
      <w:sz w:val="24"/>
      <w:szCs w:val="24"/>
    </w:rPr>
  </w:style>
  <w:style w:type="paragraph" w:customStyle="1" w:styleId="msonormal0">
    <w:name w:val="msonormal"/>
    <w:basedOn w:val="Normal"/>
    <w:rsid w:val="00F44300"/>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505F9"/>
    <w:rPr>
      <w:color w:val="605E5C"/>
      <w:shd w:val="clear" w:color="auto" w:fill="E1DFDD"/>
    </w:rPr>
  </w:style>
  <w:style w:type="character" w:styleId="FollowedHyperlink">
    <w:name w:val="FollowedHyperlink"/>
    <w:basedOn w:val="DefaultParagraphFont"/>
    <w:uiPriority w:val="99"/>
    <w:semiHidden/>
    <w:unhideWhenUsed/>
    <w:rsid w:val="00D772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964352">
      <w:bodyDiv w:val="1"/>
      <w:marLeft w:val="0"/>
      <w:marRight w:val="0"/>
      <w:marTop w:val="0"/>
      <w:marBottom w:val="0"/>
      <w:divBdr>
        <w:top w:val="none" w:sz="0" w:space="0" w:color="auto"/>
        <w:left w:val="none" w:sz="0" w:space="0" w:color="auto"/>
        <w:bottom w:val="none" w:sz="0" w:space="0" w:color="auto"/>
        <w:right w:val="none" w:sz="0" w:space="0" w:color="auto"/>
      </w:divBdr>
      <w:divsChild>
        <w:div w:id="1351252865">
          <w:marLeft w:val="180"/>
          <w:marRight w:val="0"/>
          <w:marTop w:val="0"/>
          <w:marBottom w:val="0"/>
          <w:divBdr>
            <w:top w:val="dotted" w:sz="2" w:space="0" w:color="CCCCCC"/>
            <w:left w:val="dotted" w:sz="2" w:space="0" w:color="CCCCCC"/>
            <w:bottom w:val="dotted" w:sz="2" w:space="0" w:color="CCCCCC"/>
            <w:right w:val="dotted" w:sz="2" w:space="0" w:color="CCCCCC"/>
          </w:divBdr>
        </w:div>
        <w:div w:id="715008209">
          <w:marLeft w:val="0"/>
          <w:marRight w:val="270"/>
          <w:marTop w:val="0"/>
          <w:marBottom w:val="0"/>
          <w:divBdr>
            <w:top w:val="none" w:sz="0" w:space="0" w:color="auto"/>
            <w:left w:val="none" w:sz="0" w:space="0" w:color="auto"/>
            <w:bottom w:val="none" w:sz="0" w:space="0" w:color="auto"/>
            <w:right w:val="none" w:sz="0" w:space="0" w:color="auto"/>
          </w:divBdr>
          <w:divsChild>
            <w:div w:id="168651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pmc/articles/PMC1804110" TargetMode="External"/><Relationship Id="rId299" Type="http://schemas.openxmlformats.org/officeDocument/2006/relationships/hyperlink" Target="http://www.cdc.gov/mmwr/preview/mmwrhtml/su5301a3.htm" TargetMode="External"/><Relationship Id="rId303" Type="http://schemas.openxmlformats.org/officeDocument/2006/relationships/theme" Target="theme/theme1.xml"/><Relationship Id="rId21" Type="http://schemas.openxmlformats.org/officeDocument/2006/relationships/hyperlink" Target="http://www.astho.org/Programs/Preparedness/Public-Health-Emergency-Law/Public-Health-and-Information-Sharing-Toolkit/Collection-Use-Sharing-and-Protection-Issue-Brief/" TargetMode="External"/><Relationship Id="rId42" Type="http://schemas.openxmlformats.org/officeDocument/2006/relationships/hyperlink" Target="http://ise.gov/background-and-authorities" TargetMode="External"/><Relationship Id="rId63" Type="http://schemas.openxmlformats.org/officeDocument/2006/relationships/hyperlink" Target="http://supreme.justia.com/cases/federal/us/531/32/case.html" TargetMode="External"/><Relationship Id="rId84" Type="http://schemas.openxmlformats.org/officeDocument/2006/relationships/hyperlink" Target="http://www.ada.gov/q&amp;aeng02.htm" TargetMode="External"/><Relationship Id="rId138" Type="http://schemas.openxmlformats.org/officeDocument/2006/relationships/hyperlink" Target="http://www.astho.org/Programs/Preparedness/Public-Health-Emergency-Law/Public-Health-and-Information-Sharing-Toolkit/Information-Sharing-Toolkit-Supplemental-Materials/" TargetMode="External"/><Relationship Id="rId159" Type="http://schemas.openxmlformats.org/officeDocument/2006/relationships/hyperlink" Target="http://www.astho.org/Programs/Preparedness/Public-Health-Emergency-Law/Public-Health-and-Information-Sharing-Toolkit/Information-Sharing-Toolkit-Supplemental-Materials/" TargetMode="External"/><Relationship Id="rId170" Type="http://schemas.openxmlformats.org/officeDocument/2006/relationships/hyperlink" Target="http://www.astho.org/Programs/Preparedness/Public-Health-Emergency-Law/Public-Health-and-Information-Sharing-Toolkit/Information-Sharing-Toolkit-Supplemental-Materials/" TargetMode="External"/><Relationship Id="rId191" Type="http://schemas.openxmlformats.org/officeDocument/2006/relationships/hyperlink" Target="http://www.osha.gov/Publications/influenza_pandemic.html" TargetMode="External"/><Relationship Id="rId205" Type="http://schemas.openxmlformats.org/officeDocument/2006/relationships/hyperlink" Target="http://www.nasemso.org/Projects/DomesticPreparedness/documents/JIMOUFinal.pdf" TargetMode="External"/><Relationship Id="rId226" Type="http://schemas.openxmlformats.org/officeDocument/2006/relationships/hyperlink" Target="http://www2.ed.gov/policy/gen/guid/fpco/ferpa/library/suarezconflict.html" TargetMode="External"/><Relationship Id="rId247" Type="http://schemas.openxmlformats.org/officeDocument/2006/relationships/hyperlink" Target="http://www.sog.unc.edu/sites/www.sog.unc.edu/files/additional_files/LE-May%202013.pdf" TargetMode="External"/><Relationship Id="rId107" Type="http://schemas.openxmlformats.org/officeDocument/2006/relationships/hyperlink" Target="http://www.sph.unc.edu/images/stories/academic_programs/hpaa/documents/oconnor.pdf" TargetMode="External"/><Relationship Id="rId268" Type="http://schemas.openxmlformats.org/officeDocument/2006/relationships/hyperlink" Target="http://www.it.ojp.gov/default.aspx?area=nationalInitiatives&amp;page=1181" TargetMode="External"/><Relationship Id="rId289" Type="http://schemas.openxmlformats.org/officeDocument/2006/relationships/hyperlink" Target="http://www.osha.gov/SLTC/emergencypreparedness/index.html" TargetMode="External"/><Relationship Id="rId11" Type="http://schemas.openxmlformats.org/officeDocument/2006/relationships/hyperlink" Target="http://www.eeoc.gov/facts/ada18.html" TargetMode="External"/><Relationship Id="rId32" Type="http://schemas.openxmlformats.org/officeDocument/2006/relationships/hyperlink" Target="http://wwwnc.cdc.gov/eid/article/8/10/02-0400.htm" TargetMode="External"/><Relationship Id="rId53" Type="http://schemas.openxmlformats.org/officeDocument/2006/relationships/hyperlink" Target="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 TargetMode="External"/><Relationship Id="rId74" Type="http://schemas.openxmlformats.org/officeDocument/2006/relationships/hyperlink" Target="http://www.osha.gov/workers.html" TargetMode="External"/><Relationship Id="rId128" Type="http://schemas.openxmlformats.org/officeDocument/2006/relationships/hyperlink" Target="http://www.state.il.us/court/opinions/supremecourt/2006/february/opinions/html/98712.htm" TargetMode="External"/><Relationship Id="rId149" Type="http://schemas.openxmlformats.org/officeDocument/2006/relationships/hyperlink" Target="http://www.astho.org/Programs/Preparedness/Public-Health-Emergency-Law/Public-Health-and-Information-Sharing-Toolkit/Information-Sharing-Toolkit-Supplemental-Materials/" TargetMode="External"/><Relationship Id="rId5" Type="http://schemas.openxmlformats.org/officeDocument/2006/relationships/footnotes" Target="footnotes.xml"/><Relationship Id="rId95" Type="http://schemas.openxmlformats.org/officeDocument/2006/relationships/hyperlink" Target="http://library.ahima.org/xpedio/groups/public/documents/ahima/bok1_048641.hcsp?dDocName=bok1_048641" TargetMode="External"/><Relationship Id="rId160" Type="http://schemas.openxmlformats.org/officeDocument/2006/relationships/hyperlink" Target="http://www.astho.org/Programs/Preparedness/Public-Health-Emergency-Law/Public-Health-and-Information-Sharing-Toolkit/Information-Sharing-Toolkit-Supplemental-Materials/" TargetMode="External"/><Relationship Id="rId181" Type="http://schemas.openxmlformats.org/officeDocument/2006/relationships/hyperlink" Target="http://www.ecfr.gov/cgi-bin/text-idx?c=ecfr&amp;SID=b9f754926538462babadcb0803fa971c&amp;rgn=div5&amp;view=text&amp;node=29:4.1.4.1.20&amp;idno=29" TargetMode="External"/><Relationship Id="rId216" Type="http://schemas.openxmlformats.org/officeDocument/2006/relationships/hyperlink" Target="http://www.eeoc.gov/facts/ada18.html" TargetMode="External"/><Relationship Id="rId237" Type="http://schemas.openxmlformats.org/officeDocument/2006/relationships/hyperlink" Target="http://www.hhs.gov/ocr/privacy/hipaa/understanding/coveredentities/hitechact.pdf" TargetMode="External"/><Relationship Id="rId258" Type="http://schemas.openxmlformats.org/officeDocument/2006/relationships/hyperlink" Target="http://sph-dev.sites.unc.edu/files/2013/08/oconnor.pdf" TargetMode="External"/><Relationship Id="rId279" Type="http://schemas.openxmlformats.org/officeDocument/2006/relationships/hyperlink" Target="http://www.hhs.gov/ocr/privacy/hipaa/faq/disclosures_for_law_enforcement_purposes/505.html" TargetMode="External"/><Relationship Id="rId22" Type="http://schemas.openxmlformats.org/officeDocument/2006/relationships/hyperlink" Target="http://www.astho.org/Programs/Preparedness/Public-Health-Emergency-Law/Public-Health-and-Schools-Toolkit/Public-Health---Schools-Toolkit/" TargetMode="External"/><Relationship Id="rId43" Type="http://schemas.openxmlformats.org/officeDocument/2006/relationships/hyperlink" Target="http://ise.gov/background-and-authorities" TargetMode="External"/><Relationship Id="rId64" Type="http://schemas.openxmlformats.org/officeDocument/2006/relationships/hyperlink" Target="http://biotech.law.lsu.edu/map/PrivilegeagainstSelf-Incrimination.html" TargetMode="External"/><Relationship Id="rId118" Type="http://schemas.openxmlformats.org/officeDocument/2006/relationships/hyperlink" Target="http://wwwn.cdc.gov/nndss/" TargetMode="External"/><Relationship Id="rId139" Type="http://schemas.openxmlformats.org/officeDocument/2006/relationships/hyperlink" Target="http://www.astho.org/Programs/Preparedness/Public-Health-Emergency-Law/Public-Health-and-Information-Sharing-Toolkit/Information-Sharing-Toolkit-Supplemental-Materials/" TargetMode="External"/><Relationship Id="rId290" Type="http://schemas.openxmlformats.org/officeDocument/2006/relationships/hyperlink" Target="http://www.osha.gov/workers.html" TargetMode="External"/><Relationship Id="rId85" Type="http://schemas.openxmlformats.org/officeDocument/2006/relationships/hyperlink" Target="http://www.ada.gov/q&amp;aeng02.htm" TargetMode="External"/><Relationship Id="rId150" Type="http://schemas.openxmlformats.org/officeDocument/2006/relationships/hyperlink" Target="http://www.astho.org/Programs/Preparedness/Public-Health-Emergency-Law/Public-Health-and-Information-Sharing-Toolkit/Information-Sharing-Toolkit-Supplemental-Materials/" TargetMode="External"/><Relationship Id="rId171" Type="http://schemas.openxmlformats.org/officeDocument/2006/relationships/hyperlink" Target="http://www.cdc.gov/phlp/publications/topic/emergency.html" TargetMode="External"/><Relationship Id="rId192" Type="http://schemas.openxmlformats.org/officeDocument/2006/relationships/hyperlink" Target="http://www.flu.gov/planning-preparedness/business/index.html" TargetMode="External"/><Relationship Id="rId206" Type="http://schemas.openxmlformats.org/officeDocument/2006/relationships/hyperlink" Target="http://www.dhs.gov/sites/default/files/publications/CII-Act-508.pdf" TargetMode="External"/><Relationship Id="rId227" Type="http://schemas.openxmlformats.org/officeDocument/2006/relationships/hyperlink" Target="http://www2.ed.gov/policy/gen/guid/fpco/ferpa/library/baiseunmslc.html" TargetMode="External"/><Relationship Id="rId248" Type="http://schemas.openxmlformats.org/officeDocument/2006/relationships/hyperlink" Target="http://www.hhs.gov/ocr/privacy/hipaa/understanding/special/emergency/decisiontoolintro.html" TargetMode="External"/><Relationship Id="rId269" Type="http://schemas.openxmlformats.org/officeDocument/2006/relationships/hyperlink" Target="http://ise.gov/background-and-authorities" TargetMode="External"/><Relationship Id="rId12" Type="http://schemas.openxmlformats.org/officeDocument/2006/relationships/hyperlink" Target="http://www.ada.gov/q&amp;aeng02.htm" TargetMode="External"/><Relationship Id="rId33" Type="http://schemas.openxmlformats.org/officeDocument/2006/relationships/hyperlink" Target="http://www.nasemso.org/Projects/DomesticPreparedness/documents/JIMOUFinal.pdf" TargetMode="External"/><Relationship Id="rId108" Type="http://schemas.openxmlformats.org/officeDocument/2006/relationships/hyperlink" Target="http://www.thefsrc.org/State_Local/StateLocal_June17_background.pdf" TargetMode="External"/><Relationship Id="rId129" Type="http://schemas.openxmlformats.org/officeDocument/2006/relationships/hyperlink" Target="http://www.rcfp.org/sites/default/files/homefront-confidential.pdf" TargetMode="External"/><Relationship Id="rId280" Type="http://schemas.openxmlformats.org/officeDocument/2006/relationships/hyperlink" Target="http://www.cdc.gov/phlp/docs/CrimEpiHandbook2011.pdf" TargetMode="External"/><Relationship Id="rId54" Type="http://schemas.openxmlformats.org/officeDocument/2006/relationships/hyperlink" Target="http://www.law.asu.edu/publichealthlaw/PublicHealthLaw/Resources.aspx" TargetMode="External"/><Relationship Id="rId75" Type="http://schemas.openxmlformats.org/officeDocument/2006/relationships/hyperlink" Target="http://www.osha.gov/dcsp/osp/public_sector.html" TargetMode="External"/><Relationship Id="rId96" Type="http://schemas.openxmlformats.org/officeDocument/2006/relationships/hyperlink" Target="http://www.bu.edu/law/central/jd/organizations/journals/bulr/volume87n2/documents/MARINERv.2.pdf" TargetMode="External"/><Relationship Id="rId140" Type="http://schemas.openxmlformats.org/officeDocument/2006/relationships/hyperlink" Target="http://www.astho.org/Programs/Preparedness/Public-Health-Emergency-Law/Public-Health-and-Information-Sharing-Toolkit/Information-Sharing-Toolkit-Supplemental-Materials/" TargetMode="External"/><Relationship Id="rId161" Type="http://schemas.openxmlformats.org/officeDocument/2006/relationships/hyperlink" Target="http://www.astho.org/Programs/Preparedness/Public-Health-Emergency-Law/Public-Health-and-Information-Sharing-Toolkit/Information-Sharing-Toolkit-Supplemental-Materials/" TargetMode="External"/><Relationship Id="rId182" Type="http://schemas.openxmlformats.org/officeDocument/2006/relationships/hyperlink" Target="http://www.ecfr.gov/cgi-bin/text-idx?c=ecfr&amp;SID=e321b407b06a7492fa21011485e818de&amp;rgn=div5&amp;view=text&amp;node=28:1.0.1.1.36&amp;idno=28" TargetMode="External"/><Relationship Id="rId217" Type="http://schemas.openxmlformats.org/officeDocument/2006/relationships/hyperlink" Target="http://www.ncbi.nlm.nih.gov/pmc/articles/PMC1804110" TargetMode="External"/><Relationship Id="rId6" Type="http://schemas.openxmlformats.org/officeDocument/2006/relationships/endnotes" Target="endnotes.xml"/><Relationship Id="rId238" Type="http://schemas.openxmlformats.org/officeDocument/2006/relationships/hyperlink" Target="http://www.hhs.gov/ocr/privacy/hipaa/understanding/coveredentities/hitechblurb.html" TargetMode="External"/><Relationship Id="rId259" Type="http://schemas.openxmlformats.org/officeDocument/2006/relationships/hyperlink" Target="http://www.dhs.gov/information-sharing" TargetMode="External"/><Relationship Id="rId23" Type="http://schemas.openxmlformats.org/officeDocument/2006/relationships/hyperlink" Target="http://www.cdc.gov/phpr/capabilities/DSLR_capabilities_July.pdf" TargetMode="External"/><Relationship Id="rId119" Type="http://schemas.openxmlformats.org/officeDocument/2006/relationships/hyperlink" Target="http://law.justia.com/cases/federal/appellate-courts/ca11/12-11967/12-11967-2012-09-14.html" TargetMode="External"/><Relationship Id="rId270" Type="http://schemas.openxmlformats.org/officeDocument/2006/relationships/hyperlink" Target="http://www.astho.org/Programs/Preparedness/Public-Health-Emergency-Law/Public-Health-and-Information-Sharing-Toolkit/Information-Sharing-Toolkit-Supplemental-Materials/" TargetMode="External"/><Relationship Id="rId291" Type="http://schemas.openxmlformats.org/officeDocument/2006/relationships/hyperlink" Target="https://www.osha.gov/workers/index.html" TargetMode="External"/><Relationship Id="rId44" Type="http://schemas.openxmlformats.org/officeDocument/2006/relationships/hyperlink" Target="http://www.dtic.mil/cgi-bin/GetTRDoc?AD=ADA499988" TargetMode="External"/><Relationship Id="rId65" Type="http://schemas.openxmlformats.org/officeDocument/2006/relationships/hyperlink" Target="http://www.hhs.gov/ocr/privacy/hipaa/understanding/summary/privacysummary.pdf" TargetMode="External"/><Relationship Id="rId86" Type="http://schemas.openxmlformats.org/officeDocument/2006/relationships/hyperlink" Target="http://www.eeoc.gov/facts/pandemic_flu.html" TargetMode="External"/><Relationship Id="rId130" Type="http://schemas.openxmlformats.org/officeDocument/2006/relationships/hyperlink" Target="http://www.rcfp.org/open-government-guide" TargetMode="External"/><Relationship Id="rId151" Type="http://schemas.openxmlformats.org/officeDocument/2006/relationships/hyperlink" Target="http://www.astho.org/Programs/Preparedness/Public-Health-Emergency-Law/Public-Health-and-Information-Sharing-Toolkit/Information-Sharing-Toolkit-Supplemental-Materials/" TargetMode="External"/><Relationship Id="rId172" Type="http://schemas.openxmlformats.org/officeDocument/2006/relationships/hyperlink" Target="http://www.fema.gov/pdf/emergency/nrf/nrf-core.pdf" TargetMode="External"/><Relationship Id="rId193" Type="http://schemas.openxmlformats.org/officeDocument/2006/relationships/hyperlink" Target="http://www.osha.gov/dsg/topics/pandemicflu/index.html" TargetMode="External"/><Relationship Id="rId207" Type="http://schemas.openxmlformats.org/officeDocument/2006/relationships/hyperlink" Target="http://www.dhs.gov/protected-critical-infrastructure-information-pcii-program" TargetMode="External"/><Relationship Id="rId228" Type="http://schemas.openxmlformats.org/officeDocument/2006/relationships/hyperlink" Target="http://www.astho.org/Programs/Preparedness/Public-Health-Emergency-Law/Public-Health-and-Information-Sharing-Toolkit/Information-Sharing-Toolkit-Supplemental-Materials/" TargetMode="External"/><Relationship Id="rId249" Type="http://schemas.openxmlformats.org/officeDocument/2006/relationships/hyperlink" Target="http://www.hhs.gov/ocr/privacy/hipaa/faq/index.html" TargetMode="External"/><Relationship Id="rId13" Type="http://schemas.openxmlformats.org/officeDocument/2006/relationships/hyperlink" Target="http://eeoc.gov/facts/evacuation.html" TargetMode="External"/><Relationship Id="rId109" Type="http://schemas.openxmlformats.org/officeDocument/2006/relationships/hyperlink" Target="http://www.law.cornell.edu/supct/html/90-622.ZS.html" TargetMode="External"/><Relationship Id="rId260" Type="http://schemas.openxmlformats.org/officeDocument/2006/relationships/hyperlink" Target="http://www.it.ojp.gov/default.aspx?area=nationalInitiatives&amp;page=1181" TargetMode="External"/><Relationship Id="rId281" Type="http://schemas.openxmlformats.org/officeDocument/2006/relationships/hyperlink" Target="https://www.ncjrs.gov/pdffiles1/bja/214333.pdf" TargetMode="External"/><Relationship Id="rId34" Type="http://schemas.openxmlformats.org/officeDocument/2006/relationships/hyperlink" Target="http://wwwnc.cdc.gov/eid/article/8/10/02-0465_article.htm" TargetMode="External"/><Relationship Id="rId55" Type="http://schemas.openxmlformats.org/officeDocument/2006/relationships/hyperlink" Target="http://www.aclu.org/files/pdfs/privacy/fusion_update_20080729.pdf" TargetMode="External"/><Relationship Id="rId76" Type="http://schemas.openxmlformats.org/officeDocument/2006/relationships/hyperlink" Target="http://www.osha.gov/dcsp/osp/public_sector.html" TargetMode="External"/><Relationship Id="rId97" Type="http://schemas.openxmlformats.org/officeDocument/2006/relationships/hyperlink" Target="http://georgetown.lawreviewnetwork.com/files/pdf/96-2/Stoto.PDF" TargetMode="External"/><Relationship Id="rId120" Type="http://schemas.openxmlformats.org/officeDocument/2006/relationships/hyperlink" Target="http://www.networkforphl.org/_asset/xdm731/TB-Control---Speaker-District-Ct--Decision.pdf" TargetMode="External"/><Relationship Id="rId141" Type="http://schemas.openxmlformats.org/officeDocument/2006/relationships/hyperlink" Target="http://www.astho.org/Programs/Preparedness/Public-Health-Emergency-Law/Public-Health-and-Information-Sharing-Toolkit/Information-Sharing-Toolkit-Supplemental-Materials/" TargetMode="External"/><Relationship Id="rId7" Type="http://schemas.openxmlformats.org/officeDocument/2006/relationships/hyperlink" Target="http://www.astho.org/Programs/Preparedness/Public-Health-Emergency-Law/Public-Health-Emergency-Law/" TargetMode="External"/><Relationship Id="rId162" Type="http://schemas.openxmlformats.org/officeDocument/2006/relationships/hyperlink" Target="http://www.astho.org/Programs/Preparedness/Public-Health-Emergency-Law/Public-Health-and-Information-Sharing-Toolkit/Information-Sharing-Toolkit-Supplemental-Materials/" TargetMode="External"/><Relationship Id="rId183" Type="http://schemas.openxmlformats.org/officeDocument/2006/relationships/hyperlink" Target="http://www.ecfr.gov/cgi-bin/text-idx?c=ecfr&amp;SID=b9f754926538462babadcb0803fa971c&amp;rgn=div5&amp;view=text&amp;node=29:4.1.4.1.20&amp;idno=29" TargetMode="External"/><Relationship Id="rId218" Type="http://schemas.openxmlformats.org/officeDocument/2006/relationships/hyperlink" Target="http://www.gpo.gov/fdsys/pkg/USCODE-2009-title20/pdf/USCODE-2009-title20-chap31-subchapIII-part4-sec1232g.pdf" TargetMode="External"/><Relationship Id="rId239" Type="http://schemas.openxmlformats.org/officeDocument/2006/relationships/hyperlink" Target="http://frwebgate.access.gpo.gov/cgi-bin/getdoc.cgi?dbname=104_cong_public_laws&amp;docid=f:publ191.104" TargetMode="External"/><Relationship Id="rId2" Type="http://schemas.openxmlformats.org/officeDocument/2006/relationships/styles" Target="styles.xml"/><Relationship Id="rId29" Type="http://schemas.openxmlformats.org/officeDocument/2006/relationships/hyperlink" Target="http://cdc.gov/phlp/docs/CDC_BJA_Framework.pdf" TargetMode="External"/><Relationship Id="rId250" Type="http://schemas.openxmlformats.org/officeDocument/2006/relationships/hyperlink" Target="http://www.hhs.gov/ocr/privacy/hipaa/faq/disclosures_for_law_enforcement_purposes/505.html" TargetMode="External"/><Relationship Id="rId255" Type="http://schemas.openxmlformats.org/officeDocument/2006/relationships/hyperlink" Target="http://caselaw.lp.findlaw.com/cgi-bin/getcase.pl?court=us&amp;vol=197&amp;invol=11" TargetMode="External"/><Relationship Id="rId271" Type="http://schemas.openxmlformats.org/officeDocument/2006/relationships/hyperlink" Target="http://www.astho.org/Programs/Preparedness/Public-Health-Emergency-Law/Public-Health-and-Information-Sharing-Toolkit/Information-Sharing-Toolkit-Supplemental-Materials/" TargetMode="External"/><Relationship Id="rId276" Type="http://schemas.openxmlformats.org/officeDocument/2006/relationships/hyperlink" Target="http://www.cdc.gov/phlp/publications/forensicepidemiology/index.html" TargetMode="External"/><Relationship Id="rId292" Type="http://schemas.openxmlformats.org/officeDocument/2006/relationships/hyperlink" Target="http://www.gpo.gov/fdsys/pkg/PLAW-107publ188/html/PLAW-107publ188.htm" TargetMode="External"/><Relationship Id="rId297" Type="http://schemas.openxmlformats.org/officeDocument/2006/relationships/hyperlink" Target="http://wwwn.cdc.gov/nndss/" TargetMode="External"/><Relationship Id="rId24" Type="http://schemas.openxmlformats.org/officeDocument/2006/relationships/hyperlink" Target="http://cdc.gov/phlp/docs/CDC_BJA_Framework.pdf" TargetMode="External"/><Relationship Id="rId40" Type="http://schemas.openxmlformats.org/officeDocument/2006/relationships/hyperlink" Target="http://www.cdc.gov/phlp/docs/CrimEpiHandbook2011.pdf" TargetMode="External"/><Relationship Id="rId45" Type="http://schemas.openxmlformats.org/officeDocument/2006/relationships/hyperlink" Target="http://ise.gov/background-and-authorities" TargetMode="External"/><Relationship Id="rId66" Type="http://schemas.openxmlformats.org/officeDocument/2006/relationships/hyperlink" Target="http://www.hhs.gov/ocr/privacy/hipaa/faq/disclosures_for_law_enforcement_purposes/505.html" TargetMode="External"/><Relationship Id="rId87" Type="http://schemas.openxmlformats.org/officeDocument/2006/relationships/hyperlink" Target="http://eeoc.gov/facts/evacuation.html" TargetMode="External"/><Relationship Id="rId110" Type="http://schemas.openxmlformats.org/officeDocument/2006/relationships/hyperlink" Target="http://www.michigan.gov/documents/ag/Michigan_Public_Health_Bench_Book_221936_7.pdf" TargetMode="External"/><Relationship Id="rId115" Type="http://schemas.openxmlformats.org/officeDocument/2006/relationships/hyperlink" Target="http://www.oregonlaws.org/ors/433.008" TargetMode="External"/><Relationship Id="rId131" Type="http://schemas.openxmlformats.org/officeDocument/2006/relationships/hyperlink" Target="http://www.bu.edu/law/central/jd/organizations/journals/bulr/volume87n2/documents/MARINERv.2.pdf" TargetMode="External"/><Relationship Id="rId136" Type="http://schemas.openxmlformats.org/officeDocument/2006/relationships/footer" Target="footer1.xml"/><Relationship Id="rId157" Type="http://schemas.openxmlformats.org/officeDocument/2006/relationships/hyperlink" Target="http://www.astho.org/Programs/Preparedness/Public-Health-Emergency-Law/Public-Health-and-Information-Sharing-Toolkit/Information-Sharing-Toolkit-Supplemental-Materials/" TargetMode="External"/><Relationship Id="rId178" Type="http://schemas.openxmlformats.org/officeDocument/2006/relationships/hyperlink" Target="http://www.astho.org/Programs/Preparedness/Public-Health-Emergency-Law/Public-Health-and-Information-Sharing-Toolkit/Information-Sharing-Toolkit-Supplemental-Materials/" TargetMode="External"/><Relationship Id="rId301" Type="http://schemas.openxmlformats.org/officeDocument/2006/relationships/hyperlink" Target="http://www.astho.org/Programs/Preparedness/Public-Health-Emergency-Law/Public-Health-and-Information-Sharing-Toolkit/Information-Sharing-Toolkit-Supplemental-Materials/" TargetMode="External"/><Relationship Id="rId61" Type="http://schemas.openxmlformats.org/officeDocument/2006/relationships/hyperlink" Target="http://supreme.justia.com/cases/federal/us/482/691/" TargetMode="External"/><Relationship Id="rId82" Type="http://schemas.openxmlformats.org/officeDocument/2006/relationships/hyperlink" Target="http://www.eeoc.gov/facts/ada18.html" TargetMode="External"/><Relationship Id="rId152" Type="http://schemas.openxmlformats.org/officeDocument/2006/relationships/hyperlink" Target="http://www.astho.org/Programs/Preparedness/Public-Health-Emergency-Law/Public-Health-and-Information-Sharing-Toolkit/Information-Sharing-Toolkit-Supplemental-Materials/" TargetMode="External"/><Relationship Id="rId173" Type="http://schemas.openxmlformats.org/officeDocument/2006/relationships/hyperlink" Target="http://www.cdc.gov/phpr/capabilities/DSLR_capabilities_July.pdf" TargetMode="External"/><Relationship Id="rId194" Type="http://schemas.openxmlformats.org/officeDocument/2006/relationships/hyperlink" Target="http://www.dol.gov/odep/topics/EmergencyPreparedness.htm" TargetMode="External"/><Relationship Id="rId199" Type="http://schemas.openxmlformats.org/officeDocument/2006/relationships/hyperlink" Target="http://www.law.cornell.edu/constitution" TargetMode="External"/><Relationship Id="rId203" Type="http://schemas.openxmlformats.org/officeDocument/2006/relationships/hyperlink" Target="http://www.fema.gov/pdf/emergency/nrf/nrf-core.pdf" TargetMode="External"/><Relationship Id="rId208" Type="http://schemas.openxmlformats.org/officeDocument/2006/relationships/hyperlink" Target="http://www.astho.org/Programs/Preparedness/Public-Health-Emergency-Law/Public-Health-and-Information-Sharing-Toolkit/Information-Sharing-Toolkit-Supplemental-Materials/" TargetMode="External"/><Relationship Id="rId229" Type="http://schemas.openxmlformats.org/officeDocument/2006/relationships/hyperlink" Target="http://www.astho.org/Programs/Preparedness/Public-Health-Emergency-Law/Public-Health-and-Information-Sharing-Toolkit/Information-Sharing-Toolkit-Supplemental-Materials/" TargetMode="External"/><Relationship Id="rId19" Type="http://schemas.openxmlformats.org/officeDocument/2006/relationships/hyperlink" Target="http://wwwnc.cdc.gov/eid/article/8/10/02-0465_article.htm" TargetMode="External"/><Relationship Id="rId224" Type="http://schemas.openxmlformats.org/officeDocument/2006/relationships/hyperlink" Target="http://www2.ed.gov/policy/gen/guid/fpco/pdf/ferpa-disaster-guidance.pdf" TargetMode="External"/><Relationship Id="rId240" Type="http://schemas.openxmlformats.org/officeDocument/2006/relationships/hyperlink" Target="http://www.hhs.gov/ocr/privacy/hipaa/understanding/coveredentities/introdution.html" TargetMode="External"/><Relationship Id="rId245" Type="http://schemas.openxmlformats.org/officeDocument/2006/relationships/hyperlink" Target="http://www.hhs.gov/ocr/privacy/index.html" TargetMode="External"/><Relationship Id="rId261" Type="http://schemas.openxmlformats.org/officeDocument/2006/relationships/hyperlink" Target="http://ise.gov/" TargetMode="External"/><Relationship Id="rId266" Type="http://schemas.openxmlformats.org/officeDocument/2006/relationships/hyperlink" Target="http://www.it.ojp.gov/docdownloader.aspx?ddid=1269" TargetMode="External"/><Relationship Id="rId287" Type="http://schemas.openxmlformats.org/officeDocument/2006/relationships/hyperlink" Target="http://www.ecfr.gov/cgi-bin/text-idx?SID=449145ee248d8381a44e34f33379e3f6&amp;c=ecfr&amp;tpl=/ecfrbrowse/Title29/29cfrv5_02.tpl" TargetMode="External"/><Relationship Id="rId14" Type="http://schemas.openxmlformats.org/officeDocument/2006/relationships/hyperlink" Target="http://www.eeoc.gov/facts/pandemic_flu.html" TargetMode="External"/><Relationship Id="rId30" Type="http://schemas.openxmlformats.org/officeDocument/2006/relationships/hyperlink" Target="http://www.law.uh.edu/hjhlp/Issues%5CVol_61%5CSutton.pdf" TargetMode="External"/><Relationship Id="rId35" Type="http://schemas.openxmlformats.org/officeDocument/2006/relationships/hyperlink" Target="https://www.ncjrs.gov/pdffiles1/bja/214333.pdf" TargetMode="External"/><Relationship Id="rId56" Type="http://schemas.openxmlformats.org/officeDocument/2006/relationships/hyperlink" Target="http://www.it.ojp.gov/documents/fusion_center_guidelines_law_enforcement.pdf" TargetMode="External"/><Relationship Id="rId77" Type="http://schemas.openxmlformats.org/officeDocument/2006/relationships/hyperlink" Target="http://www.osha.gov/Publications/influenza_pandemic.html" TargetMode="External"/><Relationship Id="rId100" Type="http://schemas.openxmlformats.org/officeDocument/2006/relationships/hyperlink" Target="http://www.cdc.gov/mmwr/preview/mmwrhtml/su5301a3.htm" TargetMode="External"/><Relationship Id="rId105" Type="http://schemas.openxmlformats.org/officeDocument/2006/relationships/hyperlink" Target="http://www.law.cornell.edu/supct/html/historics/USSC_CR_0428_0052_ZS.html" TargetMode="External"/><Relationship Id="rId126" Type="http://schemas.openxmlformats.org/officeDocument/2006/relationships/hyperlink" Target="http://www.legislature.mi.gov/(S(k54g34i2kgkkyxr1ia5vreet))/mileg.aspx?page=getObject&amp;objectname=mcl-15-243" TargetMode="External"/><Relationship Id="rId147" Type="http://schemas.openxmlformats.org/officeDocument/2006/relationships/hyperlink" Target="http://www.astho.org/Programs/Preparedness/Public-Health-Emergency-Law/Public-Health-and-Information-Sharing-Toolkit/Information-Sharing-Toolkit-Supplemental-Materials/" TargetMode="External"/><Relationship Id="rId168" Type="http://schemas.openxmlformats.org/officeDocument/2006/relationships/hyperlink" Target="http://www.astho.org/Programs/Preparedness/Public-Health-Emergency-Law/Public-Health-and-Information-Sharing-Toolkit/Information-Sharing-Toolkit-Supplemental-Materials/" TargetMode="External"/><Relationship Id="rId282" Type="http://schemas.openxmlformats.org/officeDocument/2006/relationships/hyperlink" Target="http://ise.gov/law-enforcement-information-sharing" TargetMode="External"/><Relationship Id="rId8" Type="http://schemas.openxmlformats.org/officeDocument/2006/relationships/hyperlink" Target="http://www.astho.org/Programs/Preparedness/Public-Health-Emergency-Law/Public-Health-and-Information-Sharing-Toolkit/Public-Health-Agencies-as-Employers-Issue-Brief/" TargetMode="External"/><Relationship Id="rId51" Type="http://schemas.openxmlformats.org/officeDocument/2006/relationships/hyperlink" Target="http://www.dhs.gov/fusion-center-locations-and-contact-information" TargetMode="External"/><Relationship Id="rId72" Type="http://schemas.openxmlformats.org/officeDocument/2006/relationships/hyperlink" Target="http://www.flu.gov/planning-preparedness/business/guidance.pdf" TargetMode="External"/><Relationship Id="rId93" Type="http://schemas.openxmlformats.org/officeDocument/2006/relationships/hyperlink" Target="http://georgetown.lawreviewnetwork.com/files/pdf/96-2/Stoto.PDF" TargetMode="External"/><Relationship Id="rId98" Type="http://schemas.openxmlformats.org/officeDocument/2006/relationships/hyperlink" Target="http://www.bu.edu/law/central/jd/organizations/journals/bulr/volume87n2/documents/MARINERv.2.pdf" TargetMode="External"/><Relationship Id="rId121" Type="http://schemas.openxmlformats.org/officeDocument/2006/relationships/hyperlink" Target="http://healthjournalism.org/secondarypage-details.php?id=965" TargetMode="External"/><Relationship Id="rId142" Type="http://schemas.openxmlformats.org/officeDocument/2006/relationships/hyperlink" Target="http://www.astho.org/Programs/Preparedness/Public-Health-Emergency-Law/Public-Health-and-Information-Sharing-Toolkit/Information-Sharing-Toolkit-Supplemental-Materials/" TargetMode="External"/><Relationship Id="rId163" Type="http://schemas.openxmlformats.org/officeDocument/2006/relationships/hyperlink" Target="http://www.astho.org/Programs/Preparedness/Public-Health-Emergency-Law/Public-Health-and-Information-Sharing-Toolkit/Information-Sharing-Toolkit-Supplemental-Materials/" TargetMode="External"/><Relationship Id="rId184" Type="http://schemas.openxmlformats.org/officeDocument/2006/relationships/hyperlink" Target="http://www.ada.gov/" TargetMode="External"/><Relationship Id="rId189" Type="http://schemas.openxmlformats.org/officeDocument/2006/relationships/hyperlink" Target="http://www.astho.org/Programs/Preparedness/Public-Health-Emergency-Law/Public-Health-and-Information-Sharing-Toolkit/Information-Sharing-Toolkit-Supplemental-Materials/" TargetMode="External"/><Relationship Id="rId219" Type="http://schemas.openxmlformats.org/officeDocument/2006/relationships/hyperlink" Target="http://www.ecfr.gov/cgi-bin/text-idx?c=ecfr&amp;SID=e6995dd27bbb4145f812c2db6cf0198f&amp;tpl=/ecfrbrowse/Title34/34cfr99_main_02.tpl" TargetMode="External"/><Relationship Id="rId3" Type="http://schemas.openxmlformats.org/officeDocument/2006/relationships/settings" Target="settings.xml"/><Relationship Id="rId214" Type="http://schemas.openxmlformats.org/officeDocument/2006/relationships/hyperlink" Target="http://www.astho.org/Programs/Preparedness/Public-Health-Emergency-Law/Public-Health-and-Information-Sharing-Toolkit/Information-Sharing-Toolkit-Supplemental-Materials/" TargetMode="External"/><Relationship Id="rId230" Type="http://schemas.openxmlformats.org/officeDocument/2006/relationships/hyperlink" Target="http://www.law.cornell.edu/constitution" TargetMode="External"/><Relationship Id="rId235" Type="http://schemas.openxmlformats.org/officeDocument/2006/relationships/hyperlink" Target="http://www.astho.org/Programs/Preparedness/Public-Health-Emergency-Law/Public-Health-and-Information-Sharing-Toolkit/Information-Sharing-Toolkit-Supplemental-Materials/" TargetMode="External"/><Relationship Id="rId251" Type="http://schemas.openxmlformats.org/officeDocument/2006/relationships/hyperlink" Target="http://www.hhs.gov/ocr/privacy/hipaa/understanding/special/publichealth/index.html" TargetMode="External"/><Relationship Id="rId256" Type="http://schemas.openxmlformats.org/officeDocument/2006/relationships/hyperlink" Target="http://www.law.cornell.edu/supct/html/historics/USSC_CR_0428_0052_ZS.html" TargetMode="External"/><Relationship Id="rId277" Type="http://schemas.openxmlformats.org/officeDocument/2006/relationships/hyperlink" Target="http://onlinelibrary.wiley.com/doi/10.1111/j.1748-720X.2003.tb00135.x/abstract" TargetMode="External"/><Relationship Id="rId298" Type="http://schemas.openxmlformats.org/officeDocument/2006/relationships/hyperlink" Target="http://www.astho.org/Programs/Preparedness/Public-Health-Emergency-Law/Public-Health-and-Information-Sharing-Toolkit/Information-Sharing-Toolkit-Supplemental-Materials/" TargetMode="External"/><Relationship Id="rId25" Type="http://schemas.openxmlformats.org/officeDocument/2006/relationships/hyperlink" Target="http://www.nasemso.org/Projects/DomesticPreparedness/documents/JIMOUFinal.pdf" TargetMode="External"/><Relationship Id="rId46" Type="http://schemas.openxmlformats.org/officeDocument/2006/relationships/hyperlink" Target="http://ise.gov/law-enforcement-information-sharing" TargetMode="External"/><Relationship Id="rId67" Type="http://schemas.openxmlformats.org/officeDocument/2006/relationships/hyperlink" Target="http://www.sog.unc.edu/sites/www.sog.unc.edu/files/LE-Mar%202011.pdf" TargetMode="External"/><Relationship Id="rId116" Type="http://schemas.openxmlformats.org/officeDocument/2006/relationships/hyperlink" Target="http://www.stanford.edu/group/psylawseminar/Tarsoff%20I.htm" TargetMode="External"/><Relationship Id="rId137" Type="http://schemas.openxmlformats.org/officeDocument/2006/relationships/hyperlink" Target="mailto:communications@astho.org" TargetMode="External"/><Relationship Id="rId158" Type="http://schemas.openxmlformats.org/officeDocument/2006/relationships/hyperlink" Target="http://www.astho.org/Programs/Preparedness/Public-Health-Emergency-Law/Public-Health-and-Information-Sharing-Toolkit/Information-Sharing-Toolkit-Supplemental-Materials/" TargetMode="External"/><Relationship Id="rId272" Type="http://schemas.openxmlformats.org/officeDocument/2006/relationships/hyperlink" Target="http://www.gpo.gov/fdsys/pkg/PLAW-108publ458/pdf/PLAW-108publ458.pdf" TargetMode="External"/><Relationship Id="rId293" Type="http://schemas.openxmlformats.org/officeDocument/2006/relationships/hyperlink" Target="http://www.astho.org/Programs/Preparedness/Public-Health-Emergency-Law/Public-Health-and-Information-Sharing-Toolkit/Information-Sharing-Toolkit-Supplemental-Materials/" TargetMode="External"/><Relationship Id="rId302" Type="http://schemas.openxmlformats.org/officeDocument/2006/relationships/fontTable" Target="fontTable.xml"/><Relationship Id="rId20" Type="http://schemas.openxmlformats.org/officeDocument/2006/relationships/hyperlink" Target="http://www.ncbi.nlm.nih.gov/pubmed/14968670" TargetMode="External"/><Relationship Id="rId41" Type="http://schemas.openxmlformats.org/officeDocument/2006/relationships/hyperlink" Target="http://www.dtic.mil/cgi-bin/GetTRDoc?AD=ADA499988" TargetMode="External"/><Relationship Id="rId62" Type="http://schemas.openxmlformats.org/officeDocument/2006/relationships/hyperlink" Target="http://supreme.justia.com/cases/federal/us/531/32/case.html" TargetMode="External"/><Relationship Id="rId83" Type="http://schemas.openxmlformats.org/officeDocument/2006/relationships/hyperlink" Target="http://www.eeoc.gov/facts/pandemic_flu.html" TargetMode="External"/><Relationship Id="rId88" Type="http://schemas.openxmlformats.org/officeDocument/2006/relationships/hyperlink" Target="http://www.eeoc.gov/facts/pandemic_flu.html" TargetMode="External"/><Relationship Id="rId111" Type="http://schemas.openxmlformats.org/officeDocument/2006/relationships/hyperlink" Target="http://caselaw.lp.findlaw.com/cgi-bin/getcase.pl?court=us&amp;vol=387&amp;invol=523" TargetMode="External"/><Relationship Id="rId132" Type="http://schemas.openxmlformats.org/officeDocument/2006/relationships/hyperlink" Target="http://www.cdc.gov/cancer/npcr/pdf/npcr_css.pdf" TargetMode="External"/><Relationship Id="rId153" Type="http://schemas.openxmlformats.org/officeDocument/2006/relationships/hyperlink" Target="http://www.astho.org/Programs/Preparedness/Public-Health-Emergency-Law/Public-Health-and-Information-Sharing-Toolkit/Information-Sharing-Toolkit-Supplemental-Materials/" TargetMode="External"/><Relationship Id="rId174" Type="http://schemas.openxmlformats.org/officeDocument/2006/relationships/hyperlink" Target="http://library.ahima.org/xpedio/groups/public/documents/ahima/bok1_048641.hcsp?dDocName=bok1_048641" TargetMode="External"/><Relationship Id="rId179" Type="http://schemas.openxmlformats.org/officeDocument/2006/relationships/hyperlink" Target="http://www.eeoc.gov/laws/statutes/ada.cfm" TargetMode="External"/><Relationship Id="rId195" Type="http://schemas.openxmlformats.org/officeDocument/2006/relationships/hyperlink" Target="http://eeoc.gov/facts/evacuation.html" TargetMode="External"/><Relationship Id="rId209" Type="http://schemas.openxmlformats.org/officeDocument/2006/relationships/hyperlink" Target="http://www.astho.org/Programs/Preparedness/Public-Health-Emergency-Law/Public-Health-and-Information-Sharing-Toolkit/Information-Sharing-Toolkit-Supplemental-Materials/" TargetMode="External"/><Relationship Id="rId190" Type="http://schemas.openxmlformats.org/officeDocument/2006/relationships/hyperlink" Target="http://www.flu.gov/planning-preparedness/business/guidance.pdf" TargetMode="External"/><Relationship Id="rId204" Type="http://schemas.openxmlformats.org/officeDocument/2006/relationships/hyperlink" Target="http://cdc.gov/phlp/docs/CDC_BJA_Framework.pdf" TargetMode="External"/><Relationship Id="rId220" Type="http://schemas.openxmlformats.org/officeDocument/2006/relationships/hyperlink" Target="http://www.gpo.gov/fdsys/pkg/FR-2011-12-02/pdf/2011-30683.pdf" TargetMode="External"/><Relationship Id="rId225" Type="http://schemas.openxmlformats.org/officeDocument/2006/relationships/hyperlink" Target="http://www2.ed.gov/policy/gen/guid/fpco/ferpa/library/oakland_ca.html" TargetMode="External"/><Relationship Id="rId241" Type="http://schemas.openxmlformats.org/officeDocument/2006/relationships/hyperlink" Target="http://www.hhs.gov/ocr/privacy/hipaa/understanding/coveredentities/De-identification/guidance.html" TargetMode="External"/><Relationship Id="rId246" Type="http://schemas.openxmlformats.org/officeDocument/2006/relationships/hyperlink" Target="http://www.law.umaryland.edu/marshall/crsreports/crsdocuments/RL3163401242005.pdf" TargetMode="External"/><Relationship Id="rId267" Type="http://schemas.openxmlformats.org/officeDocument/2006/relationships/hyperlink" Target="http://www.it.ojp.gov/default.aspx?area=nationalInitiatives&amp;page=1181" TargetMode="External"/><Relationship Id="rId288" Type="http://schemas.openxmlformats.org/officeDocument/2006/relationships/hyperlink" Target="http://www.osha.gov/" TargetMode="External"/><Relationship Id="rId15" Type="http://schemas.openxmlformats.org/officeDocument/2006/relationships/hyperlink" Target="http://www.astho.org/Programs/Preparedness/Public-Health-Emergency-Law/Public-Health-and-Information-Sharing-Toolkit/Collection-Use-Sharing-and-Protection-Issue-Brief/" TargetMode="External"/><Relationship Id="rId36" Type="http://schemas.openxmlformats.org/officeDocument/2006/relationships/hyperlink" Target="http://wwwnc.cdc.gov/eid/article/8/10/02-0465_article.htm" TargetMode="External"/><Relationship Id="rId57" Type="http://schemas.openxmlformats.org/officeDocument/2006/relationships/hyperlink" Target="http://www.google.com/url?sa=t&amp;rct=j&amp;q=&amp;esrc=s&amp;source=web&amp;cd=1&amp;sqi=2&amp;ved=0CFgQFjAA&amp;url=http%3A%2F%2Fwww.it.ojp.gov%2Fdocuments%2Fbaselinecapabilitiesa.pdf&amp;ei=tvfGT-P4K6ST0QHmlMS5Cw&amp;usg=AFQjCNFXoO6TFIPQyv7qctNGiIXIEIRZwQ" TargetMode="External"/><Relationship Id="rId106" Type="http://schemas.openxmlformats.org/officeDocument/2006/relationships/hyperlink" Target="http://www.law.cornell.edu/supct/html/historics/USSC_CR_0429_0589_ZO.html" TargetMode="External"/><Relationship Id="rId127" Type="http://schemas.openxmlformats.org/officeDocument/2006/relationships/hyperlink" Target="http://www.supremecourt.gov/opinions/10pdf/09-1279.pdf" TargetMode="External"/><Relationship Id="rId262" Type="http://schemas.openxmlformats.org/officeDocument/2006/relationships/hyperlink" Target="http://www.google.com/url?sa=t&amp;rct=j&amp;q=&amp;esrc=s&amp;source=web&amp;cd=1&amp;cad=rja&amp;uact=8&amp;ved=0CB4QFjAAahUKEwil3bjS5YDIAhVEWh4KHeacDRE&amp;url=http%3A%2F%2Fwww.hsgac.senate.gov%2Fdownload%2Freport_federal-support-for-and-involvement-in-state-and-local-fusions-centers&amp;usg=AFQjCNEY5sKmzFYKts_5F0R5KDR-3QwwZg&amp;sig2=VczPOqNUPYSjMd9Pxc3cLQ" TargetMode="External"/><Relationship Id="rId283" Type="http://schemas.openxmlformats.org/officeDocument/2006/relationships/hyperlink" Target="http://www.astho.org/Programs/Preparedness/Public-Health-Emergency-Law/Public-Health-and-Information-Sharing-Toolkit/Information-Sharing-Toolkit-Supplemental-Materials/" TargetMode="External"/><Relationship Id="rId10" Type="http://schemas.openxmlformats.org/officeDocument/2006/relationships/hyperlink" Target="http://www.ada.gov/q%26aeng02.htm" TargetMode="External"/><Relationship Id="rId31" Type="http://schemas.openxmlformats.org/officeDocument/2006/relationships/hyperlink" Target="http://wwwnc.cdc.gov/eid/article/8/10/02-0465_article.htm" TargetMode="External"/><Relationship Id="rId52" Type="http://schemas.openxmlformats.org/officeDocument/2006/relationships/hyperlink" Target="http://www.law.asu.edu/publichealthlaw/PublicHealthLaw/Resources.aspx" TargetMode="External"/><Relationship Id="rId73" Type="http://schemas.openxmlformats.org/officeDocument/2006/relationships/hyperlink" Target="http://www.dol.gov/odep/topics/EmergencyPreparedness.htm" TargetMode="External"/><Relationship Id="rId78" Type="http://schemas.openxmlformats.org/officeDocument/2006/relationships/hyperlink" Target="http://www.ada.gov/q%26aeng02.htm" TargetMode="External"/><Relationship Id="rId94" Type="http://schemas.openxmlformats.org/officeDocument/2006/relationships/hyperlink" Target="http://www.sph.unc.edu/images/stories/academic_programs/hpaa/documents/oconnor.pdf" TargetMode="External"/><Relationship Id="rId99" Type="http://schemas.openxmlformats.org/officeDocument/2006/relationships/hyperlink" Target="http://astho.org/Programs/e-Health/Privacy/Materials/The-Impact-of-the-HIPAA-Privacy-Rule-on-Syndromic-Surveillance-(2004)" TargetMode="External"/><Relationship Id="rId101" Type="http://schemas.openxmlformats.org/officeDocument/2006/relationships/hyperlink" Target="http://www.bu.edu/law/central/jd/organizations/journals/bulr/volume87n2/documents/MARINERv.2.pdf" TargetMode="External"/><Relationship Id="rId122" Type="http://schemas.openxmlformats.org/officeDocument/2006/relationships/hyperlink" Target="http://www.sconet.state.oh.us/rod/docs/pdf/0/2006/2006-ohio-1215.pdf" TargetMode="External"/><Relationship Id="rId143" Type="http://schemas.openxmlformats.org/officeDocument/2006/relationships/hyperlink" Target="http://www.astho.org/Programs/Preparedness/Public-Health-Emergency-Law/Public-Health-and-Information-Sharing-Toolkit/Information-Sharing-Toolkit-Supplemental-Materials/" TargetMode="External"/><Relationship Id="rId148" Type="http://schemas.openxmlformats.org/officeDocument/2006/relationships/hyperlink" Target="http://www.astho.org/Programs/Preparedness/Public-Health-Emergency-Law/Public-Health-and-Information-Sharing-Toolkit/Information-Sharing-Toolkit-Supplemental-Materials/" TargetMode="External"/><Relationship Id="rId164" Type="http://schemas.openxmlformats.org/officeDocument/2006/relationships/hyperlink" Target="http://www.astho.org/Programs/Preparedness/Public-Health-Emergency-Law/Public-Health-and-Information-Sharing-Toolkit/Information-Sharing-Toolkit-Supplemental-Materials/" TargetMode="External"/><Relationship Id="rId169" Type="http://schemas.openxmlformats.org/officeDocument/2006/relationships/hyperlink" Target="http://www.astho.org/Programs/Preparedness/Public-Health-Emergency-Law/Public-Health-and-Information-Sharing-Toolkit/Information-Sharing-Toolkit-Supplemental-Materials/" TargetMode="External"/><Relationship Id="rId185" Type="http://schemas.openxmlformats.org/officeDocument/2006/relationships/hyperlink" Target="http://www.eeoc.gov/eeoc/index.cfm" TargetMode="External"/><Relationship Id="rId4" Type="http://schemas.openxmlformats.org/officeDocument/2006/relationships/webSettings" Target="webSettings.xml"/><Relationship Id="rId9" Type="http://schemas.openxmlformats.org/officeDocument/2006/relationships/hyperlink" Target="http://www.eeoc.gov/facts/ada18.html" TargetMode="External"/><Relationship Id="rId180" Type="http://schemas.openxmlformats.org/officeDocument/2006/relationships/hyperlink" Target="http://www.ada.gov/pubs/ada.htm" TargetMode="External"/><Relationship Id="rId210" Type="http://schemas.openxmlformats.org/officeDocument/2006/relationships/hyperlink" Target="http://www.healthit.gov/" TargetMode="External"/><Relationship Id="rId215" Type="http://schemas.openxmlformats.org/officeDocument/2006/relationships/hyperlink" Target="http://hipaacow.org/wp-content/uploads/2013/04/2013-Occupational-Health-Services-Whitepaper-4-15-13-FINAL.doc" TargetMode="External"/><Relationship Id="rId236" Type="http://schemas.openxmlformats.org/officeDocument/2006/relationships/hyperlink" Target="http://www.astho.org/Programs/Preparedness/Public-Health-Emergency-Law/Public-Health-and-Information-Sharing-Toolkit/Information-Sharing-Toolkit-Supplemental-Materials/" TargetMode="External"/><Relationship Id="rId257" Type="http://schemas.openxmlformats.org/officeDocument/2006/relationships/hyperlink" Target="http://www.law.cornell.edu/supct/html/historics/USSC_CR_0429_0589_ZO.html" TargetMode="External"/><Relationship Id="rId278" Type="http://schemas.openxmlformats.org/officeDocument/2006/relationships/hyperlink" Target="http://www.sog.unc.edu/sites/www.sog.unc.edu/files/additional_files/LE-May%202013.pdf" TargetMode="External"/><Relationship Id="rId26" Type="http://schemas.openxmlformats.org/officeDocument/2006/relationships/hyperlink" Target="http://cdc.gov/phlp/docs/CDC_BJA_Framework.pdf" TargetMode="External"/><Relationship Id="rId231" Type="http://schemas.openxmlformats.org/officeDocument/2006/relationships/hyperlink" Target="http://caselaw.lp.findlaw.com/cgi-bin/getcase.pl?court=us&amp;vol=387&amp;invol=523" TargetMode="External"/><Relationship Id="rId252" Type="http://schemas.openxmlformats.org/officeDocument/2006/relationships/hyperlink" Target="http://www.gpo.gov/fdsys/pkg/PLAW-107publ296/pdf/PLAW-107publ296.pdf" TargetMode="External"/><Relationship Id="rId273" Type="http://schemas.openxmlformats.org/officeDocument/2006/relationships/hyperlink" Target="http://www.astho.org/Programs/Preparedness/Public-Health-Emergency-Law/Public-Health-and-Information-Sharing-Toolkit/Information-Sharing-Toolkit-Supplemental-Materials/" TargetMode="External"/><Relationship Id="rId294" Type="http://schemas.openxmlformats.org/officeDocument/2006/relationships/hyperlink" Target="http://scholarship.law.duke.edu/cgi/viewcontent.cgi?article=1063&amp;context=djclpp_sidebar" TargetMode="External"/><Relationship Id="rId47" Type="http://schemas.openxmlformats.org/officeDocument/2006/relationships/hyperlink" Target="http://www.it.ojp.gov/documents/fusion_center_guidelines_law_enforcement.pdf" TargetMode="External"/><Relationship Id="rId68" Type="http://schemas.openxmlformats.org/officeDocument/2006/relationships/hyperlink" Target="http://ise.gov/background-and-authorities" TargetMode="External"/><Relationship Id="rId89" Type="http://schemas.openxmlformats.org/officeDocument/2006/relationships/hyperlink" Target="http://www.astho.org/Programs/Preparedness/Public-Health-Emergency-Law/Public-Health-and-Information-Sharing-Toolkit/Authorities-and-Limitations-in-Sharing-Information-Issue-Brief/" TargetMode="External"/><Relationship Id="rId112" Type="http://schemas.openxmlformats.org/officeDocument/2006/relationships/hyperlink" Target="http://caselaw.lp.findlaw.com/cgi-bin/getcase.pl?court=us&amp;vol=387&amp;invol=541" TargetMode="External"/><Relationship Id="rId133" Type="http://schemas.openxmlformats.org/officeDocument/2006/relationships/hyperlink" Target="http://www.rcfp.org/sites/default/files/homefront-confidential.pdf" TargetMode="External"/><Relationship Id="rId154" Type="http://schemas.openxmlformats.org/officeDocument/2006/relationships/hyperlink" Target="http://www.astho.org/Programs/Preparedness/Public-Health-Emergency-Law/Public-Health-and-Information-Sharing-Toolkit/Information-Sharing-Toolkit-Supplemental-Materials/" TargetMode="External"/><Relationship Id="rId175" Type="http://schemas.openxmlformats.org/officeDocument/2006/relationships/hyperlink" Target="http://www.healthinfolaw.org/" TargetMode="External"/><Relationship Id="rId196" Type="http://schemas.openxmlformats.org/officeDocument/2006/relationships/hyperlink" Target="http://www.eeoc.gov/facts/pandemic_flu.html" TargetMode="External"/><Relationship Id="rId200" Type="http://schemas.openxmlformats.org/officeDocument/2006/relationships/hyperlink" Target="http://www.it.ojp.gov/docdownloader.aspx?ddid=1269" TargetMode="External"/><Relationship Id="rId16" Type="http://schemas.openxmlformats.org/officeDocument/2006/relationships/hyperlink" Target="http://www.astho.org/Programs/Preparedness/Public-Health-Emergency-Law/Public-Health-and-Information-Sharing-Toolkit/Collection-Use-Sharing-and-Protection-Issue-Brief/" TargetMode="External"/><Relationship Id="rId221" Type="http://schemas.openxmlformats.org/officeDocument/2006/relationships/hyperlink" Target="http://www2.ed.gov/policy/gen/guid/fpco/doc/ferpa-hipaa-guidance.pdf" TargetMode="External"/><Relationship Id="rId242" Type="http://schemas.openxmlformats.org/officeDocument/2006/relationships/hyperlink" Target="http://www.cdc.gov/mmwr/preview/mmwrhtml/m2e411a1.htm" TargetMode="External"/><Relationship Id="rId263" Type="http://schemas.openxmlformats.org/officeDocument/2006/relationships/hyperlink" Target="http://www.dhs.gov/files/programs/gc_1296484657738.shtm" TargetMode="External"/><Relationship Id="rId284" Type="http://schemas.openxmlformats.org/officeDocument/2006/relationships/hyperlink" Target="http://healthjournalism.org/secondarypage-details.php?id=965" TargetMode="External"/><Relationship Id="rId37" Type="http://schemas.openxmlformats.org/officeDocument/2006/relationships/hyperlink" Target="http://cdc.gov/phlp/docs/CDC_BJA_Framework.pdf" TargetMode="External"/><Relationship Id="rId58" Type="http://schemas.openxmlformats.org/officeDocument/2006/relationships/hyperlink" Target="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 TargetMode="External"/><Relationship Id="rId79" Type="http://schemas.openxmlformats.org/officeDocument/2006/relationships/hyperlink" Target="http://www.eeoc.gov/laws/statutes/rehab.cfm" TargetMode="External"/><Relationship Id="rId102" Type="http://schemas.openxmlformats.org/officeDocument/2006/relationships/hyperlink" Target="http://www.cdc.gov/ehrmeaningfuluse/" TargetMode="External"/><Relationship Id="rId123" Type="http://schemas.openxmlformats.org/officeDocument/2006/relationships/hyperlink" Target="http://www.rcfp.org/open-government-guide" TargetMode="External"/><Relationship Id="rId144" Type="http://schemas.openxmlformats.org/officeDocument/2006/relationships/hyperlink" Target="http://www.astho.org/Programs/Preparedness/Public-Health-Emergency-Law/Public-Health-and-Information-Sharing-Toolkit/Information-Sharing-Toolkit-Supplemental-Materials/" TargetMode="External"/><Relationship Id="rId90" Type="http://schemas.openxmlformats.org/officeDocument/2006/relationships/hyperlink" Target="http://www.astho.org/Programs/Preparedness/Public-Health-Emergency-Law/Public-Health-and-Schools-Toolkit/Public-Health---Schools-Toolkit/" TargetMode="External"/><Relationship Id="rId165" Type="http://schemas.openxmlformats.org/officeDocument/2006/relationships/hyperlink" Target="http://www.astho.org/Programs/Preparedness/Public-Health-Emergency-Law/Public-Health-and-Information-Sharing-Toolkit/Information-Sharing-Toolkit-Supplemental-Materials/" TargetMode="External"/><Relationship Id="rId186" Type="http://schemas.openxmlformats.org/officeDocument/2006/relationships/hyperlink" Target="http://www.usdoj.gov/crt/ada/pcatoolkit/chap7emergencymgmtadd1.htm" TargetMode="External"/><Relationship Id="rId211" Type="http://schemas.openxmlformats.org/officeDocument/2006/relationships/hyperlink" Target="http://www.cdc.gov/ehrmeaningfuluse" TargetMode="External"/><Relationship Id="rId232" Type="http://schemas.openxmlformats.org/officeDocument/2006/relationships/hyperlink" Target="http://caselaw.lp.findlaw.com/scripts/getcase.pl?court=us&amp;vol=000&amp;invol=99-936" TargetMode="External"/><Relationship Id="rId253" Type="http://schemas.openxmlformats.org/officeDocument/2006/relationships/hyperlink" Target="http://www.dhs.gov/" TargetMode="External"/><Relationship Id="rId274" Type="http://schemas.openxmlformats.org/officeDocument/2006/relationships/hyperlink" Target="http://www.astho.org/Programs/e-Health/Privacy/Materials/Public-Health,-Law-Enforcement,-and-Privacy-Issues/" TargetMode="External"/><Relationship Id="rId295" Type="http://schemas.openxmlformats.org/officeDocument/2006/relationships/hyperlink" Target="http://www.cdc.gov/surveillancepractice" TargetMode="External"/><Relationship Id="rId27" Type="http://schemas.openxmlformats.org/officeDocument/2006/relationships/hyperlink" Target="https://www.ncjrs.gov/pdffiles1/bja/214333.pdf" TargetMode="External"/><Relationship Id="rId48" Type="http://schemas.openxmlformats.org/officeDocument/2006/relationships/hyperlink" Target="http://www.dhs.gov/files/programs/gc_1296484657738.shtm" TargetMode="External"/><Relationship Id="rId69" Type="http://schemas.openxmlformats.org/officeDocument/2006/relationships/hyperlink" Target="http://cdc.gov/phlp/docs/CDC_BJA_Framework.pdf" TargetMode="External"/><Relationship Id="rId113" Type="http://schemas.openxmlformats.org/officeDocument/2006/relationships/hyperlink" Target="http://caselaw.lp.findlaw.com/scripts/getcase.pl?court=us&amp;vol=000&amp;invol=99-936" TargetMode="External"/><Relationship Id="rId134" Type="http://schemas.openxmlformats.org/officeDocument/2006/relationships/hyperlink" Target="http://www.cdc.gov/mmwr/preview/mmwrhtml/m2e411a1.htm" TargetMode="External"/><Relationship Id="rId80" Type="http://schemas.openxmlformats.org/officeDocument/2006/relationships/hyperlink" Target="http://www.eeoc.gov/eeoc/index.cfm" TargetMode="External"/><Relationship Id="rId155" Type="http://schemas.openxmlformats.org/officeDocument/2006/relationships/hyperlink" Target="http://www.astho.org/Programs/Preparedness/Public-Health-Emergency-Law/Public-Health-and-Information-Sharing-Toolkit/Information-Sharing-Toolkit-Supplemental-Materials/" TargetMode="External"/><Relationship Id="rId176" Type="http://schemas.openxmlformats.org/officeDocument/2006/relationships/hyperlink" Target="http://sharps.org/wp-content/uploads/PRITTS-REPORT1.pdf" TargetMode="External"/><Relationship Id="rId197" Type="http://schemas.openxmlformats.org/officeDocument/2006/relationships/hyperlink" Target="http://www.astho.org/Programs/Preparedness/Public-Health-Emergency-Law/Public-Health-and-Information-Sharing-Toolkit/Information-Sharing-Toolkit-Supplemental-Materials/" TargetMode="External"/><Relationship Id="rId201" Type="http://schemas.openxmlformats.org/officeDocument/2006/relationships/hyperlink" Target="http://www.aclu.org/files/pdfs/privacy/fusion_update_20080729.pdf" TargetMode="External"/><Relationship Id="rId222" Type="http://schemas.openxmlformats.org/officeDocument/2006/relationships/hyperlink" Target="http://www2.ed.gov/policy/gen/guid/fpco/ferpa/index.html" TargetMode="External"/><Relationship Id="rId243" Type="http://schemas.openxmlformats.org/officeDocument/2006/relationships/hyperlink" Target="http://www2.ed.gov/policy/gen/guid/fpco/doc/ferpa-hipaa-guidance.pdf" TargetMode="External"/><Relationship Id="rId264" Type="http://schemas.openxmlformats.org/officeDocument/2006/relationships/hyperlink" Target="http://www.dhs.gov/files/programs/gc_1156877184684.shtm" TargetMode="External"/><Relationship Id="rId285" Type="http://schemas.openxmlformats.org/officeDocument/2006/relationships/hyperlink" Target="http://www.law.cornell.edu/uscode/text/50/chapter-15" TargetMode="External"/><Relationship Id="rId17" Type="http://schemas.openxmlformats.org/officeDocument/2006/relationships/hyperlink" Target="http://www.astho.org/Programs/Preparedness/Public-Health-Emergency-Law/Public-Health-and-Information-Sharing-Toolkit/Authorities-and-Limitations-in-Sharing-Information-Issue-Brief/" TargetMode="External"/><Relationship Id="rId38" Type="http://schemas.openxmlformats.org/officeDocument/2006/relationships/hyperlink" Target="http://www.nasemso.org/Projects/DomesticPreparedness/documents/JIMOUFinal.pdf" TargetMode="External"/><Relationship Id="rId59" Type="http://schemas.openxmlformats.org/officeDocument/2006/relationships/hyperlink" Target="http://www.it.ojp.gov/docdownloader.aspx?ddid=1269" TargetMode="External"/><Relationship Id="rId103" Type="http://schemas.openxmlformats.org/officeDocument/2006/relationships/hyperlink" Target="http://www.healthit.gov/policy-researchers-implementers/meaningful-use" TargetMode="External"/><Relationship Id="rId124" Type="http://schemas.openxmlformats.org/officeDocument/2006/relationships/hyperlink" Target="http://caselaw.findlaw.com/nh-supreme-court/1073489.html" TargetMode="External"/><Relationship Id="rId70" Type="http://schemas.openxmlformats.org/officeDocument/2006/relationships/hyperlink" Target="http://www.osha.gov/dsg/topics/pandemicflu/index.html" TargetMode="External"/><Relationship Id="rId91" Type="http://schemas.openxmlformats.org/officeDocument/2006/relationships/hyperlink" Target="http://www.astho.org/Programs/Preparedness/Public-Health-Emergency-Law/Public-Health-and-Schools-Toolkit/Public-Health---Schools-Toolkit/" TargetMode="External"/><Relationship Id="rId145" Type="http://schemas.openxmlformats.org/officeDocument/2006/relationships/hyperlink" Target="http://www.astho.org/Programs/Preparedness/Public-Health-Emergency-Law/Public-Health-and-Information-Sharing-Toolkit/Information-Sharing-Toolkit-Supplemental-Materials/" TargetMode="External"/><Relationship Id="rId166" Type="http://schemas.openxmlformats.org/officeDocument/2006/relationships/hyperlink" Target="http://www.astho.org/Programs/Preparedness/Public-Health-Emergency-Law/Public-Health-and-Information-Sharing-Toolkit/Information-Sharing-Toolkit-Supplemental-Materials/" TargetMode="External"/><Relationship Id="rId187" Type="http://schemas.openxmlformats.org/officeDocument/2006/relationships/hyperlink" Target="http://www.eeoc.gov/facts/pandemic_flu.html" TargetMode="External"/><Relationship Id="rId1" Type="http://schemas.openxmlformats.org/officeDocument/2006/relationships/numbering" Target="numbering.xml"/><Relationship Id="rId212" Type="http://schemas.openxmlformats.org/officeDocument/2006/relationships/hyperlink" Target="http://www.hhs.gov/ocr/privacy/hipaa/understanding/special/healthit/index.html" TargetMode="External"/><Relationship Id="rId233" Type="http://schemas.openxmlformats.org/officeDocument/2006/relationships/hyperlink" Target="http://caselaw.lp.findlaw.com/cgi-bin/getcase.pl?court=us&amp;vol=387&amp;invol=541" TargetMode="External"/><Relationship Id="rId254" Type="http://schemas.openxmlformats.org/officeDocument/2006/relationships/hyperlink" Target="http://caselaw.lp.findlaw.com/scripts/getcase.pl?court=us&amp;vol=000&amp;invol=99-936" TargetMode="External"/><Relationship Id="rId28" Type="http://schemas.openxmlformats.org/officeDocument/2006/relationships/hyperlink" Target="http://www.progressivegrocer.com/top-story-ex_grocery_worker_sentenced_for_poisoning_beef-20115.html" TargetMode="External"/><Relationship Id="rId49" Type="http://schemas.openxmlformats.org/officeDocument/2006/relationships/hyperlink" Target="http://www.it.ojp.gov/documents/fusion_center_guidelines_law_enforcement.pdf" TargetMode="External"/><Relationship Id="rId114" Type="http://schemas.openxmlformats.org/officeDocument/2006/relationships/hyperlink" Target="http://www.sph.unc.edu/images/stories/academic_programs/hpaa/documents/oconnor.pdf" TargetMode="External"/><Relationship Id="rId275" Type="http://schemas.openxmlformats.org/officeDocument/2006/relationships/hyperlink" Target="http://www.nasemso.org/Projects/DomesticPreparedness/documents/JIMOUFinal.pdf" TargetMode="External"/><Relationship Id="rId296" Type="http://schemas.openxmlformats.org/officeDocument/2006/relationships/hyperlink" Target="http://www.bt.cdc.gov/episurv" TargetMode="External"/><Relationship Id="rId300" Type="http://schemas.openxmlformats.org/officeDocument/2006/relationships/hyperlink" Target="http://www.gpo.gov/fdsys/pkg/PLAW-107publ56/pdf/PLAW-107publ56.pdf" TargetMode="External"/><Relationship Id="rId60" Type="http://schemas.openxmlformats.org/officeDocument/2006/relationships/hyperlink" Target="http://wwwnc.cdc.gov/eid/article/8/10/02-0465_article.htm" TargetMode="External"/><Relationship Id="rId81" Type="http://schemas.openxmlformats.org/officeDocument/2006/relationships/hyperlink" Target="http://www.ada.gov/pcatoolkit/chap1toolkit.htm" TargetMode="External"/><Relationship Id="rId135" Type="http://schemas.openxmlformats.org/officeDocument/2006/relationships/hyperlink" Target="http://www.cdc.gov/phlp/docs/Dir_Memo_HIPAA&amp;communicabledis_072004_1.pdf" TargetMode="External"/><Relationship Id="rId156" Type="http://schemas.openxmlformats.org/officeDocument/2006/relationships/hyperlink" Target="http://www.astho.org/Programs/Preparedness/Public-Health-Emergency-Law/Public-Health-and-Information-Sharing-Toolkit/Information-Sharing-Toolkit-Supplemental-Materials/" TargetMode="External"/><Relationship Id="rId177" Type="http://schemas.openxmlformats.org/officeDocument/2006/relationships/hyperlink" Target="http://sharps.org/wp-content/uploads/PRITTS-REPORT2.pdf" TargetMode="External"/><Relationship Id="rId198" Type="http://schemas.openxmlformats.org/officeDocument/2006/relationships/hyperlink" Target="http://www.astho.org/Programs/Preparedness/Public-Health-Emergency-Law/Public-Health-and-Information-Sharing-Toolkit/Information-Sharing-Toolkit-Supplemental-Materials/" TargetMode="External"/><Relationship Id="rId202" Type="http://schemas.openxmlformats.org/officeDocument/2006/relationships/hyperlink" Target="http://www.astho.org/Programs/Preparedness/Public-Health-Emergency-Law/Public-Health-and-Information-Sharing-Toolkit/Information-Sharing-Toolkit-Supplemental-Materials/" TargetMode="External"/><Relationship Id="rId223" Type="http://schemas.openxmlformats.org/officeDocument/2006/relationships/hyperlink" Target="http://www2.ed.gov/policy/gen/guid/fpco/pdf/ferpa-h1n1.pdf" TargetMode="External"/><Relationship Id="rId244" Type="http://schemas.openxmlformats.org/officeDocument/2006/relationships/hyperlink" Target="http://www.hhs.gov/ocr/privacy/hipaa/understanding/summary/index.html" TargetMode="External"/><Relationship Id="rId18" Type="http://schemas.openxmlformats.org/officeDocument/2006/relationships/hyperlink" Target="http://www.rcfp.org/open-government-guide" TargetMode="External"/><Relationship Id="rId39" Type="http://schemas.openxmlformats.org/officeDocument/2006/relationships/hyperlink" Target="http://www.cdc.gov/phlp/publications/forensicepidemiology/index.html" TargetMode="External"/><Relationship Id="rId265" Type="http://schemas.openxmlformats.org/officeDocument/2006/relationships/hyperlink" Target="http://www.it.ojp.gov/documents/fusion_center_guidelines_law_enforcement.pdf" TargetMode="External"/><Relationship Id="rId286" Type="http://schemas.openxmlformats.org/officeDocument/2006/relationships/hyperlink" Target="http://www.osha.gov/law-regs.html" TargetMode="External"/><Relationship Id="rId50" Type="http://schemas.openxmlformats.org/officeDocument/2006/relationships/hyperlink" Target="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 TargetMode="External"/><Relationship Id="rId104" Type="http://schemas.openxmlformats.org/officeDocument/2006/relationships/hyperlink" Target="http://scholarship.law.duke.edu/cgi/viewcontent.cgi?article=1063&amp;context=djclpp_sidebar" TargetMode="External"/><Relationship Id="rId125" Type="http://schemas.openxmlformats.org/officeDocument/2006/relationships/hyperlink" Target="https://www.revisor.mn.gov/statutes/?id=13.05" TargetMode="External"/><Relationship Id="rId146" Type="http://schemas.openxmlformats.org/officeDocument/2006/relationships/hyperlink" Target="http://www.astho.org/Programs/Preparedness/Public-Health-Emergency-Law/Public-Health-and-Information-Sharing-Toolkit/Information-Sharing-Toolkit-Supplemental-Materials/" TargetMode="External"/><Relationship Id="rId167" Type="http://schemas.openxmlformats.org/officeDocument/2006/relationships/hyperlink" Target="http://www.astho.org/Programs/Preparedness/Public-Health-Emergency-Law/Public-Health-and-Information-Sharing-Toolkit/Information-Sharing-Toolkit-Supplemental-Materials/" TargetMode="External"/><Relationship Id="rId188" Type="http://schemas.openxmlformats.org/officeDocument/2006/relationships/hyperlink" Target="http://www.ada.gov/q%26aeng02.htm" TargetMode="External"/><Relationship Id="rId71" Type="http://schemas.openxmlformats.org/officeDocument/2006/relationships/hyperlink" Target="http://www.flu.gov/planning-preparedness/business/index.html" TargetMode="External"/><Relationship Id="rId92" Type="http://schemas.openxmlformats.org/officeDocument/2006/relationships/hyperlink" Target="http://caselaw.lp.findlaw.com/cgi-bin/getcase.pl?court=us&amp;vol=197&amp;invol=11" TargetMode="External"/><Relationship Id="rId213" Type="http://schemas.openxmlformats.org/officeDocument/2006/relationships/hyperlink" Target="http://www.healthit.gov/policy-researchers-implementers/meaningful-use" TargetMode="External"/><Relationship Id="rId234" Type="http://schemas.openxmlformats.org/officeDocument/2006/relationships/hyperlink" Target="http://www.rcfp.org/open-government-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117</Pages>
  <Words>41393</Words>
  <Characters>235944</Characters>
  <Application>Microsoft Office Word</Application>
  <DocSecurity>0</DocSecurity>
  <Lines>1966</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276784</CharactersWithSpaces>
  <SharedDoc>false</SharedDoc>
  <HLinks>
    <vt:vector size="1884" baseType="variant">
      <vt:variant>
        <vt:i4>262233</vt:i4>
      </vt:variant>
      <vt:variant>
        <vt:i4>939</vt:i4>
      </vt:variant>
      <vt:variant>
        <vt:i4>0</vt:i4>
      </vt:variant>
      <vt:variant>
        <vt:i4>5</vt:i4>
      </vt:variant>
      <vt:variant>
        <vt:lpwstr>http://www.astho.org/Programs/Preparedness/Public-Health-Emergency-Law/Public-Health-and-Information-Sharing-Toolkit/Information-Sharing-Toolkit-Supplemental-Materials/</vt:lpwstr>
      </vt:variant>
      <vt:variant>
        <vt:lpwstr>Business-and-Employer</vt:lpwstr>
      </vt:variant>
      <vt:variant>
        <vt:i4>2621565</vt:i4>
      </vt:variant>
      <vt:variant>
        <vt:i4>936</vt:i4>
      </vt:variant>
      <vt:variant>
        <vt:i4>0</vt:i4>
      </vt:variant>
      <vt:variant>
        <vt:i4>5</vt:i4>
      </vt:variant>
      <vt:variant>
        <vt:lpwstr>http://www.gpo.gov/fdsys/pkg/PLAW-107publ56/pdf/PLAW-107publ56.pdf</vt:lpwstr>
      </vt:variant>
      <vt:variant>
        <vt:lpwstr/>
      </vt:variant>
      <vt:variant>
        <vt:i4>720978</vt:i4>
      </vt:variant>
      <vt:variant>
        <vt:i4>933</vt:i4>
      </vt:variant>
      <vt:variant>
        <vt:i4>0</vt:i4>
      </vt:variant>
      <vt:variant>
        <vt:i4>5</vt:i4>
      </vt:variant>
      <vt:variant>
        <vt:lpwstr>http://www.cdc.gov/mmwr/preview/mmwrhtml/su5301a3.htm</vt:lpwstr>
      </vt:variant>
      <vt:variant>
        <vt:lpwstr/>
      </vt:variant>
      <vt:variant>
        <vt:i4>3866750</vt:i4>
      </vt:variant>
      <vt:variant>
        <vt:i4>930</vt:i4>
      </vt:variant>
      <vt:variant>
        <vt:i4>0</vt:i4>
      </vt:variant>
      <vt:variant>
        <vt:i4>5</vt:i4>
      </vt:variant>
      <vt:variant>
        <vt:lpwstr>http://www.astho.org/Programs/e-Health/Privacy/Materials/The-Impact-of-the-HIPAA-Privacy-Rule-on-Syndromic-Surveillance-(2004)/</vt:lpwstr>
      </vt:variant>
      <vt:variant>
        <vt:lpwstr/>
      </vt:variant>
      <vt:variant>
        <vt:i4>1638473</vt:i4>
      </vt:variant>
      <vt:variant>
        <vt:i4>927</vt:i4>
      </vt:variant>
      <vt:variant>
        <vt:i4>0</vt:i4>
      </vt:variant>
      <vt:variant>
        <vt:i4>5</vt:i4>
      </vt:variant>
      <vt:variant>
        <vt:lpwstr>http://www.astho.org/Programs/Preparedness/Public-Health-Emergency-Law/Public-Health-and-Information-Sharing-Toolkit/Information-Sharing-Toolkit-Supplemental-Materials/</vt:lpwstr>
      </vt:variant>
      <vt:variant>
        <vt:lpwstr>Surveillance</vt:lpwstr>
      </vt:variant>
      <vt:variant>
        <vt:i4>3997816</vt:i4>
      </vt:variant>
      <vt:variant>
        <vt:i4>924</vt:i4>
      </vt:variant>
      <vt:variant>
        <vt:i4>0</vt:i4>
      </vt:variant>
      <vt:variant>
        <vt:i4>5</vt:i4>
      </vt:variant>
      <vt:variant>
        <vt:lpwstr>http://wwwn.cdc.gov/nndss/</vt:lpwstr>
      </vt:variant>
      <vt:variant>
        <vt:lpwstr/>
      </vt:variant>
      <vt:variant>
        <vt:i4>1835084</vt:i4>
      </vt:variant>
      <vt:variant>
        <vt:i4>921</vt:i4>
      </vt:variant>
      <vt:variant>
        <vt:i4>0</vt:i4>
      </vt:variant>
      <vt:variant>
        <vt:i4>5</vt:i4>
      </vt:variant>
      <vt:variant>
        <vt:lpwstr>http://www.bt.cdc.gov/episurv</vt:lpwstr>
      </vt:variant>
      <vt:variant>
        <vt:lpwstr/>
      </vt:variant>
      <vt:variant>
        <vt:i4>3538991</vt:i4>
      </vt:variant>
      <vt:variant>
        <vt:i4>918</vt:i4>
      </vt:variant>
      <vt:variant>
        <vt:i4>0</vt:i4>
      </vt:variant>
      <vt:variant>
        <vt:i4>5</vt:i4>
      </vt:variant>
      <vt:variant>
        <vt:lpwstr>http://www.cdc.gov/surveillancepractice</vt:lpwstr>
      </vt:variant>
      <vt:variant>
        <vt:lpwstr/>
      </vt:variant>
      <vt:variant>
        <vt:i4>131199</vt:i4>
      </vt:variant>
      <vt:variant>
        <vt:i4>915</vt:i4>
      </vt:variant>
      <vt:variant>
        <vt:i4>0</vt:i4>
      </vt:variant>
      <vt:variant>
        <vt:i4>5</vt:i4>
      </vt:variant>
      <vt:variant>
        <vt:lpwstr>http://scholarship.law.duke.edu/cgi/viewcontent.cgi?article=1063&amp;context=djclpp_sidebar</vt:lpwstr>
      </vt:variant>
      <vt:variant>
        <vt:lpwstr/>
      </vt:variant>
      <vt:variant>
        <vt:i4>131089</vt:i4>
      </vt:variant>
      <vt:variant>
        <vt:i4>912</vt:i4>
      </vt:variant>
      <vt:variant>
        <vt:i4>0</vt:i4>
      </vt:variant>
      <vt:variant>
        <vt:i4>5</vt:i4>
      </vt:variant>
      <vt:variant>
        <vt:lpwstr>http://www.astho.org/Programs/Preparedness/Public-Health-Emergency-Law/Public-Health-and-Information-Sharing-Toolkit/Information-Sharing-Toolkit-Supplemental-Materials/</vt:lpwstr>
      </vt:variant>
      <vt:variant>
        <vt:lpwstr>Individual-Rights</vt:lpwstr>
      </vt:variant>
      <vt:variant>
        <vt:i4>1572940</vt:i4>
      </vt:variant>
      <vt:variant>
        <vt:i4>909</vt:i4>
      </vt:variant>
      <vt:variant>
        <vt:i4>0</vt:i4>
      </vt:variant>
      <vt:variant>
        <vt:i4>5</vt:i4>
      </vt:variant>
      <vt:variant>
        <vt:lpwstr>http://www.gpo.gov/fdsys/pkg/PLAW-107publ188/html/PLAW-107publ188.htm</vt:lpwstr>
      </vt:variant>
      <vt:variant>
        <vt:lpwstr/>
      </vt:variant>
      <vt:variant>
        <vt:i4>2621473</vt:i4>
      </vt:variant>
      <vt:variant>
        <vt:i4>906</vt:i4>
      </vt:variant>
      <vt:variant>
        <vt:i4>0</vt:i4>
      </vt:variant>
      <vt:variant>
        <vt:i4>5</vt:i4>
      </vt:variant>
      <vt:variant>
        <vt:lpwstr>https://www.osha.gov/workers/index.html</vt:lpwstr>
      </vt:variant>
      <vt:variant>
        <vt:lpwstr/>
      </vt:variant>
      <vt:variant>
        <vt:i4>131141</vt:i4>
      </vt:variant>
      <vt:variant>
        <vt:i4>903</vt:i4>
      </vt:variant>
      <vt:variant>
        <vt:i4>0</vt:i4>
      </vt:variant>
      <vt:variant>
        <vt:i4>5</vt:i4>
      </vt:variant>
      <vt:variant>
        <vt:lpwstr>http://www.osha.gov/workers.html</vt:lpwstr>
      </vt:variant>
      <vt:variant>
        <vt:lpwstr/>
      </vt:variant>
      <vt:variant>
        <vt:i4>5177360</vt:i4>
      </vt:variant>
      <vt:variant>
        <vt:i4>900</vt:i4>
      </vt:variant>
      <vt:variant>
        <vt:i4>0</vt:i4>
      </vt:variant>
      <vt:variant>
        <vt:i4>5</vt:i4>
      </vt:variant>
      <vt:variant>
        <vt:lpwstr>http://www.osha.gov/SLTC/emergencypreparedness/index.html</vt:lpwstr>
      </vt:variant>
      <vt:variant>
        <vt:lpwstr/>
      </vt:variant>
      <vt:variant>
        <vt:i4>4325459</vt:i4>
      </vt:variant>
      <vt:variant>
        <vt:i4>897</vt:i4>
      </vt:variant>
      <vt:variant>
        <vt:i4>0</vt:i4>
      </vt:variant>
      <vt:variant>
        <vt:i4>5</vt:i4>
      </vt:variant>
      <vt:variant>
        <vt:lpwstr>http://www.osha.gov/</vt:lpwstr>
      </vt:variant>
      <vt:variant>
        <vt:lpwstr/>
      </vt:variant>
      <vt:variant>
        <vt:i4>6553687</vt:i4>
      </vt:variant>
      <vt:variant>
        <vt:i4>894</vt:i4>
      </vt:variant>
      <vt:variant>
        <vt:i4>0</vt:i4>
      </vt:variant>
      <vt:variant>
        <vt:i4>5</vt:i4>
      </vt:variant>
      <vt:variant>
        <vt:lpwstr>http://www.ecfr.gov/cgi-bin/text-idx?SID=449145ee248d8381a44e34f33379e3f6&amp;c=ecfr&amp;tpl=/ecfrbrowse/Title29/29cfrv5_02.tpl</vt:lpwstr>
      </vt:variant>
      <vt:variant>
        <vt:lpwstr/>
      </vt:variant>
      <vt:variant>
        <vt:i4>1900551</vt:i4>
      </vt:variant>
      <vt:variant>
        <vt:i4>891</vt:i4>
      </vt:variant>
      <vt:variant>
        <vt:i4>0</vt:i4>
      </vt:variant>
      <vt:variant>
        <vt:i4>5</vt:i4>
      </vt:variant>
      <vt:variant>
        <vt:lpwstr>http://www.osha.gov/law-regs.html</vt:lpwstr>
      </vt:variant>
      <vt:variant>
        <vt:lpwstr/>
      </vt:variant>
      <vt:variant>
        <vt:i4>720968</vt:i4>
      </vt:variant>
      <vt:variant>
        <vt:i4>888</vt:i4>
      </vt:variant>
      <vt:variant>
        <vt:i4>0</vt:i4>
      </vt:variant>
      <vt:variant>
        <vt:i4>5</vt:i4>
      </vt:variant>
      <vt:variant>
        <vt:lpwstr>http://www.law.cornell.edu/uscode/text/50/chapter-15</vt:lpwstr>
      </vt:variant>
      <vt:variant>
        <vt:lpwstr/>
      </vt:variant>
      <vt:variant>
        <vt:i4>1310738</vt:i4>
      </vt:variant>
      <vt:variant>
        <vt:i4>885</vt:i4>
      </vt:variant>
      <vt:variant>
        <vt:i4>0</vt:i4>
      </vt:variant>
      <vt:variant>
        <vt:i4>5</vt:i4>
      </vt:variant>
      <vt:variant>
        <vt:lpwstr>http://healthjournalism.org/secondarypage-details.php?id=965</vt:lpwstr>
      </vt:variant>
      <vt:variant>
        <vt:lpwstr/>
      </vt:variant>
      <vt:variant>
        <vt:i4>3932284</vt:i4>
      </vt:variant>
      <vt:variant>
        <vt:i4>882</vt:i4>
      </vt:variant>
      <vt:variant>
        <vt:i4>0</vt:i4>
      </vt:variant>
      <vt:variant>
        <vt:i4>5</vt:i4>
      </vt:variant>
      <vt:variant>
        <vt:lpwstr>http://www.astho.org/Programs/Preparedness/Public-Health-Emergency-Law/Public-Health-and-Information-Sharing-Toolkit/Information-Sharing-Toolkit-Supplemental-Materials/</vt:lpwstr>
      </vt:variant>
      <vt:variant>
        <vt:lpwstr>Freedom-of-Information</vt:lpwstr>
      </vt:variant>
      <vt:variant>
        <vt:i4>3080250</vt:i4>
      </vt:variant>
      <vt:variant>
        <vt:i4>879</vt:i4>
      </vt:variant>
      <vt:variant>
        <vt:i4>0</vt:i4>
      </vt:variant>
      <vt:variant>
        <vt:i4>5</vt:i4>
      </vt:variant>
      <vt:variant>
        <vt:lpwstr>http://ise.gov/law-enforcement-information-sharing</vt:lpwstr>
      </vt:variant>
      <vt:variant>
        <vt:lpwstr/>
      </vt:variant>
      <vt:variant>
        <vt:i4>6750321</vt:i4>
      </vt:variant>
      <vt:variant>
        <vt:i4>876</vt:i4>
      </vt:variant>
      <vt:variant>
        <vt:i4>0</vt:i4>
      </vt:variant>
      <vt:variant>
        <vt:i4>5</vt:i4>
      </vt:variant>
      <vt:variant>
        <vt:lpwstr>https://www.ncjrs.gov/pdffiles1/bja/214333.pdf</vt:lpwstr>
      </vt:variant>
      <vt:variant>
        <vt:lpwstr/>
      </vt:variant>
      <vt:variant>
        <vt:i4>327751</vt:i4>
      </vt:variant>
      <vt:variant>
        <vt:i4>873</vt:i4>
      </vt:variant>
      <vt:variant>
        <vt:i4>0</vt:i4>
      </vt:variant>
      <vt:variant>
        <vt:i4>5</vt:i4>
      </vt:variant>
      <vt:variant>
        <vt:lpwstr>http://www.cdc.gov/phlp/docs/CrimEpiHandbook2011.pdf</vt:lpwstr>
      </vt:variant>
      <vt:variant>
        <vt:lpwstr/>
      </vt:variant>
      <vt:variant>
        <vt:i4>7405601</vt:i4>
      </vt:variant>
      <vt:variant>
        <vt:i4>870</vt:i4>
      </vt:variant>
      <vt:variant>
        <vt:i4>0</vt:i4>
      </vt:variant>
      <vt:variant>
        <vt:i4>5</vt:i4>
      </vt:variant>
      <vt:variant>
        <vt:lpwstr>http://www.hhs.gov/ocr/privacy/hipaa/faq/disclosures_for_law_enforcement_purposes/505.html</vt:lpwstr>
      </vt:variant>
      <vt:variant>
        <vt:lpwstr/>
      </vt:variant>
      <vt:variant>
        <vt:i4>1900645</vt:i4>
      </vt:variant>
      <vt:variant>
        <vt:i4>867</vt:i4>
      </vt:variant>
      <vt:variant>
        <vt:i4>0</vt:i4>
      </vt:variant>
      <vt:variant>
        <vt:i4>5</vt:i4>
      </vt:variant>
      <vt:variant>
        <vt:lpwstr>http://www.sog.unc.edu/sites/www.sog.unc.edu/files/additional_files/LE-May 2013.pdf</vt:lpwstr>
      </vt:variant>
      <vt:variant>
        <vt:lpwstr/>
      </vt:variant>
      <vt:variant>
        <vt:i4>6881313</vt:i4>
      </vt:variant>
      <vt:variant>
        <vt:i4>864</vt:i4>
      </vt:variant>
      <vt:variant>
        <vt:i4>0</vt:i4>
      </vt:variant>
      <vt:variant>
        <vt:i4>5</vt:i4>
      </vt:variant>
      <vt:variant>
        <vt:lpwstr>http://onlinelibrary.wiley.com/doi/10.1111/j.1748-720X.2003.tb00135.x/abstract</vt:lpwstr>
      </vt:variant>
      <vt:variant>
        <vt:lpwstr/>
      </vt:variant>
      <vt:variant>
        <vt:i4>1114138</vt:i4>
      </vt:variant>
      <vt:variant>
        <vt:i4>861</vt:i4>
      </vt:variant>
      <vt:variant>
        <vt:i4>0</vt:i4>
      </vt:variant>
      <vt:variant>
        <vt:i4>5</vt:i4>
      </vt:variant>
      <vt:variant>
        <vt:lpwstr>http://www.cdc.gov/phlp/publications/forensicepidemiology/index.html</vt:lpwstr>
      </vt:variant>
      <vt:variant>
        <vt:lpwstr/>
      </vt:variant>
      <vt:variant>
        <vt:i4>4522074</vt:i4>
      </vt:variant>
      <vt:variant>
        <vt:i4>858</vt:i4>
      </vt:variant>
      <vt:variant>
        <vt:i4>0</vt:i4>
      </vt:variant>
      <vt:variant>
        <vt:i4>5</vt:i4>
      </vt:variant>
      <vt:variant>
        <vt:lpwstr>http://www.nasemso.org/Projects/DomesticPreparedness/documents/JIMOUFinal.pdf</vt:lpwstr>
      </vt:variant>
      <vt:variant>
        <vt:lpwstr/>
      </vt:variant>
      <vt:variant>
        <vt:i4>851978</vt:i4>
      </vt:variant>
      <vt:variant>
        <vt:i4>855</vt:i4>
      </vt:variant>
      <vt:variant>
        <vt:i4>0</vt:i4>
      </vt:variant>
      <vt:variant>
        <vt:i4>5</vt:i4>
      </vt:variant>
      <vt:variant>
        <vt:lpwstr>http://www.astho.org/Programs/e-Health/Privacy/Materials/Public-Health,-Law-Enforcement,-and-Privacy-Issues/</vt:lpwstr>
      </vt:variant>
      <vt:variant>
        <vt:lpwstr/>
      </vt:variant>
      <vt:variant>
        <vt:i4>5701704</vt:i4>
      </vt:variant>
      <vt:variant>
        <vt:i4>852</vt:i4>
      </vt:variant>
      <vt:variant>
        <vt:i4>0</vt:i4>
      </vt:variant>
      <vt:variant>
        <vt:i4>5</vt:i4>
      </vt:variant>
      <vt:variant>
        <vt:lpwstr>http://www.astho.org/Programs/Preparedness/Public-Health-Emergency-Law/Public-Health-and-Information-Sharing-Toolkit/Information-Sharing-Toolkit-Supplemental-Materials/</vt:lpwstr>
      </vt:variant>
      <vt:variant>
        <vt:lpwstr>Coordinated-Response</vt:lpwstr>
      </vt:variant>
      <vt:variant>
        <vt:i4>4390934</vt:i4>
      </vt:variant>
      <vt:variant>
        <vt:i4>849</vt:i4>
      </vt:variant>
      <vt:variant>
        <vt:i4>0</vt:i4>
      </vt:variant>
      <vt:variant>
        <vt:i4>5</vt:i4>
      </vt:variant>
      <vt:variant>
        <vt:lpwstr>http://www.gpo.gov/fdsys/pkg/PLAW-108publ458/pdf/PLAW-108publ458.pdf</vt:lpwstr>
      </vt:variant>
      <vt:variant>
        <vt:lpwstr/>
      </vt:variant>
      <vt:variant>
        <vt:i4>5636124</vt:i4>
      </vt:variant>
      <vt:variant>
        <vt:i4>846</vt:i4>
      </vt:variant>
      <vt:variant>
        <vt:i4>0</vt:i4>
      </vt:variant>
      <vt:variant>
        <vt:i4>5</vt:i4>
      </vt:variant>
      <vt:variant>
        <vt:lpwstr>http://www.astho.org/Programs/Preparedness/Public-Health-Emergency-Law/Public-Health-and-Information-Sharing-Toolkit/Information-Sharing-Toolkit-Supplemental-Materials/</vt:lpwstr>
      </vt:variant>
      <vt:variant>
        <vt:lpwstr>Right-to-Privacy</vt:lpwstr>
      </vt:variant>
      <vt:variant>
        <vt:i4>131089</vt:i4>
      </vt:variant>
      <vt:variant>
        <vt:i4>843</vt:i4>
      </vt:variant>
      <vt:variant>
        <vt:i4>0</vt:i4>
      </vt:variant>
      <vt:variant>
        <vt:i4>5</vt:i4>
      </vt:variant>
      <vt:variant>
        <vt:lpwstr>http://www.astho.org/Programs/Preparedness/Public-Health-Emergency-Law/Public-Health-and-Information-Sharing-Toolkit/Information-Sharing-Toolkit-Supplemental-Materials/</vt:lpwstr>
      </vt:variant>
      <vt:variant>
        <vt:lpwstr>Individual-Rights</vt:lpwstr>
      </vt:variant>
      <vt:variant>
        <vt:i4>4259842</vt:i4>
      </vt:variant>
      <vt:variant>
        <vt:i4>840</vt:i4>
      </vt:variant>
      <vt:variant>
        <vt:i4>0</vt:i4>
      </vt:variant>
      <vt:variant>
        <vt:i4>5</vt:i4>
      </vt:variant>
      <vt:variant>
        <vt:lpwstr>http://ise.gov/background-and-authorities</vt:lpwstr>
      </vt:variant>
      <vt:variant>
        <vt:lpwstr/>
      </vt:variant>
      <vt:variant>
        <vt:i4>4849667</vt:i4>
      </vt:variant>
      <vt:variant>
        <vt:i4>837</vt:i4>
      </vt:variant>
      <vt:variant>
        <vt:i4>0</vt:i4>
      </vt:variant>
      <vt:variant>
        <vt:i4>5</vt:i4>
      </vt:variant>
      <vt:variant>
        <vt:lpwstr>http://www.it.ojp.gov/default.aspx?area=nationalInitiatives&amp;page=1181</vt:lpwstr>
      </vt:variant>
      <vt:variant>
        <vt:lpwstr/>
      </vt:variant>
      <vt:variant>
        <vt:i4>4849667</vt:i4>
      </vt:variant>
      <vt:variant>
        <vt:i4>834</vt:i4>
      </vt:variant>
      <vt:variant>
        <vt:i4>0</vt:i4>
      </vt:variant>
      <vt:variant>
        <vt:i4>5</vt:i4>
      </vt:variant>
      <vt:variant>
        <vt:lpwstr>http://www.it.ojp.gov/default.aspx?area=nationalInitiatives&amp;page=1181</vt:lpwstr>
      </vt:variant>
      <vt:variant>
        <vt:lpwstr/>
      </vt:variant>
      <vt:variant>
        <vt:i4>6422652</vt:i4>
      </vt:variant>
      <vt:variant>
        <vt:i4>831</vt:i4>
      </vt:variant>
      <vt:variant>
        <vt:i4>0</vt:i4>
      </vt:variant>
      <vt:variant>
        <vt:i4>5</vt:i4>
      </vt:variant>
      <vt:variant>
        <vt:lpwstr>http://www.it.ojp.gov/docdownloader.aspx?ddid=1269</vt:lpwstr>
      </vt:variant>
      <vt:variant>
        <vt:lpwstr/>
      </vt:variant>
      <vt:variant>
        <vt:i4>6357046</vt:i4>
      </vt:variant>
      <vt:variant>
        <vt:i4>828</vt:i4>
      </vt:variant>
      <vt:variant>
        <vt:i4>0</vt:i4>
      </vt:variant>
      <vt:variant>
        <vt:i4>5</vt:i4>
      </vt:variant>
      <vt:variant>
        <vt:lpwstr>http://www.it.ojp.gov/documents/fusion_center_guidelines_law_enforcement.pdf</vt:lpwstr>
      </vt:variant>
      <vt:variant>
        <vt:lpwstr/>
      </vt:variant>
      <vt:variant>
        <vt:i4>3014657</vt:i4>
      </vt:variant>
      <vt:variant>
        <vt:i4>825</vt:i4>
      </vt:variant>
      <vt:variant>
        <vt:i4>0</vt:i4>
      </vt:variant>
      <vt:variant>
        <vt:i4>5</vt:i4>
      </vt:variant>
      <vt:variant>
        <vt:lpwstr>http://www.dhs.gov/files/programs/gc_1156877184684.shtm</vt:lpwstr>
      </vt:variant>
      <vt:variant>
        <vt:lpwstr/>
      </vt:variant>
      <vt:variant>
        <vt:i4>2949122</vt:i4>
      </vt:variant>
      <vt:variant>
        <vt:i4>822</vt:i4>
      </vt:variant>
      <vt:variant>
        <vt:i4>0</vt:i4>
      </vt:variant>
      <vt:variant>
        <vt:i4>5</vt:i4>
      </vt:variant>
      <vt:variant>
        <vt:lpwstr>http://www.dhs.gov/files/programs/gc_1296484657738.shtm</vt:lpwstr>
      </vt:variant>
      <vt:variant>
        <vt:lpwstr/>
      </vt:variant>
      <vt:variant>
        <vt:i4>7602195</vt:i4>
      </vt:variant>
      <vt:variant>
        <vt:i4>819</vt:i4>
      </vt:variant>
      <vt:variant>
        <vt:i4>0</vt:i4>
      </vt:variant>
      <vt:variant>
        <vt:i4>5</vt:i4>
      </vt:variant>
      <vt:variant>
        <vt:lpwstr>http://www.google.com/url?sa=t&amp;rct=j&amp;q=&amp;esrc=s&amp;source=web&amp;cd=1&amp;cad=rja&amp;uact=8&amp;ved=0CB4QFjAAahUKEwil3bjS5YDIAhVEWh4KHeacDRE&amp;url=http%3A%2F%2Fwww.hsgac.senate.gov%2Fdownload%2Freport_federal-support-for-and-involvement-in-state-and-local-fusions-centers&amp;usg=AFQjCNEY5sKmzFYKts_5F0R5KDR-3QwwZg&amp;sig2=VczPOqNUPYSjMd9Pxc3cLQ</vt:lpwstr>
      </vt:variant>
      <vt:variant>
        <vt:lpwstr/>
      </vt:variant>
      <vt:variant>
        <vt:i4>3539003</vt:i4>
      </vt:variant>
      <vt:variant>
        <vt:i4>816</vt:i4>
      </vt:variant>
      <vt:variant>
        <vt:i4>0</vt:i4>
      </vt:variant>
      <vt:variant>
        <vt:i4>5</vt:i4>
      </vt:variant>
      <vt:variant>
        <vt:lpwstr>http://ise.gov/</vt:lpwstr>
      </vt:variant>
      <vt:variant>
        <vt:lpwstr/>
      </vt:variant>
      <vt:variant>
        <vt:i4>4849667</vt:i4>
      </vt:variant>
      <vt:variant>
        <vt:i4>813</vt:i4>
      </vt:variant>
      <vt:variant>
        <vt:i4>0</vt:i4>
      </vt:variant>
      <vt:variant>
        <vt:i4>5</vt:i4>
      </vt:variant>
      <vt:variant>
        <vt:lpwstr>http://www.it.ojp.gov/default.aspx?area=nationalInitiatives&amp;page=1181</vt:lpwstr>
      </vt:variant>
      <vt:variant>
        <vt:lpwstr/>
      </vt:variant>
      <vt:variant>
        <vt:i4>2752632</vt:i4>
      </vt:variant>
      <vt:variant>
        <vt:i4>810</vt:i4>
      </vt:variant>
      <vt:variant>
        <vt:i4>0</vt:i4>
      </vt:variant>
      <vt:variant>
        <vt:i4>5</vt:i4>
      </vt:variant>
      <vt:variant>
        <vt:lpwstr>http://www.dhs.gov/information-sharing</vt:lpwstr>
      </vt:variant>
      <vt:variant>
        <vt:lpwstr/>
      </vt:variant>
      <vt:variant>
        <vt:i4>3604513</vt:i4>
      </vt:variant>
      <vt:variant>
        <vt:i4>807</vt:i4>
      </vt:variant>
      <vt:variant>
        <vt:i4>0</vt:i4>
      </vt:variant>
      <vt:variant>
        <vt:i4>5</vt:i4>
      </vt:variant>
      <vt:variant>
        <vt:lpwstr>http://sph-dev.sites.unc.edu/files/2013/08/oconnor.pdf</vt:lpwstr>
      </vt:variant>
      <vt:variant>
        <vt:lpwstr/>
      </vt:variant>
      <vt:variant>
        <vt:i4>5898242</vt:i4>
      </vt:variant>
      <vt:variant>
        <vt:i4>804</vt:i4>
      </vt:variant>
      <vt:variant>
        <vt:i4>0</vt:i4>
      </vt:variant>
      <vt:variant>
        <vt:i4>5</vt:i4>
      </vt:variant>
      <vt:variant>
        <vt:lpwstr>http://www.law.cornell.edu/supct/html/historics/USSC_CR_0429_0589_ZO.html</vt:lpwstr>
      </vt:variant>
      <vt:variant>
        <vt:lpwstr/>
      </vt:variant>
      <vt:variant>
        <vt:i4>4849676</vt:i4>
      </vt:variant>
      <vt:variant>
        <vt:i4>801</vt:i4>
      </vt:variant>
      <vt:variant>
        <vt:i4>0</vt:i4>
      </vt:variant>
      <vt:variant>
        <vt:i4>5</vt:i4>
      </vt:variant>
      <vt:variant>
        <vt:lpwstr>http://www.law.cornell.edu/supct/html/historics/USSC_CR_0428_0052_ZS.html</vt:lpwstr>
      </vt:variant>
      <vt:variant>
        <vt:lpwstr/>
      </vt:variant>
      <vt:variant>
        <vt:i4>2752636</vt:i4>
      </vt:variant>
      <vt:variant>
        <vt:i4>798</vt:i4>
      </vt:variant>
      <vt:variant>
        <vt:i4>0</vt:i4>
      </vt:variant>
      <vt:variant>
        <vt:i4>5</vt:i4>
      </vt:variant>
      <vt:variant>
        <vt:lpwstr>http://caselaw.lp.findlaw.com/cgi-bin/getcase.pl?court=us&amp;vol=197&amp;invol=11</vt:lpwstr>
      </vt:variant>
      <vt:variant>
        <vt:lpwstr/>
      </vt:variant>
      <vt:variant>
        <vt:i4>7929960</vt:i4>
      </vt:variant>
      <vt:variant>
        <vt:i4>795</vt:i4>
      </vt:variant>
      <vt:variant>
        <vt:i4>0</vt:i4>
      </vt:variant>
      <vt:variant>
        <vt:i4>5</vt:i4>
      </vt:variant>
      <vt:variant>
        <vt:lpwstr>http://caselaw.lp.findlaw.com/scripts/getcase.pl?court=us&amp;vol=000&amp;invol=99-936</vt:lpwstr>
      </vt:variant>
      <vt:variant>
        <vt:lpwstr/>
      </vt:variant>
      <vt:variant>
        <vt:i4>2949241</vt:i4>
      </vt:variant>
      <vt:variant>
        <vt:i4>792</vt:i4>
      </vt:variant>
      <vt:variant>
        <vt:i4>0</vt:i4>
      </vt:variant>
      <vt:variant>
        <vt:i4>5</vt:i4>
      </vt:variant>
      <vt:variant>
        <vt:lpwstr>http://www.dhs.gov/</vt:lpwstr>
      </vt:variant>
      <vt:variant>
        <vt:lpwstr/>
      </vt:variant>
      <vt:variant>
        <vt:i4>4390934</vt:i4>
      </vt:variant>
      <vt:variant>
        <vt:i4>789</vt:i4>
      </vt:variant>
      <vt:variant>
        <vt:i4>0</vt:i4>
      </vt:variant>
      <vt:variant>
        <vt:i4>5</vt:i4>
      </vt:variant>
      <vt:variant>
        <vt:lpwstr>http://www.gpo.gov/fdsys/pkg/PLAW-107publ296/pdf/PLAW-107publ296.pdf</vt:lpwstr>
      </vt:variant>
      <vt:variant>
        <vt:lpwstr/>
      </vt:variant>
      <vt:variant>
        <vt:i4>3407999</vt:i4>
      </vt:variant>
      <vt:variant>
        <vt:i4>786</vt:i4>
      </vt:variant>
      <vt:variant>
        <vt:i4>0</vt:i4>
      </vt:variant>
      <vt:variant>
        <vt:i4>5</vt:i4>
      </vt:variant>
      <vt:variant>
        <vt:lpwstr>http://www.hhs.gov/ocr/privacy/hipaa/understanding/special/publichealth/index.html</vt:lpwstr>
      </vt:variant>
      <vt:variant>
        <vt:lpwstr/>
      </vt:variant>
      <vt:variant>
        <vt:i4>7405601</vt:i4>
      </vt:variant>
      <vt:variant>
        <vt:i4>783</vt:i4>
      </vt:variant>
      <vt:variant>
        <vt:i4>0</vt:i4>
      </vt:variant>
      <vt:variant>
        <vt:i4>5</vt:i4>
      </vt:variant>
      <vt:variant>
        <vt:lpwstr>http://www.hhs.gov/ocr/privacy/hipaa/faq/disclosures_for_law_enforcement_purposes/505.html</vt:lpwstr>
      </vt:variant>
      <vt:variant>
        <vt:lpwstr/>
      </vt:variant>
      <vt:variant>
        <vt:i4>2293866</vt:i4>
      </vt:variant>
      <vt:variant>
        <vt:i4>780</vt:i4>
      </vt:variant>
      <vt:variant>
        <vt:i4>0</vt:i4>
      </vt:variant>
      <vt:variant>
        <vt:i4>5</vt:i4>
      </vt:variant>
      <vt:variant>
        <vt:lpwstr>http://www.hhs.gov/ocr/privacy/hipaa/faq/index.html</vt:lpwstr>
      </vt:variant>
      <vt:variant>
        <vt:lpwstr/>
      </vt:variant>
      <vt:variant>
        <vt:i4>2556012</vt:i4>
      </vt:variant>
      <vt:variant>
        <vt:i4>777</vt:i4>
      </vt:variant>
      <vt:variant>
        <vt:i4>0</vt:i4>
      </vt:variant>
      <vt:variant>
        <vt:i4>5</vt:i4>
      </vt:variant>
      <vt:variant>
        <vt:lpwstr>http://www.hhs.gov/ocr/privacy/hipaa/understanding/special/emergency/decisiontoolintro.html</vt:lpwstr>
      </vt:variant>
      <vt:variant>
        <vt:lpwstr/>
      </vt:variant>
      <vt:variant>
        <vt:i4>1900645</vt:i4>
      </vt:variant>
      <vt:variant>
        <vt:i4>774</vt:i4>
      </vt:variant>
      <vt:variant>
        <vt:i4>0</vt:i4>
      </vt:variant>
      <vt:variant>
        <vt:i4>5</vt:i4>
      </vt:variant>
      <vt:variant>
        <vt:lpwstr>http://www.sog.unc.edu/sites/www.sog.unc.edu/files/additional_files/LE-May 2013.pdf</vt:lpwstr>
      </vt:variant>
      <vt:variant>
        <vt:lpwstr/>
      </vt:variant>
      <vt:variant>
        <vt:i4>1900559</vt:i4>
      </vt:variant>
      <vt:variant>
        <vt:i4>771</vt:i4>
      </vt:variant>
      <vt:variant>
        <vt:i4>0</vt:i4>
      </vt:variant>
      <vt:variant>
        <vt:i4>5</vt:i4>
      </vt:variant>
      <vt:variant>
        <vt:lpwstr>http://www.law.umaryland.edu/marshall/crsreports/crsdocuments/RL3163401242005.pdf</vt:lpwstr>
      </vt:variant>
      <vt:variant>
        <vt:lpwstr/>
      </vt:variant>
      <vt:variant>
        <vt:i4>5046275</vt:i4>
      </vt:variant>
      <vt:variant>
        <vt:i4>768</vt:i4>
      </vt:variant>
      <vt:variant>
        <vt:i4>0</vt:i4>
      </vt:variant>
      <vt:variant>
        <vt:i4>5</vt:i4>
      </vt:variant>
      <vt:variant>
        <vt:lpwstr>http://www.hhs.gov/ocr/privacy/index.html</vt:lpwstr>
      </vt:variant>
      <vt:variant>
        <vt:lpwstr/>
      </vt:variant>
      <vt:variant>
        <vt:i4>4522077</vt:i4>
      </vt:variant>
      <vt:variant>
        <vt:i4>765</vt:i4>
      </vt:variant>
      <vt:variant>
        <vt:i4>0</vt:i4>
      </vt:variant>
      <vt:variant>
        <vt:i4>5</vt:i4>
      </vt:variant>
      <vt:variant>
        <vt:lpwstr>http://www.hhs.gov/ocr/privacy/hipaa/understanding/summary/index.html</vt:lpwstr>
      </vt:variant>
      <vt:variant>
        <vt:lpwstr/>
      </vt:variant>
      <vt:variant>
        <vt:i4>66</vt:i4>
      </vt:variant>
      <vt:variant>
        <vt:i4>762</vt:i4>
      </vt:variant>
      <vt:variant>
        <vt:i4>0</vt:i4>
      </vt:variant>
      <vt:variant>
        <vt:i4>5</vt:i4>
      </vt:variant>
      <vt:variant>
        <vt:lpwstr>http://www2.ed.gov/policy/gen/guid/fpco/doc/ferpa-hipaa-guidance.pdf</vt:lpwstr>
      </vt:variant>
      <vt:variant>
        <vt:lpwstr/>
      </vt:variant>
      <vt:variant>
        <vt:i4>4456464</vt:i4>
      </vt:variant>
      <vt:variant>
        <vt:i4>759</vt:i4>
      </vt:variant>
      <vt:variant>
        <vt:i4>0</vt:i4>
      </vt:variant>
      <vt:variant>
        <vt:i4>5</vt:i4>
      </vt:variant>
      <vt:variant>
        <vt:lpwstr>http://www.cdc.gov/mmwr/preview/mmwrhtml/m2e411a1.htm</vt:lpwstr>
      </vt:variant>
      <vt:variant>
        <vt:lpwstr/>
      </vt:variant>
      <vt:variant>
        <vt:i4>3276858</vt:i4>
      </vt:variant>
      <vt:variant>
        <vt:i4>756</vt:i4>
      </vt:variant>
      <vt:variant>
        <vt:i4>0</vt:i4>
      </vt:variant>
      <vt:variant>
        <vt:i4>5</vt:i4>
      </vt:variant>
      <vt:variant>
        <vt:lpwstr>http://www.hhs.gov/ocr/privacy/hipaa/understanding/coveredentities/De-identification/guidance.html</vt:lpwstr>
      </vt:variant>
      <vt:variant>
        <vt:lpwstr/>
      </vt:variant>
      <vt:variant>
        <vt:i4>2621488</vt:i4>
      </vt:variant>
      <vt:variant>
        <vt:i4>753</vt:i4>
      </vt:variant>
      <vt:variant>
        <vt:i4>0</vt:i4>
      </vt:variant>
      <vt:variant>
        <vt:i4>5</vt:i4>
      </vt:variant>
      <vt:variant>
        <vt:lpwstr>http://www.hhs.gov/ocr/privacy/hipaa/understanding/coveredentities/introdution.html</vt:lpwstr>
      </vt:variant>
      <vt:variant>
        <vt:lpwstr/>
      </vt:variant>
      <vt:variant>
        <vt:i4>6291466</vt:i4>
      </vt:variant>
      <vt:variant>
        <vt:i4>750</vt:i4>
      </vt:variant>
      <vt:variant>
        <vt:i4>0</vt:i4>
      </vt:variant>
      <vt:variant>
        <vt:i4>5</vt:i4>
      </vt:variant>
      <vt:variant>
        <vt:lpwstr>http://frwebgate.access.gpo.gov/cgi-bin/getdoc.cgi?dbname=104_cong_public_laws&amp;docid=f:publ191.104</vt:lpwstr>
      </vt:variant>
      <vt:variant>
        <vt:lpwstr/>
      </vt:variant>
      <vt:variant>
        <vt:i4>2228265</vt:i4>
      </vt:variant>
      <vt:variant>
        <vt:i4>747</vt:i4>
      </vt:variant>
      <vt:variant>
        <vt:i4>0</vt:i4>
      </vt:variant>
      <vt:variant>
        <vt:i4>5</vt:i4>
      </vt:variant>
      <vt:variant>
        <vt:lpwstr>http://www.hhs.gov/ocr/privacy/hipaa/understanding/coveredentities/hitechblurb.html</vt:lpwstr>
      </vt:variant>
      <vt:variant>
        <vt:lpwstr/>
      </vt:variant>
      <vt:variant>
        <vt:i4>5308484</vt:i4>
      </vt:variant>
      <vt:variant>
        <vt:i4>744</vt:i4>
      </vt:variant>
      <vt:variant>
        <vt:i4>0</vt:i4>
      </vt:variant>
      <vt:variant>
        <vt:i4>5</vt:i4>
      </vt:variant>
      <vt:variant>
        <vt:lpwstr>http://www.hhs.gov/ocr/privacy/hipaa/understanding/coveredentities/hitechact.pdf</vt:lpwstr>
      </vt:variant>
      <vt:variant>
        <vt:lpwstr/>
      </vt:variant>
      <vt:variant>
        <vt:i4>1638421</vt:i4>
      </vt:variant>
      <vt:variant>
        <vt:i4>741</vt:i4>
      </vt:variant>
      <vt:variant>
        <vt:i4>0</vt:i4>
      </vt:variant>
      <vt:variant>
        <vt:i4>5</vt:i4>
      </vt:variant>
      <vt:variant>
        <vt:lpwstr>http://www.astho.org/Programs/Preparedness/Public-Health-Emergency-Law/Public-Health-and-Information-Sharing-Toolkit/Information-Sharing-Toolkit-Supplemental-Materials/</vt:lpwstr>
      </vt:variant>
      <vt:variant>
        <vt:lpwstr>Electronic-Health</vt:lpwstr>
      </vt:variant>
      <vt:variant>
        <vt:i4>3801123</vt:i4>
      </vt:variant>
      <vt:variant>
        <vt:i4>738</vt:i4>
      </vt:variant>
      <vt:variant>
        <vt:i4>0</vt:i4>
      </vt:variant>
      <vt:variant>
        <vt:i4>5</vt:i4>
      </vt:variant>
      <vt:variant>
        <vt:lpwstr>http://www.astho.org/Programs/Preparedness/Public-Health-Emergency-Law/Public-Health-and-Information-Sharing-Toolkit/Information-Sharing-Toolkit-Supplemental-Materials/</vt:lpwstr>
      </vt:variant>
      <vt:variant>
        <vt:lpwstr>Information-Sharing</vt:lpwstr>
      </vt:variant>
      <vt:variant>
        <vt:i4>917527</vt:i4>
      </vt:variant>
      <vt:variant>
        <vt:i4>735</vt:i4>
      </vt:variant>
      <vt:variant>
        <vt:i4>0</vt:i4>
      </vt:variant>
      <vt:variant>
        <vt:i4>5</vt:i4>
      </vt:variant>
      <vt:variant>
        <vt:lpwstr>http://www.rcfp.org/open-government-guide</vt:lpwstr>
      </vt:variant>
      <vt:variant>
        <vt:lpwstr/>
      </vt:variant>
      <vt:variant>
        <vt:i4>3014778</vt:i4>
      </vt:variant>
      <vt:variant>
        <vt:i4>732</vt:i4>
      </vt:variant>
      <vt:variant>
        <vt:i4>0</vt:i4>
      </vt:variant>
      <vt:variant>
        <vt:i4>5</vt:i4>
      </vt:variant>
      <vt:variant>
        <vt:lpwstr>http://caselaw.lp.findlaw.com/cgi-bin/getcase.pl?court=us&amp;vol=387&amp;invol=541</vt:lpwstr>
      </vt:variant>
      <vt:variant>
        <vt:lpwstr/>
      </vt:variant>
      <vt:variant>
        <vt:i4>7929960</vt:i4>
      </vt:variant>
      <vt:variant>
        <vt:i4>729</vt:i4>
      </vt:variant>
      <vt:variant>
        <vt:i4>0</vt:i4>
      </vt:variant>
      <vt:variant>
        <vt:i4>5</vt:i4>
      </vt:variant>
      <vt:variant>
        <vt:lpwstr>http://caselaw.lp.findlaw.com/scripts/getcase.pl?court=us&amp;vol=000&amp;invol=99-936</vt:lpwstr>
      </vt:variant>
      <vt:variant>
        <vt:lpwstr/>
      </vt:variant>
      <vt:variant>
        <vt:i4>2621562</vt:i4>
      </vt:variant>
      <vt:variant>
        <vt:i4>726</vt:i4>
      </vt:variant>
      <vt:variant>
        <vt:i4>0</vt:i4>
      </vt:variant>
      <vt:variant>
        <vt:i4>5</vt:i4>
      </vt:variant>
      <vt:variant>
        <vt:lpwstr>http://caselaw.lp.findlaw.com/cgi-bin/getcase.pl?court=us&amp;vol=387&amp;invol=523</vt:lpwstr>
      </vt:variant>
      <vt:variant>
        <vt:lpwstr/>
      </vt:variant>
      <vt:variant>
        <vt:i4>3014782</vt:i4>
      </vt:variant>
      <vt:variant>
        <vt:i4>723</vt:i4>
      </vt:variant>
      <vt:variant>
        <vt:i4>0</vt:i4>
      </vt:variant>
      <vt:variant>
        <vt:i4>5</vt:i4>
      </vt:variant>
      <vt:variant>
        <vt:lpwstr>http://www.law.cornell.edu/constitution</vt:lpwstr>
      </vt:variant>
      <vt:variant>
        <vt:lpwstr/>
      </vt:variant>
      <vt:variant>
        <vt:i4>3735593</vt:i4>
      </vt:variant>
      <vt:variant>
        <vt:i4>720</vt:i4>
      </vt:variant>
      <vt:variant>
        <vt:i4>0</vt:i4>
      </vt:variant>
      <vt:variant>
        <vt:i4>5</vt:i4>
      </vt:variant>
      <vt:variant>
        <vt:lpwstr>http://www.astho.org/Programs/Preparedness/Public-Health-Emergency-Law/Public-Health-and-Information-Sharing-Toolkit/Information-Sharing-Toolkit-Supplemental-Materials/</vt:lpwstr>
      </vt:variant>
      <vt:variant>
        <vt:lpwstr>Law-Enforcement</vt:lpwstr>
      </vt:variant>
      <vt:variant>
        <vt:i4>3735593</vt:i4>
      </vt:variant>
      <vt:variant>
        <vt:i4>717</vt:i4>
      </vt:variant>
      <vt:variant>
        <vt:i4>0</vt:i4>
      </vt:variant>
      <vt:variant>
        <vt:i4>5</vt:i4>
      </vt:variant>
      <vt:variant>
        <vt:lpwstr>http://www.astho.org/Programs/Preparedness/Public-Health-Emergency-Law/Public-Health-and-Information-Sharing-Toolkit/Information-Sharing-Toolkit-Supplemental-Materials/</vt:lpwstr>
      </vt:variant>
      <vt:variant>
        <vt:lpwstr>Law-Enforcement</vt:lpwstr>
      </vt:variant>
      <vt:variant>
        <vt:i4>8192121</vt:i4>
      </vt:variant>
      <vt:variant>
        <vt:i4>714</vt:i4>
      </vt:variant>
      <vt:variant>
        <vt:i4>0</vt:i4>
      </vt:variant>
      <vt:variant>
        <vt:i4>5</vt:i4>
      </vt:variant>
      <vt:variant>
        <vt:lpwstr>http://www2.ed.gov/policy/gen/guid/fpco/ferpa/library/baiseunmslc.html</vt:lpwstr>
      </vt:variant>
      <vt:variant>
        <vt:lpwstr/>
      </vt:variant>
      <vt:variant>
        <vt:i4>4259907</vt:i4>
      </vt:variant>
      <vt:variant>
        <vt:i4>711</vt:i4>
      </vt:variant>
      <vt:variant>
        <vt:i4>0</vt:i4>
      </vt:variant>
      <vt:variant>
        <vt:i4>5</vt:i4>
      </vt:variant>
      <vt:variant>
        <vt:lpwstr>http://www2.ed.gov/policy/gen/guid/fpco/ferpa/library/suarezconflict.html</vt:lpwstr>
      </vt:variant>
      <vt:variant>
        <vt:lpwstr/>
      </vt:variant>
      <vt:variant>
        <vt:i4>7667796</vt:i4>
      </vt:variant>
      <vt:variant>
        <vt:i4>708</vt:i4>
      </vt:variant>
      <vt:variant>
        <vt:i4>0</vt:i4>
      </vt:variant>
      <vt:variant>
        <vt:i4>5</vt:i4>
      </vt:variant>
      <vt:variant>
        <vt:lpwstr>http://www2.ed.gov/policy/gen/guid/fpco/ferpa/library/oakland_ca.html</vt:lpwstr>
      </vt:variant>
      <vt:variant>
        <vt:lpwstr/>
      </vt:variant>
      <vt:variant>
        <vt:i4>6946858</vt:i4>
      </vt:variant>
      <vt:variant>
        <vt:i4>705</vt:i4>
      </vt:variant>
      <vt:variant>
        <vt:i4>0</vt:i4>
      </vt:variant>
      <vt:variant>
        <vt:i4>5</vt:i4>
      </vt:variant>
      <vt:variant>
        <vt:lpwstr>http://www2.ed.gov/policy/gen/guid/fpco/pdf/ferpa-disaster-guidance.pdf</vt:lpwstr>
      </vt:variant>
      <vt:variant>
        <vt:lpwstr/>
      </vt:variant>
      <vt:variant>
        <vt:i4>3407904</vt:i4>
      </vt:variant>
      <vt:variant>
        <vt:i4>702</vt:i4>
      </vt:variant>
      <vt:variant>
        <vt:i4>0</vt:i4>
      </vt:variant>
      <vt:variant>
        <vt:i4>5</vt:i4>
      </vt:variant>
      <vt:variant>
        <vt:lpwstr>http://www2.ed.gov/policy/gen/guid/fpco/pdf/ferpa-h1n1.pdf</vt:lpwstr>
      </vt:variant>
      <vt:variant>
        <vt:lpwstr/>
      </vt:variant>
      <vt:variant>
        <vt:i4>5636106</vt:i4>
      </vt:variant>
      <vt:variant>
        <vt:i4>699</vt:i4>
      </vt:variant>
      <vt:variant>
        <vt:i4>0</vt:i4>
      </vt:variant>
      <vt:variant>
        <vt:i4>5</vt:i4>
      </vt:variant>
      <vt:variant>
        <vt:lpwstr>http://www2.ed.gov/policy/gen/guid/fpco/ferpa/index.html</vt:lpwstr>
      </vt:variant>
      <vt:variant>
        <vt:lpwstr/>
      </vt:variant>
      <vt:variant>
        <vt:i4>66</vt:i4>
      </vt:variant>
      <vt:variant>
        <vt:i4>696</vt:i4>
      </vt:variant>
      <vt:variant>
        <vt:i4>0</vt:i4>
      </vt:variant>
      <vt:variant>
        <vt:i4>5</vt:i4>
      </vt:variant>
      <vt:variant>
        <vt:lpwstr>http://www2.ed.gov/policy/gen/guid/fpco/doc/ferpa-hipaa-guidance.pdf</vt:lpwstr>
      </vt:variant>
      <vt:variant>
        <vt:lpwstr/>
      </vt:variant>
      <vt:variant>
        <vt:i4>6094917</vt:i4>
      </vt:variant>
      <vt:variant>
        <vt:i4>693</vt:i4>
      </vt:variant>
      <vt:variant>
        <vt:i4>0</vt:i4>
      </vt:variant>
      <vt:variant>
        <vt:i4>5</vt:i4>
      </vt:variant>
      <vt:variant>
        <vt:lpwstr>http://www.gpo.gov/fdsys/pkg/FR-2011-12-02/pdf/2011-30683.pdf</vt:lpwstr>
      </vt:variant>
      <vt:variant>
        <vt:lpwstr/>
      </vt:variant>
      <vt:variant>
        <vt:i4>3014707</vt:i4>
      </vt:variant>
      <vt:variant>
        <vt:i4>690</vt:i4>
      </vt:variant>
      <vt:variant>
        <vt:i4>0</vt:i4>
      </vt:variant>
      <vt:variant>
        <vt:i4>5</vt:i4>
      </vt:variant>
      <vt:variant>
        <vt:lpwstr>http://www.ecfr.gov/cgi-bin/text-idx?c=ecfr&amp;SID=e6995dd27bbb4145f812c2db6cf0198f&amp;tpl=/ecfrbrowse/Title34/34cfr99_main_02.tpl</vt:lpwstr>
      </vt:variant>
      <vt:variant>
        <vt:lpwstr/>
      </vt:variant>
      <vt:variant>
        <vt:i4>5374045</vt:i4>
      </vt:variant>
      <vt:variant>
        <vt:i4>687</vt:i4>
      </vt:variant>
      <vt:variant>
        <vt:i4>0</vt:i4>
      </vt:variant>
      <vt:variant>
        <vt:i4>5</vt:i4>
      </vt:variant>
      <vt:variant>
        <vt:lpwstr>http://www.gpo.gov/fdsys/pkg/USCODE-2009-title20/pdf/USCODE-2009-title20-chap31-subchapIII-part4-sec1232g.pdf</vt:lpwstr>
      </vt:variant>
      <vt:variant>
        <vt:lpwstr/>
      </vt:variant>
      <vt:variant>
        <vt:i4>2359356</vt:i4>
      </vt:variant>
      <vt:variant>
        <vt:i4>684</vt:i4>
      </vt:variant>
      <vt:variant>
        <vt:i4>0</vt:i4>
      </vt:variant>
      <vt:variant>
        <vt:i4>5</vt:i4>
      </vt:variant>
      <vt:variant>
        <vt:lpwstr>http://www.ncbi.nlm.nih.gov/pmc/articles/PMC1804110</vt:lpwstr>
      </vt:variant>
      <vt:variant>
        <vt:lpwstr/>
      </vt:variant>
      <vt:variant>
        <vt:i4>1441804</vt:i4>
      </vt:variant>
      <vt:variant>
        <vt:i4>681</vt:i4>
      </vt:variant>
      <vt:variant>
        <vt:i4>0</vt:i4>
      </vt:variant>
      <vt:variant>
        <vt:i4>5</vt:i4>
      </vt:variant>
      <vt:variant>
        <vt:lpwstr>http://www.eeoc.gov/facts/ada18.html</vt:lpwstr>
      </vt:variant>
      <vt:variant>
        <vt:lpwstr/>
      </vt:variant>
      <vt:variant>
        <vt:i4>5177417</vt:i4>
      </vt:variant>
      <vt:variant>
        <vt:i4>678</vt:i4>
      </vt:variant>
      <vt:variant>
        <vt:i4>0</vt:i4>
      </vt:variant>
      <vt:variant>
        <vt:i4>5</vt:i4>
      </vt:variant>
      <vt:variant>
        <vt:lpwstr>http://hipaacow.org/wp-content/uploads/2013/04/2013-Occupational-Health-Services-Whitepaper-4-15-13-FINAL.doc</vt:lpwstr>
      </vt:variant>
      <vt:variant>
        <vt:lpwstr/>
      </vt:variant>
      <vt:variant>
        <vt:i4>7340066</vt:i4>
      </vt:variant>
      <vt:variant>
        <vt:i4>675</vt:i4>
      </vt:variant>
      <vt:variant>
        <vt:i4>0</vt:i4>
      </vt:variant>
      <vt:variant>
        <vt:i4>5</vt:i4>
      </vt:variant>
      <vt:variant>
        <vt:lpwstr>http://www.astho.org/Programs/Preparedness/Public-Health-Emergency-Law/Public-Health-and-Information-Sharing-Toolkit/Information-Sharing-Toolkit-Supplemental-Materials/</vt:lpwstr>
      </vt:variant>
      <vt:variant>
        <vt:lpwstr>ADA</vt:lpwstr>
      </vt:variant>
      <vt:variant>
        <vt:i4>7602302</vt:i4>
      </vt:variant>
      <vt:variant>
        <vt:i4>672</vt:i4>
      </vt:variant>
      <vt:variant>
        <vt:i4>0</vt:i4>
      </vt:variant>
      <vt:variant>
        <vt:i4>5</vt:i4>
      </vt:variant>
      <vt:variant>
        <vt:lpwstr>http://www.healthit.gov/policy-researchers-implementers/meaningful-use</vt:lpwstr>
      </vt:variant>
      <vt:variant>
        <vt:lpwstr/>
      </vt:variant>
      <vt:variant>
        <vt:i4>2490481</vt:i4>
      </vt:variant>
      <vt:variant>
        <vt:i4>669</vt:i4>
      </vt:variant>
      <vt:variant>
        <vt:i4>0</vt:i4>
      </vt:variant>
      <vt:variant>
        <vt:i4>5</vt:i4>
      </vt:variant>
      <vt:variant>
        <vt:lpwstr>http://www.hhs.gov/ocr/privacy/hipaa/understanding/special/healthit/index.html</vt:lpwstr>
      </vt:variant>
      <vt:variant>
        <vt:lpwstr/>
      </vt:variant>
      <vt:variant>
        <vt:i4>3211312</vt:i4>
      </vt:variant>
      <vt:variant>
        <vt:i4>666</vt:i4>
      </vt:variant>
      <vt:variant>
        <vt:i4>0</vt:i4>
      </vt:variant>
      <vt:variant>
        <vt:i4>5</vt:i4>
      </vt:variant>
      <vt:variant>
        <vt:lpwstr>http://www.cdc.gov/ehrmeaningfuluse</vt:lpwstr>
      </vt:variant>
      <vt:variant>
        <vt:lpwstr/>
      </vt:variant>
      <vt:variant>
        <vt:i4>5308500</vt:i4>
      </vt:variant>
      <vt:variant>
        <vt:i4>663</vt:i4>
      </vt:variant>
      <vt:variant>
        <vt:i4>0</vt:i4>
      </vt:variant>
      <vt:variant>
        <vt:i4>5</vt:i4>
      </vt:variant>
      <vt:variant>
        <vt:lpwstr>http://www.healthit.gov/</vt:lpwstr>
      </vt:variant>
      <vt:variant>
        <vt:lpwstr/>
      </vt:variant>
      <vt:variant>
        <vt:i4>7995437</vt:i4>
      </vt:variant>
      <vt:variant>
        <vt:i4>660</vt:i4>
      </vt:variant>
      <vt:variant>
        <vt:i4>0</vt:i4>
      </vt:variant>
      <vt:variant>
        <vt:i4>5</vt:i4>
      </vt:variant>
      <vt:variant>
        <vt:lpwstr>http://www.astho.org/Programs/Preparedness/Public-Health-Emergency-Law/Public-Health-and-Information-Sharing-Toolkit/Information-Sharing-Toolkit-Supplemental-Materials/</vt:lpwstr>
      </vt:variant>
      <vt:variant>
        <vt:lpwstr>Ethics</vt:lpwstr>
      </vt:variant>
      <vt:variant>
        <vt:i4>1835099</vt:i4>
      </vt:variant>
      <vt:variant>
        <vt:i4>657</vt:i4>
      </vt:variant>
      <vt:variant>
        <vt:i4>0</vt:i4>
      </vt:variant>
      <vt:variant>
        <vt:i4>5</vt:i4>
      </vt:variant>
      <vt:variant>
        <vt:lpwstr>http://www.astho.org/Programs/Preparedness/Public-Health-Emergency-Law/Public-Health-and-Information-Sharing-Toolkit/Information-Sharing-Toolkit-Supplemental-Materials/</vt:lpwstr>
      </vt:variant>
      <vt:variant>
        <vt:lpwstr>HIPAA</vt:lpwstr>
      </vt:variant>
      <vt:variant>
        <vt:i4>6094859</vt:i4>
      </vt:variant>
      <vt:variant>
        <vt:i4>654</vt:i4>
      </vt:variant>
      <vt:variant>
        <vt:i4>0</vt:i4>
      </vt:variant>
      <vt:variant>
        <vt:i4>5</vt:i4>
      </vt:variant>
      <vt:variant>
        <vt:lpwstr>http://www.dhs.gov/protected-critical-infrastructure-information-pcii-program</vt:lpwstr>
      </vt:variant>
      <vt:variant>
        <vt:lpwstr/>
      </vt:variant>
      <vt:variant>
        <vt:i4>6357089</vt:i4>
      </vt:variant>
      <vt:variant>
        <vt:i4>651</vt:i4>
      </vt:variant>
      <vt:variant>
        <vt:i4>0</vt:i4>
      </vt:variant>
      <vt:variant>
        <vt:i4>5</vt:i4>
      </vt:variant>
      <vt:variant>
        <vt:lpwstr>http://www.dhs.gov/sites/default/files/publications/CII-Act-508.pdf</vt:lpwstr>
      </vt:variant>
      <vt:variant>
        <vt:lpwstr/>
      </vt:variant>
      <vt:variant>
        <vt:i4>4522074</vt:i4>
      </vt:variant>
      <vt:variant>
        <vt:i4>648</vt:i4>
      </vt:variant>
      <vt:variant>
        <vt:i4>0</vt:i4>
      </vt:variant>
      <vt:variant>
        <vt:i4>5</vt:i4>
      </vt:variant>
      <vt:variant>
        <vt:lpwstr>http://www.nasemso.org/Projects/DomesticPreparedness/documents/JIMOUFinal.pdf</vt:lpwstr>
      </vt:variant>
      <vt:variant>
        <vt:lpwstr/>
      </vt:variant>
      <vt:variant>
        <vt:i4>6684781</vt:i4>
      </vt:variant>
      <vt:variant>
        <vt:i4>645</vt:i4>
      </vt:variant>
      <vt:variant>
        <vt:i4>0</vt:i4>
      </vt:variant>
      <vt:variant>
        <vt:i4>5</vt:i4>
      </vt:variant>
      <vt:variant>
        <vt:lpwstr>http://cdc.gov/phlp/docs/CDC_BJA_Framework.pdf</vt:lpwstr>
      </vt:variant>
      <vt:variant>
        <vt:lpwstr/>
      </vt:variant>
      <vt:variant>
        <vt:i4>2949240</vt:i4>
      </vt:variant>
      <vt:variant>
        <vt:i4>642</vt:i4>
      </vt:variant>
      <vt:variant>
        <vt:i4>0</vt:i4>
      </vt:variant>
      <vt:variant>
        <vt:i4>5</vt:i4>
      </vt:variant>
      <vt:variant>
        <vt:lpwstr>http://www.fema.gov/pdf/emergency/nrf/nrf-core.pdf</vt:lpwstr>
      </vt:variant>
      <vt:variant>
        <vt:lpwstr/>
      </vt:variant>
      <vt:variant>
        <vt:i4>3735593</vt:i4>
      </vt:variant>
      <vt:variant>
        <vt:i4>639</vt:i4>
      </vt:variant>
      <vt:variant>
        <vt:i4>0</vt:i4>
      </vt:variant>
      <vt:variant>
        <vt:i4>5</vt:i4>
      </vt:variant>
      <vt:variant>
        <vt:lpwstr>http://www.astho.org/Programs/Preparedness/Public-Health-Emergency-Law/Public-Health-and-Information-Sharing-Toolkit/Information-Sharing-Toolkit-Supplemental-Materials/</vt:lpwstr>
      </vt:variant>
      <vt:variant>
        <vt:lpwstr>Law-Enforcement</vt:lpwstr>
      </vt:variant>
      <vt:variant>
        <vt:i4>8061048</vt:i4>
      </vt:variant>
      <vt:variant>
        <vt:i4>636</vt:i4>
      </vt:variant>
      <vt:variant>
        <vt:i4>0</vt:i4>
      </vt:variant>
      <vt:variant>
        <vt:i4>5</vt:i4>
      </vt:variant>
      <vt:variant>
        <vt:lpwstr>http://www.aclu.org/files/pdfs/privacy/fusion_update_20080729.pdf</vt:lpwstr>
      </vt:variant>
      <vt:variant>
        <vt:lpwstr/>
      </vt:variant>
      <vt:variant>
        <vt:i4>6422652</vt:i4>
      </vt:variant>
      <vt:variant>
        <vt:i4>633</vt:i4>
      </vt:variant>
      <vt:variant>
        <vt:i4>0</vt:i4>
      </vt:variant>
      <vt:variant>
        <vt:i4>5</vt:i4>
      </vt:variant>
      <vt:variant>
        <vt:lpwstr>http://www.it.ojp.gov/docdownloader.aspx?ddid=1269</vt:lpwstr>
      </vt:variant>
      <vt:variant>
        <vt:lpwstr/>
      </vt:variant>
      <vt:variant>
        <vt:i4>3014782</vt:i4>
      </vt:variant>
      <vt:variant>
        <vt:i4>630</vt:i4>
      </vt:variant>
      <vt:variant>
        <vt:i4>0</vt:i4>
      </vt:variant>
      <vt:variant>
        <vt:i4>5</vt:i4>
      </vt:variant>
      <vt:variant>
        <vt:lpwstr>http://www.law.cornell.edu/constitution</vt:lpwstr>
      </vt:variant>
      <vt:variant>
        <vt:lpwstr/>
      </vt:variant>
      <vt:variant>
        <vt:i4>131089</vt:i4>
      </vt:variant>
      <vt:variant>
        <vt:i4>627</vt:i4>
      </vt:variant>
      <vt:variant>
        <vt:i4>0</vt:i4>
      </vt:variant>
      <vt:variant>
        <vt:i4>5</vt:i4>
      </vt:variant>
      <vt:variant>
        <vt:lpwstr>http://www.astho.org/Programs/Preparedness/Public-Health-Emergency-Law/Public-Health-and-Information-Sharing-Toolkit/Information-Sharing-Toolkit-Supplemental-Materials/</vt:lpwstr>
      </vt:variant>
      <vt:variant>
        <vt:lpwstr>Individual-Rights</vt:lpwstr>
      </vt:variant>
      <vt:variant>
        <vt:i4>1048585</vt:i4>
      </vt:variant>
      <vt:variant>
        <vt:i4>624</vt:i4>
      </vt:variant>
      <vt:variant>
        <vt:i4>0</vt:i4>
      </vt:variant>
      <vt:variant>
        <vt:i4>5</vt:i4>
      </vt:variant>
      <vt:variant>
        <vt:lpwstr>http://www.astho.org/Programs/Preparedness/Public-Health-Emergency-Law/Public-Health-and-Information-Sharing-Toolkit/Information-Sharing-Toolkit-Supplemental-Materials/</vt:lpwstr>
      </vt:variant>
      <vt:variant>
        <vt:lpwstr>Fourth-Amendment</vt:lpwstr>
      </vt:variant>
      <vt:variant>
        <vt:i4>6815818</vt:i4>
      </vt:variant>
      <vt:variant>
        <vt:i4>621</vt:i4>
      </vt:variant>
      <vt:variant>
        <vt:i4>0</vt:i4>
      </vt:variant>
      <vt:variant>
        <vt:i4>5</vt:i4>
      </vt:variant>
      <vt:variant>
        <vt:lpwstr>http://www.eeoc.gov/facts/pandemic_flu.html</vt:lpwstr>
      </vt:variant>
      <vt:variant>
        <vt:lpwstr/>
      </vt:variant>
      <vt:variant>
        <vt:i4>6029366</vt:i4>
      </vt:variant>
      <vt:variant>
        <vt:i4>618</vt:i4>
      </vt:variant>
      <vt:variant>
        <vt:i4>0</vt:i4>
      </vt:variant>
      <vt:variant>
        <vt:i4>5</vt:i4>
      </vt:variant>
      <vt:variant>
        <vt:lpwstr>http://eeoc.gov/facts/evacuation.html</vt:lpwstr>
      </vt:variant>
      <vt:variant>
        <vt:lpwstr>N_2</vt:lpwstr>
      </vt:variant>
      <vt:variant>
        <vt:i4>1376322</vt:i4>
      </vt:variant>
      <vt:variant>
        <vt:i4>615</vt:i4>
      </vt:variant>
      <vt:variant>
        <vt:i4>0</vt:i4>
      </vt:variant>
      <vt:variant>
        <vt:i4>5</vt:i4>
      </vt:variant>
      <vt:variant>
        <vt:lpwstr>http://www.dol.gov/odep/topics/EmergencyPreparedness.htm</vt:lpwstr>
      </vt:variant>
      <vt:variant>
        <vt:lpwstr/>
      </vt:variant>
      <vt:variant>
        <vt:i4>1703937</vt:i4>
      </vt:variant>
      <vt:variant>
        <vt:i4>612</vt:i4>
      </vt:variant>
      <vt:variant>
        <vt:i4>0</vt:i4>
      </vt:variant>
      <vt:variant>
        <vt:i4>5</vt:i4>
      </vt:variant>
      <vt:variant>
        <vt:lpwstr>http://www.osha.gov/dsg/topics/pandemicflu/index.html</vt:lpwstr>
      </vt:variant>
      <vt:variant>
        <vt:lpwstr/>
      </vt:variant>
      <vt:variant>
        <vt:i4>589831</vt:i4>
      </vt:variant>
      <vt:variant>
        <vt:i4>609</vt:i4>
      </vt:variant>
      <vt:variant>
        <vt:i4>0</vt:i4>
      </vt:variant>
      <vt:variant>
        <vt:i4>5</vt:i4>
      </vt:variant>
      <vt:variant>
        <vt:lpwstr>http://www.flu.gov/planning-preparedness/business/index.html</vt:lpwstr>
      </vt:variant>
      <vt:variant>
        <vt:lpwstr/>
      </vt:variant>
      <vt:variant>
        <vt:i4>65581</vt:i4>
      </vt:variant>
      <vt:variant>
        <vt:i4>606</vt:i4>
      </vt:variant>
      <vt:variant>
        <vt:i4>0</vt:i4>
      </vt:variant>
      <vt:variant>
        <vt:i4>5</vt:i4>
      </vt:variant>
      <vt:variant>
        <vt:lpwstr>http://www.osha.gov/Publications/influenza_pandemic.html</vt:lpwstr>
      </vt:variant>
      <vt:variant>
        <vt:lpwstr/>
      </vt:variant>
      <vt:variant>
        <vt:i4>3670065</vt:i4>
      </vt:variant>
      <vt:variant>
        <vt:i4>603</vt:i4>
      </vt:variant>
      <vt:variant>
        <vt:i4>0</vt:i4>
      </vt:variant>
      <vt:variant>
        <vt:i4>5</vt:i4>
      </vt:variant>
      <vt:variant>
        <vt:lpwstr>http://www.flu.gov/planning-preparedness/business/guidance.pdf</vt:lpwstr>
      </vt:variant>
      <vt:variant>
        <vt:lpwstr/>
      </vt:variant>
      <vt:variant>
        <vt:i4>7340066</vt:i4>
      </vt:variant>
      <vt:variant>
        <vt:i4>600</vt:i4>
      </vt:variant>
      <vt:variant>
        <vt:i4>0</vt:i4>
      </vt:variant>
      <vt:variant>
        <vt:i4>5</vt:i4>
      </vt:variant>
      <vt:variant>
        <vt:lpwstr>http://www.astho.org/Programs/Preparedness/Public-Health-Emergency-Law/Public-Health-and-Information-Sharing-Toolkit/Information-Sharing-Toolkit-Supplemental-Materials/</vt:lpwstr>
      </vt:variant>
      <vt:variant>
        <vt:lpwstr>ADA</vt:lpwstr>
      </vt:variant>
      <vt:variant>
        <vt:i4>1835025</vt:i4>
      </vt:variant>
      <vt:variant>
        <vt:i4>597</vt:i4>
      </vt:variant>
      <vt:variant>
        <vt:i4>0</vt:i4>
      </vt:variant>
      <vt:variant>
        <vt:i4>5</vt:i4>
      </vt:variant>
      <vt:variant>
        <vt:lpwstr>http://www.ada.gov/q%26aeng02.htm</vt:lpwstr>
      </vt:variant>
      <vt:variant>
        <vt:lpwstr/>
      </vt:variant>
      <vt:variant>
        <vt:i4>6815818</vt:i4>
      </vt:variant>
      <vt:variant>
        <vt:i4>594</vt:i4>
      </vt:variant>
      <vt:variant>
        <vt:i4>0</vt:i4>
      </vt:variant>
      <vt:variant>
        <vt:i4>5</vt:i4>
      </vt:variant>
      <vt:variant>
        <vt:lpwstr>http://www.eeoc.gov/facts/pandemic_flu.html</vt:lpwstr>
      </vt:variant>
      <vt:variant>
        <vt:lpwstr/>
      </vt:variant>
      <vt:variant>
        <vt:i4>2687008</vt:i4>
      </vt:variant>
      <vt:variant>
        <vt:i4>591</vt:i4>
      </vt:variant>
      <vt:variant>
        <vt:i4>0</vt:i4>
      </vt:variant>
      <vt:variant>
        <vt:i4>5</vt:i4>
      </vt:variant>
      <vt:variant>
        <vt:lpwstr>http://www.usdoj.gov/crt/ada/pcatoolkit/chap7emergencymgmtadd1.htm</vt:lpwstr>
      </vt:variant>
      <vt:variant>
        <vt:lpwstr/>
      </vt:variant>
      <vt:variant>
        <vt:i4>3276833</vt:i4>
      </vt:variant>
      <vt:variant>
        <vt:i4>588</vt:i4>
      </vt:variant>
      <vt:variant>
        <vt:i4>0</vt:i4>
      </vt:variant>
      <vt:variant>
        <vt:i4>5</vt:i4>
      </vt:variant>
      <vt:variant>
        <vt:lpwstr>http://www.eeoc.gov/eeoc/index.cfm</vt:lpwstr>
      </vt:variant>
      <vt:variant>
        <vt:lpwstr/>
      </vt:variant>
      <vt:variant>
        <vt:i4>3801205</vt:i4>
      </vt:variant>
      <vt:variant>
        <vt:i4>585</vt:i4>
      </vt:variant>
      <vt:variant>
        <vt:i4>0</vt:i4>
      </vt:variant>
      <vt:variant>
        <vt:i4>5</vt:i4>
      </vt:variant>
      <vt:variant>
        <vt:lpwstr>http://www.ada.gov/</vt:lpwstr>
      </vt:variant>
      <vt:variant>
        <vt:lpwstr/>
      </vt:variant>
      <vt:variant>
        <vt:i4>8257581</vt:i4>
      </vt:variant>
      <vt:variant>
        <vt:i4>582</vt:i4>
      </vt:variant>
      <vt:variant>
        <vt:i4>0</vt:i4>
      </vt:variant>
      <vt:variant>
        <vt:i4>5</vt:i4>
      </vt:variant>
      <vt:variant>
        <vt:lpwstr>http://www.ecfr.gov/cgi-bin/text-idx?c=ecfr&amp;SID=b9f754926538462babadcb0803fa971c&amp;rgn=div5&amp;view=text&amp;node=29:4.1.4.1.20&amp;idno=29</vt:lpwstr>
      </vt:variant>
      <vt:variant>
        <vt:lpwstr/>
      </vt:variant>
      <vt:variant>
        <vt:i4>2162728</vt:i4>
      </vt:variant>
      <vt:variant>
        <vt:i4>579</vt:i4>
      </vt:variant>
      <vt:variant>
        <vt:i4>0</vt:i4>
      </vt:variant>
      <vt:variant>
        <vt:i4>5</vt:i4>
      </vt:variant>
      <vt:variant>
        <vt:lpwstr>http://www.ecfr.gov/cgi-bin/text-idx?c=ecfr&amp;SID=e321b407b06a7492fa21011485e818de&amp;rgn=div5&amp;view=text&amp;node=28:1.0.1.1.36&amp;idno=28</vt:lpwstr>
      </vt:variant>
      <vt:variant>
        <vt:lpwstr/>
      </vt:variant>
      <vt:variant>
        <vt:i4>8257581</vt:i4>
      </vt:variant>
      <vt:variant>
        <vt:i4>576</vt:i4>
      </vt:variant>
      <vt:variant>
        <vt:i4>0</vt:i4>
      </vt:variant>
      <vt:variant>
        <vt:i4>5</vt:i4>
      </vt:variant>
      <vt:variant>
        <vt:lpwstr>http://www.ecfr.gov/cgi-bin/text-idx?c=ecfr&amp;SID=b9f754926538462babadcb0803fa971c&amp;rgn=div5&amp;view=text&amp;node=29:4.1.4.1.20&amp;idno=29</vt:lpwstr>
      </vt:variant>
      <vt:variant>
        <vt:lpwstr/>
      </vt:variant>
      <vt:variant>
        <vt:i4>3735604</vt:i4>
      </vt:variant>
      <vt:variant>
        <vt:i4>573</vt:i4>
      </vt:variant>
      <vt:variant>
        <vt:i4>0</vt:i4>
      </vt:variant>
      <vt:variant>
        <vt:i4>5</vt:i4>
      </vt:variant>
      <vt:variant>
        <vt:lpwstr>http://www.ada.gov/pubs/ada.htm</vt:lpwstr>
      </vt:variant>
      <vt:variant>
        <vt:lpwstr/>
      </vt:variant>
      <vt:variant>
        <vt:i4>6029335</vt:i4>
      </vt:variant>
      <vt:variant>
        <vt:i4>570</vt:i4>
      </vt:variant>
      <vt:variant>
        <vt:i4>0</vt:i4>
      </vt:variant>
      <vt:variant>
        <vt:i4>5</vt:i4>
      </vt:variant>
      <vt:variant>
        <vt:lpwstr>http://www.eeoc.gov/laws/statutes/ada.cfm</vt:lpwstr>
      </vt:variant>
      <vt:variant>
        <vt:lpwstr/>
      </vt:variant>
      <vt:variant>
        <vt:i4>262233</vt:i4>
      </vt:variant>
      <vt:variant>
        <vt:i4>567</vt:i4>
      </vt:variant>
      <vt:variant>
        <vt:i4>0</vt:i4>
      </vt:variant>
      <vt:variant>
        <vt:i4>5</vt:i4>
      </vt:variant>
      <vt:variant>
        <vt:lpwstr>http://www.astho.org/Programs/Preparedness/Public-Health-Emergency-Law/Public-Health-and-Information-Sharing-Toolkit/Information-Sharing-Toolkit-Supplemental-Materials/</vt:lpwstr>
      </vt:variant>
      <vt:variant>
        <vt:lpwstr>Business-and-Employer</vt:lpwstr>
      </vt:variant>
      <vt:variant>
        <vt:i4>2687099</vt:i4>
      </vt:variant>
      <vt:variant>
        <vt:i4>564</vt:i4>
      </vt:variant>
      <vt:variant>
        <vt:i4>0</vt:i4>
      </vt:variant>
      <vt:variant>
        <vt:i4>5</vt:i4>
      </vt:variant>
      <vt:variant>
        <vt:lpwstr>http://sharps.org/wp-content/uploads/PRITTS-REPORT2.pdf</vt:lpwstr>
      </vt:variant>
      <vt:variant>
        <vt:lpwstr/>
      </vt:variant>
      <vt:variant>
        <vt:i4>2687096</vt:i4>
      </vt:variant>
      <vt:variant>
        <vt:i4>561</vt:i4>
      </vt:variant>
      <vt:variant>
        <vt:i4>0</vt:i4>
      </vt:variant>
      <vt:variant>
        <vt:i4>5</vt:i4>
      </vt:variant>
      <vt:variant>
        <vt:lpwstr>http://sharps.org/wp-content/uploads/PRITTS-REPORT1.pdf</vt:lpwstr>
      </vt:variant>
      <vt:variant>
        <vt:lpwstr/>
      </vt:variant>
      <vt:variant>
        <vt:i4>4849677</vt:i4>
      </vt:variant>
      <vt:variant>
        <vt:i4>558</vt:i4>
      </vt:variant>
      <vt:variant>
        <vt:i4>0</vt:i4>
      </vt:variant>
      <vt:variant>
        <vt:i4>5</vt:i4>
      </vt:variant>
      <vt:variant>
        <vt:lpwstr>http://www.healthinfolaw.org/</vt:lpwstr>
      </vt:variant>
      <vt:variant>
        <vt:lpwstr/>
      </vt:variant>
      <vt:variant>
        <vt:i4>2162790</vt:i4>
      </vt:variant>
      <vt:variant>
        <vt:i4>555</vt:i4>
      </vt:variant>
      <vt:variant>
        <vt:i4>0</vt:i4>
      </vt:variant>
      <vt:variant>
        <vt:i4>5</vt:i4>
      </vt:variant>
      <vt:variant>
        <vt:lpwstr>http://library.ahima.org/xpedio/groups/public/documents/ahima/bok1_048641.hcsp?dDocName=bok1_048641</vt:lpwstr>
      </vt:variant>
      <vt:variant>
        <vt:lpwstr/>
      </vt:variant>
      <vt:variant>
        <vt:i4>917581</vt:i4>
      </vt:variant>
      <vt:variant>
        <vt:i4>552</vt:i4>
      </vt:variant>
      <vt:variant>
        <vt:i4>0</vt:i4>
      </vt:variant>
      <vt:variant>
        <vt:i4>5</vt:i4>
      </vt:variant>
      <vt:variant>
        <vt:lpwstr>http://www.cdc.gov/phpr/capabilities/DSLR_capabilities_July.pdf</vt:lpwstr>
      </vt:variant>
      <vt:variant>
        <vt:lpwstr/>
      </vt:variant>
      <vt:variant>
        <vt:i4>2949240</vt:i4>
      </vt:variant>
      <vt:variant>
        <vt:i4>549</vt:i4>
      </vt:variant>
      <vt:variant>
        <vt:i4>0</vt:i4>
      </vt:variant>
      <vt:variant>
        <vt:i4>5</vt:i4>
      </vt:variant>
      <vt:variant>
        <vt:lpwstr>http://www.fema.gov/pdf/emergency/nrf/nrf-core.pdf</vt:lpwstr>
      </vt:variant>
      <vt:variant>
        <vt:lpwstr/>
      </vt:variant>
      <vt:variant>
        <vt:i4>589850</vt:i4>
      </vt:variant>
      <vt:variant>
        <vt:i4>546</vt:i4>
      </vt:variant>
      <vt:variant>
        <vt:i4>0</vt:i4>
      </vt:variant>
      <vt:variant>
        <vt:i4>5</vt:i4>
      </vt:variant>
      <vt:variant>
        <vt:lpwstr>http://www.cdc.gov/phlp/publications/topic/emergency.html</vt:lpwstr>
      </vt:variant>
      <vt:variant>
        <vt:lpwstr/>
      </vt:variant>
      <vt:variant>
        <vt:i4>3145790</vt:i4>
      </vt:variant>
      <vt:variant>
        <vt:i4>543</vt:i4>
      </vt:variant>
      <vt:variant>
        <vt:i4>0</vt:i4>
      </vt:variant>
      <vt:variant>
        <vt:i4>5</vt:i4>
      </vt:variant>
      <vt:variant>
        <vt:lpwstr>http://www.astho.org/Programs/Preparedness/Public-Health-Emergency-Law/Public-Health-and-Information-Sharing-Toolkit/Information-Sharing-Toolkit-Supplemental-Materials/</vt:lpwstr>
      </vt:variant>
      <vt:variant>
        <vt:lpwstr>Workplace-Preparedness</vt:lpwstr>
      </vt:variant>
      <vt:variant>
        <vt:i4>2490427</vt:i4>
      </vt:variant>
      <vt:variant>
        <vt:i4>540</vt:i4>
      </vt:variant>
      <vt:variant>
        <vt:i4>0</vt:i4>
      </vt:variant>
      <vt:variant>
        <vt:i4>5</vt:i4>
      </vt:variant>
      <vt:variant>
        <vt:lpwstr>http://www.astho.org/Programs/Preparedness/Public-Health-Emergency-Law/Public-Health-and-Information-Sharing-Toolkit/Information-Sharing-Toolkit-Supplemental-Materials/</vt:lpwstr>
      </vt:variant>
      <vt:variant>
        <vt:lpwstr>Patriot-Act</vt:lpwstr>
      </vt:variant>
      <vt:variant>
        <vt:i4>983105</vt:i4>
      </vt:variant>
      <vt:variant>
        <vt:i4>537</vt:i4>
      </vt:variant>
      <vt:variant>
        <vt:i4>0</vt:i4>
      </vt:variant>
      <vt:variant>
        <vt:i4>5</vt:i4>
      </vt:variant>
      <vt:variant>
        <vt:lpwstr>http://www.astho.org/Programs/Preparedness/Public-Health-Emergency-Law/Public-Health-and-Information-Sharing-Toolkit/Information-Sharing-Toolkit-Supplemental-Materials/</vt:lpwstr>
      </vt:variant>
      <vt:variant>
        <vt:lpwstr>Syndromic</vt:lpwstr>
      </vt:variant>
      <vt:variant>
        <vt:i4>1638473</vt:i4>
      </vt:variant>
      <vt:variant>
        <vt:i4>534</vt:i4>
      </vt:variant>
      <vt:variant>
        <vt:i4>0</vt:i4>
      </vt:variant>
      <vt:variant>
        <vt:i4>5</vt:i4>
      </vt:variant>
      <vt:variant>
        <vt:lpwstr>http://www.astho.org/Programs/Preparedness/Public-Health-Emergency-Law/Public-Health-and-Information-Sharing-Toolkit/Information-Sharing-Toolkit-Supplemental-Materials/</vt:lpwstr>
      </vt:variant>
      <vt:variant>
        <vt:lpwstr>Surveillance</vt:lpwstr>
      </vt:variant>
      <vt:variant>
        <vt:i4>5636124</vt:i4>
      </vt:variant>
      <vt:variant>
        <vt:i4>531</vt:i4>
      </vt:variant>
      <vt:variant>
        <vt:i4>0</vt:i4>
      </vt:variant>
      <vt:variant>
        <vt:i4>5</vt:i4>
      </vt:variant>
      <vt:variant>
        <vt:lpwstr>http://www.astho.org/Programs/Preparedness/Public-Health-Emergency-Law/Public-Health-and-Information-Sharing-Toolkit/Information-Sharing-Toolkit-Supplemental-Materials/</vt:lpwstr>
      </vt:variant>
      <vt:variant>
        <vt:lpwstr>Right-to-Privacy</vt:lpwstr>
      </vt:variant>
      <vt:variant>
        <vt:i4>4063330</vt:i4>
      </vt:variant>
      <vt:variant>
        <vt:i4>528</vt:i4>
      </vt:variant>
      <vt:variant>
        <vt:i4>0</vt:i4>
      </vt:variant>
      <vt:variant>
        <vt:i4>5</vt:i4>
      </vt:variant>
      <vt:variant>
        <vt:lpwstr>http://www.astho.org/Programs/Preparedness/Public-Health-Emergency-Law/Public-Health-and-Information-Sharing-Toolkit/Information-Sharing-Toolkit-Supplemental-Materials/</vt:lpwstr>
      </vt:variant>
      <vt:variant>
        <vt:lpwstr>Public-Health-Security</vt:lpwstr>
      </vt:variant>
      <vt:variant>
        <vt:i4>6881388</vt:i4>
      </vt:variant>
      <vt:variant>
        <vt:i4>525</vt:i4>
      </vt:variant>
      <vt:variant>
        <vt:i4>0</vt:i4>
      </vt:variant>
      <vt:variant>
        <vt:i4>5</vt:i4>
      </vt:variant>
      <vt:variant>
        <vt:lpwstr>http://www.astho.org/Programs/Preparedness/Public-Health-Emergency-Law/Public-Health-and-Information-Sharing-Toolkit/Information-Sharing-Toolkit-Supplemental-Materials/</vt:lpwstr>
      </vt:variant>
      <vt:variant>
        <vt:lpwstr>Occupational-Safety</vt:lpwstr>
      </vt:variant>
      <vt:variant>
        <vt:i4>4587547</vt:i4>
      </vt:variant>
      <vt:variant>
        <vt:i4>522</vt:i4>
      </vt:variant>
      <vt:variant>
        <vt:i4>0</vt:i4>
      </vt:variant>
      <vt:variant>
        <vt:i4>5</vt:i4>
      </vt:variant>
      <vt:variant>
        <vt:lpwstr>http://www.astho.org/Programs/Preparedness/Public-Health-Emergency-Law/Public-Health-and-Information-Sharing-Toolkit/Information-Sharing-Toolkit-Supplemental-Materials/</vt:lpwstr>
      </vt:variant>
      <vt:variant>
        <vt:lpwstr>National-Security-Act</vt:lpwstr>
      </vt:variant>
      <vt:variant>
        <vt:i4>1572938</vt:i4>
      </vt:variant>
      <vt:variant>
        <vt:i4>519</vt:i4>
      </vt:variant>
      <vt:variant>
        <vt:i4>0</vt:i4>
      </vt:variant>
      <vt:variant>
        <vt:i4>5</vt:i4>
      </vt:variant>
      <vt:variant>
        <vt:lpwstr>http://www.astho.org/Programs/Preparedness/Public-Health-Emergency-Law/Public-Health-and-Information-Sharing-Toolkit/Information-Sharing-Toolkit-Supplemental-Materials/</vt:lpwstr>
      </vt:variant>
      <vt:variant>
        <vt:lpwstr>Media</vt:lpwstr>
      </vt:variant>
      <vt:variant>
        <vt:i4>3735593</vt:i4>
      </vt:variant>
      <vt:variant>
        <vt:i4>516</vt:i4>
      </vt:variant>
      <vt:variant>
        <vt:i4>0</vt:i4>
      </vt:variant>
      <vt:variant>
        <vt:i4>5</vt:i4>
      </vt:variant>
      <vt:variant>
        <vt:lpwstr>http://www.astho.org/Programs/Preparedness/Public-Health-Emergency-Law/Public-Health-and-Information-Sharing-Toolkit/Information-Sharing-Toolkit-Supplemental-Materials/</vt:lpwstr>
      </vt:variant>
      <vt:variant>
        <vt:lpwstr>Law-Enforcement</vt:lpwstr>
      </vt:variant>
      <vt:variant>
        <vt:i4>131089</vt:i4>
      </vt:variant>
      <vt:variant>
        <vt:i4>513</vt:i4>
      </vt:variant>
      <vt:variant>
        <vt:i4>0</vt:i4>
      </vt:variant>
      <vt:variant>
        <vt:i4>5</vt:i4>
      </vt:variant>
      <vt:variant>
        <vt:lpwstr>http://www.astho.org/Programs/Preparedness/Public-Health-Emergency-Law/Public-Health-and-Information-Sharing-Toolkit/Information-Sharing-Toolkit-Supplemental-Materials/</vt:lpwstr>
      </vt:variant>
      <vt:variant>
        <vt:lpwstr>Individual-Rights</vt:lpwstr>
      </vt:variant>
      <vt:variant>
        <vt:i4>7929978</vt:i4>
      </vt:variant>
      <vt:variant>
        <vt:i4>510</vt:i4>
      </vt:variant>
      <vt:variant>
        <vt:i4>0</vt:i4>
      </vt:variant>
      <vt:variant>
        <vt:i4>5</vt:i4>
      </vt:variant>
      <vt:variant>
        <vt:lpwstr>http://www.astho.org/Programs/Preparedness/Public-Health-Emergency-Law/Public-Health-and-Information-Sharing-Toolkit/Information-Sharing-Toolkit-Supplemental-Materials/</vt:lpwstr>
      </vt:variant>
      <vt:variant>
        <vt:lpwstr>Intelligence-Reform</vt:lpwstr>
      </vt:variant>
      <vt:variant>
        <vt:i4>4718668</vt:i4>
      </vt:variant>
      <vt:variant>
        <vt:i4>507</vt:i4>
      </vt:variant>
      <vt:variant>
        <vt:i4>0</vt:i4>
      </vt:variant>
      <vt:variant>
        <vt:i4>5</vt:i4>
      </vt:variant>
      <vt:variant>
        <vt:lpwstr>http://www.astho.org/Programs/Preparedness/Public-Health-Emergency-Law/Public-Health-and-Information-Sharing-Toolkit/Information-Sharing-Toolkit-Supplemental-Materials/</vt:lpwstr>
      </vt:variant>
      <vt:variant>
        <vt:lpwstr>Informational-Privacy</vt:lpwstr>
      </vt:variant>
      <vt:variant>
        <vt:i4>3801123</vt:i4>
      </vt:variant>
      <vt:variant>
        <vt:i4>504</vt:i4>
      </vt:variant>
      <vt:variant>
        <vt:i4>0</vt:i4>
      </vt:variant>
      <vt:variant>
        <vt:i4>5</vt:i4>
      </vt:variant>
      <vt:variant>
        <vt:lpwstr>http://www.astho.org/Programs/Preparedness/Public-Health-Emergency-Law/Public-Health-and-Information-Sharing-Toolkit/Information-Sharing-Toolkit-Supplemental-Materials/</vt:lpwstr>
      </vt:variant>
      <vt:variant>
        <vt:lpwstr>Information-Sharing</vt:lpwstr>
      </vt:variant>
      <vt:variant>
        <vt:i4>1835099</vt:i4>
      </vt:variant>
      <vt:variant>
        <vt:i4>501</vt:i4>
      </vt:variant>
      <vt:variant>
        <vt:i4>0</vt:i4>
      </vt:variant>
      <vt:variant>
        <vt:i4>5</vt:i4>
      </vt:variant>
      <vt:variant>
        <vt:lpwstr>http://www.astho.org/Programs/Preparedness/Public-Health-Emergency-Law/Public-Health-and-Information-Sharing-Toolkit/Information-Sharing-Toolkit-Supplemental-Materials/</vt:lpwstr>
      </vt:variant>
      <vt:variant>
        <vt:lpwstr>HIPAA</vt:lpwstr>
      </vt:variant>
      <vt:variant>
        <vt:i4>7340092</vt:i4>
      </vt:variant>
      <vt:variant>
        <vt:i4>498</vt:i4>
      </vt:variant>
      <vt:variant>
        <vt:i4>0</vt:i4>
      </vt:variant>
      <vt:variant>
        <vt:i4>5</vt:i4>
      </vt:variant>
      <vt:variant>
        <vt:lpwstr>http://www.astho.org/Programs/Preparedness/Public-Health-Emergency-Law/Public-Health-and-Information-Sharing-Toolkit/Information-Sharing-Toolkit-Supplemental-Materials/</vt:lpwstr>
      </vt:variant>
      <vt:variant>
        <vt:lpwstr>HITECH</vt:lpwstr>
      </vt:variant>
      <vt:variant>
        <vt:i4>4390920</vt:i4>
      </vt:variant>
      <vt:variant>
        <vt:i4>495</vt:i4>
      </vt:variant>
      <vt:variant>
        <vt:i4>0</vt:i4>
      </vt:variant>
      <vt:variant>
        <vt:i4>5</vt:i4>
      </vt:variant>
      <vt:variant>
        <vt:lpwstr>http://www.astho.org/Programs/Preparedness/Public-Health-Emergency-Law/Public-Health-and-Information-Sharing-Toolkit/Information-Sharing-Toolkit-Supplemental-Materials/</vt:lpwstr>
      </vt:variant>
      <vt:variant>
        <vt:lpwstr>Homeland-Security-Act</vt:lpwstr>
      </vt:variant>
      <vt:variant>
        <vt:i4>8192119</vt:i4>
      </vt:variant>
      <vt:variant>
        <vt:i4>492</vt:i4>
      </vt:variant>
      <vt:variant>
        <vt:i4>0</vt:i4>
      </vt:variant>
      <vt:variant>
        <vt:i4>5</vt:i4>
      </vt:variant>
      <vt:variant>
        <vt:lpwstr>http://www.astho.org/Programs/Preparedness/Public-Health-Emergency-Law/Public-Health-and-Information-Sharing-Toolkit/Information-Sharing-Toolkit-Supplemental-Materials/</vt:lpwstr>
      </vt:variant>
      <vt:variant>
        <vt:lpwstr>Fusion-Centers</vt:lpwstr>
      </vt:variant>
      <vt:variant>
        <vt:i4>3932284</vt:i4>
      </vt:variant>
      <vt:variant>
        <vt:i4>489</vt:i4>
      </vt:variant>
      <vt:variant>
        <vt:i4>0</vt:i4>
      </vt:variant>
      <vt:variant>
        <vt:i4>5</vt:i4>
      </vt:variant>
      <vt:variant>
        <vt:lpwstr>http://www.astho.org/Programs/Preparedness/Public-Health-Emergency-Law/Public-Health-and-Information-Sharing-Toolkit/Information-Sharing-Toolkit-Supplemental-Materials/</vt:lpwstr>
      </vt:variant>
      <vt:variant>
        <vt:lpwstr>Freedom-of-Information</vt:lpwstr>
      </vt:variant>
      <vt:variant>
        <vt:i4>1048585</vt:i4>
      </vt:variant>
      <vt:variant>
        <vt:i4>486</vt:i4>
      </vt:variant>
      <vt:variant>
        <vt:i4>0</vt:i4>
      </vt:variant>
      <vt:variant>
        <vt:i4>5</vt:i4>
      </vt:variant>
      <vt:variant>
        <vt:lpwstr>http://www.astho.org/Programs/Preparedness/Public-Health-Emergency-Law/Public-Health-and-Information-Sharing-Toolkit/Information-Sharing-Toolkit-Supplemental-Materials/</vt:lpwstr>
      </vt:variant>
      <vt:variant>
        <vt:lpwstr>Fourth-Amendment</vt:lpwstr>
      </vt:variant>
      <vt:variant>
        <vt:i4>327684</vt:i4>
      </vt:variant>
      <vt:variant>
        <vt:i4>483</vt:i4>
      </vt:variant>
      <vt:variant>
        <vt:i4>0</vt:i4>
      </vt:variant>
      <vt:variant>
        <vt:i4>5</vt:i4>
      </vt:variant>
      <vt:variant>
        <vt:lpwstr>http://www.astho.org/Programs/Preparedness/Public-Health-Emergency-Law/Public-Health-and-Information-Sharing-Toolkit/Information-Sharing-Toolkit-Supplemental-Materials/</vt:lpwstr>
      </vt:variant>
      <vt:variant>
        <vt:lpwstr>Forensic-Epidemiology</vt:lpwstr>
      </vt:variant>
      <vt:variant>
        <vt:i4>65623</vt:i4>
      </vt:variant>
      <vt:variant>
        <vt:i4>480</vt:i4>
      </vt:variant>
      <vt:variant>
        <vt:i4>0</vt:i4>
      </vt:variant>
      <vt:variant>
        <vt:i4>5</vt:i4>
      </vt:variant>
      <vt:variant>
        <vt:lpwstr>http://www.astho.org/Programs/Preparedness/Public-Health-Emergency-Law/Public-Health-and-Information-Sharing-Toolkit/Information-Sharing-Toolkit-Supplemental-Materials/</vt:lpwstr>
      </vt:variant>
      <vt:variant>
        <vt:lpwstr>FERPA</vt:lpwstr>
      </vt:variant>
      <vt:variant>
        <vt:i4>7995437</vt:i4>
      </vt:variant>
      <vt:variant>
        <vt:i4>477</vt:i4>
      </vt:variant>
      <vt:variant>
        <vt:i4>0</vt:i4>
      </vt:variant>
      <vt:variant>
        <vt:i4>5</vt:i4>
      </vt:variant>
      <vt:variant>
        <vt:lpwstr>http://www.astho.org/Programs/Preparedness/Public-Health-Emergency-Law/Public-Health-and-Information-Sharing-Toolkit/Information-Sharing-Toolkit-Supplemental-Materials/</vt:lpwstr>
      </vt:variant>
      <vt:variant>
        <vt:lpwstr>Ethics</vt:lpwstr>
      </vt:variant>
      <vt:variant>
        <vt:i4>7602296</vt:i4>
      </vt:variant>
      <vt:variant>
        <vt:i4>474</vt:i4>
      </vt:variant>
      <vt:variant>
        <vt:i4>0</vt:i4>
      </vt:variant>
      <vt:variant>
        <vt:i4>5</vt:i4>
      </vt:variant>
      <vt:variant>
        <vt:lpwstr>http://www.astho.org/Programs/Preparedness/Public-Health-Emergency-Law/Public-Health-and-Information-Sharing-Toolkit/Information-Sharing-Toolkit-Supplemental-Materials/</vt:lpwstr>
      </vt:variant>
      <vt:variant>
        <vt:lpwstr>Employee-Health</vt:lpwstr>
      </vt:variant>
      <vt:variant>
        <vt:i4>1638421</vt:i4>
      </vt:variant>
      <vt:variant>
        <vt:i4>471</vt:i4>
      </vt:variant>
      <vt:variant>
        <vt:i4>0</vt:i4>
      </vt:variant>
      <vt:variant>
        <vt:i4>5</vt:i4>
      </vt:variant>
      <vt:variant>
        <vt:lpwstr>http://www.astho.org/Programs/Preparedness/Public-Health-Emergency-Law/Public-Health-and-Information-Sharing-Toolkit/Information-Sharing-Toolkit-Supplemental-Materials/</vt:lpwstr>
      </vt:variant>
      <vt:variant>
        <vt:lpwstr>Electronic-Health</vt:lpwstr>
      </vt:variant>
      <vt:variant>
        <vt:i4>5111828</vt:i4>
      </vt:variant>
      <vt:variant>
        <vt:i4>468</vt:i4>
      </vt:variant>
      <vt:variant>
        <vt:i4>0</vt:i4>
      </vt:variant>
      <vt:variant>
        <vt:i4>5</vt:i4>
      </vt:variant>
      <vt:variant>
        <vt:lpwstr>http://www.astho.org/Programs/Preparedness/Public-Health-Emergency-Law/Public-Health-and-Information-Sharing-Toolkit/Information-Sharing-Toolkit-Supplemental-Materials/</vt:lpwstr>
      </vt:variant>
      <vt:variant>
        <vt:lpwstr>Duty-to-Warn</vt:lpwstr>
      </vt:variant>
      <vt:variant>
        <vt:i4>1507336</vt:i4>
      </vt:variant>
      <vt:variant>
        <vt:i4>465</vt:i4>
      </vt:variant>
      <vt:variant>
        <vt:i4>0</vt:i4>
      </vt:variant>
      <vt:variant>
        <vt:i4>5</vt:i4>
      </vt:variant>
      <vt:variant>
        <vt:lpwstr>http://www.astho.org/Programs/Preparedness/Public-Health-Emergency-Law/Public-Health-and-Information-Sharing-Toolkit/Information-Sharing-Toolkit-Supplemental-Materials/</vt:lpwstr>
      </vt:variant>
      <vt:variant>
        <vt:lpwstr>De-Identification</vt:lpwstr>
      </vt:variant>
      <vt:variant>
        <vt:i4>7602279</vt:i4>
      </vt:variant>
      <vt:variant>
        <vt:i4>462</vt:i4>
      </vt:variant>
      <vt:variant>
        <vt:i4>0</vt:i4>
      </vt:variant>
      <vt:variant>
        <vt:i4>5</vt:i4>
      </vt:variant>
      <vt:variant>
        <vt:lpwstr>http://www.astho.org/Programs/Preparedness/Public-Health-Emergency-Law/Public-Health-and-Information-Sharing-Toolkit/Information-Sharing-Toolkit-Supplemental-Materials/</vt:lpwstr>
      </vt:variant>
      <vt:variant>
        <vt:lpwstr>Critical-Infrastructure</vt:lpwstr>
      </vt:variant>
      <vt:variant>
        <vt:i4>5701704</vt:i4>
      </vt:variant>
      <vt:variant>
        <vt:i4>459</vt:i4>
      </vt:variant>
      <vt:variant>
        <vt:i4>0</vt:i4>
      </vt:variant>
      <vt:variant>
        <vt:i4>5</vt:i4>
      </vt:variant>
      <vt:variant>
        <vt:lpwstr>http://www.astho.org/Programs/Preparedness/Public-Health-Emergency-Law/Public-Health-and-Information-Sharing-Toolkit/Information-Sharing-Toolkit-Supplemental-Materials/</vt:lpwstr>
      </vt:variant>
      <vt:variant>
        <vt:lpwstr>Coordinated-Response</vt:lpwstr>
      </vt:variant>
      <vt:variant>
        <vt:i4>2359343</vt:i4>
      </vt:variant>
      <vt:variant>
        <vt:i4>456</vt:i4>
      </vt:variant>
      <vt:variant>
        <vt:i4>0</vt:i4>
      </vt:variant>
      <vt:variant>
        <vt:i4>5</vt:i4>
      </vt:variant>
      <vt:variant>
        <vt:lpwstr>http://www.astho.org/Programs/Preparedness/Public-Health-Emergency-Law/Public-Health-and-Information-Sharing-Toolkit/Information-Sharing-Toolkit-Supplemental-Materials/</vt:lpwstr>
      </vt:variant>
      <vt:variant>
        <vt:lpwstr>Civil-Liberties</vt:lpwstr>
      </vt:variant>
      <vt:variant>
        <vt:i4>262233</vt:i4>
      </vt:variant>
      <vt:variant>
        <vt:i4>453</vt:i4>
      </vt:variant>
      <vt:variant>
        <vt:i4>0</vt:i4>
      </vt:variant>
      <vt:variant>
        <vt:i4>5</vt:i4>
      </vt:variant>
      <vt:variant>
        <vt:lpwstr>http://www.astho.org/Programs/Preparedness/Public-Health-Emergency-Law/Public-Health-and-Information-Sharing-Toolkit/Information-Sharing-Toolkit-Supplemental-Materials/</vt:lpwstr>
      </vt:variant>
      <vt:variant>
        <vt:lpwstr>Business-and-Employer</vt:lpwstr>
      </vt:variant>
      <vt:variant>
        <vt:i4>7340066</vt:i4>
      </vt:variant>
      <vt:variant>
        <vt:i4>450</vt:i4>
      </vt:variant>
      <vt:variant>
        <vt:i4>0</vt:i4>
      </vt:variant>
      <vt:variant>
        <vt:i4>5</vt:i4>
      </vt:variant>
      <vt:variant>
        <vt:lpwstr>http://www.astho.org/Programs/Preparedness/Public-Health-Emergency-Law/Public-Health-and-Information-Sharing-Toolkit/Information-Sharing-Toolkit-Supplemental-Materials/</vt:lpwstr>
      </vt:variant>
      <vt:variant>
        <vt:lpwstr>ADA</vt:lpwstr>
      </vt:variant>
      <vt:variant>
        <vt:i4>4522051</vt:i4>
      </vt:variant>
      <vt:variant>
        <vt:i4>447</vt:i4>
      </vt:variant>
      <vt:variant>
        <vt:i4>0</vt:i4>
      </vt:variant>
      <vt:variant>
        <vt:i4>5</vt:i4>
      </vt:variant>
      <vt:variant>
        <vt:lpwstr>http://www.astho.org/Programs/Preparedness/Public-Health-Emergency-Law/Public-Health-and-Information-Sharing-Toolkit/Information-Sharing-Toolkit-Supplemental-Materials/</vt:lpwstr>
      </vt:variant>
      <vt:variant>
        <vt:lpwstr>General-Resources</vt:lpwstr>
      </vt:variant>
      <vt:variant>
        <vt:i4>1114168</vt:i4>
      </vt:variant>
      <vt:variant>
        <vt:i4>444</vt:i4>
      </vt:variant>
      <vt:variant>
        <vt:i4>0</vt:i4>
      </vt:variant>
      <vt:variant>
        <vt:i4>5</vt:i4>
      </vt:variant>
      <vt:variant>
        <vt:lpwstr>mailto:communications@astho.org</vt:lpwstr>
      </vt:variant>
      <vt:variant>
        <vt:lpwstr/>
      </vt:variant>
      <vt:variant>
        <vt:i4>6750285</vt:i4>
      </vt:variant>
      <vt:variant>
        <vt:i4>441</vt:i4>
      </vt:variant>
      <vt:variant>
        <vt:i4>0</vt:i4>
      </vt:variant>
      <vt:variant>
        <vt:i4>5</vt:i4>
      </vt:variant>
      <vt:variant>
        <vt:lpwstr/>
      </vt:variant>
      <vt:variant>
        <vt:lpwstr>PH_Info_TOC_Top</vt:lpwstr>
      </vt:variant>
      <vt:variant>
        <vt:i4>6750285</vt:i4>
      </vt:variant>
      <vt:variant>
        <vt:i4>438</vt:i4>
      </vt:variant>
      <vt:variant>
        <vt:i4>0</vt:i4>
      </vt:variant>
      <vt:variant>
        <vt:i4>5</vt:i4>
      </vt:variant>
      <vt:variant>
        <vt:lpwstr/>
      </vt:variant>
      <vt:variant>
        <vt:lpwstr>PH_Info_TOC_Top</vt:lpwstr>
      </vt:variant>
      <vt:variant>
        <vt:i4>5767168</vt:i4>
      </vt:variant>
      <vt:variant>
        <vt:i4>435</vt:i4>
      </vt:variant>
      <vt:variant>
        <vt:i4>0</vt:i4>
      </vt:variant>
      <vt:variant>
        <vt:i4>5</vt:i4>
      </vt:variant>
      <vt:variant>
        <vt:lpwstr>http://www.cdc.gov/phlp/docs/Dir_Memo_HIPAA&amp;communicabledis_072004_1.pdf</vt:lpwstr>
      </vt:variant>
      <vt:variant>
        <vt:lpwstr/>
      </vt:variant>
      <vt:variant>
        <vt:i4>4456464</vt:i4>
      </vt:variant>
      <vt:variant>
        <vt:i4>432</vt:i4>
      </vt:variant>
      <vt:variant>
        <vt:i4>0</vt:i4>
      </vt:variant>
      <vt:variant>
        <vt:i4>5</vt:i4>
      </vt:variant>
      <vt:variant>
        <vt:lpwstr>http://www.cdc.gov/mmwr/preview/mmwrhtml/m2e411a1.htm</vt:lpwstr>
      </vt:variant>
      <vt:variant>
        <vt:lpwstr/>
      </vt:variant>
      <vt:variant>
        <vt:i4>2097251</vt:i4>
      </vt:variant>
      <vt:variant>
        <vt:i4>429</vt:i4>
      </vt:variant>
      <vt:variant>
        <vt:i4>0</vt:i4>
      </vt:variant>
      <vt:variant>
        <vt:i4>5</vt:i4>
      </vt:variant>
      <vt:variant>
        <vt:lpwstr>http://www.rcfp.org/sites/default/files/homefront-confidential.pdf</vt:lpwstr>
      </vt:variant>
      <vt:variant>
        <vt:lpwstr/>
      </vt:variant>
      <vt:variant>
        <vt:i4>131105</vt:i4>
      </vt:variant>
      <vt:variant>
        <vt:i4>426</vt:i4>
      </vt:variant>
      <vt:variant>
        <vt:i4>0</vt:i4>
      </vt:variant>
      <vt:variant>
        <vt:i4>5</vt:i4>
      </vt:variant>
      <vt:variant>
        <vt:lpwstr>http://www.cdc.gov/cancer/npcr/pdf/npcr_css.pdf</vt:lpwstr>
      </vt:variant>
      <vt:variant>
        <vt:lpwstr/>
      </vt:variant>
      <vt:variant>
        <vt:i4>851983</vt:i4>
      </vt:variant>
      <vt:variant>
        <vt:i4>423</vt:i4>
      </vt:variant>
      <vt:variant>
        <vt:i4>0</vt:i4>
      </vt:variant>
      <vt:variant>
        <vt:i4>5</vt:i4>
      </vt:variant>
      <vt:variant>
        <vt:lpwstr>http://www.bu.edu/law/central/jd/organizations/journals/bulr/volume87n2/documents/MARINERv.2.pdf</vt:lpwstr>
      </vt:variant>
      <vt:variant>
        <vt:lpwstr/>
      </vt:variant>
      <vt:variant>
        <vt:i4>917527</vt:i4>
      </vt:variant>
      <vt:variant>
        <vt:i4>420</vt:i4>
      </vt:variant>
      <vt:variant>
        <vt:i4>0</vt:i4>
      </vt:variant>
      <vt:variant>
        <vt:i4>5</vt:i4>
      </vt:variant>
      <vt:variant>
        <vt:lpwstr>http://www.rcfp.org/open-government-guide</vt:lpwstr>
      </vt:variant>
      <vt:variant>
        <vt:lpwstr/>
      </vt:variant>
      <vt:variant>
        <vt:i4>2097251</vt:i4>
      </vt:variant>
      <vt:variant>
        <vt:i4>417</vt:i4>
      </vt:variant>
      <vt:variant>
        <vt:i4>0</vt:i4>
      </vt:variant>
      <vt:variant>
        <vt:i4>5</vt:i4>
      </vt:variant>
      <vt:variant>
        <vt:lpwstr>http://www.rcfp.org/sites/default/files/homefront-confidential.pdf</vt:lpwstr>
      </vt:variant>
      <vt:variant>
        <vt:lpwstr/>
      </vt:variant>
      <vt:variant>
        <vt:i4>65560</vt:i4>
      </vt:variant>
      <vt:variant>
        <vt:i4>414</vt:i4>
      </vt:variant>
      <vt:variant>
        <vt:i4>0</vt:i4>
      </vt:variant>
      <vt:variant>
        <vt:i4>5</vt:i4>
      </vt:variant>
      <vt:variant>
        <vt:lpwstr>http://www.state.il.us/court/opinions/supremecourt/2006/february/opinions/html/98712.htm</vt:lpwstr>
      </vt:variant>
      <vt:variant>
        <vt:lpwstr/>
      </vt:variant>
      <vt:variant>
        <vt:i4>8257641</vt:i4>
      </vt:variant>
      <vt:variant>
        <vt:i4>411</vt:i4>
      </vt:variant>
      <vt:variant>
        <vt:i4>0</vt:i4>
      </vt:variant>
      <vt:variant>
        <vt:i4>5</vt:i4>
      </vt:variant>
      <vt:variant>
        <vt:lpwstr>http://www.supremecourt.gov/opinions/10pdf/09-1279.pdf</vt:lpwstr>
      </vt:variant>
      <vt:variant>
        <vt:lpwstr/>
      </vt:variant>
      <vt:variant>
        <vt:i4>6881379</vt:i4>
      </vt:variant>
      <vt:variant>
        <vt:i4>408</vt:i4>
      </vt:variant>
      <vt:variant>
        <vt:i4>0</vt:i4>
      </vt:variant>
      <vt:variant>
        <vt:i4>5</vt:i4>
      </vt:variant>
      <vt:variant>
        <vt:lpwstr>http://www.legislature.mi.gov/(S(k54g34i2kgkkyxr1ia5vreet))/mileg.aspx?page=getObject&amp;objectname=mcl-15-243</vt:lpwstr>
      </vt:variant>
      <vt:variant>
        <vt:lpwstr/>
      </vt:variant>
      <vt:variant>
        <vt:i4>5</vt:i4>
      </vt:variant>
      <vt:variant>
        <vt:i4>405</vt:i4>
      </vt:variant>
      <vt:variant>
        <vt:i4>0</vt:i4>
      </vt:variant>
      <vt:variant>
        <vt:i4>5</vt:i4>
      </vt:variant>
      <vt:variant>
        <vt:lpwstr>https://www.revisor.mn.gov/statutes/?id=13.05</vt:lpwstr>
      </vt:variant>
      <vt:variant>
        <vt:lpwstr/>
      </vt:variant>
      <vt:variant>
        <vt:i4>393287</vt:i4>
      </vt:variant>
      <vt:variant>
        <vt:i4>402</vt:i4>
      </vt:variant>
      <vt:variant>
        <vt:i4>0</vt:i4>
      </vt:variant>
      <vt:variant>
        <vt:i4>5</vt:i4>
      </vt:variant>
      <vt:variant>
        <vt:lpwstr>http://caselaw.findlaw.com/nh-supreme-court/1073489.html</vt:lpwstr>
      </vt:variant>
      <vt:variant>
        <vt:lpwstr/>
      </vt:variant>
      <vt:variant>
        <vt:i4>917527</vt:i4>
      </vt:variant>
      <vt:variant>
        <vt:i4>399</vt:i4>
      </vt:variant>
      <vt:variant>
        <vt:i4>0</vt:i4>
      </vt:variant>
      <vt:variant>
        <vt:i4>5</vt:i4>
      </vt:variant>
      <vt:variant>
        <vt:lpwstr>http://www.rcfp.org/open-government-guide</vt:lpwstr>
      </vt:variant>
      <vt:variant>
        <vt:lpwstr/>
      </vt:variant>
      <vt:variant>
        <vt:i4>720978</vt:i4>
      </vt:variant>
      <vt:variant>
        <vt:i4>396</vt:i4>
      </vt:variant>
      <vt:variant>
        <vt:i4>0</vt:i4>
      </vt:variant>
      <vt:variant>
        <vt:i4>5</vt:i4>
      </vt:variant>
      <vt:variant>
        <vt:lpwstr>http://www.sconet.state.oh.us/rod/docs/pdf/0/2006/2006-ohio-1215.pdf</vt:lpwstr>
      </vt:variant>
      <vt:variant>
        <vt:lpwstr/>
      </vt:variant>
      <vt:variant>
        <vt:i4>1310738</vt:i4>
      </vt:variant>
      <vt:variant>
        <vt:i4>393</vt:i4>
      </vt:variant>
      <vt:variant>
        <vt:i4>0</vt:i4>
      </vt:variant>
      <vt:variant>
        <vt:i4>5</vt:i4>
      </vt:variant>
      <vt:variant>
        <vt:lpwstr>http://healthjournalism.org/secondarypage-details.php?id=965</vt:lpwstr>
      </vt:variant>
      <vt:variant>
        <vt:lpwstr/>
      </vt:variant>
      <vt:variant>
        <vt:i4>2162698</vt:i4>
      </vt:variant>
      <vt:variant>
        <vt:i4>390</vt:i4>
      </vt:variant>
      <vt:variant>
        <vt:i4>0</vt:i4>
      </vt:variant>
      <vt:variant>
        <vt:i4>5</vt:i4>
      </vt:variant>
      <vt:variant>
        <vt:lpwstr>http://www.networkforphl.org/_asset/xdm731/TB-Control---Speaker-District-Ct--Decision.pdf</vt:lpwstr>
      </vt:variant>
      <vt:variant>
        <vt:lpwstr/>
      </vt:variant>
      <vt:variant>
        <vt:i4>7143542</vt:i4>
      </vt:variant>
      <vt:variant>
        <vt:i4>387</vt:i4>
      </vt:variant>
      <vt:variant>
        <vt:i4>0</vt:i4>
      </vt:variant>
      <vt:variant>
        <vt:i4>5</vt:i4>
      </vt:variant>
      <vt:variant>
        <vt:lpwstr>http://law.justia.com/cases/federal/appellate-courts/ca11/12-11967/12-11967-2012-09-14.html</vt:lpwstr>
      </vt:variant>
      <vt:variant>
        <vt:lpwstr/>
      </vt:variant>
      <vt:variant>
        <vt:i4>3997816</vt:i4>
      </vt:variant>
      <vt:variant>
        <vt:i4>384</vt:i4>
      </vt:variant>
      <vt:variant>
        <vt:i4>0</vt:i4>
      </vt:variant>
      <vt:variant>
        <vt:i4>5</vt:i4>
      </vt:variant>
      <vt:variant>
        <vt:lpwstr>http://wwwn.cdc.gov/nndss/</vt:lpwstr>
      </vt:variant>
      <vt:variant>
        <vt:lpwstr/>
      </vt:variant>
      <vt:variant>
        <vt:i4>2359356</vt:i4>
      </vt:variant>
      <vt:variant>
        <vt:i4>381</vt:i4>
      </vt:variant>
      <vt:variant>
        <vt:i4>0</vt:i4>
      </vt:variant>
      <vt:variant>
        <vt:i4>5</vt:i4>
      </vt:variant>
      <vt:variant>
        <vt:lpwstr>http://www.ncbi.nlm.nih.gov/pmc/articles/PMC1804110</vt:lpwstr>
      </vt:variant>
      <vt:variant>
        <vt:lpwstr/>
      </vt:variant>
      <vt:variant>
        <vt:i4>4456525</vt:i4>
      </vt:variant>
      <vt:variant>
        <vt:i4>378</vt:i4>
      </vt:variant>
      <vt:variant>
        <vt:i4>0</vt:i4>
      </vt:variant>
      <vt:variant>
        <vt:i4>5</vt:i4>
      </vt:variant>
      <vt:variant>
        <vt:lpwstr>http://www.stanford.edu/group/psylawseminar/Tarsoff I.htm</vt:lpwstr>
      </vt:variant>
      <vt:variant>
        <vt:lpwstr/>
      </vt:variant>
      <vt:variant>
        <vt:i4>5636122</vt:i4>
      </vt:variant>
      <vt:variant>
        <vt:i4>375</vt:i4>
      </vt:variant>
      <vt:variant>
        <vt:i4>0</vt:i4>
      </vt:variant>
      <vt:variant>
        <vt:i4>5</vt:i4>
      </vt:variant>
      <vt:variant>
        <vt:lpwstr>http://www.oregonlaws.org/ors/433.008</vt:lpwstr>
      </vt:variant>
      <vt:variant>
        <vt:lpwstr/>
      </vt:variant>
      <vt:variant>
        <vt:i4>7471108</vt:i4>
      </vt:variant>
      <vt:variant>
        <vt:i4>372</vt:i4>
      </vt:variant>
      <vt:variant>
        <vt:i4>0</vt:i4>
      </vt:variant>
      <vt:variant>
        <vt:i4>5</vt:i4>
      </vt:variant>
      <vt:variant>
        <vt:lpwstr>http://www.sph.unc.edu/images/stories/academic_programs/hpaa/documents/oconnor.pdf</vt:lpwstr>
      </vt:variant>
      <vt:variant>
        <vt:lpwstr/>
      </vt:variant>
      <vt:variant>
        <vt:i4>7929960</vt:i4>
      </vt:variant>
      <vt:variant>
        <vt:i4>369</vt:i4>
      </vt:variant>
      <vt:variant>
        <vt:i4>0</vt:i4>
      </vt:variant>
      <vt:variant>
        <vt:i4>5</vt:i4>
      </vt:variant>
      <vt:variant>
        <vt:lpwstr>http://caselaw.lp.findlaw.com/scripts/getcase.pl?court=us&amp;vol=000&amp;invol=99-936</vt:lpwstr>
      </vt:variant>
      <vt:variant>
        <vt:lpwstr/>
      </vt:variant>
      <vt:variant>
        <vt:i4>3014778</vt:i4>
      </vt:variant>
      <vt:variant>
        <vt:i4>366</vt:i4>
      </vt:variant>
      <vt:variant>
        <vt:i4>0</vt:i4>
      </vt:variant>
      <vt:variant>
        <vt:i4>5</vt:i4>
      </vt:variant>
      <vt:variant>
        <vt:lpwstr>http://caselaw.lp.findlaw.com/cgi-bin/getcase.pl?court=us&amp;vol=387&amp;invol=541</vt:lpwstr>
      </vt:variant>
      <vt:variant>
        <vt:lpwstr/>
      </vt:variant>
      <vt:variant>
        <vt:i4>2621562</vt:i4>
      </vt:variant>
      <vt:variant>
        <vt:i4>363</vt:i4>
      </vt:variant>
      <vt:variant>
        <vt:i4>0</vt:i4>
      </vt:variant>
      <vt:variant>
        <vt:i4>5</vt:i4>
      </vt:variant>
      <vt:variant>
        <vt:lpwstr>http://caselaw.lp.findlaw.com/cgi-bin/getcase.pl?court=us&amp;vol=387&amp;invol=523</vt:lpwstr>
      </vt:variant>
      <vt:variant>
        <vt:lpwstr/>
      </vt:variant>
      <vt:variant>
        <vt:i4>7929969</vt:i4>
      </vt:variant>
      <vt:variant>
        <vt:i4>360</vt:i4>
      </vt:variant>
      <vt:variant>
        <vt:i4>0</vt:i4>
      </vt:variant>
      <vt:variant>
        <vt:i4>5</vt:i4>
      </vt:variant>
      <vt:variant>
        <vt:lpwstr>http://www.michigan.gov/documents/ag/Michigan_Public_Health_Bench_Book_221936_7.pdf</vt:lpwstr>
      </vt:variant>
      <vt:variant>
        <vt:lpwstr/>
      </vt:variant>
      <vt:variant>
        <vt:i4>1900616</vt:i4>
      </vt:variant>
      <vt:variant>
        <vt:i4>357</vt:i4>
      </vt:variant>
      <vt:variant>
        <vt:i4>0</vt:i4>
      </vt:variant>
      <vt:variant>
        <vt:i4>5</vt:i4>
      </vt:variant>
      <vt:variant>
        <vt:lpwstr>http://www.law.cornell.edu/supct/html/90-622.ZS.html</vt:lpwstr>
      </vt:variant>
      <vt:variant>
        <vt:lpwstr/>
      </vt:variant>
      <vt:variant>
        <vt:i4>1703985</vt:i4>
      </vt:variant>
      <vt:variant>
        <vt:i4>354</vt:i4>
      </vt:variant>
      <vt:variant>
        <vt:i4>0</vt:i4>
      </vt:variant>
      <vt:variant>
        <vt:i4>5</vt:i4>
      </vt:variant>
      <vt:variant>
        <vt:lpwstr>http://www.thefsrc.org/State_Local/StateLocal_June17_background.pdf</vt:lpwstr>
      </vt:variant>
      <vt:variant>
        <vt:lpwstr/>
      </vt:variant>
      <vt:variant>
        <vt:i4>7471108</vt:i4>
      </vt:variant>
      <vt:variant>
        <vt:i4>351</vt:i4>
      </vt:variant>
      <vt:variant>
        <vt:i4>0</vt:i4>
      </vt:variant>
      <vt:variant>
        <vt:i4>5</vt:i4>
      </vt:variant>
      <vt:variant>
        <vt:lpwstr>http://www.sph.unc.edu/images/stories/academic_programs/hpaa/documents/oconnor.pdf</vt:lpwstr>
      </vt:variant>
      <vt:variant>
        <vt:lpwstr/>
      </vt:variant>
      <vt:variant>
        <vt:i4>5898242</vt:i4>
      </vt:variant>
      <vt:variant>
        <vt:i4>348</vt:i4>
      </vt:variant>
      <vt:variant>
        <vt:i4>0</vt:i4>
      </vt:variant>
      <vt:variant>
        <vt:i4>5</vt:i4>
      </vt:variant>
      <vt:variant>
        <vt:lpwstr>http://www.law.cornell.edu/supct/html/historics/USSC_CR_0429_0589_ZO.html</vt:lpwstr>
      </vt:variant>
      <vt:variant>
        <vt:lpwstr/>
      </vt:variant>
      <vt:variant>
        <vt:i4>4849676</vt:i4>
      </vt:variant>
      <vt:variant>
        <vt:i4>345</vt:i4>
      </vt:variant>
      <vt:variant>
        <vt:i4>0</vt:i4>
      </vt:variant>
      <vt:variant>
        <vt:i4>5</vt:i4>
      </vt:variant>
      <vt:variant>
        <vt:lpwstr>http://www.law.cornell.edu/supct/html/historics/USSC_CR_0428_0052_ZS.html</vt:lpwstr>
      </vt:variant>
      <vt:variant>
        <vt:lpwstr/>
      </vt:variant>
      <vt:variant>
        <vt:i4>131199</vt:i4>
      </vt:variant>
      <vt:variant>
        <vt:i4>342</vt:i4>
      </vt:variant>
      <vt:variant>
        <vt:i4>0</vt:i4>
      </vt:variant>
      <vt:variant>
        <vt:i4>5</vt:i4>
      </vt:variant>
      <vt:variant>
        <vt:lpwstr>http://scholarship.law.duke.edu/cgi/viewcontent.cgi?article=1063&amp;context=djclpp_sidebar</vt:lpwstr>
      </vt:variant>
      <vt:variant>
        <vt:lpwstr/>
      </vt:variant>
      <vt:variant>
        <vt:i4>7602302</vt:i4>
      </vt:variant>
      <vt:variant>
        <vt:i4>339</vt:i4>
      </vt:variant>
      <vt:variant>
        <vt:i4>0</vt:i4>
      </vt:variant>
      <vt:variant>
        <vt:i4>5</vt:i4>
      </vt:variant>
      <vt:variant>
        <vt:lpwstr>http://www.healthit.gov/policy-researchers-implementers/meaningful-use</vt:lpwstr>
      </vt:variant>
      <vt:variant>
        <vt:lpwstr/>
      </vt:variant>
      <vt:variant>
        <vt:i4>1966165</vt:i4>
      </vt:variant>
      <vt:variant>
        <vt:i4>336</vt:i4>
      </vt:variant>
      <vt:variant>
        <vt:i4>0</vt:i4>
      </vt:variant>
      <vt:variant>
        <vt:i4>5</vt:i4>
      </vt:variant>
      <vt:variant>
        <vt:lpwstr>http://www.cdc.gov/ehrmeaningfuluse/</vt:lpwstr>
      </vt:variant>
      <vt:variant>
        <vt:lpwstr/>
      </vt:variant>
      <vt:variant>
        <vt:i4>851983</vt:i4>
      </vt:variant>
      <vt:variant>
        <vt:i4>333</vt:i4>
      </vt:variant>
      <vt:variant>
        <vt:i4>0</vt:i4>
      </vt:variant>
      <vt:variant>
        <vt:i4>5</vt:i4>
      </vt:variant>
      <vt:variant>
        <vt:lpwstr>http://www.bu.edu/law/central/jd/organizations/journals/bulr/volume87n2/documents/MARINERv.2.pdf</vt:lpwstr>
      </vt:variant>
      <vt:variant>
        <vt:lpwstr/>
      </vt:variant>
      <vt:variant>
        <vt:i4>720978</vt:i4>
      </vt:variant>
      <vt:variant>
        <vt:i4>330</vt:i4>
      </vt:variant>
      <vt:variant>
        <vt:i4>0</vt:i4>
      </vt:variant>
      <vt:variant>
        <vt:i4>5</vt:i4>
      </vt:variant>
      <vt:variant>
        <vt:lpwstr>http://www.cdc.gov/mmwr/preview/mmwrhtml/su5301a3.htm</vt:lpwstr>
      </vt:variant>
      <vt:variant>
        <vt:lpwstr/>
      </vt:variant>
      <vt:variant>
        <vt:i4>3866663</vt:i4>
      </vt:variant>
      <vt:variant>
        <vt:i4>327</vt:i4>
      </vt:variant>
      <vt:variant>
        <vt:i4>0</vt:i4>
      </vt:variant>
      <vt:variant>
        <vt:i4>5</vt:i4>
      </vt:variant>
      <vt:variant>
        <vt:lpwstr>http://astho.org/Programs/e-Health/Privacy/Materials/The-Impact-of-the-HIPAA-Privacy-Rule-on-Syndromic-Surveillance-(2004)</vt:lpwstr>
      </vt:variant>
      <vt:variant>
        <vt:lpwstr/>
      </vt:variant>
      <vt:variant>
        <vt:i4>851983</vt:i4>
      </vt:variant>
      <vt:variant>
        <vt:i4>324</vt:i4>
      </vt:variant>
      <vt:variant>
        <vt:i4>0</vt:i4>
      </vt:variant>
      <vt:variant>
        <vt:i4>5</vt:i4>
      </vt:variant>
      <vt:variant>
        <vt:lpwstr>http://www.bu.edu/law/central/jd/organizations/journals/bulr/volume87n2/documents/MARINERv.2.pdf</vt:lpwstr>
      </vt:variant>
      <vt:variant>
        <vt:lpwstr/>
      </vt:variant>
      <vt:variant>
        <vt:i4>6750331</vt:i4>
      </vt:variant>
      <vt:variant>
        <vt:i4>321</vt:i4>
      </vt:variant>
      <vt:variant>
        <vt:i4>0</vt:i4>
      </vt:variant>
      <vt:variant>
        <vt:i4>5</vt:i4>
      </vt:variant>
      <vt:variant>
        <vt:lpwstr>http://georgetown.lawreviewnetwork.com/files/pdf/96-2/Stoto.PDF</vt:lpwstr>
      </vt:variant>
      <vt:variant>
        <vt:lpwstr/>
      </vt:variant>
      <vt:variant>
        <vt:i4>851983</vt:i4>
      </vt:variant>
      <vt:variant>
        <vt:i4>318</vt:i4>
      </vt:variant>
      <vt:variant>
        <vt:i4>0</vt:i4>
      </vt:variant>
      <vt:variant>
        <vt:i4>5</vt:i4>
      </vt:variant>
      <vt:variant>
        <vt:lpwstr>http://www.bu.edu/law/central/jd/organizations/journals/bulr/volume87n2/documents/MARINERv.2.pdf</vt:lpwstr>
      </vt:variant>
      <vt:variant>
        <vt:lpwstr/>
      </vt:variant>
      <vt:variant>
        <vt:i4>2162790</vt:i4>
      </vt:variant>
      <vt:variant>
        <vt:i4>315</vt:i4>
      </vt:variant>
      <vt:variant>
        <vt:i4>0</vt:i4>
      </vt:variant>
      <vt:variant>
        <vt:i4>5</vt:i4>
      </vt:variant>
      <vt:variant>
        <vt:lpwstr>http://library.ahima.org/xpedio/groups/public/documents/ahima/bok1_048641.hcsp?dDocName=bok1_048641</vt:lpwstr>
      </vt:variant>
      <vt:variant>
        <vt:lpwstr/>
      </vt:variant>
      <vt:variant>
        <vt:i4>7471108</vt:i4>
      </vt:variant>
      <vt:variant>
        <vt:i4>312</vt:i4>
      </vt:variant>
      <vt:variant>
        <vt:i4>0</vt:i4>
      </vt:variant>
      <vt:variant>
        <vt:i4>5</vt:i4>
      </vt:variant>
      <vt:variant>
        <vt:lpwstr>http://www.sph.unc.edu/images/stories/academic_programs/hpaa/documents/oconnor.pdf</vt:lpwstr>
      </vt:variant>
      <vt:variant>
        <vt:lpwstr/>
      </vt:variant>
      <vt:variant>
        <vt:i4>6750331</vt:i4>
      </vt:variant>
      <vt:variant>
        <vt:i4>309</vt:i4>
      </vt:variant>
      <vt:variant>
        <vt:i4>0</vt:i4>
      </vt:variant>
      <vt:variant>
        <vt:i4>5</vt:i4>
      </vt:variant>
      <vt:variant>
        <vt:lpwstr>http://georgetown.lawreviewnetwork.com/files/pdf/96-2/Stoto.PDF</vt:lpwstr>
      </vt:variant>
      <vt:variant>
        <vt:lpwstr/>
      </vt:variant>
      <vt:variant>
        <vt:i4>2752636</vt:i4>
      </vt:variant>
      <vt:variant>
        <vt:i4>306</vt:i4>
      </vt:variant>
      <vt:variant>
        <vt:i4>0</vt:i4>
      </vt:variant>
      <vt:variant>
        <vt:i4>5</vt:i4>
      </vt:variant>
      <vt:variant>
        <vt:lpwstr>http://caselaw.lp.findlaw.com/cgi-bin/getcase.pl?court=us&amp;vol=197&amp;invol=11</vt:lpwstr>
      </vt:variant>
      <vt:variant>
        <vt:lpwstr/>
      </vt:variant>
      <vt:variant>
        <vt:i4>13</vt:i4>
      </vt:variant>
      <vt:variant>
        <vt:i4>303</vt:i4>
      </vt:variant>
      <vt:variant>
        <vt:i4>0</vt:i4>
      </vt:variant>
      <vt:variant>
        <vt:i4>5</vt:i4>
      </vt:variant>
      <vt:variant>
        <vt:lpwstr>http://www.astho.org/Programs/Preparedness/Public-Health-Emergency-Law/Public-Health-and-Schools-Toolkit/Public-Health---Schools-Toolkit/</vt:lpwstr>
      </vt:variant>
      <vt:variant>
        <vt:lpwstr/>
      </vt:variant>
      <vt:variant>
        <vt:i4>13</vt:i4>
      </vt:variant>
      <vt:variant>
        <vt:i4>300</vt:i4>
      </vt:variant>
      <vt:variant>
        <vt:i4>0</vt:i4>
      </vt:variant>
      <vt:variant>
        <vt:i4>5</vt:i4>
      </vt:variant>
      <vt:variant>
        <vt:lpwstr>http://www.astho.org/Programs/Preparedness/Public-Health-Emergency-Law/Public-Health-and-Schools-Toolkit/Public-Health---Schools-Toolkit/</vt:lpwstr>
      </vt:variant>
      <vt:variant>
        <vt:lpwstr/>
      </vt:variant>
      <vt:variant>
        <vt:i4>6029379</vt:i4>
      </vt:variant>
      <vt:variant>
        <vt:i4>297</vt:i4>
      </vt:variant>
      <vt:variant>
        <vt:i4>0</vt:i4>
      </vt:variant>
      <vt:variant>
        <vt:i4>5</vt:i4>
      </vt:variant>
      <vt:variant>
        <vt:lpwstr>http://www.astho.org/Programs/Preparedness/Public-Health-Emergency-Law/Public-Health-and-Information-Sharing-Toolkit/Authorities-and-Limitations-in-Sharing-Information-Issue-Brief/</vt:lpwstr>
      </vt:variant>
      <vt:variant>
        <vt:lpwstr/>
      </vt:variant>
      <vt:variant>
        <vt:i4>6750285</vt:i4>
      </vt:variant>
      <vt:variant>
        <vt:i4>294</vt:i4>
      </vt:variant>
      <vt:variant>
        <vt:i4>0</vt:i4>
      </vt:variant>
      <vt:variant>
        <vt:i4>5</vt:i4>
      </vt:variant>
      <vt:variant>
        <vt:lpwstr/>
      </vt:variant>
      <vt:variant>
        <vt:lpwstr>PH_Info_TOC_Top</vt:lpwstr>
      </vt:variant>
      <vt:variant>
        <vt:i4>6815818</vt:i4>
      </vt:variant>
      <vt:variant>
        <vt:i4>291</vt:i4>
      </vt:variant>
      <vt:variant>
        <vt:i4>0</vt:i4>
      </vt:variant>
      <vt:variant>
        <vt:i4>5</vt:i4>
      </vt:variant>
      <vt:variant>
        <vt:lpwstr>http://www.eeoc.gov/facts/pandemic_flu.html</vt:lpwstr>
      </vt:variant>
      <vt:variant>
        <vt:lpwstr/>
      </vt:variant>
      <vt:variant>
        <vt:i4>6029366</vt:i4>
      </vt:variant>
      <vt:variant>
        <vt:i4>288</vt:i4>
      </vt:variant>
      <vt:variant>
        <vt:i4>0</vt:i4>
      </vt:variant>
      <vt:variant>
        <vt:i4>5</vt:i4>
      </vt:variant>
      <vt:variant>
        <vt:lpwstr>http://eeoc.gov/facts/evacuation.html</vt:lpwstr>
      </vt:variant>
      <vt:variant>
        <vt:lpwstr>N_2</vt:lpwstr>
      </vt:variant>
      <vt:variant>
        <vt:i4>6815818</vt:i4>
      </vt:variant>
      <vt:variant>
        <vt:i4>285</vt:i4>
      </vt:variant>
      <vt:variant>
        <vt:i4>0</vt:i4>
      </vt:variant>
      <vt:variant>
        <vt:i4>5</vt:i4>
      </vt:variant>
      <vt:variant>
        <vt:lpwstr>http://www.eeoc.gov/facts/pandemic_flu.html</vt:lpwstr>
      </vt:variant>
      <vt:variant>
        <vt:lpwstr/>
      </vt:variant>
      <vt:variant>
        <vt:i4>3014692</vt:i4>
      </vt:variant>
      <vt:variant>
        <vt:i4>282</vt:i4>
      </vt:variant>
      <vt:variant>
        <vt:i4>0</vt:i4>
      </vt:variant>
      <vt:variant>
        <vt:i4>5</vt:i4>
      </vt:variant>
      <vt:variant>
        <vt:lpwstr>http://www.ada.gov/q&amp;aeng02.htm</vt:lpwstr>
      </vt:variant>
      <vt:variant>
        <vt:lpwstr/>
      </vt:variant>
      <vt:variant>
        <vt:i4>3014692</vt:i4>
      </vt:variant>
      <vt:variant>
        <vt:i4>279</vt:i4>
      </vt:variant>
      <vt:variant>
        <vt:i4>0</vt:i4>
      </vt:variant>
      <vt:variant>
        <vt:i4>5</vt:i4>
      </vt:variant>
      <vt:variant>
        <vt:lpwstr>http://www.ada.gov/q&amp;aeng02.htm</vt:lpwstr>
      </vt:variant>
      <vt:variant>
        <vt:lpwstr/>
      </vt:variant>
      <vt:variant>
        <vt:i4>6815818</vt:i4>
      </vt:variant>
      <vt:variant>
        <vt:i4>276</vt:i4>
      </vt:variant>
      <vt:variant>
        <vt:i4>0</vt:i4>
      </vt:variant>
      <vt:variant>
        <vt:i4>5</vt:i4>
      </vt:variant>
      <vt:variant>
        <vt:lpwstr>http://www.eeoc.gov/facts/pandemic_flu.html</vt:lpwstr>
      </vt:variant>
      <vt:variant>
        <vt:lpwstr/>
      </vt:variant>
      <vt:variant>
        <vt:i4>1441804</vt:i4>
      </vt:variant>
      <vt:variant>
        <vt:i4>273</vt:i4>
      </vt:variant>
      <vt:variant>
        <vt:i4>0</vt:i4>
      </vt:variant>
      <vt:variant>
        <vt:i4>5</vt:i4>
      </vt:variant>
      <vt:variant>
        <vt:lpwstr>http://www.eeoc.gov/facts/ada18.html</vt:lpwstr>
      </vt:variant>
      <vt:variant>
        <vt:lpwstr/>
      </vt:variant>
      <vt:variant>
        <vt:i4>7798846</vt:i4>
      </vt:variant>
      <vt:variant>
        <vt:i4>270</vt:i4>
      </vt:variant>
      <vt:variant>
        <vt:i4>0</vt:i4>
      </vt:variant>
      <vt:variant>
        <vt:i4>5</vt:i4>
      </vt:variant>
      <vt:variant>
        <vt:lpwstr>http://www.ada.gov/pcatoolkit/chap1toolkit.htm</vt:lpwstr>
      </vt:variant>
      <vt:variant>
        <vt:lpwstr/>
      </vt:variant>
      <vt:variant>
        <vt:i4>3276833</vt:i4>
      </vt:variant>
      <vt:variant>
        <vt:i4>267</vt:i4>
      </vt:variant>
      <vt:variant>
        <vt:i4>0</vt:i4>
      </vt:variant>
      <vt:variant>
        <vt:i4>5</vt:i4>
      </vt:variant>
      <vt:variant>
        <vt:lpwstr>http://www.eeoc.gov/eeoc/index.cfm</vt:lpwstr>
      </vt:variant>
      <vt:variant>
        <vt:lpwstr/>
      </vt:variant>
      <vt:variant>
        <vt:i4>3932271</vt:i4>
      </vt:variant>
      <vt:variant>
        <vt:i4>264</vt:i4>
      </vt:variant>
      <vt:variant>
        <vt:i4>0</vt:i4>
      </vt:variant>
      <vt:variant>
        <vt:i4>5</vt:i4>
      </vt:variant>
      <vt:variant>
        <vt:lpwstr>http://www.eeoc.gov/laws/statutes/rehab.cfm</vt:lpwstr>
      </vt:variant>
      <vt:variant>
        <vt:lpwstr/>
      </vt:variant>
      <vt:variant>
        <vt:i4>1835025</vt:i4>
      </vt:variant>
      <vt:variant>
        <vt:i4>261</vt:i4>
      </vt:variant>
      <vt:variant>
        <vt:i4>0</vt:i4>
      </vt:variant>
      <vt:variant>
        <vt:i4>5</vt:i4>
      </vt:variant>
      <vt:variant>
        <vt:lpwstr>http://www.ada.gov/q%26aeng02.htm</vt:lpwstr>
      </vt:variant>
      <vt:variant>
        <vt:lpwstr/>
      </vt:variant>
      <vt:variant>
        <vt:i4>65581</vt:i4>
      </vt:variant>
      <vt:variant>
        <vt:i4>258</vt:i4>
      </vt:variant>
      <vt:variant>
        <vt:i4>0</vt:i4>
      </vt:variant>
      <vt:variant>
        <vt:i4>5</vt:i4>
      </vt:variant>
      <vt:variant>
        <vt:lpwstr>http://www.osha.gov/Publications/influenza_pandemic.html</vt:lpwstr>
      </vt:variant>
      <vt:variant>
        <vt:lpwstr/>
      </vt:variant>
      <vt:variant>
        <vt:i4>786536</vt:i4>
      </vt:variant>
      <vt:variant>
        <vt:i4>255</vt:i4>
      </vt:variant>
      <vt:variant>
        <vt:i4>0</vt:i4>
      </vt:variant>
      <vt:variant>
        <vt:i4>5</vt:i4>
      </vt:variant>
      <vt:variant>
        <vt:lpwstr>http://www.osha.gov/dcsp/osp/public_sector.html</vt:lpwstr>
      </vt:variant>
      <vt:variant>
        <vt:lpwstr/>
      </vt:variant>
      <vt:variant>
        <vt:i4>786536</vt:i4>
      </vt:variant>
      <vt:variant>
        <vt:i4>252</vt:i4>
      </vt:variant>
      <vt:variant>
        <vt:i4>0</vt:i4>
      </vt:variant>
      <vt:variant>
        <vt:i4>5</vt:i4>
      </vt:variant>
      <vt:variant>
        <vt:lpwstr>http://www.osha.gov/dcsp/osp/public_sector.html</vt:lpwstr>
      </vt:variant>
      <vt:variant>
        <vt:lpwstr/>
      </vt:variant>
      <vt:variant>
        <vt:i4>131141</vt:i4>
      </vt:variant>
      <vt:variant>
        <vt:i4>249</vt:i4>
      </vt:variant>
      <vt:variant>
        <vt:i4>0</vt:i4>
      </vt:variant>
      <vt:variant>
        <vt:i4>5</vt:i4>
      </vt:variant>
      <vt:variant>
        <vt:lpwstr>http://www.osha.gov/workers.html</vt:lpwstr>
      </vt:variant>
      <vt:variant>
        <vt:lpwstr/>
      </vt:variant>
      <vt:variant>
        <vt:i4>1376322</vt:i4>
      </vt:variant>
      <vt:variant>
        <vt:i4>246</vt:i4>
      </vt:variant>
      <vt:variant>
        <vt:i4>0</vt:i4>
      </vt:variant>
      <vt:variant>
        <vt:i4>5</vt:i4>
      </vt:variant>
      <vt:variant>
        <vt:lpwstr>http://www.dol.gov/odep/topics/EmergencyPreparedness.htm</vt:lpwstr>
      </vt:variant>
      <vt:variant>
        <vt:lpwstr/>
      </vt:variant>
      <vt:variant>
        <vt:i4>3670065</vt:i4>
      </vt:variant>
      <vt:variant>
        <vt:i4>243</vt:i4>
      </vt:variant>
      <vt:variant>
        <vt:i4>0</vt:i4>
      </vt:variant>
      <vt:variant>
        <vt:i4>5</vt:i4>
      </vt:variant>
      <vt:variant>
        <vt:lpwstr>http://www.flu.gov/planning-preparedness/business/guidance.pdf</vt:lpwstr>
      </vt:variant>
      <vt:variant>
        <vt:lpwstr/>
      </vt:variant>
      <vt:variant>
        <vt:i4>589831</vt:i4>
      </vt:variant>
      <vt:variant>
        <vt:i4>240</vt:i4>
      </vt:variant>
      <vt:variant>
        <vt:i4>0</vt:i4>
      </vt:variant>
      <vt:variant>
        <vt:i4>5</vt:i4>
      </vt:variant>
      <vt:variant>
        <vt:lpwstr>http://www.flu.gov/planning-preparedness/business/index.html</vt:lpwstr>
      </vt:variant>
      <vt:variant>
        <vt:lpwstr/>
      </vt:variant>
      <vt:variant>
        <vt:i4>1703937</vt:i4>
      </vt:variant>
      <vt:variant>
        <vt:i4>237</vt:i4>
      </vt:variant>
      <vt:variant>
        <vt:i4>0</vt:i4>
      </vt:variant>
      <vt:variant>
        <vt:i4>5</vt:i4>
      </vt:variant>
      <vt:variant>
        <vt:lpwstr>http://www.osha.gov/dsg/topics/pandemicflu/index.html</vt:lpwstr>
      </vt:variant>
      <vt:variant>
        <vt:lpwstr/>
      </vt:variant>
      <vt:variant>
        <vt:i4>6750285</vt:i4>
      </vt:variant>
      <vt:variant>
        <vt:i4>234</vt:i4>
      </vt:variant>
      <vt:variant>
        <vt:i4>0</vt:i4>
      </vt:variant>
      <vt:variant>
        <vt:i4>5</vt:i4>
      </vt:variant>
      <vt:variant>
        <vt:lpwstr/>
      </vt:variant>
      <vt:variant>
        <vt:lpwstr>PH_Info_TOC_Top</vt:lpwstr>
      </vt:variant>
      <vt:variant>
        <vt:i4>6684781</vt:i4>
      </vt:variant>
      <vt:variant>
        <vt:i4>231</vt:i4>
      </vt:variant>
      <vt:variant>
        <vt:i4>0</vt:i4>
      </vt:variant>
      <vt:variant>
        <vt:i4>5</vt:i4>
      </vt:variant>
      <vt:variant>
        <vt:lpwstr>http://cdc.gov/phlp/docs/CDC_BJA_Framework.pdf</vt:lpwstr>
      </vt:variant>
      <vt:variant>
        <vt:lpwstr/>
      </vt:variant>
      <vt:variant>
        <vt:i4>4259842</vt:i4>
      </vt:variant>
      <vt:variant>
        <vt:i4>228</vt:i4>
      </vt:variant>
      <vt:variant>
        <vt:i4>0</vt:i4>
      </vt:variant>
      <vt:variant>
        <vt:i4>5</vt:i4>
      </vt:variant>
      <vt:variant>
        <vt:lpwstr>http://ise.gov/background-and-authorities</vt:lpwstr>
      </vt:variant>
      <vt:variant>
        <vt:lpwstr/>
      </vt:variant>
      <vt:variant>
        <vt:i4>3211322</vt:i4>
      </vt:variant>
      <vt:variant>
        <vt:i4>225</vt:i4>
      </vt:variant>
      <vt:variant>
        <vt:i4>0</vt:i4>
      </vt:variant>
      <vt:variant>
        <vt:i4>5</vt:i4>
      </vt:variant>
      <vt:variant>
        <vt:lpwstr>http://www.sog.unc.edu/sites/www.sog.unc.edu/files/LE-Mar 2011.pdf</vt:lpwstr>
      </vt:variant>
      <vt:variant>
        <vt:lpwstr/>
      </vt:variant>
      <vt:variant>
        <vt:i4>7405601</vt:i4>
      </vt:variant>
      <vt:variant>
        <vt:i4>222</vt:i4>
      </vt:variant>
      <vt:variant>
        <vt:i4>0</vt:i4>
      </vt:variant>
      <vt:variant>
        <vt:i4>5</vt:i4>
      </vt:variant>
      <vt:variant>
        <vt:lpwstr>http://www.hhs.gov/ocr/privacy/hipaa/faq/disclosures_for_law_enforcement_purposes/505.html</vt:lpwstr>
      </vt:variant>
      <vt:variant>
        <vt:lpwstr/>
      </vt:variant>
      <vt:variant>
        <vt:i4>1310749</vt:i4>
      </vt:variant>
      <vt:variant>
        <vt:i4>219</vt:i4>
      </vt:variant>
      <vt:variant>
        <vt:i4>0</vt:i4>
      </vt:variant>
      <vt:variant>
        <vt:i4>5</vt:i4>
      </vt:variant>
      <vt:variant>
        <vt:lpwstr>http://www.hhs.gov/ocr/privacy/hipaa/understanding/summary/privacysummary.pdf</vt:lpwstr>
      </vt:variant>
      <vt:variant>
        <vt:lpwstr/>
      </vt:variant>
      <vt:variant>
        <vt:i4>2687025</vt:i4>
      </vt:variant>
      <vt:variant>
        <vt:i4>216</vt:i4>
      </vt:variant>
      <vt:variant>
        <vt:i4>0</vt:i4>
      </vt:variant>
      <vt:variant>
        <vt:i4>5</vt:i4>
      </vt:variant>
      <vt:variant>
        <vt:lpwstr>http://biotech.law.lsu.edu/map/PrivilegeagainstSelf-Incrimination.html</vt:lpwstr>
      </vt:variant>
      <vt:variant>
        <vt:lpwstr/>
      </vt:variant>
      <vt:variant>
        <vt:i4>3735650</vt:i4>
      </vt:variant>
      <vt:variant>
        <vt:i4>213</vt:i4>
      </vt:variant>
      <vt:variant>
        <vt:i4>0</vt:i4>
      </vt:variant>
      <vt:variant>
        <vt:i4>5</vt:i4>
      </vt:variant>
      <vt:variant>
        <vt:lpwstr>http://supreme.justia.com/cases/federal/us/531/32/case.html</vt:lpwstr>
      </vt:variant>
      <vt:variant>
        <vt:lpwstr/>
      </vt:variant>
      <vt:variant>
        <vt:i4>3735650</vt:i4>
      </vt:variant>
      <vt:variant>
        <vt:i4>210</vt:i4>
      </vt:variant>
      <vt:variant>
        <vt:i4>0</vt:i4>
      </vt:variant>
      <vt:variant>
        <vt:i4>5</vt:i4>
      </vt:variant>
      <vt:variant>
        <vt:lpwstr>http://supreme.justia.com/cases/federal/us/531/32/case.html</vt:lpwstr>
      </vt:variant>
      <vt:variant>
        <vt:lpwstr/>
      </vt:variant>
      <vt:variant>
        <vt:i4>2162728</vt:i4>
      </vt:variant>
      <vt:variant>
        <vt:i4>207</vt:i4>
      </vt:variant>
      <vt:variant>
        <vt:i4>0</vt:i4>
      </vt:variant>
      <vt:variant>
        <vt:i4>5</vt:i4>
      </vt:variant>
      <vt:variant>
        <vt:lpwstr>http://supreme.justia.com/cases/federal/us/482/691/</vt:lpwstr>
      </vt:variant>
      <vt:variant>
        <vt:lpwstr/>
      </vt:variant>
      <vt:variant>
        <vt:i4>2818130</vt:i4>
      </vt:variant>
      <vt:variant>
        <vt:i4>204</vt:i4>
      </vt:variant>
      <vt:variant>
        <vt:i4>0</vt:i4>
      </vt:variant>
      <vt:variant>
        <vt:i4>5</vt:i4>
      </vt:variant>
      <vt:variant>
        <vt:lpwstr>http://wwwnc.cdc.gov/eid/article/8/10/02-0465_article.htm</vt:lpwstr>
      </vt:variant>
      <vt:variant>
        <vt:lpwstr/>
      </vt:variant>
      <vt:variant>
        <vt:i4>6422652</vt:i4>
      </vt:variant>
      <vt:variant>
        <vt:i4>201</vt:i4>
      </vt:variant>
      <vt:variant>
        <vt:i4>0</vt:i4>
      </vt:variant>
      <vt:variant>
        <vt:i4>5</vt:i4>
      </vt:variant>
      <vt:variant>
        <vt:lpwstr>http://www.it.ojp.gov/docdownloader.aspx?ddid=1269</vt:lpwstr>
      </vt:variant>
      <vt:variant>
        <vt:lpwstr/>
      </vt:variant>
      <vt:variant>
        <vt:i4>7012388</vt:i4>
      </vt:variant>
      <vt:variant>
        <vt:i4>198</vt:i4>
      </vt:variant>
      <vt:variant>
        <vt:i4>0</vt:i4>
      </vt:variant>
      <vt:variant>
        <vt:i4>5</vt:i4>
      </vt:variant>
      <vt:variant>
        <vt:lpwstr>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vt:lpwstr>
      </vt:variant>
      <vt:variant>
        <vt:lpwstr/>
      </vt:variant>
      <vt:variant>
        <vt:i4>3014700</vt:i4>
      </vt:variant>
      <vt:variant>
        <vt:i4>195</vt:i4>
      </vt:variant>
      <vt:variant>
        <vt:i4>0</vt:i4>
      </vt:variant>
      <vt:variant>
        <vt:i4>5</vt:i4>
      </vt:variant>
      <vt:variant>
        <vt:lpwstr>http://www.google.com/url?sa=t&amp;rct=j&amp;q=&amp;esrc=s&amp;source=web&amp;cd=1&amp;sqi=2&amp;ved=0CFgQFjAA&amp;url=http%3A%2F%2Fwww.it.ojp.gov%2Fdocuments%2Fbaselinecapabilitiesa.pdf&amp;ei=tvfGT-P4K6ST0QHmlMS5Cw&amp;usg=AFQjCNFXoO6TFIPQyv7qctNGiIXIEIRZwQ</vt:lpwstr>
      </vt:variant>
      <vt:variant>
        <vt:lpwstr/>
      </vt:variant>
      <vt:variant>
        <vt:i4>6357046</vt:i4>
      </vt:variant>
      <vt:variant>
        <vt:i4>192</vt:i4>
      </vt:variant>
      <vt:variant>
        <vt:i4>0</vt:i4>
      </vt:variant>
      <vt:variant>
        <vt:i4>5</vt:i4>
      </vt:variant>
      <vt:variant>
        <vt:lpwstr>http://www.it.ojp.gov/documents/fusion_center_guidelines_law_enforcement.pdf</vt:lpwstr>
      </vt:variant>
      <vt:variant>
        <vt:lpwstr/>
      </vt:variant>
      <vt:variant>
        <vt:i4>8061048</vt:i4>
      </vt:variant>
      <vt:variant>
        <vt:i4>189</vt:i4>
      </vt:variant>
      <vt:variant>
        <vt:i4>0</vt:i4>
      </vt:variant>
      <vt:variant>
        <vt:i4>5</vt:i4>
      </vt:variant>
      <vt:variant>
        <vt:lpwstr>http://www.aclu.org/files/pdfs/privacy/fusion_update_20080729.pdf</vt:lpwstr>
      </vt:variant>
      <vt:variant>
        <vt:lpwstr/>
      </vt:variant>
      <vt:variant>
        <vt:i4>4259913</vt:i4>
      </vt:variant>
      <vt:variant>
        <vt:i4>186</vt:i4>
      </vt:variant>
      <vt:variant>
        <vt:i4>0</vt:i4>
      </vt:variant>
      <vt:variant>
        <vt:i4>5</vt:i4>
      </vt:variant>
      <vt:variant>
        <vt:lpwstr>http://www.law.asu.edu/publichealthlaw/PublicHealthLaw/Resources.aspx</vt:lpwstr>
      </vt:variant>
      <vt:variant>
        <vt:lpwstr/>
      </vt:variant>
      <vt:variant>
        <vt:i4>7012388</vt:i4>
      </vt:variant>
      <vt:variant>
        <vt:i4>183</vt:i4>
      </vt:variant>
      <vt:variant>
        <vt:i4>0</vt:i4>
      </vt:variant>
      <vt:variant>
        <vt:i4>5</vt:i4>
      </vt:variant>
      <vt:variant>
        <vt:lpwstr>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vt:lpwstr>
      </vt:variant>
      <vt:variant>
        <vt:lpwstr/>
      </vt:variant>
      <vt:variant>
        <vt:i4>4259913</vt:i4>
      </vt:variant>
      <vt:variant>
        <vt:i4>180</vt:i4>
      </vt:variant>
      <vt:variant>
        <vt:i4>0</vt:i4>
      </vt:variant>
      <vt:variant>
        <vt:i4>5</vt:i4>
      </vt:variant>
      <vt:variant>
        <vt:lpwstr>http://www.law.asu.edu/publichealthlaw/PublicHealthLaw/Resources.aspx</vt:lpwstr>
      </vt:variant>
      <vt:variant>
        <vt:lpwstr/>
      </vt:variant>
      <vt:variant>
        <vt:i4>7864356</vt:i4>
      </vt:variant>
      <vt:variant>
        <vt:i4>177</vt:i4>
      </vt:variant>
      <vt:variant>
        <vt:i4>0</vt:i4>
      </vt:variant>
      <vt:variant>
        <vt:i4>5</vt:i4>
      </vt:variant>
      <vt:variant>
        <vt:lpwstr>http://www.dhs.gov/fusion-center-locations-and-contact-information</vt:lpwstr>
      </vt:variant>
      <vt:variant>
        <vt:lpwstr/>
      </vt:variant>
      <vt:variant>
        <vt:i4>7012388</vt:i4>
      </vt:variant>
      <vt:variant>
        <vt:i4>174</vt:i4>
      </vt:variant>
      <vt:variant>
        <vt:i4>0</vt:i4>
      </vt:variant>
      <vt:variant>
        <vt:i4>5</vt:i4>
      </vt:variant>
      <vt:variant>
        <vt:lpwstr>http://www.google.com/url?sa=t&amp;rct=j&amp;q=health%20security%3A%20public%20health%20and%20medical%20integration%20for%20fusion%20centers%2C%20july%202011&amp;source=web&amp;cd=1&amp;ved=0CE4QFjAA&amp;url=http%3A%2F%2Fwww.it.ojp.gov%2Fdocdownloader.aspx%3Fddid%3D1450&amp;ei=1sztT8GpFIOE8AT-kfX_AQ&amp;usg=AFQjCNHkU7_7yh_cPCiXCNwW1YJkLxNmxw</vt:lpwstr>
      </vt:variant>
      <vt:variant>
        <vt:lpwstr/>
      </vt:variant>
      <vt:variant>
        <vt:i4>6357046</vt:i4>
      </vt:variant>
      <vt:variant>
        <vt:i4>171</vt:i4>
      </vt:variant>
      <vt:variant>
        <vt:i4>0</vt:i4>
      </vt:variant>
      <vt:variant>
        <vt:i4>5</vt:i4>
      </vt:variant>
      <vt:variant>
        <vt:lpwstr>http://www.it.ojp.gov/documents/fusion_center_guidelines_law_enforcement.pdf</vt:lpwstr>
      </vt:variant>
      <vt:variant>
        <vt:lpwstr/>
      </vt:variant>
      <vt:variant>
        <vt:i4>2949122</vt:i4>
      </vt:variant>
      <vt:variant>
        <vt:i4>168</vt:i4>
      </vt:variant>
      <vt:variant>
        <vt:i4>0</vt:i4>
      </vt:variant>
      <vt:variant>
        <vt:i4>5</vt:i4>
      </vt:variant>
      <vt:variant>
        <vt:lpwstr>http://www.dhs.gov/files/programs/gc_1296484657738.shtm</vt:lpwstr>
      </vt:variant>
      <vt:variant>
        <vt:lpwstr/>
      </vt:variant>
      <vt:variant>
        <vt:i4>6357046</vt:i4>
      </vt:variant>
      <vt:variant>
        <vt:i4>165</vt:i4>
      </vt:variant>
      <vt:variant>
        <vt:i4>0</vt:i4>
      </vt:variant>
      <vt:variant>
        <vt:i4>5</vt:i4>
      </vt:variant>
      <vt:variant>
        <vt:lpwstr>http://www.it.ojp.gov/documents/fusion_center_guidelines_law_enforcement.pdf</vt:lpwstr>
      </vt:variant>
      <vt:variant>
        <vt:lpwstr/>
      </vt:variant>
      <vt:variant>
        <vt:i4>3080250</vt:i4>
      </vt:variant>
      <vt:variant>
        <vt:i4>162</vt:i4>
      </vt:variant>
      <vt:variant>
        <vt:i4>0</vt:i4>
      </vt:variant>
      <vt:variant>
        <vt:i4>5</vt:i4>
      </vt:variant>
      <vt:variant>
        <vt:lpwstr>http://ise.gov/law-enforcement-information-sharing</vt:lpwstr>
      </vt:variant>
      <vt:variant>
        <vt:lpwstr/>
      </vt:variant>
      <vt:variant>
        <vt:i4>4259842</vt:i4>
      </vt:variant>
      <vt:variant>
        <vt:i4>159</vt:i4>
      </vt:variant>
      <vt:variant>
        <vt:i4>0</vt:i4>
      </vt:variant>
      <vt:variant>
        <vt:i4>5</vt:i4>
      </vt:variant>
      <vt:variant>
        <vt:lpwstr>http://ise.gov/background-and-authorities</vt:lpwstr>
      </vt:variant>
      <vt:variant>
        <vt:lpwstr/>
      </vt:variant>
      <vt:variant>
        <vt:i4>5832725</vt:i4>
      </vt:variant>
      <vt:variant>
        <vt:i4>156</vt:i4>
      </vt:variant>
      <vt:variant>
        <vt:i4>0</vt:i4>
      </vt:variant>
      <vt:variant>
        <vt:i4>5</vt:i4>
      </vt:variant>
      <vt:variant>
        <vt:lpwstr>http://www.dtic.mil/cgi-bin/GetTRDoc?AD=ADA499988</vt:lpwstr>
      </vt:variant>
      <vt:variant>
        <vt:lpwstr/>
      </vt:variant>
      <vt:variant>
        <vt:i4>4259842</vt:i4>
      </vt:variant>
      <vt:variant>
        <vt:i4>153</vt:i4>
      </vt:variant>
      <vt:variant>
        <vt:i4>0</vt:i4>
      </vt:variant>
      <vt:variant>
        <vt:i4>5</vt:i4>
      </vt:variant>
      <vt:variant>
        <vt:lpwstr>http://ise.gov/background-and-authorities</vt:lpwstr>
      </vt:variant>
      <vt:variant>
        <vt:lpwstr/>
      </vt:variant>
      <vt:variant>
        <vt:i4>4259842</vt:i4>
      </vt:variant>
      <vt:variant>
        <vt:i4>150</vt:i4>
      </vt:variant>
      <vt:variant>
        <vt:i4>0</vt:i4>
      </vt:variant>
      <vt:variant>
        <vt:i4>5</vt:i4>
      </vt:variant>
      <vt:variant>
        <vt:lpwstr>http://ise.gov/background-and-authorities</vt:lpwstr>
      </vt:variant>
      <vt:variant>
        <vt:lpwstr/>
      </vt:variant>
      <vt:variant>
        <vt:i4>5832725</vt:i4>
      </vt:variant>
      <vt:variant>
        <vt:i4>147</vt:i4>
      </vt:variant>
      <vt:variant>
        <vt:i4>0</vt:i4>
      </vt:variant>
      <vt:variant>
        <vt:i4>5</vt:i4>
      </vt:variant>
      <vt:variant>
        <vt:lpwstr>http://www.dtic.mil/cgi-bin/GetTRDoc?AD=ADA499988</vt:lpwstr>
      </vt:variant>
      <vt:variant>
        <vt:lpwstr/>
      </vt:variant>
      <vt:variant>
        <vt:i4>327751</vt:i4>
      </vt:variant>
      <vt:variant>
        <vt:i4>144</vt:i4>
      </vt:variant>
      <vt:variant>
        <vt:i4>0</vt:i4>
      </vt:variant>
      <vt:variant>
        <vt:i4>5</vt:i4>
      </vt:variant>
      <vt:variant>
        <vt:lpwstr>http://www.cdc.gov/phlp/docs/CrimEpiHandbook2011.pdf</vt:lpwstr>
      </vt:variant>
      <vt:variant>
        <vt:lpwstr/>
      </vt:variant>
      <vt:variant>
        <vt:i4>1114138</vt:i4>
      </vt:variant>
      <vt:variant>
        <vt:i4>141</vt:i4>
      </vt:variant>
      <vt:variant>
        <vt:i4>0</vt:i4>
      </vt:variant>
      <vt:variant>
        <vt:i4>5</vt:i4>
      </vt:variant>
      <vt:variant>
        <vt:lpwstr>http://www.cdc.gov/phlp/publications/forensicepidemiology/index.html</vt:lpwstr>
      </vt:variant>
      <vt:variant>
        <vt:lpwstr/>
      </vt:variant>
      <vt:variant>
        <vt:i4>4522074</vt:i4>
      </vt:variant>
      <vt:variant>
        <vt:i4>138</vt:i4>
      </vt:variant>
      <vt:variant>
        <vt:i4>0</vt:i4>
      </vt:variant>
      <vt:variant>
        <vt:i4>5</vt:i4>
      </vt:variant>
      <vt:variant>
        <vt:lpwstr>http://www.nasemso.org/Projects/DomesticPreparedness/documents/JIMOUFinal.pdf</vt:lpwstr>
      </vt:variant>
      <vt:variant>
        <vt:lpwstr/>
      </vt:variant>
      <vt:variant>
        <vt:i4>6684781</vt:i4>
      </vt:variant>
      <vt:variant>
        <vt:i4>135</vt:i4>
      </vt:variant>
      <vt:variant>
        <vt:i4>0</vt:i4>
      </vt:variant>
      <vt:variant>
        <vt:i4>5</vt:i4>
      </vt:variant>
      <vt:variant>
        <vt:lpwstr>http://cdc.gov/phlp/docs/CDC_BJA_Framework.pdf</vt:lpwstr>
      </vt:variant>
      <vt:variant>
        <vt:lpwstr/>
      </vt:variant>
      <vt:variant>
        <vt:i4>2818130</vt:i4>
      </vt:variant>
      <vt:variant>
        <vt:i4>132</vt:i4>
      </vt:variant>
      <vt:variant>
        <vt:i4>0</vt:i4>
      </vt:variant>
      <vt:variant>
        <vt:i4>5</vt:i4>
      </vt:variant>
      <vt:variant>
        <vt:lpwstr>http://wwwnc.cdc.gov/eid/article/8/10/02-0465_article.htm</vt:lpwstr>
      </vt:variant>
      <vt:variant>
        <vt:lpwstr/>
      </vt:variant>
      <vt:variant>
        <vt:i4>6750321</vt:i4>
      </vt:variant>
      <vt:variant>
        <vt:i4>129</vt:i4>
      </vt:variant>
      <vt:variant>
        <vt:i4>0</vt:i4>
      </vt:variant>
      <vt:variant>
        <vt:i4>5</vt:i4>
      </vt:variant>
      <vt:variant>
        <vt:lpwstr>https://www.ncjrs.gov/pdffiles1/bja/214333.pdf</vt:lpwstr>
      </vt:variant>
      <vt:variant>
        <vt:lpwstr/>
      </vt:variant>
      <vt:variant>
        <vt:i4>2818130</vt:i4>
      </vt:variant>
      <vt:variant>
        <vt:i4>126</vt:i4>
      </vt:variant>
      <vt:variant>
        <vt:i4>0</vt:i4>
      </vt:variant>
      <vt:variant>
        <vt:i4>5</vt:i4>
      </vt:variant>
      <vt:variant>
        <vt:lpwstr>http://wwwnc.cdc.gov/eid/article/8/10/02-0465_article.htm</vt:lpwstr>
      </vt:variant>
      <vt:variant>
        <vt:lpwstr/>
      </vt:variant>
      <vt:variant>
        <vt:i4>4522074</vt:i4>
      </vt:variant>
      <vt:variant>
        <vt:i4>123</vt:i4>
      </vt:variant>
      <vt:variant>
        <vt:i4>0</vt:i4>
      </vt:variant>
      <vt:variant>
        <vt:i4>5</vt:i4>
      </vt:variant>
      <vt:variant>
        <vt:lpwstr>http://www.nasemso.org/Projects/DomesticPreparedness/documents/JIMOUFinal.pdf</vt:lpwstr>
      </vt:variant>
      <vt:variant>
        <vt:lpwstr/>
      </vt:variant>
      <vt:variant>
        <vt:i4>327748</vt:i4>
      </vt:variant>
      <vt:variant>
        <vt:i4>120</vt:i4>
      </vt:variant>
      <vt:variant>
        <vt:i4>0</vt:i4>
      </vt:variant>
      <vt:variant>
        <vt:i4>5</vt:i4>
      </vt:variant>
      <vt:variant>
        <vt:lpwstr>http://wwwnc.cdc.gov/eid/article/8/10/02-0400.htm</vt:lpwstr>
      </vt:variant>
      <vt:variant>
        <vt:lpwstr/>
      </vt:variant>
      <vt:variant>
        <vt:i4>2818130</vt:i4>
      </vt:variant>
      <vt:variant>
        <vt:i4>117</vt:i4>
      </vt:variant>
      <vt:variant>
        <vt:i4>0</vt:i4>
      </vt:variant>
      <vt:variant>
        <vt:i4>5</vt:i4>
      </vt:variant>
      <vt:variant>
        <vt:lpwstr>http://wwwnc.cdc.gov/eid/article/8/10/02-0465_article.htm</vt:lpwstr>
      </vt:variant>
      <vt:variant>
        <vt:lpwstr/>
      </vt:variant>
      <vt:variant>
        <vt:i4>5898296</vt:i4>
      </vt:variant>
      <vt:variant>
        <vt:i4>114</vt:i4>
      </vt:variant>
      <vt:variant>
        <vt:i4>0</vt:i4>
      </vt:variant>
      <vt:variant>
        <vt:i4>5</vt:i4>
      </vt:variant>
      <vt:variant>
        <vt:lpwstr>http://www.law.uh.edu/hjhlp/Issues%5CVol_61%5CSutton.pdf</vt:lpwstr>
      </vt:variant>
      <vt:variant>
        <vt:lpwstr/>
      </vt:variant>
      <vt:variant>
        <vt:i4>6684781</vt:i4>
      </vt:variant>
      <vt:variant>
        <vt:i4>111</vt:i4>
      </vt:variant>
      <vt:variant>
        <vt:i4>0</vt:i4>
      </vt:variant>
      <vt:variant>
        <vt:i4>5</vt:i4>
      </vt:variant>
      <vt:variant>
        <vt:lpwstr>http://cdc.gov/phlp/docs/CDC_BJA_Framework.pdf</vt:lpwstr>
      </vt:variant>
      <vt:variant>
        <vt:lpwstr/>
      </vt:variant>
      <vt:variant>
        <vt:i4>4915226</vt:i4>
      </vt:variant>
      <vt:variant>
        <vt:i4>108</vt:i4>
      </vt:variant>
      <vt:variant>
        <vt:i4>0</vt:i4>
      </vt:variant>
      <vt:variant>
        <vt:i4>5</vt:i4>
      </vt:variant>
      <vt:variant>
        <vt:lpwstr>http://www.progressivegrocer.com/top-story-ex_grocery_worker_sentenced_for_poisoning_beef-20115.html</vt:lpwstr>
      </vt:variant>
      <vt:variant>
        <vt:lpwstr/>
      </vt:variant>
      <vt:variant>
        <vt:i4>6750321</vt:i4>
      </vt:variant>
      <vt:variant>
        <vt:i4>105</vt:i4>
      </vt:variant>
      <vt:variant>
        <vt:i4>0</vt:i4>
      </vt:variant>
      <vt:variant>
        <vt:i4>5</vt:i4>
      </vt:variant>
      <vt:variant>
        <vt:lpwstr>https://www.ncjrs.gov/pdffiles1/bja/214333.pdf</vt:lpwstr>
      </vt:variant>
      <vt:variant>
        <vt:lpwstr/>
      </vt:variant>
      <vt:variant>
        <vt:i4>6684781</vt:i4>
      </vt:variant>
      <vt:variant>
        <vt:i4>102</vt:i4>
      </vt:variant>
      <vt:variant>
        <vt:i4>0</vt:i4>
      </vt:variant>
      <vt:variant>
        <vt:i4>5</vt:i4>
      </vt:variant>
      <vt:variant>
        <vt:lpwstr>http://cdc.gov/phlp/docs/CDC_BJA_Framework.pdf</vt:lpwstr>
      </vt:variant>
      <vt:variant>
        <vt:lpwstr/>
      </vt:variant>
      <vt:variant>
        <vt:i4>4522074</vt:i4>
      </vt:variant>
      <vt:variant>
        <vt:i4>99</vt:i4>
      </vt:variant>
      <vt:variant>
        <vt:i4>0</vt:i4>
      </vt:variant>
      <vt:variant>
        <vt:i4>5</vt:i4>
      </vt:variant>
      <vt:variant>
        <vt:lpwstr>http://www.nasemso.org/Projects/DomesticPreparedness/documents/JIMOUFinal.pdf</vt:lpwstr>
      </vt:variant>
      <vt:variant>
        <vt:lpwstr/>
      </vt:variant>
      <vt:variant>
        <vt:i4>6684781</vt:i4>
      </vt:variant>
      <vt:variant>
        <vt:i4>96</vt:i4>
      </vt:variant>
      <vt:variant>
        <vt:i4>0</vt:i4>
      </vt:variant>
      <vt:variant>
        <vt:i4>5</vt:i4>
      </vt:variant>
      <vt:variant>
        <vt:lpwstr>http://cdc.gov/phlp/docs/CDC_BJA_Framework.pdf</vt:lpwstr>
      </vt:variant>
      <vt:variant>
        <vt:lpwstr/>
      </vt:variant>
      <vt:variant>
        <vt:i4>917581</vt:i4>
      </vt:variant>
      <vt:variant>
        <vt:i4>93</vt:i4>
      </vt:variant>
      <vt:variant>
        <vt:i4>0</vt:i4>
      </vt:variant>
      <vt:variant>
        <vt:i4>5</vt:i4>
      </vt:variant>
      <vt:variant>
        <vt:lpwstr>http://www.cdc.gov/phpr/capabilities/DSLR_capabilities_July.pdf</vt:lpwstr>
      </vt:variant>
      <vt:variant>
        <vt:lpwstr/>
      </vt:variant>
      <vt:variant>
        <vt:i4>13</vt:i4>
      </vt:variant>
      <vt:variant>
        <vt:i4>90</vt:i4>
      </vt:variant>
      <vt:variant>
        <vt:i4>0</vt:i4>
      </vt:variant>
      <vt:variant>
        <vt:i4>5</vt:i4>
      </vt:variant>
      <vt:variant>
        <vt:lpwstr>http://www.astho.org/Programs/Preparedness/Public-Health-Emergency-Law/Public-Health-and-Schools-Toolkit/Public-Health---Schools-Toolkit/</vt:lpwstr>
      </vt:variant>
      <vt:variant>
        <vt:lpwstr/>
      </vt:variant>
      <vt:variant>
        <vt:i4>7405693</vt:i4>
      </vt:variant>
      <vt:variant>
        <vt:i4>87</vt:i4>
      </vt:variant>
      <vt:variant>
        <vt:i4>0</vt:i4>
      </vt:variant>
      <vt:variant>
        <vt:i4>5</vt:i4>
      </vt:variant>
      <vt:variant>
        <vt:lpwstr>http://www.astho.org/Programs/Preparedness/Public-Health-Emergency-Law/Public-Health-and-Information-Sharing-Toolkit/Collection-Use-Sharing-and-Protection-Issue-Brief/</vt:lpwstr>
      </vt:variant>
      <vt:variant>
        <vt:lpwstr/>
      </vt:variant>
      <vt:variant>
        <vt:i4>6750285</vt:i4>
      </vt:variant>
      <vt:variant>
        <vt:i4>84</vt:i4>
      </vt:variant>
      <vt:variant>
        <vt:i4>0</vt:i4>
      </vt:variant>
      <vt:variant>
        <vt:i4>5</vt:i4>
      </vt:variant>
      <vt:variant>
        <vt:lpwstr/>
      </vt:variant>
      <vt:variant>
        <vt:lpwstr>PH_Info_TOC_Top</vt:lpwstr>
      </vt:variant>
      <vt:variant>
        <vt:i4>3604514</vt:i4>
      </vt:variant>
      <vt:variant>
        <vt:i4>81</vt:i4>
      </vt:variant>
      <vt:variant>
        <vt:i4>0</vt:i4>
      </vt:variant>
      <vt:variant>
        <vt:i4>5</vt:i4>
      </vt:variant>
      <vt:variant>
        <vt:lpwstr>http://www.ncbi.nlm.nih.gov/pubmed/14968670</vt:lpwstr>
      </vt:variant>
      <vt:variant>
        <vt:lpwstr/>
      </vt:variant>
      <vt:variant>
        <vt:i4>2818130</vt:i4>
      </vt:variant>
      <vt:variant>
        <vt:i4>78</vt:i4>
      </vt:variant>
      <vt:variant>
        <vt:i4>0</vt:i4>
      </vt:variant>
      <vt:variant>
        <vt:i4>5</vt:i4>
      </vt:variant>
      <vt:variant>
        <vt:lpwstr>http://wwwnc.cdc.gov/eid/article/8/10/02-0465_article.htm</vt:lpwstr>
      </vt:variant>
      <vt:variant>
        <vt:lpwstr/>
      </vt:variant>
      <vt:variant>
        <vt:i4>917527</vt:i4>
      </vt:variant>
      <vt:variant>
        <vt:i4>75</vt:i4>
      </vt:variant>
      <vt:variant>
        <vt:i4>0</vt:i4>
      </vt:variant>
      <vt:variant>
        <vt:i4>5</vt:i4>
      </vt:variant>
      <vt:variant>
        <vt:lpwstr>http://www.rcfp.org/open-government-guide</vt:lpwstr>
      </vt:variant>
      <vt:variant>
        <vt:lpwstr/>
      </vt:variant>
      <vt:variant>
        <vt:i4>6029379</vt:i4>
      </vt:variant>
      <vt:variant>
        <vt:i4>72</vt:i4>
      </vt:variant>
      <vt:variant>
        <vt:i4>0</vt:i4>
      </vt:variant>
      <vt:variant>
        <vt:i4>5</vt:i4>
      </vt:variant>
      <vt:variant>
        <vt:lpwstr>http://www.astho.org/Programs/Preparedness/Public-Health-Emergency-Law/Public-Health-and-Information-Sharing-Toolkit/Authorities-and-Limitations-in-Sharing-Information-Issue-Brief/</vt:lpwstr>
      </vt:variant>
      <vt:variant>
        <vt:lpwstr/>
      </vt:variant>
      <vt:variant>
        <vt:i4>7405693</vt:i4>
      </vt:variant>
      <vt:variant>
        <vt:i4>69</vt:i4>
      </vt:variant>
      <vt:variant>
        <vt:i4>0</vt:i4>
      </vt:variant>
      <vt:variant>
        <vt:i4>5</vt:i4>
      </vt:variant>
      <vt:variant>
        <vt:lpwstr>http://www.astho.org/Programs/Preparedness/Public-Health-Emergency-Law/Public-Health-and-Information-Sharing-Toolkit/Collection-Use-Sharing-and-Protection-Issue-Brief/</vt:lpwstr>
      </vt:variant>
      <vt:variant>
        <vt:lpwstr/>
      </vt:variant>
      <vt:variant>
        <vt:i4>7405693</vt:i4>
      </vt:variant>
      <vt:variant>
        <vt:i4>66</vt:i4>
      </vt:variant>
      <vt:variant>
        <vt:i4>0</vt:i4>
      </vt:variant>
      <vt:variant>
        <vt:i4>5</vt:i4>
      </vt:variant>
      <vt:variant>
        <vt:lpwstr>http://www.astho.org/Programs/Preparedness/Public-Health-Emergency-Law/Public-Health-and-Information-Sharing-Toolkit/Collection-Use-Sharing-and-Protection-Issue-Brief/</vt:lpwstr>
      </vt:variant>
      <vt:variant>
        <vt:lpwstr/>
      </vt:variant>
      <vt:variant>
        <vt:i4>6750285</vt:i4>
      </vt:variant>
      <vt:variant>
        <vt:i4>63</vt:i4>
      </vt:variant>
      <vt:variant>
        <vt:i4>0</vt:i4>
      </vt:variant>
      <vt:variant>
        <vt:i4>5</vt:i4>
      </vt:variant>
      <vt:variant>
        <vt:lpwstr/>
      </vt:variant>
      <vt:variant>
        <vt:lpwstr>PH_Info_TOC_Top</vt:lpwstr>
      </vt:variant>
      <vt:variant>
        <vt:i4>6815818</vt:i4>
      </vt:variant>
      <vt:variant>
        <vt:i4>60</vt:i4>
      </vt:variant>
      <vt:variant>
        <vt:i4>0</vt:i4>
      </vt:variant>
      <vt:variant>
        <vt:i4>5</vt:i4>
      </vt:variant>
      <vt:variant>
        <vt:lpwstr>http://www.eeoc.gov/facts/pandemic_flu.html</vt:lpwstr>
      </vt:variant>
      <vt:variant>
        <vt:lpwstr/>
      </vt:variant>
      <vt:variant>
        <vt:i4>6029366</vt:i4>
      </vt:variant>
      <vt:variant>
        <vt:i4>57</vt:i4>
      </vt:variant>
      <vt:variant>
        <vt:i4>0</vt:i4>
      </vt:variant>
      <vt:variant>
        <vt:i4>5</vt:i4>
      </vt:variant>
      <vt:variant>
        <vt:lpwstr>http://eeoc.gov/facts/evacuation.html</vt:lpwstr>
      </vt:variant>
      <vt:variant>
        <vt:lpwstr>N_2</vt:lpwstr>
      </vt:variant>
      <vt:variant>
        <vt:i4>3014692</vt:i4>
      </vt:variant>
      <vt:variant>
        <vt:i4>54</vt:i4>
      </vt:variant>
      <vt:variant>
        <vt:i4>0</vt:i4>
      </vt:variant>
      <vt:variant>
        <vt:i4>5</vt:i4>
      </vt:variant>
      <vt:variant>
        <vt:lpwstr>http://www.ada.gov/q&amp;aeng02.htm</vt:lpwstr>
      </vt:variant>
      <vt:variant>
        <vt:lpwstr/>
      </vt:variant>
      <vt:variant>
        <vt:i4>1441804</vt:i4>
      </vt:variant>
      <vt:variant>
        <vt:i4>51</vt:i4>
      </vt:variant>
      <vt:variant>
        <vt:i4>0</vt:i4>
      </vt:variant>
      <vt:variant>
        <vt:i4>5</vt:i4>
      </vt:variant>
      <vt:variant>
        <vt:lpwstr>http://www.eeoc.gov/facts/ada18.html</vt:lpwstr>
      </vt:variant>
      <vt:variant>
        <vt:lpwstr/>
      </vt:variant>
      <vt:variant>
        <vt:i4>1835025</vt:i4>
      </vt:variant>
      <vt:variant>
        <vt:i4>48</vt:i4>
      </vt:variant>
      <vt:variant>
        <vt:i4>0</vt:i4>
      </vt:variant>
      <vt:variant>
        <vt:i4>5</vt:i4>
      </vt:variant>
      <vt:variant>
        <vt:lpwstr>http://www.ada.gov/q%26aeng02.htm</vt:lpwstr>
      </vt:variant>
      <vt:variant>
        <vt:lpwstr/>
      </vt:variant>
      <vt:variant>
        <vt:i4>1441804</vt:i4>
      </vt:variant>
      <vt:variant>
        <vt:i4>45</vt:i4>
      </vt:variant>
      <vt:variant>
        <vt:i4>0</vt:i4>
      </vt:variant>
      <vt:variant>
        <vt:i4>5</vt:i4>
      </vt:variant>
      <vt:variant>
        <vt:lpwstr>http://www.eeoc.gov/facts/ada18.html</vt:lpwstr>
      </vt:variant>
      <vt:variant>
        <vt:lpwstr/>
      </vt:variant>
      <vt:variant>
        <vt:i4>786445</vt:i4>
      </vt:variant>
      <vt:variant>
        <vt:i4>42</vt:i4>
      </vt:variant>
      <vt:variant>
        <vt:i4>0</vt:i4>
      </vt:variant>
      <vt:variant>
        <vt:i4>5</vt:i4>
      </vt:variant>
      <vt:variant>
        <vt:lpwstr>http://www.astho.org/Programs/Preparedness/Public-Health-Emergency-Law/Public-Health-and-Information-Sharing-Toolkit/Public-Health-Agencies-as-Employers-Issue-Brief/</vt:lpwstr>
      </vt:variant>
      <vt:variant>
        <vt:lpwstr/>
      </vt:variant>
      <vt:variant>
        <vt:i4>6750285</vt:i4>
      </vt:variant>
      <vt:variant>
        <vt:i4>39</vt:i4>
      </vt:variant>
      <vt:variant>
        <vt:i4>0</vt:i4>
      </vt:variant>
      <vt:variant>
        <vt:i4>5</vt:i4>
      </vt:variant>
      <vt:variant>
        <vt:lpwstr/>
      </vt:variant>
      <vt:variant>
        <vt:lpwstr>PH_Info_TOC_Top</vt:lpwstr>
      </vt:variant>
      <vt:variant>
        <vt:i4>6750285</vt:i4>
      </vt:variant>
      <vt:variant>
        <vt:i4>36</vt:i4>
      </vt:variant>
      <vt:variant>
        <vt:i4>0</vt:i4>
      </vt:variant>
      <vt:variant>
        <vt:i4>5</vt:i4>
      </vt:variant>
      <vt:variant>
        <vt:lpwstr/>
      </vt:variant>
      <vt:variant>
        <vt:lpwstr>PH_Info_TOC_Top</vt:lpwstr>
      </vt:variant>
      <vt:variant>
        <vt:i4>1310787</vt:i4>
      </vt:variant>
      <vt:variant>
        <vt:i4>33</vt:i4>
      </vt:variant>
      <vt:variant>
        <vt:i4>0</vt:i4>
      </vt:variant>
      <vt:variant>
        <vt:i4>5</vt:i4>
      </vt:variant>
      <vt:variant>
        <vt:lpwstr>http://www.astho.org/Programs/Preparedness/Public-Health-Emergency-Law/Public-Health-and-Information-Sharing-Toolkit/Information-Sharing-Toolkit-Supplemental-Materials/</vt:lpwstr>
      </vt:variant>
      <vt:variant>
        <vt:lpwstr/>
      </vt:variant>
      <vt:variant>
        <vt:i4>7667825</vt:i4>
      </vt:variant>
      <vt:variant>
        <vt:i4>30</vt:i4>
      </vt:variant>
      <vt:variant>
        <vt:i4>0</vt:i4>
      </vt:variant>
      <vt:variant>
        <vt:i4>5</vt:i4>
      </vt:variant>
      <vt:variant>
        <vt:lpwstr>http://www.astho.org/Programs/Preparedness/Public-Health-Emergency-Law/Public-Health-and-Information-Sharing-Toolkit/Sharing-Information-Guide/</vt:lpwstr>
      </vt:variant>
      <vt:variant>
        <vt:lpwstr/>
      </vt:variant>
      <vt:variant>
        <vt:i4>7340078</vt:i4>
      </vt:variant>
      <vt:variant>
        <vt:i4>27</vt:i4>
      </vt:variant>
      <vt:variant>
        <vt:i4>0</vt:i4>
      </vt:variant>
      <vt:variant>
        <vt:i4>5</vt:i4>
      </vt:variant>
      <vt:variant>
        <vt:lpwstr>http://www.astho.org/Programs/Preparedness/Public-Health-Emergency-Law/Public-Health-and-Information-Sharing-Toolkit/Public-Health-Collection/</vt:lpwstr>
      </vt:variant>
      <vt:variant>
        <vt:lpwstr/>
      </vt:variant>
      <vt:variant>
        <vt:i4>5308505</vt:i4>
      </vt:variant>
      <vt:variant>
        <vt:i4>24</vt:i4>
      </vt:variant>
      <vt:variant>
        <vt:i4>0</vt:i4>
      </vt:variant>
      <vt:variant>
        <vt:i4>5</vt:i4>
      </vt:variant>
      <vt:variant>
        <vt:lpwstr>http://www.astho.org/Programs/Preparedness/Public-Health-Emergency-Law/Public-Health-and-Information-Sharing-Toolkit/Employee-Health-Information/</vt:lpwstr>
      </vt:variant>
      <vt:variant>
        <vt:lpwstr/>
      </vt:variant>
      <vt:variant>
        <vt:i4>7405693</vt:i4>
      </vt:variant>
      <vt:variant>
        <vt:i4>21</vt:i4>
      </vt:variant>
      <vt:variant>
        <vt:i4>0</vt:i4>
      </vt:variant>
      <vt:variant>
        <vt:i4>5</vt:i4>
      </vt:variant>
      <vt:variant>
        <vt:lpwstr>http://www.astho.org/Programs/Preparedness/Public-Health-Emergency-Law/Public-Health-and-Information-Sharing-Toolkit/Collection-Use-Sharing-and-Protection-Issue-Brief/</vt:lpwstr>
      </vt:variant>
      <vt:variant>
        <vt:lpwstr/>
      </vt:variant>
      <vt:variant>
        <vt:i4>786445</vt:i4>
      </vt:variant>
      <vt:variant>
        <vt:i4>18</vt:i4>
      </vt:variant>
      <vt:variant>
        <vt:i4>0</vt:i4>
      </vt:variant>
      <vt:variant>
        <vt:i4>5</vt:i4>
      </vt:variant>
      <vt:variant>
        <vt:lpwstr>http://www.astho.org/Programs/Preparedness/Public-Health-Emergency-Law/Public-Health-and-Information-Sharing-Toolkit/Public-Health-Agencies-as-Employers-Issue-Brief/</vt:lpwstr>
      </vt:variant>
      <vt:variant>
        <vt:lpwstr/>
      </vt:variant>
      <vt:variant>
        <vt:i4>6029379</vt:i4>
      </vt:variant>
      <vt:variant>
        <vt:i4>15</vt:i4>
      </vt:variant>
      <vt:variant>
        <vt:i4>0</vt:i4>
      </vt:variant>
      <vt:variant>
        <vt:i4>5</vt:i4>
      </vt:variant>
      <vt:variant>
        <vt:lpwstr>http://www.astho.org/Programs/Preparedness/Public-Health-Emergency-Law/Public-Health-and-Information-Sharing-Toolkit/Authorities-and-Limitations-in-Sharing-Information-Issue-Brief/</vt:lpwstr>
      </vt:variant>
      <vt:variant>
        <vt:lpwstr/>
      </vt:variant>
      <vt:variant>
        <vt:i4>8192110</vt:i4>
      </vt:variant>
      <vt:variant>
        <vt:i4>12</vt:i4>
      </vt:variant>
      <vt:variant>
        <vt:i4>0</vt:i4>
      </vt:variant>
      <vt:variant>
        <vt:i4>5</vt:i4>
      </vt:variant>
      <vt:variant>
        <vt:lpwstr>http://www.astho.org/Programs/Preparedness/Public-Health-Emergency-Law/Public-Health-and-Information-Sharing-Toolkit/Legal-Authorities-Fact-Sheet/</vt:lpwstr>
      </vt:variant>
      <vt:variant>
        <vt:lpwstr/>
      </vt:variant>
      <vt:variant>
        <vt:i4>4522049</vt:i4>
      </vt:variant>
      <vt:variant>
        <vt:i4>9</vt:i4>
      </vt:variant>
      <vt:variant>
        <vt:i4>0</vt:i4>
      </vt:variant>
      <vt:variant>
        <vt:i4>5</vt:i4>
      </vt:variant>
      <vt:variant>
        <vt:lpwstr>http://www.astho.org/Programs/Preparedness/Public-Health-Emergency-Law/Public-Health-and-Information-Sharing-Toolkit/Americans-With-Disabilities-Act-Fact-Sheet/</vt:lpwstr>
      </vt:variant>
      <vt:variant>
        <vt:lpwstr/>
      </vt:variant>
      <vt:variant>
        <vt:i4>2293872</vt:i4>
      </vt:variant>
      <vt:variant>
        <vt:i4>6</vt:i4>
      </vt:variant>
      <vt:variant>
        <vt:i4>0</vt:i4>
      </vt:variant>
      <vt:variant>
        <vt:i4>5</vt:i4>
      </vt:variant>
      <vt:variant>
        <vt:lpwstr>http://www.astho.org/Programs/Preparedness/Public-Health-Emergency-Law/Public-Health-and-Information-Sharing-Toolkit/Key-Issues-and-Concepts-Overview/</vt:lpwstr>
      </vt:variant>
      <vt:variant>
        <vt:lpwstr/>
      </vt:variant>
      <vt:variant>
        <vt:i4>5832725</vt:i4>
      </vt:variant>
      <vt:variant>
        <vt:i4>3</vt:i4>
      </vt:variant>
      <vt:variant>
        <vt:i4>0</vt:i4>
      </vt:variant>
      <vt:variant>
        <vt:i4>5</vt:i4>
      </vt:variant>
      <vt:variant>
        <vt:lpwstr>http://www.astho.org/Programs/Preparedness/Public-Health-Emergency-Law/Public-Health-and-Information-Sharing-Toolkit/Public-Health-and-Employee-Information-Overview/</vt:lpwstr>
      </vt:variant>
      <vt:variant>
        <vt:lpwstr/>
      </vt:variant>
      <vt:variant>
        <vt:i4>7602227</vt:i4>
      </vt:variant>
      <vt:variant>
        <vt:i4>0</vt:i4>
      </vt:variant>
      <vt:variant>
        <vt:i4>0</vt:i4>
      </vt:variant>
      <vt:variant>
        <vt:i4>5</vt:i4>
      </vt:variant>
      <vt:variant>
        <vt:lpwstr>http://www.astho.org/Programs/Preparedness/Public-Health-Emergency-Law/Public-Health-Emergency-Law/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28</cp:revision>
  <dcterms:created xsi:type="dcterms:W3CDTF">2019-05-06T22:15:00Z</dcterms:created>
  <dcterms:modified xsi:type="dcterms:W3CDTF">2019-05-06T23:03:00Z</dcterms:modified>
</cp:coreProperties>
</file>