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77102" w14:textId="77777777" w:rsidR="00AE0BC2" w:rsidRPr="00271C32" w:rsidRDefault="00AE0BC2" w:rsidP="00950A15">
      <w:pPr>
        <w:spacing w:line="360" w:lineRule="auto"/>
        <w:rPr>
          <w:rFonts w:eastAsia="Times New Roman" w:cstheme="minorHAnsi"/>
          <w:b/>
          <w:bCs/>
          <w:color w:val="3C3030"/>
          <w:sz w:val="24"/>
          <w:szCs w:val="24"/>
        </w:rPr>
      </w:pPr>
      <w:r w:rsidRPr="00271C32">
        <w:rPr>
          <w:rFonts w:eastAsia="Times New Roman" w:cstheme="minorHAnsi"/>
          <w:b/>
          <w:bCs/>
          <w:color w:val="3C3030"/>
          <w:sz w:val="24"/>
          <w:szCs w:val="24"/>
        </w:rPr>
        <w:t>ASTHO Legal Preparedness Series and EAI Toolkit Overview</w:t>
      </w:r>
    </w:p>
    <w:p w14:paraId="29F72EEC" w14:textId="77777777" w:rsidR="00AE0BC2" w:rsidRPr="00271C32" w:rsidRDefault="00AE0BC2" w:rsidP="00950A15">
      <w:pPr>
        <w:spacing w:line="360" w:lineRule="auto"/>
        <w:textAlignment w:val="baseline"/>
        <w:rPr>
          <w:rFonts w:eastAsia="Times New Roman" w:cstheme="minorHAnsi"/>
          <w:szCs w:val="20"/>
        </w:rPr>
      </w:pPr>
      <w:r w:rsidRPr="00271C32">
        <w:rPr>
          <w:rFonts w:eastAsia="Times New Roman" w:cstheme="minorHAnsi"/>
          <w:szCs w:val="20"/>
        </w:rPr>
        <w:t>The </w:t>
      </w:r>
      <w:r w:rsidRPr="00271C32">
        <w:rPr>
          <w:rFonts w:eastAsia="Times New Roman" w:cstheme="minorHAnsi"/>
          <w:i/>
          <w:iCs/>
          <w:szCs w:val="20"/>
          <w:bdr w:val="none" w:sz="0" w:space="0" w:color="auto" w:frame="1"/>
        </w:rPr>
        <w:t>Emergency Authority &amp; Immunity (EAI) Toolkit </w:t>
      </w:r>
      <w:r w:rsidRPr="00271C32">
        <w:rPr>
          <w:rFonts w:eastAsia="Times New Roman" w:cstheme="minorHAnsi"/>
          <w:szCs w:val="20"/>
        </w:rPr>
        <w:t>addresses key concepts regarding federal and state emergency declarations and the various response authorities and liability protections these declarations can initiate. The toolkit component documents are designed to be used as a resource to assist in education, training, and planning activities to prepare for emergencies, as well as to serve as a quick reference resource during an emergency response to an event. The </w:t>
      </w:r>
      <w:r w:rsidRPr="00271C32">
        <w:rPr>
          <w:rFonts w:eastAsia="Times New Roman" w:cstheme="minorHAnsi"/>
          <w:i/>
          <w:iCs/>
          <w:szCs w:val="20"/>
          <w:bdr w:val="none" w:sz="0" w:space="0" w:color="auto" w:frame="1"/>
        </w:rPr>
        <w:t>EAI Toolkit </w:t>
      </w:r>
      <w:r w:rsidRPr="00271C32">
        <w:rPr>
          <w:rFonts w:eastAsia="Times New Roman" w:cstheme="minorHAnsi"/>
          <w:szCs w:val="20"/>
        </w:rPr>
        <w:t>is one of six toolkits in ASTHO’s Legal Preparedness Toolkit Series. Please see the Introduction document for additional background on the project and the other toolkits. </w:t>
      </w:r>
    </w:p>
    <w:p w14:paraId="277A1829" w14:textId="77777777" w:rsidR="00271C32" w:rsidRPr="00271C32" w:rsidRDefault="00271C32" w:rsidP="00950A15">
      <w:pPr>
        <w:spacing w:line="360" w:lineRule="auto"/>
        <w:rPr>
          <w:rFonts w:eastAsia="Times New Roman" w:cstheme="minorHAnsi"/>
          <w:b/>
          <w:bCs/>
          <w:sz w:val="28"/>
          <w:szCs w:val="24"/>
        </w:rPr>
      </w:pPr>
    </w:p>
    <w:p w14:paraId="0ACFDB5F" w14:textId="7776E69D" w:rsidR="00AE0BC2" w:rsidRPr="00271C32" w:rsidRDefault="00AE0BC2" w:rsidP="00950A15">
      <w:pPr>
        <w:spacing w:line="360" w:lineRule="auto"/>
        <w:rPr>
          <w:rFonts w:eastAsia="Times New Roman" w:cstheme="minorHAnsi"/>
          <w:b/>
          <w:bCs/>
          <w:color w:val="3C3030"/>
          <w:sz w:val="24"/>
          <w:szCs w:val="24"/>
        </w:rPr>
      </w:pPr>
      <w:r w:rsidRPr="00271C32">
        <w:rPr>
          <w:rFonts w:eastAsia="Times New Roman" w:cstheme="minorHAnsi"/>
          <w:b/>
          <w:bCs/>
          <w:color w:val="3C3030"/>
          <w:sz w:val="24"/>
          <w:szCs w:val="24"/>
        </w:rPr>
        <w:t>Intended Audiences</w:t>
      </w:r>
    </w:p>
    <w:p w14:paraId="631F7180" w14:textId="77777777" w:rsidR="00AE0BC2" w:rsidRPr="00271C32" w:rsidRDefault="00AE0BC2" w:rsidP="00950A15">
      <w:pPr>
        <w:spacing w:line="360" w:lineRule="auto"/>
        <w:textAlignment w:val="baseline"/>
        <w:rPr>
          <w:rFonts w:eastAsia="Times New Roman" w:cstheme="minorHAnsi"/>
          <w:szCs w:val="20"/>
        </w:rPr>
      </w:pPr>
      <w:r w:rsidRPr="00271C32">
        <w:rPr>
          <w:rFonts w:eastAsia="Times New Roman" w:cstheme="minorHAnsi"/>
          <w:i/>
          <w:iCs/>
          <w:szCs w:val="20"/>
          <w:bdr w:val="none" w:sz="0" w:space="0" w:color="auto" w:frame="1"/>
        </w:rPr>
        <w:t>These documents are specifically designed to address the different needs of discrete audiences within a state health agency:</w:t>
      </w:r>
    </w:p>
    <w:p w14:paraId="485218DC" w14:textId="77777777" w:rsidR="00AE0BC2" w:rsidRPr="00271C32" w:rsidRDefault="00AE0BC2" w:rsidP="00224AC9">
      <w:pPr>
        <w:pStyle w:val="ListParagraph"/>
        <w:numPr>
          <w:ilvl w:val="0"/>
          <w:numId w:val="2"/>
        </w:numPr>
        <w:spacing w:after="120" w:line="360" w:lineRule="auto"/>
        <w:contextualSpacing w:val="0"/>
        <w:textAlignment w:val="baseline"/>
        <w:rPr>
          <w:rFonts w:eastAsia="Times New Roman" w:cstheme="minorHAnsi"/>
          <w:szCs w:val="20"/>
        </w:rPr>
      </w:pPr>
      <w:r w:rsidRPr="00271C32">
        <w:rPr>
          <w:rFonts w:eastAsia="Times New Roman" w:cstheme="minorHAnsi"/>
          <w:szCs w:val="20"/>
        </w:rPr>
        <w:t xml:space="preserve">State health officers, agency directors, or other senior governmental officials may find the executive overviews and fact sheets of </w:t>
      </w:r>
      <w:proofErr w:type="gramStart"/>
      <w:r w:rsidRPr="00271C32">
        <w:rPr>
          <w:rFonts w:eastAsia="Times New Roman" w:cstheme="minorHAnsi"/>
          <w:szCs w:val="20"/>
        </w:rPr>
        <w:t>particular interest</w:t>
      </w:r>
      <w:proofErr w:type="gramEnd"/>
      <w:r w:rsidRPr="00271C32">
        <w:rPr>
          <w:rFonts w:eastAsia="Times New Roman" w:cstheme="minorHAnsi"/>
          <w:szCs w:val="20"/>
        </w:rPr>
        <w:t>.</w:t>
      </w:r>
    </w:p>
    <w:p w14:paraId="10909634" w14:textId="77777777" w:rsidR="00AE0BC2" w:rsidRPr="00271C32" w:rsidRDefault="00AE0BC2" w:rsidP="00224AC9">
      <w:pPr>
        <w:pStyle w:val="ListParagraph"/>
        <w:numPr>
          <w:ilvl w:val="0"/>
          <w:numId w:val="2"/>
        </w:numPr>
        <w:spacing w:after="120" w:line="360" w:lineRule="auto"/>
        <w:contextualSpacing w:val="0"/>
        <w:textAlignment w:val="baseline"/>
        <w:rPr>
          <w:rFonts w:eastAsia="Times New Roman" w:cstheme="minorHAnsi"/>
          <w:szCs w:val="20"/>
        </w:rPr>
      </w:pPr>
      <w:r w:rsidRPr="00271C32">
        <w:rPr>
          <w:rFonts w:eastAsia="Times New Roman" w:cstheme="minorHAnsi"/>
          <w:szCs w:val="20"/>
        </w:rPr>
        <w:t xml:space="preserve">Preparedness directors and other programmatic staff will find the fact sheets, issue briefs, state analysis guides, and resource materials useful in understanding and gaining more in-depth knowledge about </w:t>
      </w:r>
      <w:proofErr w:type="gramStart"/>
      <w:r w:rsidRPr="00271C32">
        <w:rPr>
          <w:rFonts w:eastAsia="Times New Roman" w:cstheme="minorHAnsi"/>
          <w:szCs w:val="20"/>
        </w:rPr>
        <w:t>particular concepts</w:t>
      </w:r>
      <w:proofErr w:type="gramEnd"/>
      <w:r w:rsidRPr="00271C32">
        <w:rPr>
          <w:rFonts w:eastAsia="Times New Roman" w:cstheme="minorHAnsi"/>
          <w:szCs w:val="20"/>
        </w:rPr>
        <w:t xml:space="preserve"> and legal issues.</w:t>
      </w:r>
    </w:p>
    <w:p w14:paraId="15DEFA0C" w14:textId="77777777" w:rsidR="00AE0BC2" w:rsidRPr="00271C32" w:rsidRDefault="00AE0BC2" w:rsidP="00224AC9">
      <w:pPr>
        <w:pStyle w:val="ListParagraph"/>
        <w:numPr>
          <w:ilvl w:val="0"/>
          <w:numId w:val="2"/>
        </w:numPr>
        <w:spacing w:after="120" w:line="360" w:lineRule="auto"/>
        <w:contextualSpacing w:val="0"/>
        <w:textAlignment w:val="baseline"/>
        <w:rPr>
          <w:rFonts w:eastAsia="Times New Roman" w:cstheme="minorHAnsi"/>
          <w:szCs w:val="20"/>
        </w:rPr>
      </w:pPr>
      <w:r w:rsidRPr="00271C32">
        <w:rPr>
          <w:rFonts w:eastAsia="Times New Roman" w:cstheme="minorHAnsi"/>
          <w:szCs w:val="20"/>
        </w:rPr>
        <w:t xml:space="preserve">Legal counsel will find the fact sheets about </w:t>
      </w:r>
      <w:proofErr w:type="gramStart"/>
      <w:r w:rsidRPr="00271C32">
        <w:rPr>
          <w:rFonts w:eastAsia="Times New Roman" w:cstheme="minorHAnsi"/>
          <w:szCs w:val="20"/>
        </w:rPr>
        <w:t>particular federal</w:t>
      </w:r>
      <w:proofErr w:type="gramEnd"/>
      <w:r w:rsidRPr="00271C32">
        <w:rPr>
          <w:rFonts w:eastAsia="Times New Roman" w:cstheme="minorHAnsi"/>
          <w:szCs w:val="20"/>
        </w:rPr>
        <w:t xml:space="preserve"> laws and regulations, issue briefs, state analysis guides, and citations within the resource materials a good basis from which to conduct additional research and analyze their particular state’s authorities on these issues.</w:t>
      </w:r>
    </w:p>
    <w:p w14:paraId="262B57D5" w14:textId="11FDB1F1" w:rsidR="00AE0BC2" w:rsidRPr="00271C32" w:rsidRDefault="00AE0BC2" w:rsidP="00224AC9">
      <w:pPr>
        <w:pStyle w:val="ListParagraph"/>
        <w:numPr>
          <w:ilvl w:val="0"/>
          <w:numId w:val="2"/>
        </w:numPr>
        <w:spacing w:after="120" w:line="360" w:lineRule="auto"/>
        <w:contextualSpacing w:val="0"/>
        <w:textAlignment w:val="baseline"/>
        <w:rPr>
          <w:rFonts w:eastAsia="Times New Roman" w:cstheme="minorHAnsi"/>
          <w:szCs w:val="20"/>
        </w:rPr>
      </w:pPr>
      <w:r w:rsidRPr="00271C32">
        <w:rPr>
          <w:rFonts w:eastAsia="Times New Roman" w:cstheme="minorHAnsi"/>
          <w:szCs w:val="20"/>
        </w:rPr>
        <w:t>The current issue updates are a good resource for all audiences to learn the latest developments on issues related to the toolkit topic.</w:t>
      </w:r>
    </w:p>
    <w:p w14:paraId="4CA0243F" w14:textId="77777777" w:rsidR="00271C32" w:rsidRPr="00271C32" w:rsidRDefault="00271C32" w:rsidP="00950A15">
      <w:pPr>
        <w:spacing w:line="360" w:lineRule="auto"/>
        <w:textAlignment w:val="baseline"/>
        <w:rPr>
          <w:rFonts w:eastAsia="Times New Roman" w:cstheme="minorHAnsi"/>
          <w:szCs w:val="20"/>
        </w:rPr>
      </w:pPr>
    </w:p>
    <w:p w14:paraId="67D54611" w14:textId="77777777" w:rsidR="00AE0BC2" w:rsidRPr="00271C32" w:rsidRDefault="00AE0BC2" w:rsidP="00950A15">
      <w:pPr>
        <w:spacing w:line="360" w:lineRule="auto"/>
        <w:rPr>
          <w:rFonts w:eastAsia="Times New Roman" w:cstheme="minorHAnsi"/>
          <w:b/>
          <w:bCs/>
          <w:color w:val="3C3030"/>
          <w:sz w:val="24"/>
          <w:szCs w:val="24"/>
        </w:rPr>
      </w:pPr>
      <w:bookmarkStart w:id="0" w:name="TOC_top"/>
      <w:r w:rsidRPr="00271C32">
        <w:rPr>
          <w:rFonts w:eastAsia="Times New Roman" w:cstheme="minorHAnsi"/>
          <w:b/>
          <w:bCs/>
          <w:color w:val="3C3030"/>
          <w:sz w:val="24"/>
          <w:szCs w:val="24"/>
        </w:rPr>
        <w:t>EAI Toolkit Contents</w:t>
      </w:r>
    </w:p>
    <w:bookmarkEnd w:id="0"/>
    <w:p w14:paraId="45C7EDE4" w14:textId="77777777" w:rsidR="00271C32" w:rsidRPr="00271C32" w:rsidRDefault="00AE0BC2" w:rsidP="00950A15">
      <w:pPr>
        <w:spacing w:line="360" w:lineRule="auto"/>
        <w:textAlignment w:val="baseline"/>
        <w:rPr>
          <w:rFonts w:eastAsia="Times New Roman" w:cstheme="minorHAnsi"/>
          <w:b/>
          <w:bCs/>
          <w:bdr w:val="none" w:sz="0" w:space="0" w:color="auto" w:frame="1"/>
        </w:rPr>
      </w:pPr>
      <w:r w:rsidRPr="00271C32">
        <w:rPr>
          <w:rFonts w:eastAsia="Times New Roman" w:cstheme="minorHAnsi"/>
          <w:i/>
          <w:iCs/>
          <w:bdr w:val="none" w:sz="0" w:space="0" w:color="auto" w:frame="1"/>
        </w:rPr>
        <w:t>All documents are listed alphabetically within each document category</w:t>
      </w:r>
      <w:r w:rsidRPr="00271C32">
        <w:rPr>
          <w:rFonts w:eastAsia="Times New Roman" w:cstheme="minorHAnsi"/>
        </w:rPr>
        <w:br/>
      </w:r>
    </w:p>
    <w:p w14:paraId="7BEDE326" w14:textId="6CC4679D" w:rsidR="00AE0BC2" w:rsidRPr="00271C32" w:rsidRDefault="00AE0BC2" w:rsidP="00950A15">
      <w:pPr>
        <w:spacing w:after="120" w:line="360" w:lineRule="auto"/>
        <w:textAlignment w:val="baseline"/>
        <w:rPr>
          <w:rFonts w:eastAsia="Times New Roman" w:cstheme="minorHAnsi"/>
        </w:rPr>
      </w:pPr>
      <w:r w:rsidRPr="00271C32">
        <w:rPr>
          <w:rFonts w:eastAsia="Times New Roman" w:cstheme="minorHAnsi"/>
          <w:b/>
          <w:bCs/>
          <w:bdr w:val="none" w:sz="0" w:space="0" w:color="auto" w:frame="1"/>
        </w:rPr>
        <w:t>Executive Overviews</w:t>
      </w:r>
      <w:r w:rsidRPr="00271C32">
        <w:rPr>
          <w:rFonts w:eastAsia="Times New Roman" w:cstheme="minorHAnsi"/>
        </w:rPr>
        <w:br/>
      </w:r>
      <w:r w:rsidRPr="00271C32">
        <w:rPr>
          <w:rFonts w:eastAsia="Times New Roman" w:cstheme="minorHAnsi"/>
          <w:i/>
          <w:iCs/>
          <w:bdr w:val="none" w:sz="0" w:space="0" w:color="auto" w:frame="1"/>
        </w:rPr>
        <w:t>One-page snapshots of key concepts and issues</w:t>
      </w:r>
    </w:p>
    <w:p w14:paraId="70301500" w14:textId="0CED8EBA" w:rsidR="00AE0BC2" w:rsidRPr="00E54055" w:rsidRDefault="00E54055" w:rsidP="00224AC9">
      <w:pPr>
        <w:pStyle w:val="ListParagraph"/>
        <w:numPr>
          <w:ilvl w:val="0"/>
          <w:numId w:val="3"/>
        </w:numPr>
        <w:spacing w:after="120" w:line="360" w:lineRule="auto"/>
        <w:contextualSpacing w:val="0"/>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"KeyEAI_Concepts_EO" \o "Key Emergency Authority and Immunity Concepts"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AE0BC2" w:rsidRPr="00E54055">
        <w:rPr>
          <w:rStyle w:val="Hyperlink"/>
          <w:rFonts w:eastAsia="Times New Roman" w:cstheme="minorHAnsi"/>
          <w:bdr w:val="none" w:sz="0" w:space="0" w:color="auto" w:frame="1"/>
        </w:rPr>
        <w:t xml:space="preserve">Key Emergency Authority </w:t>
      </w:r>
      <w:r w:rsidR="00AE0BC2" w:rsidRPr="00E54055">
        <w:rPr>
          <w:rStyle w:val="Hyperlink"/>
          <w:rFonts w:eastAsia="Times New Roman" w:cstheme="minorHAnsi"/>
          <w:bdr w:val="none" w:sz="0" w:space="0" w:color="auto" w:frame="1"/>
        </w:rPr>
        <w:t>a</w:t>
      </w:r>
      <w:r w:rsidR="00AE0BC2" w:rsidRPr="00E54055">
        <w:rPr>
          <w:rStyle w:val="Hyperlink"/>
          <w:rFonts w:eastAsia="Times New Roman" w:cstheme="minorHAnsi"/>
          <w:bdr w:val="none" w:sz="0" w:space="0" w:color="auto" w:frame="1"/>
        </w:rPr>
        <w:t>nd Immunity Concepts</w:t>
      </w:r>
    </w:p>
    <w:p w14:paraId="7FA285ED" w14:textId="31ACE349" w:rsidR="00AE0BC2" w:rsidRPr="00E54055" w:rsidRDefault="00E54055" w:rsidP="00224AC9">
      <w:pPr>
        <w:pStyle w:val="ListParagraph"/>
        <w:numPr>
          <w:ilvl w:val="0"/>
          <w:numId w:val="3"/>
        </w:numPr>
        <w:spacing w:after="120" w:line="360" w:lineRule="auto"/>
        <w:contextualSpacing w:val="0"/>
        <w:textAlignment w:val="baseline"/>
        <w:rPr>
          <w:rStyle w:val="Hyperlink"/>
          <w:rFonts w:eastAsia="Times New Roman" w:cstheme="minorHAnsi"/>
        </w:rPr>
      </w:pPr>
      <w:r>
        <w:rPr>
          <w:rFonts w:eastAsia="Times New Roman" w:cstheme="minorHAnsi"/>
          <w:color w:val="0F88B8"/>
          <w:u w:val="single"/>
          <w:bdr w:val="none" w:sz="0" w:space="0" w:color="auto" w:frame="1"/>
        </w:rPr>
        <w:lastRenderedPageBreak/>
        <w:fldChar w:fldCharType="end"/>
      </w: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"KeyFedLawPols_EO" \o "Key Federal Laws and Policies Regarding Emergency Authority and Immunity"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AE0BC2" w:rsidRPr="00E54055">
        <w:rPr>
          <w:rStyle w:val="Hyperlink"/>
          <w:rFonts w:eastAsia="Times New Roman" w:cstheme="minorHAnsi"/>
          <w:bdr w:val="none" w:sz="0" w:space="0" w:color="auto" w:frame="1"/>
        </w:rPr>
        <w:t>Key Federal Laws and Policies Regarding Emergency</w:t>
      </w:r>
      <w:r w:rsidR="00AE0BC2" w:rsidRPr="00E54055">
        <w:rPr>
          <w:rStyle w:val="Hyperlink"/>
          <w:rFonts w:eastAsia="Times New Roman" w:cstheme="minorHAnsi"/>
          <w:bdr w:val="none" w:sz="0" w:space="0" w:color="auto" w:frame="1"/>
        </w:rPr>
        <w:t xml:space="preserve"> </w:t>
      </w:r>
      <w:r w:rsidR="00AE0BC2" w:rsidRPr="00E54055">
        <w:rPr>
          <w:rStyle w:val="Hyperlink"/>
          <w:rFonts w:eastAsia="Times New Roman" w:cstheme="minorHAnsi"/>
          <w:bdr w:val="none" w:sz="0" w:space="0" w:color="auto" w:frame="1"/>
        </w:rPr>
        <w:t>Authority and Immunity</w:t>
      </w:r>
    </w:p>
    <w:p w14:paraId="2E3AA9FB" w14:textId="1E436B80" w:rsidR="00271C32" w:rsidRPr="00271C32" w:rsidRDefault="00E54055" w:rsidP="00950A15">
      <w:pPr>
        <w:spacing w:line="360" w:lineRule="auto"/>
        <w:textAlignment w:val="baseline"/>
        <w:rPr>
          <w:rFonts w:eastAsia="Times New Roman" w:cstheme="minorHAnsi"/>
          <w:b/>
          <w:bCs/>
          <w:bdr w:val="none" w:sz="0" w:space="0" w:color="auto" w:frame="1"/>
        </w:rPr>
      </w:pPr>
      <w:r>
        <w:rPr>
          <w:rFonts w:eastAsia="Times New Roman" w:cstheme="minorHAnsi"/>
          <w:color w:val="0F88B8"/>
          <w:u w:val="single"/>
          <w:bdr w:val="none" w:sz="0" w:space="0" w:color="auto" w:frame="1"/>
        </w:rPr>
        <w:fldChar w:fldCharType="end"/>
      </w:r>
    </w:p>
    <w:p w14:paraId="18F8C8B7" w14:textId="69657F10" w:rsidR="00AE0BC2" w:rsidRPr="00271C32" w:rsidRDefault="00AE0BC2" w:rsidP="00950A15">
      <w:pPr>
        <w:spacing w:after="120" w:line="360" w:lineRule="auto"/>
        <w:textAlignment w:val="baseline"/>
        <w:rPr>
          <w:rFonts w:eastAsia="Times New Roman" w:cstheme="minorHAnsi"/>
          <w:i/>
          <w:iCs/>
          <w:bdr w:val="none" w:sz="0" w:space="0" w:color="auto" w:frame="1"/>
        </w:rPr>
      </w:pPr>
      <w:r w:rsidRPr="00271C32">
        <w:rPr>
          <w:rFonts w:eastAsia="Times New Roman" w:cstheme="minorHAnsi"/>
          <w:b/>
          <w:bCs/>
          <w:bdr w:val="none" w:sz="0" w:space="0" w:color="auto" w:frame="1"/>
        </w:rPr>
        <w:t>Fact Sheets</w:t>
      </w:r>
      <w:r w:rsidRPr="00271C32">
        <w:rPr>
          <w:rFonts w:eastAsia="Times New Roman" w:cstheme="minorHAnsi"/>
        </w:rPr>
        <w:br/>
      </w:r>
      <w:r w:rsidRPr="00271C32">
        <w:rPr>
          <w:rFonts w:eastAsia="Times New Roman" w:cstheme="minorHAnsi"/>
          <w:i/>
          <w:iCs/>
          <w:bdr w:val="none" w:sz="0" w:space="0" w:color="auto" w:frame="1"/>
        </w:rPr>
        <w:t>One-page documents addressing fundamental issues or legal authorities</w:t>
      </w:r>
    </w:p>
    <w:p w14:paraId="1B38D273" w14:textId="6D612141" w:rsidR="00AE0BC2" w:rsidRPr="001A015B" w:rsidRDefault="001A015B" w:rsidP="00224AC9">
      <w:pPr>
        <w:pStyle w:val="ListParagraph"/>
        <w:numPr>
          <w:ilvl w:val="0"/>
          <w:numId w:val="4"/>
        </w:numPr>
        <w:spacing w:after="120" w:line="360" w:lineRule="auto"/>
        <w:contextualSpacing w:val="0"/>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"EmergDecsAuth_FS" \o "Emergency Declarations and Authorities"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AE0BC2" w:rsidRPr="001A015B">
        <w:rPr>
          <w:rStyle w:val="Hyperlink"/>
          <w:rFonts w:eastAsia="Times New Roman" w:cstheme="minorHAnsi"/>
          <w:bdr w:val="none" w:sz="0" w:space="0" w:color="auto" w:frame="1"/>
        </w:rPr>
        <w:t>Emergency Declarations and Auth</w:t>
      </w:r>
      <w:r w:rsidR="00AE0BC2" w:rsidRPr="001A015B">
        <w:rPr>
          <w:rStyle w:val="Hyperlink"/>
          <w:rFonts w:eastAsia="Times New Roman" w:cstheme="minorHAnsi"/>
          <w:bdr w:val="none" w:sz="0" w:space="0" w:color="auto" w:frame="1"/>
        </w:rPr>
        <w:t>o</w:t>
      </w:r>
      <w:r w:rsidR="00AE0BC2" w:rsidRPr="001A015B">
        <w:rPr>
          <w:rStyle w:val="Hyperlink"/>
          <w:rFonts w:eastAsia="Times New Roman" w:cstheme="minorHAnsi"/>
          <w:bdr w:val="none" w:sz="0" w:space="0" w:color="auto" w:frame="1"/>
        </w:rPr>
        <w:t>rities</w:t>
      </w:r>
    </w:p>
    <w:p w14:paraId="6DEE4191" w14:textId="6F87835F" w:rsidR="00AE0BC2" w:rsidRPr="001A015B" w:rsidRDefault="001A015B" w:rsidP="00224AC9">
      <w:pPr>
        <w:pStyle w:val="ListParagraph"/>
        <w:numPr>
          <w:ilvl w:val="0"/>
          <w:numId w:val="4"/>
        </w:numPr>
        <w:spacing w:after="120" w:line="360" w:lineRule="auto"/>
        <w:contextualSpacing w:val="0"/>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"EMAC_FS" \o "Emergency Management Assistance Compact"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AE0BC2" w:rsidRPr="001A015B">
        <w:rPr>
          <w:rStyle w:val="Hyperlink"/>
          <w:rFonts w:eastAsia="Times New Roman" w:cstheme="minorHAnsi"/>
          <w:bdr w:val="none" w:sz="0" w:space="0" w:color="auto" w:frame="1"/>
        </w:rPr>
        <w:t>Emergency Management Assistance Co</w:t>
      </w:r>
      <w:r w:rsidR="00AE0BC2" w:rsidRPr="001A015B">
        <w:rPr>
          <w:rStyle w:val="Hyperlink"/>
          <w:rFonts w:eastAsia="Times New Roman" w:cstheme="minorHAnsi"/>
          <w:bdr w:val="none" w:sz="0" w:space="0" w:color="auto" w:frame="1"/>
        </w:rPr>
        <w:t>m</w:t>
      </w:r>
      <w:r w:rsidR="00AE0BC2" w:rsidRPr="001A015B">
        <w:rPr>
          <w:rStyle w:val="Hyperlink"/>
          <w:rFonts w:eastAsia="Times New Roman" w:cstheme="minorHAnsi"/>
          <w:bdr w:val="none" w:sz="0" w:space="0" w:color="auto" w:frame="1"/>
        </w:rPr>
        <w:t>pact</w:t>
      </w:r>
    </w:p>
    <w:p w14:paraId="685655EE" w14:textId="7CB2DEE8" w:rsidR="00AE0BC2" w:rsidRPr="002C5540" w:rsidRDefault="001A015B" w:rsidP="00224AC9">
      <w:pPr>
        <w:pStyle w:val="ListParagraph"/>
        <w:numPr>
          <w:ilvl w:val="0"/>
          <w:numId w:val="4"/>
        </w:numPr>
        <w:spacing w:after="120" w:line="360" w:lineRule="auto"/>
        <w:contextualSpacing w:val="0"/>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sidR="002C5540">
        <w:rPr>
          <w:rFonts w:eastAsia="Times New Roman" w:cstheme="minorHAnsi"/>
          <w:color w:val="0F88B8"/>
          <w:u w:val="single"/>
          <w:bdr w:val="none" w:sz="0" w:space="0" w:color="auto" w:frame="1"/>
        </w:rPr>
        <w:fldChar w:fldCharType="begin"/>
      </w:r>
      <w:r w:rsidR="002C5540">
        <w:rPr>
          <w:rFonts w:eastAsia="Times New Roman" w:cstheme="minorHAnsi"/>
          <w:color w:val="0F88B8"/>
          <w:u w:val="single"/>
          <w:bdr w:val="none" w:sz="0" w:space="0" w:color="auto" w:frame="1"/>
        </w:rPr>
        <w:instrText xml:space="preserve"> HYPERLINK  \l "FedEmergPrepDirs_FS" \o "Federal Emergency Preparedness Directives and Systems" </w:instrText>
      </w:r>
      <w:r w:rsidR="002C5540">
        <w:rPr>
          <w:rFonts w:eastAsia="Times New Roman" w:cstheme="minorHAnsi"/>
          <w:color w:val="0F88B8"/>
          <w:u w:val="single"/>
          <w:bdr w:val="none" w:sz="0" w:space="0" w:color="auto" w:frame="1"/>
        </w:rPr>
      </w:r>
      <w:r w:rsidR="002C5540">
        <w:rPr>
          <w:rFonts w:eastAsia="Times New Roman" w:cstheme="minorHAnsi"/>
          <w:color w:val="0F88B8"/>
          <w:u w:val="single"/>
          <w:bdr w:val="none" w:sz="0" w:space="0" w:color="auto" w:frame="1"/>
        </w:rPr>
        <w:fldChar w:fldCharType="separate"/>
      </w:r>
      <w:r w:rsidR="00AE0BC2" w:rsidRPr="002C5540">
        <w:rPr>
          <w:rStyle w:val="Hyperlink"/>
          <w:rFonts w:eastAsia="Times New Roman" w:cstheme="minorHAnsi"/>
          <w:bdr w:val="none" w:sz="0" w:space="0" w:color="auto" w:frame="1"/>
        </w:rPr>
        <w:t>Federal Emergency Preparedness Directiv</w:t>
      </w:r>
      <w:r w:rsidR="00AE0BC2" w:rsidRPr="002C5540">
        <w:rPr>
          <w:rStyle w:val="Hyperlink"/>
          <w:rFonts w:eastAsia="Times New Roman" w:cstheme="minorHAnsi"/>
          <w:bdr w:val="none" w:sz="0" w:space="0" w:color="auto" w:frame="1"/>
        </w:rPr>
        <w:t>e</w:t>
      </w:r>
      <w:r w:rsidR="00AE0BC2" w:rsidRPr="002C5540">
        <w:rPr>
          <w:rStyle w:val="Hyperlink"/>
          <w:rFonts w:eastAsia="Times New Roman" w:cstheme="minorHAnsi"/>
          <w:bdr w:val="none" w:sz="0" w:space="0" w:color="auto" w:frame="1"/>
        </w:rPr>
        <w:t>s and Systems</w:t>
      </w:r>
    </w:p>
    <w:p w14:paraId="532B67D9" w14:textId="68C81D23" w:rsidR="00AE0BC2" w:rsidRPr="002C5540" w:rsidRDefault="002C5540" w:rsidP="00224AC9">
      <w:pPr>
        <w:pStyle w:val="ListParagraph"/>
        <w:numPr>
          <w:ilvl w:val="0"/>
          <w:numId w:val="4"/>
        </w:numPr>
        <w:spacing w:after="120" w:line="360" w:lineRule="auto"/>
        <w:contextualSpacing w:val="0"/>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"ImmunityIssues_FS" \o "Immunity Issues in Emergencies"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AE0BC2" w:rsidRPr="002C5540">
        <w:rPr>
          <w:rStyle w:val="Hyperlink"/>
          <w:rFonts w:eastAsia="Times New Roman" w:cstheme="minorHAnsi"/>
          <w:bdr w:val="none" w:sz="0" w:space="0" w:color="auto" w:frame="1"/>
        </w:rPr>
        <w:t>Immunity Issues in Emergen</w:t>
      </w:r>
      <w:r w:rsidR="00AE0BC2" w:rsidRPr="002C5540">
        <w:rPr>
          <w:rStyle w:val="Hyperlink"/>
          <w:rFonts w:eastAsia="Times New Roman" w:cstheme="minorHAnsi"/>
          <w:bdr w:val="none" w:sz="0" w:space="0" w:color="auto" w:frame="1"/>
        </w:rPr>
        <w:t>c</w:t>
      </w:r>
      <w:r w:rsidR="00AE0BC2" w:rsidRPr="002C5540">
        <w:rPr>
          <w:rStyle w:val="Hyperlink"/>
          <w:rFonts w:eastAsia="Times New Roman" w:cstheme="minorHAnsi"/>
          <w:bdr w:val="none" w:sz="0" w:space="0" w:color="auto" w:frame="1"/>
        </w:rPr>
        <w:t>ies</w:t>
      </w:r>
    </w:p>
    <w:p w14:paraId="433BC83F" w14:textId="3AF7FD25" w:rsidR="00AE0BC2" w:rsidRPr="002C5540" w:rsidRDefault="002C5540" w:rsidP="00224AC9">
      <w:pPr>
        <w:pStyle w:val="ListParagraph"/>
        <w:numPr>
          <w:ilvl w:val="0"/>
          <w:numId w:val="4"/>
        </w:numPr>
        <w:spacing w:after="120" w:line="360" w:lineRule="auto"/>
        <w:contextualSpacing w:val="0"/>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"LiabilIssues_FS" \o "Liability Issues and Emergencies"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AE0BC2" w:rsidRPr="002C5540">
        <w:rPr>
          <w:rStyle w:val="Hyperlink"/>
          <w:rFonts w:eastAsia="Times New Roman" w:cstheme="minorHAnsi"/>
          <w:bdr w:val="none" w:sz="0" w:space="0" w:color="auto" w:frame="1"/>
        </w:rPr>
        <w:t>Liability Issues and Emerge</w:t>
      </w:r>
      <w:r w:rsidR="00AE0BC2" w:rsidRPr="002C5540">
        <w:rPr>
          <w:rStyle w:val="Hyperlink"/>
          <w:rFonts w:eastAsia="Times New Roman" w:cstheme="minorHAnsi"/>
          <w:bdr w:val="none" w:sz="0" w:space="0" w:color="auto" w:frame="1"/>
        </w:rPr>
        <w:t>n</w:t>
      </w:r>
      <w:r w:rsidR="00AE0BC2" w:rsidRPr="002C5540">
        <w:rPr>
          <w:rStyle w:val="Hyperlink"/>
          <w:rFonts w:eastAsia="Times New Roman" w:cstheme="minorHAnsi"/>
          <w:bdr w:val="none" w:sz="0" w:space="0" w:color="auto" w:frame="1"/>
        </w:rPr>
        <w:t>cies</w:t>
      </w:r>
    </w:p>
    <w:p w14:paraId="677DFF9C" w14:textId="0E12E971" w:rsidR="00AE0BC2" w:rsidRPr="002C5540" w:rsidRDefault="002C5540" w:rsidP="00224AC9">
      <w:pPr>
        <w:pStyle w:val="ListParagraph"/>
        <w:numPr>
          <w:ilvl w:val="0"/>
          <w:numId w:val="4"/>
        </w:numPr>
        <w:spacing w:after="120" w:line="360" w:lineRule="auto"/>
        <w:contextualSpacing w:val="0"/>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"MutualAid_FS" \o "Mutual Aid and Assistance Agreements"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AE0BC2" w:rsidRPr="002C5540">
        <w:rPr>
          <w:rStyle w:val="Hyperlink"/>
          <w:rFonts w:eastAsia="Times New Roman" w:cstheme="minorHAnsi"/>
          <w:bdr w:val="none" w:sz="0" w:space="0" w:color="auto" w:frame="1"/>
        </w:rPr>
        <w:t>Mutual Aid and Assistance Agre</w:t>
      </w:r>
      <w:r w:rsidR="00AE0BC2" w:rsidRPr="002C5540">
        <w:rPr>
          <w:rStyle w:val="Hyperlink"/>
          <w:rFonts w:eastAsia="Times New Roman" w:cstheme="minorHAnsi"/>
          <w:bdr w:val="none" w:sz="0" w:space="0" w:color="auto" w:frame="1"/>
        </w:rPr>
        <w:t>e</w:t>
      </w:r>
      <w:r w:rsidR="00AE0BC2" w:rsidRPr="002C5540">
        <w:rPr>
          <w:rStyle w:val="Hyperlink"/>
          <w:rFonts w:eastAsia="Times New Roman" w:cstheme="minorHAnsi"/>
          <w:bdr w:val="none" w:sz="0" w:space="0" w:color="auto" w:frame="1"/>
        </w:rPr>
        <w:t>ments</w:t>
      </w:r>
    </w:p>
    <w:p w14:paraId="67C404FF" w14:textId="693541CD" w:rsidR="00AE0BC2" w:rsidRPr="002C5540" w:rsidRDefault="002C5540" w:rsidP="00224AC9">
      <w:pPr>
        <w:pStyle w:val="ListParagraph"/>
        <w:numPr>
          <w:ilvl w:val="0"/>
          <w:numId w:val="4"/>
        </w:numPr>
        <w:spacing w:after="120" w:line="360" w:lineRule="auto"/>
        <w:contextualSpacing w:val="0"/>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"NatlEmergAct_FS" \o "National Emergencies Act, Sections 201 and 301"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AE0BC2" w:rsidRPr="002C5540">
        <w:rPr>
          <w:rStyle w:val="Hyperlink"/>
          <w:rFonts w:eastAsia="Times New Roman" w:cstheme="minorHAnsi"/>
          <w:bdr w:val="none" w:sz="0" w:space="0" w:color="auto" w:frame="1"/>
        </w:rPr>
        <w:t>National Emergencies Act, Sections 201 a</w:t>
      </w:r>
      <w:r w:rsidR="00AE0BC2" w:rsidRPr="002C5540">
        <w:rPr>
          <w:rStyle w:val="Hyperlink"/>
          <w:rFonts w:eastAsia="Times New Roman" w:cstheme="minorHAnsi"/>
          <w:bdr w:val="none" w:sz="0" w:space="0" w:color="auto" w:frame="1"/>
        </w:rPr>
        <w:t>n</w:t>
      </w:r>
      <w:r w:rsidR="00AE0BC2" w:rsidRPr="002C5540">
        <w:rPr>
          <w:rStyle w:val="Hyperlink"/>
          <w:rFonts w:eastAsia="Times New Roman" w:cstheme="minorHAnsi"/>
          <w:bdr w:val="none" w:sz="0" w:space="0" w:color="auto" w:frame="1"/>
        </w:rPr>
        <w:t>d 301</w:t>
      </w:r>
    </w:p>
    <w:p w14:paraId="6600981B" w14:textId="1F005276" w:rsidR="00AE0BC2" w:rsidRPr="00A11253" w:rsidRDefault="002C5540" w:rsidP="00224AC9">
      <w:pPr>
        <w:pStyle w:val="ListParagraph"/>
        <w:numPr>
          <w:ilvl w:val="0"/>
          <w:numId w:val="4"/>
        </w:numPr>
        <w:spacing w:after="120" w:line="360" w:lineRule="auto"/>
        <w:contextualSpacing w:val="0"/>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sidR="00A11253">
        <w:rPr>
          <w:rFonts w:eastAsia="Times New Roman" w:cstheme="minorHAnsi"/>
          <w:color w:val="0F88B8"/>
          <w:u w:val="single"/>
          <w:bdr w:val="none" w:sz="0" w:space="0" w:color="auto" w:frame="1"/>
        </w:rPr>
        <w:fldChar w:fldCharType="begin"/>
      </w:r>
      <w:r w:rsidR="00A11253">
        <w:rPr>
          <w:rFonts w:eastAsia="Times New Roman" w:cstheme="minorHAnsi"/>
          <w:color w:val="0F88B8"/>
          <w:u w:val="single"/>
          <w:bdr w:val="none" w:sz="0" w:space="0" w:color="auto" w:frame="1"/>
        </w:rPr>
        <w:instrText xml:space="preserve"> HYPERLINK  \l "PAHPA_FS" \o "Pandemic and All Hazards Preparedness Act" </w:instrText>
      </w:r>
      <w:r w:rsidR="00A11253">
        <w:rPr>
          <w:rFonts w:eastAsia="Times New Roman" w:cstheme="minorHAnsi"/>
          <w:color w:val="0F88B8"/>
          <w:u w:val="single"/>
          <w:bdr w:val="none" w:sz="0" w:space="0" w:color="auto" w:frame="1"/>
        </w:rPr>
      </w:r>
      <w:r w:rsidR="00A11253">
        <w:rPr>
          <w:rFonts w:eastAsia="Times New Roman" w:cstheme="minorHAnsi"/>
          <w:color w:val="0F88B8"/>
          <w:u w:val="single"/>
          <w:bdr w:val="none" w:sz="0" w:space="0" w:color="auto" w:frame="1"/>
        </w:rPr>
        <w:fldChar w:fldCharType="separate"/>
      </w:r>
      <w:r w:rsidR="00AE0BC2" w:rsidRPr="00A11253">
        <w:rPr>
          <w:rStyle w:val="Hyperlink"/>
          <w:rFonts w:eastAsia="Times New Roman" w:cstheme="minorHAnsi"/>
          <w:bdr w:val="none" w:sz="0" w:space="0" w:color="auto" w:frame="1"/>
        </w:rPr>
        <w:t>Pandemic and All Hazards Preparedness Act</w:t>
      </w:r>
    </w:p>
    <w:p w14:paraId="3FD82C1C" w14:textId="3A738686" w:rsidR="00AE0BC2" w:rsidRPr="00D0478B" w:rsidRDefault="00A11253" w:rsidP="00224AC9">
      <w:pPr>
        <w:pStyle w:val="ListParagraph"/>
        <w:numPr>
          <w:ilvl w:val="0"/>
          <w:numId w:val="4"/>
        </w:numPr>
        <w:spacing w:after="120" w:line="360" w:lineRule="auto"/>
        <w:contextualSpacing w:val="0"/>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sidR="00D0478B">
        <w:rPr>
          <w:rFonts w:eastAsia="Times New Roman" w:cstheme="minorHAnsi"/>
          <w:color w:val="0F88B8"/>
          <w:u w:val="single"/>
          <w:bdr w:val="none" w:sz="0" w:space="0" w:color="auto" w:frame="1"/>
        </w:rPr>
        <w:fldChar w:fldCharType="begin"/>
      </w:r>
      <w:r w:rsidR="00D0478B">
        <w:rPr>
          <w:rFonts w:eastAsia="Times New Roman" w:cstheme="minorHAnsi"/>
          <w:color w:val="0F88B8"/>
          <w:u w:val="single"/>
          <w:bdr w:val="none" w:sz="0" w:space="0" w:color="auto" w:frame="1"/>
        </w:rPr>
        <w:instrText xml:space="preserve"> HYPERLINK  \l "PHSAct319_FS" \o "Public Health Service Act, Section 319: Public Health Emergencies" </w:instrText>
      </w:r>
      <w:r w:rsidR="00D0478B">
        <w:rPr>
          <w:rFonts w:eastAsia="Times New Roman" w:cstheme="minorHAnsi"/>
          <w:color w:val="0F88B8"/>
          <w:u w:val="single"/>
          <w:bdr w:val="none" w:sz="0" w:space="0" w:color="auto" w:frame="1"/>
        </w:rPr>
      </w:r>
      <w:r w:rsidR="00D0478B">
        <w:rPr>
          <w:rFonts w:eastAsia="Times New Roman" w:cstheme="minorHAnsi"/>
          <w:color w:val="0F88B8"/>
          <w:u w:val="single"/>
          <w:bdr w:val="none" w:sz="0" w:space="0" w:color="auto" w:frame="1"/>
        </w:rPr>
        <w:fldChar w:fldCharType="separate"/>
      </w:r>
      <w:r w:rsidR="00AE0BC2" w:rsidRPr="00D0478B">
        <w:rPr>
          <w:rStyle w:val="Hyperlink"/>
          <w:rFonts w:eastAsia="Times New Roman" w:cstheme="minorHAnsi"/>
          <w:bdr w:val="none" w:sz="0" w:space="0" w:color="auto" w:frame="1"/>
        </w:rPr>
        <w:t>Public Health Service Act, Section 319: Public H</w:t>
      </w:r>
      <w:r w:rsidR="00AE0BC2" w:rsidRPr="00D0478B">
        <w:rPr>
          <w:rStyle w:val="Hyperlink"/>
          <w:rFonts w:eastAsia="Times New Roman" w:cstheme="minorHAnsi"/>
          <w:bdr w:val="none" w:sz="0" w:space="0" w:color="auto" w:frame="1"/>
        </w:rPr>
        <w:t>e</w:t>
      </w:r>
      <w:r w:rsidR="00AE0BC2" w:rsidRPr="00D0478B">
        <w:rPr>
          <w:rStyle w:val="Hyperlink"/>
          <w:rFonts w:eastAsia="Times New Roman" w:cstheme="minorHAnsi"/>
          <w:bdr w:val="none" w:sz="0" w:space="0" w:color="auto" w:frame="1"/>
        </w:rPr>
        <w:t>alth Emergencies</w:t>
      </w:r>
    </w:p>
    <w:p w14:paraId="63210204" w14:textId="72F0F249" w:rsidR="00AE0BC2" w:rsidRPr="00E82AF7" w:rsidRDefault="00D0478B" w:rsidP="00224AC9">
      <w:pPr>
        <w:pStyle w:val="ListParagraph"/>
        <w:numPr>
          <w:ilvl w:val="0"/>
          <w:numId w:val="4"/>
        </w:numPr>
        <w:spacing w:after="120" w:line="360" w:lineRule="auto"/>
        <w:contextualSpacing w:val="0"/>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sidR="00E82AF7">
        <w:rPr>
          <w:rFonts w:eastAsia="Times New Roman" w:cstheme="minorHAnsi"/>
          <w:color w:val="0F88B8"/>
          <w:u w:val="single"/>
          <w:bdr w:val="none" w:sz="0" w:space="0" w:color="auto" w:frame="1"/>
        </w:rPr>
        <w:fldChar w:fldCharType="begin"/>
      </w:r>
      <w:r w:rsidR="00E82AF7">
        <w:rPr>
          <w:rFonts w:eastAsia="Times New Roman" w:cstheme="minorHAnsi"/>
          <w:color w:val="0F88B8"/>
          <w:u w:val="single"/>
          <w:bdr w:val="none" w:sz="0" w:space="0" w:color="auto" w:frame="1"/>
        </w:rPr>
        <w:instrText xml:space="preserve"> HYPERLINK  \l "PREPAct_FS" \o "Public Readiness and Emergency Preparedness Act" </w:instrText>
      </w:r>
      <w:r w:rsidR="00E82AF7">
        <w:rPr>
          <w:rFonts w:eastAsia="Times New Roman" w:cstheme="minorHAnsi"/>
          <w:color w:val="0F88B8"/>
          <w:u w:val="single"/>
          <w:bdr w:val="none" w:sz="0" w:space="0" w:color="auto" w:frame="1"/>
        </w:rPr>
      </w:r>
      <w:r w:rsidR="00E82AF7">
        <w:rPr>
          <w:rFonts w:eastAsia="Times New Roman" w:cstheme="minorHAnsi"/>
          <w:color w:val="0F88B8"/>
          <w:u w:val="single"/>
          <w:bdr w:val="none" w:sz="0" w:space="0" w:color="auto" w:frame="1"/>
        </w:rPr>
        <w:fldChar w:fldCharType="separate"/>
      </w:r>
      <w:r w:rsidR="00AE0BC2" w:rsidRPr="00E82AF7">
        <w:rPr>
          <w:rStyle w:val="Hyperlink"/>
          <w:rFonts w:eastAsia="Times New Roman" w:cstheme="minorHAnsi"/>
          <w:bdr w:val="none" w:sz="0" w:space="0" w:color="auto" w:frame="1"/>
        </w:rPr>
        <w:t>Public Readiness and Emergency Preparedness Act</w:t>
      </w:r>
    </w:p>
    <w:p w14:paraId="0457371D" w14:textId="312880C0" w:rsidR="00AE0BC2" w:rsidRPr="008228ED" w:rsidRDefault="00E82AF7" w:rsidP="00224AC9">
      <w:pPr>
        <w:pStyle w:val="ListParagraph"/>
        <w:numPr>
          <w:ilvl w:val="0"/>
          <w:numId w:val="4"/>
        </w:numPr>
        <w:spacing w:after="120" w:line="360" w:lineRule="auto"/>
        <w:contextualSpacing w:val="0"/>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sidR="008228ED">
        <w:rPr>
          <w:rFonts w:eastAsia="Times New Roman" w:cstheme="minorHAnsi"/>
          <w:color w:val="0F88B8"/>
          <w:u w:val="single"/>
          <w:bdr w:val="none" w:sz="0" w:space="0" w:color="auto" w:frame="1"/>
        </w:rPr>
        <w:fldChar w:fldCharType="begin"/>
      </w:r>
      <w:r w:rsidR="008228ED">
        <w:rPr>
          <w:rFonts w:eastAsia="Times New Roman" w:cstheme="minorHAnsi"/>
          <w:color w:val="0F88B8"/>
          <w:u w:val="single"/>
          <w:bdr w:val="none" w:sz="0" w:space="0" w:color="auto" w:frame="1"/>
        </w:rPr>
        <w:instrText xml:space="preserve"> HYPERLINK  \l "StaffordAct_FS" \o "Robert T. Stafford Disaster Relief and Emergency Assistance Act" </w:instrText>
      </w:r>
      <w:r w:rsidR="008228ED">
        <w:rPr>
          <w:rFonts w:eastAsia="Times New Roman" w:cstheme="minorHAnsi"/>
          <w:color w:val="0F88B8"/>
          <w:u w:val="single"/>
          <w:bdr w:val="none" w:sz="0" w:space="0" w:color="auto" w:frame="1"/>
        </w:rPr>
      </w:r>
      <w:r w:rsidR="008228ED">
        <w:rPr>
          <w:rFonts w:eastAsia="Times New Roman" w:cstheme="minorHAnsi"/>
          <w:color w:val="0F88B8"/>
          <w:u w:val="single"/>
          <w:bdr w:val="none" w:sz="0" w:space="0" w:color="auto" w:frame="1"/>
        </w:rPr>
        <w:fldChar w:fldCharType="separate"/>
      </w:r>
      <w:r w:rsidR="00AE0BC2" w:rsidRPr="008228ED">
        <w:rPr>
          <w:rStyle w:val="Hyperlink"/>
          <w:rFonts w:eastAsia="Times New Roman" w:cstheme="minorHAnsi"/>
          <w:bdr w:val="none" w:sz="0" w:space="0" w:color="auto" w:frame="1"/>
        </w:rPr>
        <w:t>Robert T. Stafford Disaster Relief and E</w:t>
      </w:r>
      <w:r w:rsidR="00AE0BC2" w:rsidRPr="008228ED">
        <w:rPr>
          <w:rStyle w:val="Hyperlink"/>
          <w:rFonts w:eastAsia="Times New Roman" w:cstheme="minorHAnsi"/>
          <w:bdr w:val="none" w:sz="0" w:space="0" w:color="auto" w:frame="1"/>
        </w:rPr>
        <w:t>m</w:t>
      </w:r>
      <w:r w:rsidR="00AE0BC2" w:rsidRPr="008228ED">
        <w:rPr>
          <w:rStyle w:val="Hyperlink"/>
          <w:rFonts w:eastAsia="Times New Roman" w:cstheme="minorHAnsi"/>
          <w:bdr w:val="none" w:sz="0" w:space="0" w:color="auto" w:frame="1"/>
        </w:rPr>
        <w:t>ergency Assistance Act</w:t>
      </w:r>
    </w:p>
    <w:p w14:paraId="20E9F6FA" w14:textId="5DFE338B" w:rsidR="00AE0BC2" w:rsidRPr="00AF1BE5" w:rsidRDefault="008228ED" w:rsidP="00224AC9">
      <w:pPr>
        <w:pStyle w:val="ListParagraph"/>
        <w:numPr>
          <w:ilvl w:val="0"/>
          <w:numId w:val="4"/>
        </w:numPr>
        <w:spacing w:after="120" w:line="360" w:lineRule="auto"/>
        <w:contextualSpacing w:val="0"/>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sidR="00AF1BE5">
        <w:rPr>
          <w:rFonts w:eastAsia="Times New Roman" w:cstheme="minorHAnsi"/>
          <w:color w:val="0F88B8"/>
          <w:u w:val="single"/>
          <w:bdr w:val="none" w:sz="0" w:space="0" w:color="auto" w:frame="1"/>
        </w:rPr>
        <w:fldChar w:fldCharType="begin"/>
      </w:r>
      <w:r w:rsidR="00AF1BE5">
        <w:rPr>
          <w:rFonts w:eastAsia="Times New Roman" w:cstheme="minorHAnsi"/>
          <w:color w:val="0F88B8"/>
          <w:u w:val="single"/>
          <w:bdr w:val="none" w:sz="0" w:space="0" w:color="auto" w:frame="1"/>
        </w:rPr>
        <w:instrText xml:space="preserve"> HYPERLINK  \l "SSA1135_FS" \o "Social Security Act Section 1135 Waivers" </w:instrText>
      </w:r>
      <w:r w:rsidR="00AF1BE5">
        <w:rPr>
          <w:rFonts w:eastAsia="Times New Roman" w:cstheme="minorHAnsi"/>
          <w:color w:val="0F88B8"/>
          <w:u w:val="single"/>
          <w:bdr w:val="none" w:sz="0" w:space="0" w:color="auto" w:frame="1"/>
        </w:rPr>
      </w:r>
      <w:r w:rsidR="00AF1BE5">
        <w:rPr>
          <w:rFonts w:eastAsia="Times New Roman" w:cstheme="minorHAnsi"/>
          <w:color w:val="0F88B8"/>
          <w:u w:val="single"/>
          <w:bdr w:val="none" w:sz="0" w:space="0" w:color="auto" w:frame="1"/>
        </w:rPr>
        <w:fldChar w:fldCharType="separate"/>
      </w:r>
      <w:r w:rsidR="00AE0BC2" w:rsidRPr="00AF1BE5">
        <w:rPr>
          <w:rStyle w:val="Hyperlink"/>
          <w:rFonts w:eastAsia="Times New Roman" w:cstheme="minorHAnsi"/>
          <w:bdr w:val="none" w:sz="0" w:space="0" w:color="auto" w:frame="1"/>
        </w:rPr>
        <w:t xml:space="preserve">Social Security Act Section 1135 </w:t>
      </w:r>
      <w:r w:rsidR="00AE0BC2" w:rsidRPr="00AF1BE5">
        <w:rPr>
          <w:rStyle w:val="Hyperlink"/>
          <w:rFonts w:eastAsia="Times New Roman" w:cstheme="minorHAnsi"/>
          <w:bdr w:val="none" w:sz="0" w:space="0" w:color="auto" w:frame="1"/>
        </w:rPr>
        <w:t>W</w:t>
      </w:r>
      <w:r w:rsidR="00AE0BC2" w:rsidRPr="00AF1BE5">
        <w:rPr>
          <w:rStyle w:val="Hyperlink"/>
          <w:rFonts w:eastAsia="Times New Roman" w:cstheme="minorHAnsi"/>
          <w:bdr w:val="none" w:sz="0" w:space="0" w:color="auto" w:frame="1"/>
        </w:rPr>
        <w:t>aivers</w:t>
      </w:r>
    </w:p>
    <w:p w14:paraId="4AB4AB70" w14:textId="2F317BDC" w:rsidR="00AE0BC2" w:rsidRPr="00AF1BE5" w:rsidRDefault="00AF1BE5" w:rsidP="00224AC9">
      <w:pPr>
        <w:pStyle w:val="ListParagraph"/>
        <w:numPr>
          <w:ilvl w:val="0"/>
          <w:numId w:val="4"/>
        </w:numPr>
        <w:spacing w:after="120" w:line="360" w:lineRule="auto"/>
        <w:contextualSpacing w:val="0"/>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"WorkersComp_FS" \o "Workers’ Compensation Issues in Emergencies"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AE0BC2" w:rsidRPr="00AF1BE5">
        <w:rPr>
          <w:rStyle w:val="Hyperlink"/>
          <w:rFonts w:eastAsia="Times New Roman" w:cstheme="minorHAnsi"/>
          <w:bdr w:val="none" w:sz="0" w:space="0" w:color="auto" w:frame="1"/>
        </w:rPr>
        <w:t>Workers’ Compensation Is</w:t>
      </w:r>
      <w:r w:rsidR="00AE0BC2" w:rsidRPr="00AF1BE5">
        <w:rPr>
          <w:rStyle w:val="Hyperlink"/>
          <w:rFonts w:eastAsia="Times New Roman" w:cstheme="minorHAnsi"/>
          <w:bdr w:val="none" w:sz="0" w:space="0" w:color="auto" w:frame="1"/>
        </w:rPr>
        <w:t>s</w:t>
      </w:r>
      <w:r w:rsidR="00AE0BC2" w:rsidRPr="00AF1BE5">
        <w:rPr>
          <w:rStyle w:val="Hyperlink"/>
          <w:rFonts w:eastAsia="Times New Roman" w:cstheme="minorHAnsi"/>
          <w:bdr w:val="none" w:sz="0" w:space="0" w:color="auto" w:frame="1"/>
        </w:rPr>
        <w:t>ues in Emergencies</w:t>
      </w:r>
    </w:p>
    <w:p w14:paraId="2C03224D" w14:textId="422BB5BD" w:rsidR="00271C32" w:rsidRPr="00271C32" w:rsidRDefault="00AF1BE5" w:rsidP="00950A15">
      <w:pPr>
        <w:spacing w:line="360" w:lineRule="auto"/>
        <w:textAlignment w:val="baseline"/>
        <w:rPr>
          <w:rFonts w:eastAsia="Times New Roman" w:cstheme="minorHAnsi"/>
          <w:b/>
          <w:bCs/>
          <w:bdr w:val="none" w:sz="0" w:space="0" w:color="auto" w:frame="1"/>
        </w:rPr>
      </w:pPr>
      <w:r>
        <w:rPr>
          <w:rFonts w:eastAsia="Times New Roman" w:cstheme="minorHAnsi"/>
          <w:color w:val="0F88B8"/>
          <w:u w:val="single"/>
          <w:bdr w:val="none" w:sz="0" w:space="0" w:color="auto" w:frame="1"/>
        </w:rPr>
        <w:fldChar w:fldCharType="end"/>
      </w:r>
    </w:p>
    <w:p w14:paraId="1021C0A1" w14:textId="1B97DCED" w:rsidR="00AE0BC2" w:rsidRPr="00271C32" w:rsidRDefault="00AE0BC2" w:rsidP="00950A15">
      <w:pPr>
        <w:spacing w:after="120" w:line="360" w:lineRule="auto"/>
        <w:textAlignment w:val="baseline"/>
        <w:rPr>
          <w:rFonts w:eastAsia="Times New Roman" w:cstheme="minorHAnsi"/>
        </w:rPr>
      </w:pPr>
      <w:r w:rsidRPr="00271C32">
        <w:rPr>
          <w:rFonts w:eastAsia="Times New Roman" w:cstheme="minorHAnsi"/>
          <w:b/>
          <w:bCs/>
          <w:bdr w:val="none" w:sz="0" w:space="0" w:color="auto" w:frame="1"/>
        </w:rPr>
        <w:t>Issue Briefs</w:t>
      </w:r>
      <w:r w:rsidRPr="00271C32">
        <w:rPr>
          <w:rFonts w:eastAsia="Times New Roman" w:cstheme="minorHAnsi"/>
        </w:rPr>
        <w:br/>
      </w:r>
      <w:r w:rsidRPr="00271C32">
        <w:rPr>
          <w:rFonts w:eastAsia="Times New Roman" w:cstheme="minorHAnsi"/>
          <w:i/>
          <w:iCs/>
          <w:bdr w:val="none" w:sz="0" w:space="0" w:color="auto" w:frame="1"/>
        </w:rPr>
        <w:t>In-depth information and analyses of fundamental issues</w:t>
      </w:r>
    </w:p>
    <w:p w14:paraId="79E7AB43" w14:textId="3AEDE58C" w:rsidR="00AE0BC2" w:rsidRPr="005A128C" w:rsidRDefault="005A128C" w:rsidP="00224AC9">
      <w:pPr>
        <w:pStyle w:val="ListParagraph"/>
        <w:numPr>
          <w:ilvl w:val="0"/>
          <w:numId w:val="5"/>
        </w:numPr>
        <w:spacing w:line="36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"Lia_Immune_WC_IB" \o "Liability, Immunity, and Workers’ Compensation Issues in Public Health Emergencies"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AE0BC2" w:rsidRPr="005A128C">
        <w:rPr>
          <w:rStyle w:val="Hyperlink"/>
          <w:rFonts w:eastAsia="Times New Roman" w:cstheme="minorHAnsi"/>
          <w:bdr w:val="none" w:sz="0" w:space="0" w:color="auto" w:frame="1"/>
        </w:rPr>
        <w:t>Liability, Immunity, and Workers’ Compensation Is</w:t>
      </w:r>
      <w:r w:rsidR="00AE0BC2" w:rsidRPr="005A128C">
        <w:rPr>
          <w:rStyle w:val="Hyperlink"/>
          <w:rFonts w:eastAsia="Times New Roman" w:cstheme="minorHAnsi"/>
          <w:bdr w:val="none" w:sz="0" w:space="0" w:color="auto" w:frame="1"/>
        </w:rPr>
        <w:t>s</w:t>
      </w:r>
      <w:r w:rsidR="00AE0BC2" w:rsidRPr="005A128C">
        <w:rPr>
          <w:rStyle w:val="Hyperlink"/>
          <w:rFonts w:eastAsia="Times New Roman" w:cstheme="minorHAnsi"/>
          <w:bdr w:val="none" w:sz="0" w:space="0" w:color="auto" w:frame="1"/>
        </w:rPr>
        <w:t>ues in Public Health Emergencies</w:t>
      </w:r>
    </w:p>
    <w:p w14:paraId="4C8EFA26" w14:textId="041B9D0E" w:rsidR="00271C32" w:rsidRPr="00271C32" w:rsidRDefault="005A128C" w:rsidP="00950A15">
      <w:pPr>
        <w:spacing w:line="360" w:lineRule="auto"/>
        <w:textAlignment w:val="baseline"/>
        <w:rPr>
          <w:rFonts w:eastAsia="Times New Roman" w:cstheme="minorHAnsi"/>
          <w:b/>
          <w:bCs/>
          <w:bdr w:val="none" w:sz="0" w:space="0" w:color="auto" w:frame="1"/>
        </w:rPr>
      </w:pPr>
      <w:r>
        <w:rPr>
          <w:rFonts w:eastAsia="Times New Roman" w:cstheme="minorHAnsi"/>
          <w:color w:val="0F88B8"/>
          <w:u w:val="single"/>
          <w:bdr w:val="none" w:sz="0" w:space="0" w:color="auto" w:frame="1"/>
        </w:rPr>
        <w:fldChar w:fldCharType="end"/>
      </w:r>
    </w:p>
    <w:p w14:paraId="47A2342F" w14:textId="0F47B247" w:rsidR="00AE0BC2" w:rsidRPr="00271C32" w:rsidRDefault="00AE0BC2" w:rsidP="00950A15">
      <w:pPr>
        <w:spacing w:line="360" w:lineRule="auto"/>
        <w:textAlignment w:val="baseline"/>
        <w:rPr>
          <w:rFonts w:eastAsia="Times New Roman" w:cstheme="minorHAnsi"/>
        </w:rPr>
      </w:pPr>
      <w:r w:rsidRPr="00271C32">
        <w:rPr>
          <w:rFonts w:eastAsia="Times New Roman" w:cstheme="minorHAnsi"/>
          <w:b/>
          <w:bCs/>
          <w:bdr w:val="none" w:sz="0" w:space="0" w:color="auto" w:frame="1"/>
        </w:rPr>
        <w:t>State Analysis Guides</w:t>
      </w:r>
      <w:r w:rsidRPr="00271C32">
        <w:rPr>
          <w:rFonts w:eastAsia="Times New Roman" w:cstheme="minorHAnsi"/>
        </w:rPr>
        <w:br/>
      </w:r>
      <w:r w:rsidRPr="00271C32">
        <w:rPr>
          <w:rFonts w:eastAsia="Times New Roman" w:cstheme="minorHAnsi"/>
          <w:i/>
          <w:iCs/>
          <w:bdr w:val="none" w:sz="0" w:space="0" w:color="auto" w:frame="1"/>
        </w:rPr>
        <w:t>Aids to assist states in identifying and analyzing their own statutes, regulations, and policies</w:t>
      </w:r>
    </w:p>
    <w:p w14:paraId="34B8B8E1" w14:textId="62F5B647" w:rsidR="00AE0BC2" w:rsidRPr="00B634C1" w:rsidRDefault="00B634C1" w:rsidP="00224AC9">
      <w:pPr>
        <w:pStyle w:val="ListParagraph"/>
        <w:numPr>
          <w:ilvl w:val="0"/>
          <w:numId w:val="5"/>
        </w:numPr>
        <w:spacing w:after="120" w:line="360" w:lineRule="auto"/>
        <w:contextualSpacing w:val="0"/>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"EmDecs_SAG" \o "Emergency Declarations and Authorities"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AE0BC2" w:rsidRPr="00B634C1">
        <w:rPr>
          <w:rStyle w:val="Hyperlink"/>
          <w:rFonts w:eastAsia="Times New Roman" w:cstheme="minorHAnsi"/>
          <w:bdr w:val="none" w:sz="0" w:space="0" w:color="auto" w:frame="1"/>
        </w:rPr>
        <w:t>Emergency Declarations and Authoriti</w:t>
      </w:r>
      <w:r w:rsidR="00AE0BC2" w:rsidRPr="00B634C1">
        <w:rPr>
          <w:rStyle w:val="Hyperlink"/>
          <w:rFonts w:eastAsia="Times New Roman" w:cstheme="minorHAnsi"/>
          <w:bdr w:val="none" w:sz="0" w:space="0" w:color="auto" w:frame="1"/>
        </w:rPr>
        <w:t>e</w:t>
      </w:r>
      <w:r w:rsidR="00AE0BC2" w:rsidRPr="00B634C1">
        <w:rPr>
          <w:rStyle w:val="Hyperlink"/>
          <w:rFonts w:eastAsia="Times New Roman" w:cstheme="minorHAnsi"/>
          <w:bdr w:val="none" w:sz="0" w:space="0" w:color="auto" w:frame="1"/>
        </w:rPr>
        <w:t>s</w:t>
      </w:r>
      <w:r w:rsidR="00AE0BC2" w:rsidRPr="00B634C1">
        <w:rPr>
          <w:rStyle w:val="Hyperlink"/>
          <w:rFonts w:eastAsia="Times New Roman" w:cstheme="minorHAnsi"/>
        </w:rPr>
        <w:t> </w:t>
      </w:r>
    </w:p>
    <w:p w14:paraId="2D99665B" w14:textId="7F33D398" w:rsidR="00AE0BC2" w:rsidRPr="00B634C1" w:rsidRDefault="00B634C1" w:rsidP="00224AC9">
      <w:pPr>
        <w:pStyle w:val="ListParagraph"/>
        <w:numPr>
          <w:ilvl w:val="0"/>
          <w:numId w:val="5"/>
        </w:numPr>
        <w:spacing w:after="120" w:line="360" w:lineRule="auto"/>
        <w:contextualSpacing w:val="0"/>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"LiaImmWC_SAG" \o "Liability, Immunity, and Workers’ Compensation Issues"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AE0BC2" w:rsidRPr="00B634C1">
        <w:rPr>
          <w:rStyle w:val="Hyperlink"/>
          <w:rFonts w:eastAsia="Times New Roman" w:cstheme="minorHAnsi"/>
          <w:bdr w:val="none" w:sz="0" w:space="0" w:color="auto" w:frame="1"/>
        </w:rPr>
        <w:t>Liability, Immunity, and Workers’ Compen</w:t>
      </w:r>
      <w:r w:rsidR="00AE0BC2" w:rsidRPr="00B634C1">
        <w:rPr>
          <w:rStyle w:val="Hyperlink"/>
          <w:rFonts w:eastAsia="Times New Roman" w:cstheme="minorHAnsi"/>
          <w:bdr w:val="none" w:sz="0" w:space="0" w:color="auto" w:frame="1"/>
        </w:rPr>
        <w:t>s</w:t>
      </w:r>
      <w:r w:rsidR="00AE0BC2" w:rsidRPr="00B634C1">
        <w:rPr>
          <w:rStyle w:val="Hyperlink"/>
          <w:rFonts w:eastAsia="Times New Roman" w:cstheme="minorHAnsi"/>
          <w:bdr w:val="none" w:sz="0" w:space="0" w:color="auto" w:frame="1"/>
        </w:rPr>
        <w:t>ation Issues</w:t>
      </w:r>
      <w:r w:rsidR="00AE0BC2" w:rsidRPr="00B634C1">
        <w:rPr>
          <w:rStyle w:val="Hyperlink"/>
          <w:rFonts w:eastAsia="Times New Roman" w:cstheme="minorHAnsi"/>
        </w:rPr>
        <w:t> </w:t>
      </w:r>
    </w:p>
    <w:p w14:paraId="6566316F" w14:textId="20B3CEBB" w:rsidR="00271C32" w:rsidRPr="002D4237" w:rsidRDefault="00B634C1" w:rsidP="00950A15">
      <w:pPr>
        <w:spacing w:line="360" w:lineRule="auto"/>
        <w:textAlignment w:val="baseline"/>
        <w:rPr>
          <w:rFonts w:eastAsia="Times New Roman" w:cstheme="minorHAnsi"/>
          <w:b/>
          <w:bCs/>
          <w:bdr w:val="none" w:sz="0" w:space="0" w:color="auto" w:frame="1"/>
        </w:rPr>
      </w:pPr>
      <w:r>
        <w:rPr>
          <w:rFonts w:eastAsia="Times New Roman" w:cstheme="minorHAnsi"/>
          <w:color w:val="0F88B8"/>
          <w:u w:val="single"/>
          <w:bdr w:val="none" w:sz="0" w:space="0" w:color="auto" w:frame="1"/>
        </w:rPr>
        <w:lastRenderedPageBreak/>
        <w:fldChar w:fldCharType="end"/>
      </w:r>
    </w:p>
    <w:p w14:paraId="70F889FF" w14:textId="241F7207" w:rsidR="00AE0BC2" w:rsidRPr="002D4237" w:rsidRDefault="00AE0BC2" w:rsidP="00950A15">
      <w:pPr>
        <w:spacing w:after="120" w:line="360" w:lineRule="auto"/>
        <w:textAlignment w:val="baseline"/>
        <w:rPr>
          <w:rFonts w:eastAsia="Times New Roman" w:cstheme="minorHAnsi"/>
        </w:rPr>
      </w:pPr>
      <w:r w:rsidRPr="002D4237">
        <w:rPr>
          <w:rFonts w:eastAsia="Times New Roman" w:cstheme="minorHAnsi"/>
          <w:b/>
          <w:bCs/>
          <w:bdr w:val="none" w:sz="0" w:space="0" w:color="auto" w:frame="1"/>
        </w:rPr>
        <w:t>Current Issues and Updates</w:t>
      </w:r>
      <w:r w:rsidRPr="002D4237">
        <w:rPr>
          <w:rFonts w:eastAsia="Times New Roman" w:cstheme="minorHAnsi"/>
        </w:rPr>
        <w:br/>
      </w:r>
      <w:r w:rsidRPr="002D4237">
        <w:rPr>
          <w:rFonts w:eastAsia="Times New Roman" w:cstheme="minorHAnsi"/>
          <w:i/>
          <w:iCs/>
          <w:bdr w:val="none" w:sz="0" w:space="0" w:color="auto" w:frame="1"/>
        </w:rPr>
        <w:t>Periodic updates on new and evolving issues</w:t>
      </w:r>
    </w:p>
    <w:p w14:paraId="09D2ECC8" w14:textId="7D55B607" w:rsidR="00AE0BC2" w:rsidRPr="00B634C1" w:rsidRDefault="00B634C1" w:rsidP="00224AC9">
      <w:pPr>
        <w:pStyle w:val="ListParagraph"/>
        <w:numPr>
          <w:ilvl w:val="0"/>
          <w:numId w:val="6"/>
        </w:numPr>
        <w:spacing w:after="120" w:line="360" w:lineRule="auto"/>
        <w:contextualSpacing w:val="0"/>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"Wint12_CIU" \o "Winter 2012—Pandemic and All-Hazards Preparedness Act Reauthorization"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AE0BC2" w:rsidRPr="00B634C1">
        <w:rPr>
          <w:rStyle w:val="Hyperlink"/>
          <w:rFonts w:eastAsia="Times New Roman" w:cstheme="minorHAnsi"/>
          <w:bdr w:val="none" w:sz="0" w:space="0" w:color="auto" w:frame="1"/>
        </w:rPr>
        <w:t>Winter 2012—Pandemic and All-Hazards Preparedness Act Reauth</w:t>
      </w:r>
      <w:r w:rsidR="00AE0BC2" w:rsidRPr="00B634C1">
        <w:rPr>
          <w:rStyle w:val="Hyperlink"/>
          <w:rFonts w:eastAsia="Times New Roman" w:cstheme="minorHAnsi"/>
          <w:bdr w:val="none" w:sz="0" w:space="0" w:color="auto" w:frame="1"/>
        </w:rPr>
        <w:t>o</w:t>
      </w:r>
      <w:r w:rsidR="00AE0BC2" w:rsidRPr="00B634C1">
        <w:rPr>
          <w:rStyle w:val="Hyperlink"/>
          <w:rFonts w:eastAsia="Times New Roman" w:cstheme="minorHAnsi"/>
          <w:bdr w:val="none" w:sz="0" w:space="0" w:color="auto" w:frame="1"/>
        </w:rPr>
        <w:t>rization</w:t>
      </w:r>
    </w:p>
    <w:p w14:paraId="7BD272EB" w14:textId="0D200CE7" w:rsidR="00AE0BC2" w:rsidRPr="00E160CC" w:rsidRDefault="00B634C1" w:rsidP="00224AC9">
      <w:pPr>
        <w:pStyle w:val="ListParagraph"/>
        <w:numPr>
          <w:ilvl w:val="0"/>
          <w:numId w:val="6"/>
        </w:numPr>
        <w:spacing w:after="120" w:line="360" w:lineRule="auto"/>
        <w:contextualSpacing w:val="0"/>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sidR="00E160CC">
        <w:rPr>
          <w:rFonts w:eastAsia="Times New Roman" w:cstheme="minorHAnsi"/>
          <w:color w:val="0F88B8"/>
          <w:u w:val="single"/>
          <w:bdr w:val="none" w:sz="0" w:space="0" w:color="auto" w:frame="1"/>
        </w:rPr>
        <w:fldChar w:fldCharType="begin"/>
      </w:r>
      <w:r w:rsidR="00E160CC">
        <w:rPr>
          <w:rFonts w:eastAsia="Times New Roman" w:cstheme="minorHAnsi"/>
          <w:color w:val="0F88B8"/>
          <w:u w:val="single"/>
          <w:bdr w:val="none" w:sz="0" w:space="0" w:color="auto" w:frame="1"/>
        </w:rPr>
        <w:instrText xml:space="preserve"> HYPERLINK  \l "Summ11_CIU" \o "Summer 2011—New Presidential Policy Directive Replaces HSPD-8" </w:instrText>
      </w:r>
      <w:r w:rsidR="00E160CC">
        <w:rPr>
          <w:rFonts w:eastAsia="Times New Roman" w:cstheme="minorHAnsi"/>
          <w:color w:val="0F88B8"/>
          <w:u w:val="single"/>
          <w:bdr w:val="none" w:sz="0" w:space="0" w:color="auto" w:frame="1"/>
        </w:rPr>
      </w:r>
      <w:r w:rsidR="00E160CC">
        <w:rPr>
          <w:rFonts w:eastAsia="Times New Roman" w:cstheme="minorHAnsi"/>
          <w:color w:val="0F88B8"/>
          <w:u w:val="single"/>
          <w:bdr w:val="none" w:sz="0" w:space="0" w:color="auto" w:frame="1"/>
        </w:rPr>
        <w:fldChar w:fldCharType="separate"/>
      </w:r>
      <w:r w:rsidR="00AE0BC2" w:rsidRPr="00E160CC">
        <w:rPr>
          <w:rStyle w:val="Hyperlink"/>
          <w:rFonts w:eastAsia="Times New Roman" w:cstheme="minorHAnsi"/>
          <w:bdr w:val="none" w:sz="0" w:space="0" w:color="auto" w:frame="1"/>
        </w:rPr>
        <w:t>Summer 2011—New Presidential Policy Directive Replac</w:t>
      </w:r>
      <w:r w:rsidR="00AE0BC2" w:rsidRPr="00E160CC">
        <w:rPr>
          <w:rStyle w:val="Hyperlink"/>
          <w:rFonts w:eastAsia="Times New Roman" w:cstheme="minorHAnsi"/>
          <w:bdr w:val="none" w:sz="0" w:space="0" w:color="auto" w:frame="1"/>
        </w:rPr>
        <w:t>e</w:t>
      </w:r>
      <w:r w:rsidR="00AE0BC2" w:rsidRPr="00E160CC">
        <w:rPr>
          <w:rStyle w:val="Hyperlink"/>
          <w:rFonts w:eastAsia="Times New Roman" w:cstheme="minorHAnsi"/>
          <w:bdr w:val="none" w:sz="0" w:space="0" w:color="auto" w:frame="1"/>
        </w:rPr>
        <w:t>s HSPD-8</w:t>
      </w:r>
    </w:p>
    <w:p w14:paraId="78072EF9" w14:textId="12958081" w:rsidR="00271C32" w:rsidRPr="002D4237" w:rsidRDefault="00E160CC" w:rsidP="00950A15">
      <w:pPr>
        <w:spacing w:line="360" w:lineRule="auto"/>
        <w:textAlignment w:val="baseline"/>
        <w:rPr>
          <w:rFonts w:eastAsia="Times New Roman" w:cstheme="minorHAnsi"/>
          <w:b/>
          <w:bCs/>
          <w:bdr w:val="none" w:sz="0" w:space="0" w:color="auto" w:frame="1"/>
        </w:rPr>
      </w:pPr>
      <w:r>
        <w:rPr>
          <w:rFonts w:eastAsia="Times New Roman" w:cstheme="minorHAnsi"/>
          <w:color w:val="0F88B8"/>
          <w:u w:val="single"/>
          <w:bdr w:val="none" w:sz="0" w:space="0" w:color="auto" w:frame="1"/>
        </w:rPr>
        <w:fldChar w:fldCharType="end"/>
      </w:r>
    </w:p>
    <w:p w14:paraId="538F9F66" w14:textId="1C8366B0" w:rsidR="00AE0BC2" w:rsidRPr="002D4237" w:rsidRDefault="00AE0BC2" w:rsidP="00950A15">
      <w:pPr>
        <w:spacing w:after="120" w:line="360" w:lineRule="auto"/>
        <w:textAlignment w:val="baseline"/>
        <w:rPr>
          <w:rFonts w:eastAsia="Times New Roman" w:cstheme="minorHAnsi"/>
        </w:rPr>
      </w:pPr>
      <w:r w:rsidRPr="002D4237">
        <w:rPr>
          <w:rFonts w:eastAsia="Times New Roman" w:cstheme="minorHAnsi"/>
          <w:b/>
          <w:bCs/>
          <w:bdr w:val="none" w:sz="0" w:space="0" w:color="auto" w:frame="1"/>
        </w:rPr>
        <w:t>Resource Materials</w:t>
      </w:r>
      <w:r w:rsidRPr="002D4237">
        <w:rPr>
          <w:rFonts w:eastAsia="Times New Roman" w:cstheme="minorHAnsi"/>
        </w:rPr>
        <w:br/>
      </w:r>
      <w:r w:rsidRPr="002D4237">
        <w:rPr>
          <w:rFonts w:eastAsia="Times New Roman" w:cstheme="minorHAnsi"/>
          <w:i/>
          <w:iCs/>
          <w:bdr w:val="none" w:sz="0" w:space="0" w:color="auto" w:frame="1"/>
        </w:rPr>
        <w:t>Bibliographies and links to key agencies, organization, laws, and other documents</w:t>
      </w:r>
    </w:p>
    <w:p w14:paraId="47E2F9F9" w14:textId="3A1DA444" w:rsidR="00AE0BC2" w:rsidRPr="00E160CC" w:rsidRDefault="00E160CC" w:rsidP="00E160CC">
      <w:pPr>
        <w:pStyle w:val="ListParagraph"/>
        <w:numPr>
          <w:ilvl w:val="0"/>
          <w:numId w:val="65"/>
        </w:numPr>
        <w:spacing w:line="360" w:lineRule="auto"/>
        <w:textAlignment w:val="baseline"/>
        <w:rPr>
          <w:rStyle w:val="Hyperlink"/>
          <w:rFonts w:eastAsia="Times New Roman" w:cstheme="minorHAnsi"/>
        </w:rPr>
      </w:pPr>
      <w:r w:rsidRPr="00E160CC">
        <w:rPr>
          <w:rFonts w:eastAsia="Times New Roman" w:cstheme="minorHAnsi"/>
          <w:color w:val="0F88B8"/>
          <w:u w:val="single"/>
          <w:bdr w:val="none" w:sz="0" w:space="0" w:color="auto" w:frame="1"/>
        </w:rPr>
        <w:fldChar w:fldCharType="begin"/>
      </w:r>
      <w:r w:rsidRPr="00E160CC">
        <w:rPr>
          <w:rFonts w:eastAsia="Times New Roman" w:cstheme="minorHAnsi"/>
          <w:color w:val="0F88B8"/>
          <w:u w:val="single"/>
          <w:bdr w:val="none" w:sz="0" w:space="0" w:color="auto" w:frame="1"/>
        </w:rPr>
        <w:instrText xml:space="preserve"> HYPERLINK  \l "SuppMats" \o "Emergency Authority and Immunity Resource Materials Document" </w:instrText>
      </w:r>
      <w:r>
        <w:rPr>
          <w:bdr w:val="none" w:sz="0" w:space="0" w:color="auto" w:frame="1"/>
        </w:rPr>
      </w:r>
      <w:r w:rsidRPr="00E160CC">
        <w:rPr>
          <w:rFonts w:eastAsia="Times New Roman" w:cstheme="minorHAnsi"/>
          <w:color w:val="0F88B8"/>
          <w:u w:val="single"/>
          <w:bdr w:val="none" w:sz="0" w:space="0" w:color="auto" w:frame="1"/>
        </w:rPr>
        <w:fldChar w:fldCharType="separate"/>
      </w:r>
      <w:r w:rsidR="00AE0BC2" w:rsidRPr="00E160CC">
        <w:rPr>
          <w:rStyle w:val="Hyperlink"/>
          <w:rFonts w:eastAsia="Times New Roman" w:cstheme="minorHAnsi"/>
          <w:bdr w:val="none" w:sz="0" w:space="0" w:color="auto" w:frame="1"/>
        </w:rPr>
        <w:t xml:space="preserve">Emergency Authority and Immunity Resource </w:t>
      </w:r>
      <w:r w:rsidR="00AE0BC2" w:rsidRPr="00E160CC">
        <w:rPr>
          <w:rStyle w:val="Hyperlink"/>
          <w:rFonts w:eastAsia="Times New Roman" w:cstheme="minorHAnsi"/>
          <w:bdr w:val="none" w:sz="0" w:space="0" w:color="auto" w:frame="1"/>
        </w:rPr>
        <w:t>M</w:t>
      </w:r>
      <w:r w:rsidR="00AE0BC2" w:rsidRPr="00E160CC">
        <w:rPr>
          <w:rStyle w:val="Hyperlink"/>
          <w:rFonts w:eastAsia="Times New Roman" w:cstheme="minorHAnsi"/>
          <w:bdr w:val="none" w:sz="0" w:space="0" w:color="auto" w:frame="1"/>
        </w:rPr>
        <w:t>aterials Document</w:t>
      </w:r>
      <w:bookmarkStart w:id="1" w:name="_GoBack"/>
      <w:bookmarkEnd w:id="1"/>
    </w:p>
    <w:p w14:paraId="699CB134" w14:textId="5A96EEE6" w:rsidR="00AE0BC2" w:rsidRPr="00271C32" w:rsidRDefault="00E160CC" w:rsidP="00950A15">
      <w:pPr>
        <w:spacing w:line="360" w:lineRule="auto"/>
        <w:textAlignment w:val="baseline"/>
        <w:rPr>
          <w:rFonts w:eastAsia="Times New Roman" w:cstheme="minorHAnsi"/>
          <w:color w:val="737373"/>
        </w:rPr>
      </w:pPr>
      <w:r>
        <w:rPr>
          <w:rFonts w:eastAsia="Times New Roman" w:cstheme="minorHAnsi"/>
          <w:color w:val="0F88B8"/>
          <w:u w:val="single"/>
          <w:bdr w:val="none" w:sz="0" w:space="0" w:color="auto" w:frame="1"/>
        </w:rPr>
        <w:fldChar w:fldCharType="end"/>
      </w:r>
      <w:r w:rsidR="00AE0BC2" w:rsidRPr="00271C32">
        <w:rPr>
          <w:rFonts w:eastAsia="Times New Roman" w:cstheme="minorHAnsi"/>
          <w:color w:val="737373"/>
        </w:rPr>
        <w:t> </w:t>
      </w:r>
    </w:p>
    <w:p w14:paraId="7CEEFD05" w14:textId="4C45DFB8" w:rsidR="005E0299" w:rsidRDefault="005E0299">
      <w:pPr>
        <w:rPr>
          <w:rFonts w:cstheme="minorHAnsi"/>
        </w:rPr>
      </w:pPr>
      <w:r>
        <w:rPr>
          <w:rFonts w:cstheme="minorHAnsi"/>
        </w:rPr>
        <w:br w:type="page"/>
      </w:r>
    </w:p>
    <w:p w14:paraId="3331B9F7" w14:textId="77777777" w:rsidR="005E0299" w:rsidRPr="00B540AC" w:rsidRDefault="005E0299" w:rsidP="004C19B5">
      <w:pPr>
        <w:spacing w:after="120" w:line="480" w:lineRule="auto"/>
        <w:rPr>
          <w:rFonts w:ascii="Calibri" w:eastAsia="Times New Roman" w:hAnsi="Calibri" w:cs="Calibri"/>
          <w:b/>
          <w:bCs/>
          <w:spacing w:val="15"/>
          <w:kern w:val="36"/>
          <w:sz w:val="28"/>
          <w:szCs w:val="28"/>
        </w:rPr>
      </w:pPr>
      <w:bookmarkStart w:id="2" w:name="KeyEAI_Concepts_EO"/>
      <w:r w:rsidRPr="00B540AC">
        <w:rPr>
          <w:rFonts w:ascii="Calibri" w:eastAsia="Times New Roman" w:hAnsi="Calibri" w:cs="Calibri"/>
          <w:b/>
          <w:bCs/>
          <w:spacing w:val="15"/>
          <w:kern w:val="36"/>
          <w:sz w:val="28"/>
          <w:szCs w:val="28"/>
        </w:rPr>
        <w:lastRenderedPageBreak/>
        <w:t>Key Emergency Authority and Immunity Concepts</w:t>
      </w:r>
      <w:bookmarkEnd w:id="2"/>
    </w:p>
    <w:p w14:paraId="15B7F7E6" w14:textId="77777777" w:rsidR="005E0299" w:rsidRPr="00B540AC" w:rsidRDefault="005E0299" w:rsidP="004C19B5">
      <w:pPr>
        <w:spacing w:line="480" w:lineRule="auto"/>
        <w:rPr>
          <w:rFonts w:ascii="Calibri" w:eastAsia="Times New Roman" w:hAnsi="Calibri" w:cs="Calibri"/>
          <w:b/>
          <w:bCs/>
          <w:sz w:val="24"/>
          <w:szCs w:val="24"/>
        </w:rPr>
      </w:pPr>
      <w:r w:rsidRPr="00B540AC">
        <w:rPr>
          <w:rFonts w:ascii="Calibri" w:eastAsia="Times New Roman" w:hAnsi="Calibri" w:cs="Calibri"/>
          <w:b/>
          <w:bCs/>
          <w:sz w:val="24"/>
          <w:szCs w:val="24"/>
        </w:rPr>
        <w:t>Executive Overview</w:t>
      </w:r>
    </w:p>
    <w:p w14:paraId="4DADEAC0" w14:textId="77777777" w:rsidR="005E0299" w:rsidRPr="00AC2864" w:rsidRDefault="005E0299" w:rsidP="004C19B5">
      <w:pPr>
        <w:shd w:val="clear" w:color="auto" w:fill="FFFFFF"/>
        <w:spacing w:line="480" w:lineRule="auto"/>
        <w:textAlignment w:val="baseline"/>
        <w:rPr>
          <w:rFonts w:ascii="Calibri" w:eastAsia="Times New Roman" w:hAnsi="Calibri" w:cs="Calibri"/>
          <w:szCs w:val="20"/>
        </w:rPr>
      </w:pPr>
      <w:r w:rsidRPr="00B540AC">
        <w:rPr>
          <w:rFonts w:ascii="Calibri" w:eastAsia="Times New Roman" w:hAnsi="Calibri" w:cs="Calibri"/>
          <w:szCs w:val="20"/>
        </w:rPr>
        <w:br/>
        <w:t xml:space="preserve">This document provides a brief overview of important concepts related to emergency authority and immunity issues frequently queried by state health agencies. Additional details on these and other concepts are contained in other fact sheets in the ASTHO Emergency Authority and Immunity Toolkit. </w:t>
      </w:r>
    </w:p>
    <w:p w14:paraId="2413AA6F" w14:textId="77777777" w:rsidR="005E0299" w:rsidRPr="00B540AC" w:rsidRDefault="005E0299" w:rsidP="004C19B5">
      <w:pPr>
        <w:shd w:val="clear" w:color="auto" w:fill="FFFFFF"/>
        <w:spacing w:line="480" w:lineRule="auto"/>
        <w:textAlignment w:val="baseline"/>
        <w:rPr>
          <w:rFonts w:ascii="Calibri" w:eastAsia="Times New Roman" w:hAnsi="Calibri" w:cs="Calibri"/>
          <w:szCs w:val="20"/>
        </w:rPr>
      </w:pPr>
    </w:p>
    <w:p w14:paraId="217E2045" w14:textId="77777777" w:rsidR="005E0299" w:rsidRPr="00B540AC" w:rsidRDefault="005E0299" w:rsidP="004C19B5">
      <w:pPr>
        <w:spacing w:line="480" w:lineRule="auto"/>
        <w:rPr>
          <w:rFonts w:ascii="Calibri" w:eastAsia="Times New Roman" w:hAnsi="Calibri" w:cs="Calibri"/>
          <w:b/>
          <w:bCs/>
          <w:sz w:val="24"/>
          <w:szCs w:val="24"/>
        </w:rPr>
      </w:pPr>
      <w:r w:rsidRPr="00B540AC">
        <w:rPr>
          <w:rFonts w:ascii="Calibri" w:eastAsia="Times New Roman" w:hAnsi="Calibri" w:cs="Calibri"/>
          <w:b/>
          <w:bCs/>
          <w:sz w:val="24"/>
          <w:szCs w:val="24"/>
        </w:rPr>
        <w:t>Existing Authorities Without an Emergency Declaration</w:t>
      </w:r>
    </w:p>
    <w:p w14:paraId="7EA8B687" w14:textId="77777777" w:rsidR="005E0299" w:rsidRPr="00AC2864" w:rsidRDefault="005E0299" w:rsidP="004C19B5">
      <w:pPr>
        <w:shd w:val="clear" w:color="auto" w:fill="FFFFFF"/>
        <w:spacing w:line="480" w:lineRule="auto"/>
        <w:textAlignment w:val="baseline"/>
        <w:rPr>
          <w:rFonts w:ascii="Calibri" w:eastAsia="Times New Roman" w:hAnsi="Calibri" w:cs="Calibri"/>
          <w:szCs w:val="20"/>
        </w:rPr>
      </w:pPr>
      <w:r w:rsidRPr="00B540AC">
        <w:rPr>
          <w:rFonts w:ascii="Calibri" w:eastAsia="Times New Roman" w:hAnsi="Calibri" w:cs="Calibri"/>
          <w:szCs w:val="20"/>
        </w:rPr>
        <w:t xml:space="preserve">State and federal officials generally have existing broad powers to address emergency situations by virtue of the statutory authorities granted to their position without having to formally declare a state of emergency. A </w:t>
      </w:r>
      <w:proofErr w:type="gramStart"/>
      <w:r w:rsidRPr="00B540AC">
        <w:rPr>
          <w:rFonts w:ascii="Calibri" w:eastAsia="Times New Roman" w:hAnsi="Calibri" w:cs="Calibri"/>
          <w:szCs w:val="20"/>
        </w:rPr>
        <w:t>state health officer’s existing authorities</w:t>
      </w:r>
      <w:proofErr w:type="gramEnd"/>
      <w:r w:rsidRPr="00B540AC">
        <w:rPr>
          <w:rFonts w:ascii="Calibri" w:eastAsia="Times New Roman" w:hAnsi="Calibri" w:cs="Calibri"/>
          <w:szCs w:val="20"/>
        </w:rPr>
        <w:t xml:space="preserve"> generally include a broad grant of authority to, among other things, abate nuisances, investigate the causes of disease, and institute quarantine measures. Similarly, the HHS secretary has broad statutory powers to provide assistance to states and localities to address public health conditions. The determination to declare or not to declare an emergency has implications for the legal authorities and operational resources available to respond to an event. Instances like the 2009 H1N1 influenza pandemic, in which some jurisdictions did not declare a state of emergency while the federal government and other states did, caused confusion among healthcare providers, businesses, and the public. Either decision must be accompanied by clear communications about the rationale for the action and its implications for various stakeholders. </w:t>
      </w:r>
    </w:p>
    <w:p w14:paraId="296F537A" w14:textId="77777777" w:rsidR="005E0299" w:rsidRPr="00B540AC" w:rsidRDefault="005E0299" w:rsidP="004C19B5">
      <w:pPr>
        <w:shd w:val="clear" w:color="auto" w:fill="FFFFFF"/>
        <w:spacing w:line="480" w:lineRule="auto"/>
        <w:textAlignment w:val="baseline"/>
        <w:rPr>
          <w:rFonts w:ascii="Calibri" w:eastAsia="Times New Roman" w:hAnsi="Calibri" w:cs="Calibri"/>
          <w:szCs w:val="20"/>
        </w:rPr>
      </w:pPr>
    </w:p>
    <w:p w14:paraId="2EE241AB" w14:textId="77777777" w:rsidR="005E0299" w:rsidRPr="00B540AC" w:rsidRDefault="005E0299" w:rsidP="004C19B5">
      <w:pPr>
        <w:spacing w:line="480" w:lineRule="auto"/>
        <w:rPr>
          <w:rFonts w:ascii="Calibri" w:eastAsia="Times New Roman" w:hAnsi="Calibri" w:cs="Calibri"/>
          <w:b/>
          <w:bCs/>
          <w:sz w:val="24"/>
          <w:szCs w:val="24"/>
        </w:rPr>
      </w:pPr>
      <w:r w:rsidRPr="00B540AC">
        <w:rPr>
          <w:rFonts w:ascii="Calibri" w:eastAsia="Times New Roman" w:hAnsi="Calibri" w:cs="Calibri"/>
          <w:b/>
          <w:bCs/>
          <w:sz w:val="24"/>
          <w:szCs w:val="24"/>
        </w:rPr>
        <w:t>Emergency Declarations</w:t>
      </w:r>
    </w:p>
    <w:p w14:paraId="38FE0880" w14:textId="77777777" w:rsidR="005E0299" w:rsidRPr="00AC2864" w:rsidRDefault="005E0299" w:rsidP="004C19B5">
      <w:pPr>
        <w:shd w:val="clear" w:color="auto" w:fill="FFFFFF"/>
        <w:spacing w:line="480" w:lineRule="auto"/>
        <w:textAlignment w:val="baseline"/>
        <w:rPr>
          <w:rFonts w:ascii="Calibri" w:eastAsia="Times New Roman" w:hAnsi="Calibri" w:cs="Calibri"/>
          <w:szCs w:val="20"/>
        </w:rPr>
      </w:pPr>
      <w:r w:rsidRPr="00B540AC">
        <w:rPr>
          <w:rFonts w:ascii="Calibri" w:eastAsia="Times New Roman" w:hAnsi="Calibri" w:cs="Calibri"/>
          <w:szCs w:val="20"/>
        </w:rPr>
        <w:t xml:space="preserve">An emergency declaration allows certain governmental officials to temporarily suspend governmental operations and implement response activities to address the emergency circumstances. The authority to </w:t>
      </w:r>
      <w:r w:rsidRPr="00B540AC">
        <w:rPr>
          <w:rFonts w:ascii="Calibri" w:eastAsia="Times New Roman" w:hAnsi="Calibri" w:cs="Calibri"/>
          <w:szCs w:val="20"/>
        </w:rPr>
        <w:lastRenderedPageBreak/>
        <w:t>declare an emergency is determined by law and reserved for a chief executive officer (e.g., the president, a governor) and key senior governmental officials (e.g., HHS secretary, a state health officer). In some states, local officials may be able to declare local emergencies. While unique to each state, generally the governor (or other official) may declare an emergency by issuing an executive order or other declaration that outlines the conditions giving rise to the emergency, the effective date and duration of the declaration, and the agency leading the response. Gubernatorial and other declarations may require legislative approval within a given time period or upon seeking renewal of the declaration. </w:t>
      </w:r>
    </w:p>
    <w:p w14:paraId="0498E601" w14:textId="77777777" w:rsidR="005E0299" w:rsidRPr="00B540AC" w:rsidRDefault="005E0299" w:rsidP="004C19B5">
      <w:pPr>
        <w:shd w:val="clear" w:color="auto" w:fill="FFFFFF"/>
        <w:spacing w:line="480" w:lineRule="auto"/>
        <w:textAlignment w:val="baseline"/>
        <w:rPr>
          <w:rFonts w:ascii="Calibri" w:eastAsia="Times New Roman" w:hAnsi="Calibri" w:cs="Calibri"/>
          <w:szCs w:val="20"/>
        </w:rPr>
      </w:pPr>
    </w:p>
    <w:p w14:paraId="78BC5D1F" w14:textId="77777777" w:rsidR="005E0299" w:rsidRPr="00B540AC" w:rsidRDefault="005E0299" w:rsidP="004C19B5">
      <w:pPr>
        <w:spacing w:line="480" w:lineRule="auto"/>
        <w:rPr>
          <w:rFonts w:ascii="Calibri" w:eastAsia="Times New Roman" w:hAnsi="Calibri" w:cs="Calibri"/>
          <w:b/>
          <w:bCs/>
          <w:sz w:val="24"/>
          <w:szCs w:val="24"/>
        </w:rPr>
      </w:pPr>
      <w:r w:rsidRPr="00B540AC">
        <w:rPr>
          <w:rFonts w:ascii="Calibri" w:eastAsia="Times New Roman" w:hAnsi="Calibri" w:cs="Calibri"/>
          <w:b/>
          <w:bCs/>
          <w:sz w:val="24"/>
          <w:szCs w:val="24"/>
        </w:rPr>
        <w:t>Emergency Authorities</w:t>
      </w:r>
    </w:p>
    <w:p w14:paraId="6D4D6745" w14:textId="77777777" w:rsidR="005E0299" w:rsidRPr="00AC2864" w:rsidRDefault="005E0299" w:rsidP="004C19B5">
      <w:pPr>
        <w:shd w:val="clear" w:color="auto" w:fill="FFFFFF"/>
        <w:spacing w:line="480" w:lineRule="auto"/>
        <w:textAlignment w:val="baseline"/>
        <w:rPr>
          <w:rFonts w:ascii="Calibri" w:eastAsia="Times New Roman" w:hAnsi="Calibri" w:cs="Calibri"/>
          <w:szCs w:val="20"/>
        </w:rPr>
      </w:pPr>
      <w:r w:rsidRPr="00B540AC">
        <w:rPr>
          <w:rFonts w:ascii="Calibri" w:eastAsia="Times New Roman" w:hAnsi="Calibri" w:cs="Calibri"/>
          <w:szCs w:val="20"/>
        </w:rPr>
        <w:t>Both federal and state emergency declarations activate emergency authorities designed to facilitate the response to and recovery from the emergency event. A state emergency declaration triggers a number of authorities and actions by state or local governments, such as activation of state emergency response plans and mutual aid agreements; activation of state incident command systems and emergency operation centers; authority to deploy personnel, equipment, supplies, and stockpiles; activation of statutory immunities and liability protections for responders; and suspension or waiver of rules, regulations, and administrative procedures. In some states, an emergency declaration authorizes the waiver of specified statutory requirements. </w:t>
      </w:r>
    </w:p>
    <w:p w14:paraId="4D7FA964" w14:textId="77777777" w:rsidR="005E0299" w:rsidRPr="00B540AC" w:rsidRDefault="005E0299" w:rsidP="004C19B5">
      <w:pPr>
        <w:shd w:val="clear" w:color="auto" w:fill="FFFFFF"/>
        <w:spacing w:line="480" w:lineRule="auto"/>
        <w:textAlignment w:val="baseline"/>
        <w:rPr>
          <w:rFonts w:ascii="Calibri" w:eastAsia="Times New Roman" w:hAnsi="Calibri" w:cs="Calibri"/>
          <w:szCs w:val="20"/>
        </w:rPr>
      </w:pPr>
    </w:p>
    <w:p w14:paraId="35924DC0" w14:textId="77777777" w:rsidR="005E0299" w:rsidRPr="00B540AC" w:rsidRDefault="005E0299" w:rsidP="004C19B5">
      <w:pPr>
        <w:spacing w:line="480" w:lineRule="auto"/>
        <w:rPr>
          <w:rFonts w:ascii="Calibri" w:eastAsia="Times New Roman" w:hAnsi="Calibri" w:cs="Calibri"/>
          <w:b/>
          <w:bCs/>
          <w:sz w:val="24"/>
          <w:szCs w:val="24"/>
        </w:rPr>
      </w:pPr>
      <w:r w:rsidRPr="00B540AC">
        <w:rPr>
          <w:rFonts w:ascii="Calibri" w:eastAsia="Times New Roman" w:hAnsi="Calibri" w:cs="Calibri"/>
          <w:b/>
          <w:bCs/>
          <w:sz w:val="24"/>
          <w:szCs w:val="24"/>
        </w:rPr>
        <w:t>Liability During Emergency Responses</w:t>
      </w:r>
    </w:p>
    <w:p w14:paraId="48BD9238" w14:textId="77777777" w:rsidR="005E0299" w:rsidRPr="00AC2864" w:rsidRDefault="005E0299" w:rsidP="004C19B5">
      <w:pPr>
        <w:shd w:val="clear" w:color="auto" w:fill="FFFFFF"/>
        <w:spacing w:line="480" w:lineRule="auto"/>
        <w:textAlignment w:val="baseline"/>
        <w:rPr>
          <w:rFonts w:ascii="Calibri" w:eastAsia="Times New Roman" w:hAnsi="Calibri" w:cs="Calibri"/>
          <w:szCs w:val="20"/>
        </w:rPr>
      </w:pPr>
      <w:r w:rsidRPr="00B540AC">
        <w:rPr>
          <w:rFonts w:ascii="Calibri" w:eastAsia="Times New Roman" w:hAnsi="Calibri" w:cs="Calibri"/>
          <w:szCs w:val="20"/>
        </w:rPr>
        <w:t xml:space="preserve">Concerns about liability regularly arise during emergency response situations. Government employees, volunteers and healthcare providers, and entities such as businesses and nonprofits all worry about potential liability for their actions during an emergency. Persons or entities (e.g., businesses, nonprofits) are legally responsible for their own acts or omissions. Persons and entities can also be vicariously liable for the acts or omissions of another person with whom they have a particular legal relationship (e.g., </w:t>
      </w:r>
      <w:r w:rsidRPr="00B540AC">
        <w:rPr>
          <w:rFonts w:ascii="Calibri" w:eastAsia="Times New Roman" w:hAnsi="Calibri" w:cs="Calibri"/>
          <w:szCs w:val="20"/>
        </w:rPr>
        <w:lastRenderedPageBreak/>
        <w:t>employee, agent, officer). Persons and entities involved in emergency response activities could be liable under a number of legal theories; most commonly, for civil tort liability. A tort is an action in which an actor (a person or entity) either intentionally or unintentionally causes harm to another person or property. Intentional torts occur when an actor intends to harm a person or property. Unintentional torts occur when an actor harms another person or property but did not intend to harm. </w:t>
      </w:r>
      <w:r w:rsidRPr="00B540AC">
        <w:rPr>
          <w:rFonts w:ascii="Calibri" w:eastAsia="Times New Roman" w:hAnsi="Calibri" w:cs="Calibri"/>
          <w:szCs w:val="20"/>
        </w:rPr>
        <w:br/>
      </w:r>
      <w:r w:rsidRPr="00B540AC">
        <w:rPr>
          <w:rFonts w:ascii="Calibri" w:eastAsia="Times New Roman" w:hAnsi="Calibri" w:cs="Calibri"/>
          <w:szCs w:val="20"/>
        </w:rPr>
        <w:br/>
        <w:t>Negligence is the most frequently identified unintentional tort and the legal theory most likely to arise from harms stemming from an emergency response. Negligence occurs when a person or entity with a duty to another fails in the performance of that duty, thereby causing harm to the other person. Within negligence there are a number of theories that could apply in the emergency response context: medical malpractice, failure to plan or prepare, breach of privacy and confidentiality, or premises liability. A claim of gross negligence, which can also encompass willful or wanton conduct, can arise if the conduct or failure to act is so reckless that it demonstrates disregard for whether injury or harm will occur. A person or entity may assert a defense of immunity against a negligence claim. </w:t>
      </w:r>
    </w:p>
    <w:p w14:paraId="2B9F5586" w14:textId="77777777" w:rsidR="005E0299" w:rsidRPr="00B540AC" w:rsidRDefault="005E0299" w:rsidP="004C19B5">
      <w:pPr>
        <w:shd w:val="clear" w:color="auto" w:fill="FFFFFF"/>
        <w:spacing w:line="480" w:lineRule="auto"/>
        <w:textAlignment w:val="baseline"/>
        <w:rPr>
          <w:rFonts w:ascii="Calibri" w:eastAsia="Times New Roman" w:hAnsi="Calibri" w:cs="Calibri"/>
          <w:sz w:val="20"/>
          <w:szCs w:val="20"/>
        </w:rPr>
      </w:pPr>
    </w:p>
    <w:p w14:paraId="1AA0ADBB" w14:textId="77777777" w:rsidR="005E0299" w:rsidRPr="00B540AC" w:rsidRDefault="005E0299" w:rsidP="004C19B5">
      <w:pPr>
        <w:spacing w:line="480" w:lineRule="auto"/>
        <w:rPr>
          <w:rFonts w:ascii="Calibri" w:eastAsia="Times New Roman" w:hAnsi="Calibri" w:cs="Calibri"/>
          <w:b/>
          <w:bCs/>
          <w:sz w:val="24"/>
          <w:szCs w:val="24"/>
        </w:rPr>
      </w:pPr>
      <w:r w:rsidRPr="00B540AC">
        <w:rPr>
          <w:rFonts w:ascii="Calibri" w:eastAsia="Times New Roman" w:hAnsi="Calibri" w:cs="Calibri"/>
          <w:b/>
          <w:bCs/>
          <w:sz w:val="24"/>
          <w:szCs w:val="24"/>
        </w:rPr>
        <w:t>Immunity</w:t>
      </w:r>
    </w:p>
    <w:p w14:paraId="21358D51" w14:textId="77777777" w:rsidR="005E0299" w:rsidRPr="00AC2864" w:rsidRDefault="005E0299" w:rsidP="004C19B5">
      <w:pPr>
        <w:shd w:val="clear" w:color="auto" w:fill="FFFFFF"/>
        <w:spacing w:line="480" w:lineRule="auto"/>
        <w:textAlignment w:val="baseline"/>
        <w:rPr>
          <w:rFonts w:ascii="Calibri" w:eastAsia="Times New Roman" w:hAnsi="Calibri" w:cs="Calibri"/>
          <w:szCs w:val="20"/>
        </w:rPr>
      </w:pPr>
      <w:r w:rsidRPr="00B540AC">
        <w:rPr>
          <w:rFonts w:ascii="Calibri" w:eastAsia="Times New Roman" w:hAnsi="Calibri" w:cs="Calibri"/>
          <w:sz w:val="20"/>
          <w:szCs w:val="20"/>
        </w:rPr>
        <w:t>T</w:t>
      </w:r>
      <w:r w:rsidRPr="00B540AC">
        <w:rPr>
          <w:rFonts w:ascii="Calibri" w:eastAsia="Times New Roman" w:hAnsi="Calibri" w:cs="Calibri"/>
          <w:szCs w:val="20"/>
        </w:rPr>
        <w:t>here are traditional immunities in the law as well as newer immunity protections that have been developed over the last decade in federal and state law; together, these various laws form a patchwork of liability protections. These protections serve an important public policy function by ensuring that there are adequate numbers of medical, public health, and other individuals and institutions that are able to participate in preparedness and response efforts. Yet these protections can depend on the nature of the services provided by the person (volunteer vs. paid employee) and the extent of protections provided under the emergency response program the person is deployed under. </w:t>
      </w:r>
      <w:r w:rsidRPr="00B540AC">
        <w:rPr>
          <w:rFonts w:ascii="Calibri" w:eastAsia="Times New Roman" w:hAnsi="Calibri" w:cs="Calibri"/>
          <w:szCs w:val="20"/>
        </w:rPr>
        <w:br/>
      </w:r>
      <w:r w:rsidRPr="00B540AC">
        <w:rPr>
          <w:rFonts w:ascii="Calibri" w:eastAsia="Times New Roman" w:hAnsi="Calibri" w:cs="Calibri"/>
          <w:szCs w:val="20"/>
        </w:rPr>
        <w:br/>
      </w:r>
      <w:r w:rsidRPr="00B540AC">
        <w:rPr>
          <w:rFonts w:ascii="Calibri" w:eastAsia="Times New Roman" w:hAnsi="Calibri" w:cs="Calibri"/>
          <w:szCs w:val="20"/>
        </w:rPr>
        <w:lastRenderedPageBreak/>
        <w:t>The defense of governmental or sovereign immunity is a traditional theory of immunity that has its roots in English common law. This doctrine holds that a government and employees and agents of the government cannot be sued for injuries that occur in the course of their official duties. This immunity, however, has been refined over time. In one approach, state and federal tort claims laws expressly allow governments to be sued like a private party with certain exceptions. In another approach, the overall concept of governmental immunity is retained but waived in some instances, such as when government employees have committed gross negligence, criminal acts, or violations of constitutional rights. </w:t>
      </w:r>
      <w:r w:rsidRPr="00B540AC">
        <w:rPr>
          <w:rFonts w:ascii="Calibri" w:eastAsia="Times New Roman" w:hAnsi="Calibri" w:cs="Calibri"/>
          <w:szCs w:val="20"/>
        </w:rPr>
        <w:br/>
      </w:r>
      <w:r w:rsidRPr="00B540AC">
        <w:rPr>
          <w:rFonts w:ascii="Calibri" w:eastAsia="Times New Roman" w:hAnsi="Calibri" w:cs="Calibri"/>
          <w:szCs w:val="20"/>
        </w:rPr>
        <w:br/>
        <w:t>Over the course of the last decade, a number of federal, state, and model laws have been created or refined that provide immunity and other liability protections for specific individuals, entities, or classes of actors for their roles in preparing for or responding to an emergency. Such laws have addressed protections for volunteers—especially healthcare volunteers—and organizations and individuals involved in making or administering vaccines, drugs, and other countermeasures to public health emergencies. Some federal laws can confer federal immunity for activities conducted by state or local actors. State laws that trigger emergency authorities may also provide liability protections for volunteers and other responders. Mutual aid agreements in which jurisdictions agree to exchange assistance during emergencies can also provide a source of immunity if volunteers and other responders are deemed to be state employees eligible for governmental immunity. </w:t>
      </w:r>
    </w:p>
    <w:p w14:paraId="1E7B209D" w14:textId="77777777" w:rsidR="005E0299" w:rsidRPr="00B540AC" w:rsidRDefault="005E0299" w:rsidP="004C19B5">
      <w:pPr>
        <w:shd w:val="clear" w:color="auto" w:fill="FFFFFF"/>
        <w:spacing w:line="480" w:lineRule="auto"/>
        <w:textAlignment w:val="baseline"/>
        <w:rPr>
          <w:rFonts w:ascii="Calibri" w:eastAsia="Times New Roman" w:hAnsi="Calibri" w:cs="Calibri"/>
          <w:sz w:val="20"/>
          <w:szCs w:val="20"/>
        </w:rPr>
      </w:pPr>
    </w:p>
    <w:p w14:paraId="749EE5BF" w14:textId="77777777" w:rsidR="005E0299" w:rsidRPr="00B540AC" w:rsidRDefault="005E0299" w:rsidP="004C19B5">
      <w:pPr>
        <w:spacing w:line="480" w:lineRule="auto"/>
        <w:rPr>
          <w:rFonts w:ascii="Calibri" w:eastAsia="Times New Roman" w:hAnsi="Calibri" w:cs="Calibri"/>
          <w:b/>
          <w:bCs/>
          <w:sz w:val="24"/>
          <w:szCs w:val="24"/>
        </w:rPr>
      </w:pPr>
      <w:r w:rsidRPr="00B540AC">
        <w:rPr>
          <w:rFonts w:ascii="Calibri" w:eastAsia="Times New Roman" w:hAnsi="Calibri" w:cs="Calibri"/>
          <w:b/>
          <w:bCs/>
          <w:sz w:val="24"/>
          <w:szCs w:val="24"/>
        </w:rPr>
        <w:t>Workers’ Compensation and Disability Resources</w:t>
      </w:r>
    </w:p>
    <w:p w14:paraId="0EE0D1DE" w14:textId="77777777" w:rsidR="005E0299" w:rsidRPr="00B540AC" w:rsidRDefault="005E0299" w:rsidP="004C19B5">
      <w:pPr>
        <w:shd w:val="clear" w:color="auto" w:fill="FFFFFF"/>
        <w:spacing w:line="480" w:lineRule="auto"/>
        <w:textAlignment w:val="baseline"/>
        <w:rPr>
          <w:rFonts w:ascii="Calibri" w:eastAsia="Times New Roman" w:hAnsi="Calibri" w:cs="Calibri"/>
          <w:szCs w:val="20"/>
        </w:rPr>
      </w:pPr>
      <w:r w:rsidRPr="00B540AC">
        <w:rPr>
          <w:rFonts w:ascii="Calibri" w:eastAsia="Times New Roman" w:hAnsi="Calibri" w:cs="Calibri"/>
          <w:szCs w:val="20"/>
        </w:rPr>
        <w:t xml:space="preserve">Volunteers and other responders who participate in emergency response events may be injured during their deployment. Depending on the circumstances, workers’ compensation and other disability benefits may be available to provide payment for injuries received while participating in a response. These protections, however, are highly dependent on the nature of the services provided by the person </w:t>
      </w:r>
      <w:r w:rsidRPr="00B540AC">
        <w:rPr>
          <w:rFonts w:ascii="Calibri" w:eastAsia="Times New Roman" w:hAnsi="Calibri" w:cs="Calibri"/>
          <w:szCs w:val="20"/>
        </w:rPr>
        <w:lastRenderedPageBreak/>
        <w:t>(volunteer vs. paid employee) and an individual’s access to alternative compensation mechanisms. Workers’ compensation laws are enacted and administered by states. As such, each program is unique and the requirements for coverage and the types and amounts of benefits vary state to state. Some types of organizations or activities are exempted from coverage under state workers’ compensation programs, including nonprofit, charitable, or religious institutions, small businesses under a specific size, and hazardous occupations. Some states also exempt domestic service, agricultural employment, casual laborers, and state and local employees. Some of these groups may be provided coverage through other mechanisms, such as disability insurance or union agreements. </w:t>
      </w:r>
      <w:r w:rsidRPr="00B540AC">
        <w:rPr>
          <w:rFonts w:ascii="Calibri" w:eastAsia="Times New Roman" w:hAnsi="Calibri" w:cs="Calibri"/>
          <w:szCs w:val="20"/>
        </w:rPr>
        <w:br/>
      </w:r>
      <w:r w:rsidRPr="00B540AC">
        <w:rPr>
          <w:rFonts w:ascii="Calibri" w:eastAsia="Times New Roman" w:hAnsi="Calibri" w:cs="Calibri"/>
          <w:szCs w:val="20"/>
        </w:rPr>
        <w:br/>
        <w:t>Persons who act as volunteers in an emergency response scenario may not be eligible for coverage under a state’s workers’ compensation law because they are not considered to be employees while they are volunteering. Other considerations that can affect the determination of whether a person is eligible for workers’ compensation include which state law applies in an interstate deployment, who is covered under a state’s workers’ compensation law, who the employer is during the deployment, and what scope of activities are covered during the deployment. </w:t>
      </w:r>
      <w:r w:rsidRPr="00B540AC">
        <w:rPr>
          <w:rFonts w:ascii="Calibri" w:eastAsia="Times New Roman" w:hAnsi="Calibri" w:cs="Calibri"/>
          <w:szCs w:val="20"/>
        </w:rPr>
        <w:br/>
      </w:r>
      <w:r w:rsidRPr="00B540AC">
        <w:rPr>
          <w:rFonts w:ascii="Calibri" w:eastAsia="Times New Roman" w:hAnsi="Calibri" w:cs="Calibri"/>
          <w:szCs w:val="20"/>
        </w:rPr>
        <w:br/>
        <w:t xml:space="preserve">As an addition or an alternative to workers’ compensation, an individual may have access to other sources of disability benefits. Some people may have coverage for work-related or non-work-related injuries through paid sick leave, temporary or short-term disability benefits/insurance, and long-term disability insurance. Not all persons have access to these additional resources, however, unless an employer offers them or a person obtains an individual disability policy. The specifics of a disability policy will dictate whether coverage is available only for work-related injuries or for non-work-related injuries that may occur during a volunteer emergency response deployment. Federal and state laws </w:t>
      </w:r>
      <w:r w:rsidRPr="00B540AC">
        <w:rPr>
          <w:rFonts w:ascii="Calibri" w:eastAsia="Times New Roman" w:hAnsi="Calibri" w:cs="Calibri"/>
          <w:szCs w:val="20"/>
        </w:rPr>
        <w:lastRenderedPageBreak/>
        <w:t>have created mechanisms or funds to compensate specific groups of people based on their occupation or involvement in a specific injurious event. </w:t>
      </w:r>
    </w:p>
    <w:p w14:paraId="0462EDC2" w14:textId="77777777" w:rsidR="00552958" w:rsidRDefault="00552958">
      <w:pPr>
        <w:rPr>
          <w:rFonts w:ascii="Calibri" w:hAnsi="Calibri" w:cs="Calibri"/>
          <w:sz w:val="24"/>
        </w:rPr>
      </w:pPr>
    </w:p>
    <w:p w14:paraId="781C0103" w14:textId="36E5FAA3" w:rsidR="00552958" w:rsidRDefault="00552958">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 xml:space="preserve">TOC </w:t>
        </w:r>
        <w:r w:rsidRPr="00B16B87">
          <w:rPr>
            <w:rStyle w:val="Hyperlink"/>
            <w:rFonts w:ascii="Calibri" w:hAnsi="Calibri" w:cs="Calibri"/>
            <w:sz w:val="24"/>
          </w:rPr>
          <w:t>t</w:t>
        </w:r>
        <w:r w:rsidRPr="00B16B87">
          <w:rPr>
            <w:rStyle w:val="Hyperlink"/>
            <w:rFonts w:ascii="Calibri" w:hAnsi="Calibri" w:cs="Calibri"/>
            <w:sz w:val="24"/>
          </w:rPr>
          <w:t>op</w:t>
        </w:r>
      </w:hyperlink>
      <w:r>
        <w:rPr>
          <w:rFonts w:ascii="Calibri" w:hAnsi="Calibri" w:cs="Calibri"/>
          <w:sz w:val="24"/>
        </w:rPr>
        <w:t>]</w:t>
      </w:r>
    </w:p>
    <w:p w14:paraId="61DFE054" w14:textId="6247D0A4" w:rsidR="00552958" w:rsidRDefault="00552958">
      <w:pPr>
        <w:rPr>
          <w:rFonts w:ascii="Calibri" w:hAnsi="Calibri" w:cs="Calibri"/>
          <w:sz w:val="24"/>
        </w:rPr>
      </w:pPr>
      <w:r>
        <w:rPr>
          <w:rFonts w:ascii="Calibri" w:hAnsi="Calibri" w:cs="Calibri"/>
          <w:sz w:val="24"/>
        </w:rPr>
        <w:br w:type="page"/>
      </w:r>
    </w:p>
    <w:p w14:paraId="3CF78CA5" w14:textId="77777777" w:rsidR="005E0299" w:rsidRPr="00F47005" w:rsidRDefault="005E0299" w:rsidP="004C19B5">
      <w:pPr>
        <w:spacing w:after="120"/>
        <w:rPr>
          <w:rFonts w:eastAsia="Times New Roman" w:cstheme="minorHAnsi"/>
          <w:b/>
          <w:bCs/>
          <w:color w:val="333333"/>
          <w:spacing w:val="15"/>
          <w:kern w:val="36"/>
          <w:sz w:val="28"/>
          <w:szCs w:val="28"/>
        </w:rPr>
      </w:pPr>
      <w:bookmarkStart w:id="3" w:name="KeyFedLawPols_EO"/>
      <w:r w:rsidRPr="00F47005">
        <w:rPr>
          <w:rFonts w:eastAsia="Times New Roman" w:cstheme="minorHAnsi"/>
          <w:b/>
          <w:bCs/>
          <w:color w:val="333333"/>
          <w:spacing w:val="15"/>
          <w:kern w:val="36"/>
          <w:sz w:val="28"/>
          <w:szCs w:val="28"/>
        </w:rPr>
        <w:lastRenderedPageBreak/>
        <w:t>Key Federal Laws and Policies Regarding Emergency Authority and Immunity</w:t>
      </w:r>
      <w:bookmarkEnd w:id="3"/>
    </w:p>
    <w:p w14:paraId="7FDB7147" w14:textId="77777777" w:rsidR="005E0299" w:rsidRPr="00F47005" w:rsidRDefault="005E0299" w:rsidP="004C19B5">
      <w:pPr>
        <w:spacing w:line="480" w:lineRule="auto"/>
        <w:rPr>
          <w:rFonts w:eastAsia="Times New Roman" w:cstheme="minorHAnsi"/>
          <w:b/>
          <w:bCs/>
          <w:color w:val="3C3030"/>
          <w:sz w:val="24"/>
          <w:szCs w:val="24"/>
        </w:rPr>
      </w:pPr>
      <w:r w:rsidRPr="00F47005">
        <w:rPr>
          <w:rFonts w:eastAsia="Times New Roman" w:cstheme="minorHAnsi"/>
          <w:b/>
          <w:bCs/>
          <w:color w:val="3C3030"/>
          <w:sz w:val="24"/>
          <w:szCs w:val="24"/>
        </w:rPr>
        <w:t>Executive Overview</w:t>
      </w:r>
    </w:p>
    <w:p w14:paraId="20959ABE" w14:textId="77777777" w:rsidR="005E0299" w:rsidRPr="00CB21D2" w:rsidRDefault="005E0299" w:rsidP="004C19B5">
      <w:pPr>
        <w:shd w:val="clear" w:color="auto" w:fill="FFFFFF"/>
        <w:spacing w:line="480" w:lineRule="auto"/>
        <w:textAlignment w:val="baseline"/>
        <w:rPr>
          <w:rFonts w:eastAsia="Times New Roman" w:cstheme="minorHAnsi"/>
          <w:szCs w:val="20"/>
        </w:rPr>
      </w:pPr>
      <w:r w:rsidRPr="00F47005">
        <w:rPr>
          <w:rFonts w:eastAsia="Times New Roman" w:cstheme="minorHAnsi"/>
          <w:szCs w:val="20"/>
        </w:rPr>
        <w:t xml:space="preserve">This document provides a brief overview of key federal laws and policies that govern or affect state emergency preparedness and response activities. This list does not contain all relevant or controlling federal authorities, but highlights items frequently queried by state health agencies regarding emergency authority and immunity issues. Additional information on these authorities is contained in other fact sheets in the ASTHO Emergency Authority and Immunity Toolkit. The items below are grouped into “Laws” and “Policies” sections and presented alphabetically within each section. </w:t>
      </w:r>
    </w:p>
    <w:p w14:paraId="265E3EDF" w14:textId="77777777" w:rsidR="005E0299" w:rsidRPr="00F47005" w:rsidRDefault="005E0299" w:rsidP="004C19B5">
      <w:pPr>
        <w:shd w:val="clear" w:color="auto" w:fill="FFFFFF"/>
        <w:spacing w:line="480" w:lineRule="auto"/>
        <w:textAlignment w:val="baseline"/>
        <w:rPr>
          <w:rFonts w:eastAsia="Times New Roman" w:cstheme="minorHAnsi"/>
          <w:szCs w:val="20"/>
        </w:rPr>
      </w:pPr>
    </w:p>
    <w:p w14:paraId="089EAE4F" w14:textId="77777777" w:rsidR="005E0299" w:rsidRPr="00F47005" w:rsidRDefault="005E0299" w:rsidP="004C19B5">
      <w:pPr>
        <w:spacing w:line="480" w:lineRule="auto"/>
        <w:rPr>
          <w:rFonts w:eastAsia="Times New Roman" w:cstheme="minorHAnsi"/>
          <w:b/>
          <w:bCs/>
          <w:color w:val="3C3030"/>
          <w:sz w:val="24"/>
          <w:szCs w:val="24"/>
        </w:rPr>
      </w:pPr>
      <w:r w:rsidRPr="00F47005">
        <w:rPr>
          <w:rFonts w:eastAsia="Times New Roman" w:cstheme="minorHAnsi"/>
          <w:b/>
          <w:bCs/>
          <w:color w:val="3C3030"/>
          <w:sz w:val="24"/>
          <w:szCs w:val="24"/>
        </w:rPr>
        <w:t>Laws</w:t>
      </w:r>
    </w:p>
    <w:p w14:paraId="4A91B024" w14:textId="77777777" w:rsidR="005E0299" w:rsidRPr="00F47005" w:rsidRDefault="005E0299" w:rsidP="004C19B5">
      <w:pPr>
        <w:shd w:val="clear" w:color="auto" w:fill="FFFFFF"/>
        <w:spacing w:after="240" w:line="480" w:lineRule="auto"/>
        <w:textAlignment w:val="baseline"/>
        <w:rPr>
          <w:rFonts w:eastAsia="Times New Roman" w:cstheme="minorHAnsi"/>
          <w:szCs w:val="20"/>
        </w:rPr>
      </w:pPr>
      <w:r w:rsidRPr="00F47005">
        <w:rPr>
          <w:rFonts w:eastAsia="Times New Roman" w:cstheme="minorHAnsi"/>
          <w:b/>
          <w:bCs/>
          <w:szCs w:val="20"/>
          <w:bdr w:val="none" w:sz="0" w:space="0" w:color="auto" w:frame="1"/>
        </w:rPr>
        <w:t>Emergency Management Assistance Compact (EMAC)—</w:t>
      </w:r>
      <w:r w:rsidRPr="00F47005">
        <w:rPr>
          <w:rFonts w:eastAsia="Times New Roman" w:cstheme="minorHAnsi"/>
          <w:szCs w:val="20"/>
        </w:rPr>
        <w:t>A congressionally authorized interstate mutual aid compact that provides a mechanism through which states can provide assistance to other states during emergencies. All states have joined EMAC by adopting model language into their state’s statutes. EMAC addresses reimbursement, liability, compensation, and licensure issues.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Federal Employees Compensation Act (FECA)—</w:t>
      </w:r>
      <w:r w:rsidRPr="00F47005">
        <w:rPr>
          <w:rFonts w:eastAsia="Times New Roman" w:cstheme="minorHAnsi"/>
          <w:szCs w:val="20"/>
        </w:rPr>
        <w:t>Provides workers’ compensation to civilian federal employees who are injured or killed during the course of their duties. Volunteers who may deploy in states under federal programs like the National Disaster Medical System or are otherwise deemed to be federal employees are covered under FECA.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Federal Tort Claims Act (FTCA)—</w:t>
      </w:r>
      <w:r w:rsidRPr="00F47005">
        <w:rPr>
          <w:rFonts w:eastAsia="Times New Roman" w:cstheme="minorHAnsi"/>
          <w:szCs w:val="20"/>
        </w:rPr>
        <w:t xml:space="preserve">Permits lawsuits to be brought against federal government employees in certain circumstances. FTCA allows individuals to seek compensation when they are injured by federal employees acting within the scope of their duties. The act immunizes federal government employees </w:t>
      </w:r>
      <w:r w:rsidRPr="00F47005">
        <w:rPr>
          <w:rFonts w:eastAsia="Times New Roman" w:cstheme="minorHAnsi"/>
          <w:szCs w:val="20"/>
        </w:rPr>
        <w:lastRenderedPageBreak/>
        <w:t>from tort liability (except in certain instances); the federal government assumes an employee’s role as defendant in a lawsuit against the employee. Volunteers of federal agencies deployed by those agencies are entitled to coverage under FTCA.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National Emergencies Act (NEA)—</w:t>
      </w:r>
      <w:r w:rsidRPr="00F47005">
        <w:rPr>
          <w:rFonts w:eastAsia="Times New Roman" w:cstheme="minorHAnsi"/>
          <w:szCs w:val="20"/>
        </w:rPr>
        <w:t>Allows the president to declare a national emergency, which triggers emergency authorities contained in other federal statutes. NEA does not contain any specific emergency authority on its own but relies on the emergency authorities in other statutes, such as the Public Health Service Act. President Obama used the NEA to declare the 2009 H1N1 influenza pandemic a national emergency. A declaration under the NEA (or the Stafford Act) and a Section 318 public health emergency declaration are required before the HHS secretary can exercise Social Security Act Section 1135 waiver authority.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Pandemic and All Hazards Preparedness Act (PAHPA)—</w:t>
      </w:r>
      <w:r w:rsidRPr="00F47005">
        <w:rPr>
          <w:rFonts w:eastAsia="Times New Roman" w:cstheme="minorHAnsi"/>
          <w:szCs w:val="20"/>
        </w:rPr>
        <w:t>Addresses the organization of public health emergency preparedness and response activities and authorizes programs concerning medical surge capacity, the capacity of states and localities to prepare for and respond to public health emergencies, and the development of countermeasures to biological threats (the Biodefense Advanced Research and Development Authority [BARDA]). Many of the offices and programs within the Department of Health and Human Services (HHS) that state public health preparedness programs interact with on a daily basis were developed or refined through PAHPA, including the Office of the Assistant Secretary for Preparedness and Response, grant programs such as Public Health Emergency Preparedness (PHEP) grants, the Hospital Preparedness Program, and the Healthcare Facility Partnership Program. The act also focuses on the needs of at-risk populations in emergency planning and response.  PAHPA was reauthorized in March 2013 in the Pandemic and All-Hazards Preparedness Reauthorization Act (PAHPRA).</w:t>
      </w:r>
      <w:r w:rsidRPr="00F47005">
        <w:rPr>
          <w:rFonts w:eastAsia="Times New Roman" w:cstheme="minorHAnsi"/>
          <w:szCs w:val="20"/>
        </w:rPr>
        <w:br/>
      </w:r>
      <w:r w:rsidRPr="00F47005">
        <w:rPr>
          <w:rFonts w:eastAsia="Times New Roman" w:cstheme="minorHAnsi"/>
          <w:szCs w:val="20"/>
        </w:rPr>
        <w:lastRenderedPageBreak/>
        <w:br/>
      </w:r>
      <w:r w:rsidRPr="00F47005">
        <w:rPr>
          <w:rFonts w:eastAsia="Times New Roman" w:cstheme="minorHAnsi"/>
          <w:b/>
          <w:bCs/>
          <w:szCs w:val="20"/>
          <w:bdr w:val="none" w:sz="0" w:space="0" w:color="auto" w:frame="1"/>
        </w:rPr>
        <w:t>Public Health Service Act Section 319—</w:t>
      </w:r>
      <w:r w:rsidRPr="00F47005">
        <w:rPr>
          <w:rFonts w:eastAsia="Times New Roman" w:cstheme="minorHAnsi"/>
          <w:szCs w:val="20"/>
        </w:rPr>
        <w:t>Authorizes the HHS secretary to determine that a public health emergency exists, which triggers emergency powers that permit the federal government to assist state and local governments, suspend or modify certain legal requirements, and expend available funds to address public health emergencies. A Section 319 public health emergency declaration is separate and distinct from a presidential declaration under the National Emergencies Act or the Stafford Act. The secretary does not need a presidential declaration to issue a public health emergency declaration under Section 319; however, a presidential declaration is required in addition to a Section 319 declaration if the secretary wants to exercise waiver authority under Social Security Act Section 1135. Other sections of the Public Health Service Act, including Sections 301 and 311, permit the secretary to render assistance to states and localities without declaring a public health emergency.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Public Readiness and Emergency Preparedness Act (PREP Act)—</w:t>
      </w:r>
      <w:r w:rsidRPr="00F47005">
        <w:rPr>
          <w:rFonts w:eastAsia="Times New Roman" w:cstheme="minorHAnsi"/>
          <w:szCs w:val="20"/>
        </w:rPr>
        <w:t>Authorizes the HHS secretary to issue a declaration that provides immunity from tort liability for claims of loss caused by countermeasures against diseases or other threats of public health emergencies. The act covers persons and entities involved in the manufacture, testing, distribution, administration, and use of covered countermeasures. A PREP Act declaration is different from and independent of other federal emergency declarations. A separate emergency declaration under Public Health Service Act Section 319 or another statute is not required for PREP Act immunities take effect.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Robert T. Stafford Disaster Relief and Emergency Assistance Act (Stafford Act)—</w:t>
      </w:r>
      <w:r w:rsidRPr="00F47005">
        <w:rPr>
          <w:rFonts w:eastAsia="Times New Roman" w:cstheme="minorHAnsi"/>
          <w:szCs w:val="20"/>
        </w:rPr>
        <w:t xml:space="preserve">Authorizes the delivery of federal emergency technical, financial, logistical, and other assistance to states and localities. A governor must first determine that an event overwhelms the state’s capacity to respond and request a presidential declaration under the Stafford Act before the president can declare all or a portion of a </w:t>
      </w:r>
      <w:r w:rsidRPr="00F47005">
        <w:rPr>
          <w:rFonts w:eastAsia="Times New Roman" w:cstheme="minorHAnsi"/>
          <w:szCs w:val="20"/>
        </w:rPr>
        <w:lastRenderedPageBreak/>
        <w:t>state a “major disaster” or “emergency” area. The Federal Emergency Management Agency (FEMA) coordinates administration of disaster relief resources and assistance to states. The President can declare an emergency without first receiving a gubernatorial request if the emergency involves an area of federal primary responsibility such as a federal building. A Stafford Act declaration can be used to trigger other public health emergency response authorities such as Social Security Act Section 1135 waiver authorities.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Social Security Act Section 1135—</w:t>
      </w:r>
      <w:r w:rsidRPr="00F47005">
        <w:rPr>
          <w:rFonts w:eastAsia="Times New Roman" w:cstheme="minorHAnsi"/>
          <w:szCs w:val="20"/>
        </w:rPr>
        <w:t>Authorizes the HHS secretary to temporarily waive or modify certain Medicare, Medicaid, Children’s Health Insurance Program (CHIP), and Health Insurance Portability and Accountability Act (HIPAA) requirements affecting healthcare facilities and providers during national emergencies. Section 1135 waivers require both a presidential declaration under the National Emergencies Act or Stafford Act and a public health emergency determination by the HHS secretary under Public Health Service Act Section 319. Once the 1135 waiver authority has been issued, individual providers’ requirements are not automatically modified; the waivers are implemented on a case-by-case basis through the Centers for Medicare &amp; Medicaid Services, HHS regional offices, and state health facility survey agencies.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Volunteer Protection Act—</w:t>
      </w:r>
      <w:r w:rsidRPr="00F47005">
        <w:rPr>
          <w:rFonts w:eastAsia="Times New Roman" w:cstheme="minorHAnsi"/>
          <w:szCs w:val="20"/>
        </w:rPr>
        <w:t>Provides immunity from ordinary negligence to volunteers of nonprofit organizations or governmental entities. It does not cover gross negligence, willful misconduct, recklessness or acts committed by the volunteer while intoxicated or operating a motor vehicle. It does not cover organizational entities of any type or persons volunteering at private businesses. The act does not require a declared emergency for its protections to apply. </w:t>
      </w:r>
    </w:p>
    <w:p w14:paraId="521F2BB2" w14:textId="77777777" w:rsidR="005E0299" w:rsidRPr="00F47005" w:rsidRDefault="005E0299" w:rsidP="004C19B5">
      <w:pPr>
        <w:keepNext/>
        <w:spacing w:line="480" w:lineRule="auto"/>
        <w:rPr>
          <w:rFonts w:eastAsia="Times New Roman" w:cstheme="minorHAnsi"/>
          <w:b/>
          <w:bCs/>
          <w:color w:val="3C3030"/>
          <w:sz w:val="24"/>
          <w:szCs w:val="24"/>
        </w:rPr>
      </w:pPr>
      <w:r w:rsidRPr="00F47005">
        <w:rPr>
          <w:rFonts w:eastAsia="Times New Roman" w:cstheme="minorHAnsi"/>
          <w:b/>
          <w:bCs/>
          <w:color w:val="3C3030"/>
          <w:sz w:val="24"/>
          <w:szCs w:val="24"/>
        </w:rPr>
        <w:lastRenderedPageBreak/>
        <w:t>Policies</w:t>
      </w:r>
    </w:p>
    <w:p w14:paraId="10DC249B" w14:textId="77777777" w:rsidR="005E0299" w:rsidRPr="00F47005" w:rsidRDefault="005E0299" w:rsidP="004C19B5">
      <w:pPr>
        <w:keepNext/>
        <w:shd w:val="clear" w:color="auto" w:fill="FFFFFF"/>
        <w:spacing w:line="480" w:lineRule="auto"/>
        <w:textAlignment w:val="baseline"/>
        <w:rPr>
          <w:rFonts w:eastAsia="Times New Roman" w:cstheme="minorHAnsi"/>
          <w:szCs w:val="20"/>
        </w:rPr>
      </w:pPr>
      <w:r w:rsidRPr="00F47005">
        <w:rPr>
          <w:rFonts w:eastAsia="Times New Roman" w:cstheme="minorHAnsi"/>
          <w:szCs w:val="20"/>
        </w:rPr>
        <w:br/>
      </w:r>
      <w:r w:rsidRPr="00F47005">
        <w:rPr>
          <w:rFonts w:eastAsia="Times New Roman" w:cstheme="minorHAnsi"/>
          <w:b/>
          <w:bCs/>
          <w:szCs w:val="20"/>
          <w:bdr w:val="none" w:sz="0" w:space="0" w:color="auto" w:frame="1"/>
        </w:rPr>
        <w:t>Homeland Security Policy Directives (HSPDs) and Presidential Policy Directives (PPDs)—</w:t>
      </w:r>
      <w:r w:rsidRPr="00F47005">
        <w:rPr>
          <w:rFonts w:eastAsia="Times New Roman" w:cstheme="minorHAnsi"/>
          <w:szCs w:val="20"/>
        </w:rPr>
        <w:t>Presidential directives announce executive policies regarding, among other things, homeland security issues. HSPDs and PPDs establish policies, strategies, and frameworks directing executive agency activities on a range of homeland security matters. Directives important for public health are: HSPD-5 (management of domestic incidents); PPD-8 (national preparedness—formerly HSPD-8); and HSPD-21 (public health and medical preparedness).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National Incident Management System (NIMS)—</w:t>
      </w:r>
      <w:r w:rsidRPr="00F47005">
        <w:rPr>
          <w:rFonts w:eastAsia="Times New Roman" w:cstheme="minorHAnsi"/>
          <w:szCs w:val="20"/>
        </w:rPr>
        <w:t>A system of incident command developed by the Department of Homeland Security to coordinate emergency response efforts at all levels of government and the private sector. It is a scalable system that can be used for events and incidents of all sizes regardless of whether a federal emergency or disaster is declared under the Stafford Act.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National Response Framework (NRF)—</w:t>
      </w:r>
      <w:r w:rsidRPr="00F47005">
        <w:rPr>
          <w:rFonts w:eastAsia="Times New Roman" w:cstheme="minorHAnsi"/>
          <w:szCs w:val="20"/>
        </w:rPr>
        <w:t>A Department of Homeland Security policy document that uses a national, all-hazards approach to describe and integrate roles for governments at all levels and the private sector in preparing, responding, and recovering from emergencies of all sizes, regardless of whether an emergency is declared. The NRF uses NIMS to coordinate response activities. The NRF includes 15 Emergency Support Function (ESF) supplemental documents that detail the roles and responsibilities of governmental and certain private sector capacities in key areas. Relevant to public health are ESF-8 (public health and medical services) and ESF-6 (mass care, emergency assistance, housing, and human services).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National Strategy Documents—</w:t>
      </w:r>
      <w:r w:rsidRPr="00F47005">
        <w:rPr>
          <w:rFonts w:eastAsia="Times New Roman" w:cstheme="minorHAnsi"/>
          <w:szCs w:val="20"/>
        </w:rPr>
        <w:t xml:space="preserve">Federal legislation and directives mandated the creation of various </w:t>
      </w:r>
      <w:r w:rsidRPr="00F47005">
        <w:rPr>
          <w:rFonts w:eastAsia="Times New Roman" w:cstheme="minorHAnsi"/>
          <w:szCs w:val="20"/>
        </w:rPr>
        <w:lastRenderedPageBreak/>
        <w:t>strategies and plans to chart national emergency planning and response activities. These national strategy documents are intended to complement the National Response Framework and address plans for coordinating with state, local, territorial, and tribal governments and the private sector. Relevant national strategy documents for public health include the National Health Security Strategy, the National Strategy for Pandemic Influenza, and the National Strategy for Homeland Security. </w:t>
      </w:r>
    </w:p>
    <w:p w14:paraId="68751916" w14:textId="56BEE98E" w:rsidR="005E0299" w:rsidRDefault="005E0299" w:rsidP="004C19B5">
      <w:pPr>
        <w:spacing w:line="480" w:lineRule="auto"/>
        <w:rPr>
          <w:rFonts w:cstheme="minorHAnsi"/>
          <w:sz w:val="24"/>
        </w:rPr>
      </w:pPr>
    </w:p>
    <w:p w14:paraId="6FEAEBE2" w14:textId="77777777" w:rsidR="006325A4" w:rsidRDefault="006325A4" w:rsidP="006325A4">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TOC t</w:t>
        </w:r>
        <w:r w:rsidRPr="00B16B87">
          <w:rPr>
            <w:rStyle w:val="Hyperlink"/>
            <w:rFonts w:ascii="Calibri" w:hAnsi="Calibri" w:cs="Calibri"/>
            <w:sz w:val="24"/>
          </w:rPr>
          <w:t>o</w:t>
        </w:r>
        <w:r w:rsidRPr="00B16B87">
          <w:rPr>
            <w:rStyle w:val="Hyperlink"/>
            <w:rFonts w:ascii="Calibri" w:hAnsi="Calibri" w:cs="Calibri"/>
            <w:sz w:val="24"/>
          </w:rPr>
          <w:t>p</w:t>
        </w:r>
      </w:hyperlink>
      <w:r>
        <w:rPr>
          <w:rFonts w:ascii="Calibri" w:hAnsi="Calibri" w:cs="Calibri"/>
          <w:sz w:val="24"/>
        </w:rPr>
        <w:t>]</w:t>
      </w:r>
    </w:p>
    <w:p w14:paraId="7512DE66" w14:textId="77777777" w:rsidR="006325A4" w:rsidRDefault="006325A4" w:rsidP="004C19B5">
      <w:pPr>
        <w:spacing w:line="480" w:lineRule="auto"/>
        <w:rPr>
          <w:rFonts w:cstheme="minorHAnsi"/>
          <w:sz w:val="24"/>
        </w:rPr>
      </w:pPr>
    </w:p>
    <w:p w14:paraId="6B9253CB" w14:textId="67A57739" w:rsidR="006325A4" w:rsidRDefault="006325A4">
      <w:pPr>
        <w:rPr>
          <w:rFonts w:cstheme="minorHAnsi"/>
          <w:sz w:val="24"/>
        </w:rPr>
      </w:pPr>
      <w:r>
        <w:rPr>
          <w:rFonts w:cstheme="minorHAnsi"/>
          <w:sz w:val="24"/>
        </w:rPr>
        <w:br w:type="page"/>
      </w:r>
    </w:p>
    <w:p w14:paraId="78BF784F" w14:textId="77777777" w:rsidR="005E0299" w:rsidRPr="00A56E0D" w:rsidRDefault="005E0299" w:rsidP="004C19B5">
      <w:pPr>
        <w:spacing w:after="120" w:line="360" w:lineRule="auto"/>
        <w:rPr>
          <w:rFonts w:eastAsia="Times New Roman" w:cstheme="minorHAnsi"/>
          <w:b/>
          <w:bCs/>
          <w:color w:val="333333"/>
          <w:spacing w:val="15"/>
          <w:kern w:val="36"/>
          <w:sz w:val="28"/>
          <w:szCs w:val="28"/>
        </w:rPr>
      </w:pPr>
      <w:bookmarkStart w:id="4" w:name="EmergDecsAuth_FS"/>
      <w:r w:rsidRPr="00A56E0D">
        <w:rPr>
          <w:rFonts w:eastAsia="Times New Roman" w:cstheme="minorHAnsi"/>
          <w:b/>
          <w:bCs/>
          <w:color w:val="333333"/>
          <w:spacing w:val="15"/>
          <w:kern w:val="36"/>
          <w:sz w:val="28"/>
          <w:szCs w:val="28"/>
        </w:rPr>
        <w:lastRenderedPageBreak/>
        <w:t>Emergency Declarations and Authorities</w:t>
      </w:r>
      <w:bookmarkEnd w:id="4"/>
    </w:p>
    <w:p w14:paraId="6477744B" w14:textId="77777777" w:rsidR="005E0299" w:rsidRPr="00A56E0D" w:rsidRDefault="005E0299" w:rsidP="004C19B5">
      <w:pPr>
        <w:spacing w:line="480" w:lineRule="auto"/>
        <w:rPr>
          <w:rFonts w:eastAsia="Times New Roman" w:cstheme="minorHAnsi"/>
          <w:b/>
          <w:bCs/>
          <w:color w:val="3C3030"/>
          <w:sz w:val="24"/>
          <w:szCs w:val="24"/>
        </w:rPr>
      </w:pPr>
      <w:r w:rsidRPr="00A56E0D">
        <w:rPr>
          <w:rFonts w:eastAsia="Times New Roman" w:cstheme="minorHAnsi"/>
          <w:b/>
          <w:bCs/>
          <w:color w:val="3C3030"/>
          <w:sz w:val="24"/>
          <w:szCs w:val="24"/>
        </w:rPr>
        <w:t>Fact Sheet</w:t>
      </w:r>
    </w:p>
    <w:p w14:paraId="55B55C5A" w14:textId="77777777" w:rsidR="005E0299" w:rsidRDefault="005E0299" w:rsidP="004C19B5">
      <w:pPr>
        <w:spacing w:line="480" w:lineRule="auto"/>
        <w:rPr>
          <w:rFonts w:eastAsia="Times New Roman" w:cstheme="minorHAnsi"/>
          <w:b/>
          <w:bCs/>
          <w:color w:val="3C3030"/>
          <w:sz w:val="24"/>
          <w:szCs w:val="24"/>
        </w:rPr>
      </w:pPr>
    </w:p>
    <w:p w14:paraId="29A4D33F" w14:textId="77777777" w:rsidR="005E0299" w:rsidRPr="00A56E0D" w:rsidRDefault="005E0299" w:rsidP="004C19B5">
      <w:pPr>
        <w:spacing w:line="480" w:lineRule="auto"/>
        <w:rPr>
          <w:rFonts w:eastAsia="Times New Roman" w:cstheme="minorHAnsi"/>
          <w:b/>
          <w:bCs/>
          <w:color w:val="3C3030"/>
          <w:sz w:val="24"/>
          <w:szCs w:val="24"/>
        </w:rPr>
      </w:pPr>
      <w:r w:rsidRPr="00A56E0D">
        <w:rPr>
          <w:rFonts w:eastAsia="Times New Roman" w:cstheme="minorHAnsi"/>
          <w:b/>
          <w:bCs/>
          <w:color w:val="3C3030"/>
          <w:sz w:val="24"/>
          <w:szCs w:val="24"/>
        </w:rPr>
        <w:t>Overview</w:t>
      </w:r>
    </w:p>
    <w:p w14:paraId="3348D69A" w14:textId="77777777" w:rsidR="005E0299" w:rsidRPr="00A56E0D" w:rsidRDefault="005E0299" w:rsidP="004C19B5">
      <w:pPr>
        <w:shd w:val="clear" w:color="auto" w:fill="FFFFFF"/>
        <w:spacing w:line="480" w:lineRule="auto"/>
        <w:textAlignment w:val="baseline"/>
        <w:rPr>
          <w:rFonts w:eastAsia="Times New Roman" w:cstheme="minorHAnsi"/>
          <w:szCs w:val="20"/>
        </w:rPr>
      </w:pPr>
      <w:r w:rsidRPr="00A56E0D">
        <w:rPr>
          <w:rFonts w:eastAsia="Times New Roman" w:cstheme="minorHAnsi"/>
          <w:szCs w:val="20"/>
        </w:rPr>
        <w:t>When a government declares a state of emergency—or does not make such a declaration—this decision determines the legal and operational resources available to respond to an emergency and has implications for governments, the private sector, and the public. Understanding the scope of state and federal emergency authorities and how they interact is an important part of preparing for and responding to public health emergencies. </w:t>
      </w:r>
      <w:r w:rsidRPr="00A56E0D">
        <w:rPr>
          <w:rFonts w:eastAsia="Times New Roman" w:cstheme="minorHAnsi"/>
          <w:szCs w:val="20"/>
        </w:rPr>
        <w:br/>
      </w:r>
    </w:p>
    <w:p w14:paraId="0C5DAD10" w14:textId="77777777" w:rsidR="005E0299" w:rsidRDefault="005E0299" w:rsidP="004C19B5">
      <w:pPr>
        <w:spacing w:line="480" w:lineRule="auto"/>
        <w:rPr>
          <w:rFonts w:eastAsia="Times New Roman" w:cstheme="minorHAnsi"/>
          <w:b/>
          <w:bCs/>
          <w:color w:val="3C3030"/>
          <w:sz w:val="24"/>
          <w:szCs w:val="24"/>
        </w:rPr>
      </w:pPr>
      <w:r w:rsidRPr="00A56E0D">
        <w:rPr>
          <w:rFonts w:eastAsia="Times New Roman" w:cstheme="minorHAnsi"/>
          <w:b/>
          <w:bCs/>
          <w:color w:val="3C3030"/>
          <w:sz w:val="24"/>
          <w:szCs w:val="24"/>
        </w:rPr>
        <w:t>State Emergency Declarations</w:t>
      </w:r>
    </w:p>
    <w:p w14:paraId="00C4ED7F" w14:textId="77777777" w:rsidR="005E0299" w:rsidRPr="00A56E0D" w:rsidRDefault="005E0299" w:rsidP="004C19B5">
      <w:pPr>
        <w:spacing w:line="480" w:lineRule="auto"/>
        <w:rPr>
          <w:rFonts w:eastAsia="Times New Roman" w:cstheme="minorHAnsi"/>
          <w:b/>
          <w:bCs/>
          <w:color w:val="3C3030"/>
        </w:rPr>
      </w:pPr>
    </w:p>
    <w:p w14:paraId="1DD7DAD5" w14:textId="77777777" w:rsidR="005E0299" w:rsidRPr="00A56E0D" w:rsidRDefault="005E0299" w:rsidP="004C19B5">
      <w:pPr>
        <w:spacing w:line="480" w:lineRule="auto"/>
        <w:rPr>
          <w:rFonts w:eastAsia="Times New Roman" w:cstheme="minorHAnsi"/>
          <w:b/>
          <w:bCs/>
        </w:rPr>
      </w:pPr>
      <w:r w:rsidRPr="00A56E0D">
        <w:rPr>
          <w:rFonts w:eastAsia="Times New Roman" w:cstheme="minorHAnsi"/>
          <w:b/>
          <w:bCs/>
        </w:rPr>
        <w:t>Authorities Without an Emergency Declaration</w:t>
      </w:r>
    </w:p>
    <w:p w14:paraId="7CF2F1F9" w14:textId="77777777" w:rsidR="005E0299" w:rsidRPr="004B383F" w:rsidRDefault="005E0299" w:rsidP="004C19B5">
      <w:pPr>
        <w:shd w:val="clear" w:color="auto" w:fill="FFFFFF"/>
        <w:spacing w:line="480" w:lineRule="auto"/>
        <w:textAlignment w:val="baseline"/>
        <w:rPr>
          <w:rFonts w:eastAsia="Times New Roman" w:cstheme="minorHAnsi"/>
        </w:rPr>
      </w:pPr>
      <w:r w:rsidRPr="00A56E0D">
        <w:rPr>
          <w:rFonts w:eastAsia="Times New Roman" w:cstheme="minorHAnsi"/>
        </w:rPr>
        <w:t>State officials have existing broad powers to address emergency situations by virtue of the statutory authorities granted to their positions without formally declaring a state of emergency. A state health officer’s existing authorities generally contain a broad grant of authority to, among other things, abate nuisances, investigate the causes of disease, and institute quarantine measures. Depending on the circumstances of an event, these existing powers may be sufficient to adequately respond or allow initial response measures to begin until an emergency is declared. Identifying authorities and capabilities to respond to emergencies without a declaration may be necessary should an event not meet the statutory definition required to trigger an emergency declaration.</w:t>
      </w:r>
    </w:p>
    <w:p w14:paraId="0F39C593" w14:textId="77777777" w:rsidR="005E0299" w:rsidRPr="00A56E0D" w:rsidRDefault="005E0299" w:rsidP="004C19B5">
      <w:pPr>
        <w:shd w:val="clear" w:color="auto" w:fill="FFFFFF"/>
        <w:spacing w:line="480" w:lineRule="auto"/>
        <w:textAlignment w:val="baseline"/>
        <w:rPr>
          <w:rFonts w:eastAsia="Times New Roman" w:cstheme="minorHAnsi"/>
        </w:rPr>
      </w:pPr>
    </w:p>
    <w:p w14:paraId="365D47AF" w14:textId="77777777" w:rsidR="005E0299" w:rsidRPr="00A56E0D" w:rsidRDefault="005E0299" w:rsidP="004C19B5">
      <w:pPr>
        <w:keepNext/>
        <w:spacing w:line="480" w:lineRule="auto"/>
        <w:rPr>
          <w:rFonts w:eastAsia="Times New Roman" w:cstheme="minorHAnsi"/>
          <w:b/>
          <w:bCs/>
        </w:rPr>
      </w:pPr>
      <w:r w:rsidRPr="00A56E0D">
        <w:rPr>
          <w:rFonts w:eastAsia="Times New Roman" w:cstheme="minorHAnsi"/>
          <w:b/>
          <w:bCs/>
        </w:rPr>
        <w:lastRenderedPageBreak/>
        <w:t>Authority to Declare Emergencies</w:t>
      </w:r>
    </w:p>
    <w:p w14:paraId="3393CFA7" w14:textId="77777777" w:rsidR="005E0299" w:rsidRPr="004B383F" w:rsidRDefault="005E0299" w:rsidP="004C19B5">
      <w:pPr>
        <w:shd w:val="clear" w:color="auto" w:fill="FFFFFF"/>
        <w:spacing w:line="480" w:lineRule="auto"/>
        <w:textAlignment w:val="baseline"/>
        <w:rPr>
          <w:rFonts w:eastAsia="Times New Roman" w:cstheme="minorHAnsi"/>
        </w:rPr>
      </w:pPr>
      <w:r w:rsidRPr="00A56E0D">
        <w:rPr>
          <w:rFonts w:eastAsia="Times New Roman" w:cstheme="minorHAnsi"/>
        </w:rPr>
        <w:t>When conditions warrant, all states have mechanisms that allow government officials to declare a state of emergency, thereby activating authorities and resources that are unavailable in non-emergencies (see below). All states give the governor the authority to declare one or more types of emergencies (see below). Increasingly states have granted state health officers/agency directors the authority to declare public health emergencies. Other state officials such as the emergency management agency director, homeland security director, or agricultural director may have similar powers. Local governments may have authority to declare an emergency and activate emergency authorities within their jurisdiction.</w:t>
      </w:r>
    </w:p>
    <w:p w14:paraId="489213A8" w14:textId="77777777" w:rsidR="005E0299" w:rsidRPr="00A56E0D" w:rsidRDefault="005E0299" w:rsidP="004C19B5">
      <w:pPr>
        <w:shd w:val="clear" w:color="auto" w:fill="FFFFFF"/>
        <w:spacing w:line="480" w:lineRule="auto"/>
        <w:textAlignment w:val="baseline"/>
        <w:rPr>
          <w:rFonts w:eastAsia="Times New Roman" w:cstheme="minorHAnsi"/>
        </w:rPr>
      </w:pPr>
    </w:p>
    <w:p w14:paraId="2708F3A4" w14:textId="77777777" w:rsidR="005E0299" w:rsidRPr="00A56E0D" w:rsidRDefault="005E0299" w:rsidP="004C19B5">
      <w:pPr>
        <w:spacing w:line="480" w:lineRule="auto"/>
        <w:rPr>
          <w:rFonts w:eastAsia="Times New Roman" w:cstheme="minorHAnsi"/>
          <w:b/>
          <w:bCs/>
        </w:rPr>
      </w:pPr>
      <w:r w:rsidRPr="00A56E0D">
        <w:rPr>
          <w:rFonts w:eastAsia="Times New Roman" w:cstheme="minorHAnsi"/>
          <w:b/>
          <w:bCs/>
        </w:rPr>
        <w:t>Types of State Emergencies</w:t>
      </w:r>
    </w:p>
    <w:p w14:paraId="1D77ABBA" w14:textId="77777777" w:rsidR="005E0299" w:rsidRPr="004B383F" w:rsidRDefault="005E0299" w:rsidP="004C19B5">
      <w:pPr>
        <w:shd w:val="clear" w:color="auto" w:fill="FFFFFF"/>
        <w:spacing w:line="480" w:lineRule="auto"/>
        <w:textAlignment w:val="baseline"/>
        <w:rPr>
          <w:rFonts w:eastAsia="Times New Roman" w:cstheme="minorHAnsi"/>
        </w:rPr>
      </w:pPr>
      <w:r w:rsidRPr="00A56E0D">
        <w:rPr>
          <w:rFonts w:eastAsia="Times New Roman" w:cstheme="minorHAnsi"/>
        </w:rPr>
        <w:t>The determination of whether circumstances justify or require the declaration of an emergency depends on conditions set out in state law. Traditionally states have a general statute that permits the governor to declare a state of emergency for any type of emergency or natural disaster, which can be construed broadly to include disease epidemics and other public health emergencies. In the last decade, states have begun to refine their approaches to defining emergencies; a state may have one or more statutory definitions to define emergencies, including "disaster,” "emergency,” and "public health emergency.”</w:t>
      </w:r>
      <w:r w:rsidRPr="00A56E0D">
        <w:rPr>
          <w:rFonts w:eastAsia="Times New Roman" w:cstheme="minorHAnsi"/>
          <w:bdr w:val="none" w:sz="0" w:space="0" w:color="auto" w:frame="1"/>
          <w:vertAlign w:val="superscript"/>
        </w:rPr>
        <w:t>1</w:t>
      </w:r>
      <w:r w:rsidRPr="00A56E0D">
        <w:rPr>
          <w:rFonts w:eastAsia="Times New Roman" w:cstheme="minorHAnsi"/>
        </w:rPr>
        <w:t> In states with multiple types of emergencies, it may be possible to have more than one type of emergency declared at the same time. If so, state officials must clearly understand the authorities that flow from each declaration, agency roles and responsibilities, and the impacts on local governments, the private sector, and the public.</w:t>
      </w:r>
    </w:p>
    <w:p w14:paraId="1303CD8C" w14:textId="77777777" w:rsidR="005E0299" w:rsidRPr="00A56E0D" w:rsidRDefault="005E0299" w:rsidP="004C19B5">
      <w:pPr>
        <w:shd w:val="clear" w:color="auto" w:fill="FFFFFF"/>
        <w:spacing w:line="480" w:lineRule="auto"/>
        <w:textAlignment w:val="baseline"/>
        <w:rPr>
          <w:rFonts w:eastAsia="Times New Roman" w:cstheme="minorHAnsi"/>
        </w:rPr>
      </w:pPr>
    </w:p>
    <w:p w14:paraId="13F13892" w14:textId="77777777" w:rsidR="005E0299" w:rsidRPr="00A56E0D" w:rsidRDefault="005E0299" w:rsidP="004C19B5">
      <w:pPr>
        <w:spacing w:line="480" w:lineRule="auto"/>
        <w:rPr>
          <w:rFonts w:eastAsia="Times New Roman" w:cstheme="minorHAnsi"/>
          <w:b/>
          <w:bCs/>
        </w:rPr>
      </w:pPr>
      <w:r w:rsidRPr="00A56E0D">
        <w:rPr>
          <w:rFonts w:eastAsia="Times New Roman" w:cstheme="minorHAnsi"/>
          <w:b/>
          <w:bCs/>
        </w:rPr>
        <w:t>State Emergency Declaration Process</w:t>
      </w:r>
    </w:p>
    <w:p w14:paraId="2814022C" w14:textId="77777777" w:rsidR="005E0299" w:rsidRPr="004B383F" w:rsidRDefault="005E0299" w:rsidP="004C19B5">
      <w:pPr>
        <w:shd w:val="clear" w:color="auto" w:fill="FFFFFF"/>
        <w:spacing w:line="480" w:lineRule="auto"/>
        <w:textAlignment w:val="baseline"/>
        <w:rPr>
          <w:rFonts w:eastAsia="Times New Roman" w:cstheme="minorHAnsi"/>
        </w:rPr>
      </w:pPr>
      <w:r w:rsidRPr="00A56E0D">
        <w:rPr>
          <w:rFonts w:eastAsia="Times New Roman" w:cstheme="minorHAnsi"/>
        </w:rPr>
        <w:t xml:space="preserve">While unique to each state, generally the governor may declare an emergency by issuing an executive order or other declaration to that effect. The declaration addresses the effective dates and duration of </w:t>
      </w:r>
      <w:r w:rsidRPr="00A56E0D">
        <w:rPr>
          <w:rFonts w:eastAsia="Times New Roman" w:cstheme="minorHAnsi"/>
        </w:rPr>
        <w:lastRenderedPageBreak/>
        <w:t>the declaration, geographic areas of the state covered, conditions giving rise to the emergency, and the agency or agencies leading the response activities. The declaration may also identify state rules and regulations that are waived or suspended during the emergency. Governors may be required to seek legislative approval for the imposition of a state of emergency within a given time after the declaration (e.g., within 30 days). Alternatively, a governor may be able to declare a state of emergency for a specified period of time, but then would need legislative approval to renew the emergency declaration. For emergencies declared by other state executive officers like state health officers, such declarations may require simultaneous or subsequent approval by the governor and/or legislature. Locally declared emergencies may require approval by a local legislative body, state executive officers, and/or the state legislature.</w:t>
      </w:r>
    </w:p>
    <w:p w14:paraId="22A41040" w14:textId="77777777" w:rsidR="005E0299" w:rsidRPr="00A56E0D" w:rsidRDefault="005E0299" w:rsidP="004C19B5">
      <w:pPr>
        <w:shd w:val="clear" w:color="auto" w:fill="FFFFFF"/>
        <w:spacing w:line="480" w:lineRule="auto"/>
        <w:textAlignment w:val="baseline"/>
        <w:rPr>
          <w:rFonts w:eastAsia="Times New Roman" w:cstheme="minorHAnsi"/>
        </w:rPr>
      </w:pPr>
    </w:p>
    <w:p w14:paraId="0B103EEB" w14:textId="77777777" w:rsidR="005E0299" w:rsidRPr="00A56E0D" w:rsidRDefault="005E0299" w:rsidP="004C19B5">
      <w:pPr>
        <w:spacing w:line="480" w:lineRule="auto"/>
        <w:rPr>
          <w:rFonts w:eastAsia="Times New Roman" w:cstheme="minorHAnsi"/>
          <w:b/>
          <w:bCs/>
        </w:rPr>
      </w:pPr>
      <w:r w:rsidRPr="00A56E0D">
        <w:rPr>
          <w:rFonts w:eastAsia="Times New Roman" w:cstheme="minorHAnsi"/>
          <w:b/>
          <w:bCs/>
        </w:rPr>
        <w:t>Actions and Authorities Triggered by State Emergency Declarations</w:t>
      </w:r>
    </w:p>
    <w:p w14:paraId="094A84C8" w14:textId="77777777" w:rsidR="005E0299" w:rsidRPr="00A56E0D" w:rsidRDefault="005E0299" w:rsidP="004C19B5">
      <w:pPr>
        <w:shd w:val="clear" w:color="auto" w:fill="FFFFFF"/>
        <w:spacing w:after="120" w:line="480" w:lineRule="auto"/>
        <w:textAlignment w:val="baseline"/>
        <w:rPr>
          <w:rFonts w:eastAsia="Times New Roman" w:cstheme="minorHAnsi"/>
        </w:rPr>
      </w:pPr>
      <w:r w:rsidRPr="00A56E0D">
        <w:rPr>
          <w:rFonts w:eastAsia="Times New Roman" w:cstheme="minorHAnsi"/>
        </w:rPr>
        <w:t>The declaration of a state emergency triggers an array of authorities and actions by state and/or local governments. Depending on the type of emergency declared, and the scope of authority granted to the state official making the emergency declaration, the actions and authorities engaged by a state emergency declaration can include:</w:t>
      </w:r>
    </w:p>
    <w:p w14:paraId="0AD4A41B" w14:textId="77777777" w:rsidR="005E0299" w:rsidRPr="004B383F" w:rsidRDefault="005E0299" w:rsidP="00224AC9">
      <w:pPr>
        <w:pStyle w:val="ListParagraph"/>
        <w:numPr>
          <w:ilvl w:val="0"/>
          <w:numId w:val="8"/>
        </w:numPr>
        <w:spacing w:after="120" w:line="480" w:lineRule="auto"/>
        <w:contextualSpacing w:val="0"/>
        <w:textAlignment w:val="baseline"/>
        <w:rPr>
          <w:rFonts w:eastAsia="Times New Roman" w:cstheme="minorHAnsi"/>
        </w:rPr>
      </w:pPr>
      <w:r w:rsidRPr="004B383F">
        <w:rPr>
          <w:rFonts w:eastAsia="Times New Roman" w:cstheme="minorHAnsi"/>
        </w:rPr>
        <w:t>Activation of state emergency response plans and mutual aid agreements.</w:t>
      </w:r>
    </w:p>
    <w:p w14:paraId="1AA8632C" w14:textId="77777777" w:rsidR="005E0299" w:rsidRPr="004B383F" w:rsidRDefault="005E0299" w:rsidP="00224AC9">
      <w:pPr>
        <w:pStyle w:val="ListParagraph"/>
        <w:numPr>
          <w:ilvl w:val="0"/>
          <w:numId w:val="8"/>
        </w:numPr>
        <w:spacing w:after="120" w:line="480" w:lineRule="auto"/>
        <w:contextualSpacing w:val="0"/>
        <w:textAlignment w:val="baseline"/>
        <w:rPr>
          <w:rFonts w:eastAsia="Times New Roman" w:cstheme="minorHAnsi"/>
        </w:rPr>
      </w:pPr>
      <w:r w:rsidRPr="004B383F">
        <w:rPr>
          <w:rFonts w:eastAsia="Times New Roman" w:cstheme="minorHAnsi"/>
        </w:rPr>
        <w:t>Activation of state emergency operations center and incident command system (ICS).</w:t>
      </w:r>
    </w:p>
    <w:p w14:paraId="48F14DC6" w14:textId="77777777" w:rsidR="005E0299" w:rsidRPr="004B383F" w:rsidRDefault="005E0299" w:rsidP="00224AC9">
      <w:pPr>
        <w:pStyle w:val="ListParagraph"/>
        <w:numPr>
          <w:ilvl w:val="0"/>
          <w:numId w:val="8"/>
        </w:numPr>
        <w:spacing w:after="120" w:line="480" w:lineRule="auto"/>
        <w:contextualSpacing w:val="0"/>
        <w:textAlignment w:val="baseline"/>
        <w:rPr>
          <w:rFonts w:eastAsia="Times New Roman" w:cstheme="minorHAnsi"/>
        </w:rPr>
      </w:pPr>
      <w:r w:rsidRPr="004B383F">
        <w:rPr>
          <w:rFonts w:eastAsia="Times New Roman" w:cstheme="minorHAnsi"/>
        </w:rPr>
        <w:t>Authority to expend funds and deploy personnel, equipment, supplies, and stockpiles.</w:t>
      </w:r>
    </w:p>
    <w:p w14:paraId="6C418702" w14:textId="77777777" w:rsidR="005E0299" w:rsidRPr="004B383F" w:rsidRDefault="005E0299" w:rsidP="00224AC9">
      <w:pPr>
        <w:pStyle w:val="ListParagraph"/>
        <w:numPr>
          <w:ilvl w:val="0"/>
          <w:numId w:val="8"/>
        </w:numPr>
        <w:spacing w:after="120" w:line="480" w:lineRule="auto"/>
        <w:contextualSpacing w:val="0"/>
        <w:textAlignment w:val="baseline"/>
        <w:rPr>
          <w:rFonts w:eastAsia="Times New Roman" w:cstheme="minorHAnsi"/>
        </w:rPr>
      </w:pPr>
      <w:r w:rsidRPr="004B383F">
        <w:rPr>
          <w:rFonts w:eastAsia="Times New Roman" w:cstheme="minorHAnsi"/>
        </w:rPr>
        <w:t>Activation of statutory immunities and liability protections for those involved in response activities.</w:t>
      </w:r>
    </w:p>
    <w:p w14:paraId="28E54F04" w14:textId="77777777" w:rsidR="005E0299" w:rsidRPr="004B383F" w:rsidRDefault="005E0299" w:rsidP="00224AC9">
      <w:pPr>
        <w:pStyle w:val="ListParagraph"/>
        <w:numPr>
          <w:ilvl w:val="0"/>
          <w:numId w:val="8"/>
        </w:numPr>
        <w:spacing w:after="120" w:line="480" w:lineRule="auto"/>
        <w:contextualSpacing w:val="0"/>
        <w:textAlignment w:val="baseline"/>
        <w:rPr>
          <w:rFonts w:eastAsia="Times New Roman" w:cstheme="minorHAnsi"/>
        </w:rPr>
      </w:pPr>
      <w:r w:rsidRPr="004B383F">
        <w:rPr>
          <w:rFonts w:eastAsia="Times New Roman" w:cstheme="minorHAnsi"/>
        </w:rPr>
        <w:t>Suspension and waiver of rules and regulations (and statutes, if allowed).</w:t>
      </w:r>
    </w:p>
    <w:p w14:paraId="00150687" w14:textId="77777777" w:rsidR="005E0299" w:rsidRPr="004B383F" w:rsidRDefault="005E0299" w:rsidP="00224AC9">
      <w:pPr>
        <w:pStyle w:val="ListParagraph"/>
        <w:numPr>
          <w:ilvl w:val="0"/>
          <w:numId w:val="8"/>
        </w:numPr>
        <w:spacing w:after="120" w:line="480" w:lineRule="auto"/>
        <w:contextualSpacing w:val="0"/>
        <w:textAlignment w:val="baseline"/>
        <w:rPr>
          <w:rFonts w:eastAsia="Times New Roman" w:cstheme="minorHAnsi"/>
        </w:rPr>
      </w:pPr>
      <w:r w:rsidRPr="004B383F">
        <w:rPr>
          <w:rFonts w:eastAsia="Times New Roman" w:cstheme="minorHAnsi"/>
        </w:rPr>
        <w:t>Streamlining of state administrative procedures such as procurement requirements.</w:t>
      </w:r>
    </w:p>
    <w:p w14:paraId="41A813C1" w14:textId="77777777" w:rsidR="005E0299" w:rsidRPr="00A56E0D" w:rsidRDefault="005E0299" w:rsidP="004C19B5">
      <w:pPr>
        <w:spacing w:line="480" w:lineRule="auto"/>
        <w:textAlignment w:val="baseline"/>
        <w:rPr>
          <w:rFonts w:eastAsia="Times New Roman" w:cstheme="minorHAnsi"/>
        </w:rPr>
      </w:pPr>
    </w:p>
    <w:p w14:paraId="680A9B1E" w14:textId="77777777" w:rsidR="005E0299" w:rsidRPr="00A56E0D" w:rsidRDefault="005E0299" w:rsidP="004C19B5">
      <w:pPr>
        <w:spacing w:line="480" w:lineRule="auto"/>
        <w:rPr>
          <w:rFonts w:eastAsia="Times New Roman" w:cstheme="minorHAnsi"/>
          <w:b/>
          <w:bCs/>
          <w:color w:val="3C3030"/>
          <w:sz w:val="24"/>
          <w:szCs w:val="24"/>
        </w:rPr>
      </w:pPr>
      <w:r w:rsidRPr="00A56E0D">
        <w:rPr>
          <w:rFonts w:eastAsia="Times New Roman" w:cstheme="minorHAnsi"/>
          <w:b/>
          <w:bCs/>
          <w:color w:val="3C3030"/>
          <w:sz w:val="24"/>
          <w:szCs w:val="24"/>
        </w:rPr>
        <w:t>Federal Emergency Declarations and Authorities</w:t>
      </w:r>
    </w:p>
    <w:p w14:paraId="79EDCABA" w14:textId="77777777" w:rsidR="005E0299" w:rsidRPr="00A56E0D" w:rsidRDefault="005E0299" w:rsidP="004C19B5">
      <w:pPr>
        <w:shd w:val="clear" w:color="auto" w:fill="FFFFFF"/>
        <w:spacing w:after="120" w:line="480" w:lineRule="auto"/>
        <w:textAlignment w:val="baseline"/>
        <w:rPr>
          <w:rFonts w:eastAsia="Times New Roman" w:cstheme="minorHAnsi"/>
        </w:rPr>
      </w:pPr>
      <w:r w:rsidRPr="00A56E0D">
        <w:rPr>
          <w:rFonts w:eastAsia="Times New Roman" w:cstheme="minorHAnsi"/>
        </w:rPr>
        <w:t>As with the states, federal law imbues designated federal officials with broad powers that allow them to respond to and assist states and localities in responding to emergencies even without a federal emergency declaration. Thus, the secretary of Health and Human Services (HHS) has broad authority under Sections 301 and 311 of the Public Health Service Act to provide assistance to states and localities.</w:t>
      </w:r>
      <w:r w:rsidRPr="00A56E0D">
        <w:rPr>
          <w:rFonts w:eastAsia="Times New Roman" w:cstheme="minorHAnsi"/>
          <w:bdr w:val="none" w:sz="0" w:space="0" w:color="auto" w:frame="1"/>
          <w:vertAlign w:val="superscript"/>
        </w:rPr>
        <w:t>2</w:t>
      </w:r>
      <w:r w:rsidRPr="00A56E0D">
        <w:rPr>
          <w:rFonts w:eastAsia="Times New Roman" w:cstheme="minorHAnsi"/>
        </w:rPr>
        <w:t> Federal law also provides the president and other federal officials with authority to declare emergencies under specified conditions. Some of these federal authorities relevant to the public health context include:</w:t>
      </w:r>
    </w:p>
    <w:p w14:paraId="328732F0" w14:textId="77777777" w:rsidR="005E0299" w:rsidRPr="00A932A4" w:rsidRDefault="005E0299" w:rsidP="00224AC9">
      <w:pPr>
        <w:pStyle w:val="ListParagraph"/>
        <w:numPr>
          <w:ilvl w:val="0"/>
          <w:numId w:val="9"/>
        </w:numPr>
        <w:spacing w:after="120" w:line="480" w:lineRule="auto"/>
        <w:contextualSpacing w:val="0"/>
        <w:textAlignment w:val="baseline"/>
        <w:rPr>
          <w:rFonts w:eastAsia="Times New Roman" w:cstheme="minorHAnsi"/>
        </w:rPr>
      </w:pPr>
      <w:r w:rsidRPr="00A932A4">
        <w:rPr>
          <w:rFonts w:eastAsia="Times New Roman" w:cstheme="minorHAnsi"/>
        </w:rPr>
        <w:t>President—</w:t>
      </w:r>
      <w:hyperlink r:id="rId7" w:anchor="Stafford-Act" w:history="1">
        <w:r w:rsidRPr="00A932A4">
          <w:rPr>
            <w:rFonts w:eastAsia="Times New Roman" w:cstheme="minorHAnsi"/>
            <w:color w:val="0F88B8"/>
            <w:bdr w:val="none" w:sz="0" w:space="0" w:color="auto" w:frame="1"/>
          </w:rPr>
          <w:t>Stafford Act</w:t>
        </w:r>
      </w:hyperlink>
      <w:r w:rsidRPr="00A932A4">
        <w:rPr>
          <w:rFonts w:eastAsia="Times New Roman" w:cstheme="minorHAnsi"/>
          <w:color w:val="737373"/>
        </w:rPr>
        <w:t> </w:t>
      </w:r>
      <w:r w:rsidRPr="00A932A4">
        <w:rPr>
          <w:rFonts w:eastAsia="Times New Roman" w:cstheme="minorHAnsi"/>
        </w:rPr>
        <w:t>and the </w:t>
      </w:r>
      <w:hyperlink r:id="rId8" w:anchor="National-Emergencies-Act-(NEA),-Section-201-and-301" w:history="1">
        <w:r w:rsidRPr="00A932A4">
          <w:rPr>
            <w:rFonts w:eastAsia="Times New Roman" w:cstheme="minorHAnsi"/>
            <w:color w:val="0F88B8"/>
            <w:bdr w:val="none" w:sz="0" w:space="0" w:color="auto" w:frame="1"/>
          </w:rPr>
          <w:t>National Emergencies Act</w:t>
        </w:r>
      </w:hyperlink>
      <w:r w:rsidRPr="00A932A4">
        <w:rPr>
          <w:rFonts w:eastAsia="Times New Roman" w:cstheme="minorHAnsi"/>
          <w:color w:val="737373"/>
        </w:rPr>
        <w:t>.</w:t>
      </w:r>
    </w:p>
    <w:p w14:paraId="07B9F449" w14:textId="77777777" w:rsidR="005E0299" w:rsidRPr="00A932A4" w:rsidRDefault="005E0299" w:rsidP="00224AC9">
      <w:pPr>
        <w:pStyle w:val="ListParagraph"/>
        <w:numPr>
          <w:ilvl w:val="0"/>
          <w:numId w:val="9"/>
        </w:numPr>
        <w:spacing w:after="120" w:line="480" w:lineRule="auto"/>
        <w:contextualSpacing w:val="0"/>
        <w:textAlignment w:val="baseline"/>
        <w:rPr>
          <w:rFonts w:eastAsia="Times New Roman" w:cstheme="minorHAnsi"/>
        </w:rPr>
      </w:pPr>
      <w:r w:rsidRPr="00A932A4">
        <w:rPr>
          <w:rFonts w:eastAsia="Times New Roman" w:cstheme="minorHAnsi"/>
        </w:rPr>
        <w:t>HHS Secretary—</w:t>
      </w:r>
      <w:hyperlink r:id="rId9" w:anchor="Public-Health-Service-Act,-Section-319" w:history="1">
        <w:r w:rsidRPr="00A932A4">
          <w:rPr>
            <w:rFonts w:eastAsia="Times New Roman" w:cstheme="minorHAnsi"/>
            <w:color w:val="0F88B8"/>
            <w:bdr w:val="none" w:sz="0" w:space="0" w:color="auto" w:frame="1"/>
          </w:rPr>
          <w:t>Public Health Service Act Section 319</w:t>
        </w:r>
      </w:hyperlink>
      <w:r w:rsidRPr="00A932A4">
        <w:rPr>
          <w:rFonts w:eastAsia="Times New Roman" w:cstheme="minorHAnsi"/>
          <w:color w:val="737373"/>
        </w:rPr>
        <w:t> </w:t>
      </w:r>
      <w:r w:rsidRPr="00A932A4">
        <w:rPr>
          <w:rFonts w:eastAsia="Times New Roman" w:cstheme="minorHAnsi"/>
        </w:rPr>
        <w:t>and</w:t>
      </w:r>
      <w:r w:rsidRPr="00A932A4">
        <w:rPr>
          <w:rFonts w:eastAsia="Times New Roman" w:cstheme="minorHAnsi"/>
          <w:color w:val="737373"/>
        </w:rPr>
        <w:t> </w:t>
      </w:r>
      <w:hyperlink r:id="rId10" w:anchor="Social-Security-Act,-Section-1135" w:history="1">
        <w:r w:rsidRPr="00A932A4">
          <w:rPr>
            <w:rFonts w:eastAsia="Times New Roman" w:cstheme="minorHAnsi"/>
            <w:color w:val="0F88B8"/>
            <w:bdr w:val="none" w:sz="0" w:space="0" w:color="auto" w:frame="1"/>
          </w:rPr>
          <w:t>Social Security Act Section 1135</w:t>
        </w:r>
      </w:hyperlink>
      <w:r w:rsidRPr="00A932A4">
        <w:rPr>
          <w:rFonts w:eastAsia="Times New Roman" w:cstheme="minorHAnsi"/>
          <w:color w:val="737373"/>
        </w:rPr>
        <w:t>.</w:t>
      </w:r>
    </w:p>
    <w:p w14:paraId="03DD58DC" w14:textId="77777777" w:rsidR="005E0299" w:rsidRPr="00A56E0D" w:rsidRDefault="005E0299" w:rsidP="004C19B5">
      <w:pPr>
        <w:spacing w:line="480" w:lineRule="auto"/>
        <w:textAlignment w:val="baseline"/>
        <w:rPr>
          <w:rFonts w:eastAsia="Times New Roman" w:cstheme="minorHAnsi"/>
        </w:rPr>
      </w:pPr>
    </w:p>
    <w:p w14:paraId="5DA69635" w14:textId="77777777" w:rsidR="005E0299" w:rsidRPr="00A56E0D" w:rsidRDefault="005E0299" w:rsidP="004C19B5">
      <w:pPr>
        <w:spacing w:line="480" w:lineRule="auto"/>
        <w:rPr>
          <w:rFonts w:eastAsia="Times New Roman" w:cstheme="minorHAnsi"/>
          <w:b/>
          <w:bCs/>
        </w:rPr>
      </w:pPr>
      <w:r w:rsidRPr="00A56E0D">
        <w:rPr>
          <w:rFonts w:eastAsia="Times New Roman" w:cstheme="minorHAnsi"/>
          <w:b/>
          <w:bCs/>
        </w:rPr>
        <w:t>Actions and Authorities Triggered by Federal Emergency Declarations</w:t>
      </w:r>
    </w:p>
    <w:p w14:paraId="5ADD687D" w14:textId="77777777" w:rsidR="005E0299" w:rsidRPr="00A932A4" w:rsidRDefault="005E0299" w:rsidP="00224AC9">
      <w:pPr>
        <w:pStyle w:val="ListParagraph"/>
        <w:numPr>
          <w:ilvl w:val="0"/>
          <w:numId w:val="10"/>
        </w:numPr>
        <w:shd w:val="clear" w:color="auto" w:fill="FFFFFF"/>
        <w:spacing w:after="120" w:line="480" w:lineRule="auto"/>
        <w:contextualSpacing w:val="0"/>
        <w:textAlignment w:val="baseline"/>
        <w:rPr>
          <w:rFonts w:eastAsia="Times New Roman" w:cstheme="minorHAnsi"/>
        </w:rPr>
      </w:pPr>
      <w:r w:rsidRPr="00A932A4">
        <w:rPr>
          <w:rFonts w:eastAsia="Times New Roman" w:cstheme="minorHAnsi"/>
        </w:rPr>
        <w:t>Federal emergency declarations activate legal and programmatic responses from federal agencies including:</w:t>
      </w:r>
    </w:p>
    <w:p w14:paraId="7AFE5933" w14:textId="77777777" w:rsidR="005E0299" w:rsidRPr="00A56E0D" w:rsidRDefault="005E0299" w:rsidP="00224AC9">
      <w:pPr>
        <w:numPr>
          <w:ilvl w:val="0"/>
          <w:numId w:val="10"/>
        </w:numPr>
        <w:spacing w:after="120" w:line="480" w:lineRule="auto"/>
        <w:textAlignment w:val="baseline"/>
        <w:rPr>
          <w:rFonts w:eastAsia="Times New Roman" w:cstheme="minorHAnsi"/>
        </w:rPr>
      </w:pPr>
      <w:r w:rsidRPr="00A56E0D">
        <w:rPr>
          <w:rFonts w:eastAsia="Times New Roman" w:cstheme="minorHAnsi"/>
        </w:rPr>
        <w:t>Activating federal assistance to states in the form of financial, personnel, services, logistical, and technical assistance.</w:t>
      </w:r>
    </w:p>
    <w:p w14:paraId="0AB0F8E9" w14:textId="77777777" w:rsidR="005E0299" w:rsidRPr="00A56E0D" w:rsidRDefault="005E0299" w:rsidP="00224AC9">
      <w:pPr>
        <w:numPr>
          <w:ilvl w:val="0"/>
          <w:numId w:val="10"/>
        </w:numPr>
        <w:spacing w:after="120" w:line="480" w:lineRule="auto"/>
        <w:textAlignment w:val="baseline"/>
        <w:rPr>
          <w:rFonts w:eastAsia="Times New Roman" w:cstheme="minorHAnsi"/>
        </w:rPr>
      </w:pPr>
      <w:r w:rsidRPr="00A56E0D">
        <w:rPr>
          <w:rFonts w:eastAsia="Times New Roman" w:cstheme="minorHAnsi"/>
        </w:rPr>
        <w:t>Triggering emergency provisions in other laws including Social Security Act Section 1135 waivers and statutory immunities and liability protections, such as the </w:t>
      </w:r>
      <w:hyperlink r:id="rId11" w:anchor="Public-Readiness-and-Emergency-Preparedness-Act" w:history="1">
        <w:r w:rsidRPr="00A56E0D">
          <w:rPr>
            <w:rFonts w:eastAsia="Times New Roman" w:cstheme="minorHAnsi"/>
            <w:color w:val="0F88B8"/>
            <w:bdr w:val="none" w:sz="0" w:space="0" w:color="auto" w:frame="1"/>
          </w:rPr>
          <w:t>Public Readiness and Emergency Preparedness Act (PREP Act)</w:t>
        </w:r>
      </w:hyperlink>
      <w:r w:rsidRPr="00A56E0D">
        <w:rPr>
          <w:rFonts w:eastAsia="Times New Roman" w:cstheme="minorHAnsi"/>
          <w:color w:val="737373"/>
        </w:rPr>
        <w:t>.</w:t>
      </w:r>
    </w:p>
    <w:p w14:paraId="4249AE07" w14:textId="77777777" w:rsidR="005E0299" w:rsidRPr="00A56E0D" w:rsidRDefault="005E0299" w:rsidP="00224AC9">
      <w:pPr>
        <w:numPr>
          <w:ilvl w:val="0"/>
          <w:numId w:val="10"/>
        </w:numPr>
        <w:spacing w:after="120" w:line="480" w:lineRule="auto"/>
        <w:textAlignment w:val="baseline"/>
        <w:rPr>
          <w:rFonts w:eastAsia="Times New Roman" w:cstheme="minorHAnsi"/>
        </w:rPr>
      </w:pPr>
      <w:r w:rsidRPr="00A56E0D">
        <w:rPr>
          <w:rFonts w:eastAsia="Times New Roman" w:cstheme="minorHAnsi"/>
        </w:rPr>
        <w:t>Easing regulatory requirements on individuals, organizations, and state and local governments.</w:t>
      </w:r>
    </w:p>
    <w:p w14:paraId="1FA622E7" w14:textId="77777777" w:rsidR="005E0299" w:rsidRDefault="005E0299" w:rsidP="00224AC9">
      <w:pPr>
        <w:numPr>
          <w:ilvl w:val="0"/>
          <w:numId w:val="10"/>
        </w:numPr>
        <w:spacing w:after="120" w:line="480" w:lineRule="auto"/>
        <w:textAlignment w:val="baseline"/>
        <w:rPr>
          <w:rFonts w:eastAsia="Times New Roman" w:cstheme="minorHAnsi"/>
        </w:rPr>
      </w:pPr>
      <w:r w:rsidRPr="00A56E0D">
        <w:rPr>
          <w:rFonts w:eastAsia="Times New Roman" w:cstheme="minorHAnsi"/>
        </w:rPr>
        <w:lastRenderedPageBreak/>
        <w:t>Activating the</w:t>
      </w:r>
      <w:r w:rsidRPr="00A56E0D">
        <w:rPr>
          <w:rFonts w:eastAsia="Times New Roman" w:cstheme="minorHAnsi"/>
          <w:color w:val="737373"/>
        </w:rPr>
        <w:t> </w:t>
      </w:r>
      <w:hyperlink r:id="rId12" w:anchor="National-Response-Framework-(NRF)" w:history="1">
        <w:r w:rsidRPr="00A56E0D">
          <w:rPr>
            <w:rFonts w:eastAsia="Times New Roman" w:cstheme="minorHAnsi"/>
            <w:color w:val="0F88B8"/>
            <w:bdr w:val="none" w:sz="0" w:space="0" w:color="auto" w:frame="1"/>
          </w:rPr>
          <w:t>National Response Framework</w:t>
        </w:r>
      </w:hyperlink>
      <w:r w:rsidRPr="00A56E0D">
        <w:rPr>
          <w:rFonts w:eastAsia="Times New Roman" w:cstheme="minorHAnsi"/>
          <w:color w:val="737373"/>
        </w:rPr>
        <w:t>, </w:t>
      </w:r>
      <w:hyperlink r:id="rId13" w:anchor="National-Incident-Management-System-(NIMS)" w:history="1">
        <w:r w:rsidRPr="00A56E0D">
          <w:rPr>
            <w:rFonts w:eastAsia="Times New Roman" w:cstheme="minorHAnsi"/>
            <w:color w:val="0F88B8"/>
            <w:bdr w:val="none" w:sz="0" w:space="0" w:color="auto" w:frame="1"/>
          </w:rPr>
          <w:t>National Incident Management System</w:t>
        </w:r>
      </w:hyperlink>
      <w:r w:rsidRPr="00A56E0D">
        <w:rPr>
          <w:rFonts w:eastAsia="Times New Roman" w:cstheme="minorHAnsi"/>
        </w:rPr>
        <w:t>,</w:t>
      </w:r>
      <w:r w:rsidRPr="00A56E0D">
        <w:rPr>
          <w:rFonts w:eastAsia="Times New Roman" w:cstheme="minorHAnsi"/>
          <w:color w:val="737373"/>
        </w:rPr>
        <w:t xml:space="preserve"> </w:t>
      </w:r>
      <w:r w:rsidRPr="00A56E0D">
        <w:rPr>
          <w:rFonts w:eastAsia="Times New Roman" w:cstheme="minorHAnsi"/>
        </w:rPr>
        <w:t>and other emergency response protocols and systems.</w:t>
      </w:r>
    </w:p>
    <w:p w14:paraId="4395C206" w14:textId="77777777" w:rsidR="005E0299" w:rsidRPr="00A56E0D" w:rsidRDefault="005E0299" w:rsidP="004C19B5">
      <w:pPr>
        <w:spacing w:after="120" w:line="480" w:lineRule="auto"/>
        <w:textAlignment w:val="baseline"/>
        <w:rPr>
          <w:rFonts w:eastAsia="Times New Roman" w:cstheme="minorHAnsi"/>
        </w:rPr>
      </w:pPr>
    </w:p>
    <w:p w14:paraId="63412C4E" w14:textId="77777777" w:rsidR="005E0299" w:rsidRPr="00A56E0D" w:rsidRDefault="005E0299" w:rsidP="004C19B5">
      <w:pPr>
        <w:spacing w:line="480" w:lineRule="auto"/>
        <w:rPr>
          <w:rFonts w:eastAsia="Times New Roman" w:cstheme="minorHAnsi"/>
          <w:b/>
          <w:bCs/>
          <w:color w:val="3C3030"/>
          <w:sz w:val="24"/>
          <w:szCs w:val="24"/>
        </w:rPr>
      </w:pPr>
      <w:r w:rsidRPr="00A56E0D">
        <w:rPr>
          <w:rFonts w:eastAsia="Times New Roman" w:cstheme="minorHAnsi"/>
          <w:b/>
          <w:bCs/>
          <w:color w:val="3C3030"/>
          <w:sz w:val="24"/>
          <w:szCs w:val="24"/>
        </w:rPr>
        <w:t>Implications of State and Federal Emergency Declarations and Authorities</w:t>
      </w:r>
    </w:p>
    <w:p w14:paraId="564D9B27" w14:textId="77777777" w:rsidR="005E0299" w:rsidRPr="00A56E0D" w:rsidRDefault="005E0299" w:rsidP="004C19B5">
      <w:pPr>
        <w:shd w:val="clear" w:color="auto" w:fill="FFFFFF"/>
        <w:spacing w:line="480" w:lineRule="auto"/>
        <w:textAlignment w:val="baseline"/>
        <w:rPr>
          <w:rFonts w:eastAsia="Times New Roman" w:cstheme="minorHAnsi"/>
          <w:szCs w:val="20"/>
        </w:rPr>
      </w:pPr>
      <w:r w:rsidRPr="00A56E0D">
        <w:rPr>
          <w:rFonts w:eastAsia="Times New Roman" w:cstheme="minorHAnsi"/>
          <w:szCs w:val="20"/>
        </w:rPr>
        <w:t>An emergency declaration can change the legal and operational landscape in which governments, private organizations, and the public operate during an emergency. Emergency declarations, especially if they occur at multiple levels (federal, state, local), can confuse organizations and individuals. All state agencies need to understand the implications of operating under an emergency declaration, especially those that are not directly involved in response activities such as state procurement offices. States must also understand the legal and operational effects of a federal emergency declaration. Federal declarations may affect compliance with federal legal and programmatic requirements. Federal declarations generally do not alter state legislative and regulatory requirements; however, state law will be preempted to the extent it conflicts with federal law. State declarations are necessary to modify states legal requirements. </w:t>
      </w:r>
      <w:r w:rsidRPr="00A56E0D">
        <w:rPr>
          <w:rFonts w:eastAsia="Times New Roman" w:cstheme="minorHAnsi"/>
          <w:szCs w:val="20"/>
        </w:rPr>
        <w:br/>
      </w:r>
      <w:r w:rsidRPr="00A56E0D">
        <w:rPr>
          <w:rFonts w:eastAsia="Times New Roman" w:cstheme="minorHAnsi"/>
          <w:szCs w:val="20"/>
        </w:rPr>
        <w:br/>
        <w:t>During H1N1, some states declared emergencies, while neighboring states did not. For some states, the relatively mild severity of the H1N1 influenza pandemic did not rise to the level needed to trigger the statutory requirements for an emergency declaration, or made states conclude that existing authorities were sufficient to handle the response. Differences in states’ decisions to declare an emergency, as well as the federal declaration and World Health Organization pandemic levels, proved confusing for healthcare providers, the private sector, and the public. State agencies were required to clearly communicate the impact of various declarations had in responding to H1N1.</w:t>
      </w:r>
    </w:p>
    <w:p w14:paraId="7A4619CE" w14:textId="77777777" w:rsidR="005E0299" w:rsidRDefault="005E0299" w:rsidP="004C19B5">
      <w:pPr>
        <w:spacing w:line="480" w:lineRule="auto"/>
        <w:rPr>
          <w:rFonts w:eastAsia="Times New Roman" w:cstheme="minorHAnsi"/>
          <w:b/>
          <w:bCs/>
          <w:color w:val="3C3030"/>
          <w:sz w:val="24"/>
          <w:szCs w:val="24"/>
        </w:rPr>
      </w:pPr>
    </w:p>
    <w:p w14:paraId="6E58F097" w14:textId="77777777" w:rsidR="005E0299" w:rsidRPr="00A56E0D" w:rsidRDefault="005E0299" w:rsidP="004C19B5">
      <w:pPr>
        <w:spacing w:after="120" w:line="480" w:lineRule="auto"/>
        <w:contextualSpacing/>
        <w:rPr>
          <w:rFonts w:eastAsia="Times New Roman" w:cstheme="minorHAnsi"/>
          <w:b/>
          <w:bCs/>
          <w:sz w:val="24"/>
          <w:szCs w:val="24"/>
        </w:rPr>
      </w:pPr>
      <w:r w:rsidRPr="00A56E0D">
        <w:rPr>
          <w:rFonts w:eastAsia="Times New Roman" w:cstheme="minorHAnsi"/>
          <w:b/>
          <w:bCs/>
          <w:color w:val="3C3030"/>
          <w:sz w:val="24"/>
          <w:szCs w:val="24"/>
        </w:rPr>
        <w:lastRenderedPageBreak/>
        <w:t>Practice Notes</w:t>
      </w:r>
    </w:p>
    <w:p w14:paraId="6512BB54" w14:textId="77777777" w:rsidR="005E0299" w:rsidRPr="009E48A2" w:rsidRDefault="005E0299" w:rsidP="00224AC9">
      <w:pPr>
        <w:pStyle w:val="ListParagraph"/>
        <w:numPr>
          <w:ilvl w:val="0"/>
          <w:numId w:val="11"/>
        </w:numPr>
        <w:spacing w:after="120" w:line="480" w:lineRule="auto"/>
        <w:textAlignment w:val="baseline"/>
        <w:rPr>
          <w:rFonts w:eastAsia="Times New Roman" w:cstheme="minorHAnsi"/>
          <w:szCs w:val="20"/>
        </w:rPr>
      </w:pPr>
      <w:r w:rsidRPr="009E48A2">
        <w:rPr>
          <w:rFonts w:eastAsia="Times New Roman" w:cstheme="minorHAnsi"/>
          <w:szCs w:val="20"/>
        </w:rPr>
        <w:t>Identify the state statutory requirements for declaring emergencies in your state.</w:t>
      </w:r>
    </w:p>
    <w:p w14:paraId="1AA963B4" w14:textId="77777777" w:rsidR="005E0299" w:rsidRPr="009E48A2" w:rsidRDefault="005E0299" w:rsidP="00224AC9">
      <w:pPr>
        <w:pStyle w:val="ListParagraph"/>
        <w:numPr>
          <w:ilvl w:val="0"/>
          <w:numId w:val="11"/>
        </w:numPr>
        <w:spacing w:after="120" w:line="480" w:lineRule="auto"/>
        <w:textAlignment w:val="baseline"/>
        <w:rPr>
          <w:rFonts w:eastAsia="Times New Roman" w:cstheme="minorHAnsi"/>
          <w:szCs w:val="20"/>
        </w:rPr>
      </w:pPr>
      <w:r w:rsidRPr="009E48A2">
        <w:rPr>
          <w:rFonts w:eastAsia="Times New Roman" w:cstheme="minorHAnsi"/>
          <w:szCs w:val="20"/>
        </w:rPr>
        <w:t>Understand who can declare emergencies, under what circumstances, and the powers that do/do not flow from this declaration.</w:t>
      </w:r>
    </w:p>
    <w:p w14:paraId="6F62B03A" w14:textId="77777777" w:rsidR="005E0299" w:rsidRPr="009E48A2" w:rsidRDefault="005E0299" w:rsidP="00224AC9">
      <w:pPr>
        <w:pStyle w:val="ListParagraph"/>
        <w:numPr>
          <w:ilvl w:val="0"/>
          <w:numId w:val="11"/>
        </w:numPr>
        <w:spacing w:after="120" w:line="480" w:lineRule="auto"/>
        <w:textAlignment w:val="baseline"/>
        <w:rPr>
          <w:rFonts w:eastAsia="Times New Roman" w:cstheme="minorHAnsi"/>
          <w:szCs w:val="20"/>
        </w:rPr>
      </w:pPr>
      <w:r w:rsidRPr="009E48A2">
        <w:rPr>
          <w:rFonts w:eastAsia="Times New Roman" w:cstheme="minorHAnsi"/>
          <w:szCs w:val="20"/>
        </w:rPr>
        <w:t>Understand the procedures for implementing and the implications of declaring local or regional emergencies within the state and how these compare to statewide emergencies.</w:t>
      </w:r>
    </w:p>
    <w:p w14:paraId="380F97FB" w14:textId="77777777" w:rsidR="005E0299" w:rsidRPr="009E48A2" w:rsidRDefault="005E0299" w:rsidP="00224AC9">
      <w:pPr>
        <w:pStyle w:val="ListParagraph"/>
        <w:numPr>
          <w:ilvl w:val="0"/>
          <w:numId w:val="11"/>
        </w:numPr>
        <w:spacing w:after="120" w:line="480" w:lineRule="auto"/>
        <w:textAlignment w:val="baseline"/>
        <w:rPr>
          <w:rFonts w:eastAsia="Times New Roman" w:cstheme="minorHAnsi"/>
          <w:szCs w:val="20"/>
        </w:rPr>
      </w:pPr>
      <w:r w:rsidRPr="009E48A2">
        <w:rPr>
          <w:rFonts w:eastAsia="Times New Roman" w:cstheme="minorHAnsi"/>
          <w:szCs w:val="20"/>
        </w:rPr>
        <w:t>Identify and understand how state requirements are modified when there is a federally declared emergency.</w:t>
      </w:r>
    </w:p>
    <w:p w14:paraId="49465C36" w14:textId="77777777" w:rsidR="005E0299" w:rsidRPr="009E48A2" w:rsidRDefault="005E0299" w:rsidP="00224AC9">
      <w:pPr>
        <w:pStyle w:val="ListParagraph"/>
        <w:numPr>
          <w:ilvl w:val="0"/>
          <w:numId w:val="11"/>
        </w:numPr>
        <w:spacing w:after="120" w:line="480" w:lineRule="auto"/>
        <w:textAlignment w:val="baseline"/>
        <w:rPr>
          <w:rFonts w:eastAsia="Times New Roman" w:cstheme="minorHAnsi"/>
          <w:szCs w:val="20"/>
        </w:rPr>
      </w:pPr>
      <w:r w:rsidRPr="009E48A2">
        <w:rPr>
          <w:rFonts w:eastAsia="Times New Roman" w:cstheme="minorHAnsi"/>
          <w:szCs w:val="20"/>
        </w:rPr>
        <w:t>Understand the legal and programmatic implications where there is no state declaration of emergency but there is a federal declaration of emergency.</w:t>
      </w:r>
    </w:p>
    <w:p w14:paraId="2B4C7044" w14:textId="77777777" w:rsidR="005E0299" w:rsidRPr="009E48A2" w:rsidRDefault="005E0299" w:rsidP="00224AC9">
      <w:pPr>
        <w:pStyle w:val="ListParagraph"/>
        <w:numPr>
          <w:ilvl w:val="0"/>
          <w:numId w:val="11"/>
        </w:numPr>
        <w:spacing w:after="120" w:line="480" w:lineRule="auto"/>
        <w:textAlignment w:val="baseline"/>
        <w:rPr>
          <w:rFonts w:eastAsia="Times New Roman" w:cstheme="minorHAnsi"/>
          <w:szCs w:val="20"/>
        </w:rPr>
      </w:pPr>
      <w:r w:rsidRPr="009E48A2">
        <w:rPr>
          <w:rFonts w:eastAsia="Times New Roman" w:cstheme="minorHAnsi"/>
          <w:szCs w:val="20"/>
        </w:rPr>
        <w:t>Identify and communicate to relevant audiences the effects of emergency declarations and any changes to regulatory or programmatic activities because of the declaration.</w:t>
      </w:r>
    </w:p>
    <w:p w14:paraId="2E7BA2B7" w14:textId="77777777" w:rsidR="005E0299" w:rsidRPr="009E48A2" w:rsidRDefault="005E0299" w:rsidP="004C19B5">
      <w:pPr>
        <w:spacing w:line="480" w:lineRule="auto"/>
        <w:rPr>
          <w:rFonts w:eastAsia="Times New Roman" w:cstheme="minorHAnsi"/>
          <w:bCs/>
          <w:sz w:val="24"/>
          <w:szCs w:val="24"/>
        </w:rPr>
      </w:pPr>
    </w:p>
    <w:p w14:paraId="581E214B" w14:textId="77777777" w:rsidR="005E0299" w:rsidRPr="004B383F" w:rsidRDefault="005E0299" w:rsidP="004C19B5">
      <w:pPr>
        <w:spacing w:line="480" w:lineRule="auto"/>
        <w:rPr>
          <w:rFonts w:eastAsia="Times New Roman" w:cstheme="minorHAnsi"/>
          <w:bCs/>
          <w:szCs w:val="24"/>
        </w:rPr>
      </w:pPr>
      <w:r w:rsidRPr="004B383F">
        <w:rPr>
          <w:rFonts w:eastAsia="Times New Roman" w:cstheme="minorHAnsi"/>
          <w:bCs/>
          <w:szCs w:val="24"/>
        </w:rPr>
        <w:t>_______________________________________________________________</w:t>
      </w:r>
    </w:p>
    <w:p w14:paraId="16F019C8" w14:textId="77777777" w:rsidR="005E0299" w:rsidRPr="004B383F" w:rsidRDefault="005E0299" w:rsidP="004C19B5">
      <w:pPr>
        <w:spacing w:line="480" w:lineRule="auto"/>
        <w:rPr>
          <w:rFonts w:eastAsia="Times New Roman" w:cstheme="minorHAnsi"/>
          <w:bCs/>
          <w:szCs w:val="24"/>
        </w:rPr>
      </w:pPr>
    </w:p>
    <w:p w14:paraId="1419D7D7" w14:textId="77777777" w:rsidR="005E0299" w:rsidRPr="00A56E0D" w:rsidRDefault="005E0299" w:rsidP="004C19B5">
      <w:pPr>
        <w:spacing w:line="480" w:lineRule="auto"/>
        <w:rPr>
          <w:rFonts w:eastAsia="Times New Roman" w:cstheme="minorHAnsi"/>
          <w:b/>
          <w:bCs/>
          <w:color w:val="3C3030"/>
          <w:sz w:val="24"/>
          <w:szCs w:val="24"/>
        </w:rPr>
      </w:pPr>
      <w:r w:rsidRPr="00A56E0D">
        <w:rPr>
          <w:rFonts w:eastAsia="Times New Roman" w:cstheme="minorHAnsi"/>
          <w:b/>
          <w:bCs/>
          <w:color w:val="3C3030"/>
          <w:sz w:val="24"/>
          <w:szCs w:val="24"/>
        </w:rPr>
        <w:t>Sources</w:t>
      </w:r>
    </w:p>
    <w:p w14:paraId="3E79FFD7" w14:textId="77777777" w:rsidR="005E0299" w:rsidRPr="00A56E0D" w:rsidRDefault="005E0299" w:rsidP="00224AC9">
      <w:pPr>
        <w:numPr>
          <w:ilvl w:val="0"/>
          <w:numId w:val="7"/>
        </w:numPr>
        <w:spacing w:line="480" w:lineRule="auto"/>
        <w:ind w:left="450"/>
        <w:textAlignment w:val="baseline"/>
        <w:rPr>
          <w:rFonts w:eastAsia="Times New Roman" w:cstheme="minorHAnsi"/>
          <w:sz w:val="20"/>
          <w:szCs w:val="20"/>
        </w:rPr>
      </w:pPr>
      <w:r w:rsidRPr="00A56E0D">
        <w:rPr>
          <w:rFonts w:eastAsia="Times New Roman" w:cstheme="minorHAnsi"/>
          <w:sz w:val="20"/>
          <w:szCs w:val="20"/>
        </w:rPr>
        <w:t>HRSA. </w:t>
      </w:r>
      <w:r w:rsidRPr="00A56E0D">
        <w:rPr>
          <w:rFonts w:eastAsia="Times New Roman" w:cstheme="minorHAnsi"/>
          <w:i/>
          <w:iCs/>
          <w:sz w:val="20"/>
          <w:szCs w:val="20"/>
          <w:bdr w:val="none" w:sz="0" w:space="0" w:color="auto" w:frame="1"/>
        </w:rPr>
        <w:t>Emergency System for Advance Registration of Volunteer Health Professionals (ESAR-VHP) — Legal and Regulatory Issues</w:t>
      </w:r>
      <w:r w:rsidRPr="00A56E0D">
        <w:rPr>
          <w:rFonts w:eastAsia="Times New Roman" w:cstheme="minorHAnsi"/>
          <w:sz w:val="20"/>
          <w:szCs w:val="20"/>
        </w:rPr>
        <w:t>. Draft Report. May 2006.</w:t>
      </w:r>
    </w:p>
    <w:p w14:paraId="69589F70" w14:textId="77777777" w:rsidR="005E0299" w:rsidRPr="00F326C0" w:rsidRDefault="005E0299" w:rsidP="00224AC9">
      <w:pPr>
        <w:numPr>
          <w:ilvl w:val="0"/>
          <w:numId w:val="7"/>
        </w:numPr>
        <w:spacing w:line="480" w:lineRule="auto"/>
        <w:ind w:left="450"/>
        <w:textAlignment w:val="baseline"/>
        <w:rPr>
          <w:rFonts w:eastAsia="Times New Roman" w:cstheme="minorHAnsi"/>
          <w:sz w:val="20"/>
          <w:szCs w:val="20"/>
        </w:rPr>
      </w:pPr>
      <w:r w:rsidRPr="00A56E0D">
        <w:rPr>
          <w:rFonts w:eastAsia="Times New Roman" w:cstheme="minorHAnsi"/>
          <w:sz w:val="20"/>
          <w:szCs w:val="20"/>
        </w:rPr>
        <w:t>CDC, Public Health Law Program. “Selected Federal Legal Authorities Pertinent to Public Health Emergencies." September 2009. Available at</w:t>
      </w:r>
      <w:r w:rsidRPr="00A56E0D">
        <w:rPr>
          <w:rFonts w:eastAsia="Times New Roman" w:cstheme="minorHAnsi"/>
          <w:color w:val="737373"/>
          <w:sz w:val="20"/>
          <w:szCs w:val="20"/>
        </w:rPr>
        <w:t> </w:t>
      </w:r>
      <w:hyperlink r:id="rId14" w:tgtFrame="_blank" w:tooltip="http://www.cdc.gov/phlp/docs/ph-emergencies.pdf" w:history="1">
        <w:r w:rsidRPr="00A56E0D">
          <w:rPr>
            <w:rFonts w:eastAsia="Times New Roman" w:cstheme="minorHAnsi"/>
            <w:color w:val="0F88B8"/>
            <w:sz w:val="20"/>
            <w:szCs w:val="20"/>
            <w:bdr w:val="none" w:sz="0" w:space="0" w:color="auto" w:frame="1"/>
          </w:rPr>
          <w:t>http://www.cdc.gov/phlp/docs/ph-emergencies.pdf</w:t>
        </w:r>
      </w:hyperlink>
      <w:r w:rsidRPr="00A56E0D">
        <w:rPr>
          <w:rFonts w:eastAsia="Times New Roman" w:cstheme="minorHAnsi"/>
          <w:color w:val="737373"/>
          <w:sz w:val="20"/>
          <w:szCs w:val="20"/>
        </w:rPr>
        <w:t xml:space="preserve">. </w:t>
      </w:r>
      <w:r w:rsidRPr="00A56E0D">
        <w:rPr>
          <w:rFonts w:eastAsia="Times New Roman" w:cstheme="minorHAnsi"/>
          <w:sz w:val="20"/>
          <w:szCs w:val="20"/>
        </w:rPr>
        <w:t>Accessed January 31, 2012.</w:t>
      </w:r>
    </w:p>
    <w:p w14:paraId="2FFBA9C7" w14:textId="64ACF34F" w:rsidR="006325A4" w:rsidRDefault="006325A4">
      <w:pPr>
        <w:rPr>
          <w:rFonts w:eastAsia="Times New Roman" w:cstheme="minorHAnsi"/>
          <w:b/>
          <w:bCs/>
          <w:color w:val="333333"/>
          <w:spacing w:val="15"/>
          <w:kern w:val="36"/>
          <w:sz w:val="28"/>
          <w:szCs w:val="28"/>
        </w:rPr>
      </w:pPr>
    </w:p>
    <w:p w14:paraId="22682E9F" w14:textId="77777777" w:rsidR="006325A4" w:rsidRDefault="006325A4" w:rsidP="006325A4">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TOC</w:t>
        </w:r>
        <w:r w:rsidRPr="00B16B87">
          <w:rPr>
            <w:rStyle w:val="Hyperlink"/>
            <w:rFonts w:ascii="Calibri" w:hAnsi="Calibri" w:cs="Calibri"/>
            <w:sz w:val="24"/>
          </w:rPr>
          <w:t xml:space="preserve"> </w:t>
        </w:r>
        <w:r w:rsidRPr="00B16B87">
          <w:rPr>
            <w:rStyle w:val="Hyperlink"/>
            <w:rFonts w:ascii="Calibri" w:hAnsi="Calibri" w:cs="Calibri"/>
            <w:sz w:val="24"/>
          </w:rPr>
          <w:t>top</w:t>
        </w:r>
      </w:hyperlink>
      <w:r>
        <w:rPr>
          <w:rFonts w:ascii="Calibri" w:hAnsi="Calibri" w:cs="Calibri"/>
          <w:sz w:val="24"/>
        </w:rPr>
        <w:t>]</w:t>
      </w:r>
    </w:p>
    <w:p w14:paraId="59FF0A7E" w14:textId="77777777" w:rsidR="006325A4" w:rsidRDefault="006325A4">
      <w:pPr>
        <w:rPr>
          <w:rFonts w:eastAsia="Times New Roman" w:cstheme="minorHAnsi"/>
          <w:b/>
          <w:bCs/>
          <w:color w:val="333333"/>
          <w:spacing w:val="15"/>
          <w:kern w:val="36"/>
          <w:sz w:val="28"/>
          <w:szCs w:val="28"/>
        </w:rPr>
      </w:pPr>
    </w:p>
    <w:p w14:paraId="0ACB8745" w14:textId="11A632E8" w:rsidR="006325A4" w:rsidRDefault="006325A4">
      <w:pPr>
        <w:rPr>
          <w:rFonts w:eastAsia="Times New Roman" w:cstheme="minorHAnsi"/>
          <w:b/>
          <w:bCs/>
          <w:color w:val="333333"/>
          <w:spacing w:val="15"/>
          <w:kern w:val="36"/>
          <w:sz w:val="28"/>
          <w:szCs w:val="28"/>
        </w:rPr>
      </w:pPr>
      <w:r>
        <w:rPr>
          <w:rFonts w:eastAsia="Times New Roman" w:cstheme="minorHAnsi"/>
          <w:b/>
          <w:bCs/>
          <w:color w:val="333333"/>
          <w:spacing w:val="15"/>
          <w:kern w:val="36"/>
          <w:sz w:val="28"/>
          <w:szCs w:val="28"/>
        </w:rPr>
        <w:br w:type="page"/>
      </w:r>
    </w:p>
    <w:p w14:paraId="178C3C90" w14:textId="3D110642" w:rsidR="005E0299" w:rsidRPr="0071630A" w:rsidRDefault="005E0299" w:rsidP="004C19B5">
      <w:pPr>
        <w:spacing w:after="120"/>
        <w:rPr>
          <w:rFonts w:eastAsia="Times New Roman" w:cstheme="minorHAnsi"/>
          <w:b/>
          <w:bCs/>
          <w:color w:val="333333"/>
          <w:spacing w:val="15"/>
          <w:kern w:val="36"/>
          <w:sz w:val="28"/>
          <w:szCs w:val="28"/>
        </w:rPr>
      </w:pPr>
      <w:bookmarkStart w:id="5" w:name="EMAC_FS"/>
      <w:r w:rsidRPr="0071630A">
        <w:rPr>
          <w:rFonts w:eastAsia="Times New Roman" w:cstheme="minorHAnsi"/>
          <w:b/>
          <w:bCs/>
          <w:color w:val="333333"/>
          <w:spacing w:val="15"/>
          <w:kern w:val="36"/>
          <w:sz w:val="28"/>
          <w:szCs w:val="28"/>
        </w:rPr>
        <w:lastRenderedPageBreak/>
        <w:t>Emergency Management Assistance Compact</w:t>
      </w:r>
    </w:p>
    <w:bookmarkEnd w:id="5"/>
    <w:p w14:paraId="79FC2BD6" w14:textId="77777777" w:rsidR="005E0299" w:rsidRDefault="005E0299" w:rsidP="004C19B5">
      <w:pPr>
        <w:spacing w:line="360" w:lineRule="auto"/>
        <w:rPr>
          <w:rFonts w:eastAsia="Times New Roman" w:cstheme="minorHAnsi"/>
          <w:b/>
          <w:bCs/>
          <w:color w:val="3C3030"/>
          <w:sz w:val="24"/>
          <w:szCs w:val="24"/>
        </w:rPr>
      </w:pPr>
      <w:r w:rsidRPr="0071630A">
        <w:rPr>
          <w:rFonts w:eastAsia="Times New Roman" w:cstheme="minorHAnsi"/>
          <w:b/>
          <w:bCs/>
          <w:color w:val="3C3030"/>
          <w:sz w:val="24"/>
          <w:szCs w:val="24"/>
        </w:rPr>
        <w:t>Fact Sheet</w:t>
      </w:r>
    </w:p>
    <w:p w14:paraId="5A2AB48A" w14:textId="77777777" w:rsidR="005E0299" w:rsidRPr="0071630A" w:rsidRDefault="005E0299" w:rsidP="004C19B5">
      <w:pPr>
        <w:spacing w:line="360" w:lineRule="auto"/>
        <w:rPr>
          <w:rFonts w:eastAsia="Times New Roman" w:cstheme="minorHAnsi"/>
          <w:b/>
          <w:bCs/>
          <w:color w:val="3C3030"/>
          <w:sz w:val="24"/>
          <w:szCs w:val="24"/>
        </w:rPr>
      </w:pPr>
    </w:p>
    <w:p w14:paraId="335CFF74" w14:textId="77777777" w:rsidR="005E0299" w:rsidRPr="0071630A" w:rsidRDefault="005E0299" w:rsidP="004C19B5">
      <w:pPr>
        <w:spacing w:line="480" w:lineRule="auto"/>
        <w:rPr>
          <w:rFonts w:eastAsia="Times New Roman" w:cstheme="minorHAnsi"/>
          <w:b/>
          <w:bCs/>
          <w:color w:val="3C3030"/>
          <w:sz w:val="24"/>
          <w:szCs w:val="24"/>
        </w:rPr>
      </w:pPr>
      <w:r w:rsidRPr="0071630A">
        <w:rPr>
          <w:rFonts w:eastAsia="Times New Roman" w:cstheme="minorHAnsi"/>
          <w:b/>
          <w:bCs/>
          <w:color w:val="3C3030"/>
          <w:sz w:val="24"/>
          <w:szCs w:val="24"/>
        </w:rPr>
        <w:t>Overview</w:t>
      </w:r>
    </w:p>
    <w:p w14:paraId="11C0DF82" w14:textId="77777777" w:rsidR="005E0299" w:rsidRPr="0071630A" w:rsidRDefault="005E0299" w:rsidP="004C19B5">
      <w:pPr>
        <w:shd w:val="clear" w:color="auto" w:fill="FFFFFF"/>
        <w:spacing w:line="480" w:lineRule="auto"/>
        <w:textAlignment w:val="baseline"/>
        <w:rPr>
          <w:rFonts w:eastAsia="Times New Roman" w:cstheme="minorHAnsi"/>
        </w:rPr>
      </w:pPr>
      <w:r w:rsidRPr="0071630A">
        <w:rPr>
          <w:rFonts w:eastAsia="Times New Roman" w:cstheme="minorHAnsi"/>
        </w:rPr>
        <w:t>The </w:t>
      </w:r>
      <w:hyperlink r:id="rId15" w:anchor="Emergency-Management" w:history="1">
        <w:r w:rsidRPr="0071630A">
          <w:rPr>
            <w:rFonts w:eastAsia="Times New Roman" w:cstheme="minorHAnsi"/>
            <w:bdr w:val="none" w:sz="0" w:space="0" w:color="auto" w:frame="1"/>
          </w:rPr>
          <w:t>Emergency Management Assistance Compact (EMAC)</w:t>
        </w:r>
      </w:hyperlink>
      <w:r w:rsidRPr="0071630A">
        <w:rPr>
          <w:rFonts w:eastAsia="Times New Roman" w:cstheme="minorHAnsi"/>
        </w:rPr>
        <w:t> is a type of interstate mutual aid agreement that facilitates the sharing of assistance among states during emergency events, including natural and man-made disasters.</w:t>
      </w:r>
      <w:r w:rsidRPr="0071630A">
        <w:rPr>
          <w:rFonts w:eastAsia="Times New Roman" w:cstheme="minorHAnsi"/>
          <w:bdr w:val="none" w:sz="0" w:space="0" w:color="auto" w:frame="1"/>
          <w:vertAlign w:val="superscript"/>
        </w:rPr>
        <w:t>1</w:t>
      </w:r>
      <w:r w:rsidRPr="0071630A">
        <w:rPr>
          <w:rFonts w:eastAsia="Times New Roman" w:cstheme="minorHAnsi"/>
        </w:rPr>
        <w:t>EMAC was ratified by the U.S. Congress in 1996.</w:t>
      </w:r>
      <w:r w:rsidRPr="0071630A">
        <w:rPr>
          <w:rFonts w:eastAsia="Times New Roman" w:cstheme="minorHAnsi"/>
          <w:bdr w:val="none" w:sz="0" w:space="0" w:color="auto" w:frame="1"/>
          <w:vertAlign w:val="superscript"/>
        </w:rPr>
        <w:t>2</w:t>
      </w:r>
      <w:r w:rsidRPr="0071630A">
        <w:rPr>
          <w:rFonts w:eastAsia="Times New Roman" w:cstheme="minorHAnsi"/>
        </w:rPr>
        <w:t> EMAC is the most widely adopted mutual aid arrangement in the United States; it has been adopted by all states, the District of Columbia, and some territories.</w:t>
      </w:r>
      <w:r w:rsidRPr="0071630A">
        <w:rPr>
          <w:rFonts w:eastAsia="Times New Roman" w:cstheme="minorHAnsi"/>
          <w:bdr w:val="none" w:sz="0" w:space="0" w:color="auto" w:frame="1"/>
          <w:vertAlign w:val="superscript"/>
        </w:rPr>
        <w:t>3</w:t>
      </w:r>
      <w:r w:rsidRPr="0071630A">
        <w:rPr>
          <w:rFonts w:eastAsia="Times New Roman" w:cstheme="minorHAnsi"/>
        </w:rPr>
        <w:t> </w:t>
      </w:r>
      <w:r w:rsidRPr="0071630A">
        <w:rPr>
          <w:rFonts w:eastAsia="Times New Roman" w:cstheme="minorHAnsi"/>
          <w:color w:val="737373"/>
        </w:rPr>
        <w:br/>
      </w:r>
      <w:r w:rsidRPr="0071630A">
        <w:rPr>
          <w:rFonts w:eastAsia="Times New Roman" w:cstheme="minorHAnsi"/>
        </w:rPr>
        <w:t> </w:t>
      </w:r>
    </w:p>
    <w:p w14:paraId="2F4B33F4" w14:textId="77777777" w:rsidR="005E0299" w:rsidRPr="0071630A" w:rsidRDefault="005E0299" w:rsidP="004C19B5">
      <w:pPr>
        <w:spacing w:line="480" w:lineRule="auto"/>
        <w:rPr>
          <w:rFonts w:eastAsia="Times New Roman" w:cstheme="minorHAnsi"/>
          <w:b/>
          <w:bCs/>
          <w:color w:val="3C3030"/>
          <w:sz w:val="24"/>
          <w:szCs w:val="24"/>
        </w:rPr>
      </w:pPr>
      <w:r w:rsidRPr="0071630A">
        <w:rPr>
          <w:rFonts w:eastAsia="Times New Roman" w:cstheme="minorHAnsi"/>
          <w:b/>
          <w:bCs/>
          <w:color w:val="3C3030"/>
          <w:sz w:val="24"/>
          <w:szCs w:val="24"/>
        </w:rPr>
        <w:t>What EMAC Does</w:t>
      </w:r>
    </w:p>
    <w:p w14:paraId="7314D42E" w14:textId="77777777" w:rsidR="005E0299" w:rsidRPr="0071630A" w:rsidRDefault="005E0299" w:rsidP="004C19B5">
      <w:pPr>
        <w:shd w:val="clear" w:color="auto" w:fill="FFFFFF"/>
        <w:spacing w:line="480" w:lineRule="auto"/>
        <w:textAlignment w:val="baseline"/>
        <w:rPr>
          <w:rFonts w:eastAsia="Times New Roman" w:cstheme="minorHAnsi"/>
          <w:b/>
          <w:bCs/>
          <w:color w:val="3C3030"/>
          <w:sz w:val="24"/>
          <w:szCs w:val="24"/>
        </w:rPr>
      </w:pPr>
      <w:r w:rsidRPr="0071630A">
        <w:rPr>
          <w:rFonts w:eastAsia="Times New Roman" w:cstheme="minorHAnsi"/>
        </w:rPr>
        <w:t>EMAC provides an organized structure through which a state can request aid such as personnel, services, equipment, and supplies from other states during an emergency. EMAC establishes that the requesting state is responsible for reimbursing the assisting state for any expenses incurred. EMAC also addresses liability, compensation, and licensing issues for personnel deployed pursuant to an EMAC request. </w:t>
      </w:r>
      <w:r w:rsidRPr="0071630A">
        <w:rPr>
          <w:rFonts w:eastAsia="Times New Roman" w:cstheme="minorHAnsi"/>
        </w:rPr>
        <w:br/>
      </w:r>
      <w:r w:rsidRPr="0071630A">
        <w:rPr>
          <w:rFonts w:eastAsia="Times New Roman" w:cstheme="minorHAnsi"/>
        </w:rPr>
        <w:br/>
        <w:t>EMAC does not replace federal assistance but acts to complement federal resources or to provide resources when an event does not warrant federal assistance.</w:t>
      </w:r>
      <w:r w:rsidRPr="0071630A">
        <w:rPr>
          <w:rFonts w:eastAsia="Times New Roman" w:cstheme="minorHAnsi"/>
          <w:bdr w:val="none" w:sz="0" w:space="0" w:color="auto" w:frame="1"/>
          <w:vertAlign w:val="superscript"/>
        </w:rPr>
        <w:t>3</w:t>
      </w:r>
      <w:r w:rsidRPr="0071630A">
        <w:rPr>
          <w:rFonts w:eastAsia="Times New Roman" w:cstheme="minorHAnsi"/>
        </w:rPr>
        <w:t> Participation in mutual aid arrangements like EMAC is seen as an important component of the federal </w:t>
      </w:r>
      <w:hyperlink r:id="rId16" w:anchor="National-Incident-Management-System-(NIMS)" w:history="1">
        <w:r w:rsidRPr="0071630A">
          <w:rPr>
            <w:rFonts w:eastAsia="Times New Roman" w:cstheme="minorHAnsi"/>
            <w:bdr w:val="none" w:sz="0" w:space="0" w:color="auto" w:frame="1"/>
          </w:rPr>
          <w:t>National Incident Management System (NIMS)</w:t>
        </w:r>
      </w:hyperlink>
      <w:r w:rsidRPr="0071630A">
        <w:rPr>
          <w:rFonts w:eastAsia="Times New Roman" w:cstheme="minorHAnsi"/>
        </w:rPr>
        <w:t>, which is intended to provide a systematic approach to guide governments at all levels, nongovernmental organizations, and the private sector in collaborative emergency preparedness and response activities. </w:t>
      </w:r>
      <w:r w:rsidRPr="0071630A">
        <w:rPr>
          <w:rFonts w:eastAsia="Times New Roman" w:cstheme="minorHAnsi"/>
        </w:rPr>
        <w:br/>
      </w:r>
      <w:r w:rsidRPr="0071630A">
        <w:rPr>
          <w:rFonts w:eastAsia="Times New Roman" w:cstheme="minorHAnsi"/>
        </w:rPr>
        <w:lastRenderedPageBreak/>
        <w:br/>
      </w:r>
      <w:r w:rsidRPr="0071630A">
        <w:rPr>
          <w:rFonts w:eastAsia="Times New Roman" w:cstheme="minorHAnsi"/>
          <w:b/>
          <w:bCs/>
          <w:color w:val="3C3030"/>
          <w:sz w:val="24"/>
          <w:szCs w:val="24"/>
        </w:rPr>
        <w:t>How EMAC Works</w:t>
      </w:r>
    </w:p>
    <w:p w14:paraId="011CDFED" w14:textId="77777777" w:rsidR="005E0299" w:rsidRPr="0071630A" w:rsidRDefault="005E0299" w:rsidP="004C19B5">
      <w:pPr>
        <w:shd w:val="clear" w:color="auto" w:fill="FFFFFF"/>
        <w:spacing w:line="480" w:lineRule="auto"/>
        <w:textAlignment w:val="baseline"/>
        <w:rPr>
          <w:rFonts w:eastAsia="Times New Roman" w:cstheme="minorHAnsi"/>
          <w:b/>
          <w:bCs/>
        </w:rPr>
      </w:pPr>
      <w:r w:rsidRPr="0071630A">
        <w:rPr>
          <w:rFonts w:eastAsia="Times New Roman" w:cstheme="minorHAnsi"/>
        </w:rPr>
        <w:t>There is no cost to join EMAC, but states are required to adopt the model compact language into their statutes essentially unchanged in order for the compact’s reimbursement, liability, and compensation provisions to work. EMAC is overseen by a number of committees and taskforces comprised of representatives of state and local governments and other organizations.</w:t>
      </w:r>
      <w:r w:rsidRPr="0071630A">
        <w:rPr>
          <w:rFonts w:eastAsia="Times New Roman" w:cstheme="minorHAnsi"/>
          <w:bdr w:val="none" w:sz="0" w:space="0" w:color="auto" w:frame="1"/>
          <w:vertAlign w:val="superscript"/>
        </w:rPr>
        <w:t>3</w:t>
      </w:r>
      <w:r w:rsidRPr="0071630A">
        <w:rPr>
          <w:rFonts w:eastAsia="Times New Roman" w:cstheme="minorHAnsi"/>
        </w:rPr>
        <w:t> EMAC is administered by the National Emergency Management Association (NEMA). </w:t>
      </w:r>
      <w:r w:rsidRPr="0071630A">
        <w:rPr>
          <w:rFonts w:eastAsia="Times New Roman" w:cstheme="minorHAnsi"/>
        </w:rPr>
        <w:br/>
      </w:r>
      <w:r w:rsidRPr="0071630A">
        <w:rPr>
          <w:rFonts w:eastAsia="Times New Roman" w:cstheme="minorHAnsi"/>
        </w:rPr>
        <w:br/>
      </w:r>
      <w:r w:rsidRPr="0071630A">
        <w:rPr>
          <w:rFonts w:eastAsia="Times New Roman" w:cstheme="minorHAnsi"/>
          <w:b/>
          <w:bCs/>
          <w:i/>
        </w:rPr>
        <w:t>Requesting Assistance</w:t>
      </w:r>
    </w:p>
    <w:p w14:paraId="4BC73A46" w14:textId="77777777" w:rsidR="005E0299" w:rsidRPr="0071630A" w:rsidRDefault="005E0299" w:rsidP="004C19B5">
      <w:pPr>
        <w:shd w:val="clear" w:color="auto" w:fill="FFFFFF"/>
        <w:spacing w:line="480" w:lineRule="auto"/>
        <w:textAlignment w:val="baseline"/>
        <w:rPr>
          <w:rFonts w:eastAsia="Times New Roman" w:cstheme="minorHAnsi"/>
          <w:b/>
          <w:bCs/>
        </w:rPr>
      </w:pPr>
      <w:r w:rsidRPr="0071630A">
        <w:rPr>
          <w:rFonts w:eastAsia="Times New Roman" w:cstheme="minorHAnsi"/>
        </w:rPr>
        <w:t>EMAC is triggered by a requesting state when its governor has declared an emergency and the state enters a request for assistance through the EMAC Operating System.</w:t>
      </w:r>
      <w:r w:rsidRPr="0071630A">
        <w:rPr>
          <w:rFonts w:eastAsia="Times New Roman" w:cstheme="minorHAnsi"/>
          <w:bdr w:val="none" w:sz="0" w:space="0" w:color="auto" w:frame="1"/>
          <w:vertAlign w:val="superscript"/>
        </w:rPr>
        <w:t>3</w:t>
      </w:r>
      <w:r w:rsidRPr="0071630A">
        <w:rPr>
          <w:rFonts w:eastAsia="Times New Roman" w:cstheme="minorHAnsi"/>
        </w:rPr>
        <w:t> The requesting state can ask the EMAC leadership to send a team of emergency management personnel to the state’s emergency operations center to assist with subsequent resource requests under EMAC. The requesting state can seek additional resources through the EMAC network from other states. These assisting states work with the requesting state to identify resources required and other details. Once both the requesting and assisting states approve the final details, resources are deployed to the area of need. </w:t>
      </w:r>
      <w:r w:rsidRPr="0071630A">
        <w:rPr>
          <w:rFonts w:eastAsia="Times New Roman" w:cstheme="minorHAnsi"/>
        </w:rPr>
        <w:br/>
      </w:r>
      <w:r w:rsidRPr="0071630A">
        <w:rPr>
          <w:rFonts w:eastAsia="Times New Roman" w:cstheme="minorHAnsi"/>
        </w:rPr>
        <w:br/>
        <w:t>It should be noted that local governments and their employees are not parties to EMAC unless they are specifically deemed to be state forces through statutory mechanisms or otherwise participate in a mutual aid agreement with the state. NEMA developed the Model Intrastate Mutual Aid Legislation in 2004 to provide a model for such an aid agreement.</w:t>
      </w:r>
      <w:r w:rsidRPr="0071630A">
        <w:rPr>
          <w:rFonts w:eastAsia="Times New Roman" w:cstheme="minorHAnsi"/>
          <w:bdr w:val="none" w:sz="0" w:space="0" w:color="auto" w:frame="1"/>
          <w:vertAlign w:val="superscript"/>
        </w:rPr>
        <w:t>6</w:t>
      </w:r>
      <w:r w:rsidRPr="0071630A">
        <w:rPr>
          <w:rFonts w:eastAsia="Times New Roman" w:cstheme="minorHAnsi"/>
        </w:rPr>
        <w:t> Alternatively, some states have passed state-county mutual aid deployment contracts that allow local emergency responders to deploy under the auspices of EMAC.</w:t>
      </w:r>
      <w:r w:rsidRPr="0071630A">
        <w:rPr>
          <w:rFonts w:eastAsia="Times New Roman" w:cstheme="minorHAnsi"/>
          <w:bdr w:val="none" w:sz="0" w:space="0" w:color="auto" w:frame="1"/>
          <w:vertAlign w:val="superscript"/>
        </w:rPr>
        <w:t>7</w:t>
      </w:r>
      <w:r w:rsidRPr="0071630A">
        <w:rPr>
          <w:rFonts w:eastAsia="Times New Roman" w:cstheme="minorHAnsi"/>
        </w:rPr>
        <w:t> Other states have developed intrastate mutual aid systems that allow localities to request and provide assistance within the state. </w:t>
      </w:r>
      <w:r w:rsidRPr="0071630A">
        <w:rPr>
          <w:rFonts w:eastAsia="Times New Roman" w:cstheme="minorHAnsi"/>
        </w:rPr>
        <w:br/>
      </w:r>
      <w:r w:rsidRPr="0071630A">
        <w:rPr>
          <w:rFonts w:eastAsia="Times New Roman" w:cstheme="minorHAnsi"/>
        </w:rPr>
        <w:lastRenderedPageBreak/>
        <w:br/>
      </w:r>
      <w:r w:rsidRPr="0071630A">
        <w:rPr>
          <w:rFonts w:eastAsia="Times New Roman" w:cstheme="minorHAnsi"/>
          <w:b/>
          <w:bCs/>
          <w:i/>
        </w:rPr>
        <w:t>Reimbursement</w:t>
      </w:r>
    </w:p>
    <w:p w14:paraId="35136B98" w14:textId="77777777" w:rsidR="005E0299" w:rsidRPr="0071630A" w:rsidRDefault="005E0299" w:rsidP="004C19B5">
      <w:pPr>
        <w:shd w:val="clear" w:color="auto" w:fill="FFFFFF"/>
        <w:spacing w:line="480" w:lineRule="auto"/>
        <w:textAlignment w:val="baseline"/>
        <w:rPr>
          <w:rFonts w:eastAsia="Times New Roman" w:cstheme="minorHAnsi"/>
          <w:b/>
          <w:bCs/>
        </w:rPr>
      </w:pPr>
      <w:r w:rsidRPr="0071630A">
        <w:rPr>
          <w:rFonts w:eastAsia="Times New Roman" w:cstheme="minorHAnsi"/>
        </w:rPr>
        <w:t>Once the missions have been completed and resources have returned home, the assisting states prepare formal requests for reimbursement, which are then sent to and processed by the requesting state.</w:t>
      </w:r>
      <w:r w:rsidRPr="0071630A">
        <w:rPr>
          <w:rFonts w:eastAsia="Times New Roman" w:cstheme="minorHAnsi"/>
          <w:bdr w:val="none" w:sz="0" w:space="0" w:color="auto" w:frame="1"/>
          <w:vertAlign w:val="superscript"/>
        </w:rPr>
        <w:t>3</w:t>
      </w:r>
      <w:r w:rsidRPr="0071630A">
        <w:rPr>
          <w:rFonts w:eastAsia="Times New Roman" w:cstheme="minorHAnsi"/>
        </w:rPr>
        <w:t> Costs for resources are agreed to by the requesting and assisting state before deployment, which serves to facilitate the reimbursement process. </w:t>
      </w:r>
      <w:r w:rsidRPr="0071630A">
        <w:rPr>
          <w:rFonts w:eastAsia="Times New Roman" w:cstheme="minorHAnsi"/>
        </w:rPr>
        <w:br/>
      </w:r>
      <w:r w:rsidRPr="0071630A">
        <w:rPr>
          <w:rFonts w:eastAsia="Times New Roman" w:cstheme="minorHAnsi"/>
        </w:rPr>
        <w:br/>
        <w:t>The Federal Emergency Management Agency (FEMA) will reimburse for services provided through mutual aid agreements, like EMAC. FEMA will reimburse mutual aid costs if the aid was requested (i.e., no spontaneous responders), the assistance requested directly related to a disaster eligible for FEMA assistance, and the assistance occurred under a signed, written mutual aid agreement.</w:t>
      </w:r>
      <w:r w:rsidRPr="0071630A">
        <w:rPr>
          <w:rFonts w:eastAsia="Times New Roman" w:cstheme="minorHAnsi"/>
          <w:bdr w:val="none" w:sz="0" w:space="0" w:color="auto" w:frame="1"/>
          <w:vertAlign w:val="superscript"/>
        </w:rPr>
        <w:t>4</w:t>
      </w:r>
      <w:r w:rsidRPr="0071630A">
        <w:rPr>
          <w:rFonts w:eastAsia="Times New Roman" w:cstheme="minorHAnsi"/>
        </w:rPr>
        <w:t> Only the entity requesting mutual aid (the requesting state) is eligible to apply for grant assistance directly from FEMA; entities providing aid (assisting states) must seek reimbursement from the requesting state. </w:t>
      </w:r>
      <w:r w:rsidRPr="0071630A">
        <w:rPr>
          <w:rFonts w:eastAsia="Times New Roman" w:cstheme="minorHAnsi"/>
        </w:rPr>
        <w:br/>
      </w:r>
      <w:r w:rsidRPr="0071630A">
        <w:rPr>
          <w:rFonts w:eastAsia="Times New Roman" w:cstheme="minorHAnsi"/>
        </w:rPr>
        <w:br/>
      </w:r>
      <w:r w:rsidRPr="0071630A">
        <w:rPr>
          <w:rFonts w:eastAsia="Times New Roman" w:cstheme="minorHAnsi"/>
          <w:b/>
          <w:bCs/>
          <w:i/>
        </w:rPr>
        <w:t>Liability and Immunity Issues</w:t>
      </w:r>
    </w:p>
    <w:p w14:paraId="45137531" w14:textId="77777777" w:rsidR="005E0299" w:rsidRPr="0071630A" w:rsidRDefault="005E0299" w:rsidP="004C19B5">
      <w:pPr>
        <w:keepNext/>
        <w:shd w:val="clear" w:color="auto" w:fill="FFFFFF"/>
        <w:spacing w:line="480" w:lineRule="auto"/>
        <w:textAlignment w:val="baseline"/>
        <w:rPr>
          <w:rFonts w:eastAsia="Times New Roman" w:cstheme="minorHAnsi"/>
          <w:b/>
          <w:bCs/>
        </w:rPr>
      </w:pPr>
      <w:r w:rsidRPr="0071630A">
        <w:rPr>
          <w:rFonts w:eastAsia="Times New Roman" w:cstheme="minorHAnsi"/>
        </w:rPr>
        <w:t>Those rendering aid under EMAC are considered agents of the requesting state for tort liability and immunity purposes; no assisting state or its officers or employees rendering aid are liable for an act or omission that occurs in good faith.</w:t>
      </w:r>
      <w:r w:rsidRPr="0071630A">
        <w:rPr>
          <w:rFonts w:eastAsia="Times New Roman" w:cstheme="minorHAnsi"/>
          <w:bdr w:val="none" w:sz="0" w:space="0" w:color="auto" w:frame="1"/>
          <w:vertAlign w:val="superscript"/>
        </w:rPr>
        <w:t>5</w:t>
      </w:r>
      <w:r w:rsidRPr="0071630A">
        <w:rPr>
          <w:rFonts w:eastAsia="Times New Roman" w:cstheme="minorHAnsi"/>
        </w:rPr>
        <w:t> Willful misconduct, gross negligence, or recklessness are excluded from EMAC immunity. Because EMAC only applies to officers and employees of a state, immunity protections and license reciprocity will not automatically extend to volunteers who provide services outside of EMAC. Volunteers would have to be made temporary state government employees to be assured of coverage under EMAC. </w:t>
      </w:r>
      <w:r w:rsidRPr="0071630A">
        <w:rPr>
          <w:rFonts w:eastAsia="Times New Roman" w:cstheme="minorHAnsi"/>
        </w:rPr>
        <w:br/>
      </w:r>
      <w:r w:rsidRPr="0071630A">
        <w:rPr>
          <w:rFonts w:eastAsia="Times New Roman" w:cstheme="minorHAnsi"/>
        </w:rPr>
        <w:lastRenderedPageBreak/>
        <w:br/>
      </w:r>
      <w:r w:rsidRPr="0071630A">
        <w:rPr>
          <w:rFonts w:eastAsia="Times New Roman" w:cstheme="minorHAnsi"/>
          <w:b/>
          <w:bCs/>
          <w:i/>
        </w:rPr>
        <w:t>Compensation Issues</w:t>
      </w:r>
    </w:p>
    <w:p w14:paraId="1683C3E0" w14:textId="77777777" w:rsidR="005E0299" w:rsidRPr="0071630A" w:rsidRDefault="005E0299" w:rsidP="004C19B5">
      <w:pPr>
        <w:shd w:val="clear" w:color="auto" w:fill="FFFFFF"/>
        <w:spacing w:line="480" w:lineRule="auto"/>
        <w:textAlignment w:val="baseline"/>
        <w:rPr>
          <w:rFonts w:eastAsia="Times New Roman" w:cstheme="minorHAnsi"/>
          <w:b/>
          <w:bCs/>
        </w:rPr>
      </w:pPr>
      <w:r w:rsidRPr="0071630A">
        <w:rPr>
          <w:rFonts w:eastAsia="Times New Roman" w:cstheme="minorHAnsi"/>
        </w:rPr>
        <w:t>EMAC also stipulates that each state is responsible for the payment of compensation and death benefits for members of their own emergency forces in the same manner and terms as if the injury or death were sustained in assisting/home state. Thus, if an emergency responder sent from an assisting state is injured while in the requesting state, the emergency responder would seek compensation from the assisting state. </w:t>
      </w:r>
      <w:r w:rsidRPr="0071630A">
        <w:rPr>
          <w:rFonts w:eastAsia="Times New Roman" w:cstheme="minorHAnsi"/>
        </w:rPr>
        <w:br/>
      </w:r>
      <w:r w:rsidRPr="0071630A">
        <w:rPr>
          <w:rFonts w:eastAsia="Times New Roman" w:cstheme="minorHAnsi"/>
        </w:rPr>
        <w:br/>
      </w:r>
      <w:r w:rsidRPr="0071630A">
        <w:rPr>
          <w:rFonts w:eastAsia="Times New Roman" w:cstheme="minorHAnsi"/>
          <w:b/>
          <w:bCs/>
          <w:i/>
        </w:rPr>
        <w:t>Licensing Issues</w:t>
      </w:r>
    </w:p>
    <w:p w14:paraId="57FE3181" w14:textId="77777777" w:rsidR="005E0299" w:rsidRPr="0071630A" w:rsidRDefault="005E0299" w:rsidP="004C19B5">
      <w:pPr>
        <w:shd w:val="clear" w:color="auto" w:fill="FFFFFF"/>
        <w:spacing w:line="480" w:lineRule="auto"/>
        <w:textAlignment w:val="baseline"/>
        <w:rPr>
          <w:rFonts w:eastAsia="Times New Roman" w:cstheme="minorHAnsi"/>
          <w:b/>
          <w:bCs/>
          <w:color w:val="3C3030"/>
          <w:sz w:val="24"/>
          <w:szCs w:val="24"/>
        </w:rPr>
      </w:pPr>
      <w:r w:rsidRPr="0071630A">
        <w:rPr>
          <w:rFonts w:eastAsia="Times New Roman" w:cstheme="minorHAnsi"/>
        </w:rPr>
        <w:t>Under EMAC, a person from an assisting state who provides assistance in the requesting state and who is licensed in a profession or other skilled trade is considered to be licensed to perform those services in the requesting state, subject to any limitations imposed by the requesting state. </w:t>
      </w:r>
      <w:r w:rsidRPr="0071630A">
        <w:rPr>
          <w:rFonts w:eastAsia="Times New Roman" w:cstheme="minorHAnsi"/>
        </w:rPr>
        <w:br/>
      </w:r>
      <w:r w:rsidRPr="0071630A">
        <w:rPr>
          <w:rFonts w:eastAsia="Times New Roman" w:cstheme="minorHAnsi"/>
        </w:rPr>
        <w:br/>
      </w:r>
      <w:r w:rsidRPr="0071630A">
        <w:rPr>
          <w:rFonts w:eastAsia="Times New Roman" w:cstheme="minorHAnsi"/>
          <w:b/>
          <w:bCs/>
          <w:color w:val="3C3030"/>
          <w:sz w:val="24"/>
          <w:szCs w:val="24"/>
        </w:rPr>
        <w:t>How EMAC Affects States</w:t>
      </w:r>
    </w:p>
    <w:p w14:paraId="4DBE067E" w14:textId="77777777" w:rsidR="005E0299" w:rsidRPr="00251AA3" w:rsidRDefault="005E0299" w:rsidP="004C19B5">
      <w:pPr>
        <w:shd w:val="clear" w:color="auto" w:fill="FFFFFF"/>
        <w:spacing w:after="120" w:line="480" w:lineRule="auto"/>
        <w:textAlignment w:val="baseline"/>
        <w:rPr>
          <w:rFonts w:eastAsia="Times New Roman" w:cstheme="minorHAnsi"/>
        </w:rPr>
      </w:pPr>
      <w:r w:rsidRPr="0071630A">
        <w:rPr>
          <w:rFonts w:eastAsia="Times New Roman" w:cstheme="minorHAnsi"/>
        </w:rPr>
        <w:t>EMAC has a direct and significant impact on states. The operation of this interstate mutual aid compact allows states to efficiently exchange resources during emergency events, reimburse expenses, and allocate liability and compensation obligations. The EMAC organization, as supported by NEMA, also provides states with training, exercises, and direct technical assistance before, during, and after an event. </w:t>
      </w:r>
    </w:p>
    <w:p w14:paraId="0E0BE771" w14:textId="77777777" w:rsidR="005E0299" w:rsidRPr="00251AA3" w:rsidRDefault="005E0299" w:rsidP="004C19B5">
      <w:pPr>
        <w:shd w:val="clear" w:color="auto" w:fill="FFFFFF"/>
        <w:spacing w:line="480" w:lineRule="auto"/>
        <w:textAlignment w:val="baseline"/>
        <w:rPr>
          <w:rFonts w:eastAsia="Times New Roman" w:cstheme="minorHAnsi"/>
          <w:b/>
          <w:bCs/>
        </w:rPr>
      </w:pPr>
    </w:p>
    <w:p w14:paraId="79BAA174" w14:textId="77777777" w:rsidR="005E0299" w:rsidRPr="0071630A" w:rsidRDefault="005E0299" w:rsidP="004C19B5">
      <w:pPr>
        <w:shd w:val="clear" w:color="auto" w:fill="FFFFFF"/>
        <w:spacing w:after="120" w:line="480" w:lineRule="auto"/>
        <w:textAlignment w:val="baseline"/>
        <w:rPr>
          <w:rFonts w:eastAsia="Times New Roman" w:cstheme="minorHAnsi"/>
          <w:b/>
          <w:bCs/>
          <w:color w:val="3C3030"/>
          <w:sz w:val="24"/>
          <w:szCs w:val="24"/>
        </w:rPr>
      </w:pPr>
      <w:r w:rsidRPr="0071630A">
        <w:rPr>
          <w:rFonts w:eastAsia="Times New Roman" w:cstheme="minorHAnsi"/>
          <w:b/>
          <w:bCs/>
          <w:color w:val="3C3030"/>
          <w:sz w:val="24"/>
          <w:szCs w:val="24"/>
        </w:rPr>
        <w:t>Practice Notes</w:t>
      </w:r>
    </w:p>
    <w:p w14:paraId="07D0E351" w14:textId="77777777" w:rsidR="005E0299" w:rsidRPr="00251AA3" w:rsidRDefault="005E0299" w:rsidP="00224AC9">
      <w:pPr>
        <w:pStyle w:val="ListParagraph"/>
        <w:numPr>
          <w:ilvl w:val="0"/>
          <w:numId w:val="13"/>
        </w:numPr>
        <w:spacing w:after="120" w:line="480" w:lineRule="auto"/>
        <w:contextualSpacing w:val="0"/>
        <w:textAlignment w:val="baseline"/>
        <w:rPr>
          <w:rFonts w:eastAsia="Times New Roman" w:cstheme="minorHAnsi"/>
          <w:szCs w:val="20"/>
        </w:rPr>
      </w:pPr>
      <w:r w:rsidRPr="00251AA3">
        <w:rPr>
          <w:rFonts w:eastAsia="Times New Roman" w:cstheme="minorHAnsi"/>
          <w:szCs w:val="20"/>
        </w:rPr>
        <w:t>Identify the mechanisms and requirements your state uses to request and supply aid under EMAC.</w:t>
      </w:r>
    </w:p>
    <w:p w14:paraId="73AD5DC9" w14:textId="77777777" w:rsidR="005E0299" w:rsidRPr="00251AA3" w:rsidRDefault="005E0299" w:rsidP="00224AC9">
      <w:pPr>
        <w:pStyle w:val="ListParagraph"/>
        <w:numPr>
          <w:ilvl w:val="0"/>
          <w:numId w:val="13"/>
        </w:numPr>
        <w:spacing w:after="120" w:line="480" w:lineRule="auto"/>
        <w:contextualSpacing w:val="0"/>
        <w:textAlignment w:val="baseline"/>
        <w:rPr>
          <w:rFonts w:eastAsia="Times New Roman" w:cstheme="minorHAnsi"/>
          <w:szCs w:val="20"/>
        </w:rPr>
      </w:pPr>
      <w:r w:rsidRPr="00251AA3">
        <w:rPr>
          <w:rFonts w:eastAsia="Times New Roman" w:cstheme="minorHAnsi"/>
          <w:szCs w:val="20"/>
        </w:rPr>
        <w:t>Identify any mechanisms your state might use to send volunteers through EMAC.</w:t>
      </w:r>
    </w:p>
    <w:p w14:paraId="5CF3CD2C" w14:textId="77777777" w:rsidR="005E0299" w:rsidRPr="00251AA3" w:rsidRDefault="005E0299" w:rsidP="00224AC9">
      <w:pPr>
        <w:pStyle w:val="ListParagraph"/>
        <w:numPr>
          <w:ilvl w:val="0"/>
          <w:numId w:val="13"/>
        </w:numPr>
        <w:spacing w:after="120" w:line="480" w:lineRule="auto"/>
        <w:contextualSpacing w:val="0"/>
        <w:textAlignment w:val="baseline"/>
        <w:rPr>
          <w:rFonts w:eastAsia="Times New Roman" w:cstheme="minorHAnsi"/>
          <w:szCs w:val="20"/>
        </w:rPr>
      </w:pPr>
      <w:r w:rsidRPr="00251AA3">
        <w:rPr>
          <w:rFonts w:eastAsia="Times New Roman" w:cstheme="minorHAnsi"/>
          <w:szCs w:val="20"/>
        </w:rPr>
        <w:lastRenderedPageBreak/>
        <w:t>Identify the mechanisms and requirements for deploying localities in your state under the auspices of EMAC.</w:t>
      </w:r>
    </w:p>
    <w:p w14:paraId="1012F338" w14:textId="77777777" w:rsidR="005E0299" w:rsidRPr="00251AA3" w:rsidRDefault="005E0299" w:rsidP="00224AC9">
      <w:pPr>
        <w:pStyle w:val="ListParagraph"/>
        <w:numPr>
          <w:ilvl w:val="0"/>
          <w:numId w:val="13"/>
        </w:numPr>
        <w:spacing w:after="120" w:line="480" w:lineRule="auto"/>
        <w:contextualSpacing w:val="0"/>
        <w:textAlignment w:val="baseline"/>
        <w:rPr>
          <w:rFonts w:eastAsia="Times New Roman" w:cstheme="minorHAnsi"/>
          <w:szCs w:val="20"/>
        </w:rPr>
      </w:pPr>
      <w:r w:rsidRPr="00251AA3">
        <w:rPr>
          <w:rFonts w:eastAsia="Times New Roman" w:cstheme="minorHAnsi"/>
          <w:szCs w:val="20"/>
        </w:rPr>
        <w:t>Identify any other mutual aid agreements your state is party to and the specific requirements for requesting and supplying aid under the other agreements.</w:t>
      </w:r>
    </w:p>
    <w:p w14:paraId="420963D7" w14:textId="77777777" w:rsidR="005E0299" w:rsidRPr="00251AA3" w:rsidRDefault="005E0299" w:rsidP="004C19B5">
      <w:pPr>
        <w:spacing w:line="480" w:lineRule="auto"/>
        <w:textAlignment w:val="baseline"/>
        <w:rPr>
          <w:rFonts w:eastAsia="Times New Roman" w:cstheme="minorHAnsi"/>
          <w:szCs w:val="20"/>
        </w:rPr>
      </w:pPr>
    </w:p>
    <w:p w14:paraId="7D48074B" w14:textId="77777777" w:rsidR="005E0299" w:rsidRPr="00251AA3" w:rsidRDefault="005E0299" w:rsidP="004C19B5">
      <w:pPr>
        <w:spacing w:line="480" w:lineRule="auto"/>
        <w:textAlignment w:val="baseline"/>
        <w:rPr>
          <w:rFonts w:eastAsia="Times New Roman" w:cstheme="minorHAnsi"/>
          <w:szCs w:val="20"/>
        </w:rPr>
      </w:pPr>
      <w:r w:rsidRPr="00251AA3">
        <w:rPr>
          <w:rFonts w:eastAsia="Times New Roman" w:cstheme="minorHAnsi"/>
          <w:szCs w:val="20"/>
        </w:rPr>
        <w:t>_____________________________________________________________________</w:t>
      </w:r>
    </w:p>
    <w:p w14:paraId="4F4CC06E" w14:textId="77777777" w:rsidR="005E0299" w:rsidRPr="0071630A" w:rsidRDefault="005E0299" w:rsidP="004C19B5">
      <w:pPr>
        <w:spacing w:line="480" w:lineRule="auto"/>
        <w:textAlignment w:val="baseline"/>
        <w:rPr>
          <w:rFonts w:eastAsia="Times New Roman" w:cstheme="minorHAnsi"/>
          <w:color w:val="737373"/>
          <w:sz w:val="20"/>
          <w:szCs w:val="20"/>
        </w:rPr>
      </w:pPr>
    </w:p>
    <w:p w14:paraId="4E7F2349" w14:textId="77777777" w:rsidR="005E0299" w:rsidRPr="0071630A" w:rsidRDefault="005E0299" w:rsidP="004C19B5">
      <w:pPr>
        <w:spacing w:line="480" w:lineRule="auto"/>
        <w:rPr>
          <w:rFonts w:eastAsia="Times New Roman" w:cstheme="minorHAnsi"/>
          <w:b/>
          <w:bCs/>
          <w:color w:val="3C3030"/>
          <w:sz w:val="24"/>
          <w:szCs w:val="24"/>
        </w:rPr>
      </w:pPr>
      <w:r w:rsidRPr="0071630A">
        <w:rPr>
          <w:rFonts w:eastAsia="Times New Roman" w:cstheme="minorHAnsi"/>
          <w:b/>
          <w:bCs/>
          <w:color w:val="3C3030"/>
          <w:sz w:val="24"/>
          <w:szCs w:val="24"/>
        </w:rPr>
        <w:t>Sources</w:t>
      </w:r>
    </w:p>
    <w:p w14:paraId="7E7993DD" w14:textId="77777777" w:rsidR="005E0299" w:rsidRPr="0071630A" w:rsidRDefault="005E0299" w:rsidP="00224AC9">
      <w:pPr>
        <w:numPr>
          <w:ilvl w:val="0"/>
          <w:numId w:val="12"/>
        </w:numPr>
        <w:spacing w:line="480" w:lineRule="auto"/>
        <w:ind w:left="450"/>
        <w:textAlignment w:val="baseline"/>
        <w:rPr>
          <w:rFonts w:eastAsia="Times New Roman" w:cstheme="minorHAnsi"/>
          <w:szCs w:val="20"/>
        </w:rPr>
      </w:pPr>
      <w:r w:rsidRPr="0071630A">
        <w:rPr>
          <w:rFonts w:eastAsia="Times New Roman" w:cstheme="minorHAnsi"/>
          <w:szCs w:val="20"/>
        </w:rPr>
        <w:t>Emergency Management Assistance Compact, Pub. L. No. 104-321.</w:t>
      </w:r>
    </w:p>
    <w:p w14:paraId="192A7827" w14:textId="77777777" w:rsidR="005E0299" w:rsidRPr="0071630A" w:rsidRDefault="005E0299" w:rsidP="00224AC9">
      <w:pPr>
        <w:numPr>
          <w:ilvl w:val="0"/>
          <w:numId w:val="12"/>
        </w:numPr>
        <w:spacing w:line="480" w:lineRule="auto"/>
        <w:ind w:left="450"/>
        <w:textAlignment w:val="baseline"/>
        <w:rPr>
          <w:rFonts w:eastAsia="Times New Roman" w:cstheme="minorHAnsi"/>
          <w:szCs w:val="20"/>
        </w:rPr>
      </w:pPr>
      <w:r w:rsidRPr="0071630A">
        <w:rPr>
          <w:rFonts w:eastAsia="Times New Roman" w:cstheme="minorHAnsi"/>
          <w:szCs w:val="20"/>
        </w:rPr>
        <w:t>Emergency Management Assistance Compact. Articles of Agreement. Available at </w:t>
      </w:r>
      <w:hyperlink r:id="rId17" w:tooltip="www.emacweb.org" w:history="1">
        <w:r w:rsidRPr="0071630A">
          <w:rPr>
            <w:rFonts w:eastAsia="Times New Roman" w:cstheme="minorHAnsi"/>
            <w:color w:val="0F88B8"/>
            <w:szCs w:val="20"/>
            <w:bdr w:val="none" w:sz="0" w:space="0" w:color="auto" w:frame="1"/>
          </w:rPr>
          <w:t>www.emacweb.org</w:t>
        </w:r>
      </w:hyperlink>
      <w:r w:rsidRPr="0071630A">
        <w:rPr>
          <w:rFonts w:eastAsia="Times New Roman" w:cstheme="minorHAnsi"/>
          <w:color w:val="737373"/>
          <w:szCs w:val="20"/>
        </w:rPr>
        <w:t xml:space="preserve">. </w:t>
      </w:r>
      <w:r w:rsidRPr="0071630A">
        <w:rPr>
          <w:rFonts w:eastAsia="Times New Roman" w:cstheme="minorHAnsi"/>
          <w:szCs w:val="20"/>
        </w:rPr>
        <w:t>Accessed January 31, 2012.</w:t>
      </w:r>
    </w:p>
    <w:p w14:paraId="0D50352E" w14:textId="77777777" w:rsidR="005E0299" w:rsidRPr="0071630A" w:rsidRDefault="005E0299" w:rsidP="00224AC9">
      <w:pPr>
        <w:numPr>
          <w:ilvl w:val="0"/>
          <w:numId w:val="12"/>
        </w:numPr>
        <w:spacing w:line="480" w:lineRule="auto"/>
        <w:ind w:left="450"/>
        <w:textAlignment w:val="baseline"/>
        <w:rPr>
          <w:rFonts w:eastAsia="Times New Roman" w:cstheme="minorHAnsi"/>
          <w:szCs w:val="20"/>
        </w:rPr>
      </w:pPr>
      <w:r w:rsidRPr="0071630A">
        <w:rPr>
          <w:rFonts w:eastAsia="Times New Roman" w:cstheme="minorHAnsi"/>
          <w:szCs w:val="20"/>
        </w:rPr>
        <w:t>Emergency Management Assistance Compact website. Available at </w:t>
      </w:r>
      <w:hyperlink r:id="rId18" w:tooltip="www.emacweb.org" w:history="1">
        <w:r w:rsidRPr="0071630A">
          <w:rPr>
            <w:rFonts w:eastAsia="Times New Roman" w:cstheme="minorHAnsi"/>
            <w:color w:val="0F88B8"/>
            <w:szCs w:val="20"/>
            <w:bdr w:val="none" w:sz="0" w:space="0" w:color="auto" w:frame="1"/>
          </w:rPr>
          <w:t>www.emacweb.org</w:t>
        </w:r>
      </w:hyperlink>
      <w:r w:rsidRPr="0071630A">
        <w:rPr>
          <w:rFonts w:eastAsia="Times New Roman" w:cstheme="minorHAnsi"/>
          <w:color w:val="737373"/>
          <w:szCs w:val="20"/>
        </w:rPr>
        <w:t xml:space="preserve">. </w:t>
      </w:r>
      <w:r w:rsidRPr="0071630A">
        <w:rPr>
          <w:rFonts w:eastAsia="Times New Roman" w:cstheme="minorHAnsi"/>
          <w:szCs w:val="20"/>
        </w:rPr>
        <w:t>Accessed January 31, 2012.</w:t>
      </w:r>
    </w:p>
    <w:p w14:paraId="5914E45A" w14:textId="77777777" w:rsidR="005E0299" w:rsidRPr="0071630A" w:rsidRDefault="005E0299" w:rsidP="00224AC9">
      <w:pPr>
        <w:numPr>
          <w:ilvl w:val="0"/>
          <w:numId w:val="12"/>
        </w:numPr>
        <w:spacing w:line="480" w:lineRule="auto"/>
        <w:ind w:left="450"/>
        <w:textAlignment w:val="baseline"/>
        <w:rPr>
          <w:rFonts w:eastAsia="Times New Roman" w:cstheme="minorHAnsi"/>
          <w:szCs w:val="20"/>
        </w:rPr>
      </w:pPr>
      <w:r w:rsidRPr="0071630A">
        <w:rPr>
          <w:rFonts w:eastAsia="Times New Roman" w:cstheme="minorHAnsi"/>
          <w:szCs w:val="20"/>
        </w:rPr>
        <w:t>Federal Emergency Management Agency. “Mutual Aid Agreements for Public Assistance and Fire Management Assistance” (Disaster Assistance Policy 9523.6). August 13, 2007. Available at </w:t>
      </w:r>
      <w:hyperlink r:id="rId19" w:tooltip="www.fema.gov/government/grant/pa/9523_6.shtm" w:history="1">
        <w:r w:rsidRPr="0071630A">
          <w:rPr>
            <w:rFonts w:eastAsia="Times New Roman" w:cstheme="minorHAnsi"/>
            <w:color w:val="0F88B8"/>
            <w:szCs w:val="20"/>
            <w:bdr w:val="none" w:sz="0" w:space="0" w:color="auto" w:frame="1"/>
          </w:rPr>
          <w:t>www.fema.gov/government/grant/pa/9523_6.shtm</w:t>
        </w:r>
      </w:hyperlink>
      <w:r w:rsidRPr="0071630A">
        <w:rPr>
          <w:rFonts w:eastAsia="Times New Roman" w:cstheme="minorHAnsi"/>
          <w:color w:val="737373"/>
          <w:szCs w:val="20"/>
        </w:rPr>
        <w:t xml:space="preserve">. </w:t>
      </w:r>
      <w:r w:rsidRPr="0071630A">
        <w:rPr>
          <w:rFonts w:eastAsia="Times New Roman" w:cstheme="minorHAnsi"/>
          <w:szCs w:val="20"/>
        </w:rPr>
        <w:t>Available January 31, 2012.</w:t>
      </w:r>
    </w:p>
    <w:p w14:paraId="118924D8" w14:textId="77777777" w:rsidR="005E0299" w:rsidRPr="0071630A" w:rsidRDefault="005E0299" w:rsidP="00224AC9">
      <w:pPr>
        <w:numPr>
          <w:ilvl w:val="0"/>
          <w:numId w:val="12"/>
        </w:numPr>
        <w:spacing w:line="480" w:lineRule="auto"/>
        <w:ind w:left="450"/>
        <w:textAlignment w:val="baseline"/>
        <w:rPr>
          <w:rFonts w:eastAsia="Times New Roman" w:cstheme="minorHAnsi"/>
          <w:szCs w:val="20"/>
        </w:rPr>
      </w:pPr>
      <w:r w:rsidRPr="0071630A">
        <w:rPr>
          <w:rFonts w:eastAsia="Times New Roman" w:cstheme="minorHAnsi"/>
          <w:szCs w:val="20"/>
        </w:rPr>
        <w:t>Centers for Disease Control and Prevention, Public Health Law Program. “Selected Federal Legal Authorities Pertinent to Public Health Emergencies.” September 2009. Available at</w:t>
      </w:r>
      <w:r w:rsidRPr="0071630A">
        <w:rPr>
          <w:rFonts w:eastAsia="Times New Roman" w:cstheme="minorHAnsi"/>
          <w:color w:val="737373"/>
          <w:szCs w:val="20"/>
        </w:rPr>
        <w:t> </w:t>
      </w:r>
      <w:hyperlink r:id="rId20" w:tooltip="http://www2.cdc.gov/phlp/docs/Selected%20Fed%20Legal%20Authorities%20re%20PH%20Emergencies%20102709%20v2.pdf" w:history="1">
        <w:r w:rsidRPr="0071630A">
          <w:rPr>
            <w:rFonts w:eastAsia="Times New Roman" w:cstheme="minorHAnsi"/>
            <w:color w:val="0F88B8"/>
            <w:szCs w:val="20"/>
            <w:bdr w:val="none" w:sz="0" w:space="0" w:color="auto" w:frame="1"/>
          </w:rPr>
          <w:t>http://www2.cdc.gov/phlp/docs/Selected%20Fed%20Legal%20Authorities%20re%20PH%20Emergencies%20102709%20v2.pdf</w:t>
        </w:r>
      </w:hyperlink>
      <w:r w:rsidRPr="0071630A">
        <w:rPr>
          <w:rFonts w:eastAsia="Times New Roman" w:cstheme="minorHAnsi"/>
          <w:color w:val="737373"/>
          <w:szCs w:val="20"/>
        </w:rPr>
        <w:t xml:space="preserve">. </w:t>
      </w:r>
      <w:r w:rsidRPr="0071630A">
        <w:rPr>
          <w:rFonts w:eastAsia="Times New Roman" w:cstheme="minorHAnsi"/>
          <w:szCs w:val="20"/>
        </w:rPr>
        <w:t>Accessed January 31, 2012.</w:t>
      </w:r>
    </w:p>
    <w:p w14:paraId="55572545" w14:textId="77777777" w:rsidR="005E0299" w:rsidRPr="0071630A" w:rsidRDefault="005E0299" w:rsidP="00224AC9">
      <w:pPr>
        <w:numPr>
          <w:ilvl w:val="0"/>
          <w:numId w:val="12"/>
        </w:numPr>
        <w:spacing w:line="480" w:lineRule="auto"/>
        <w:ind w:left="450"/>
        <w:textAlignment w:val="baseline"/>
        <w:rPr>
          <w:rFonts w:eastAsia="Times New Roman" w:cstheme="minorHAnsi"/>
          <w:szCs w:val="20"/>
        </w:rPr>
      </w:pPr>
      <w:r w:rsidRPr="0071630A">
        <w:rPr>
          <w:rFonts w:eastAsia="Times New Roman" w:cstheme="minorHAnsi"/>
          <w:szCs w:val="20"/>
        </w:rPr>
        <w:t>Emergency Management Assistance Compact. </w:t>
      </w:r>
      <w:r w:rsidRPr="0071630A">
        <w:rPr>
          <w:rFonts w:eastAsia="Times New Roman" w:cstheme="minorHAnsi"/>
          <w:i/>
          <w:iCs/>
          <w:szCs w:val="20"/>
          <w:bdr w:val="none" w:sz="0" w:space="0" w:color="auto" w:frame="1"/>
        </w:rPr>
        <w:t>Model Intrastate Mutual Aid Legislation</w:t>
      </w:r>
      <w:r w:rsidRPr="0071630A">
        <w:rPr>
          <w:rFonts w:eastAsia="Times New Roman" w:cstheme="minorHAnsi"/>
          <w:szCs w:val="20"/>
        </w:rPr>
        <w:t>. March 2004. Available at </w:t>
      </w:r>
      <w:hyperlink r:id="rId21" w:tooltip="www.emacweb.org" w:history="1">
        <w:r w:rsidRPr="0071630A">
          <w:rPr>
            <w:rFonts w:eastAsia="Times New Roman" w:cstheme="minorHAnsi"/>
            <w:color w:val="0F88B8"/>
            <w:szCs w:val="20"/>
            <w:bdr w:val="none" w:sz="0" w:space="0" w:color="auto" w:frame="1"/>
          </w:rPr>
          <w:t>www.emacweb.org</w:t>
        </w:r>
      </w:hyperlink>
      <w:r w:rsidRPr="0071630A">
        <w:rPr>
          <w:rFonts w:eastAsia="Times New Roman" w:cstheme="minorHAnsi"/>
          <w:szCs w:val="20"/>
        </w:rPr>
        <w:t>. Accessed January 31, 2012.</w:t>
      </w:r>
    </w:p>
    <w:p w14:paraId="0B3DA7C1" w14:textId="77777777" w:rsidR="005E0299" w:rsidRPr="0071630A" w:rsidRDefault="005E0299" w:rsidP="00224AC9">
      <w:pPr>
        <w:numPr>
          <w:ilvl w:val="0"/>
          <w:numId w:val="12"/>
        </w:numPr>
        <w:spacing w:line="480" w:lineRule="auto"/>
        <w:ind w:left="450"/>
        <w:textAlignment w:val="baseline"/>
        <w:rPr>
          <w:rFonts w:eastAsia="Times New Roman" w:cstheme="minorHAnsi"/>
          <w:szCs w:val="20"/>
        </w:rPr>
      </w:pPr>
      <w:r w:rsidRPr="0071630A">
        <w:rPr>
          <w:rFonts w:eastAsia="Times New Roman" w:cstheme="minorHAnsi"/>
          <w:szCs w:val="20"/>
        </w:rPr>
        <w:t>Emergency Management Assistance Compact. “Model State-County Mutual Aid Deployment Contract” webpage. Available at</w:t>
      </w:r>
      <w:r w:rsidRPr="0071630A">
        <w:rPr>
          <w:rFonts w:eastAsia="Times New Roman" w:cstheme="minorHAnsi"/>
          <w:color w:val="737373"/>
          <w:szCs w:val="20"/>
        </w:rPr>
        <w:t> </w:t>
      </w:r>
      <w:hyperlink r:id="rId22" w:tooltip="www.emacweb.org" w:history="1">
        <w:r w:rsidRPr="0071630A">
          <w:rPr>
            <w:rFonts w:eastAsia="Times New Roman" w:cstheme="minorHAnsi"/>
            <w:color w:val="0F88B8"/>
            <w:szCs w:val="20"/>
            <w:bdr w:val="none" w:sz="0" w:space="0" w:color="auto" w:frame="1"/>
          </w:rPr>
          <w:t>www.emacweb.org</w:t>
        </w:r>
      </w:hyperlink>
      <w:r w:rsidRPr="0071630A">
        <w:rPr>
          <w:rFonts w:eastAsia="Times New Roman" w:cstheme="minorHAnsi"/>
          <w:color w:val="737373"/>
          <w:szCs w:val="20"/>
        </w:rPr>
        <w:t xml:space="preserve">. </w:t>
      </w:r>
      <w:r w:rsidRPr="0071630A">
        <w:rPr>
          <w:rFonts w:eastAsia="Times New Roman" w:cstheme="minorHAnsi"/>
          <w:szCs w:val="20"/>
        </w:rPr>
        <w:t>Accessed January 31, 2012.</w:t>
      </w:r>
    </w:p>
    <w:p w14:paraId="575948DD" w14:textId="77777777" w:rsidR="005E0299" w:rsidRPr="0071630A" w:rsidRDefault="005E0299" w:rsidP="00224AC9">
      <w:pPr>
        <w:numPr>
          <w:ilvl w:val="0"/>
          <w:numId w:val="12"/>
        </w:numPr>
        <w:spacing w:line="480" w:lineRule="auto"/>
        <w:ind w:left="450"/>
        <w:textAlignment w:val="baseline"/>
        <w:rPr>
          <w:rFonts w:eastAsia="Times New Roman" w:cstheme="minorHAnsi"/>
          <w:szCs w:val="20"/>
        </w:rPr>
      </w:pPr>
      <w:r w:rsidRPr="0071630A">
        <w:rPr>
          <w:rFonts w:eastAsia="Times New Roman" w:cstheme="minorHAnsi"/>
          <w:szCs w:val="20"/>
        </w:rPr>
        <w:lastRenderedPageBreak/>
        <w:t>Centers for Disease Control and Prevention, Public Health Law Program. “Inventory of Mutual Aid Agreements and Related Resources” webpage. Available at </w:t>
      </w:r>
      <w:hyperlink r:id="rId23" w:tooltip="http://www2.cdc.gov/phlp/mutualaid/MutualResources.asp" w:history="1">
        <w:r w:rsidRPr="0071630A">
          <w:rPr>
            <w:rFonts w:eastAsia="Times New Roman" w:cstheme="minorHAnsi"/>
            <w:color w:val="0F88B8"/>
            <w:szCs w:val="20"/>
            <w:bdr w:val="none" w:sz="0" w:space="0" w:color="auto" w:frame="1"/>
          </w:rPr>
          <w:t>http://www2.cdc.gov/phlp/mutualaid/MutualResources.asp</w:t>
        </w:r>
      </w:hyperlink>
      <w:r w:rsidRPr="0071630A">
        <w:rPr>
          <w:rFonts w:eastAsia="Times New Roman" w:cstheme="minorHAnsi"/>
          <w:color w:val="737373"/>
          <w:szCs w:val="20"/>
        </w:rPr>
        <w:t xml:space="preserve">. </w:t>
      </w:r>
      <w:r w:rsidRPr="0071630A">
        <w:rPr>
          <w:rFonts w:eastAsia="Times New Roman" w:cstheme="minorHAnsi"/>
          <w:szCs w:val="20"/>
        </w:rPr>
        <w:t>Accessed January 31, 2012.</w:t>
      </w:r>
    </w:p>
    <w:p w14:paraId="174D3781" w14:textId="77777777" w:rsidR="005E0299" w:rsidRPr="0071630A" w:rsidRDefault="005E0299" w:rsidP="00224AC9">
      <w:pPr>
        <w:numPr>
          <w:ilvl w:val="0"/>
          <w:numId w:val="12"/>
        </w:numPr>
        <w:spacing w:line="480" w:lineRule="auto"/>
        <w:ind w:left="450"/>
        <w:textAlignment w:val="baseline"/>
        <w:rPr>
          <w:rFonts w:eastAsia="Times New Roman" w:cstheme="minorHAnsi"/>
          <w:szCs w:val="20"/>
        </w:rPr>
      </w:pPr>
      <w:r w:rsidRPr="0071630A">
        <w:rPr>
          <w:rFonts w:eastAsia="Times New Roman" w:cstheme="minorHAnsi"/>
          <w:szCs w:val="20"/>
        </w:rPr>
        <w:t>Lindsay B. Congressional Research Service. </w:t>
      </w:r>
      <w:r w:rsidRPr="0071630A">
        <w:rPr>
          <w:rFonts w:eastAsia="Times New Roman" w:cstheme="minorHAnsi"/>
          <w:i/>
          <w:iCs/>
          <w:szCs w:val="20"/>
          <w:bdr w:val="none" w:sz="0" w:space="0" w:color="auto" w:frame="1"/>
        </w:rPr>
        <w:t>The Emergency Management Assistance Compact (EMAC): An Overview </w:t>
      </w:r>
      <w:r w:rsidRPr="0071630A">
        <w:rPr>
          <w:rFonts w:eastAsia="Times New Roman" w:cstheme="minorHAnsi"/>
          <w:szCs w:val="20"/>
        </w:rPr>
        <w:t>(RL34585). July 21, 2008. Available at </w:t>
      </w:r>
      <w:hyperlink r:id="rId24" w:tooltip="http://opencrs.com/document/RL34585/" w:history="1">
        <w:r w:rsidRPr="0071630A">
          <w:rPr>
            <w:rFonts w:eastAsia="Times New Roman" w:cstheme="minorHAnsi"/>
            <w:color w:val="0F88B8"/>
            <w:szCs w:val="20"/>
            <w:bdr w:val="none" w:sz="0" w:space="0" w:color="auto" w:frame="1"/>
          </w:rPr>
          <w:t>http://opencrs.com/document/RL34585/</w:t>
        </w:r>
      </w:hyperlink>
      <w:r w:rsidRPr="0071630A">
        <w:rPr>
          <w:rFonts w:eastAsia="Times New Roman" w:cstheme="minorHAnsi"/>
          <w:color w:val="737373"/>
          <w:szCs w:val="20"/>
        </w:rPr>
        <w:t xml:space="preserve">. </w:t>
      </w:r>
      <w:r w:rsidRPr="0071630A">
        <w:rPr>
          <w:rFonts w:eastAsia="Times New Roman" w:cstheme="minorHAnsi"/>
          <w:szCs w:val="20"/>
        </w:rPr>
        <w:t>Accessed January 31, 2012.</w:t>
      </w:r>
    </w:p>
    <w:p w14:paraId="085714F3" w14:textId="77777777" w:rsidR="005E0299" w:rsidRPr="0071630A" w:rsidRDefault="005E0299" w:rsidP="00224AC9">
      <w:pPr>
        <w:numPr>
          <w:ilvl w:val="0"/>
          <w:numId w:val="12"/>
        </w:numPr>
        <w:spacing w:line="480" w:lineRule="auto"/>
        <w:ind w:left="450"/>
        <w:textAlignment w:val="baseline"/>
        <w:rPr>
          <w:rFonts w:eastAsia="Times New Roman" w:cstheme="minorHAnsi"/>
          <w:szCs w:val="20"/>
        </w:rPr>
      </w:pPr>
      <w:r w:rsidRPr="0071630A">
        <w:rPr>
          <w:rFonts w:eastAsia="Times New Roman" w:cstheme="minorHAnsi"/>
          <w:szCs w:val="20"/>
        </w:rPr>
        <w:t>Government Accountability Office. </w:t>
      </w:r>
      <w:r w:rsidRPr="0071630A">
        <w:rPr>
          <w:rFonts w:eastAsia="Times New Roman" w:cstheme="minorHAnsi"/>
          <w:i/>
          <w:iCs/>
          <w:szCs w:val="20"/>
          <w:bdr w:val="none" w:sz="0" w:space="0" w:color="auto" w:frame="1"/>
        </w:rPr>
        <w:t>Emergency Management Assistance Compact: Enhancing EMAC's Collaborative and Administrative Capacity Should Improve National Disaster Response </w:t>
      </w:r>
      <w:r w:rsidRPr="0071630A">
        <w:rPr>
          <w:rFonts w:eastAsia="Times New Roman" w:cstheme="minorHAnsi"/>
          <w:szCs w:val="20"/>
        </w:rPr>
        <w:t>(GAO-07-854). July 2007. Available at </w:t>
      </w:r>
      <w:hyperlink r:id="rId25" w:tooltip="www.gao.gov/products/GAO-07-854" w:history="1">
        <w:r w:rsidRPr="0071630A">
          <w:rPr>
            <w:rFonts w:eastAsia="Times New Roman" w:cstheme="minorHAnsi"/>
            <w:color w:val="0F88B8"/>
            <w:szCs w:val="20"/>
            <w:bdr w:val="none" w:sz="0" w:space="0" w:color="auto" w:frame="1"/>
          </w:rPr>
          <w:t>www.gao.gov/products/GAO-07-854</w:t>
        </w:r>
      </w:hyperlink>
      <w:r w:rsidRPr="0071630A">
        <w:rPr>
          <w:rFonts w:eastAsia="Times New Roman" w:cstheme="minorHAnsi"/>
          <w:color w:val="737373"/>
          <w:szCs w:val="20"/>
        </w:rPr>
        <w:t xml:space="preserve">. </w:t>
      </w:r>
      <w:r w:rsidRPr="0071630A">
        <w:rPr>
          <w:rFonts w:eastAsia="Times New Roman" w:cstheme="minorHAnsi"/>
          <w:szCs w:val="20"/>
        </w:rPr>
        <w:t>Accessed January 31, 2012.</w:t>
      </w:r>
    </w:p>
    <w:p w14:paraId="0FCB73E4" w14:textId="0D740B61" w:rsidR="005E0299" w:rsidRDefault="005E0299" w:rsidP="004C19B5">
      <w:pPr>
        <w:spacing w:line="480" w:lineRule="auto"/>
        <w:rPr>
          <w:rFonts w:cstheme="minorHAnsi"/>
          <w:sz w:val="24"/>
        </w:rPr>
      </w:pPr>
    </w:p>
    <w:p w14:paraId="734CE954" w14:textId="77777777" w:rsidR="00281976" w:rsidRDefault="00281976" w:rsidP="00281976">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TOC</w:t>
        </w:r>
        <w:r w:rsidRPr="00B16B87">
          <w:rPr>
            <w:rStyle w:val="Hyperlink"/>
            <w:rFonts w:ascii="Calibri" w:hAnsi="Calibri" w:cs="Calibri"/>
            <w:sz w:val="24"/>
          </w:rPr>
          <w:t xml:space="preserve"> </w:t>
        </w:r>
        <w:r w:rsidRPr="00B16B87">
          <w:rPr>
            <w:rStyle w:val="Hyperlink"/>
            <w:rFonts w:ascii="Calibri" w:hAnsi="Calibri" w:cs="Calibri"/>
            <w:sz w:val="24"/>
          </w:rPr>
          <w:t>top</w:t>
        </w:r>
      </w:hyperlink>
      <w:r>
        <w:rPr>
          <w:rFonts w:ascii="Calibri" w:hAnsi="Calibri" w:cs="Calibri"/>
          <w:sz w:val="24"/>
        </w:rPr>
        <w:t>]</w:t>
      </w:r>
    </w:p>
    <w:p w14:paraId="37E55078" w14:textId="77777777" w:rsidR="00281976" w:rsidRDefault="00281976" w:rsidP="004C19B5">
      <w:pPr>
        <w:spacing w:line="480" w:lineRule="auto"/>
        <w:rPr>
          <w:rFonts w:cstheme="minorHAnsi"/>
          <w:sz w:val="24"/>
        </w:rPr>
      </w:pPr>
    </w:p>
    <w:p w14:paraId="69DB64CC" w14:textId="53FF8206" w:rsidR="00281976" w:rsidRDefault="00281976">
      <w:pPr>
        <w:rPr>
          <w:rFonts w:cstheme="minorHAnsi"/>
          <w:sz w:val="24"/>
        </w:rPr>
      </w:pPr>
      <w:r>
        <w:rPr>
          <w:rFonts w:cstheme="minorHAnsi"/>
          <w:sz w:val="24"/>
        </w:rPr>
        <w:br w:type="page"/>
      </w:r>
    </w:p>
    <w:p w14:paraId="105742EB" w14:textId="77777777" w:rsidR="005E0299" w:rsidRPr="00CB5633" w:rsidRDefault="005E0299" w:rsidP="004C19B5">
      <w:pPr>
        <w:spacing w:after="120"/>
        <w:rPr>
          <w:rFonts w:eastAsia="Times New Roman" w:cstheme="minorHAnsi"/>
          <w:b/>
          <w:bCs/>
          <w:color w:val="333333"/>
          <w:spacing w:val="15"/>
          <w:kern w:val="36"/>
          <w:sz w:val="28"/>
          <w:szCs w:val="28"/>
        </w:rPr>
      </w:pPr>
      <w:bookmarkStart w:id="6" w:name="FedEmergPrepDirs_FS"/>
      <w:r w:rsidRPr="00CB5633">
        <w:rPr>
          <w:rFonts w:eastAsia="Times New Roman" w:cstheme="minorHAnsi"/>
          <w:b/>
          <w:bCs/>
          <w:color w:val="333333"/>
          <w:spacing w:val="15"/>
          <w:kern w:val="36"/>
          <w:sz w:val="28"/>
          <w:szCs w:val="28"/>
        </w:rPr>
        <w:lastRenderedPageBreak/>
        <w:t>Federal Emergency Preparedness Directives and Systems</w:t>
      </w:r>
      <w:bookmarkEnd w:id="6"/>
    </w:p>
    <w:p w14:paraId="7EAEFB2C" w14:textId="77777777" w:rsidR="005E0299" w:rsidRPr="00CB5633" w:rsidRDefault="005E0299" w:rsidP="004C19B5">
      <w:pPr>
        <w:spacing w:line="480" w:lineRule="auto"/>
        <w:rPr>
          <w:rFonts w:eastAsia="Times New Roman" w:cstheme="minorHAnsi"/>
          <w:b/>
          <w:bCs/>
          <w:color w:val="3C3030"/>
          <w:sz w:val="24"/>
          <w:szCs w:val="24"/>
        </w:rPr>
      </w:pPr>
      <w:r w:rsidRPr="00CB5633">
        <w:rPr>
          <w:rFonts w:eastAsia="Times New Roman" w:cstheme="minorHAnsi"/>
          <w:b/>
          <w:bCs/>
          <w:color w:val="3C3030"/>
          <w:sz w:val="24"/>
          <w:szCs w:val="24"/>
        </w:rPr>
        <w:t>Fact Sheet</w:t>
      </w:r>
    </w:p>
    <w:p w14:paraId="19E6C3F8" w14:textId="77777777" w:rsidR="005E0299" w:rsidRPr="00CB5633" w:rsidRDefault="005E0299" w:rsidP="004C19B5">
      <w:pPr>
        <w:spacing w:line="480" w:lineRule="auto"/>
        <w:rPr>
          <w:rFonts w:eastAsia="Times New Roman" w:cstheme="minorHAnsi"/>
          <w:b/>
          <w:bCs/>
          <w:color w:val="3C3030"/>
          <w:sz w:val="24"/>
          <w:szCs w:val="24"/>
        </w:rPr>
      </w:pPr>
      <w:r w:rsidRPr="00CB5633">
        <w:rPr>
          <w:rFonts w:eastAsia="Times New Roman" w:cstheme="minorHAnsi"/>
          <w:b/>
          <w:bCs/>
          <w:color w:val="3C3030"/>
          <w:sz w:val="24"/>
          <w:szCs w:val="24"/>
        </w:rPr>
        <w:t>Overview</w:t>
      </w:r>
    </w:p>
    <w:p w14:paraId="44F8B3AC" w14:textId="77777777" w:rsidR="005E0299" w:rsidRPr="00CB5633" w:rsidRDefault="005E0299" w:rsidP="004C19B5">
      <w:pPr>
        <w:shd w:val="clear" w:color="auto" w:fill="FFFFFF"/>
        <w:spacing w:line="480" w:lineRule="auto"/>
        <w:textAlignment w:val="baseline"/>
        <w:rPr>
          <w:rFonts w:eastAsia="Times New Roman" w:cstheme="minorHAnsi"/>
          <w:szCs w:val="20"/>
        </w:rPr>
      </w:pPr>
      <w:r w:rsidRPr="00CB5633">
        <w:rPr>
          <w:rFonts w:eastAsia="Times New Roman" w:cstheme="minorHAnsi"/>
          <w:szCs w:val="20"/>
        </w:rPr>
        <w:t xml:space="preserve">The evolution of state emergency preparedness and response capabilities has been greatly influenced by federal policies and structures developed and refined in the last decade. A concerted federal effort—mandated by legislation and presidential directives—has established frameworks for providing and coordinating emergency assistance to state, local, and tribal governments. Federal grants have provided financial resources to states, localities, and tribes to engage in complementary planning activities and to bolster their response capacity. This fact sheet outlines key presidential directives and strategies affecting state public health emergency preparedness and response activities. </w:t>
      </w:r>
    </w:p>
    <w:p w14:paraId="14119844" w14:textId="77777777" w:rsidR="005E0299" w:rsidRPr="00F40888" w:rsidRDefault="005E0299" w:rsidP="004C19B5">
      <w:pPr>
        <w:spacing w:line="480" w:lineRule="auto"/>
        <w:rPr>
          <w:rFonts w:eastAsia="Times New Roman" w:cstheme="minorHAnsi"/>
          <w:b/>
          <w:bCs/>
          <w:sz w:val="28"/>
          <w:szCs w:val="24"/>
        </w:rPr>
      </w:pPr>
    </w:p>
    <w:p w14:paraId="020B26D3" w14:textId="77777777" w:rsidR="005E0299" w:rsidRPr="00CB5633" w:rsidRDefault="005E0299" w:rsidP="004C19B5">
      <w:pPr>
        <w:spacing w:line="480" w:lineRule="auto"/>
        <w:rPr>
          <w:rFonts w:eastAsia="Times New Roman" w:cstheme="minorHAnsi"/>
          <w:b/>
          <w:bCs/>
          <w:color w:val="3C3030"/>
          <w:sz w:val="24"/>
          <w:szCs w:val="24"/>
        </w:rPr>
      </w:pPr>
      <w:r w:rsidRPr="00CB5633">
        <w:rPr>
          <w:rFonts w:eastAsia="Times New Roman" w:cstheme="minorHAnsi"/>
          <w:b/>
          <w:bCs/>
          <w:color w:val="3C3030"/>
          <w:sz w:val="24"/>
          <w:szCs w:val="24"/>
        </w:rPr>
        <w:t>Presidential Directives</w:t>
      </w:r>
    </w:p>
    <w:p w14:paraId="00DD1006" w14:textId="77777777" w:rsidR="005E0299" w:rsidRPr="00CB5633" w:rsidRDefault="00E160CC" w:rsidP="004C19B5">
      <w:pPr>
        <w:shd w:val="clear" w:color="auto" w:fill="FFFFFF"/>
        <w:spacing w:line="480" w:lineRule="auto"/>
        <w:textAlignment w:val="baseline"/>
        <w:rPr>
          <w:rFonts w:eastAsia="Times New Roman" w:cstheme="minorHAnsi"/>
        </w:rPr>
      </w:pPr>
      <w:hyperlink r:id="rId26" w:anchor="Presidential-Directives" w:history="1">
        <w:r w:rsidR="005E0299" w:rsidRPr="00CB5633">
          <w:rPr>
            <w:rFonts w:eastAsia="Times New Roman" w:cstheme="minorHAnsi"/>
            <w:color w:val="0F88B8"/>
            <w:bdr w:val="none" w:sz="0" w:space="0" w:color="auto" w:frame="1"/>
          </w:rPr>
          <w:t>Presidential directives</w:t>
        </w:r>
      </w:hyperlink>
      <w:r w:rsidR="005E0299" w:rsidRPr="00CB5633">
        <w:rPr>
          <w:rFonts w:eastAsia="Times New Roman" w:cstheme="minorHAnsi"/>
          <w:color w:val="737373"/>
        </w:rPr>
        <w:t> </w:t>
      </w:r>
      <w:r w:rsidR="005E0299" w:rsidRPr="00CB5633">
        <w:rPr>
          <w:rFonts w:eastAsia="Times New Roman" w:cstheme="minorHAnsi"/>
        </w:rPr>
        <w:t>are orders by the president which are issued under the president’s constitutional or other statutory powers. Presidential directives explain how Executive Branch agencies implement presidential authorities. There are different directive types, such as executive orders and policy directives. The naming and usage of various directive types can change from administration to administration.</w:t>
      </w:r>
      <w:r w:rsidR="005E0299" w:rsidRPr="00CB5633">
        <w:rPr>
          <w:rFonts w:eastAsia="Times New Roman" w:cstheme="minorHAnsi"/>
          <w:bdr w:val="none" w:sz="0" w:space="0" w:color="auto" w:frame="1"/>
          <w:vertAlign w:val="superscript"/>
        </w:rPr>
        <w:t>1</w:t>
      </w:r>
      <w:r w:rsidR="005E0299" w:rsidRPr="00CB5633">
        <w:rPr>
          <w:rFonts w:eastAsia="Times New Roman" w:cstheme="minorHAnsi"/>
        </w:rPr>
        <w:t> Homeland Security Presidential Directives (HSPDs) were created during the Bush Administration in 2001 and are presidential directives that pertain to homeland security issues. The Obama Administration uses Presidential Policy Directives (PPDs) for homeland security issues. Presidential directives remain in effect when administrations change, unless otherwise stated in the document or until subsequent presidential action is taken.</w:t>
      </w:r>
    </w:p>
    <w:p w14:paraId="3BBC5F78" w14:textId="77777777" w:rsidR="005E0299" w:rsidRPr="00CD666E" w:rsidRDefault="005E0299" w:rsidP="004C19B5">
      <w:pPr>
        <w:spacing w:line="480" w:lineRule="auto"/>
        <w:rPr>
          <w:rFonts w:eastAsia="Times New Roman" w:cstheme="minorHAnsi"/>
          <w:b/>
          <w:bCs/>
        </w:rPr>
      </w:pPr>
    </w:p>
    <w:p w14:paraId="44A74C4A" w14:textId="77777777" w:rsidR="005E0299" w:rsidRPr="00CB5633" w:rsidRDefault="005E0299" w:rsidP="004C19B5">
      <w:pPr>
        <w:keepNext/>
        <w:spacing w:line="480" w:lineRule="auto"/>
        <w:rPr>
          <w:rFonts w:eastAsia="Times New Roman" w:cstheme="minorHAnsi"/>
          <w:b/>
          <w:bCs/>
        </w:rPr>
      </w:pPr>
      <w:r w:rsidRPr="00CB5633">
        <w:rPr>
          <w:rFonts w:eastAsia="Times New Roman" w:cstheme="minorHAnsi"/>
          <w:b/>
          <w:bCs/>
        </w:rPr>
        <w:lastRenderedPageBreak/>
        <w:t>HSPDs and PPDs</w:t>
      </w:r>
    </w:p>
    <w:p w14:paraId="6126877A" w14:textId="77777777" w:rsidR="005E0299" w:rsidRDefault="005E0299" w:rsidP="004C19B5">
      <w:pPr>
        <w:shd w:val="clear" w:color="auto" w:fill="FFFFFF"/>
        <w:spacing w:line="480" w:lineRule="auto"/>
        <w:textAlignment w:val="baseline"/>
        <w:rPr>
          <w:rFonts w:eastAsia="Times New Roman" w:cstheme="minorHAnsi"/>
        </w:rPr>
      </w:pPr>
      <w:r w:rsidRPr="00CB5633">
        <w:rPr>
          <w:rFonts w:eastAsia="Times New Roman" w:cstheme="minorHAnsi"/>
        </w:rPr>
        <w:t>In the aftermath of the September 11, 2001, terrorist attacks, President Bush established the Office of Homeland Security and the Homeland Security Council via executive order to assist with the planning and coordination of federal efforts to combat terrorism and maintain the domestic security of the United States.</w:t>
      </w:r>
      <w:r w:rsidRPr="00CB5633">
        <w:rPr>
          <w:rFonts w:eastAsia="Times New Roman" w:cstheme="minorHAnsi"/>
          <w:bdr w:val="none" w:sz="0" w:space="0" w:color="auto" w:frame="1"/>
          <w:vertAlign w:val="superscript"/>
        </w:rPr>
        <w:t>3</w:t>
      </w:r>
      <w:r w:rsidRPr="00CB5633">
        <w:rPr>
          <w:rFonts w:eastAsia="Times New Roman" w:cstheme="minorHAnsi"/>
        </w:rPr>
        <w:t>Shortly thereafter, the president launched a new series of directives—Homeland Security Presidential Directives—intended to “record and communicate presidential decisions about the homeland security policies of the United States.”</w:t>
      </w:r>
      <w:r w:rsidRPr="00CB5633">
        <w:rPr>
          <w:rFonts w:eastAsia="Times New Roman" w:cstheme="minorHAnsi"/>
          <w:bdr w:val="none" w:sz="0" w:space="0" w:color="auto" w:frame="1"/>
          <w:vertAlign w:val="superscript"/>
        </w:rPr>
        <w:t>3</w:t>
      </w:r>
      <w:r w:rsidRPr="00CB5633">
        <w:rPr>
          <w:rFonts w:eastAsia="Times New Roman" w:cstheme="minorHAnsi"/>
        </w:rPr>
        <w:t> Twenty-five HSPDs were issued between October 2001 and January 2009. Several of these directives dictated the development of policies and systems affecting preparedness and response efforts for public health emergencies.</w:t>
      </w:r>
    </w:p>
    <w:p w14:paraId="1E282FEF" w14:textId="77777777" w:rsidR="005E0299" w:rsidRPr="00CB5633" w:rsidRDefault="005E0299" w:rsidP="004C19B5">
      <w:pPr>
        <w:shd w:val="clear" w:color="auto" w:fill="FFFFFF"/>
        <w:spacing w:line="480" w:lineRule="auto"/>
        <w:textAlignment w:val="baseline"/>
        <w:rPr>
          <w:rFonts w:eastAsia="Times New Roman" w:cstheme="minorHAnsi"/>
        </w:rPr>
      </w:pPr>
    </w:p>
    <w:p w14:paraId="06C3AAC9" w14:textId="77777777" w:rsidR="005E0299" w:rsidRPr="00CD666E" w:rsidRDefault="005E0299" w:rsidP="00224AC9">
      <w:pPr>
        <w:pStyle w:val="ListParagraph"/>
        <w:numPr>
          <w:ilvl w:val="0"/>
          <w:numId w:val="15"/>
        </w:numPr>
        <w:spacing w:line="480" w:lineRule="auto"/>
        <w:ind w:left="360"/>
        <w:textAlignment w:val="baseline"/>
        <w:rPr>
          <w:rFonts w:eastAsia="Times New Roman" w:cstheme="minorHAnsi"/>
        </w:rPr>
      </w:pPr>
      <w:r w:rsidRPr="00CD666E">
        <w:rPr>
          <w:rFonts w:eastAsia="Times New Roman" w:cstheme="minorHAnsi"/>
          <w:b/>
          <w:bCs/>
          <w:bdr w:val="none" w:sz="0" w:space="0" w:color="auto" w:frame="1"/>
        </w:rPr>
        <w:t>HSPD-5: Management of Domestic Incidents—</w:t>
      </w:r>
      <w:hyperlink r:id="rId27" w:anchor="Homeland-Security-Policy-Directives-(HSPD)" w:history="1">
        <w:r w:rsidRPr="00CD666E">
          <w:rPr>
            <w:rFonts w:eastAsia="Times New Roman" w:cstheme="minorHAnsi"/>
            <w:color w:val="0F88B8"/>
            <w:bdr w:val="none" w:sz="0" w:space="0" w:color="auto" w:frame="1"/>
          </w:rPr>
          <w:t>HSPD-5</w:t>
        </w:r>
      </w:hyperlink>
      <w:r w:rsidRPr="00CD666E">
        <w:rPr>
          <w:rFonts w:eastAsia="Times New Roman" w:cstheme="minorHAnsi"/>
          <w:color w:val="737373"/>
        </w:rPr>
        <w:t> </w:t>
      </w:r>
      <w:r w:rsidRPr="00CD666E">
        <w:rPr>
          <w:rFonts w:eastAsia="Times New Roman" w:cstheme="minorHAnsi"/>
        </w:rPr>
        <w:t>was intended to enhance the ability of the United States to manage domestic incidents.</w:t>
      </w:r>
      <w:r w:rsidRPr="00CD666E">
        <w:rPr>
          <w:rFonts w:eastAsia="Times New Roman" w:cstheme="minorHAnsi"/>
          <w:bdr w:val="none" w:sz="0" w:space="0" w:color="auto" w:frame="1"/>
          <w:vertAlign w:val="superscript"/>
        </w:rPr>
        <w:t>4</w:t>
      </w:r>
      <w:r w:rsidRPr="00CD666E">
        <w:rPr>
          <w:rFonts w:eastAsia="Times New Roman" w:cstheme="minorHAnsi"/>
        </w:rPr>
        <w:t> The 2003 directive described federal policies and objectives; identified steps to improve federal, state, and local incident coordination; and directed the Secretary of Homeland Security to create a National Response Plan and National Incident Management System (see below).</w:t>
      </w:r>
    </w:p>
    <w:p w14:paraId="1B7B9506" w14:textId="77777777" w:rsidR="005E0299" w:rsidRPr="00CB5633" w:rsidRDefault="005E0299" w:rsidP="004C19B5">
      <w:pPr>
        <w:spacing w:line="480" w:lineRule="auto"/>
        <w:textAlignment w:val="baseline"/>
        <w:rPr>
          <w:rFonts w:eastAsia="Times New Roman" w:cstheme="minorHAnsi"/>
        </w:rPr>
      </w:pPr>
    </w:p>
    <w:p w14:paraId="6F10BCE7" w14:textId="77777777" w:rsidR="005E0299" w:rsidRPr="00CD666E" w:rsidRDefault="005E0299" w:rsidP="00224AC9">
      <w:pPr>
        <w:pStyle w:val="ListParagraph"/>
        <w:numPr>
          <w:ilvl w:val="0"/>
          <w:numId w:val="15"/>
        </w:numPr>
        <w:spacing w:line="480" w:lineRule="auto"/>
        <w:ind w:left="360"/>
        <w:textAlignment w:val="baseline"/>
        <w:rPr>
          <w:rFonts w:eastAsia="Times New Roman" w:cstheme="minorHAnsi"/>
          <w:color w:val="737373"/>
        </w:rPr>
      </w:pPr>
      <w:r w:rsidRPr="00CD666E">
        <w:rPr>
          <w:rFonts w:eastAsia="Times New Roman" w:cstheme="minorHAnsi"/>
          <w:b/>
          <w:bCs/>
          <w:bdr w:val="none" w:sz="0" w:space="0" w:color="auto" w:frame="1"/>
        </w:rPr>
        <w:t>HSPD-8/PPD-8: National Preparedness—</w:t>
      </w:r>
      <w:r w:rsidRPr="00CD666E">
        <w:rPr>
          <w:rFonts w:eastAsia="Times New Roman" w:cstheme="minorHAnsi"/>
        </w:rPr>
        <w:t> HSPD-8 was issued as a companion directive to HSPD-5 to establish policies strengthening U.S. preparedness to prevent and respond to domestic terrorist attacks, major disasters, and other emergencies. The directive required the Secretary of Homeland Security to develop a national domestic all-hazards preparedness goal that included “measurable readiness priorities and targets” and “readiness metrics and elements.” The directive also required federal agencies to provide financial and technical support to states, develop first responder equipment standards, and establish training programs to meet national preparedness goals.</w:t>
      </w:r>
      <w:r w:rsidRPr="00CD666E">
        <w:rPr>
          <w:rFonts w:eastAsia="Times New Roman" w:cstheme="minorHAnsi"/>
          <w:bdr w:val="none" w:sz="0" w:space="0" w:color="auto" w:frame="1"/>
          <w:vertAlign w:val="superscript"/>
        </w:rPr>
        <w:t>5</w:t>
      </w:r>
      <w:r w:rsidRPr="00CD666E">
        <w:rPr>
          <w:rFonts w:eastAsia="Times New Roman" w:cstheme="minorHAnsi"/>
        </w:rPr>
        <w:t xml:space="preserve"> HSPD-8 Annex 1 addressed the development of a standardized national planning process and scenarios for </w:t>
      </w:r>
      <w:r w:rsidRPr="00CD666E">
        <w:rPr>
          <w:rFonts w:eastAsia="Times New Roman" w:cstheme="minorHAnsi"/>
        </w:rPr>
        <w:lastRenderedPageBreak/>
        <w:t>emergencies.  HSPD-8 was issued in 2003; Annex 1 to HSPD-8 was issued in 2007. In March 2011, President Obama issued </w:t>
      </w:r>
      <w:hyperlink r:id="rId28" w:anchor="Presidential-Policy-Directives-(PPD)" w:history="1">
        <w:r w:rsidRPr="00CD666E">
          <w:rPr>
            <w:rFonts w:eastAsia="Times New Roman" w:cstheme="minorHAnsi"/>
            <w:color w:val="0F88B8"/>
            <w:bdr w:val="none" w:sz="0" w:space="0" w:color="auto" w:frame="1"/>
          </w:rPr>
          <w:t>Presidential Policy Directive-8 (PPD-8)</w:t>
        </w:r>
      </w:hyperlink>
      <w:r w:rsidRPr="00CD666E">
        <w:rPr>
          <w:rFonts w:eastAsia="Times New Roman" w:cstheme="minorHAnsi"/>
        </w:rPr>
        <w:t>, which replaced HSPD-8 and HSPD-8 Annex 1, with the exception of paragraph 44 in Annex 1.</w:t>
      </w:r>
      <w:r w:rsidRPr="00CD666E">
        <w:rPr>
          <w:rFonts w:eastAsia="Times New Roman" w:cstheme="minorHAnsi"/>
          <w:bdr w:val="none" w:sz="0" w:space="0" w:color="auto" w:frame="1"/>
          <w:vertAlign w:val="superscript"/>
        </w:rPr>
        <w:t>6 </w:t>
      </w:r>
      <w:r w:rsidRPr="00CD666E">
        <w:rPr>
          <w:rFonts w:eastAsia="Times New Roman" w:cstheme="minorHAnsi"/>
        </w:rPr>
        <w:t xml:space="preserve">The new national preparedness directive retains an all-hazards, risk-based approach to national preparedness, while establishing four categories of hazards: terrorism, catastrophic natural disasters, </w:t>
      </w:r>
      <w:proofErr w:type="spellStart"/>
      <w:r w:rsidRPr="00CD666E">
        <w:rPr>
          <w:rFonts w:eastAsia="Times New Roman" w:cstheme="minorHAnsi"/>
        </w:rPr>
        <w:t>cyber attacks</w:t>
      </w:r>
      <w:proofErr w:type="spellEnd"/>
      <w:r w:rsidRPr="00CD666E">
        <w:rPr>
          <w:rFonts w:eastAsia="Times New Roman" w:cstheme="minorHAnsi"/>
        </w:rPr>
        <w:t>, and pandemics.</w:t>
      </w:r>
    </w:p>
    <w:p w14:paraId="702BCCD2" w14:textId="77777777" w:rsidR="005E0299" w:rsidRPr="00CD666E" w:rsidRDefault="005E0299" w:rsidP="004C19B5">
      <w:pPr>
        <w:spacing w:line="480" w:lineRule="auto"/>
        <w:textAlignment w:val="baseline"/>
        <w:rPr>
          <w:rFonts w:eastAsia="Times New Roman" w:cstheme="minorHAnsi"/>
        </w:rPr>
      </w:pPr>
    </w:p>
    <w:p w14:paraId="5B5D8B80" w14:textId="77777777" w:rsidR="005E0299" w:rsidRPr="00CD666E" w:rsidRDefault="005E0299" w:rsidP="00224AC9">
      <w:pPr>
        <w:pStyle w:val="ListParagraph"/>
        <w:numPr>
          <w:ilvl w:val="0"/>
          <w:numId w:val="15"/>
        </w:numPr>
        <w:spacing w:line="480" w:lineRule="auto"/>
        <w:ind w:left="360"/>
        <w:textAlignment w:val="baseline"/>
        <w:rPr>
          <w:rFonts w:eastAsia="Times New Roman" w:cstheme="minorHAnsi"/>
        </w:rPr>
      </w:pPr>
      <w:r w:rsidRPr="00CD666E">
        <w:rPr>
          <w:rFonts w:eastAsia="Times New Roman" w:cstheme="minorHAnsi"/>
          <w:b/>
          <w:bCs/>
          <w:bdr w:val="none" w:sz="0" w:space="0" w:color="auto" w:frame="1"/>
        </w:rPr>
        <w:t>HSPD-21: Public Health and Medical Preparedness—</w:t>
      </w:r>
      <w:r w:rsidRPr="00CD666E">
        <w:rPr>
          <w:rFonts w:eastAsia="Times New Roman" w:cstheme="minorHAnsi"/>
        </w:rPr>
        <w:t>This directive mandated the development of a national strategy for public health and medical preparedness. </w:t>
      </w:r>
      <w:hyperlink r:id="rId29" w:anchor="Homeland-Security-Policy-Directives-(HSPD)" w:history="1">
        <w:r w:rsidRPr="00CD666E">
          <w:rPr>
            <w:rFonts w:eastAsia="Times New Roman" w:cstheme="minorHAnsi"/>
            <w:color w:val="0F88B8"/>
            <w:bdr w:val="none" w:sz="0" w:space="0" w:color="auto" w:frame="1"/>
          </w:rPr>
          <w:t>HSPD-21</w:t>
        </w:r>
      </w:hyperlink>
      <w:r w:rsidRPr="00CD666E">
        <w:rPr>
          <w:rFonts w:eastAsia="Times New Roman" w:cstheme="minorHAnsi"/>
          <w:color w:val="737373"/>
        </w:rPr>
        <w:t> </w:t>
      </w:r>
      <w:r w:rsidRPr="00CD666E">
        <w:rPr>
          <w:rFonts w:eastAsia="Times New Roman" w:cstheme="minorHAnsi"/>
        </w:rPr>
        <w:t>identified four critical components of public health and medical preparedness—</w:t>
      </w:r>
      <w:proofErr w:type="spellStart"/>
      <w:r w:rsidRPr="00CD666E">
        <w:rPr>
          <w:rFonts w:eastAsia="Times New Roman" w:cstheme="minorHAnsi"/>
        </w:rPr>
        <w:t>biosurveillance</w:t>
      </w:r>
      <w:proofErr w:type="spellEnd"/>
      <w:r w:rsidRPr="00CD666E">
        <w:rPr>
          <w:rFonts w:eastAsia="Times New Roman" w:cstheme="minorHAnsi"/>
        </w:rPr>
        <w:t>, countermeasure distribution, mass casualty care, and community resilience—and established federal agency planning requirements in each of these areas. The directives also addressed planning in the areas of risk awareness, education and training, and disaster health systems.</w:t>
      </w:r>
    </w:p>
    <w:p w14:paraId="2EBD870A" w14:textId="77777777" w:rsidR="005E0299" w:rsidRPr="00CB5633" w:rsidRDefault="005E0299" w:rsidP="004C19B5">
      <w:pPr>
        <w:spacing w:line="480" w:lineRule="auto"/>
        <w:textAlignment w:val="baseline"/>
        <w:rPr>
          <w:rFonts w:eastAsia="Times New Roman" w:cstheme="minorHAnsi"/>
        </w:rPr>
      </w:pPr>
    </w:p>
    <w:p w14:paraId="37F266CC" w14:textId="77777777" w:rsidR="005E0299" w:rsidRPr="00CB5633" w:rsidRDefault="005E0299" w:rsidP="004C19B5">
      <w:pPr>
        <w:spacing w:line="480" w:lineRule="auto"/>
        <w:rPr>
          <w:rFonts w:eastAsia="Times New Roman" w:cstheme="minorHAnsi"/>
          <w:b/>
          <w:bCs/>
          <w:color w:val="3C3030"/>
          <w:sz w:val="24"/>
          <w:szCs w:val="24"/>
        </w:rPr>
      </w:pPr>
      <w:r w:rsidRPr="00CB5633">
        <w:rPr>
          <w:rFonts w:eastAsia="Times New Roman" w:cstheme="minorHAnsi"/>
          <w:b/>
          <w:bCs/>
          <w:color w:val="3C3030"/>
          <w:sz w:val="24"/>
          <w:szCs w:val="24"/>
        </w:rPr>
        <w:t>National Strategy Documents</w:t>
      </w:r>
    </w:p>
    <w:p w14:paraId="695E639E" w14:textId="77777777" w:rsidR="005E0299" w:rsidRPr="00CB5633" w:rsidRDefault="005E0299" w:rsidP="004C19B5">
      <w:pPr>
        <w:shd w:val="clear" w:color="auto" w:fill="FFFFFF"/>
        <w:spacing w:line="480" w:lineRule="auto"/>
        <w:textAlignment w:val="baseline"/>
        <w:rPr>
          <w:rFonts w:eastAsia="Times New Roman" w:cstheme="minorHAnsi"/>
          <w:color w:val="737373"/>
          <w:szCs w:val="20"/>
        </w:rPr>
      </w:pPr>
      <w:r w:rsidRPr="00CB5633">
        <w:rPr>
          <w:rFonts w:eastAsia="Times New Roman" w:cstheme="minorHAnsi"/>
          <w:szCs w:val="20"/>
        </w:rPr>
        <w:t>Federal legislation and presidential directives called for the development of a number of strategies and plans to chart the nation’s planning and response activities for emergencies. These documents complement the National Response Framework, which establishes a national, all-hazards response structure. Key national strategy documents include: the </w:t>
      </w:r>
      <w:hyperlink r:id="rId30" w:anchor="National-Health-Security-Strategy" w:history="1">
        <w:r w:rsidRPr="00CB5633">
          <w:rPr>
            <w:rFonts w:eastAsia="Times New Roman" w:cstheme="minorHAnsi"/>
            <w:color w:val="0F88B8"/>
            <w:szCs w:val="20"/>
            <w:bdr w:val="none" w:sz="0" w:space="0" w:color="auto" w:frame="1"/>
          </w:rPr>
          <w:t>National Health Security Strategy</w:t>
        </w:r>
      </w:hyperlink>
      <w:r w:rsidRPr="00CB5633">
        <w:rPr>
          <w:rFonts w:eastAsia="Times New Roman" w:cstheme="minorHAnsi"/>
          <w:szCs w:val="20"/>
        </w:rPr>
        <w:t>; the </w:t>
      </w:r>
      <w:hyperlink r:id="rId31" w:anchor="National-Strategy-for-Pandemic-Influenza" w:history="1">
        <w:r w:rsidRPr="00CB5633">
          <w:rPr>
            <w:rFonts w:eastAsia="Times New Roman" w:cstheme="minorHAnsi"/>
            <w:color w:val="0F88B8"/>
            <w:szCs w:val="20"/>
            <w:bdr w:val="none" w:sz="0" w:space="0" w:color="auto" w:frame="1"/>
          </w:rPr>
          <w:t>National Strategy for Pandemic Influenza</w:t>
        </w:r>
      </w:hyperlink>
      <w:r w:rsidRPr="00CB5633">
        <w:rPr>
          <w:rFonts w:eastAsia="Times New Roman" w:cstheme="minorHAnsi"/>
          <w:szCs w:val="20"/>
        </w:rPr>
        <w:t>; and the </w:t>
      </w:r>
      <w:hyperlink r:id="rId32" w:anchor="National-Strategy-for-Homeland-Security" w:history="1">
        <w:r w:rsidRPr="00CB5633">
          <w:rPr>
            <w:rFonts w:eastAsia="Times New Roman" w:cstheme="minorHAnsi"/>
            <w:color w:val="0F88B8"/>
            <w:szCs w:val="20"/>
            <w:bdr w:val="none" w:sz="0" w:space="0" w:color="auto" w:frame="1"/>
          </w:rPr>
          <w:t>National Strategy for Homeland Security</w:t>
        </w:r>
      </w:hyperlink>
      <w:r w:rsidRPr="00CB5633">
        <w:rPr>
          <w:rFonts w:eastAsia="Times New Roman" w:cstheme="minorHAnsi"/>
          <w:szCs w:val="20"/>
        </w:rPr>
        <w:t>. The national strategies also address plans for coordinating with state, local, territorial, and tribal governments, and the private sector. </w:t>
      </w:r>
    </w:p>
    <w:p w14:paraId="6520977D" w14:textId="77777777" w:rsidR="005E0299" w:rsidRPr="00CD666E" w:rsidRDefault="005E0299" w:rsidP="004C19B5">
      <w:pPr>
        <w:spacing w:line="480" w:lineRule="auto"/>
        <w:rPr>
          <w:rFonts w:eastAsia="Times New Roman" w:cstheme="minorHAnsi"/>
          <w:b/>
          <w:bCs/>
          <w:color w:val="3C3030"/>
          <w:szCs w:val="24"/>
        </w:rPr>
      </w:pPr>
    </w:p>
    <w:p w14:paraId="2E607040" w14:textId="77777777" w:rsidR="005E0299" w:rsidRPr="00CB5633" w:rsidRDefault="005E0299" w:rsidP="004C19B5">
      <w:pPr>
        <w:keepNext/>
        <w:spacing w:line="480" w:lineRule="auto"/>
        <w:rPr>
          <w:rFonts w:eastAsia="Times New Roman" w:cstheme="minorHAnsi"/>
          <w:b/>
          <w:bCs/>
          <w:color w:val="3C3030"/>
          <w:sz w:val="24"/>
          <w:szCs w:val="24"/>
        </w:rPr>
      </w:pPr>
      <w:r w:rsidRPr="00CB5633">
        <w:rPr>
          <w:rFonts w:eastAsia="Times New Roman" w:cstheme="minorHAnsi"/>
          <w:b/>
          <w:bCs/>
          <w:color w:val="3C3030"/>
          <w:sz w:val="24"/>
          <w:szCs w:val="24"/>
        </w:rPr>
        <w:lastRenderedPageBreak/>
        <w:t>National Response Framework</w:t>
      </w:r>
    </w:p>
    <w:p w14:paraId="44BF18EC" w14:textId="77777777" w:rsidR="005E0299" w:rsidRPr="00CB5633" w:rsidRDefault="005E0299" w:rsidP="004C19B5">
      <w:pPr>
        <w:shd w:val="clear" w:color="auto" w:fill="FFFFFF"/>
        <w:spacing w:line="480" w:lineRule="auto"/>
        <w:textAlignment w:val="baseline"/>
        <w:rPr>
          <w:rFonts w:eastAsia="Times New Roman" w:cstheme="minorHAnsi"/>
        </w:rPr>
      </w:pPr>
      <w:r w:rsidRPr="00CB5633">
        <w:rPr>
          <w:rFonts w:eastAsia="Times New Roman" w:cstheme="minorHAnsi"/>
        </w:rPr>
        <w:t>The Homeland Security Act directed the Department of Homeland Security (DHS) to establish a framework to coordinate federal resources during emergencies. DHS released the National Response Plan (NRP) in December 2004.  The NRP was replaced in January 2008 by the </w:t>
      </w:r>
      <w:hyperlink r:id="rId33" w:anchor="National-Response-Framework-(NRF)" w:history="1">
        <w:r w:rsidRPr="00CB5633">
          <w:rPr>
            <w:rFonts w:eastAsia="Times New Roman" w:cstheme="minorHAnsi"/>
            <w:color w:val="0F88B8"/>
            <w:bdr w:val="none" w:sz="0" w:space="0" w:color="auto" w:frame="1"/>
          </w:rPr>
          <w:t>National Response Framework (NRF)</w:t>
        </w:r>
      </w:hyperlink>
      <w:r w:rsidRPr="00CB5633">
        <w:rPr>
          <w:rFonts w:eastAsia="Times New Roman" w:cstheme="minorHAnsi"/>
          <w:color w:val="737373"/>
        </w:rPr>
        <w:t> </w:t>
      </w:r>
      <w:r w:rsidRPr="00CB5633">
        <w:rPr>
          <w:rFonts w:eastAsia="Times New Roman" w:cstheme="minorHAnsi"/>
        </w:rPr>
        <w:t>and updated in May 2013.</w:t>
      </w:r>
      <w:r w:rsidRPr="00CB5633">
        <w:rPr>
          <w:rFonts w:eastAsia="Times New Roman" w:cstheme="minorHAnsi"/>
          <w:bdr w:val="none" w:sz="0" w:space="0" w:color="auto" w:frame="1"/>
          <w:vertAlign w:val="superscript"/>
        </w:rPr>
        <w:t>7</w:t>
      </w:r>
      <w:r w:rsidRPr="00CB5633">
        <w:rPr>
          <w:rFonts w:eastAsia="Times New Roman" w:cstheme="minorHAnsi"/>
        </w:rPr>
        <w:t> The NRF is implemented by the Federal Emergency Management Agency (FEMA). The NRF is not a source of legal authority for incident response; it is used to guide response activities that arise from events of all sizes whether an emergency is declared or not.</w:t>
      </w:r>
      <w:r w:rsidRPr="00CB5633">
        <w:rPr>
          <w:rFonts w:eastAsia="Times New Roman" w:cstheme="minorHAnsi"/>
          <w:bdr w:val="none" w:sz="0" w:space="0" w:color="auto" w:frame="1"/>
          <w:vertAlign w:val="superscript"/>
        </w:rPr>
        <w:t>2</w:t>
      </w:r>
      <w:r w:rsidRPr="00CB5633">
        <w:rPr>
          <w:rFonts w:eastAsia="Times New Roman" w:cstheme="minorHAnsi"/>
        </w:rPr>
        <w:t> The NRF uses a national, all-hazards approach that describes and integrates roles for federal, state, local, territorial, and tribal governments and the private sector in preparing, responding, and recovering from incidents. The NRF uses the National Incident Management System to coordinate response activities among governments and organizations at all levels. States have looked to the NRF as a way to structure their response plans. (Please see ASTHO EAI Current Issues Summer 2013 for more information about NRF revisions and other National Planning Frameworks)</w:t>
      </w:r>
    </w:p>
    <w:p w14:paraId="722BEF1F" w14:textId="77777777" w:rsidR="005E0299" w:rsidRPr="00CD666E" w:rsidRDefault="005E0299" w:rsidP="004C19B5">
      <w:pPr>
        <w:spacing w:line="480" w:lineRule="auto"/>
        <w:rPr>
          <w:rFonts w:eastAsia="Times New Roman" w:cstheme="minorHAnsi"/>
          <w:b/>
          <w:bCs/>
        </w:rPr>
      </w:pPr>
    </w:p>
    <w:p w14:paraId="1A816CDA" w14:textId="77777777" w:rsidR="005E0299" w:rsidRPr="00CB5633" w:rsidRDefault="005E0299" w:rsidP="004C19B5">
      <w:pPr>
        <w:spacing w:line="480" w:lineRule="auto"/>
        <w:rPr>
          <w:rFonts w:eastAsia="Times New Roman" w:cstheme="minorHAnsi"/>
          <w:b/>
          <w:bCs/>
        </w:rPr>
      </w:pPr>
      <w:r w:rsidRPr="00CB5633">
        <w:rPr>
          <w:rFonts w:eastAsia="Times New Roman" w:cstheme="minorHAnsi"/>
          <w:b/>
          <w:bCs/>
        </w:rPr>
        <w:t>Emergency Support Functions</w:t>
      </w:r>
    </w:p>
    <w:p w14:paraId="7239B2F2" w14:textId="77777777" w:rsidR="005E0299" w:rsidRPr="00CD666E" w:rsidRDefault="005E0299" w:rsidP="004C19B5">
      <w:pPr>
        <w:shd w:val="clear" w:color="auto" w:fill="FFFFFF"/>
        <w:spacing w:line="480" w:lineRule="auto"/>
        <w:textAlignment w:val="baseline"/>
        <w:rPr>
          <w:rFonts w:eastAsia="Times New Roman" w:cstheme="minorHAnsi"/>
        </w:rPr>
      </w:pPr>
      <w:r w:rsidRPr="00CB5633">
        <w:rPr>
          <w:rFonts w:eastAsia="Times New Roman" w:cstheme="minorHAnsi"/>
        </w:rPr>
        <w:t>The NRF includes 15</w:t>
      </w:r>
      <w:r w:rsidRPr="00CB5633">
        <w:rPr>
          <w:rFonts w:eastAsia="Times New Roman" w:cstheme="minorHAnsi"/>
          <w:color w:val="737373"/>
        </w:rPr>
        <w:t> </w:t>
      </w:r>
      <w:hyperlink r:id="rId34" w:anchor="Emergency-Support-Function-(ESF)" w:history="1">
        <w:r w:rsidRPr="00CB5633">
          <w:rPr>
            <w:rFonts w:eastAsia="Times New Roman" w:cstheme="minorHAnsi"/>
            <w:color w:val="0F88B8"/>
            <w:bdr w:val="none" w:sz="0" w:space="0" w:color="auto" w:frame="1"/>
          </w:rPr>
          <w:t>Emergency Support Function (ESF)</w:t>
        </w:r>
      </w:hyperlink>
      <w:r w:rsidRPr="00CB5633">
        <w:rPr>
          <w:rFonts w:eastAsia="Times New Roman" w:cstheme="minorHAnsi"/>
          <w:color w:val="737373"/>
        </w:rPr>
        <w:t> </w:t>
      </w:r>
      <w:r w:rsidRPr="00CB5633">
        <w:rPr>
          <w:rFonts w:eastAsia="Times New Roman" w:cstheme="minorHAnsi"/>
        </w:rPr>
        <w:t>documents that detail the roles and responsibilities of governmental and certain private sector capacities in key areas (e.g., transportation, communication, public safety, etc.). The ESFs are intended to organize resources and services that are needed to save lives, protect property and the environment, restore essential services and critical infrastructure, and help victims and communities recover after incidents. HHS is tasked as the lead agency on ESF-8 “Public Health and Medical Services”</w:t>
      </w:r>
      <w:r w:rsidRPr="00CB5633">
        <w:rPr>
          <w:rFonts w:eastAsia="Times New Roman" w:cstheme="minorHAnsi"/>
          <w:bdr w:val="none" w:sz="0" w:space="0" w:color="auto" w:frame="1"/>
          <w:vertAlign w:val="superscript"/>
        </w:rPr>
        <w:t>8</w:t>
      </w:r>
      <w:r w:rsidRPr="00CB5633">
        <w:rPr>
          <w:rFonts w:eastAsia="Times New Roman" w:cstheme="minorHAnsi"/>
        </w:rPr>
        <w:t> and a supporting agency on ESF-6 “Mass Care, Emergency Assistance, Housing, and Human Services.”</w:t>
      </w:r>
      <w:r w:rsidRPr="00CB5633">
        <w:rPr>
          <w:rFonts w:eastAsia="Times New Roman" w:cstheme="minorHAnsi"/>
          <w:bdr w:val="none" w:sz="0" w:space="0" w:color="auto" w:frame="1"/>
          <w:vertAlign w:val="superscript"/>
        </w:rPr>
        <w:t>9</w:t>
      </w:r>
      <w:r w:rsidRPr="00CB5633">
        <w:rPr>
          <w:rFonts w:eastAsia="Times New Roman" w:cstheme="minorHAnsi"/>
        </w:rPr>
        <w:t>  </w:t>
      </w:r>
    </w:p>
    <w:p w14:paraId="2A92E042" w14:textId="77777777" w:rsidR="005E0299" w:rsidRPr="00CB5633" w:rsidRDefault="005E0299" w:rsidP="004C19B5">
      <w:pPr>
        <w:shd w:val="clear" w:color="auto" w:fill="FFFFFF"/>
        <w:spacing w:line="480" w:lineRule="auto"/>
        <w:textAlignment w:val="baseline"/>
        <w:rPr>
          <w:rFonts w:eastAsia="Times New Roman" w:cstheme="minorHAnsi"/>
        </w:rPr>
      </w:pPr>
    </w:p>
    <w:p w14:paraId="5FB1FEA5" w14:textId="77777777" w:rsidR="005E0299" w:rsidRPr="00CD666E" w:rsidRDefault="005E0299" w:rsidP="00224AC9">
      <w:pPr>
        <w:pStyle w:val="ListParagraph"/>
        <w:numPr>
          <w:ilvl w:val="0"/>
          <w:numId w:val="16"/>
        </w:numPr>
        <w:spacing w:line="480" w:lineRule="auto"/>
        <w:textAlignment w:val="baseline"/>
        <w:rPr>
          <w:rFonts w:eastAsia="Times New Roman" w:cstheme="minorHAnsi"/>
        </w:rPr>
      </w:pPr>
      <w:r w:rsidRPr="00CD666E">
        <w:rPr>
          <w:rFonts w:eastAsia="Times New Roman" w:cstheme="minorHAnsi"/>
          <w:b/>
          <w:bCs/>
          <w:bdr w:val="none" w:sz="0" w:space="0" w:color="auto" w:frame="1"/>
        </w:rPr>
        <w:lastRenderedPageBreak/>
        <w:t>ESF-8 (Public Health and Medical Services)—</w:t>
      </w:r>
      <w:r w:rsidRPr="00CD666E">
        <w:rPr>
          <w:rFonts w:eastAsia="Times New Roman" w:cstheme="minorHAnsi"/>
        </w:rPr>
        <w:t>The scope of ESF–8 includes responding to the physical, mental, and behavioral health needs of incident victims and response workers, as well as addressing the medical needs of "at risk" or "special needs" persons. ESF-8 identifies federal supplemental assistance to state, tribal, and local governments in 17 core functional areas, including, among others: surveillance, medical care personnel, patient care and evacuation, food and water safety, fatality management, and veterinary medical support.</w:t>
      </w:r>
      <w:r w:rsidRPr="00CD666E">
        <w:rPr>
          <w:rFonts w:eastAsia="Times New Roman" w:cstheme="minorHAnsi"/>
          <w:bdr w:val="none" w:sz="0" w:space="0" w:color="auto" w:frame="1"/>
          <w:vertAlign w:val="superscript"/>
        </w:rPr>
        <w:t>8</w:t>
      </w:r>
    </w:p>
    <w:p w14:paraId="4A82E266" w14:textId="77777777" w:rsidR="005E0299" w:rsidRPr="00CB5633" w:rsidRDefault="005E0299" w:rsidP="004C19B5">
      <w:pPr>
        <w:spacing w:line="480" w:lineRule="auto"/>
        <w:textAlignment w:val="baseline"/>
        <w:rPr>
          <w:rFonts w:eastAsia="Times New Roman" w:cstheme="minorHAnsi"/>
        </w:rPr>
      </w:pPr>
    </w:p>
    <w:p w14:paraId="1A343075" w14:textId="77777777" w:rsidR="005E0299" w:rsidRPr="00CD666E" w:rsidRDefault="005E0299" w:rsidP="00224AC9">
      <w:pPr>
        <w:pStyle w:val="ListParagraph"/>
        <w:numPr>
          <w:ilvl w:val="0"/>
          <w:numId w:val="16"/>
        </w:numPr>
        <w:spacing w:line="480" w:lineRule="auto"/>
        <w:textAlignment w:val="baseline"/>
        <w:rPr>
          <w:rFonts w:eastAsia="Times New Roman" w:cstheme="minorHAnsi"/>
        </w:rPr>
      </w:pPr>
      <w:r w:rsidRPr="00CD666E">
        <w:rPr>
          <w:rFonts w:eastAsia="Times New Roman" w:cstheme="minorHAnsi"/>
          <w:b/>
          <w:bCs/>
          <w:bdr w:val="none" w:sz="0" w:space="0" w:color="auto" w:frame="1"/>
        </w:rPr>
        <w:t>ESF-6 (Mass Care, Emergency Assistance, Housing, and Human Services)—</w:t>
      </w:r>
      <w:r w:rsidRPr="00CD666E">
        <w:rPr>
          <w:rFonts w:eastAsia="Times New Roman" w:cstheme="minorHAnsi"/>
        </w:rPr>
        <w:t>FEMA is the lead agency on ESF-6. HHS is tasked with providing supportive human services, public health and medical services, and veterinary medical services under ESF-6.</w:t>
      </w:r>
      <w:r w:rsidRPr="00CD666E">
        <w:rPr>
          <w:rFonts w:eastAsia="Times New Roman" w:cstheme="minorHAnsi"/>
          <w:bdr w:val="none" w:sz="0" w:space="0" w:color="auto" w:frame="1"/>
          <w:vertAlign w:val="superscript"/>
        </w:rPr>
        <w:t>9</w:t>
      </w:r>
    </w:p>
    <w:p w14:paraId="5F33C454" w14:textId="77777777" w:rsidR="005E0299" w:rsidRPr="00CB5633" w:rsidRDefault="005E0299" w:rsidP="004C19B5">
      <w:pPr>
        <w:spacing w:line="480" w:lineRule="auto"/>
        <w:textAlignment w:val="baseline"/>
        <w:rPr>
          <w:rFonts w:eastAsia="Times New Roman" w:cstheme="minorHAnsi"/>
        </w:rPr>
      </w:pPr>
    </w:p>
    <w:p w14:paraId="5FFFC3D3" w14:textId="77777777" w:rsidR="005E0299" w:rsidRPr="00CB5633" w:rsidRDefault="005E0299" w:rsidP="004C19B5">
      <w:pPr>
        <w:spacing w:line="480" w:lineRule="auto"/>
        <w:rPr>
          <w:rFonts w:eastAsia="Times New Roman" w:cstheme="minorHAnsi"/>
          <w:b/>
          <w:bCs/>
          <w:color w:val="3C3030"/>
          <w:sz w:val="24"/>
          <w:szCs w:val="24"/>
        </w:rPr>
      </w:pPr>
      <w:r w:rsidRPr="00CB5633">
        <w:rPr>
          <w:rFonts w:eastAsia="Times New Roman" w:cstheme="minorHAnsi"/>
          <w:b/>
          <w:bCs/>
          <w:color w:val="3C3030"/>
          <w:sz w:val="24"/>
          <w:szCs w:val="24"/>
        </w:rPr>
        <w:t>National Incident Management System</w:t>
      </w:r>
    </w:p>
    <w:p w14:paraId="72085269" w14:textId="77777777" w:rsidR="005E0299" w:rsidRPr="00CB5633" w:rsidRDefault="005E0299" w:rsidP="004C19B5">
      <w:pPr>
        <w:shd w:val="clear" w:color="auto" w:fill="FFFFFF"/>
        <w:spacing w:line="480" w:lineRule="auto"/>
        <w:textAlignment w:val="baseline"/>
        <w:rPr>
          <w:rFonts w:eastAsia="Times New Roman" w:cstheme="minorHAnsi"/>
        </w:rPr>
      </w:pPr>
      <w:r w:rsidRPr="00CB5633">
        <w:rPr>
          <w:rFonts w:eastAsia="Times New Roman" w:cstheme="minorHAnsi"/>
        </w:rPr>
        <w:t>The</w:t>
      </w:r>
      <w:r w:rsidRPr="00CB5633">
        <w:rPr>
          <w:rFonts w:eastAsia="Times New Roman" w:cstheme="minorHAnsi"/>
          <w:color w:val="737373"/>
        </w:rPr>
        <w:t> </w:t>
      </w:r>
      <w:hyperlink r:id="rId35" w:anchor="National-Incident-Management-System-(NIMS)" w:history="1">
        <w:r w:rsidRPr="00CB5633">
          <w:rPr>
            <w:rFonts w:eastAsia="Times New Roman" w:cstheme="minorHAnsi"/>
            <w:color w:val="0F88B8"/>
            <w:bdr w:val="none" w:sz="0" w:space="0" w:color="auto" w:frame="1"/>
          </w:rPr>
          <w:t>National Incident Management System (NIMS)</w:t>
        </w:r>
      </w:hyperlink>
      <w:r w:rsidRPr="00CB5633">
        <w:rPr>
          <w:rFonts w:eastAsia="Times New Roman" w:cstheme="minorHAnsi"/>
          <w:color w:val="737373"/>
        </w:rPr>
        <w:t> </w:t>
      </w:r>
      <w:r w:rsidRPr="00CB5633">
        <w:rPr>
          <w:rFonts w:eastAsia="Times New Roman" w:cstheme="minorHAnsi"/>
        </w:rPr>
        <w:t>establishes a framework for coordinating emergency response activities among federal, state, tribal, local, nongovernmental, and private sector organizations.</w:t>
      </w:r>
      <w:r w:rsidRPr="00CB5633">
        <w:rPr>
          <w:rFonts w:eastAsia="Times New Roman" w:cstheme="minorHAnsi"/>
          <w:bdr w:val="none" w:sz="0" w:space="0" w:color="auto" w:frame="1"/>
          <w:vertAlign w:val="superscript"/>
        </w:rPr>
        <w:t>10</w:t>
      </w:r>
      <w:r w:rsidRPr="00CB5633">
        <w:rPr>
          <w:rFonts w:eastAsia="Times New Roman" w:cstheme="minorHAnsi"/>
        </w:rPr>
        <w:t> NIMS is a form of incident command system that uses a consistent framework for incident management at all jurisdictional levels regardless of the cause, size, or complexity of the event. NIMS is intended to be used for all events and incidents, including emergencies and special events, whereas the NRF is activated for only designated events or incidents. HSPD-5 requires all federal agencies to use NIMS in their response activities, including when assisting in state and local events. States and localities are required to adopt NIMS as a condition for receiving federal preparedness assistance grants and contracts. </w:t>
      </w:r>
    </w:p>
    <w:p w14:paraId="444E8167" w14:textId="77777777" w:rsidR="005E0299" w:rsidRPr="00CD666E" w:rsidRDefault="005E0299" w:rsidP="004C19B5">
      <w:pPr>
        <w:spacing w:line="480" w:lineRule="auto"/>
        <w:rPr>
          <w:rFonts w:eastAsia="Times New Roman" w:cstheme="minorHAnsi"/>
          <w:b/>
          <w:bCs/>
        </w:rPr>
      </w:pPr>
    </w:p>
    <w:p w14:paraId="12C71E9E" w14:textId="77777777" w:rsidR="005E0299" w:rsidRPr="00CB5633" w:rsidRDefault="005E0299" w:rsidP="004C19B5">
      <w:pPr>
        <w:keepNext/>
        <w:spacing w:line="480" w:lineRule="auto"/>
        <w:rPr>
          <w:rFonts w:eastAsia="Times New Roman" w:cstheme="minorHAnsi"/>
          <w:b/>
          <w:bCs/>
          <w:color w:val="3C3030"/>
          <w:sz w:val="24"/>
          <w:szCs w:val="24"/>
        </w:rPr>
      </w:pPr>
      <w:r w:rsidRPr="00CB5633">
        <w:rPr>
          <w:rFonts w:eastAsia="Times New Roman" w:cstheme="minorHAnsi"/>
          <w:b/>
          <w:bCs/>
          <w:color w:val="3C3030"/>
          <w:sz w:val="24"/>
          <w:szCs w:val="24"/>
        </w:rPr>
        <w:lastRenderedPageBreak/>
        <w:t>How Federal Directives and Systems Affect States</w:t>
      </w:r>
    </w:p>
    <w:p w14:paraId="7BEE50D6" w14:textId="77777777" w:rsidR="005E0299" w:rsidRPr="00CB5633" w:rsidRDefault="005E0299" w:rsidP="004C19B5">
      <w:pPr>
        <w:shd w:val="clear" w:color="auto" w:fill="FFFFFF"/>
        <w:spacing w:line="480" w:lineRule="auto"/>
        <w:textAlignment w:val="baseline"/>
        <w:rPr>
          <w:rFonts w:eastAsia="Times New Roman" w:cstheme="minorHAnsi"/>
          <w:szCs w:val="20"/>
        </w:rPr>
      </w:pPr>
      <w:r w:rsidRPr="00CB5633">
        <w:rPr>
          <w:rFonts w:eastAsia="Times New Roman" w:cstheme="minorHAnsi"/>
          <w:szCs w:val="20"/>
        </w:rPr>
        <w:t>Presidential directives establishing emergency planning and response policies and structures have directly affected states’ emergency preparedness and response activities. Federal agency emergency response and assistance to state, local, and tribal governments is organized according to the strategies and policies identified through various national strategies, frameworks, and protocols. States, localities, and tribes have been incentivized to use specific strategies and structures, like NIMS, through federal emergency preparedness grants.</w:t>
      </w:r>
    </w:p>
    <w:p w14:paraId="00A01FDA" w14:textId="77777777" w:rsidR="005E0299" w:rsidRPr="00CB5633" w:rsidRDefault="005E0299" w:rsidP="004C19B5">
      <w:pPr>
        <w:shd w:val="clear" w:color="auto" w:fill="FFFFFF"/>
        <w:spacing w:line="480" w:lineRule="auto"/>
        <w:textAlignment w:val="baseline"/>
        <w:rPr>
          <w:rFonts w:eastAsia="Times New Roman" w:cstheme="minorHAnsi"/>
          <w:szCs w:val="20"/>
        </w:rPr>
      </w:pPr>
      <w:r w:rsidRPr="00CB5633">
        <w:rPr>
          <w:rFonts w:eastAsia="Times New Roman" w:cstheme="minorHAnsi"/>
          <w:szCs w:val="20"/>
        </w:rPr>
        <w:t> </w:t>
      </w:r>
    </w:p>
    <w:p w14:paraId="19F29649" w14:textId="77777777" w:rsidR="005E0299" w:rsidRPr="00CB5633" w:rsidRDefault="005E0299" w:rsidP="004C19B5">
      <w:pPr>
        <w:spacing w:after="120" w:line="480" w:lineRule="auto"/>
        <w:rPr>
          <w:rFonts w:eastAsia="Times New Roman" w:cstheme="minorHAnsi"/>
          <w:b/>
          <w:bCs/>
          <w:color w:val="3C3030"/>
          <w:sz w:val="24"/>
          <w:szCs w:val="24"/>
        </w:rPr>
      </w:pPr>
      <w:r w:rsidRPr="00CB5633">
        <w:rPr>
          <w:rFonts w:eastAsia="Times New Roman" w:cstheme="minorHAnsi"/>
          <w:b/>
          <w:bCs/>
          <w:color w:val="3C3030"/>
          <w:sz w:val="24"/>
          <w:szCs w:val="24"/>
        </w:rPr>
        <w:t>Practice Notes</w:t>
      </w:r>
    </w:p>
    <w:p w14:paraId="0A7C28D2" w14:textId="77777777" w:rsidR="005E0299" w:rsidRPr="00CD666E" w:rsidRDefault="005E0299" w:rsidP="00224AC9">
      <w:pPr>
        <w:pStyle w:val="ListParagraph"/>
        <w:numPr>
          <w:ilvl w:val="0"/>
          <w:numId w:val="17"/>
        </w:numPr>
        <w:spacing w:after="120" w:line="480" w:lineRule="auto"/>
        <w:contextualSpacing w:val="0"/>
        <w:textAlignment w:val="baseline"/>
        <w:rPr>
          <w:rFonts w:eastAsia="Times New Roman" w:cstheme="minorHAnsi"/>
          <w:szCs w:val="20"/>
        </w:rPr>
      </w:pPr>
      <w:r w:rsidRPr="00CD666E">
        <w:rPr>
          <w:rFonts w:eastAsia="Times New Roman" w:cstheme="minorHAnsi"/>
          <w:szCs w:val="20"/>
        </w:rPr>
        <w:t>Identify and understand how agencies/offices in your state interact with and implement their roles and responsibilities under the NRF and other national strategies.</w:t>
      </w:r>
    </w:p>
    <w:p w14:paraId="5836A50A" w14:textId="77777777" w:rsidR="005E0299" w:rsidRPr="00CD666E" w:rsidRDefault="005E0299" w:rsidP="00224AC9">
      <w:pPr>
        <w:pStyle w:val="ListParagraph"/>
        <w:numPr>
          <w:ilvl w:val="0"/>
          <w:numId w:val="17"/>
        </w:numPr>
        <w:spacing w:after="120" w:line="480" w:lineRule="auto"/>
        <w:contextualSpacing w:val="0"/>
        <w:textAlignment w:val="baseline"/>
        <w:rPr>
          <w:rFonts w:eastAsia="Times New Roman" w:cstheme="minorHAnsi"/>
          <w:szCs w:val="20"/>
        </w:rPr>
      </w:pPr>
      <w:r w:rsidRPr="00CD666E">
        <w:rPr>
          <w:rFonts w:eastAsia="Times New Roman" w:cstheme="minorHAnsi"/>
          <w:szCs w:val="20"/>
        </w:rPr>
        <w:t>Understand how complementary state laws, regulations, and programs relate to federal planning and response strategies and frameworks.</w:t>
      </w:r>
    </w:p>
    <w:p w14:paraId="4366614A" w14:textId="77777777" w:rsidR="005E0299" w:rsidRPr="00CD666E" w:rsidRDefault="005E0299" w:rsidP="004C19B5">
      <w:pPr>
        <w:spacing w:line="480" w:lineRule="auto"/>
        <w:textAlignment w:val="baseline"/>
        <w:rPr>
          <w:rFonts w:eastAsia="Times New Roman" w:cstheme="minorHAnsi"/>
          <w:szCs w:val="20"/>
        </w:rPr>
      </w:pPr>
    </w:p>
    <w:p w14:paraId="49AF1E36" w14:textId="77777777" w:rsidR="005E0299" w:rsidRPr="00CD666E" w:rsidRDefault="005E0299" w:rsidP="004C19B5">
      <w:pPr>
        <w:spacing w:line="480" w:lineRule="auto"/>
        <w:textAlignment w:val="baseline"/>
        <w:rPr>
          <w:rFonts w:eastAsia="Times New Roman" w:cstheme="minorHAnsi"/>
          <w:szCs w:val="20"/>
        </w:rPr>
      </w:pPr>
      <w:r w:rsidRPr="00CD666E">
        <w:rPr>
          <w:rFonts w:eastAsia="Times New Roman" w:cstheme="minorHAnsi"/>
          <w:szCs w:val="20"/>
        </w:rPr>
        <w:t>_______________________________________________________________________</w:t>
      </w:r>
    </w:p>
    <w:p w14:paraId="5E26DEA6" w14:textId="77777777" w:rsidR="005E0299" w:rsidRPr="00CB5633" w:rsidRDefault="005E0299" w:rsidP="004C19B5">
      <w:pPr>
        <w:spacing w:line="480" w:lineRule="auto"/>
        <w:textAlignment w:val="baseline"/>
        <w:rPr>
          <w:rFonts w:eastAsia="Times New Roman" w:cstheme="minorHAnsi"/>
          <w:szCs w:val="20"/>
        </w:rPr>
      </w:pPr>
    </w:p>
    <w:p w14:paraId="143868C3" w14:textId="77777777" w:rsidR="005E0299" w:rsidRPr="00CB5633" w:rsidRDefault="005E0299" w:rsidP="004C19B5">
      <w:pPr>
        <w:spacing w:line="480" w:lineRule="auto"/>
        <w:rPr>
          <w:rFonts w:eastAsia="Times New Roman" w:cstheme="minorHAnsi"/>
          <w:b/>
          <w:bCs/>
          <w:color w:val="3C3030"/>
          <w:sz w:val="24"/>
          <w:szCs w:val="24"/>
        </w:rPr>
      </w:pPr>
      <w:r w:rsidRPr="00CB5633">
        <w:rPr>
          <w:rFonts w:eastAsia="Times New Roman" w:cstheme="minorHAnsi"/>
          <w:b/>
          <w:bCs/>
          <w:color w:val="3C3030"/>
          <w:sz w:val="24"/>
          <w:szCs w:val="24"/>
        </w:rPr>
        <w:t>Sources</w:t>
      </w:r>
    </w:p>
    <w:p w14:paraId="5317CE3D" w14:textId="77777777" w:rsidR="005E0299" w:rsidRPr="00CB5633" w:rsidRDefault="005E0299" w:rsidP="00224AC9">
      <w:pPr>
        <w:numPr>
          <w:ilvl w:val="0"/>
          <w:numId w:val="14"/>
        </w:numPr>
        <w:spacing w:line="480" w:lineRule="auto"/>
        <w:ind w:left="450"/>
        <w:textAlignment w:val="baseline"/>
        <w:rPr>
          <w:rFonts w:eastAsia="Times New Roman" w:cstheme="minorHAnsi"/>
          <w:szCs w:val="20"/>
        </w:rPr>
      </w:pPr>
      <w:r w:rsidRPr="00CB5633">
        <w:rPr>
          <w:rFonts w:eastAsia="Times New Roman" w:cstheme="minorHAnsi"/>
          <w:szCs w:val="20"/>
        </w:rPr>
        <w:t>Relyea HC. Congressional Research Service. </w:t>
      </w:r>
      <w:r w:rsidRPr="00CB5633">
        <w:rPr>
          <w:rFonts w:eastAsia="Times New Roman" w:cstheme="minorHAnsi"/>
          <w:i/>
          <w:iCs/>
          <w:szCs w:val="20"/>
          <w:bdr w:val="none" w:sz="0" w:space="0" w:color="auto" w:frame="1"/>
        </w:rPr>
        <w:t>Presidential Directives: Background and Overview </w:t>
      </w:r>
      <w:r w:rsidRPr="00CB5633">
        <w:rPr>
          <w:rFonts w:eastAsia="Times New Roman" w:cstheme="minorHAnsi"/>
          <w:szCs w:val="20"/>
        </w:rPr>
        <w:t>(98-611). November 26, 2008.</w:t>
      </w:r>
    </w:p>
    <w:p w14:paraId="534FEC5A" w14:textId="77777777" w:rsidR="005E0299" w:rsidRPr="00CB5633" w:rsidRDefault="005E0299" w:rsidP="00224AC9">
      <w:pPr>
        <w:numPr>
          <w:ilvl w:val="0"/>
          <w:numId w:val="14"/>
        </w:numPr>
        <w:spacing w:line="480" w:lineRule="auto"/>
        <w:ind w:left="450"/>
        <w:textAlignment w:val="baseline"/>
        <w:rPr>
          <w:rFonts w:eastAsia="Times New Roman" w:cstheme="minorHAnsi"/>
          <w:szCs w:val="20"/>
        </w:rPr>
      </w:pPr>
      <w:r w:rsidRPr="00CB5633">
        <w:rPr>
          <w:rFonts w:eastAsia="Times New Roman" w:cstheme="minorHAnsi"/>
          <w:szCs w:val="20"/>
        </w:rPr>
        <w:t>U.S. Presidential Executive Order 13228. “Establishing the Office of Homeland Security and the Homeland Security Council.” October 8, 2001.</w:t>
      </w:r>
    </w:p>
    <w:p w14:paraId="3C2B0BA4" w14:textId="77777777" w:rsidR="005E0299" w:rsidRPr="00CB5633" w:rsidRDefault="005E0299" w:rsidP="00224AC9">
      <w:pPr>
        <w:numPr>
          <w:ilvl w:val="0"/>
          <w:numId w:val="14"/>
        </w:numPr>
        <w:spacing w:line="480" w:lineRule="auto"/>
        <w:ind w:left="450"/>
        <w:textAlignment w:val="baseline"/>
        <w:rPr>
          <w:rFonts w:eastAsia="Times New Roman" w:cstheme="minorHAnsi"/>
          <w:szCs w:val="20"/>
        </w:rPr>
      </w:pPr>
      <w:r w:rsidRPr="00CB5633">
        <w:rPr>
          <w:rFonts w:eastAsia="Times New Roman" w:cstheme="minorHAnsi"/>
          <w:szCs w:val="20"/>
        </w:rPr>
        <w:t>Department of Homeland Security. </w:t>
      </w:r>
      <w:r w:rsidRPr="00CB5633">
        <w:rPr>
          <w:rFonts w:eastAsia="Times New Roman" w:cstheme="minorHAnsi"/>
          <w:i/>
          <w:iCs/>
          <w:szCs w:val="20"/>
          <w:bdr w:val="none" w:sz="0" w:space="0" w:color="auto" w:frame="1"/>
        </w:rPr>
        <w:t>Homeland Security Presidential Directive 5: Management of Domestic Incidents</w:t>
      </w:r>
      <w:r w:rsidRPr="00CB5633">
        <w:rPr>
          <w:rFonts w:eastAsia="Times New Roman" w:cstheme="minorHAnsi"/>
          <w:szCs w:val="20"/>
        </w:rPr>
        <w:t>. February 28, 2003.</w:t>
      </w:r>
    </w:p>
    <w:p w14:paraId="5A6A6F57" w14:textId="77777777" w:rsidR="005E0299" w:rsidRPr="00CB5633" w:rsidRDefault="005E0299" w:rsidP="00224AC9">
      <w:pPr>
        <w:numPr>
          <w:ilvl w:val="0"/>
          <w:numId w:val="14"/>
        </w:numPr>
        <w:spacing w:line="480" w:lineRule="auto"/>
        <w:ind w:left="450"/>
        <w:textAlignment w:val="baseline"/>
        <w:rPr>
          <w:rFonts w:eastAsia="Times New Roman" w:cstheme="minorHAnsi"/>
          <w:szCs w:val="20"/>
        </w:rPr>
      </w:pPr>
      <w:r w:rsidRPr="00CB5633">
        <w:rPr>
          <w:rFonts w:eastAsia="Times New Roman" w:cstheme="minorHAnsi"/>
          <w:szCs w:val="20"/>
        </w:rPr>
        <w:lastRenderedPageBreak/>
        <w:t>Centers for Disease Control and Prevention, Public Health Law Program. “Selected Federal Legal Authorities Pertinent to Public Health Emergencies.” September 2009.</w:t>
      </w:r>
    </w:p>
    <w:p w14:paraId="403E3180" w14:textId="77777777" w:rsidR="005E0299" w:rsidRPr="00CB5633" w:rsidRDefault="005E0299" w:rsidP="00224AC9">
      <w:pPr>
        <w:numPr>
          <w:ilvl w:val="0"/>
          <w:numId w:val="14"/>
        </w:numPr>
        <w:spacing w:line="480" w:lineRule="auto"/>
        <w:ind w:left="450"/>
        <w:textAlignment w:val="baseline"/>
        <w:rPr>
          <w:rFonts w:eastAsia="Times New Roman" w:cstheme="minorHAnsi"/>
          <w:szCs w:val="20"/>
        </w:rPr>
      </w:pPr>
      <w:r w:rsidRPr="00CB5633">
        <w:rPr>
          <w:rFonts w:eastAsia="Times New Roman" w:cstheme="minorHAnsi"/>
          <w:szCs w:val="20"/>
        </w:rPr>
        <w:t>Department of Homeland Security.</w:t>
      </w:r>
      <w:r w:rsidRPr="00CB5633">
        <w:rPr>
          <w:rFonts w:eastAsia="Times New Roman" w:cstheme="minorHAnsi"/>
          <w:i/>
          <w:iCs/>
          <w:szCs w:val="20"/>
          <w:bdr w:val="none" w:sz="0" w:space="0" w:color="auto" w:frame="1"/>
        </w:rPr>
        <w:t> Presidential Policy Directive/PPD-8: National Preparedness</w:t>
      </w:r>
      <w:r w:rsidRPr="00CB5633">
        <w:rPr>
          <w:rFonts w:eastAsia="Times New Roman" w:cstheme="minorHAnsi"/>
          <w:szCs w:val="20"/>
        </w:rPr>
        <w:t>. March 30, 2011.</w:t>
      </w:r>
    </w:p>
    <w:p w14:paraId="2CFDCD9F" w14:textId="77777777" w:rsidR="005E0299" w:rsidRPr="00CB5633" w:rsidRDefault="005E0299" w:rsidP="00224AC9">
      <w:pPr>
        <w:numPr>
          <w:ilvl w:val="0"/>
          <w:numId w:val="14"/>
        </w:numPr>
        <w:spacing w:line="480" w:lineRule="auto"/>
        <w:ind w:left="450"/>
        <w:textAlignment w:val="baseline"/>
        <w:rPr>
          <w:rFonts w:eastAsia="Times New Roman" w:cstheme="minorHAnsi"/>
          <w:szCs w:val="20"/>
        </w:rPr>
      </w:pPr>
      <w:r w:rsidRPr="00CB5633">
        <w:rPr>
          <w:rFonts w:eastAsia="Times New Roman" w:cstheme="minorHAnsi"/>
          <w:szCs w:val="20"/>
        </w:rPr>
        <w:t>Department of Homeland Security. </w:t>
      </w:r>
      <w:r w:rsidRPr="00CB5633">
        <w:rPr>
          <w:rFonts w:eastAsia="Times New Roman" w:cstheme="minorHAnsi"/>
          <w:i/>
          <w:iCs/>
          <w:szCs w:val="20"/>
          <w:bdr w:val="none" w:sz="0" w:space="0" w:color="auto" w:frame="1"/>
        </w:rPr>
        <w:t>Homeland Security Presidential Directive 21: Public Health and Medical Preparedness</w:t>
      </w:r>
      <w:r w:rsidRPr="00CB5633">
        <w:rPr>
          <w:rFonts w:eastAsia="Times New Roman" w:cstheme="minorHAnsi"/>
          <w:szCs w:val="20"/>
        </w:rPr>
        <w:t>. October 18, 2007.</w:t>
      </w:r>
    </w:p>
    <w:p w14:paraId="1FC6299A" w14:textId="77777777" w:rsidR="005E0299" w:rsidRPr="00CB5633" w:rsidRDefault="005E0299" w:rsidP="00224AC9">
      <w:pPr>
        <w:numPr>
          <w:ilvl w:val="0"/>
          <w:numId w:val="14"/>
        </w:numPr>
        <w:spacing w:line="480" w:lineRule="auto"/>
        <w:ind w:left="450"/>
        <w:textAlignment w:val="baseline"/>
        <w:rPr>
          <w:rFonts w:eastAsia="Times New Roman" w:cstheme="minorHAnsi"/>
          <w:szCs w:val="20"/>
        </w:rPr>
      </w:pPr>
      <w:r w:rsidRPr="00CB5633">
        <w:rPr>
          <w:rFonts w:eastAsia="Times New Roman" w:cstheme="minorHAnsi"/>
          <w:szCs w:val="20"/>
        </w:rPr>
        <w:t>Department of Homeland Security. </w:t>
      </w:r>
      <w:r w:rsidRPr="00CB5633">
        <w:rPr>
          <w:rFonts w:eastAsia="Times New Roman" w:cstheme="minorHAnsi"/>
          <w:i/>
          <w:iCs/>
          <w:szCs w:val="20"/>
          <w:bdr w:val="none" w:sz="0" w:space="0" w:color="auto" w:frame="1"/>
        </w:rPr>
        <w:t>National Response Framework</w:t>
      </w:r>
      <w:r w:rsidRPr="00CB5633">
        <w:rPr>
          <w:rFonts w:eastAsia="Times New Roman" w:cstheme="minorHAnsi"/>
          <w:szCs w:val="20"/>
        </w:rPr>
        <w:t>. January 2008. 2nd. Edition May 2013</w:t>
      </w:r>
    </w:p>
    <w:p w14:paraId="1036AE73" w14:textId="77777777" w:rsidR="005E0299" w:rsidRPr="00CB5633" w:rsidRDefault="005E0299" w:rsidP="00224AC9">
      <w:pPr>
        <w:numPr>
          <w:ilvl w:val="0"/>
          <w:numId w:val="14"/>
        </w:numPr>
        <w:spacing w:line="480" w:lineRule="auto"/>
        <w:ind w:left="450"/>
        <w:textAlignment w:val="baseline"/>
        <w:rPr>
          <w:rFonts w:eastAsia="Times New Roman" w:cstheme="minorHAnsi"/>
          <w:szCs w:val="20"/>
        </w:rPr>
      </w:pPr>
      <w:r w:rsidRPr="00CB5633">
        <w:rPr>
          <w:rFonts w:eastAsia="Times New Roman" w:cstheme="minorHAnsi"/>
          <w:szCs w:val="20"/>
        </w:rPr>
        <w:t>Federal Emergency Management Agency. </w:t>
      </w:r>
      <w:r w:rsidRPr="00CB5633">
        <w:rPr>
          <w:rFonts w:eastAsia="Times New Roman" w:cstheme="minorHAnsi"/>
          <w:i/>
          <w:iCs/>
          <w:szCs w:val="20"/>
          <w:bdr w:val="none" w:sz="0" w:space="0" w:color="auto" w:frame="1"/>
        </w:rPr>
        <w:t>Emergency Support Function #8 – Public Health and Medical Services Annex</w:t>
      </w:r>
      <w:r w:rsidRPr="00CB5633">
        <w:rPr>
          <w:rFonts w:eastAsia="Times New Roman" w:cstheme="minorHAnsi"/>
          <w:szCs w:val="20"/>
        </w:rPr>
        <w:t>. May 2013.</w:t>
      </w:r>
    </w:p>
    <w:p w14:paraId="1CCF196B" w14:textId="77777777" w:rsidR="005E0299" w:rsidRPr="00CB5633" w:rsidRDefault="005E0299" w:rsidP="00224AC9">
      <w:pPr>
        <w:numPr>
          <w:ilvl w:val="0"/>
          <w:numId w:val="14"/>
        </w:numPr>
        <w:spacing w:line="480" w:lineRule="auto"/>
        <w:ind w:left="450"/>
        <w:textAlignment w:val="baseline"/>
        <w:rPr>
          <w:rFonts w:eastAsia="Times New Roman" w:cstheme="minorHAnsi"/>
          <w:szCs w:val="20"/>
        </w:rPr>
      </w:pPr>
      <w:r w:rsidRPr="00CB5633">
        <w:rPr>
          <w:rFonts w:eastAsia="Times New Roman" w:cstheme="minorHAnsi"/>
          <w:szCs w:val="20"/>
        </w:rPr>
        <w:t>Federal Emergency Management Agency. </w:t>
      </w:r>
      <w:r w:rsidRPr="00CB5633">
        <w:rPr>
          <w:rFonts w:eastAsia="Times New Roman" w:cstheme="minorHAnsi"/>
          <w:i/>
          <w:iCs/>
          <w:szCs w:val="20"/>
          <w:bdr w:val="none" w:sz="0" w:space="0" w:color="auto" w:frame="1"/>
        </w:rPr>
        <w:t>Emergency Support Function #6 – Mass Care, Emergency Assistance, Temporary Housing, and Human Services</w:t>
      </w:r>
      <w:r w:rsidRPr="00CB5633">
        <w:rPr>
          <w:rFonts w:eastAsia="Times New Roman" w:cstheme="minorHAnsi"/>
          <w:szCs w:val="20"/>
        </w:rPr>
        <w:t>. May 2013.</w:t>
      </w:r>
    </w:p>
    <w:p w14:paraId="500ED4B8" w14:textId="77777777" w:rsidR="005E0299" w:rsidRPr="00CB5633" w:rsidRDefault="005E0299" w:rsidP="00224AC9">
      <w:pPr>
        <w:numPr>
          <w:ilvl w:val="0"/>
          <w:numId w:val="14"/>
        </w:numPr>
        <w:spacing w:line="480" w:lineRule="auto"/>
        <w:ind w:left="450"/>
        <w:textAlignment w:val="baseline"/>
        <w:rPr>
          <w:rFonts w:eastAsia="Times New Roman" w:cstheme="minorHAnsi"/>
          <w:szCs w:val="20"/>
        </w:rPr>
      </w:pPr>
      <w:r w:rsidRPr="00CB5633">
        <w:rPr>
          <w:rFonts w:eastAsia="Times New Roman" w:cstheme="minorHAnsi"/>
          <w:szCs w:val="20"/>
        </w:rPr>
        <w:t>Department of Homeland Security. </w:t>
      </w:r>
      <w:r w:rsidRPr="00CB5633">
        <w:rPr>
          <w:rFonts w:eastAsia="Times New Roman" w:cstheme="minorHAnsi"/>
          <w:i/>
          <w:iCs/>
          <w:szCs w:val="20"/>
          <w:bdr w:val="none" w:sz="0" w:space="0" w:color="auto" w:frame="1"/>
        </w:rPr>
        <w:t>National Incident Management System</w:t>
      </w:r>
      <w:r w:rsidRPr="00CB5633">
        <w:rPr>
          <w:rFonts w:eastAsia="Times New Roman" w:cstheme="minorHAnsi"/>
          <w:szCs w:val="20"/>
        </w:rPr>
        <w:t>. December 2008.</w:t>
      </w:r>
    </w:p>
    <w:p w14:paraId="64036F2F" w14:textId="7D842464" w:rsidR="005E0299" w:rsidRDefault="005E0299" w:rsidP="004C19B5">
      <w:pPr>
        <w:spacing w:line="480" w:lineRule="auto"/>
        <w:rPr>
          <w:rFonts w:cstheme="minorHAnsi"/>
          <w:sz w:val="24"/>
        </w:rPr>
      </w:pPr>
    </w:p>
    <w:p w14:paraId="14DC8E27" w14:textId="77777777" w:rsidR="009E1462" w:rsidRDefault="009E1462" w:rsidP="009E1462">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TO</w:t>
        </w:r>
        <w:r w:rsidRPr="00B16B87">
          <w:rPr>
            <w:rStyle w:val="Hyperlink"/>
            <w:rFonts w:ascii="Calibri" w:hAnsi="Calibri" w:cs="Calibri"/>
            <w:sz w:val="24"/>
          </w:rPr>
          <w:t>C</w:t>
        </w:r>
        <w:r w:rsidRPr="00B16B87">
          <w:rPr>
            <w:rStyle w:val="Hyperlink"/>
            <w:rFonts w:ascii="Calibri" w:hAnsi="Calibri" w:cs="Calibri"/>
            <w:sz w:val="24"/>
          </w:rPr>
          <w:t xml:space="preserve"> top</w:t>
        </w:r>
      </w:hyperlink>
      <w:r>
        <w:rPr>
          <w:rFonts w:ascii="Calibri" w:hAnsi="Calibri" w:cs="Calibri"/>
          <w:sz w:val="24"/>
        </w:rPr>
        <w:t>]</w:t>
      </w:r>
    </w:p>
    <w:p w14:paraId="51751CBE" w14:textId="77777777" w:rsidR="009E1462" w:rsidRDefault="009E1462" w:rsidP="004C19B5">
      <w:pPr>
        <w:spacing w:line="480" w:lineRule="auto"/>
        <w:rPr>
          <w:rFonts w:cstheme="minorHAnsi"/>
          <w:sz w:val="24"/>
        </w:rPr>
      </w:pPr>
    </w:p>
    <w:p w14:paraId="1316D20E" w14:textId="6D8510DD" w:rsidR="009E1462" w:rsidRDefault="009E1462">
      <w:pPr>
        <w:rPr>
          <w:rFonts w:cstheme="minorHAnsi"/>
          <w:sz w:val="24"/>
        </w:rPr>
      </w:pPr>
      <w:r>
        <w:rPr>
          <w:rFonts w:cstheme="minorHAnsi"/>
          <w:sz w:val="24"/>
        </w:rPr>
        <w:br w:type="page"/>
      </w:r>
    </w:p>
    <w:p w14:paraId="5517B701" w14:textId="77777777" w:rsidR="005E0299" w:rsidRPr="006B7441" w:rsidRDefault="005E0299" w:rsidP="004C19B5">
      <w:pPr>
        <w:spacing w:line="480" w:lineRule="auto"/>
        <w:rPr>
          <w:rFonts w:eastAsia="Times New Roman" w:cstheme="minorHAnsi"/>
          <w:b/>
          <w:bCs/>
          <w:color w:val="333333"/>
          <w:spacing w:val="15"/>
          <w:kern w:val="36"/>
          <w:sz w:val="28"/>
          <w:szCs w:val="28"/>
        </w:rPr>
      </w:pPr>
      <w:bookmarkStart w:id="7" w:name="ImmunityIssues_FS"/>
      <w:r w:rsidRPr="006B7441">
        <w:rPr>
          <w:rFonts w:eastAsia="Times New Roman" w:cstheme="minorHAnsi"/>
          <w:b/>
          <w:bCs/>
          <w:color w:val="333333"/>
          <w:spacing w:val="15"/>
          <w:kern w:val="36"/>
          <w:sz w:val="28"/>
          <w:szCs w:val="28"/>
        </w:rPr>
        <w:lastRenderedPageBreak/>
        <w:t>Immunity Issues in Emergencies</w:t>
      </w:r>
    </w:p>
    <w:bookmarkEnd w:id="7"/>
    <w:p w14:paraId="09D483D3" w14:textId="77777777" w:rsidR="005E0299" w:rsidRPr="006B7441" w:rsidRDefault="005E0299" w:rsidP="004C19B5">
      <w:pPr>
        <w:spacing w:line="480" w:lineRule="auto"/>
        <w:rPr>
          <w:rFonts w:eastAsia="Times New Roman" w:cstheme="minorHAnsi"/>
          <w:b/>
          <w:bCs/>
          <w:color w:val="3C3030"/>
          <w:sz w:val="24"/>
          <w:szCs w:val="24"/>
        </w:rPr>
      </w:pPr>
      <w:r w:rsidRPr="006B7441">
        <w:rPr>
          <w:rFonts w:eastAsia="Times New Roman" w:cstheme="minorHAnsi"/>
          <w:b/>
          <w:bCs/>
          <w:color w:val="3C3030"/>
          <w:sz w:val="24"/>
          <w:szCs w:val="24"/>
        </w:rPr>
        <w:t>Fact Sheet</w:t>
      </w:r>
    </w:p>
    <w:p w14:paraId="38D1DCB1" w14:textId="77777777" w:rsidR="005E0299" w:rsidRPr="006B7441" w:rsidRDefault="005E0299" w:rsidP="004C19B5">
      <w:pPr>
        <w:shd w:val="clear" w:color="auto" w:fill="FFFFFF"/>
        <w:spacing w:line="480" w:lineRule="auto"/>
        <w:textAlignment w:val="baseline"/>
        <w:rPr>
          <w:rFonts w:eastAsia="Times New Roman" w:cstheme="minorHAnsi"/>
          <w:color w:val="737373"/>
          <w:sz w:val="20"/>
          <w:szCs w:val="20"/>
        </w:rPr>
      </w:pPr>
    </w:p>
    <w:p w14:paraId="660C3E20" w14:textId="77777777" w:rsidR="005E0299" w:rsidRPr="006B7441" w:rsidRDefault="005E0299" w:rsidP="004C19B5">
      <w:pPr>
        <w:spacing w:line="480" w:lineRule="auto"/>
        <w:rPr>
          <w:rFonts w:eastAsia="Times New Roman" w:cstheme="minorHAnsi"/>
          <w:b/>
          <w:bCs/>
          <w:color w:val="3C3030"/>
          <w:sz w:val="24"/>
          <w:szCs w:val="24"/>
        </w:rPr>
      </w:pPr>
      <w:r w:rsidRPr="006B7441">
        <w:rPr>
          <w:rFonts w:eastAsia="Times New Roman" w:cstheme="minorHAnsi"/>
          <w:b/>
          <w:bCs/>
          <w:color w:val="3C3030"/>
          <w:sz w:val="24"/>
          <w:szCs w:val="24"/>
        </w:rPr>
        <w:t>Overview</w:t>
      </w:r>
    </w:p>
    <w:p w14:paraId="7EB84AEE" w14:textId="77777777" w:rsidR="005E0299" w:rsidRPr="0062424A" w:rsidRDefault="005E0299" w:rsidP="004C19B5">
      <w:pPr>
        <w:shd w:val="clear" w:color="auto" w:fill="FFFFFF"/>
        <w:spacing w:line="480" w:lineRule="auto"/>
        <w:textAlignment w:val="baseline"/>
        <w:rPr>
          <w:rFonts w:eastAsia="Times New Roman" w:cstheme="minorHAnsi"/>
          <w:szCs w:val="20"/>
        </w:rPr>
      </w:pPr>
      <w:r w:rsidRPr="006B7441">
        <w:rPr>
          <w:rFonts w:eastAsia="Times New Roman" w:cstheme="minorHAnsi"/>
          <w:szCs w:val="20"/>
        </w:rPr>
        <w:t>New and existing federal and state legal protections against liability address the concerns of volunteers and others involved in emergency response situations. These protections also serve an important public policy function: They ensure that there are adequate numbers of medical, public health, and other individuals and institutions who are willing and able to participate in response efforts. These various laws form a patchwork of liability protections. These protections, however, can be highly dependent on the nature of the services provided by the person (volunteer vs. paid employee) and the extent of protections provided under the program the person is participating in.</w:t>
      </w:r>
    </w:p>
    <w:p w14:paraId="7F1F8F95" w14:textId="77777777" w:rsidR="005E0299" w:rsidRPr="006B7441" w:rsidRDefault="005E0299" w:rsidP="004C19B5">
      <w:pPr>
        <w:shd w:val="clear" w:color="auto" w:fill="FFFFFF"/>
        <w:spacing w:line="480" w:lineRule="auto"/>
        <w:textAlignment w:val="baseline"/>
        <w:rPr>
          <w:rFonts w:eastAsia="Times New Roman" w:cstheme="minorHAnsi"/>
          <w:szCs w:val="20"/>
        </w:rPr>
      </w:pPr>
    </w:p>
    <w:p w14:paraId="78D44288" w14:textId="77777777" w:rsidR="005E0299" w:rsidRPr="006B7441" w:rsidRDefault="005E0299" w:rsidP="004C19B5">
      <w:pPr>
        <w:spacing w:line="480" w:lineRule="auto"/>
        <w:rPr>
          <w:rFonts w:eastAsia="Times New Roman" w:cstheme="minorHAnsi"/>
          <w:b/>
          <w:bCs/>
          <w:color w:val="3C3030"/>
          <w:sz w:val="24"/>
          <w:szCs w:val="24"/>
        </w:rPr>
      </w:pPr>
      <w:r w:rsidRPr="006B7441">
        <w:rPr>
          <w:rFonts w:eastAsia="Times New Roman" w:cstheme="minorHAnsi"/>
          <w:b/>
          <w:bCs/>
          <w:color w:val="3C3030"/>
          <w:sz w:val="24"/>
          <w:szCs w:val="24"/>
        </w:rPr>
        <w:t>Liability Protections and Immunities</w:t>
      </w:r>
    </w:p>
    <w:p w14:paraId="020961E8" w14:textId="77777777" w:rsidR="005E0299" w:rsidRPr="0062424A" w:rsidRDefault="005E0299" w:rsidP="004C19B5">
      <w:pPr>
        <w:shd w:val="clear" w:color="auto" w:fill="FFFFFF"/>
        <w:spacing w:line="480" w:lineRule="auto"/>
        <w:textAlignment w:val="baseline"/>
        <w:rPr>
          <w:rFonts w:eastAsia="Times New Roman" w:cstheme="minorHAnsi"/>
          <w:szCs w:val="20"/>
        </w:rPr>
      </w:pPr>
      <w:r w:rsidRPr="006B7441">
        <w:rPr>
          <w:rFonts w:eastAsia="Times New Roman" w:cstheme="minorHAnsi"/>
          <w:szCs w:val="20"/>
        </w:rPr>
        <w:t>There are significant sources of liability protection available at the state and federal levels. Many of the protections described below were newly developed or refined within the last decade. Others are fundamental principles of governmental immunity that continue to evolve as our understanding of modern emergencies likewise evolves. What has emerged is a mosaic of protections that can provide varying degrees of coverage; the extent to which liability protections are available to an individual, entity, or class will depend on the actor, the law providing the protections, and the circumstances surrounding a particular emergency response. </w:t>
      </w:r>
    </w:p>
    <w:p w14:paraId="3CFDB68E" w14:textId="77777777" w:rsidR="005E0299" w:rsidRPr="006B7441" w:rsidRDefault="005E0299" w:rsidP="004C19B5">
      <w:pPr>
        <w:shd w:val="clear" w:color="auto" w:fill="FFFFFF"/>
        <w:spacing w:line="480" w:lineRule="auto"/>
        <w:textAlignment w:val="baseline"/>
        <w:rPr>
          <w:rFonts w:eastAsia="Times New Roman" w:cstheme="minorHAnsi"/>
          <w:szCs w:val="20"/>
        </w:rPr>
      </w:pPr>
    </w:p>
    <w:p w14:paraId="6C51450B" w14:textId="77777777" w:rsidR="005E0299" w:rsidRPr="0062424A" w:rsidRDefault="005E0299" w:rsidP="004C19B5">
      <w:pPr>
        <w:keepNext/>
        <w:keepLines/>
        <w:spacing w:line="480" w:lineRule="auto"/>
        <w:rPr>
          <w:rFonts w:eastAsia="Times New Roman" w:cstheme="minorHAnsi"/>
          <w:b/>
          <w:bCs/>
          <w:szCs w:val="20"/>
        </w:rPr>
      </w:pPr>
      <w:r w:rsidRPr="006B7441">
        <w:rPr>
          <w:rFonts w:eastAsia="Times New Roman" w:cstheme="minorHAnsi"/>
          <w:b/>
          <w:bCs/>
          <w:szCs w:val="20"/>
        </w:rPr>
        <w:t>Federal Liability Protections and Immunities</w:t>
      </w:r>
    </w:p>
    <w:p w14:paraId="04D2B794" w14:textId="77777777" w:rsidR="005E0299" w:rsidRPr="0062424A" w:rsidRDefault="005E0299" w:rsidP="00224AC9">
      <w:pPr>
        <w:pStyle w:val="ListParagraph"/>
        <w:numPr>
          <w:ilvl w:val="0"/>
          <w:numId w:val="18"/>
        </w:numPr>
        <w:spacing w:line="480" w:lineRule="auto"/>
        <w:ind w:left="360"/>
        <w:contextualSpacing w:val="0"/>
        <w:textAlignment w:val="baseline"/>
        <w:rPr>
          <w:rFonts w:eastAsia="Times New Roman" w:cstheme="minorHAnsi"/>
          <w:szCs w:val="20"/>
        </w:rPr>
      </w:pPr>
      <w:r w:rsidRPr="0062424A">
        <w:rPr>
          <w:rFonts w:eastAsia="Times New Roman" w:cstheme="minorHAnsi"/>
          <w:b/>
          <w:bCs/>
          <w:szCs w:val="20"/>
          <w:bdr w:val="none" w:sz="0" w:space="0" w:color="auto" w:frame="1"/>
        </w:rPr>
        <w:t>Federal Governmental/Sovereign Immunity—</w:t>
      </w:r>
      <w:r w:rsidRPr="0062424A">
        <w:rPr>
          <w:rFonts w:eastAsia="Times New Roman" w:cstheme="minorHAnsi"/>
          <w:szCs w:val="20"/>
        </w:rPr>
        <w:t xml:space="preserve">The federal government’s sovereign immunity has its roots in English common law, which holds that the “king”—the state—cannot commit an illegal act </w:t>
      </w:r>
      <w:r w:rsidRPr="0062424A">
        <w:rPr>
          <w:rFonts w:eastAsia="Times New Roman" w:cstheme="minorHAnsi"/>
          <w:szCs w:val="20"/>
        </w:rPr>
        <w:lastRenderedPageBreak/>
        <w:t>and therefore cannot be sued. This doctrine has been modified through court decisions and the passage of the </w:t>
      </w:r>
      <w:hyperlink r:id="rId36" w:anchor="Federal-Tort-Claims-Act-(FTCA)" w:history="1">
        <w:r w:rsidRPr="0062424A">
          <w:rPr>
            <w:rFonts w:eastAsia="Times New Roman" w:cstheme="minorHAnsi"/>
            <w:color w:val="0F88B8"/>
            <w:szCs w:val="20"/>
            <w:bdr w:val="none" w:sz="0" w:space="0" w:color="auto" w:frame="1"/>
          </w:rPr>
          <w:t>Federal Tort Claims Act</w:t>
        </w:r>
      </w:hyperlink>
      <w:r w:rsidRPr="0062424A">
        <w:rPr>
          <w:rFonts w:eastAsia="Times New Roman" w:cstheme="minorHAnsi"/>
          <w:color w:val="737373"/>
          <w:szCs w:val="20"/>
        </w:rPr>
        <w:t> </w:t>
      </w:r>
      <w:r w:rsidRPr="0062424A">
        <w:rPr>
          <w:rFonts w:eastAsia="Times New Roman" w:cstheme="minorHAnsi"/>
          <w:szCs w:val="20"/>
        </w:rPr>
        <w:t>to allow suits against federal government employees and agents in certain circumstances. In the context of emergency response, one way to protect volunteers is to designate them as unpaid employees of the federal government. In doing this, the volunteers would be able to assert the liability protections afforded to federal employees.</w:t>
      </w:r>
    </w:p>
    <w:p w14:paraId="22D9508E" w14:textId="77777777" w:rsidR="005E0299" w:rsidRPr="006B7441" w:rsidRDefault="005E0299" w:rsidP="004C19B5">
      <w:pPr>
        <w:spacing w:line="480" w:lineRule="auto"/>
        <w:textAlignment w:val="baseline"/>
        <w:rPr>
          <w:rFonts w:eastAsia="Times New Roman" w:cstheme="minorHAnsi"/>
          <w:szCs w:val="20"/>
        </w:rPr>
      </w:pPr>
    </w:p>
    <w:p w14:paraId="05F41C60" w14:textId="77777777" w:rsidR="005E0299" w:rsidRPr="0062424A" w:rsidRDefault="005E0299" w:rsidP="00224AC9">
      <w:pPr>
        <w:pStyle w:val="ListParagraph"/>
        <w:numPr>
          <w:ilvl w:val="0"/>
          <w:numId w:val="18"/>
        </w:numPr>
        <w:spacing w:line="480" w:lineRule="auto"/>
        <w:ind w:left="360"/>
        <w:contextualSpacing w:val="0"/>
        <w:textAlignment w:val="baseline"/>
        <w:rPr>
          <w:rFonts w:eastAsia="Times New Roman" w:cstheme="minorHAnsi"/>
          <w:szCs w:val="20"/>
        </w:rPr>
      </w:pPr>
      <w:r w:rsidRPr="0062424A">
        <w:rPr>
          <w:rFonts w:eastAsia="Times New Roman" w:cstheme="minorHAnsi"/>
          <w:b/>
          <w:bCs/>
          <w:szCs w:val="20"/>
          <w:bdr w:val="none" w:sz="0" w:space="0" w:color="auto" w:frame="1"/>
        </w:rPr>
        <w:t>Volunteer Protection Act (VPA)—</w:t>
      </w:r>
      <w:r w:rsidRPr="0062424A">
        <w:rPr>
          <w:rFonts w:eastAsia="Times New Roman" w:cstheme="minorHAnsi"/>
          <w:szCs w:val="20"/>
        </w:rPr>
        <w:t>The </w:t>
      </w:r>
      <w:hyperlink r:id="rId37" w:anchor="Volunteer-Protection-Act" w:history="1">
        <w:r w:rsidRPr="0062424A">
          <w:rPr>
            <w:rFonts w:eastAsia="Times New Roman" w:cstheme="minorHAnsi"/>
            <w:color w:val="0F88B8"/>
            <w:szCs w:val="20"/>
            <w:bdr w:val="none" w:sz="0" w:space="0" w:color="auto" w:frame="1"/>
          </w:rPr>
          <w:t>VPA</w:t>
        </w:r>
      </w:hyperlink>
      <w:r w:rsidRPr="0062424A">
        <w:rPr>
          <w:rFonts w:eastAsia="Times New Roman" w:cstheme="minorHAnsi"/>
          <w:color w:val="737373"/>
          <w:szCs w:val="20"/>
        </w:rPr>
        <w:t> </w:t>
      </w:r>
      <w:r w:rsidRPr="0062424A">
        <w:rPr>
          <w:rFonts w:eastAsia="Times New Roman" w:cstheme="minorHAnsi"/>
          <w:szCs w:val="20"/>
        </w:rPr>
        <w:t>provides immunity for ordinary negligence to volunteers of nonprofit organizations or governmental entities; it does not cover recklessness or gross negligence. The act does not require that an emergency declaration be in place for its protections to apply. VPA does not protect volunteers working in businesses (including for-profit hospitals) and organizational entities of any type (including nonprofit or governmental) that use volunteers. The act does not prohibit a nonprofit or governmental entity from suing its own volunteers.</w:t>
      </w:r>
    </w:p>
    <w:p w14:paraId="00F1389D" w14:textId="77777777" w:rsidR="005E0299" w:rsidRPr="0062424A" w:rsidRDefault="005E0299" w:rsidP="004C19B5">
      <w:pPr>
        <w:pStyle w:val="ListParagraph"/>
        <w:spacing w:line="480" w:lineRule="auto"/>
        <w:ind w:left="360"/>
        <w:contextualSpacing w:val="0"/>
        <w:rPr>
          <w:rFonts w:eastAsia="Times New Roman" w:cstheme="minorHAnsi"/>
          <w:szCs w:val="20"/>
        </w:rPr>
      </w:pPr>
    </w:p>
    <w:p w14:paraId="4115992E" w14:textId="77777777" w:rsidR="005E0299" w:rsidRPr="0062424A" w:rsidRDefault="005E0299" w:rsidP="00224AC9">
      <w:pPr>
        <w:pStyle w:val="ListParagraph"/>
        <w:numPr>
          <w:ilvl w:val="0"/>
          <w:numId w:val="18"/>
        </w:numPr>
        <w:spacing w:line="480" w:lineRule="auto"/>
        <w:ind w:left="360"/>
        <w:contextualSpacing w:val="0"/>
        <w:textAlignment w:val="baseline"/>
        <w:rPr>
          <w:rFonts w:eastAsia="Times New Roman" w:cstheme="minorHAnsi"/>
          <w:szCs w:val="20"/>
        </w:rPr>
      </w:pPr>
      <w:r w:rsidRPr="0062424A">
        <w:rPr>
          <w:rFonts w:eastAsia="Times New Roman" w:cstheme="minorHAnsi"/>
          <w:b/>
          <w:bCs/>
          <w:szCs w:val="20"/>
          <w:bdr w:val="none" w:sz="0" w:space="0" w:color="auto" w:frame="1"/>
        </w:rPr>
        <w:t>Public Readiness and Emergency Preparedness Act (PREP Act)—</w:t>
      </w:r>
      <w:r w:rsidRPr="0062424A">
        <w:rPr>
          <w:rFonts w:eastAsia="Times New Roman" w:cstheme="minorHAnsi"/>
          <w:szCs w:val="20"/>
        </w:rPr>
        <w:t>The</w:t>
      </w:r>
      <w:r w:rsidRPr="0062424A">
        <w:rPr>
          <w:rFonts w:eastAsia="Times New Roman" w:cstheme="minorHAnsi"/>
          <w:color w:val="737373"/>
          <w:szCs w:val="20"/>
        </w:rPr>
        <w:t> </w:t>
      </w:r>
      <w:hyperlink r:id="rId38" w:anchor="Public-Readiness-and-Emergency-Preparedness-Act" w:history="1">
        <w:r w:rsidRPr="0062424A">
          <w:rPr>
            <w:rFonts w:eastAsia="Times New Roman" w:cstheme="minorHAnsi"/>
            <w:color w:val="0F88B8"/>
            <w:szCs w:val="20"/>
            <w:bdr w:val="none" w:sz="0" w:space="0" w:color="auto" w:frame="1"/>
          </w:rPr>
          <w:t>PREP Act</w:t>
        </w:r>
      </w:hyperlink>
      <w:r w:rsidRPr="0062424A">
        <w:rPr>
          <w:rFonts w:eastAsia="Times New Roman" w:cstheme="minorHAnsi"/>
          <w:color w:val="737373"/>
          <w:szCs w:val="20"/>
        </w:rPr>
        <w:t> </w:t>
      </w:r>
      <w:r w:rsidRPr="0062424A">
        <w:rPr>
          <w:rFonts w:eastAsia="Times New Roman" w:cstheme="minorHAnsi"/>
          <w:szCs w:val="20"/>
        </w:rPr>
        <w:t xml:space="preserve">authorizes the HHS secretary to issue a declaration that provides immunity from tort liability for claims of loss caused by countermeasures (e.g., vaccines, drugs, products) against diseases or other threats of public health emergencies. A separate emergency determination under Public Health Service Act Section 319 or another statute is not required for PREP Act immunities to take </w:t>
      </w:r>
      <w:proofErr w:type="spellStart"/>
      <w:r w:rsidRPr="0062424A">
        <w:rPr>
          <w:rFonts w:eastAsia="Times New Roman" w:cstheme="minorHAnsi"/>
          <w:szCs w:val="20"/>
        </w:rPr>
        <w:t>affect</w:t>
      </w:r>
      <w:proofErr w:type="spellEnd"/>
      <w:r w:rsidRPr="0062424A">
        <w:rPr>
          <w:rFonts w:eastAsia="Times New Roman" w:cstheme="minorHAnsi"/>
          <w:szCs w:val="20"/>
        </w:rPr>
        <w:t>. The act covers individual persons and entities involved in the manufacture, testing, distribution, administration, and use of covered countermeasures. The act does not protect against willful misconduct, violations of the Americans with Disabilities Act (ADA), or other civil rights violations.</w:t>
      </w:r>
    </w:p>
    <w:p w14:paraId="74A251C0" w14:textId="77777777" w:rsidR="005E0299" w:rsidRPr="0062424A" w:rsidRDefault="005E0299" w:rsidP="004C19B5">
      <w:pPr>
        <w:spacing w:line="480" w:lineRule="auto"/>
        <w:rPr>
          <w:rFonts w:eastAsia="Times New Roman" w:cstheme="minorHAnsi"/>
          <w:b/>
          <w:bCs/>
          <w:szCs w:val="20"/>
        </w:rPr>
      </w:pPr>
    </w:p>
    <w:p w14:paraId="12272877" w14:textId="77777777" w:rsidR="005E0299" w:rsidRPr="0062424A" w:rsidRDefault="005E0299" w:rsidP="004C19B5">
      <w:pPr>
        <w:keepNext/>
        <w:spacing w:line="480" w:lineRule="auto"/>
        <w:rPr>
          <w:rFonts w:eastAsia="Times New Roman" w:cstheme="minorHAnsi"/>
          <w:b/>
          <w:bCs/>
          <w:szCs w:val="20"/>
        </w:rPr>
      </w:pPr>
      <w:r w:rsidRPr="006B7441">
        <w:rPr>
          <w:rFonts w:eastAsia="Times New Roman" w:cstheme="minorHAnsi"/>
          <w:b/>
          <w:bCs/>
          <w:szCs w:val="20"/>
        </w:rPr>
        <w:lastRenderedPageBreak/>
        <w:t>State Liability Protections and Immunities</w:t>
      </w:r>
    </w:p>
    <w:p w14:paraId="03481E7F" w14:textId="77777777" w:rsidR="005E0299" w:rsidRPr="0062424A" w:rsidRDefault="005E0299" w:rsidP="00224AC9">
      <w:pPr>
        <w:pStyle w:val="ListParagraph"/>
        <w:numPr>
          <w:ilvl w:val="0"/>
          <w:numId w:val="19"/>
        </w:numPr>
        <w:spacing w:line="480" w:lineRule="auto"/>
        <w:ind w:left="360"/>
        <w:contextualSpacing w:val="0"/>
        <w:textAlignment w:val="baseline"/>
        <w:rPr>
          <w:rFonts w:eastAsia="Times New Roman" w:cstheme="minorHAnsi"/>
          <w:szCs w:val="20"/>
        </w:rPr>
      </w:pPr>
      <w:r w:rsidRPr="0062424A">
        <w:rPr>
          <w:rFonts w:eastAsia="Times New Roman" w:cstheme="minorHAnsi"/>
          <w:b/>
          <w:bCs/>
          <w:szCs w:val="20"/>
          <w:bdr w:val="none" w:sz="0" w:space="0" w:color="auto" w:frame="1"/>
        </w:rPr>
        <w:t>State Governmental/Sovereign Immunity—</w:t>
      </w:r>
      <w:r w:rsidRPr="0062424A">
        <w:rPr>
          <w:rFonts w:eastAsia="Times New Roman" w:cstheme="minorHAnsi"/>
          <w:szCs w:val="20"/>
        </w:rPr>
        <w:t>State governments are immune from lawsuits under sovereign immunity conferred by the 11th Amendment of the U.S. Constitution. Like the federal government, some states have waived this immunity in certain circumstances through state tort claims or state claims acts. These acts generally immunize government employees from tort liability for acts or omissions committed within their scope of employment. Some states cap the amount of money damages available from a judgment against the state and prohibit the recovery of punitive damages against the state. Some states extend these protections to volunteers; other states declare volunteers to be unpaid state employees during an emergency.</w:t>
      </w:r>
    </w:p>
    <w:p w14:paraId="00C6A9A2" w14:textId="77777777" w:rsidR="005E0299" w:rsidRPr="006B7441" w:rsidRDefault="005E0299" w:rsidP="004C19B5">
      <w:pPr>
        <w:spacing w:line="480" w:lineRule="auto"/>
        <w:textAlignment w:val="baseline"/>
        <w:rPr>
          <w:rFonts w:eastAsia="Times New Roman" w:cstheme="minorHAnsi"/>
          <w:szCs w:val="20"/>
        </w:rPr>
      </w:pPr>
    </w:p>
    <w:p w14:paraId="606667DF" w14:textId="77777777" w:rsidR="005E0299" w:rsidRPr="0062424A" w:rsidRDefault="005E0299" w:rsidP="00224AC9">
      <w:pPr>
        <w:pStyle w:val="ListParagraph"/>
        <w:numPr>
          <w:ilvl w:val="0"/>
          <w:numId w:val="19"/>
        </w:numPr>
        <w:spacing w:line="480" w:lineRule="auto"/>
        <w:ind w:left="360"/>
        <w:contextualSpacing w:val="0"/>
        <w:textAlignment w:val="baseline"/>
        <w:rPr>
          <w:rFonts w:eastAsia="Times New Roman" w:cstheme="minorHAnsi"/>
          <w:szCs w:val="20"/>
        </w:rPr>
      </w:pPr>
      <w:r w:rsidRPr="0062424A">
        <w:rPr>
          <w:rFonts w:eastAsia="Times New Roman" w:cstheme="minorHAnsi"/>
          <w:b/>
          <w:bCs/>
          <w:szCs w:val="20"/>
          <w:bdr w:val="none" w:sz="0" w:space="0" w:color="auto" w:frame="1"/>
        </w:rPr>
        <w:t>Emergency Powers Statutes—</w:t>
      </w:r>
      <w:r w:rsidRPr="0062424A">
        <w:rPr>
          <w:rFonts w:eastAsia="Times New Roman" w:cstheme="minorHAnsi"/>
          <w:szCs w:val="20"/>
        </w:rPr>
        <w:t>State emergency laws can trigger additional powers, suspend certain administrative requirements, and provide or enhance liability protections to specified responders upon a gubernatorial declaration of emergency. There is a wide range of types and degree of coverage provided to volunteers under emergency powers statutes. The provisions can be broad or duplicative of other provisions in state law.</w:t>
      </w:r>
    </w:p>
    <w:p w14:paraId="53ABB371" w14:textId="77777777" w:rsidR="005E0299" w:rsidRPr="006B7441" w:rsidRDefault="005E0299" w:rsidP="004C19B5">
      <w:pPr>
        <w:spacing w:line="480" w:lineRule="auto"/>
        <w:textAlignment w:val="baseline"/>
        <w:rPr>
          <w:rFonts w:eastAsia="Times New Roman" w:cstheme="minorHAnsi"/>
          <w:szCs w:val="20"/>
        </w:rPr>
      </w:pPr>
    </w:p>
    <w:p w14:paraId="7D0FD030" w14:textId="77777777" w:rsidR="005E0299" w:rsidRPr="0062424A" w:rsidRDefault="005E0299" w:rsidP="00224AC9">
      <w:pPr>
        <w:pStyle w:val="ListParagraph"/>
        <w:numPr>
          <w:ilvl w:val="0"/>
          <w:numId w:val="19"/>
        </w:numPr>
        <w:spacing w:line="480" w:lineRule="auto"/>
        <w:ind w:left="360"/>
        <w:contextualSpacing w:val="0"/>
        <w:textAlignment w:val="baseline"/>
        <w:rPr>
          <w:rFonts w:eastAsia="Times New Roman" w:cstheme="minorHAnsi"/>
          <w:szCs w:val="20"/>
        </w:rPr>
      </w:pPr>
      <w:r w:rsidRPr="0062424A">
        <w:rPr>
          <w:rFonts w:eastAsia="Times New Roman" w:cstheme="minorHAnsi"/>
          <w:b/>
          <w:bCs/>
          <w:szCs w:val="20"/>
          <w:bdr w:val="none" w:sz="0" w:space="0" w:color="auto" w:frame="1"/>
        </w:rPr>
        <w:t>State General Volunteer Protection Statutes—</w:t>
      </w:r>
      <w:r w:rsidRPr="0062424A">
        <w:rPr>
          <w:rFonts w:eastAsia="Times New Roman" w:cstheme="minorHAnsi"/>
          <w:szCs w:val="20"/>
        </w:rPr>
        <w:t>All states have some statutory protections for volunteers. The federal VPA (see above) preempts state laws that are less protective than the VPA, but allows states to pass laws with greater protections. Generally, like the VPA, these statutes do not require that an emergency declaration be in place, apply to uncompensated individual volunteers for nonprofit and governmental entities only, and apply only to individual persons and not to organizations.</w:t>
      </w:r>
    </w:p>
    <w:p w14:paraId="62B2AEFB" w14:textId="77777777" w:rsidR="005E0299" w:rsidRPr="006B7441" w:rsidRDefault="005E0299" w:rsidP="004C19B5">
      <w:pPr>
        <w:spacing w:line="480" w:lineRule="auto"/>
        <w:textAlignment w:val="baseline"/>
        <w:rPr>
          <w:rFonts w:eastAsia="Times New Roman" w:cstheme="minorHAnsi"/>
          <w:szCs w:val="20"/>
        </w:rPr>
      </w:pPr>
    </w:p>
    <w:p w14:paraId="7BEFC299" w14:textId="77777777" w:rsidR="005E0299" w:rsidRPr="0062424A" w:rsidRDefault="005E0299" w:rsidP="00224AC9">
      <w:pPr>
        <w:pStyle w:val="ListParagraph"/>
        <w:numPr>
          <w:ilvl w:val="0"/>
          <w:numId w:val="19"/>
        </w:numPr>
        <w:spacing w:line="480" w:lineRule="auto"/>
        <w:ind w:left="360"/>
        <w:contextualSpacing w:val="0"/>
        <w:textAlignment w:val="baseline"/>
        <w:rPr>
          <w:rFonts w:eastAsia="Times New Roman" w:cstheme="minorHAnsi"/>
          <w:szCs w:val="20"/>
        </w:rPr>
      </w:pPr>
      <w:r w:rsidRPr="0062424A">
        <w:rPr>
          <w:rFonts w:eastAsia="Times New Roman" w:cstheme="minorHAnsi"/>
          <w:b/>
          <w:bCs/>
          <w:szCs w:val="20"/>
          <w:bdr w:val="none" w:sz="0" w:space="0" w:color="auto" w:frame="1"/>
        </w:rPr>
        <w:lastRenderedPageBreak/>
        <w:t>State Healthcare Volunteer Protection Statutes—</w:t>
      </w:r>
      <w:r w:rsidRPr="0062424A">
        <w:rPr>
          <w:rFonts w:eastAsia="Times New Roman" w:cstheme="minorHAnsi"/>
          <w:szCs w:val="20"/>
        </w:rPr>
        <w:t>Many states have also adopted specific liability protections for volunteer health professionals (VHPs) in addition to or to supplement their emergency powers and general volunteer protection statutes. Like the VPA, VHP protection statutes confer immunity from civil liability provided that certain conditions are met and are not dependent on the existence of an emergency declaration. Some states have adopted the </w:t>
      </w:r>
      <w:hyperlink r:id="rId39" w:anchor="Uniform-Emergency-Volunteer-Health-Practitioners-Act" w:history="1">
        <w:r w:rsidRPr="0062424A">
          <w:rPr>
            <w:rFonts w:eastAsia="Times New Roman" w:cstheme="minorHAnsi"/>
            <w:color w:val="0F88B8"/>
            <w:szCs w:val="20"/>
            <w:bdr w:val="none" w:sz="0" w:space="0" w:color="auto" w:frame="1"/>
          </w:rPr>
          <w:t>Uniform Emergency Volunteer Health Practitioners Act (UEVHPA)</w:t>
        </w:r>
      </w:hyperlink>
      <w:r w:rsidRPr="0062424A">
        <w:rPr>
          <w:rFonts w:eastAsia="Times New Roman" w:cstheme="minorHAnsi"/>
          <w:szCs w:val="20"/>
        </w:rPr>
        <w:t>, which is a uniform model law conceived as a way to further supplement the number of VHPs who can rapidly respond to emergency events, particularly since traditional mutual aid approaches were viewed as insufficient to rapidly deploy VHPs. UEVHPA permits health professionals to register either in advance of or during an emergency to provide volunteer services in an enacting state through a governmentally established registration system (e.g., </w:t>
      </w:r>
      <w:hyperlink r:id="rId40" w:anchor="Emergency-System" w:history="1">
        <w:r w:rsidRPr="0062424A">
          <w:rPr>
            <w:rFonts w:eastAsia="Times New Roman" w:cstheme="minorHAnsi"/>
            <w:color w:val="0F88B8"/>
            <w:szCs w:val="20"/>
            <w:bdr w:val="none" w:sz="0" w:space="0" w:color="auto" w:frame="1"/>
          </w:rPr>
          <w:t>ESAR-VHP</w:t>
        </w:r>
      </w:hyperlink>
      <w:r w:rsidRPr="0062424A">
        <w:rPr>
          <w:rFonts w:eastAsia="Times New Roman" w:cstheme="minorHAnsi"/>
          <w:color w:val="737373"/>
          <w:szCs w:val="20"/>
        </w:rPr>
        <w:t> </w:t>
      </w:r>
      <w:r w:rsidRPr="0062424A">
        <w:rPr>
          <w:rFonts w:eastAsia="Times New Roman" w:cstheme="minorHAnsi"/>
          <w:szCs w:val="20"/>
        </w:rPr>
        <w:t>or</w:t>
      </w:r>
      <w:r w:rsidRPr="0062424A">
        <w:rPr>
          <w:rFonts w:eastAsia="Times New Roman" w:cstheme="minorHAnsi"/>
          <w:color w:val="737373"/>
          <w:szCs w:val="20"/>
        </w:rPr>
        <w:t> </w:t>
      </w:r>
      <w:hyperlink r:id="rId41" w:anchor="Medical-Reserve-Corps-(MRC)" w:history="1">
        <w:r w:rsidRPr="0062424A">
          <w:rPr>
            <w:rFonts w:eastAsia="Times New Roman" w:cstheme="minorHAnsi"/>
            <w:color w:val="0F88B8"/>
            <w:szCs w:val="20"/>
            <w:bdr w:val="none" w:sz="0" w:space="0" w:color="auto" w:frame="1"/>
          </w:rPr>
          <w:t>Medical Reserve Corps</w:t>
        </w:r>
      </w:hyperlink>
      <w:r w:rsidRPr="0062424A">
        <w:rPr>
          <w:rFonts w:eastAsia="Times New Roman" w:cstheme="minorHAnsi"/>
          <w:szCs w:val="20"/>
        </w:rPr>
        <w:t>),</w:t>
      </w:r>
      <w:r w:rsidRPr="0062424A">
        <w:rPr>
          <w:rFonts w:eastAsia="Times New Roman" w:cstheme="minorHAnsi"/>
          <w:color w:val="737373"/>
          <w:szCs w:val="20"/>
        </w:rPr>
        <w:t xml:space="preserve"> </w:t>
      </w:r>
      <w:r w:rsidRPr="0062424A">
        <w:rPr>
          <w:rFonts w:eastAsia="Times New Roman" w:cstheme="minorHAnsi"/>
          <w:szCs w:val="20"/>
        </w:rPr>
        <w:t>with registration systems established by disaster relief organizations or licensing boards, or national or multi-state systems established by associations of licensing boards or health professionals. UEVHPA liability protections become effective upon the state emergency declaration.</w:t>
      </w:r>
    </w:p>
    <w:p w14:paraId="38096B9B" w14:textId="77777777" w:rsidR="005E0299" w:rsidRPr="006B7441" w:rsidRDefault="005E0299" w:rsidP="004C19B5">
      <w:pPr>
        <w:spacing w:line="480" w:lineRule="auto"/>
        <w:textAlignment w:val="baseline"/>
        <w:rPr>
          <w:rFonts w:eastAsia="Times New Roman" w:cstheme="minorHAnsi"/>
          <w:szCs w:val="20"/>
        </w:rPr>
      </w:pPr>
    </w:p>
    <w:p w14:paraId="5C71F53F" w14:textId="77777777" w:rsidR="005E0299" w:rsidRPr="0062424A" w:rsidRDefault="005E0299" w:rsidP="00224AC9">
      <w:pPr>
        <w:pStyle w:val="ListParagraph"/>
        <w:numPr>
          <w:ilvl w:val="0"/>
          <w:numId w:val="19"/>
        </w:numPr>
        <w:spacing w:line="480" w:lineRule="auto"/>
        <w:ind w:left="360"/>
        <w:contextualSpacing w:val="0"/>
        <w:textAlignment w:val="baseline"/>
        <w:rPr>
          <w:rFonts w:eastAsia="Times New Roman" w:cstheme="minorHAnsi"/>
          <w:szCs w:val="20"/>
        </w:rPr>
      </w:pPr>
      <w:r w:rsidRPr="0062424A">
        <w:rPr>
          <w:rFonts w:eastAsia="Times New Roman" w:cstheme="minorHAnsi"/>
          <w:b/>
          <w:bCs/>
          <w:szCs w:val="20"/>
          <w:bdr w:val="none" w:sz="0" w:space="0" w:color="auto" w:frame="1"/>
        </w:rPr>
        <w:t>Good Samaritan Laws—</w:t>
      </w:r>
      <w:r w:rsidRPr="0062424A">
        <w:rPr>
          <w:rFonts w:eastAsia="Times New Roman" w:cstheme="minorHAnsi"/>
          <w:szCs w:val="20"/>
        </w:rPr>
        <w:t>Good Samaritan laws can provide liability protection to volunteers who are near an emergency event and respond to help victims. No formal emergency declaration or activation of the volunteer as part of an emergency response force is required for Good Samaritan liability protections to attach. Every state has a Good Samaritan statute, but the actors eligible for coverage and qualifying circumstances under which care is delivered varies. Generally, Good Samaritan statutes cover the spontaneous delivery of aid and reduce the standard of care that would normally be required of the person supplying aid (e.g., a doctor or nurse helping a victim at the scene of an accident) to account for the exigent circumstances in which the care is being delivered.</w:t>
      </w:r>
    </w:p>
    <w:p w14:paraId="1ADA46DC" w14:textId="77777777" w:rsidR="005E0299" w:rsidRPr="006B7441" w:rsidRDefault="005E0299" w:rsidP="004C19B5">
      <w:pPr>
        <w:spacing w:line="480" w:lineRule="auto"/>
        <w:textAlignment w:val="baseline"/>
        <w:rPr>
          <w:rFonts w:eastAsia="Times New Roman" w:cstheme="minorHAnsi"/>
          <w:szCs w:val="20"/>
        </w:rPr>
      </w:pPr>
    </w:p>
    <w:p w14:paraId="42DD18A6" w14:textId="77777777" w:rsidR="005E0299" w:rsidRPr="0062424A" w:rsidRDefault="005E0299" w:rsidP="00224AC9">
      <w:pPr>
        <w:pStyle w:val="ListParagraph"/>
        <w:numPr>
          <w:ilvl w:val="0"/>
          <w:numId w:val="19"/>
        </w:numPr>
        <w:spacing w:line="480" w:lineRule="auto"/>
        <w:ind w:left="360"/>
        <w:contextualSpacing w:val="0"/>
        <w:textAlignment w:val="baseline"/>
        <w:rPr>
          <w:rFonts w:eastAsia="Times New Roman" w:cstheme="minorHAnsi"/>
          <w:szCs w:val="20"/>
        </w:rPr>
      </w:pPr>
      <w:r w:rsidRPr="0062424A">
        <w:rPr>
          <w:rFonts w:eastAsia="Times New Roman" w:cstheme="minorHAnsi"/>
          <w:b/>
          <w:bCs/>
          <w:szCs w:val="20"/>
          <w:bdr w:val="none" w:sz="0" w:space="0" w:color="auto" w:frame="1"/>
        </w:rPr>
        <w:t>Entity Liability Statutes—</w:t>
      </w:r>
      <w:r w:rsidRPr="0062424A">
        <w:rPr>
          <w:rFonts w:eastAsia="Times New Roman" w:cstheme="minorHAnsi"/>
          <w:szCs w:val="20"/>
        </w:rPr>
        <w:t>While liability protections for organizations and entities are generally less robust than they are for individuals, some protections exist and more have been developed in recent years in acknowledgment of the important role that businesses and nonprofit organizations play during emergencies. Removing the potential for liability for entities that assist in an emergency response is seen as a way to ensure their participation in a response and therefore make planning for and responding to an event more efficient. Some states have adopted entity liability protections that extend liability protections to cover business and nonprofit entities acting in good faith during a declared emergency.</w:t>
      </w:r>
    </w:p>
    <w:p w14:paraId="37077105" w14:textId="77777777" w:rsidR="005E0299" w:rsidRPr="006B7441" w:rsidRDefault="005E0299" w:rsidP="004C19B5">
      <w:pPr>
        <w:spacing w:line="480" w:lineRule="auto"/>
        <w:textAlignment w:val="baseline"/>
        <w:rPr>
          <w:rFonts w:eastAsia="Times New Roman" w:cstheme="minorHAnsi"/>
          <w:szCs w:val="20"/>
        </w:rPr>
      </w:pPr>
    </w:p>
    <w:p w14:paraId="3387A90E" w14:textId="77777777" w:rsidR="005E0299" w:rsidRPr="0062424A" w:rsidRDefault="005E0299" w:rsidP="00224AC9">
      <w:pPr>
        <w:pStyle w:val="ListParagraph"/>
        <w:numPr>
          <w:ilvl w:val="0"/>
          <w:numId w:val="19"/>
        </w:numPr>
        <w:spacing w:line="480" w:lineRule="auto"/>
        <w:ind w:left="360"/>
        <w:contextualSpacing w:val="0"/>
        <w:textAlignment w:val="baseline"/>
        <w:rPr>
          <w:rFonts w:eastAsia="Times New Roman" w:cstheme="minorHAnsi"/>
          <w:szCs w:val="20"/>
        </w:rPr>
      </w:pPr>
      <w:r w:rsidRPr="0062424A">
        <w:rPr>
          <w:rFonts w:eastAsia="Times New Roman" w:cstheme="minorHAnsi"/>
          <w:b/>
          <w:bCs/>
          <w:szCs w:val="20"/>
          <w:bdr w:val="none" w:sz="0" w:space="0" w:color="auto" w:frame="1"/>
        </w:rPr>
        <w:t>Mutual Aid Agreements—</w:t>
      </w:r>
      <w:r w:rsidRPr="0062424A">
        <w:rPr>
          <w:rFonts w:eastAsia="Times New Roman" w:cstheme="minorHAnsi"/>
          <w:szCs w:val="20"/>
        </w:rPr>
        <w:t>Mutual aid agreements are mechanisms through which jurisdictions can provide assistance to other jurisdictions during emergencies. These agreements also generally include provisions for reimbursing expenses, providing liability protections to governmental personnel and volunteers who provide aid, and awarding compensation for injuries to personnel deployed under the agreement. The </w:t>
      </w:r>
      <w:hyperlink r:id="rId42" w:anchor="Emergency-Management" w:history="1">
        <w:r w:rsidRPr="0062424A">
          <w:rPr>
            <w:rFonts w:eastAsia="Times New Roman" w:cstheme="minorHAnsi"/>
            <w:color w:val="0F88B8"/>
            <w:szCs w:val="20"/>
            <w:bdr w:val="none" w:sz="0" w:space="0" w:color="auto" w:frame="1"/>
          </w:rPr>
          <w:t>Emergency Management Assistance Compact (EMAC)</w:t>
        </w:r>
      </w:hyperlink>
      <w:r w:rsidRPr="0062424A">
        <w:rPr>
          <w:rFonts w:eastAsia="Times New Roman" w:cstheme="minorHAnsi"/>
          <w:color w:val="737373"/>
          <w:szCs w:val="20"/>
        </w:rPr>
        <w:t> </w:t>
      </w:r>
      <w:r w:rsidRPr="0062424A">
        <w:rPr>
          <w:rFonts w:eastAsia="Times New Roman" w:cstheme="minorHAnsi"/>
          <w:szCs w:val="20"/>
        </w:rPr>
        <w:t>is the most widely adopted mutual aid agreement in the United States and provides an organized structure through which a state can request aid from other states during an emergency. EMAC addresses reimbursement, liability, compensation, and licensure, among other issues. EMAC only applies to those persons properly dispatched in response to an EMAC request; immunity protections, compensation, and license reciprocity will not automatically extend to volunteers who provide services outside of EMAC. Volunteers would have to be made temporary government employees to be covered under EMAC.</w:t>
      </w:r>
    </w:p>
    <w:p w14:paraId="766D4890" w14:textId="77777777" w:rsidR="005E0299" w:rsidRDefault="005E0299" w:rsidP="004C19B5">
      <w:pPr>
        <w:spacing w:line="480" w:lineRule="auto"/>
        <w:textAlignment w:val="baseline"/>
        <w:rPr>
          <w:rFonts w:eastAsia="Times New Roman" w:cstheme="minorHAnsi"/>
          <w:b/>
          <w:bCs/>
          <w:szCs w:val="20"/>
          <w:bdr w:val="none" w:sz="0" w:space="0" w:color="auto" w:frame="1"/>
        </w:rPr>
      </w:pPr>
    </w:p>
    <w:p w14:paraId="5985AB48" w14:textId="77777777" w:rsidR="005E0299" w:rsidRDefault="005E0299" w:rsidP="004C19B5">
      <w:pPr>
        <w:spacing w:line="480" w:lineRule="auto"/>
        <w:textAlignment w:val="baseline"/>
        <w:rPr>
          <w:rFonts w:eastAsia="Times New Roman" w:cstheme="minorHAnsi"/>
          <w:b/>
          <w:bCs/>
          <w:szCs w:val="20"/>
          <w:bdr w:val="none" w:sz="0" w:space="0" w:color="auto" w:frame="1"/>
        </w:rPr>
      </w:pPr>
      <w:r>
        <w:rPr>
          <w:rFonts w:eastAsia="Times New Roman" w:cstheme="minorHAnsi"/>
          <w:b/>
          <w:bCs/>
          <w:szCs w:val="20"/>
          <w:bdr w:val="none" w:sz="0" w:space="0" w:color="auto" w:frame="1"/>
        </w:rPr>
        <w:t>____________________________________________________________________</w:t>
      </w:r>
    </w:p>
    <w:p w14:paraId="7808C371" w14:textId="77777777" w:rsidR="005E0299" w:rsidRPr="006B7441" w:rsidRDefault="005E0299" w:rsidP="004C19B5">
      <w:pPr>
        <w:spacing w:line="480" w:lineRule="auto"/>
        <w:textAlignment w:val="baseline"/>
        <w:rPr>
          <w:rFonts w:eastAsia="Times New Roman" w:cstheme="minorHAnsi"/>
          <w:szCs w:val="20"/>
        </w:rPr>
      </w:pPr>
    </w:p>
    <w:p w14:paraId="033EC189" w14:textId="77777777" w:rsidR="005E0299" w:rsidRPr="006B7441" w:rsidRDefault="005E0299" w:rsidP="004C19B5">
      <w:pPr>
        <w:spacing w:line="480" w:lineRule="auto"/>
        <w:rPr>
          <w:rFonts w:eastAsia="Times New Roman" w:cstheme="minorHAnsi"/>
          <w:b/>
          <w:bCs/>
          <w:color w:val="3C3030"/>
          <w:sz w:val="24"/>
          <w:szCs w:val="24"/>
        </w:rPr>
      </w:pPr>
      <w:r w:rsidRPr="006B7441">
        <w:rPr>
          <w:rFonts w:eastAsia="Times New Roman" w:cstheme="minorHAnsi"/>
          <w:b/>
          <w:bCs/>
          <w:color w:val="3C3030"/>
          <w:sz w:val="24"/>
          <w:szCs w:val="24"/>
        </w:rPr>
        <w:t>Sources</w:t>
      </w:r>
    </w:p>
    <w:p w14:paraId="1993656F" w14:textId="77777777" w:rsidR="005E0299" w:rsidRPr="00C25A12" w:rsidRDefault="005E0299" w:rsidP="00224AC9">
      <w:pPr>
        <w:pStyle w:val="ListParagraph"/>
        <w:numPr>
          <w:ilvl w:val="0"/>
          <w:numId w:val="20"/>
        </w:numPr>
        <w:spacing w:line="480" w:lineRule="auto"/>
        <w:contextualSpacing w:val="0"/>
        <w:textAlignment w:val="baseline"/>
        <w:rPr>
          <w:rFonts w:eastAsia="Times New Roman" w:cstheme="minorHAnsi"/>
          <w:szCs w:val="20"/>
        </w:rPr>
      </w:pPr>
      <w:r w:rsidRPr="00C25A12">
        <w:rPr>
          <w:rFonts w:eastAsia="Times New Roman" w:cstheme="minorHAnsi"/>
          <w:szCs w:val="20"/>
        </w:rPr>
        <w:t>Chu V. Congressional Research Service. </w:t>
      </w:r>
      <w:r w:rsidRPr="00C25A12">
        <w:rPr>
          <w:rFonts w:eastAsia="Times New Roman" w:cstheme="minorHAnsi"/>
          <w:i/>
          <w:iCs/>
          <w:szCs w:val="20"/>
          <w:bdr w:val="none" w:sz="0" w:space="0" w:color="auto" w:frame="1"/>
        </w:rPr>
        <w:t>Emergency Response: Civil Liability of Volunteer Health Professionals </w:t>
      </w:r>
      <w:r w:rsidRPr="00C25A12">
        <w:rPr>
          <w:rFonts w:eastAsia="Times New Roman" w:cstheme="minorHAnsi"/>
          <w:szCs w:val="20"/>
        </w:rPr>
        <w:t>(R40176). January 19, 2011.</w:t>
      </w:r>
    </w:p>
    <w:p w14:paraId="46A723CD" w14:textId="77777777" w:rsidR="005E0299" w:rsidRPr="00C25A12" w:rsidRDefault="005E0299" w:rsidP="00224AC9">
      <w:pPr>
        <w:pStyle w:val="ListParagraph"/>
        <w:numPr>
          <w:ilvl w:val="0"/>
          <w:numId w:val="20"/>
        </w:numPr>
        <w:spacing w:line="480" w:lineRule="auto"/>
        <w:contextualSpacing w:val="0"/>
        <w:textAlignment w:val="baseline"/>
        <w:rPr>
          <w:rFonts w:eastAsia="Times New Roman" w:cstheme="minorHAnsi"/>
          <w:szCs w:val="20"/>
        </w:rPr>
      </w:pPr>
      <w:r w:rsidRPr="00C25A12">
        <w:rPr>
          <w:rFonts w:eastAsia="Times New Roman" w:cstheme="minorHAnsi"/>
          <w:szCs w:val="20"/>
        </w:rPr>
        <w:t>Federal Emergency Management Agency. </w:t>
      </w:r>
      <w:r w:rsidRPr="00C25A12">
        <w:rPr>
          <w:rFonts w:eastAsia="Times New Roman" w:cstheme="minorHAnsi"/>
          <w:i/>
          <w:iCs/>
          <w:szCs w:val="20"/>
          <w:bdr w:val="none" w:sz="0" w:space="0" w:color="auto" w:frame="1"/>
        </w:rPr>
        <w:t>Citizen Corps Volunteer Liability Guide</w:t>
      </w:r>
      <w:r w:rsidRPr="00C25A12">
        <w:rPr>
          <w:rFonts w:eastAsia="Times New Roman" w:cstheme="minorHAnsi"/>
          <w:szCs w:val="20"/>
        </w:rPr>
        <w:t>. Undated. Available at </w:t>
      </w:r>
      <w:hyperlink r:id="rId43" w:tooltip="www.citizencorps.gov" w:history="1">
        <w:r w:rsidRPr="0062424A">
          <w:rPr>
            <w:rFonts w:eastAsia="Times New Roman" w:cstheme="minorHAnsi"/>
            <w:color w:val="0F88B8"/>
            <w:szCs w:val="20"/>
            <w:bdr w:val="none" w:sz="0" w:space="0" w:color="auto" w:frame="1"/>
          </w:rPr>
          <w:t>www.citizencorps.gov</w:t>
        </w:r>
      </w:hyperlink>
      <w:r w:rsidRPr="00C25A12">
        <w:rPr>
          <w:rFonts w:eastAsia="Times New Roman" w:cstheme="minorHAnsi"/>
          <w:szCs w:val="20"/>
        </w:rPr>
        <w:t>. Accessed May 30, 2013.</w:t>
      </w:r>
    </w:p>
    <w:p w14:paraId="15153D1A" w14:textId="77777777" w:rsidR="005E0299" w:rsidRPr="00C25A12" w:rsidRDefault="005E0299" w:rsidP="00224AC9">
      <w:pPr>
        <w:pStyle w:val="ListParagraph"/>
        <w:numPr>
          <w:ilvl w:val="0"/>
          <w:numId w:val="20"/>
        </w:numPr>
        <w:spacing w:line="480" w:lineRule="auto"/>
        <w:contextualSpacing w:val="0"/>
        <w:textAlignment w:val="baseline"/>
        <w:rPr>
          <w:rFonts w:eastAsia="Times New Roman" w:cstheme="minorHAnsi"/>
          <w:szCs w:val="20"/>
        </w:rPr>
      </w:pPr>
      <w:r w:rsidRPr="00C25A12">
        <w:rPr>
          <w:rFonts w:eastAsia="Times New Roman" w:cstheme="minorHAnsi"/>
          <w:szCs w:val="20"/>
        </w:rPr>
        <w:t>Federal Tort Claims Act. Codified at 28 U.S.C. §§ 1346(b), 2671-2680.</w:t>
      </w:r>
    </w:p>
    <w:p w14:paraId="6AD5C8D0" w14:textId="77777777" w:rsidR="005E0299" w:rsidRPr="00C25A12" w:rsidRDefault="005E0299" w:rsidP="00224AC9">
      <w:pPr>
        <w:pStyle w:val="ListParagraph"/>
        <w:numPr>
          <w:ilvl w:val="0"/>
          <w:numId w:val="20"/>
        </w:numPr>
        <w:spacing w:line="480" w:lineRule="auto"/>
        <w:contextualSpacing w:val="0"/>
        <w:textAlignment w:val="baseline"/>
        <w:rPr>
          <w:rFonts w:eastAsia="Times New Roman" w:cstheme="minorHAnsi"/>
          <w:szCs w:val="20"/>
        </w:rPr>
      </w:pPr>
      <w:r w:rsidRPr="00C25A12">
        <w:rPr>
          <w:rFonts w:eastAsia="Times New Roman" w:cstheme="minorHAnsi"/>
          <w:szCs w:val="20"/>
        </w:rPr>
        <w:t>Health Resources and Services Administration. </w:t>
      </w:r>
      <w:r w:rsidRPr="00C25A12">
        <w:rPr>
          <w:rFonts w:eastAsia="Times New Roman" w:cstheme="minorHAnsi"/>
          <w:i/>
          <w:iCs/>
          <w:szCs w:val="20"/>
          <w:bdr w:val="none" w:sz="0" w:space="0" w:color="auto" w:frame="1"/>
        </w:rPr>
        <w:t>Emergency System for Advance Registration of Volunteer Health Professionals (ESAR-VHP)—Legal and Regulatory Issues</w:t>
      </w:r>
      <w:r w:rsidRPr="00C25A12">
        <w:rPr>
          <w:rFonts w:eastAsia="Times New Roman" w:cstheme="minorHAnsi"/>
          <w:szCs w:val="20"/>
        </w:rPr>
        <w:t>. Draft Report. May 2006. Available at </w:t>
      </w:r>
      <w:hyperlink r:id="rId44" w:history="1">
        <w:r w:rsidRPr="0062424A">
          <w:rPr>
            <w:rFonts w:eastAsia="Times New Roman" w:cstheme="minorHAnsi"/>
            <w:color w:val="0F88B8"/>
            <w:szCs w:val="20"/>
            <w:bdr w:val="none" w:sz="0" w:space="0" w:color="auto" w:frame="1"/>
          </w:rPr>
          <w:t>www.publichelathlaw.net/Projects/ESAR-VHP.php</w:t>
        </w:r>
      </w:hyperlink>
      <w:r w:rsidRPr="0062424A">
        <w:rPr>
          <w:rFonts w:eastAsia="Times New Roman" w:cstheme="minorHAnsi"/>
          <w:color w:val="737373"/>
          <w:szCs w:val="20"/>
        </w:rPr>
        <w:t xml:space="preserve">. </w:t>
      </w:r>
      <w:r w:rsidRPr="00C25A12">
        <w:rPr>
          <w:rFonts w:eastAsia="Times New Roman" w:cstheme="minorHAnsi"/>
          <w:szCs w:val="20"/>
        </w:rPr>
        <w:t>Accessed May 30, 2013.</w:t>
      </w:r>
    </w:p>
    <w:p w14:paraId="2685C083" w14:textId="77777777" w:rsidR="005E0299" w:rsidRPr="00C25A12" w:rsidRDefault="005E0299" w:rsidP="00224AC9">
      <w:pPr>
        <w:pStyle w:val="ListParagraph"/>
        <w:numPr>
          <w:ilvl w:val="0"/>
          <w:numId w:val="20"/>
        </w:numPr>
        <w:spacing w:line="480" w:lineRule="auto"/>
        <w:contextualSpacing w:val="0"/>
        <w:textAlignment w:val="baseline"/>
        <w:rPr>
          <w:rFonts w:eastAsia="Times New Roman" w:cstheme="minorHAnsi"/>
          <w:szCs w:val="20"/>
        </w:rPr>
      </w:pPr>
      <w:r w:rsidRPr="00C25A12">
        <w:rPr>
          <w:rFonts w:eastAsia="Times New Roman" w:cstheme="minorHAnsi"/>
          <w:szCs w:val="20"/>
        </w:rPr>
        <w:t>Hodges JG and Arias JJ. “Liability Risks and Protections for Volunteer Health Practitioners in Emergencies.” Presentation to The Network for Public Health Law-Western Region. November 2010. Available at</w:t>
      </w:r>
      <w:r w:rsidRPr="0062424A">
        <w:rPr>
          <w:rFonts w:eastAsia="Times New Roman" w:cstheme="minorHAnsi"/>
          <w:color w:val="737373"/>
          <w:szCs w:val="20"/>
        </w:rPr>
        <w:t> </w:t>
      </w:r>
      <w:hyperlink r:id="rId45" w:tooltip="www.publichealthlawnetwork.org" w:history="1">
        <w:r w:rsidRPr="0062424A">
          <w:rPr>
            <w:rFonts w:eastAsia="Times New Roman" w:cstheme="minorHAnsi"/>
            <w:color w:val="0F88B8"/>
            <w:szCs w:val="20"/>
            <w:bdr w:val="none" w:sz="0" w:space="0" w:color="auto" w:frame="1"/>
          </w:rPr>
          <w:t>www.publichealthlawnetwork.org</w:t>
        </w:r>
      </w:hyperlink>
      <w:r w:rsidRPr="0062424A">
        <w:rPr>
          <w:rFonts w:eastAsia="Times New Roman" w:cstheme="minorHAnsi"/>
          <w:color w:val="737373"/>
          <w:szCs w:val="20"/>
        </w:rPr>
        <w:t xml:space="preserve">. </w:t>
      </w:r>
      <w:r w:rsidRPr="00C25A12">
        <w:rPr>
          <w:rFonts w:eastAsia="Times New Roman" w:cstheme="minorHAnsi"/>
          <w:szCs w:val="20"/>
        </w:rPr>
        <w:t>Accessed May 30, 2013.</w:t>
      </w:r>
    </w:p>
    <w:p w14:paraId="74371942" w14:textId="77777777" w:rsidR="005E0299" w:rsidRPr="00C25A12" w:rsidRDefault="005E0299" w:rsidP="00224AC9">
      <w:pPr>
        <w:pStyle w:val="ListParagraph"/>
        <w:numPr>
          <w:ilvl w:val="0"/>
          <w:numId w:val="20"/>
        </w:numPr>
        <w:spacing w:line="480" w:lineRule="auto"/>
        <w:contextualSpacing w:val="0"/>
        <w:textAlignment w:val="baseline"/>
        <w:rPr>
          <w:rFonts w:eastAsia="Times New Roman" w:cstheme="minorHAnsi"/>
          <w:szCs w:val="20"/>
        </w:rPr>
      </w:pPr>
      <w:r w:rsidRPr="00C25A12">
        <w:rPr>
          <w:rFonts w:eastAsia="Times New Roman" w:cstheme="minorHAnsi"/>
          <w:szCs w:val="20"/>
        </w:rPr>
        <w:t>Hoffman S. “Responders’ Responsibility: Liability and Immunity in Public Health Emergencies.” 96 Geo. L.J. 1913, 1944 (2008).</w:t>
      </w:r>
    </w:p>
    <w:p w14:paraId="00D0F79C" w14:textId="77777777" w:rsidR="005E0299" w:rsidRPr="00C25A12" w:rsidRDefault="005E0299" w:rsidP="00224AC9">
      <w:pPr>
        <w:pStyle w:val="ListParagraph"/>
        <w:numPr>
          <w:ilvl w:val="0"/>
          <w:numId w:val="20"/>
        </w:numPr>
        <w:spacing w:line="480" w:lineRule="auto"/>
        <w:contextualSpacing w:val="0"/>
        <w:textAlignment w:val="baseline"/>
        <w:rPr>
          <w:rFonts w:eastAsia="Times New Roman" w:cstheme="minorHAnsi"/>
          <w:szCs w:val="20"/>
        </w:rPr>
      </w:pPr>
      <w:r w:rsidRPr="00C25A12">
        <w:rPr>
          <w:rFonts w:eastAsia="Times New Roman" w:cstheme="minorHAnsi"/>
          <w:szCs w:val="20"/>
        </w:rPr>
        <w:t>Public Readiness and Emergency Preparedness Act of 2005. Pub. L. No. 109-417. Codified in the Public Health Service Act at 42 U.S.C. §§247d-6d, 247d-6e.</w:t>
      </w:r>
    </w:p>
    <w:p w14:paraId="6BB7CE3F" w14:textId="77777777" w:rsidR="005E0299" w:rsidRPr="00C25A12" w:rsidRDefault="005E0299" w:rsidP="00224AC9">
      <w:pPr>
        <w:pStyle w:val="ListParagraph"/>
        <w:numPr>
          <w:ilvl w:val="0"/>
          <w:numId w:val="20"/>
        </w:numPr>
        <w:spacing w:line="480" w:lineRule="auto"/>
        <w:contextualSpacing w:val="0"/>
        <w:textAlignment w:val="baseline"/>
        <w:rPr>
          <w:rFonts w:eastAsia="Times New Roman" w:cstheme="minorHAnsi"/>
          <w:szCs w:val="20"/>
        </w:rPr>
      </w:pPr>
      <w:r w:rsidRPr="00C25A12">
        <w:rPr>
          <w:rFonts w:eastAsia="Times New Roman" w:cstheme="minorHAnsi"/>
          <w:szCs w:val="20"/>
        </w:rPr>
        <w:t>Volunteer Protection Act of 1997. Pub. L. 105-19. Codified at 42 U.S.C. 14501-05.</w:t>
      </w:r>
    </w:p>
    <w:p w14:paraId="05703809" w14:textId="45CB6C37" w:rsidR="005E0299" w:rsidRDefault="005E0299" w:rsidP="004C19B5">
      <w:pPr>
        <w:spacing w:line="480" w:lineRule="auto"/>
        <w:rPr>
          <w:rFonts w:cstheme="minorHAnsi"/>
          <w:sz w:val="24"/>
        </w:rPr>
      </w:pPr>
    </w:p>
    <w:p w14:paraId="25990F99" w14:textId="77777777" w:rsidR="009E1462" w:rsidRDefault="009E1462" w:rsidP="009E1462">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TOC</w:t>
        </w:r>
        <w:r w:rsidRPr="00B16B87">
          <w:rPr>
            <w:rStyle w:val="Hyperlink"/>
            <w:rFonts w:ascii="Calibri" w:hAnsi="Calibri" w:cs="Calibri"/>
            <w:sz w:val="24"/>
          </w:rPr>
          <w:t xml:space="preserve"> </w:t>
        </w:r>
        <w:r w:rsidRPr="00B16B87">
          <w:rPr>
            <w:rStyle w:val="Hyperlink"/>
            <w:rFonts w:ascii="Calibri" w:hAnsi="Calibri" w:cs="Calibri"/>
            <w:sz w:val="24"/>
          </w:rPr>
          <w:t>top</w:t>
        </w:r>
      </w:hyperlink>
      <w:r>
        <w:rPr>
          <w:rFonts w:ascii="Calibri" w:hAnsi="Calibri" w:cs="Calibri"/>
          <w:sz w:val="24"/>
        </w:rPr>
        <w:t>]</w:t>
      </w:r>
    </w:p>
    <w:p w14:paraId="28036727" w14:textId="77777777" w:rsidR="009E1462" w:rsidRDefault="009E1462" w:rsidP="004C19B5">
      <w:pPr>
        <w:spacing w:line="480" w:lineRule="auto"/>
        <w:rPr>
          <w:rFonts w:cstheme="minorHAnsi"/>
          <w:sz w:val="24"/>
        </w:rPr>
      </w:pPr>
    </w:p>
    <w:p w14:paraId="29B14B45" w14:textId="11A16E69" w:rsidR="009E1462" w:rsidRDefault="009E1462">
      <w:pPr>
        <w:rPr>
          <w:rFonts w:cstheme="minorHAnsi"/>
          <w:sz w:val="24"/>
        </w:rPr>
      </w:pPr>
      <w:r>
        <w:rPr>
          <w:rFonts w:cstheme="minorHAnsi"/>
          <w:sz w:val="24"/>
        </w:rPr>
        <w:br w:type="page"/>
      </w:r>
    </w:p>
    <w:p w14:paraId="5CB6C5F2" w14:textId="77777777" w:rsidR="005E0299" w:rsidRPr="00CE06AE" w:rsidRDefault="005E0299" w:rsidP="004C19B5">
      <w:pPr>
        <w:spacing w:after="120"/>
        <w:rPr>
          <w:rFonts w:eastAsia="Times New Roman" w:cstheme="minorHAnsi"/>
          <w:b/>
          <w:bCs/>
          <w:color w:val="333333"/>
          <w:spacing w:val="15"/>
          <w:kern w:val="36"/>
          <w:sz w:val="28"/>
          <w:szCs w:val="28"/>
        </w:rPr>
      </w:pPr>
      <w:bookmarkStart w:id="8" w:name="LiabilIssues_FS"/>
      <w:r w:rsidRPr="00CE06AE">
        <w:rPr>
          <w:rFonts w:eastAsia="Times New Roman" w:cstheme="minorHAnsi"/>
          <w:b/>
          <w:bCs/>
          <w:color w:val="333333"/>
          <w:spacing w:val="15"/>
          <w:kern w:val="36"/>
          <w:sz w:val="28"/>
          <w:szCs w:val="28"/>
        </w:rPr>
        <w:lastRenderedPageBreak/>
        <w:t>Liability Issues in Emergencies</w:t>
      </w:r>
    </w:p>
    <w:bookmarkEnd w:id="8"/>
    <w:p w14:paraId="6AD4C9BA" w14:textId="77777777" w:rsidR="005E0299" w:rsidRPr="00CE06AE" w:rsidRDefault="005E0299" w:rsidP="004C19B5">
      <w:pPr>
        <w:spacing w:line="480" w:lineRule="auto"/>
        <w:rPr>
          <w:rFonts w:eastAsia="Times New Roman" w:cstheme="minorHAnsi"/>
          <w:b/>
          <w:bCs/>
          <w:color w:val="3C3030"/>
          <w:sz w:val="24"/>
          <w:szCs w:val="24"/>
        </w:rPr>
      </w:pPr>
      <w:r w:rsidRPr="00CE06AE">
        <w:rPr>
          <w:rFonts w:eastAsia="Times New Roman" w:cstheme="minorHAnsi"/>
          <w:b/>
          <w:bCs/>
          <w:color w:val="3C3030"/>
          <w:sz w:val="24"/>
          <w:szCs w:val="24"/>
        </w:rPr>
        <w:t>Fact Sheet</w:t>
      </w:r>
    </w:p>
    <w:p w14:paraId="004BC53B" w14:textId="77777777" w:rsidR="005E0299" w:rsidRPr="00CE06AE" w:rsidRDefault="005E0299" w:rsidP="004C19B5">
      <w:pPr>
        <w:spacing w:line="480" w:lineRule="auto"/>
        <w:rPr>
          <w:rFonts w:eastAsia="Times New Roman" w:cstheme="minorHAnsi"/>
          <w:b/>
          <w:bCs/>
          <w:color w:val="3C3030"/>
          <w:sz w:val="24"/>
          <w:szCs w:val="24"/>
        </w:rPr>
      </w:pPr>
      <w:r w:rsidRPr="00CE06AE">
        <w:rPr>
          <w:rFonts w:eastAsia="Times New Roman" w:cstheme="minorHAnsi"/>
          <w:b/>
          <w:bCs/>
          <w:color w:val="3C3030"/>
          <w:sz w:val="24"/>
          <w:szCs w:val="24"/>
        </w:rPr>
        <w:t>Overview</w:t>
      </w:r>
    </w:p>
    <w:p w14:paraId="75DA2832" w14:textId="77777777" w:rsidR="005E0299" w:rsidRPr="00AB0FD5" w:rsidRDefault="005E0299" w:rsidP="004C19B5">
      <w:pPr>
        <w:shd w:val="clear" w:color="auto" w:fill="FFFFFF"/>
        <w:spacing w:line="480" w:lineRule="auto"/>
        <w:textAlignment w:val="baseline"/>
        <w:rPr>
          <w:rFonts w:eastAsia="Times New Roman" w:cstheme="minorHAnsi"/>
          <w:color w:val="737373"/>
          <w:szCs w:val="20"/>
        </w:rPr>
      </w:pPr>
      <w:r w:rsidRPr="00CE06AE">
        <w:rPr>
          <w:rFonts w:eastAsia="Times New Roman" w:cstheme="minorHAnsi"/>
          <w:szCs w:val="20"/>
        </w:rPr>
        <w:t>Concerns about liability—a finding of legal responsibility for an act or failure to act—regularly arise during emergency response situations. Individual government employees, volunteers, and healthcare professionals, as well as entities such as businesses and nonprofits, worry about potential liability for their actions during an emergency. Existing and new federal and state protections against liability have been created to address the concerns of volunteers and others involved in emergency responses. (See ASTHO </w:t>
      </w:r>
      <w:hyperlink r:id="rId46" w:history="1">
        <w:r w:rsidRPr="00CE06AE">
          <w:rPr>
            <w:rFonts w:eastAsia="Times New Roman" w:cstheme="minorHAnsi"/>
            <w:color w:val="0F88B8"/>
            <w:szCs w:val="20"/>
            <w:bdr w:val="none" w:sz="0" w:space="0" w:color="auto" w:frame="1"/>
          </w:rPr>
          <w:t>Immunity Issues in Emergencies</w:t>
        </w:r>
      </w:hyperlink>
      <w:r w:rsidRPr="00CE06AE">
        <w:rPr>
          <w:rFonts w:eastAsia="Times New Roman" w:cstheme="minorHAnsi"/>
          <w:color w:val="737373"/>
          <w:szCs w:val="20"/>
        </w:rPr>
        <w:t> </w:t>
      </w:r>
      <w:r w:rsidRPr="00CE06AE">
        <w:rPr>
          <w:rFonts w:eastAsia="Times New Roman" w:cstheme="minorHAnsi"/>
          <w:szCs w:val="20"/>
        </w:rPr>
        <w:t>and</w:t>
      </w:r>
      <w:r w:rsidRPr="00CE06AE">
        <w:rPr>
          <w:rFonts w:eastAsia="Times New Roman" w:cstheme="minorHAnsi"/>
          <w:color w:val="737373"/>
          <w:szCs w:val="20"/>
        </w:rPr>
        <w:t> </w:t>
      </w:r>
      <w:hyperlink r:id="rId47" w:history="1">
        <w:r w:rsidRPr="00CE06AE">
          <w:rPr>
            <w:rFonts w:eastAsia="Times New Roman" w:cstheme="minorHAnsi"/>
            <w:color w:val="0F88B8"/>
            <w:szCs w:val="20"/>
            <w:bdr w:val="none" w:sz="0" w:space="0" w:color="auto" w:frame="1"/>
          </w:rPr>
          <w:t>Workers' Compensation Issues in Emergencies</w:t>
        </w:r>
      </w:hyperlink>
      <w:r w:rsidRPr="00CE06AE">
        <w:rPr>
          <w:rFonts w:eastAsia="Times New Roman" w:cstheme="minorHAnsi"/>
          <w:color w:val="737373"/>
          <w:szCs w:val="20"/>
        </w:rPr>
        <w:t> </w:t>
      </w:r>
      <w:r w:rsidRPr="00CE06AE">
        <w:rPr>
          <w:rFonts w:eastAsia="Times New Roman" w:cstheme="minorHAnsi"/>
          <w:szCs w:val="20"/>
        </w:rPr>
        <w:t>fact sheets.)</w:t>
      </w:r>
    </w:p>
    <w:p w14:paraId="4D44F61C" w14:textId="77777777" w:rsidR="005E0299" w:rsidRPr="00CE06AE" w:rsidRDefault="005E0299" w:rsidP="004C19B5">
      <w:pPr>
        <w:shd w:val="clear" w:color="auto" w:fill="FFFFFF"/>
        <w:spacing w:line="480" w:lineRule="auto"/>
        <w:textAlignment w:val="baseline"/>
        <w:rPr>
          <w:rFonts w:eastAsia="Times New Roman" w:cstheme="minorHAnsi"/>
          <w:szCs w:val="20"/>
        </w:rPr>
      </w:pPr>
    </w:p>
    <w:p w14:paraId="69A26045" w14:textId="77777777" w:rsidR="005E0299" w:rsidRPr="00CE06AE" w:rsidRDefault="005E0299" w:rsidP="004C19B5">
      <w:pPr>
        <w:spacing w:line="480" w:lineRule="auto"/>
        <w:rPr>
          <w:rFonts w:eastAsia="Times New Roman" w:cstheme="minorHAnsi"/>
          <w:b/>
          <w:bCs/>
          <w:color w:val="3C3030"/>
          <w:sz w:val="24"/>
          <w:szCs w:val="24"/>
        </w:rPr>
      </w:pPr>
      <w:r w:rsidRPr="00CE06AE">
        <w:rPr>
          <w:rFonts w:eastAsia="Times New Roman" w:cstheme="minorHAnsi"/>
          <w:b/>
          <w:bCs/>
          <w:color w:val="3C3030"/>
          <w:sz w:val="24"/>
          <w:szCs w:val="24"/>
        </w:rPr>
        <w:t>Direct and Vicarious Liability</w:t>
      </w:r>
    </w:p>
    <w:p w14:paraId="15541794" w14:textId="77777777" w:rsidR="005E0299" w:rsidRPr="00AB0FD5" w:rsidRDefault="005E0299" w:rsidP="004C19B5">
      <w:pPr>
        <w:shd w:val="clear" w:color="auto" w:fill="FFFFFF"/>
        <w:spacing w:line="480" w:lineRule="auto"/>
        <w:textAlignment w:val="baseline"/>
        <w:rPr>
          <w:rFonts w:eastAsia="Times New Roman" w:cstheme="minorHAnsi"/>
          <w:szCs w:val="20"/>
        </w:rPr>
      </w:pPr>
      <w:r w:rsidRPr="00CE06AE">
        <w:rPr>
          <w:rFonts w:eastAsia="Times New Roman" w:cstheme="minorHAnsi"/>
          <w:szCs w:val="20"/>
        </w:rPr>
        <w:t xml:space="preserve">Direct liability means that a person or entity is legally responsible for their actions or omissions. Vicarious liability (also known as </w:t>
      </w:r>
      <w:proofErr w:type="spellStart"/>
      <w:r w:rsidRPr="00CE06AE">
        <w:rPr>
          <w:rFonts w:eastAsia="Times New Roman" w:cstheme="minorHAnsi"/>
          <w:szCs w:val="20"/>
        </w:rPr>
        <w:t>respondeat</w:t>
      </w:r>
      <w:proofErr w:type="spellEnd"/>
      <w:r w:rsidRPr="00CE06AE">
        <w:rPr>
          <w:rFonts w:eastAsia="Times New Roman" w:cstheme="minorHAnsi"/>
          <w:szCs w:val="20"/>
        </w:rPr>
        <w:t xml:space="preserve"> superior) is a type of secondary liability in which a person or entity is held legally responsible for the actions or omissions of another person with whom they have a particular legal relationship. This is seen in the context of an employer being held responsible for its employee, or for a corporation, nonprofit, or other entity for the actions of its agent like an officer or director. Some entities may try to limit their potential vicarious liability by designating persons as independent contractors rather than as employees or agents. </w:t>
      </w:r>
    </w:p>
    <w:p w14:paraId="56193A71" w14:textId="77777777" w:rsidR="005E0299" w:rsidRPr="00CE06AE" w:rsidRDefault="005E0299" w:rsidP="004C19B5">
      <w:pPr>
        <w:shd w:val="clear" w:color="auto" w:fill="FFFFFF"/>
        <w:spacing w:line="480" w:lineRule="auto"/>
        <w:textAlignment w:val="baseline"/>
        <w:rPr>
          <w:rFonts w:eastAsia="Times New Roman" w:cstheme="minorHAnsi"/>
          <w:szCs w:val="20"/>
        </w:rPr>
      </w:pPr>
    </w:p>
    <w:p w14:paraId="20E3EB4D" w14:textId="77777777" w:rsidR="005E0299" w:rsidRPr="00CE06AE" w:rsidRDefault="005E0299" w:rsidP="004C19B5">
      <w:pPr>
        <w:spacing w:line="480" w:lineRule="auto"/>
        <w:rPr>
          <w:rFonts w:eastAsia="Times New Roman" w:cstheme="minorHAnsi"/>
          <w:b/>
          <w:bCs/>
          <w:color w:val="3C3030"/>
          <w:sz w:val="24"/>
          <w:szCs w:val="24"/>
        </w:rPr>
      </w:pPr>
      <w:r w:rsidRPr="00CE06AE">
        <w:rPr>
          <w:rFonts w:eastAsia="Times New Roman" w:cstheme="minorHAnsi"/>
          <w:b/>
          <w:bCs/>
          <w:color w:val="3C3030"/>
          <w:sz w:val="24"/>
          <w:szCs w:val="24"/>
        </w:rPr>
        <w:t>Potential Theories of Tort Liability</w:t>
      </w:r>
    </w:p>
    <w:p w14:paraId="62C6B22D" w14:textId="77777777" w:rsidR="005E0299" w:rsidRPr="002B2476" w:rsidRDefault="005E0299" w:rsidP="004C19B5">
      <w:pPr>
        <w:shd w:val="clear" w:color="auto" w:fill="FFFFFF"/>
        <w:spacing w:line="480" w:lineRule="auto"/>
        <w:textAlignment w:val="baseline"/>
        <w:rPr>
          <w:rFonts w:eastAsia="Times New Roman" w:cstheme="minorHAnsi"/>
          <w:szCs w:val="20"/>
        </w:rPr>
      </w:pPr>
      <w:r w:rsidRPr="00CE06AE">
        <w:rPr>
          <w:rFonts w:eastAsia="Times New Roman" w:cstheme="minorHAnsi"/>
          <w:szCs w:val="20"/>
        </w:rPr>
        <w:t xml:space="preserve">Civil liability grounded in tort is the most likely theory in which liability issues arise in an emergency response. A tort is an action in which an actor (a person or entity) either intentionally or unintentionally causes harm to another person or property. A tort claim allows an aggrieved person to sue the actor in civil court for the harm. This is contrasted with criminal charges in which the government prosecutes an </w:t>
      </w:r>
      <w:r w:rsidRPr="00CE06AE">
        <w:rPr>
          <w:rFonts w:eastAsia="Times New Roman" w:cstheme="minorHAnsi"/>
          <w:szCs w:val="20"/>
        </w:rPr>
        <w:lastRenderedPageBreak/>
        <w:t>actor, or with contractual claims in which the parties to a contract sue over the contract. If a person or entity is found liable for causing the harm, the aggrieved party can seek monetary compensation and, in some instances, an injunction against further action by the offending actor. </w:t>
      </w:r>
    </w:p>
    <w:p w14:paraId="7BAE53F1" w14:textId="77777777" w:rsidR="005E0299" w:rsidRPr="00CE06AE" w:rsidRDefault="005E0299" w:rsidP="004C19B5">
      <w:pPr>
        <w:shd w:val="clear" w:color="auto" w:fill="FFFFFF"/>
        <w:spacing w:line="480" w:lineRule="auto"/>
        <w:textAlignment w:val="baseline"/>
        <w:rPr>
          <w:rFonts w:eastAsia="Times New Roman" w:cstheme="minorHAnsi"/>
          <w:szCs w:val="20"/>
        </w:rPr>
      </w:pPr>
    </w:p>
    <w:p w14:paraId="69D73E75" w14:textId="77777777" w:rsidR="005E0299" w:rsidRPr="00CE06AE" w:rsidRDefault="005E0299" w:rsidP="004C19B5">
      <w:pPr>
        <w:spacing w:line="480" w:lineRule="auto"/>
        <w:rPr>
          <w:rFonts w:eastAsia="Times New Roman" w:cstheme="minorHAnsi"/>
          <w:b/>
          <w:bCs/>
          <w:szCs w:val="20"/>
        </w:rPr>
      </w:pPr>
      <w:r w:rsidRPr="00CE06AE">
        <w:rPr>
          <w:rFonts w:eastAsia="Times New Roman" w:cstheme="minorHAnsi"/>
          <w:b/>
          <w:bCs/>
          <w:szCs w:val="20"/>
        </w:rPr>
        <w:t>Intentional and Unintentional Torts</w:t>
      </w:r>
    </w:p>
    <w:p w14:paraId="0183FCBA" w14:textId="77777777" w:rsidR="005E0299" w:rsidRPr="002B2476" w:rsidRDefault="005E0299" w:rsidP="004C19B5">
      <w:pPr>
        <w:shd w:val="clear" w:color="auto" w:fill="FFFFFF"/>
        <w:spacing w:line="480" w:lineRule="auto"/>
        <w:textAlignment w:val="baseline"/>
        <w:rPr>
          <w:rFonts w:eastAsia="Times New Roman" w:cstheme="minorHAnsi"/>
          <w:szCs w:val="20"/>
        </w:rPr>
      </w:pPr>
      <w:r w:rsidRPr="00CE06AE">
        <w:rPr>
          <w:rFonts w:eastAsia="Times New Roman" w:cstheme="minorHAnsi"/>
          <w:szCs w:val="20"/>
        </w:rPr>
        <w:t>Unintentional torts occur when an actor harms another person or property through their actions but did not intend the harm. Negligence is the most common type of unintentional tort (see below). Intentional torts occur when an actor intends to harm or touches a person/property with the intent to harm. In the healthcare context, conducting a medical procedure on a patient without first obtaining informed consent could be construed, among other things, as the intentional tort of battery. Other intentional torts include assault, conversion (i.e., theft), infliction of emotional distress, fraud, misrepresentation, false imprisonment, and trespass. An actor/defendant has a defense to an intentional tort if a plaintiff gives either express or implied consent to the defendant’s actions, or if committing the tort was a “public necessity” taken to avoid a greater harm to persons or the community. When a government takes or uses property, even if for public necessity, issues can arise as to whether the act is covered by sovereign immunity or subject to paying compensation to the owner. </w:t>
      </w:r>
    </w:p>
    <w:p w14:paraId="3F832677" w14:textId="77777777" w:rsidR="005E0299" w:rsidRPr="00CE06AE" w:rsidRDefault="005E0299" w:rsidP="004C19B5">
      <w:pPr>
        <w:shd w:val="clear" w:color="auto" w:fill="FFFFFF"/>
        <w:spacing w:line="480" w:lineRule="auto"/>
        <w:textAlignment w:val="baseline"/>
        <w:rPr>
          <w:rFonts w:eastAsia="Times New Roman" w:cstheme="minorHAnsi"/>
          <w:szCs w:val="20"/>
        </w:rPr>
      </w:pPr>
    </w:p>
    <w:p w14:paraId="2567743B" w14:textId="77777777" w:rsidR="005E0299" w:rsidRPr="00CE06AE" w:rsidRDefault="005E0299" w:rsidP="004C19B5">
      <w:pPr>
        <w:spacing w:line="480" w:lineRule="auto"/>
        <w:rPr>
          <w:rFonts w:eastAsia="Times New Roman" w:cstheme="minorHAnsi"/>
          <w:b/>
          <w:bCs/>
          <w:szCs w:val="20"/>
        </w:rPr>
      </w:pPr>
      <w:r w:rsidRPr="00CE06AE">
        <w:rPr>
          <w:rFonts w:eastAsia="Times New Roman" w:cstheme="minorHAnsi"/>
          <w:b/>
          <w:bCs/>
          <w:szCs w:val="20"/>
        </w:rPr>
        <w:t>Negligence</w:t>
      </w:r>
    </w:p>
    <w:p w14:paraId="0CE2C7F0" w14:textId="77777777" w:rsidR="005E0299" w:rsidRPr="002B2476" w:rsidRDefault="005E0299" w:rsidP="004C19B5">
      <w:pPr>
        <w:shd w:val="clear" w:color="auto" w:fill="FFFFFF"/>
        <w:spacing w:line="480" w:lineRule="auto"/>
        <w:textAlignment w:val="baseline"/>
        <w:rPr>
          <w:rFonts w:eastAsia="Times New Roman" w:cstheme="minorHAnsi"/>
          <w:szCs w:val="20"/>
        </w:rPr>
      </w:pPr>
      <w:r w:rsidRPr="00CE06AE">
        <w:rPr>
          <w:rFonts w:eastAsia="Times New Roman" w:cstheme="minorHAnsi"/>
          <w:szCs w:val="20"/>
        </w:rPr>
        <w:t>The tort of negligence involves unintentional wrongful conduct that harms another. It is the most likely theory to be used for harms stemming from emergency responses. Negligence occurs when a person or entity (the actor/defendant) fails to use ordinary care in their actions, or by their failure to take action. Ordinary care generally means the amount of care that a reasonable person would take under similar circumstances. The standard of care applied to a physician or other person with specialized skills may be different than an ordinary care standard. </w:t>
      </w:r>
    </w:p>
    <w:p w14:paraId="731D071E" w14:textId="77777777" w:rsidR="005E0299" w:rsidRPr="00CE06AE" w:rsidRDefault="005E0299" w:rsidP="004C19B5">
      <w:pPr>
        <w:shd w:val="clear" w:color="auto" w:fill="FFFFFF"/>
        <w:spacing w:after="120" w:line="480" w:lineRule="auto"/>
        <w:textAlignment w:val="baseline"/>
        <w:rPr>
          <w:rFonts w:eastAsia="Times New Roman" w:cstheme="minorHAnsi"/>
          <w:szCs w:val="20"/>
        </w:rPr>
      </w:pPr>
      <w:r w:rsidRPr="00CE06AE">
        <w:rPr>
          <w:rFonts w:eastAsia="Times New Roman" w:cstheme="minorHAnsi"/>
          <w:szCs w:val="20"/>
        </w:rPr>
        <w:lastRenderedPageBreak/>
        <w:br/>
        <w:t>The specific elements of a negligence claim are: (1) the defendant owes the plaintiff a duty of care (including a duty of ordinary care); (2) the defendant breached that duty by failing to meet the applicable standard of care; (3) the defendant’s actions resulted in harm to the plaintiff; and (4) the defendant’s breach of duty was the cause of the plaintiff’s injury. Outside the context of a governmentally declared emergency, most states allow juries to consider whether a defendant was acting under emergency circumstances in determining if a defendant’s actions were reasonable. Determining the appropriate standard of care to apply during widespread or prolonged events like a pandemic has been the subject of much discussion. A number of specific negligence theories may apply in the emergency response context:</w:t>
      </w:r>
    </w:p>
    <w:p w14:paraId="3BA70E4C" w14:textId="77777777" w:rsidR="005E0299" w:rsidRPr="002B2476" w:rsidRDefault="005E0299" w:rsidP="00224AC9">
      <w:pPr>
        <w:pStyle w:val="ListParagraph"/>
        <w:numPr>
          <w:ilvl w:val="0"/>
          <w:numId w:val="23"/>
        </w:numPr>
        <w:spacing w:line="480" w:lineRule="auto"/>
        <w:ind w:left="360"/>
        <w:textAlignment w:val="baseline"/>
        <w:rPr>
          <w:rFonts w:eastAsia="Times New Roman" w:cstheme="minorHAnsi"/>
          <w:szCs w:val="20"/>
        </w:rPr>
      </w:pPr>
      <w:r w:rsidRPr="002B2476">
        <w:rPr>
          <w:rFonts w:eastAsia="Times New Roman" w:cstheme="minorHAnsi"/>
          <w:b/>
          <w:bCs/>
          <w:szCs w:val="20"/>
          <w:bdr w:val="none" w:sz="0" w:space="0" w:color="auto" w:frame="1"/>
        </w:rPr>
        <w:t>Medical Malpractice—</w:t>
      </w:r>
      <w:r w:rsidRPr="002B2476">
        <w:rPr>
          <w:rFonts w:eastAsia="Times New Roman" w:cstheme="minorHAnsi"/>
          <w:szCs w:val="20"/>
        </w:rPr>
        <w:t>Healthcare providers may be open to malpractice claims for breach of duty to a patient.</w:t>
      </w:r>
    </w:p>
    <w:p w14:paraId="12DC51F4" w14:textId="77777777" w:rsidR="005E0299" w:rsidRPr="00CE06AE" w:rsidRDefault="005E0299" w:rsidP="004C19B5">
      <w:pPr>
        <w:spacing w:line="480" w:lineRule="auto"/>
        <w:textAlignment w:val="baseline"/>
        <w:rPr>
          <w:rFonts w:eastAsia="Times New Roman" w:cstheme="minorHAnsi"/>
          <w:szCs w:val="20"/>
        </w:rPr>
      </w:pPr>
    </w:p>
    <w:p w14:paraId="2940B70A" w14:textId="77777777" w:rsidR="005E0299" w:rsidRPr="002B2476" w:rsidRDefault="005E0299" w:rsidP="00224AC9">
      <w:pPr>
        <w:pStyle w:val="ListParagraph"/>
        <w:numPr>
          <w:ilvl w:val="0"/>
          <w:numId w:val="23"/>
        </w:numPr>
        <w:spacing w:line="480" w:lineRule="auto"/>
        <w:ind w:left="360"/>
        <w:textAlignment w:val="baseline"/>
        <w:rPr>
          <w:rFonts w:eastAsia="Times New Roman" w:cstheme="minorHAnsi"/>
          <w:szCs w:val="20"/>
        </w:rPr>
      </w:pPr>
      <w:r w:rsidRPr="002B2476">
        <w:rPr>
          <w:rFonts w:eastAsia="Times New Roman" w:cstheme="minorHAnsi"/>
          <w:b/>
          <w:bCs/>
          <w:szCs w:val="20"/>
          <w:bdr w:val="none" w:sz="0" w:space="0" w:color="auto" w:frame="1"/>
        </w:rPr>
        <w:t>Scope of Practice—</w:t>
      </w:r>
      <w:r w:rsidRPr="002B2476">
        <w:rPr>
          <w:rFonts w:eastAsia="Times New Roman" w:cstheme="minorHAnsi"/>
          <w:szCs w:val="20"/>
        </w:rPr>
        <w:t>A licensed healthcare provider such as a nurse may be subject to negligence claims for exceeding scope of practice by making decisions or undertaking tasks beyond what the law permits for his or her profession.</w:t>
      </w:r>
    </w:p>
    <w:p w14:paraId="32BAB35B" w14:textId="77777777" w:rsidR="005E0299" w:rsidRPr="00CE06AE" w:rsidRDefault="005E0299" w:rsidP="004C19B5">
      <w:pPr>
        <w:spacing w:line="480" w:lineRule="auto"/>
        <w:textAlignment w:val="baseline"/>
        <w:rPr>
          <w:rFonts w:eastAsia="Times New Roman" w:cstheme="minorHAnsi"/>
          <w:szCs w:val="20"/>
        </w:rPr>
      </w:pPr>
    </w:p>
    <w:p w14:paraId="3F7F70CB" w14:textId="77777777" w:rsidR="005E0299" w:rsidRPr="002B2476" w:rsidRDefault="005E0299" w:rsidP="00224AC9">
      <w:pPr>
        <w:pStyle w:val="ListParagraph"/>
        <w:numPr>
          <w:ilvl w:val="0"/>
          <w:numId w:val="23"/>
        </w:numPr>
        <w:spacing w:line="480" w:lineRule="auto"/>
        <w:ind w:left="360"/>
        <w:textAlignment w:val="baseline"/>
        <w:rPr>
          <w:rFonts w:eastAsia="Times New Roman" w:cstheme="minorHAnsi"/>
          <w:szCs w:val="20"/>
        </w:rPr>
      </w:pPr>
      <w:r w:rsidRPr="002B2476">
        <w:rPr>
          <w:rFonts w:eastAsia="Times New Roman" w:cstheme="minorHAnsi"/>
          <w:b/>
          <w:bCs/>
          <w:szCs w:val="20"/>
          <w:bdr w:val="none" w:sz="0" w:space="0" w:color="auto" w:frame="1"/>
        </w:rPr>
        <w:t>Failure to Plan or Prepare—</w:t>
      </w:r>
      <w:r w:rsidRPr="002B2476">
        <w:rPr>
          <w:rFonts w:eastAsia="Times New Roman" w:cstheme="minorHAnsi"/>
          <w:szCs w:val="20"/>
        </w:rPr>
        <w:t>There are a number of publications and resources available to help healthcare facilities plan and exercise how they will respond to an emergency. A facility that fails to plan for emergencies, keep plans current, or conduct training and exercises may open itself to claims for failure to plan or prepare.</w:t>
      </w:r>
    </w:p>
    <w:p w14:paraId="1716E135" w14:textId="77777777" w:rsidR="005E0299" w:rsidRPr="00CE06AE" w:rsidRDefault="005E0299" w:rsidP="004C19B5">
      <w:pPr>
        <w:spacing w:line="480" w:lineRule="auto"/>
        <w:textAlignment w:val="baseline"/>
        <w:rPr>
          <w:rFonts w:eastAsia="Times New Roman" w:cstheme="minorHAnsi"/>
          <w:szCs w:val="20"/>
        </w:rPr>
      </w:pPr>
    </w:p>
    <w:p w14:paraId="63CA7057" w14:textId="77777777" w:rsidR="005E0299" w:rsidRPr="002B2476" w:rsidRDefault="005E0299" w:rsidP="00224AC9">
      <w:pPr>
        <w:pStyle w:val="ListParagraph"/>
        <w:numPr>
          <w:ilvl w:val="0"/>
          <w:numId w:val="23"/>
        </w:numPr>
        <w:spacing w:line="480" w:lineRule="auto"/>
        <w:ind w:left="360"/>
        <w:textAlignment w:val="baseline"/>
        <w:rPr>
          <w:rFonts w:eastAsia="Times New Roman" w:cstheme="minorHAnsi"/>
          <w:szCs w:val="20"/>
        </w:rPr>
      </w:pPr>
      <w:r w:rsidRPr="002B2476">
        <w:rPr>
          <w:rFonts w:eastAsia="Times New Roman" w:cstheme="minorHAnsi"/>
          <w:b/>
          <w:bCs/>
          <w:szCs w:val="20"/>
          <w:bdr w:val="none" w:sz="0" w:space="0" w:color="auto" w:frame="1"/>
        </w:rPr>
        <w:t>Breach of Privacy &amp; Confidentiality—</w:t>
      </w:r>
      <w:r w:rsidRPr="002B2476">
        <w:rPr>
          <w:rFonts w:eastAsia="Times New Roman" w:cstheme="minorHAnsi"/>
          <w:szCs w:val="20"/>
        </w:rPr>
        <w:t xml:space="preserve">Individuals and entities can be subject to tort liability for failing to take adequate precautions to protect patients’ privacy and confidentiality during </w:t>
      </w:r>
      <w:r w:rsidRPr="002B2476">
        <w:rPr>
          <w:rFonts w:eastAsia="Times New Roman" w:cstheme="minorHAnsi"/>
          <w:szCs w:val="20"/>
        </w:rPr>
        <w:lastRenderedPageBreak/>
        <w:t>emergencies. This is in addition to violations of federal statutes such as the Health Insurance Portability and Accountability Act (HIPAA) and Family Educational Rights and Privacy Act (FERPA), as well as state privacy and confidentiality laws.</w:t>
      </w:r>
    </w:p>
    <w:p w14:paraId="68449B62" w14:textId="77777777" w:rsidR="005E0299" w:rsidRPr="00CE06AE" w:rsidRDefault="005E0299" w:rsidP="004C19B5">
      <w:pPr>
        <w:spacing w:line="480" w:lineRule="auto"/>
        <w:textAlignment w:val="baseline"/>
        <w:rPr>
          <w:rFonts w:eastAsia="Times New Roman" w:cstheme="minorHAnsi"/>
          <w:szCs w:val="20"/>
        </w:rPr>
      </w:pPr>
    </w:p>
    <w:p w14:paraId="2B0A0061" w14:textId="77777777" w:rsidR="005E0299" w:rsidRPr="002B2476" w:rsidRDefault="005E0299" w:rsidP="00224AC9">
      <w:pPr>
        <w:pStyle w:val="ListParagraph"/>
        <w:numPr>
          <w:ilvl w:val="0"/>
          <w:numId w:val="23"/>
        </w:numPr>
        <w:spacing w:line="480" w:lineRule="auto"/>
        <w:ind w:left="360"/>
        <w:textAlignment w:val="baseline"/>
        <w:rPr>
          <w:rFonts w:eastAsia="Times New Roman" w:cstheme="minorHAnsi"/>
          <w:szCs w:val="20"/>
        </w:rPr>
      </w:pPr>
      <w:r w:rsidRPr="002B2476">
        <w:rPr>
          <w:rFonts w:eastAsia="Times New Roman" w:cstheme="minorHAnsi"/>
          <w:b/>
          <w:bCs/>
          <w:szCs w:val="20"/>
          <w:bdr w:val="none" w:sz="0" w:space="0" w:color="auto" w:frame="1"/>
        </w:rPr>
        <w:t>Premises Liability—</w:t>
      </w:r>
      <w:r w:rsidRPr="002B2476">
        <w:rPr>
          <w:rFonts w:eastAsia="Times New Roman" w:cstheme="minorHAnsi"/>
          <w:szCs w:val="20"/>
        </w:rPr>
        <w:t>A person or entity in possession of a premises or land is responsible for injuries to persons present there. Premises liability can arise when facilities are used for preparedness and response activities. This can include the use of hospitals, clinics, and other facilities (schools, convention centers, malls) for alternate care sites. Businesses and other private property owners who allow use of their property as points of distribution (POD) for medicine and supplies also voice concerns about premises liability issues.</w:t>
      </w:r>
    </w:p>
    <w:p w14:paraId="39BD53CB" w14:textId="77777777" w:rsidR="005E0299" w:rsidRPr="00CE06AE" w:rsidRDefault="005E0299" w:rsidP="004C19B5">
      <w:pPr>
        <w:spacing w:line="480" w:lineRule="auto"/>
        <w:textAlignment w:val="baseline"/>
        <w:rPr>
          <w:rFonts w:eastAsia="Times New Roman" w:cstheme="minorHAnsi"/>
          <w:szCs w:val="20"/>
        </w:rPr>
      </w:pPr>
    </w:p>
    <w:p w14:paraId="2F446252" w14:textId="77777777" w:rsidR="005E0299" w:rsidRPr="002B2476" w:rsidRDefault="005E0299" w:rsidP="00224AC9">
      <w:pPr>
        <w:pStyle w:val="ListParagraph"/>
        <w:numPr>
          <w:ilvl w:val="0"/>
          <w:numId w:val="23"/>
        </w:numPr>
        <w:spacing w:line="480" w:lineRule="auto"/>
        <w:ind w:left="360"/>
        <w:textAlignment w:val="baseline"/>
        <w:rPr>
          <w:rFonts w:eastAsia="Times New Roman" w:cstheme="minorHAnsi"/>
          <w:szCs w:val="20"/>
        </w:rPr>
      </w:pPr>
      <w:r w:rsidRPr="002B2476">
        <w:rPr>
          <w:rFonts w:eastAsia="Times New Roman" w:cstheme="minorHAnsi"/>
          <w:b/>
          <w:bCs/>
          <w:szCs w:val="20"/>
          <w:bdr w:val="none" w:sz="0" w:space="0" w:color="auto" w:frame="1"/>
        </w:rPr>
        <w:t>Gross Negligence—</w:t>
      </w:r>
      <w:r w:rsidRPr="002B2476">
        <w:rPr>
          <w:rFonts w:eastAsia="Times New Roman" w:cstheme="minorHAnsi"/>
          <w:szCs w:val="20"/>
        </w:rPr>
        <w:t>This is conduct or failure to act which is so reckless that it demonstrates disregard for whether an injury or harm will occur. Acts of gross negligence (also noted as willful or wanton conduct) are not covered under statutes that provide immunity or other liability protections to emergency response participants.</w:t>
      </w:r>
    </w:p>
    <w:p w14:paraId="6D7CB9E1" w14:textId="77777777" w:rsidR="005E0299" w:rsidRPr="00CE06AE" w:rsidRDefault="005E0299" w:rsidP="004C19B5">
      <w:pPr>
        <w:spacing w:line="480" w:lineRule="auto"/>
        <w:textAlignment w:val="baseline"/>
        <w:rPr>
          <w:rFonts w:eastAsia="Times New Roman" w:cstheme="minorHAnsi"/>
          <w:szCs w:val="20"/>
        </w:rPr>
      </w:pPr>
    </w:p>
    <w:p w14:paraId="64F3E1A0" w14:textId="77777777" w:rsidR="005E0299" w:rsidRPr="00CE06AE" w:rsidRDefault="005E0299" w:rsidP="004C19B5">
      <w:pPr>
        <w:spacing w:line="480" w:lineRule="auto"/>
        <w:rPr>
          <w:rFonts w:eastAsia="Times New Roman" w:cstheme="minorHAnsi"/>
          <w:b/>
          <w:bCs/>
          <w:szCs w:val="20"/>
        </w:rPr>
      </w:pPr>
      <w:r w:rsidRPr="00CE06AE">
        <w:rPr>
          <w:rFonts w:eastAsia="Times New Roman" w:cstheme="minorHAnsi"/>
          <w:b/>
          <w:bCs/>
          <w:szCs w:val="20"/>
        </w:rPr>
        <w:t>Defenses to Negligence Claims</w:t>
      </w:r>
    </w:p>
    <w:p w14:paraId="7B239EBF" w14:textId="77777777" w:rsidR="005E0299" w:rsidRPr="00CE06AE" w:rsidRDefault="005E0299" w:rsidP="004C19B5">
      <w:pPr>
        <w:shd w:val="clear" w:color="auto" w:fill="FFFFFF"/>
        <w:spacing w:after="120" w:line="480" w:lineRule="auto"/>
        <w:textAlignment w:val="baseline"/>
        <w:rPr>
          <w:rFonts w:eastAsia="Times New Roman" w:cstheme="minorHAnsi"/>
          <w:szCs w:val="20"/>
        </w:rPr>
      </w:pPr>
      <w:r w:rsidRPr="00CE06AE">
        <w:rPr>
          <w:rFonts w:eastAsia="Times New Roman" w:cstheme="minorHAnsi"/>
          <w:szCs w:val="20"/>
        </w:rPr>
        <w:t>There are several potential defenses to negligence claims:</w:t>
      </w:r>
    </w:p>
    <w:p w14:paraId="208E0D9C" w14:textId="77777777" w:rsidR="005E0299" w:rsidRDefault="005E0299" w:rsidP="00224AC9">
      <w:pPr>
        <w:numPr>
          <w:ilvl w:val="0"/>
          <w:numId w:val="21"/>
        </w:numPr>
        <w:spacing w:line="480" w:lineRule="auto"/>
        <w:ind w:left="0"/>
        <w:textAlignment w:val="baseline"/>
        <w:rPr>
          <w:rFonts w:eastAsia="Times New Roman" w:cstheme="minorHAnsi"/>
          <w:szCs w:val="20"/>
        </w:rPr>
      </w:pPr>
      <w:r w:rsidRPr="00CE06AE">
        <w:rPr>
          <w:rFonts w:eastAsia="Times New Roman" w:cstheme="minorHAnsi"/>
          <w:b/>
          <w:bCs/>
          <w:szCs w:val="20"/>
          <w:bdr w:val="none" w:sz="0" w:space="0" w:color="auto" w:frame="1"/>
        </w:rPr>
        <w:t>Contributory and Comparative Negligence—</w:t>
      </w:r>
      <w:r w:rsidRPr="00CE06AE">
        <w:rPr>
          <w:rFonts w:eastAsia="Times New Roman" w:cstheme="minorHAnsi"/>
          <w:szCs w:val="20"/>
        </w:rPr>
        <w:t>Contributory negligence arises if a plaintiff’s actions contributed to the harm. It acts as a complete defense to negligence such that a defendant will not be found liable for his or her actions because the plaintiff’s actions added to the harm. Comparative negligence is used by most states to ease the harshness of contributory negligence by reducing the plaintiff’s award to the extent his actions caused the harm.</w:t>
      </w:r>
    </w:p>
    <w:p w14:paraId="04ACD5D8" w14:textId="77777777" w:rsidR="005E0299" w:rsidRPr="00CE06AE" w:rsidRDefault="005E0299" w:rsidP="004C19B5">
      <w:pPr>
        <w:spacing w:line="480" w:lineRule="auto"/>
        <w:textAlignment w:val="baseline"/>
        <w:rPr>
          <w:rFonts w:eastAsia="Times New Roman" w:cstheme="minorHAnsi"/>
          <w:szCs w:val="20"/>
        </w:rPr>
      </w:pPr>
    </w:p>
    <w:p w14:paraId="75946D79" w14:textId="77777777" w:rsidR="005E0299" w:rsidRDefault="005E0299" w:rsidP="00224AC9">
      <w:pPr>
        <w:numPr>
          <w:ilvl w:val="0"/>
          <w:numId w:val="21"/>
        </w:numPr>
        <w:spacing w:line="480" w:lineRule="auto"/>
        <w:ind w:left="0"/>
        <w:textAlignment w:val="baseline"/>
        <w:rPr>
          <w:rFonts w:eastAsia="Times New Roman" w:cstheme="minorHAnsi"/>
          <w:szCs w:val="20"/>
        </w:rPr>
      </w:pPr>
      <w:r w:rsidRPr="00CE06AE">
        <w:rPr>
          <w:rFonts w:eastAsia="Times New Roman" w:cstheme="minorHAnsi"/>
          <w:b/>
          <w:bCs/>
          <w:szCs w:val="20"/>
          <w:bdr w:val="none" w:sz="0" w:space="0" w:color="auto" w:frame="1"/>
        </w:rPr>
        <w:lastRenderedPageBreak/>
        <w:t>Assumption of Risk—</w:t>
      </w:r>
      <w:r w:rsidRPr="00CE06AE">
        <w:rPr>
          <w:rFonts w:eastAsia="Times New Roman" w:cstheme="minorHAnsi"/>
          <w:szCs w:val="20"/>
        </w:rPr>
        <w:t>Assumption of risk was traditionally seen as a complete bar to recovery if a plaintiff understood the risk and voluntary assumed it either expressly or impliedly. In some states, implied assumption of risk has been incorporated into the concept of comparative negligence, so it is no longer a complete bar to recovery.</w:t>
      </w:r>
    </w:p>
    <w:p w14:paraId="5A38A907" w14:textId="77777777" w:rsidR="005E0299" w:rsidRPr="00CE06AE" w:rsidRDefault="005E0299" w:rsidP="004C19B5">
      <w:pPr>
        <w:spacing w:line="480" w:lineRule="auto"/>
        <w:textAlignment w:val="baseline"/>
        <w:rPr>
          <w:rFonts w:eastAsia="Times New Roman" w:cstheme="minorHAnsi"/>
          <w:szCs w:val="20"/>
        </w:rPr>
      </w:pPr>
    </w:p>
    <w:p w14:paraId="4AB944F0" w14:textId="77777777" w:rsidR="005E0299" w:rsidRDefault="005E0299" w:rsidP="00224AC9">
      <w:pPr>
        <w:numPr>
          <w:ilvl w:val="0"/>
          <w:numId w:val="21"/>
        </w:numPr>
        <w:spacing w:line="480" w:lineRule="auto"/>
        <w:ind w:left="0"/>
        <w:textAlignment w:val="baseline"/>
        <w:rPr>
          <w:rFonts w:eastAsia="Times New Roman" w:cstheme="minorHAnsi"/>
          <w:szCs w:val="20"/>
        </w:rPr>
      </w:pPr>
      <w:r w:rsidRPr="00CE06AE">
        <w:rPr>
          <w:rFonts w:eastAsia="Times New Roman" w:cstheme="minorHAnsi"/>
          <w:szCs w:val="20"/>
        </w:rPr>
        <w:t>Immunity—Immunity protects defendants from potential tort liabilities. The immunity defense is the most significant defense to negligence claims arising in the context of an emergency response scenario. (See </w:t>
      </w:r>
      <w:hyperlink r:id="rId48" w:history="1">
        <w:r w:rsidRPr="00CE06AE">
          <w:rPr>
            <w:rFonts w:eastAsia="Times New Roman" w:cstheme="minorHAnsi"/>
            <w:color w:val="2E74B5" w:themeColor="accent5" w:themeShade="BF"/>
            <w:szCs w:val="20"/>
            <w:bdr w:val="none" w:sz="0" w:space="0" w:color="auto" w:frame="1"/>
          </w:rPr>
          <w:t>Immunity</w:t>
        </w:r>
      </w:hyperlink>
      <w:r w:rsidRPr="00CE06AE">
        <w:rPr>
          <w:rFonts w:eastAsia="Times New Roman" w:cstheme="minorHAnsi"/>
          <w:color w:val="2E74B5" w:themeColor="accent5" w:themeShade="BF"/>
          <w:szCs w:val="20"/>
        </w:rPr>
        <w:t xml:space="preserve"> fact </w:t>
      </w:r>
      <w:r w:rsidRPr="00CE06AE">
        <w:rPr>
          <w:rFonts w:eastAsia="Times New Roman" w:cstheme="minorHAnsi"/>
          <w:szCs w:val="20"/>
        </w:rPr>
        <w:t>sheet.)</w:t>
      </w:r>
    </w:p>
    <w:p w14:paraId="40968B65" w14:textId="77777777" w:rsidR="005E0299" w:rsidRPr="00CE06AE" w:rsidRDefault="005E0299" w:rsidP="004C19B5">
      <w:pPr>
        <w:spacing w:line="480" w:lineRule="auto"/>
        <w:textAlignment w:val="baseline"/>
        <w:rPr>
          <w:rFonts w:eastAsia="Times New Roman" w:cstheme="minorHAnsi"/>
          <w:szCs w:val="20"/>
        </w:rPr>
      </w:pPr>
    </w:p>
    <w:p w14:paraId="6A6E8438" w14:textId="77777777" w:rsidR="005E0299" w:rsidRPr="00CE06AE" w:rsidRDefault="005E0299" w:rsidP="004C19B5">
      <w:pPr>
        <w:spacing w:line="480" w:lineRule="auto"/>
        <w:rPr>
          <w:rFonts w:eastAsia="Times New Roman" w:cstheme="minorHAnsi"/>
          <w:b/>
          <w:bCs/>
          <w:color w:val="3C3030"/>
          <w:sz w:val="24"/>
          <w:szCs w:val="24"/>
        </w:rPr>
      </w:pPr>
      <w:r w:rsidRPr="00CE06AE">
        <w:rPr>
          <w:rFonts w:eastAsia="Times New Roman" w:cstheme="minorHAnsi"/>
          <w:b/>
          <w:bCs/>
          <w:color w:val="3C3030"/>
          <w:sz w:val="24"/>
          <w:szCs w:val="24"/>
        </w:rPr>
        <w:t>Statutory and Regulatory Violations</w:t>
      </w:r>
    </w:p>
    <w:p w14:paraId="2CD35314" w14:textId="77777777" w:rsidR="005E0299" w:rsidRPr="00C42C59" w:rsidRDefault="005E0299" w:rsidP="004C19B5">
      <w:pPr>
        <w:shd w:val="clear" w:color="auto" w:fill="FFFFFF"/>
        <w:spacing w:line="480" w:lineRule="auto"/>
        <w:textAlignment w:val="baseline"/>
        <w:rPr>
          <w:rFonts w:eastAsia="Times New Roman" w:cstheme="minorHAnsi"/>
          <w:szCs w:val="20"/>
        </w:rPr>
      </w:pPr>
      <w:r w:rsidRPr="00CE06AE">
        <w:rPr>
          <w:rFonts w:eastAsia="Times New Roman" w:cstheme="minorHAnsi"/>
          <w:szCs w:val="20"/>
        </w:rPr>
        <w:t>In addition to the right of parties to bring contractual and tort-based claims, state and federal laws may also specifically allow individual persons and entities to sue others based on violations of statutes or regulations (known as a private cause of action). To the extent that federal and state governments have waived sovereign immunity, governments and officials in their individual capacities may be subject to private lawsuits for statutory or regulatory violations. There are many potential areas in which state and federal statutory and regulatory requirements could be intentionally or inadvertently violated during an emergency response scenario. Some federal statutes that could form the basis for a claim include HIPAA, the Americans with Disabilities Act (ADA), the Emergency Medical Treatment and Labor Act (EMTALA), and 42 U.S. Code Section 1983 civil rights violations. Potential sources for state-based claims include violations of state civil rights and antidiscrimination laws and violations of state professional licensing requirements. Governors have the authority to temporarily waive or suspend regulatory and, potentially, some statutory requirements during a declared state emergency. Similarly, the HHS secretary is authorized under </w:t>
      </w:r>
      <w:hyperlink r:id="rId49" w:anchor="Social-Security-Act,-Section-1135" w:history="1">
        <w:r w:rsidRPr="00CE06AE">
          <w:rPr>
            <w:rFonts w:eastAsia="Times New Roman" w:cstheme="minorHAnsi"/>
            <w:szCs w:val="20"/>
            <w:bdr w:val="none" w:sz="0" w:space="0" w:color="auto" w:frame="1"/>
          </w:rPr>
          <w:t>Social Security Act (SSA) Section 1135</w:t>
        </w:r>
      </w:hyperlink>
      <w:r w:rsidRPr="00CE06AE">
        <w:rPr>
          <w:rFonts w:eastAsia="Times New Roman" w:cstheme="minorHAnsi"/>
          <w:szCs w:val="20"/>
        </w:rPr>
        <w:t xml:space="preserve"> to waive certain requirements </w:t>
      </w:r>
      <w:r w:rsidRPr="00CE06AE">
        <w:rPr>
          <w:rFonts w:eastAsia="Times New Roman" w:cstheme="minorHAnsi"/>
          <w:szCs w:val="20"/>
        </w:rPr>
        <w:lastRenderedPageBreak/>
        <w:t>during public health emergencies. States can evaluate which requirements to retain and which to temporarily suspend to ease compliance and facilitate response and recovery efforts. </w:t>
      </w:r>
    </w:p>
    <w:p w14:paraId="4226EDF9" w14:textId="77777777" w:rsidR="005E0299" w:rsidRPr="00CE06AE" w:rsidRDefault="005E0299" w:rsidP="004C19B5">
      <w:pPr>
        <w:shd w:val="clear" w:color="auto" w:fill="FFFFFF"/>
        <w:spacing w:line="480" w:lineRule="auto"/>
        <w:textAlignment w:val="baseline"/>
        <w:rPr>
          <w:rFonts w:eastAsia="Times New Roman" w:cstheme="minorHAnsi"/>
          <w:szCs w:val="20"/>
        </w:rPr>
      </w:pPr>
    </w:p>
    <w:p w14:paraId="6A843CC6" w14:textId="77777777" w:rsidR="005E0299" w:rsidRPr="00CE06AE" w:rsidRDefault="005E0299" w:rsidP="004C19B5">
      <w:pPr>
        <w:spacing w:line="480" w:lineRule="auto"/>
        <w:rPr>
          <w:rFonts w:eastAsia="Times New Roman" w:cstheme="minorHAnsi"/>
          <w:b/>
          <w:bCs/>
          <w:color w:val="3C3030"/>
          <w:sz w:val="24"/>
          <w:szCs w:val="24"/>
        </w:rPr>
      </w:pPr>
      <w:r w:rsidRPr="00CE06AE">
        <w:rPr>
          <w:rFonts w:eastAsia="Times New Roman" w:cstheme="minorHAnsi"/>
          <w:b/>
          <w:bCs/>
          <w:color w:val="3C3030"/>
          <w:sz w:val="24"/>
          <w:szCs w:val="24"/>
        </w:rPr>
        <w:t>Constitutional Violations</w:t>
      </w:r>
    </w:p>
    <w:p w14:paraId="6E1C7788" w14:textId="77777777" w:rsidR="005E0299" w:rsidRPr="00C42C59" w:rsidRDefault="005E0299" w:rsidP="004C19B5">
      <w:pPr>
        <w:shd w:val="clear" w:color="auto" w:fill="FFFFFF"/>
        <w:spacing w:line="480" w:lineRule="auto"/>
        <w:textAlignment w:val="baseline"/>
        <w:rPr>
          <w:rFonts w:eastAsia="Times New Roman" w:cstheme="minorHAnsi"/>
          <w:szCs w:val="20"/>
        </w:rPr>
      </w:pPr>
      <w:r w:rsidRPr="00CE06AE">
        <w:rPr>
          <w:rFonts w:eastAsia="Times New Roman" w:cstheme="minorHAnsi"/>
          <w:szCs w:val="20"/>
        </w:rPr>
        <w:t>The U.S. Constitution, the Bill of Rights, and state constitutions identify fundamental rights that, if violated, can give rise to claims. Parties could assert constitutional claims in addition to tort claims against public officials and entities, including violations of freedom of speech and association (1st Amendment), unreasonable searches and seizures (4th Amendment), cruel and unusual punishment (8th Amendment), due process (5th and 14th Amendments), and equal protection (14th Amendment). Parallel violations grounded on state constitutional claims could also be envisioned. </w:t>
      </w:r>
    </w:p>
    <w:p w14:paraId="5522830F" w14:textId="77777777" w:rsidR="005E0299" w:rsidRPr="00CE06AE" w:rsidRDefault="005E0299" w:rsidP="004C19B5">
      <w:pPr>
        <w:shd w:val="clear" w:color="auto" w:fill="FFFFFF"/>
        <w:spacing w:line="480" w:lineRule="auto"/>
        <w:textAlignment w:val="baseline"/>
        <w:rPr>
          <w:rFonts w:eastAsia="Times New Roman" w:cstheme="minorHAnsi"/>
          <w:szCs w:val="20"/>
        </w:rPr>
      </w:pPr>
    </w:p>
    <w:p w14:paraId="280AAA98" w14:textId="77777777" w:rsidR="005E0299" w:rsidRPr="00CE06AE" w:rsidRDefault="005E0299" w:rsidP="004C19B5">
      <w:pPr>
        <w:spacing w:line="480" w:lineRule="auto"/>
        <w:rPr>
          <w:rFonts w:eastAsia="Times New Roman" w:cstheme="minorHAnsi"/>
          <w:b/>
          <w:bCs/>
          <w:color w:val="3C3030"/>
          <w:sz w:val="24"/>
          <w:szCs w:val="24"/>
        </w:rPr>
      </w:pPr>
      <w:r w:rsidRPr="00CE06AE">
        <w:rPr>
          <w:rFonts w:eastAsia="Times New Roman" w:cstheme="minorHAnsi"/>
          <w:b/>
          <w:bCs/>
          <w:color w:val="3C3030"/>
          <w:sz w:val="24"/>
          <w:szCs w:val="24"/>
        </w:rPr>
        <w:t>Criminal Liability</w:t>
      </w:r>
    </w:p>
    <w:p w14:paraId="3C3F6262" w14:textId="77777777" w:rsidR="005E0299" w:rsidRPr="00C42C59" w:rsidRDefault="005E0299" w:rsidP="004C19B5">
      <w:pPr>
        <w:shd w:val="clear" w:color="auto" w:fill="FFFFFF"/>
        <w:spacing w:line="480" w:lineRule="auto"/>
        <w:textAlignment w:val="baseline"/>
        <w:rPr>
          <w:rFonts w:eastAsia="Times New Roman" w:cstheme="minorHAnsi"/>
          <w:szCs w:val="20"/>
        </w:rPr>
      </w:pPr>
      <w:r w:rsidRPr="00CE06AE">
        <w:rPr>
          <w:rFonts w:eastAsia="Times New Roman" w:cstheme="minorHAnsi"/>
          <w:szCs w:val="20"/>
        </w:rPr>
        <w:t>As with civil liability, both individuals and organizational entities can be liable for criminal sanctions based on their actions during an emergency response event. Criminal prosecutions of first responders, healthcare providers, and volunteers involved in emergency response activities are most likely to occur where there has been egregious or willful misconduct on the part of the actor. Ultimately, however, the decision to seek prosecution in any given situation is a matter of prosecutorial discretion and the decision of a grand jury to indict.</w:t>
      </w:r>
    </w:p>
    <w:p w14:paraId="66AE2948" w14:textId="77777777" w:rsidR="005E0299" w:rsidRPr="00C42C59" w:rsidRDefault="005E0299" w:rsidP="004C19B5">
      <w:pPr>
        <w:shd w:val="clear" w:color="auto" w:fill="FFFFFF"/>
        <w:spacing w:line="480" w:lineRule="auto"/>
        <w:textAlignment w:val="baseline"/>
        <w:rPr>
          <w:rFonts w:eastAsia="Times New Roman" w:cstheme="minorHAnsi"/>
          <w:szCs w:val="20"/>
        </w:rPr>
      </w:pPr>
    </w:p>
    <w:p w14:paraId="4272ADA3" w14:textId="77777777" w:rsidR="005E0299" w:rsidRDefault="005E0299" w:rsidP="004C19B5">
      <w:pPr>
        <w:shd w:val="clear" w:color="auto" w:fill="FFFFFF"/>
        <w:spacing w:line="480" w:lineRule="auto"/>
        <w:textAlignment w:val="baseline"/>
        <w:rPr>
          <w:rFonts w:eastAsia="Times New Roman" w:cstheme="minorHAnsi"/>
          <w:szCs w:val="20"/>
        </w:rPr>
      </w:pPr>
      <w:r>
        <w:rPr>
          <w:rFonts w:eastAsia="Times New Roman" w:cstheme="minorHAnsi"/>
          <w:szCs w:val="20"/>
        </w:rPr>
        <w:t>___________________________________________________________________</w:t>
      </w:r>
    </w:p>
    <w:p w14:paraId="447C1111" w14:textId="77777777" w:rsidR="005E0299" w:rsidRPr="00CE06AE" w:rsidRDefault="005E0299" w:rsidP="004C19B5">
      <w:pPr>
        <w:shd w:val="clear" w:color="auto" w:fill="FFFFFF"/>
        <w:spacing w:line="480" w:lineRule="auto"/>
        <w:textAlignment w:val="baseline"/>
        <w:rPr>
          <w:rFonts w:eastAsia="Times New Roman" w:cstheme="minorHAnsi"/>
          <w:szCs w:val="20"/>
        </w:rPr>
      </w:pPr>
    </w:p>
    <w:p w14:paraId="66A7A49F" w14:textId="77777777" w:rsidR="005E0299" w:rsidRPr="00CE06AE" w:rsidRDefault="005E0299" w:rsidP="004C19B5">
      <w:pPr>
        <w:spacing w:line="480" w:lineRule="auto"/>
        <w:rPr>
          <w:rFonts w:eastAsia="Times New Roman" w:cstheme="minorHAnsi"/>
          <w:b/>
          <w:bCs/>
          <w:color w:val="3C3030"/>
          <w:sz w:val="24"/>
          <w:szCs w:val="24"/>
        </w:rPr>
      </w:pPr>
      <w:r w:rsidRPr="00CE06AE">
        <w:rPr>
          <w:rFonts w:eastAsia="Times New Roman" w:cstheme="minorHAnsi"/>
          <w:b/>
          <w:bCs/>
          <w:color w:val="3C3030"/>
          <w:sz w:val="24"/>
          <w:szCs w:val="24"/>
        </w:rPr>
        <w:t>Sources</w:t>
      </w:r>
    </w:p>
    <w:p w14:paraId="486353BC" w14:textId="77777777" w:rsidR="005E0299" w:rsidRPr="009E1462" w:rsidRDefault="005E0299" w:rsidP="009E1462">
      <w:pPr>
        <w:pStyle w:val="ListParagraph"/>
        <w:numPr>
          <w:ilvl w:val="0"/>
          <w:numId w:val="63"/>
        </w:numPr>
        <w:spacing w:after="120" w:line="480" w:lineRule="auto"/>
        <w:textAlignment w:val="baseline"/>
        <w:rPr>
          <w:rFonts w:eastAsia="Times New Roman" w:cstheme="minorHAnsi"/>
          <w:szCs w:val="20"/>
        </w:rPr>
      </w:pPr>
      <w:r w:rsidRPr="009E1462">
        <w:rPr>
          <w:rFonts w:eastAsia="Times New Roman" w:cstheme="minorHAnsi"/>
          <w:szCs w:val="20"/>
        </w:rPr>
        <w:t>Chu V. Congressional Research Service. </w:t>
      </w:r>
      <w:r w:rsidRPr="009E1462">
        <w:rPr>
          <w:rFonts w:eastAsia="Times New Roman" w:cstheme="minorHAnsi"/>
          <w:i/>
          <w:iCs/>
          <w:szCs w:val="20"/>
          <w:bdr w:val="none" w:sz="0" w:space="0" w:color="auto" w:frame="1"/>
        </w:rPr>
        <w:t>Emergency Response: Civil Liability of Volunteer Health Professionals </w:t>
      </w:r>
      <w:r w:rsidRPr="009E1462">
        <w:rPr>
          <w:rFonts w:eastAsia="Times New Roman" w:cstheme="minorHAnsi"/>
          <w:szCs w:val="20"/>
        </w:rPr>
        <w:t>(R40176). January 19, 2011.</w:t>
      </w:r>
    </w:p>
    <w:p w14:paraId="25902352" w14:textId="77777777" w:rsidR="005E0299" w:rsidRPr="009E1462" w:rsidRDefault="005E0299" w:rsidP="009E1462">
      <w:pPr>
        <w:pStyle w:val="ListParagraph"/>
        <w:numPr>
          <w:ilvl w:val="0"/>
          <w:numId w:val="63"/>
        </w:numPr>
        <w:spacing w:after="120" w:line="480" w:lineRule="auto"/>
        <w:textAlignment w:val="baseline"/>
        <w:rPr>
          <w:rFonts w:eastAsia="Times New Roman" w:cstheme="minorHAnsi"/>
          <w:szCs w:val="20"/>
        </w:rPr>
      </w:pPr>
      <w:r w:rsidRPr="009E1462">
        <w:rPr>
          <w:rFonts w:eastAsia="Times New Roman" w:cstheme="minorHAnsi"/>
          <w:szCs w:val="20"/>
        </w:rPr>
        <w:lastRenderedPageBreak/>
        <w:t>FEMA. </w:t>
      </w:r>
      <w:r w:rsidRPr="009E1462">
        <w:rPr>
          <w:rFonts w:eastAsia="Times New Roman" w:cstheme="minorHAnsi"/>
          <w:i/>
          <w:iCs/>
          <w:szCs w:val="20"/>
          <w:bdr w:val="none" w:sz="0" w:space="0" w:color="auto" w:frame="1"/>
        </w:rPr>
        <w:t>Citizen Corps Volunteer Liability Guide</w:t>
      </w:r>
      <w:r w:rsidRPr="009E1462">
        <w:rPr>
          <w:rFonts w:eastAsia="Times New Roman" w:cstheme="minorHAnsi"/>
          <w:szCs w:val="20"/>
        </w:rPr>
        <w:t>. Undated. Available at www.citizencorps.gov. Accessed May 30, 2013.</w:t>
      </w:r>
    </w:p>
    <w:p w14:paraId="25A7DA55" w14:textId="77777777" w:rsidR="005E0299" w:rsidRPr="009E1462" w:rsidRDefault="005E0299" w:rsidP="009E1462">
      <w:pPr>
        <w:pStyle w:val="ListParagraph"/>
        <w:numPr>
          <w:ilvl w:val="0"/>
          <w:numId w:val="63"/>
        </w:numPr>
        <w:spacing w:after="120" w:line="480" w:lineRule="auto"/>
        <w:textAlignment w:val="baseline"/>
        <w:rPr>
          <w:rFonts w:eastAsia="Times New Roman" w:cstheme="minorHAnsi"/>
          <w:szCs w:val="20"/>
        </w:rPr>
      </w:pPr>
      <w:r w:rsidRPr="009E1462">
        <w:rPr>
          <w:rFonts w:eastAsia="Times New Roman" w:cstheme="minorHAnsi"/>
          <w:szCs w:val="20"/>
        </w:rPr>
        <w:t>Health Resources and Services Administration. </w:t>
      </w:r>
      <w:r w:rsidRPr="009E1462">
        <w:rPr>
          <w:rFonts w:eastAsia="Times New Roman" w:cstheme="minorHAnsi"/>
          <w:i/>
          <w:iCs/>
          <w:szCs w:val="20"/>
          <w:bdr w:val="none" w:sz="0" w:space="0" w:color="auto" w:frame="1"/>
        </w:rPr>
        <w:t>Emergency System for Advance Registration of Volunteer Health Professionals (ESAR-VHP)—Legal and Regulatory Issues</w:t>
      </w:r>
      <w:r w:rsidRPr="009E1462">
        <w:rPr>
          <w:rFonts w:eastAsia="Times New Roman" w:cstheme="minorHAnsi"/>
          <w:szCs w:val="20"/>
        </w:rPr>
        <w:t>. (Draft Report—May 2006). Available at </w:t>
      </w:r>
      <w:hyperlink r:id="rId50" w:tooltip="http://www.publichealthlaw.net/Research/PDF/ESAR%20VHP%20Report.pdf" w:history="1">
        <w:r w:rsidRPr="009E1462">
          <w:rPr>
            <w:rFonts w:eastAsia="Times New Roman" w:cstheme="minorHAnsi"/>
            <w:color w:val="0F88B8"/>
            <w:szCs w:val="20"/>
            <w:bdr w:val="none" w:sz="0" w:space="0" w:color="auto" w:frame="1"/>
          </w:rPr>
          <w:t>http://www.publichealthlaw.net/Research/PDF/ESAR%20VHP%20Report.pdf</w:t>
        </w:r>
      </w:hyperlink>
      <w:r w:rsidRPr="009E1462">
        <w:rPr>
          <w:rFonts w:eastAsia="Times New Roman" w:cstheme="minorHAnsi"/>
          <w:color w:val="737373"/>
          <w:szCs w:val="20"/>
        </w:rPr>
        <w:t xml:space="preserve">. </w:t>
      </w:r>
      <w:r w:rsidRPr="009E1462">
        <w:rPr>
          <w:rFonts w:eastAsia="Times New Roman" w:cstheme="minorHAnsi"/>
          <w:szCs w:val="20"/>
        </w:rPr>
        <w:t>Accessed May 30, 2013.</w:t>
      </w:r>
    </w:p>
    <w:p w14:paraId="336FA4AE" w14:textId="77777777" w:rsidR="005E0299" w:rsidRPr="009E1462" w:rsidRDefault="005E0299" w:rsidP="009E1462">
      <w:pPr>
        <w:pStyle w:val="ListParagraph"/>
        <w:numPr>
          <w:ilvl w:val="0"/>
          <w:numId w:val="63"/>
        </w:numPr>
        <w:spacing w:after="120" w:line="480" w:lineRule="auto"/>
        <w:textAlignment w:val="baseline"/>
        <w:rPr>
          <w:rFonts w:eastAsia="Times New Roman" w:cstheme="minorHAnsi"/>
          <w:szCs w:val="20"/>
        </w:rPr>
      </w:pPr>
      <w:r w:rsidRPr="009E1462">
        <w:rPr>
          <w:rFonts w:eastAsia="Times New Roman" w:cstheme="minorHAnsi"/>
          <w:szCs w:val="20"/>
        </w:rPr>
        <w:t>Hoffman S. “Responders’ Responsibility: Liability and Immunity in Public Health Emergencies,” 96 Geo. L.J. 1913, 1944 (2008).</w:t>
      </w:r>
    </w:p>
    <w:p w14:paraId="5D0D6AB8" w14:textId="631E487E" w:rsidR="005E0299" w:rsidRDefault="005E0299" w:rsidP="004C19B5">
      <w:pPr>
        <w:spacing w:line="480" w:lineRule="auto"/>
        <w:rPr>
          <w:rFonts w:cstheme="minorHAnsi"/>
          <w:sz w:val="24"/>
        </w:rPr>
      </w:pPr>
    </w:p>
    <w:p w14:paraId="170B4247" w14:textId="77777777" w:rsidR="009E1462" w:rsidRDefault="009E1462" w:rsidP="009E1462">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TOC t</w:t>
        </w:r>
        <w:r w:rsidRPr="00B16B87">
          <w:rPr>
            <w:rStyle w:val="Hyperlink"/>
            <w:rFonts w:ascii="Calibri" w:hAnsi="Calibri" w:cs="Calibri"/>
            <w:sz w:val="24"/>
          </w:rPr>
          <w:t>o</w:t>
        </w:r>
        <w:r w:rsidRPr="00B16B87">
          <w:rPr>
            <w:rStyle w:val="Hyperlink"/>
            <w:rFonts w:ascii="Calibri" w:hAnsi="Calibri" w:cs="Calibri"/>
            <w:sz w:val="24"/>
          </w:rPr>
          <w:t>p</w:t>
        </w:r>
      </w:hyperlink>
      <w:r>
        <w:rPr>
          <w:rFonts w:ascii="Calibri" w:hAnsi="Calibri" w:cs="Calibri"/>
          <w:sz w:val="24"/>
        </w:rPr>
        <w:t>]</w:t>
      </w:r>
    </w:p>
    <w:p w14:paraId="1BCFF419" w14:textId="25FA620E" w:rsidR="009E1462" w:rsidRDefault="009E1462">
      <w:pPr>
        <w:rPr>
          <w:rFonts w:cstheme="minorHAnsi"/>
          <w:sz w:val="24"/>
        </w:rPr>
      </w:pPr>
      <w:r>
        <w:rPr>
          <w:rFonts w:cstheme="minorHAnsi"/>
          <w:sz w:val="24"/>
        </w:rPr>
        <w:br w:type="page"/>
      </w:r>
    </w:p>
    <w:p w14:paraId="15C84AE4" w14:textId="77777777" w:rsidR="005E0299" w:rsidRPr="006B1F28" w:rsidRDefault="005E0299" w:rsidP="004C19B5">
      <w:pPr>
        <w:spacing w:after="120"/>
        <w:rPr>
          <w:rFonts w:eastAsia="Times New Roman" w:cs="Helvetica"/>
          <w:b/>
          <w:bCs/>
          <w:color w:val="333333"/>
          <w:spacing w:val="15"/>
          <w:kern w:val="36"/>
          <w:sz w:val="28"/>
          <w:szCs w:val="28"/>
        </w:rPr>
      </w:pPr>
      <w:bookmarkStart w:id="9" w:name="MutualAid_FS"/>
      <w:r w:rsidRPr="006B1F28">
        <w:rPr>
          <w:rFonts w:eastAsia="Times New Roman" w:cs="Helvetica"/>
          <w:b/>
          <w:bCs/>
          <w:color w:val="333333"/>
          <w:spacing w:val="15"/>
          <w:kern w:val="36"/>
          <w:sz w:val="28"/>
          <w:szCs w:val="28"/>
        </w:rPr>
        <w:lastRenderedPageBreak/>
        <w:t>Mutual Aid and Assistance Agreements</w:t>
      </w:r>
      <w:bookmarkEnd w:id="9"/>
    </w:p>
    <w:p w14:paraId="3FEDC6E6" w14:textId="77777777" w:rsidR="005E0299" w:rsidRPr="006B1F28" w:rsidRDefault="005E0299" w:rsidP="004C19B5">
      <w:pPr>
        <w:rPr>
          <w:rFonts w:eastAsia="Times New Roman" w:cs="Arial"/>
          <w:b/>
          <w:bCs/>
          <w:color w:val="3C3030"/>
          <w:sz w:val="24"/>
          <w:szCs w:val="24"/>
        </w:rPr>
      </w:pPr>
      <w:r w:rsidRPr="006B1F28">
        <w:rPr>
          <w:rFonts w:eastAsia="Times New Roman" w:cs="Arial"/>
          <w:b/>
          <w:bCs/>
          <w:color w:val="3C3030"/>
          <w:sz w:val="24"/>
          <w:szCs w:val="24"/>
        </w:rPr>
        <w:t>Fact Sheet</w:t>
      </w:r>
    </w:p>
    <w:p w14:paraId="1FF436A1" w14:textId="77777777" w:rsidR="005E0299" w:rsidRPr="006B1F28" w:rsidRDefault="005E0299" w:rsidP="004C19B5">
      <w:pPr>
        <w:shd w:val="clear" w:color="auto" w:fill="FFFFFF"/>
        <w:textAlignment w:val="baseline"/>
        <w:rPr>
          <w:rFonts w:eastAsia="Times New Roman" w:cs="Arial"/>
          <w:color w:val="737373"/>
          <w:sz w:val="20"/>
          <w:szCs w:val="20"/>
        </w:rPr>
      </w:pPr>
      <w:r w:rsidRPr="006B1F28">
        <w:rPr>
          <w:rFonts w:eastAsia="Times New Roman" w:cs="Arial"/>
          <w:color w:val="737373"/>
          <w:sz w:val="20"/>
          <w:szCs w:val="20"/>
        </w:rPr>
        <w:t> </w:t>
      </w:r>
    </w:p>
    <w:p w14:paraId="76E0867E" w14:textId="77777777" w:rsidR="005E0299" w:rsidRPr="006B1F28" w:rsidRDefault="005E0299" w:rsidP="004C19B5">
      <w:pPr>
        <w:spacing w:line="480" w:lineRule="auto"/>
        <w:rPr>
          <w:rFonts w:eastAsia="Times New Roman" w:cs="Arial"/>
          <w:b/>
          <w:bCs/>
          <w:color w:val="3C3030"/>
          <w:sz w:val="24"/>
          <w:szCs w:val="24"/>
        </w:rPr>
      </w:pPr>
      <w:r w:rsidRPr="006B1F28">
        <w:rPr>
          <w:rFonts w:eastAsia="Times New Roman" w:cs="Arial"/>
          <w:b/>
          <w:bCs/>
          <w:color w:val="3C3030"/>
          <w:sz w:val="24"/>
          <w:szCs w:val="24"/>
        </w:rPr>
        <w:t>Overview</w:t>
      </w:r>
    </w:p>
    <w:p w14:paraId="1E947EF8" w14:textId="77777777" w:rsidR="005E0299" w:rsidRPr="007F490A" w:rsidRDefault="005E0299" w:rsidP="004C19B5">
      <w:pPr>
        <w:shd w:val="clear" w:color="auto" w:fill="FFFFFF"/>
        <w:spacing w:line="480" w:lineRule="auto"/>
        <w:textAlignment w:val="baseline"/>
        <w:rPr>
          <w:rFonts w:eastAsia="Times New Roman" w:cs="Arial"/>
          <w:szCs w:val="20"/>
        </w:rPr>
      </w:pPr>
      <w:r w:rsidRPr="006B1F28">
        <w:rPr>
          <w:rFonts w:eastAsia="Times New Roman" w:cs="Arial"/>
          <w:szCs w:val="20"/>
        </w:rPr>
        <w:t>Mutual aid agreements and other types of assistance agreements facilitate the rapid sharing of emergency aid and resources among governments and organizations at all levels. These can involve pre-existing agreements like the </w:t>
      </w:r>
      <w:hyperlink r:id="rId51" w:anchor="Emergency-Management" w:tooltip="Emergency Management Assistance Compact (EMAC)" w:history="1">
        <w:r w:rsidRPr="006B1F28">
          <w:rPr>
            <w:rFonts w:eastAsia="Times New Roman" w:cs="Arial"/>
            <w:color w:val="0F88B8"/>
            <w:szCs w:val="20"/>
            <w:bdr w:val="none" w:sz="0" w:space="0" w:color="auto" w:frame="1"/>
          </w:rPr>
          <w:t>Emergency Management Assistance Compact (EMAC)</w:t>
        </w:r>
      </w:hyperlink>
      <w:r w:rsidRPr="006B1F28">
        <w:rPr>
          <w:rFonts w:eastAsia="Times New Roman" w:cs="Arial"/>
          <w:color w:val="737373"/>
          <w:szCs w:val="20"/>
        </w:rPr>
        <w:t> </w:t>
      </w:r>
      <w:r w:rsidRPr="006B1F28">
        <w:rPr>
          <w:rFonts w:eastAsia="Times New Roman" w:cs="Arial"/>
          <w:szCs w:val="20"/>
        </w:rPr>
        <w:t xml:space="preserve">or may require the creation of new instruments to address emerging events or parties outside of existing compacts. Depending on the nature and extent of an agreement, a state’s laws may govern the formation and operation of the mutual aid arrangement. </w:t>
      </w:r>
    </w:p>
    <w:p w14:paraId="41D7B8D9" w14:textId="77777777" w:rsidR="005E0299" w:rsidRPr="006B1F28" w:rsidRDefault="005E0299" w:rsidP="004C19B5">
      <w:pPr>
        <w:shd w:val="clear" w:color="auto" w:fill="FFFFFF"/>
        <w:spacing w:line="480" w:lineRule="auto"/>
        <w:textAlignment w:val="baseline"/>
        <w:rPr>
          <w:rFonts w:eastAsia="Times New Roman" w:cs="Arial"/>
          <w:szCs w:val="20"/>
        </w:rPr>
      </w:pPr>
    </w:p>
    <w:p w14:paraId="0BDB44FC" w14:textId="77777777" w:rsidR="005E0299" w:rsidRPr="006B1F28" w:rsidRDefault="005E0299" w:rsidP="004C19B5">
      <w:pPr>
        <w:spacing w:line="480" w:lineRule="auto"/>
        <w:rPr>
          <w:rFonts w:eastAsia="Times New Roman" w:cs="Arial"/>
          <w:b/>
          <w:bCs/>
          <w:color w:val="3C3030"/>
          <w:sz w:val="24"/>
          <w:szCs w:val="24"/>
        </w:rPr>
      </w:pPr>
      <w:r w:rsidRPr="006B1F28">
        <w:rPr>
          <w:rFonts w:eastAsia="Times New Roman" w:cs="Arial"/>
          <w:b/>
          <w:bCs/>
          <w:color w:val="3C3030"/>
          <w:sz w:val="24"/>
          <w:szCs w:val="24"/>
        </w:rPr>
        <w:t>Mutual Aid and Assistance Agreements</w:t>
      </w:r>
    </w:p>
    <w:p w14:paraId="75F23D74" w14:textId="77777777" w:rsidR="005E0299" w:rsidRPr="007F490A" w:rsidRDefault="005E0299" w:rsidP="004C19B5">
      <w:pPr>
        <w:shd w:val="clear" w:color="auto" w:fill="FFFFFF"/>
        <w:spacing w:line="480" w:lineRule="auto"/>
        <w:textAlignment w:val="baseline"/>
        <w:rPr>
          <w:rFonts w:eastAsia="Times New Roman" w:cs="Arial"/>
          <w:sz w:val="16"/>
          <w:szCs w:val="14"/>
          <w:bdr w:val="none" w:sz="0" w:space="0" w:color="auto" w:frame="1"/>
          <w:vertAlign w:val="superscript"/>
        </w:rPr>
      </w:pPr>
      <w:r w:rsidRPr="006B1F28">
        <w:rPr>
          <w:rFonts w:eastAsia="Times New Roman" w:cs="Arial"/>
          <w:szCs w:val="20"/>
        </w:rPr>
        <w:t>Mutual aid agreements (MAAs) and other types of arrangements to provide assistance before, during, and after an emergency event facilitate the rapid mobilization of personnel, equipment, and supplies. The agreements can occur at multiple levels of government: between state/local agencies; between a state and localities in the state; between two or more states in a region; between states and tribes; or internationally between states and neighboring jurisdictions in Canada or Mexico. MAAs can also exist among a variety of organizational types, including governments, nonprofit organizations, and private businesses. The agreements can range in format from formal compacts adopted into statute by a state’s legislature to informal memoranda of understanding that outline how governmental and private resources will provide aid within a specific community. Emergency MAAs typically address emergency management, fire, law enforcement, and medical response issues, although they can address other issues (see below). Participation in MAAs is seen as an important component of the federal </w:t>
      </w:r>
      <w:hyperlink r:id="rId52" w:anchor="National-Incident-Management-System-(NIMS)" w:tooltip="National Incident Management System (NIMS)" w:history="1">
        <w:r w:rsidRPr="006B1F28">
          <w:rPr>
            <w:rFonts w:eastAsia="Times New Roman" w:cs="Arial"/>
            <w:color w:val="0F88B8"/>
            <w:szCs w:val="20"/>
            <w:bdr w:val="none" w:sz="0" w:space="0" w:color="auto" w:frame="1"/>
          </w:rPr>
          <w:t>National Incident Management System (NIMS)</w:t>
        </w:r>
      </w:hyperlink>
      <w:r w:rsidRPr="006B1F28">
        <w:rPr>
          <w:rFonts w:eastAsia="Times New Roman" w:cs="Arial"/>
          <w:szCs w:val="20"/>
        </w:rPr>
        <w:t xml:space="preserve">, which is intended to provide a systematic approach to guide </w:t>
      </w:r>
      <w:r w:rsidRPr="006B1F28">
        <w:rPr>
          <w:rFonts w:eastAsia="Times New Roman" w:cs="Arial"/>
          <w:szCs w:val="20"/>
        </w:rPr>
        <w:lastRenderedPageBreak/>
        <w:t>governments at all levels, nongovernmental organizations, and the private sector in collaborative emergency preparedness and response activities.</w:t>
      </w:r>
      <w:r w:rsidRPr="006B1F28">
        <w:rPr>
          <w:rFonts w:eastAsia="Times New Roman" w:cs="Arial"/>
          <w:sz w:val="16"/>
          <w:szCs w:val="14"/>
          <w:bdr w:val="none" w:sz="0" w:space="0" w:color="auto" w:frame="1"/>
          <w:vertAlign w:val="superscript"/>
        </w:rPr>
        <w:t>1 </w:t>
      </w:r>
    </w:p>
    <w:p w14:paraId="692C7709" w14:textId="77777777" w:rsidR="005E0299" w:rsidRPr="006B1F28" w:rsidRDefault="005E0299" w:rsidP="004C19B5">
      <w:pPr>
        <w:shd w:val="clear" w:color="auto" w:fill="FFFFFF"/>
        <w:spacing w:line="480" w:lineRule="auto"/>
        <w:textAlignment w:val="baseline"/>
        <w:rPr>
          <w:rFonts w:eastAsia="Times New Roman" w:cs="Arial"/>
          <w:sz w:val="24"/>
          <w:szCs w:val="20"/>
        </w:rPr>
      </w:pPr>
    </w:p>
    <w:p w14:paraId="69DF83B0" w14:textId="77777777" w:rsidR="005E0299" w:rsidRPr="006B1F28" w:rsidRDefault="005E0299" w:rsidP="004C19B5">
      <w:pPr>
        <w:spacing w:line="480" w:lineRule="auto"/>
        <w:rPr>
          <w:rFonts w:eastAsia="Times New Roman" w:cs="Arial"/>
          <w:b/>
          <w:bCs/>
          <w:szCs w:val="20"/>
        </w:rPr>
      </w:pPr>
      <w:r w:rsidRPr="006B1F28">
        <w:rPr>
          <w:rFonts w:eastAsia="Times New Roman" w:cs="Arial"/>
          <w:b/>
          <w:bCs/>
          <w:szCs w:val="20"/>
        </w:rPr>
        <w:t>Authority for Mutual Aid</w:t>
      </w:r>
    </w:p>
    <w:p w14:paraId="3ECBD499" w14:textId="77777777" w:rsidR="005E0299" w:rsidRPr="006B1F28" w:rsidRDefault="005E0299" w:rsidP="004C19B5">
      <w:pPr>
        <w:shd w:val="clear" w:color="auto" w:fill="FFFFFF"/>
        <w:spacing w:line="480" w:lineRule="auto"/>
        <w:textAlignment w:val="baseline"/>
        <w:rPr>
          <w:rFonts w:eastAsia="Times New Roman" w:cs="Arial"/>
          <w:szCs w:val="20"/>
        </w:rPr>
      </w:pPr>
      <w:r w:rsidRPr="006B1F28">
        <w:rPr>
          <w:rFonts w:eastAsia="Times New Roman" w:cs="Arial"/>
          <w:szCs w:val="20"/>
        </w:rPr>
        <w:t>Depending on the type of MAA, a state legislature may have to formally approve a state’s participation in the agreement and memorialize it in statute, such as in the case of EMAC (see below). State law or regulation may also establish legal requirements that govern the creation and operation of aid and assistance agreements in the state generally. These state-specific requirements can affect intrastate agreements between localities and other parties, as well as interstate agreements between the state and other parties. To operationalize MAAs, the federal government, states, localities, and other organizations party to aid agreements have developed specific policies, protocols, and resource-typing definitions that dictate delivery of aid. In addition to the legal requirements for administering aid, ongoing training, exercising, and updating of aid agreements and the policies and protocols implementing them is a key factor in effectively delivering mutual aid. </w:t>
      </w:r>
    </w:p>
    <w:p w14:paraId="2CA7CD5F" w14:textId="77777777" w:rsidR="005E0299" w:rsidRPr="007F490A" w:rsidRDefault="005E0299" w:rsidP="004C19B5">
      <w:pPr>
        <w:spacing w:line="480" w:lineRule="auto"/>
        <w:rPr>
          <w:rFonts w:eastAsia="Times New Roman" w:cs="Arial"/>
          <w:b/>
          <w:bCs/>
          <w:szCs w:val="20"/>
        </w:rPr>
      </w:pPr>
    </w:p>
    <w:p w14:paraId="3C7E7C8B" w14:textId="77777777" w:rsidR="005E0299" w:rsidRPr="006B1F28" w:rsidRDefault="005E0299" w:rsidP="004C19B5">
      <w:pPr>
        <w:spacing w:line="480" w:lineRule="auto"/>
        <w:rPr>
          <w:rFonts w:eastAsia="Times New Roman" w:cs="Arial"/>
          <w:b/>
          <w:bCs/>
          <w:szCs w:val="20"/>
        </w:rPr>
      </w:pPr>
      <w:r w:rsidRPr="006B1F28">
        <w:rPr>
          <w:rFonts w:eastAsia="Times New Roman" w:cs="Arial"/>
          <w:b/>
          <w:bCs/>
          <w:szCs w:val="20"/>
        </w:rPr>
        <w:t>Elements in Mutual Aid and Assistance Agreements</w:t>
      </w:r>
    </w:p>
    <w:p w14:paraId="5B7CC1D4" w14:textId="77777777" w:rsidR="005E0299" w:rsidRPr="006B1F28" w:rsidRDefault="005E0299" w:rsidP="004C19B5">
      <w:pPr>
        <w:shd w:val="clear" w:color="auto" w:fill="FFFFFF"/>
        <w:spacing w:after="60" w:line="480" w:lineRule="auto"/>
        <w:textAlignment w:val="baseline"/>
        <w:rPr>
          <w:rFonts w:eastAsia="Times New Roman" w:cs="Arial"/>
        </w:rPr>
      </w:pPr>
      <w:r w:rsidRPr="006B1F28">
        <w:rPr>
          <w:rFonts w:eastAsia="Times New Roman" w:cs="Arial"/>
        </w:rPr>
        <w:t>While an established MAA like EMAC or model aid agreement may require the inclusion of specific language in an agreement, the U.S. Department of Homeland Security has identified through NIMS a number of important elements that should generally be included in MAAs</w:t>
      </w:r>
      <w:r w:rsidRPr="006B1F28">
        <w:rPr>
          <w:rFonts w:eastAsia="Times New Roman" w:cs="Arial"/>
          <w:bdr w:val="none" w:sz="0" w:space="0" w:color="auto" w:frame="1"/>
          <w:vertAlign w:val="superscript"/>
        </w:rPr>
        <w:t>1</w:t>
      </w:r>
      <w:r w:rsidRPr="006B1F28">
        <w:rPr>
          <w:rFonts w:eastAsia="Times New Roman" w:cs="Arial"/>
        </w:rPr>
        <w:t>:</w:t>
      </w:r>
    </w:p>
    <w:p w14:paraId="5C24B9FB" w14:textId="77777777" w:rsidR="005E0299" w:rsidRPr="007F490A" w:rsidRDefault="005E0299" w:rsidP="00224AC9">
      <w:pPr>
        <w:pStyle w:val="ListParagraph"/>
        <w:numPr>
          <w:ilvl w:val="0"/>
          <w:numId w:val="25"/>
        </w:numPr>
        <w:spacing w:after="60" w:line="480" w:lineRule="auto"/>
        <w:contextualSpacing w:val="0"/>
        <w:textAlignment w:val="baseline"/>
        <w:rPr>
          <w:rFonts w:eastAsia="Times New Roman" w:cs="Arial"/>
        </w:rPr>
      </w:pPr>
      <w:r w:rsidRPr="007F490A">
        <w:rPr>
          <w:rFonts w:eastAsia="Times New Roman" w:cs="Arial"/>
        </w:rPr>
        <w:t>Definitions of key terms.</w:t>
      </w:r>
    </w:p>
    <w:p w14:paraId="07FFB578" w14:textId="77777777" w:rsidR="005E0299" w:rsidRPr="007F490A" w:rsidRDefault="005E0299" w:rsidP="00224AC9">
      <w:pPr>
        <w:pStyle w:val="ListParagraph"/>
        <w:numPr>
          <w:ilvl w:val="0"/>
          <w:numId w:val="25"/>
        </w:numPr>
        <w:spacing w:after="60" w:line="480" w:lineRule="auto"/>
        <w:contextualSpacing w:val="0"/>
        <w:textAlignment w:val="baseline"/>
        <w:rPr>
          <w:rFonts w:eastAsia="Times New Roman" w:cs="Arial"/>
        </w:rPr>
      </w:pPr>
      <w:r w:rsidRPr="007F490A">
        <w:rPr>
          <w:rFonts w:eastAsia="Times New Roman" w:cs="Arial"/>
        </w:rPr>
        <w:t>Procedures for requesting and providing aid.</w:t>
      </w:r>
    </w:p>
    <w:p w14:paraId="77E1638E" w14:textId="77777777" w:rsidR="005E0299" w:rsidRPr="007F490A" w:rsidRDefault="005E0299" w:rsidP="00224AC9">
      <w:pPr>
        <w:pStyle w:val="ListParagraph"/>
        <w:numPr>
          <w:ilvl w:val="0"/>
          <w:numId w:val="25"/>
        </w:numPr>
        <w:spacing w:after="60" w:line="480" w:lineRule="auto"/>
        <w:contextualSpacing w:val="0"/>
        <w:textAlignment w:val="baseline"/>
        <w:rPr>
          <w:rFonts w:eastAsia="Times New Roman" w:cs="Arial"/>
        </w:rPr>
      </w:pPr>
      <w:r w:rsidRPr="007F490A">
        <w:rPr>
          <w:rFonts w:eastAsia="Times New Roman" w:cs="Arial"/>
        </w:rPr>
        <w:t>Payment, reimbursement, and allocation of costs.</w:t>
      </w:r>
    </w:p>
    <w:p w14:paraId="1CB529D0" w14:textId="77777777" w:rsidR="005E0299" w:rsidRPr="007F490A" w:rsidRDefault="005E0299" w:rsidP="00224AC9">
      <w:pPr>
        <w:pStyle w:val="ListParagraph"/>
        <w:numPr>
          <w:ilvl w:val="0"/>
          <w:numId w:val="25"/>
        </w:numPr>
        <w:spacing w:after="60" w:line="480" w:lineRule="auto"/>
        <w:contextualSpacing w:val="0"/>
        <w:textAlignment w:val="baseline"/>
        <w:rPr>
          <w:rFonts w:eastAsia="Times New Roman" w:cs="Arial"/>
        </w:rPr>
      </w:pPr>
      <w:r w:rsidRPr="007F490A">
        <w:rPr>
          <w:rFonts w:eastAsia="Times New Roman" w:cs="Arial"/>
        </w:rPr>
        <w:t>Notification procedures.</w:t>
      </w:r>
    </w:p>
    <w:p w14:paraId="6D11C157" w14:textId="77777777" w:rsidR="005E0299" w:rsidRPr="007F490A" w:rsidRDefault="005E0299" w:rsidP="00224AC9">
      <w:pPr>
        <w:pStyle w:val="ListParagraph"/>
        <w:numPr>
          <w:ilvl w:val="0"/>
          <w:numId w:val="25"/>
        </w:numPr>
        <w:spacing w:after="60" w:line="480" w:lineRule="auto"/>
        <w:contextualSpacing w:val="0"/>
        <w:textAlignment w:val="baseline"/>
        <w:rPr>
          <w:rFonts w:eastAsia="Times New Roman" w:cs="Arial"/>
        </w:rPr>
      </w:pPr>
      <w:r w:rsidRPr="007F490A">
        <w:rPr>
          <w:rFonts w:eastAsia="Times New Roman" w:cs="Arial"/>
        </w:rPr>
        <w:lastRenderedPageBreak/>
        <w:t>Roles and responsibilities of individual parties.</w:t>
      </w:r>
    </w:p>
    <w:p w14:paraId="5D3309F5" w14:textId="77777777" w:rsidR="005E0299" w:rsidRPr="007F490A" w:rsidRDefault="005E0299" w:rsidP="00224AC9">
      <w:pPr>
        <w:pStyle w:val="ListParagraph"/>
        <w:numPr>
          <w:ilvl w:val="0"/>
          <w:numId w:val="25"/>
        </w:numPr>
        <w:spacing w:after="60" w:line="480" w:lineRule="auto"/>
        <w:contextualSpacing w:val="0"/>
        <w:textAlignment w:val="baseline"/>
        <w:rPr>
          <w:rFonts w:eastAsia="Times New Roman" w:cs="Arial"/>
        </w:rPr>
      </w:pPr>
      <w:r w:rsidRPr="007F490A">
        <w:rPr>
          <w:rFonts w:eastAsia="Times New Roman" w:cs="Arial"/>
        </w:rPr>
        <w:t>Protocols for interoperable communications.</w:t>
      </w:r>
    </w:p>
    <w:p w14:paraId="0A11F6D1" w14:textId="77777777" w:rsidR="005E0299" w:rsidRPr="007F490A" w:rsidRDefault="005E0299" w:rsidP="00224AC9">
      <w:pPr>
        <w:pStyle w:val="ListParagraph"/>
        <w:numPr>
          <w:ilvl w:val="0"/>
          <w:numId w:val="25"/>
        </w:numPr>
        <w:spacing w:after="60" w:line="480" w:lineRule="auto"/>
        <w:contextualSpacing w:val="0"/>
        <w:textAlignment w:val="baseline"/>
        <w:rPr>
          <w:rFonts w:eastAsia="Times New Roman" w:cs="Arial"/>
        </w:rPr>
      </w:pPr>
      <w:r w:rsidRPr="007F490A">
        <w:rPr>
          <w:rFonts w:eastAsia="Times New Roman" w:cs="Arial"/>
        </w:rPr>
        <w:t>Relationships to other MAAs.</w:t>
      </w:r>
    </w:p>
    <w:p w14:paraId="6E36583C" w14:textId="77777777" w:rsidR="005E0299" w:rsidRPr="007F490A" w:rsidRDefault="005E0299" w:rsidP="00224AC9">
      <w:pPr>
        <w:pStyle w:val="ListParagraph"/>
        <w:numPr>
          <w:ilvl w:val="0"/>
          <w:numId w:val="25"/>
        </w:numPr>
        <w:spacing w:after="60" w:line="480" w:lineRule="auto"/>
        <w:contextualSpacing w:val="0"/>
        <w:textAlignment w:val="baseline"/>
        <w:rPr>
          <w:rFonts w:eastAsia="Times New Roman" w:cs="Arial"/>
        </w:rPr>
      </w:pPr>
      <w:r w:rsidRPr="007F490A">
        <w:rPr>
          <w:rFonts w:eastAsia="Times New Roman" w:cs="Arial"/>
        </w:rPr>
        <w:t>Recognition of licensures and certifications.</w:t>
      </w:r>
    </w:p>
    <w:p w14:paraId="35E3EB5C" w14:textId="77777777" w:rsidR="005E0299" w:rsidRPr="007F490A" w:rsidRDefault="005E0299" w:rsidP="00224AC9">
      <w:pPr>
        <w:pStyle w:val="ListParagraph"/>
        <w:numPr>
          <w:ilvl w:val="0"/>
          <w:numId w:val="25"/>
        </w:numPr>
        <w:spacing w:after="60" w:line="480" w:lineRule="auto"/>
        <w:contextualSpacing w:val="0"/>
        <w:textAlignment w:val="baseline"/>
        <w:rPr>
          <w:rFonts w:eastAsia="Times New Roman" w:cs="Arial"/>
        </w:rPr>
      </w:pPr>
      <w:r w:rsidRPr="007F490A">
        <w:rPr>
          <w:rFonts w:eastAsia="Times New Roman" w:cs="Arial"/>
        </w:rPr>
        <w:t>Sharing agreements.</w:t>
      </w:r>
    </w:p>
    <w:p w14:paraId="03C9021D" w14:textId="77777777" w:rsidR="005E0299" w:rsidRPr="007F490A" w:rsidRDefault="005E0299" w:rsidP="00224AC9">
      <w:pPr>
        <w:pStyle w:val="ListParagraph"/>
        <w:numPr>
          <w:ilvl w:val="0"/>
          <w:numId w:val="25"/>
        </w:numPr>
        <w:spacing w:after="60" w:line="480" w:lineRule="auto"/>
        <w:contextualSpacing w:val="0"/>
        <w:textAlignment w:val="baseline"/>
        <w:rPr>
          <w:rFonts w:eastAsia="Times New Roman" w:cs="Arial"/>
        </w:rPr>
      </w:pPr>
      <w:r w:rsidRPr="007F490A">
        <w:rPr>
          <w:rFonts w:eastAsia="Times New Roman" w:cs="Arial"/>
        </w:rPr>
        <w:t>Workers’ compensation.</w:t>
      </w:r>
    </w:p>
    <w:p w14:paraId="5162D645" w14:textId="77777777" w:rsidR="005E0299" w:rsidRPr="007F490A" w:rsidRDefault="005E0299" w:rsidP="00224AC9">
      <w:pPr>
        <w:pStyle w:val="ListParagraph"/>
        <w:numPr>
          <w:ilvl w:val="0"/>
          <w:numId w:val="25"/>
        </w:numPr>
        <w:spacing w:after="60" w:line="480" w:lineRule="auto"/>
        <w:contextualSpacing w:val="0"/>
        <w:textAlignment w:val="baseline"/>
        <w:rPr>
          <w:rFonts w:eastAsia="Times New Roman" w:cs="Arial"/>
        </w:rPr>
      </w:pPr>
      <w:r w:rsidRPr="007F490A">
        <w:rPr>
          <w:rFonts w:eastAsia="Times New Roman" w:cs="Arial"/>
        </w:rPr>
        <w:t>Liability and immunity.</w:t>
      </w:r>
    </w:p>
    <w:p w14:paraId="57C2F6B2" w14:textId="77777777" w:rsidR="005E0299" w:rsidRPr="007F490A" w:rsidRDefault="005E0299" w:rsidP="00224AC9">
      <w:pPr>
        <w:pStyle w:val="ListParagraph"/>
        <w:numPr>
          <w:ilvl w:val="0"/>
          <w:numId w:val="25"/>
        </w:numPr>
        <w:spacing w:line="480" w:lineRule="auto"/>
        <w:textAlignment w:val="baseline"/>
        <w:rPr>
          <w:rFonts w:eastAsia="Times New Roman" w:cs="Arial"/>
        </w:rPr>
      </w:pPr>
      <w:r w:rsidRPr="007F490A">
        <w:rPr>
          <w:rFonts w:eastAsia="Times New Roman" w:cs="Arial"/>
        </w:rPr>
        <w:t>Provisions to update and terminate the agreement.</w:t>
      </w:r>
    </w:p>
    <w:p w14:paraId="6D7EFE80" w14:textId="77777777" w:rsidR="005E0299" w:rsidRPr="006B1F28" w:rsidRDefault="005E0299" w:rsidP="004C19B5">
      <w:pPr>
        <w:spacing w:line="480" w:lineRule="auto"/>
        <w:textAlignment w:val="baseline"/>
        <w:rPr>
          <w:rFonts w:eastAsia="Times New Roman" w:cs="Arial"/>
        </w:rPr>
      </w:pPr>
    </w:p>
    <w:p w14:paraId="3BF66DA9" w14:textId="77777777" w:rsidR="005E0299" w:rsidRPr="006B1F28" w:rsidRDefault="005E0299" w:rsidP="004C19B5">
      <w:pPr>
        <w:spacing w:line="480" w:lineRule="auto"/>
        <w:rPr>
          <w:rFonts w:eastAsia="Times New Roman" w:cs="Arial"/>
          <w:b/>
          <w:bCs/>
        </w:rPr>
      </w:pPr>
      <w:r w:rsidRPr="006B1F28">
        <w:rPr>
          <w:rFonts w:eastAsia="Times New Roman" w:cs="Arial"/>
          <w:b/>
          <w:bCs/>
        </w:rPr>
        <w:t>Reimbursement, Liability, and Compensation</w:t>
      </w:r>
    </w:p>
    <w:p w14:paraId="77D9BB4A" w14:textId="77777777" w:rsidR="005E0299" w:rsidRPr="006B1F28" w:rsidRDefault="005E0299" w:rsidP="004C19B5">
      <w:pPr>
        <w:shd w:val="clear" w:color="auto" w:fill="FFFFFF"/>
        <w:spacing w:line="480" w:lineRule="auto"/>
        <w:textAlignment w:val="baseline"/>
        <w:rPr>
          <w:rFonts w:eastAsia="Times New Roman" w:cs="Arial"/>
        </w:rPr>
      </w:pPr>
      <w:r w:rsidRPr="006B1F28">
        <w:rPr>
          <w:rFonts w:eastAsia="Times New Roman" w:cs="Arial"/>
        </w:rPr>
        <w:t>Aid agreements expedite emergency response by establishing protocols for requesting and providing assistance and determining policies and procedures for reimbursement and compensation in advance, thereby eliminating or lessening the extent to which these issues must be negotiated with each new event. Formalized, pre-event aid agreements can also expedite FEMA reimbursement for services, equipment, and supplies delivered via mutual aid. FEMA will reimburse mutual aid costs if the aid was requested (i.e., no spontaneous responders), the assistance requested directly related to a disaster eligible for FEMA assistance, and occurred under a signed, written mutual aid agreement.</w:t>
      </w:r>
      <w:r w:rsidRPr="006B1F28">
        <w:rPr>
          <w:rFonts w:eastAsia="Times New Roman" w:cs="Arial"/>
          <w:bdr w:val="none" w:sz="0" w:space="0" w:color="auto" w:frame="1"/>
          <w:vertAlign w:val="superscript"/>
        </w:rPr>
        <w:t>2</w:t>
      </w:r>
      <w:r w:rsidRPr="006B1F28">
        <w:rPr>
          <w:rFonts w:eastAsia="Times New Roman" w:cs="Arial"/>
        </w:rPr>
        <w:t>The aid agreement must apply in all situations, not just to events that trigger a federal</w:t>
      </w:r>
      <w:r w:rsidRPr="006B1F28">
        <w:rPr>
          <w:rFonts w:eastAsia="Times New Roman" w:cs="Arial"/>
          <w:color w:val="737373"/>
        </w:rPr>
        <w:t> </w:t>
      </w:r>
      <w:hyperlink r:id="rId53" w:anchor="Stafford-Act" w:tooltip="Stafford Act" w:history="1">
        <w:r w:rsidRPr="006B1F28">
          <w:rPr>
            <w:rFonts w:eastAsia="Times New Roman" w:cs="Arial"/>
            <w:color w:val="0F88B8"/>
            <w:bdr w:val="none" w:sz="0" w:space="0" w:color="auto" w:frame="1"/>
          </w:rPr>
          <w:t>Stafford Act</w:t>
        </w:r>
      </w:hyperlink>
      <w:r w:rsidRPr="006B1F28">
        <w:rPr>
          <w:rFonts w:eastAsia="Times New Roman" w:cs="Arial"/>
          <w:color w:val="737373"/>
        </w:rPr>
        <w:t> </w:t>
      </w:r>
      <w:r w:rsidRPr="006B1F28">
        <w:rPr>
          <w:rFonts w:eastAsia="Times New Roman" w:cs="Arial"/>
        </w:rPr>
        <w:t>emergency/disaster declaration or that are eligible for federal aid. Only the entity requesting mutual aid is eligible to apply for grant assistance directly from FEMA; entities providing aid must seek reimbursement from the requesting entity. FEMA will reimburse for verbal aid agreements, but these must be documented in writing post-event and signed by an official of each entity as a condition to receive FEMA reimbursement. </w:t>
      </w:r>
    </w:p>
    <w:p w14:paraId="76F31059" w14:textId="77777777" w:rsidR="005E0299" w:rsidRPr="00C54BEC" w:rsidRDefault="005E0299" w:rsidP="004C19B5">
      <w:pPr>
        <w:spacing w:line="480" w:lineRule="auto"/>
        <w:rPr>
          <w:rFonts w:eastAsia="Times New Roman" w:cs="Arial"/>
          <w:b/>
          <w:bCs/>
        </w:rPr>
      </w:pPr>
    </w:p>
    <w:p w14:paraId="65C719F2" w14:textId="77777777" w:rsidR="005E0299" w:rsidRPr="006B1F28" w:rsidRDefault="005E0299" w:rsidP="004C19B5">
      <w:pPr>
        <w:spacing w:line="480" w:lineRule="auto"/>
        <w:rPr>
          <w:rFonts w:eastAsia="Times New Roman" w:cs="Arial"/>
          <w:b/>
          <w:bCs/>
          <w:color w:val="3C3030"/>
          <w:sz w:val="24"/>
          <w:szCs w:val="24"/>
        </w:rPr>
      </w:pPr>
      <w:r w:rsidRPr="006B1F28">
        <w:rPr>
          <w:rFonts w:eastAsia="Times New Roman" w:cs="Arial"/>
          <w:b/>
          <w:bCs/>
          <w:color w:val="3C3030"/>
          <w:sz w:val="24"/>
          <w:szCs w:val="24"/>
        </w:rPr>
        <w:t>Emergency Management Assistance Compact (EMAC)</w:t>
      </w:r>
    </w:p>
    <w:p w14:paraId="223B3D3F" w14:textId="77777777" w:rsidR="005E0299" w:rsidRDefault="005E0299" w:rsidP="004C19B5">
      <w:pPr>
        <w:shd w:val="clear" w:color="auto" w:fill="FFFFFF"/>
        <w:spacing w:line="480" w:lineRule="auto"/>
        <w:textAlignment w:val="baseline"/>
        <w:rPr>
          <w:rFonts w:eastAsia="Times New Roman" w:cs="Arial"/>
          <w:bdr w:val="none" w:sz="0" w:space="0" w:color="auto" w:frame="1"/>
          <w:vertAlign w:val="superscript"/>
        </w:rPr>
      </w:pPr>
      <w:r w:rsidRPr="006B1F28">
        <w:rPr>
          <w:rFonts w:eastAsia="Times New Roman" w:cs="Arial"/>
        </w:rPr>
        <w:t>EMAC is a type of MAA that facilitates the sharing of assistance among states during emergency events, including natural and man-made disasters. EMAC was ratified by the U.S. Congress in 1996.</w:t>
      </w:r>
      <w:r w:rsidRPr="006B1F28">
        <w:rPr>
          <w:rFonts w:eastAsia="Times New Roman" w:cs="Arial"/>
          <w:bdr w:val="none" w:sz="0" w:space="0" w:color="auto" w:frame="1"/>
          <w:vertAlign w:val="superscript"/>
        </w:rPr>
        <w:t>3</w:t>
      </w:r>
      <w:r w:rsidRPr="006B1F28">
        <w:rPr>
          <w:rFonts w:eastAsia="Times New Roman" w:cs="Arial"/>
        </w:rPr>
        <w:t> It is the most widely adopted MAA in the United States; EMAC has been adopted by all states, the District of Columbia, and some territories.</w:t>
      </w:r>
      <w:r w:rsidRPr="006B1F28">
        <w:rPr>
          <w:rFonts w:eastAsia="Times New Roman" w:cs="Arial"/>
          <w:bdr w:val="none" w:sz="0" w:space="0" w:color="auto" w:frame="1"/>
          <w:vertAlign w:val="superscript"/>
        </w:rPr>
        <w:t>4</w:t>
      </w:r>
      <w:r w:rsidRPr="006B1F28">
        <w:rPr>
          <w:rFonts w:eastAsia="Times New Roman" w:cs="Arial"/>
        </w:rPr>
        <w:t> EMAC does not replace federal assistance but acts to complement federal resources or to provide resources when an event does not warrant federal assistance. EMAC is triggered by a requesting state through a gubernatorial declaration of emergency and a request for assistance made through the National Emergency Management Association (NEMA), the organization that administers EMAC.</w:t>
      </w:r>
      <w:r w:rsidRPr="006B1F28">
        <w:rPr>
          <w:rFonts w:eastAsia="Times New Roman" w:cs="Arial"/>
          <w:bdr w:val="none" w:sz="0" w:space="0" w:color="auto" w:frame="1"/>
          <w:vertAlign w:val="superscript"/>
        </w:rPr>
        <w:t>4</w:t>
      </w:r>
      <w:r w:rsidRPr="006B1F28">
        <w:rPr>
          <w:rFonts w:eastAsia="Times New Roman" w:cs="Arial"/>
        </w:rPr>
        <w:t> Assisting states respond to the request and provide the requested resources. </w:t>
      </w:r>
      <w:r w:rsidRPr="006B1F28">
        <w:rPr>
          <w:rFonts w:eastAsia="Times New Roman" w:cs="Arial"/>
        </w:rPr>
        <w:br/>
      </w:r>
      <w:r w:rsidRPr="006B1F28">
        <w:rPr>
          <w:rFonts w:eastAsia="Times New Roman" w:cs="Arial"/>
        </w:rPr>
        <w:br/>
        <w:t>Under EMAC the requesting state is responsible for compensating the assisting state for any expenses incurred.</w:t>
      </w:r>
      <w:r w:rsidRPr="006B1F28">
        <w:rPr>
          <w:rFonts w:eastAsia="Times New Roman" w:cs="Arial"/>
          <w:bdr w:val="none" w:sz="0" w:space="0" w:color="auto" w:frame="1"/>
          <w:vertAlign w:val="superscript"/>
        </w:rPr>
        <w:t>5</w:t>
      </w:r>
      <w:r w:rsidRPr="006B1F28">
        <w:rPr>
          <w:rFonts w:eastAsia="Times New Roman" w:cs="Arial"/>
        </w:rPr>
        <w:t> EMAC also addresses licensing, liability, and compensation issues for personnel deployed pursuant to an EMAC request. Those rendering aid under the compact are considered agents of the requesting state for tort liability and immunity purposes; no assisting state or its officers, employees, or others deployed by the state through EMAC are subject to liability for an act or omission that occurs in good faith.</w:t>
      </w:r>
      <w:r w:rsidRPr="006B1F28">
        <w:rPr>
          <w:rFonts w:eastAsia="Times New Roman" w:cs="Arial"/>
          <w:bdr w:val="none" w:sz="0" w:space="0" w:color="auto" w:frame="1"/>
          <w:vertAlign w:val="superscript"/>
        </w:rPr>
        <w:t>6</w:t>
      </w:r>
      <w:r w:rsidRPr="006B1F28">
        <w:rPr>
          <w:rFonts w:eastAsia="Times New Roman" w:cs="Arial"/>
        </w:rPr>
        <w:t> Willful misconduct, gross negligence, or recklessness are excluded from EMAC immunity. Because EMAC only applies to state officers or employees and others deployed by the state through EMAC, immunity protections and license reciprocity will not automatically extend to volunteers who provide services outside of EMAC. Volunteers would have to be made temporary government employees to be assured of coverage under EMAC. Similarly, local governments and their employees are not parties to EMAC unless they are specifically deemed to be state forces through an MAA with the state. The “Model State-County Mutual Aid Deployment Contract” is a model intergovernmental contract that allows local emergency responders to deploy under the auspices of EMAC.</w:t>
      </w:r>
      <w:r w:rsidRPr="006B1F28">
        <w:rPr>
          <w:rFonts w:eastAsia="Times New Roman" w:cs="Arial"/>
          <w:bdr w:val="none" w:sz="0" w:space="0" w:color="auto" w:frame="1"/>
          <w:vertAlign w:val="superscript"/>
        </w:rPr>
        <w:t>7</w:t>
      </w:r>
      <w:r w:rsidRPr="006B1F28">
        <w:rPr>
          <w:rFonts w:eastAsia="Times New Roman" w:cs="Arial"/>
        </w:rPr>
        <w:t xml:space="preserve"> Some states </w:t>
      </w:r>
      <w:r w:rsidRPr="006B1F28">
        <w:rPr>
          <w:rFonts w:eastAsia="Times New Roman" w:cs="Arial"/>
        </w:rPr>
        <w:lastRenderedPageBreak/>
        <w:t>have developed intrastate mutual aid systems that allow localities to request and provide aid within the state.</w:t>
      </w:r>
      <w:r w:rsidRPr="006B1F28">
        <w:rPr>
          <w:rFonts w:eastAsia="Times New Roman" w:cs="Arial"/>
          <w:bdr w:val="none" w:sz="0" w:space="0" w:color="auto" w:frame="1"/>
          <w:vertAlign w:val="superscript"/>
        </w:rPr>
        <w:t>7 </w:t>
      </w:r>
    </w:p>
    <w:p w14:paraId="55A955AE" w14:textId="77777777" w:rsidR="005E0299" w:rsidRPr="006B1F28" w:rsidRDefault="005E0299" w:rsidP="004C19B5">
      <w:pPr>
        <w:shd w:val="clear" w:color="auto" w:fill="FFFFFF"/>
        <w:spacing w:line="480" w:lineRule="auto"/>
        <w:textAlignment w:val="baseline"/>
        <w:rPr>
          <w:rFonts w:eastAsia="Times New Roman" w:cs="Arial"/>
        </w:rPr>
      </w:pPr>
    </w:p>
    <w:p w14:paraId="5C48CC1A" w14:textId="77777777" w:rsidR="005E0299" w:rsidRPr="006B1F28" w:rsidRDefault="005E0299" w:rsidP="004C19B5">
      <w:pPr>
        <w:spacing w:line="480" w:lineRule="auto"/>
        <w:rPr>
          <w:rFonts w:eastAsia="Times New Roman" w:cs="Arial"/>
          <w:b/>
          <w:bCs/>
          <w:color w:val="3C3030"/>
          <w:sz w:val="24"/>
          <w:szCs w:val="24"/>
        </w:rPr>
      </w:pPr>
      <w:r w:rsidRPr="006B1F28">
        <w:rPr>
          <w:rFonts w:eastAsia="Times New Roman" w:cs="Arial"/>
          <w:b/>
          <w:bCs/>
          <w:color w:val="3C3030"/>
          <w:sz w:val="24"/>
          <w:szCs w:val="24"/>
        </w:rPr>
        <w:t>Other Aid and Cooperation Agreements</w:t>
      </w:r>
    </w:p>
    <w:p w14:paraId="6FCADDC1" w14:textId="77777777" w:rsidR="005E0299" w:rsidRPr="00C54BEC" w:rsidRDefault="005E0299" w:rsidP="004C19B5">
      <w:pPr>
        <w:shd w:val="clear" w:color="auto" w:fill="FFFFFF"/>
        <w:spacing w:line="480" w:lineRule="auto"/>
        <w:textAlignment w:val="baseline"/>
        <w:rPr>
          <w:rFonts w:eastAsia="Times New Roman" w:cs="Arial"/>
        </w:rPr>
      </w:pPr>
    </w:p>
    <w:p w14:paraId="54AA2CEC" w14:textId="77777777" w:rsidR="005E0299" w:rsidRPr="006B1F28" w:rsidRDefault="005E0299" w:rsidP="004C19B5">
      <w:pPr>
        <w:shd w:val="clear" w:color="auto" w:fill="FFFFFF"/>
        <w:spacing w:line="480" w:lineRule="auto"/>
        <w:textAlignment w:val="baseline"/>
        <w:rPr>
          <w:rFonts w:eastAsia="Times New Roman" w:cs="Arial"/>
        </w:rPr>
      </w:pPr>
      <w:r w:rsidRPr="006B1F28">
        <w:rPr>
          <w:rFonts w:eastAsia="Times New Roman" w:cs="Arial"/>
        </w:rPr>
        <w:t xml:space="preserve">In addition to EMAC, other compacts and mutual aid agreements have been created in some regions. These include, for example, the “Pacific Northwest Emergency Management Agreement” and the “California, Nevada, and Oregon </w:t>
      </w:r>
      <w:proofErr w:type="spellStart"/>
      <w:r w:rsidRPr="006B1F28">
        <w:rPr>
          <w:rFonts w:eastAsia="Times New Roman" w:cs="Arial"/>
        </w:rPr>
        <w:t>Chempack</w:t>
      </w:r>
      <w:proofErr w:type="spellEnd"/>
      <w:r w:rsidRPr="006B1F28">
        <w:rPr>
          <w:rFonts w:eastAsia="Times New Roman" w:cs="Arial"/>
        </w:rPr>
        <w:t xml:space="preserve"> Sharing Procedures.”</w:t>
      </w:r>
      <w:r w:rsidRPr="006B1F28">
        <w:rPr>
          <w:rFonts w:eastAsia="Times New Roman" w:cs="Arial"/>
          <w:bdr w:val="none" w:sz="0" w:space="0" w:color="auto" w:frame="1"/>
          <w:vertAlign w:val="superscript"/>
        </w:rPr>
        <w:t>7</w:t>
      </w:r>
      <w:r w:rsidRPr="006B1F28">
        <w:rPr>
          <w:rFonts w:eastAsia="Times New Roman" w:cs="Arial"/>
        </w:rPr>
        <w:t> Other cooperation agreements that relate to public health activities generally but that also support emergency preparedness and response include the “Great Lakes Border Health Initiative Public Health Data Sharing Agreement” and the “Guidelines for U.S.-Mexico Coordination on Epidemiologic Events of Mutual Interest.”</w:t>
      </w:r>
      <w:r w:rsidRPr="006B1F28">
        <w:rPr>
          <w:rFonts w:eastAsia="Times New Roman" w:cs="Arial"/>
          <w:bdr w:val="none" w:sz="0" w:space="0" w:color="auto" w:frame="1"/>
          <w:vertAlign w:val="superscript"/>
        </w:rPr>
        <w:t>7</w:t>
      </w:r>
      <w:r w:rsidRPr="006B1F28">
        <w:rPr>
          <w:rFonts w:eastAsia="Times New Roman" w:cs="Arial"/>
        </w:rPr>
        <w:t> The “Model Intrastate Mutual Aid Legislation” was developed by NEMA to facilitate intrastate mutual aid among jurisdictions within a state.</w:t>
      </w:r>
      <w:r w:rsidRPr="006B1F28">
        <w:rPr>
          <w:rFonts w:eastAsia="Times New Roman" w:cs="Arial"/>
          <w:bdr w:val="none" w:sz="0" w:space="0" w:color="auto" w:frame="1"/>
          <w:vertAlign w:val="superscript"/>
        </w:rPr>
        <w:t>4</w:t>
      </w:r>
      <w:r w:rsidRPr="006B1F28">
        <w:rPr>
          <w:rFonts w:eastAsia="Times New Roman" w:cs="Arial"/>
        </w:rPr>
        <w:t> The subject matter of public health and emergency response-related MAAs can include emergency management and public health emergency management broadly, as well as focus on issues like public health data sharing, pandemic influenza preparedness, influenza surveillance, laboratory resource sharing, tuberculosis treatment and control, and animal health emergency management. </w:t>
      </w:r>
      <w:r w:rsidRPr="006B1F28">
        <w:rPr>
          <w:rFonts w:eastAsia="Times New Roman" w:cs="Arial"/>
        </w:rPr>
        <w:br/>
      </w:r>
      <w:r w:rsidRPr="006B1F28">
        <w:rPr>
          <w:rFonts w:eastAsia="Times New Roman" w:cs="Arial"/>
        </w:rPr>
        <w:br/>
        <w:t>Interstate agreements that address the needs of specific populations (e.g., the mentally or physically disabled, the elderly) or issues that may be outside the organizational control of a state public health agency (e.g., environment, agriculture) can also provide important resources and expertise when responding to public health and other emergencies. MAAs also exist between private businesses within particular sectors such as water and power utilities and healthcare operations.</w:t>
      </w:r>
      <w:r w:rsidRPr="006B1F28">
        <w:rPr>
          <w:rFonts w:eastAsia="Times New Roman" w:cs="Arial"/>
          <w:bdr w:val="none" w:sz="0" w:space="0" w:color="auto" w:frame="1"/>
          <w:vertAlign w:val="superscript"/>
        </w:rPr>
        <w:t>8,9</w:t>
      </w:r>
    </w:p>
    <w:p w14:paraId="1F8A44A9" w14:textId="77777777" w:rsidR="005E0299" w:rsidRPr="006B1F28" w:rsidRDefault="005E0299" w:rsidP="004C19B5">
      <w:pPr>
        <w:shd w:val="clear" w:color="auto" w:fill="FFFFFF"/>
        <w:spacing w:line="480" w:lineRule="auto"/>
        <w:textAlignment w:val="baseline"/>
        <w:rPr>
          <w:rFonts w:eastAsia="Times New Roman" w:cs="Arial"/>
        </w:rPr>
      </w:pPr>
      <w:r w:rsidRPr="006B1F28">
        <w:rPr>
          <w:rFonts w:eastAsia="Times New Roman" w:cs="Arial"/>
        </w:rPr>
        <w:t> </w:t>
      </w:r>
    </w:p>
    <w:p w14:paraId="1678C297" w14:textId="77777777" w:rsidR="005E0299" w:rsidRPr="006B1F28" w:rsidRDefault="005E0299" w:rsidP="004C19B5">
      <w:pPr>
        <w:spacing w:line="480" w:lineRule="auto"/>
        <w:rPr>
          <w:rFonts w:eastAsia="Times New Roman" w:cs="Arial"/>
          <w:b/>
          <w:bCs/>
          <w:color w:val="3C3030"/>
          <w:sz w:val="24"/>
          <w:szCs w:val="24"/>
        </w:rPr>
      </w:pPr>
      <w:r w:rsidRPr="006B1F28">
        <w:rPr>
          <w:rFonts w:eastAsia="Times New Roman" w:cs="Arial"/>
          <w:b/>
          <w:bCs/>
          <w:color w:val="3C3030"/>
          <w:sz w:val="24"/>
          <w:szCs w:val="24"/>
        </w:rPr>
        <w:lastRenderedPageBreak/>
        <w:t>Practice Notes</w:t>
      </w:r>
    </w:p>
    <w:p w14:paraId="31CDE15D" w14:textId="77777777" w:rsidR="005E0299" w:rsidRPr="00C54BEC" w:rsidRDefault="005E0299" w:rsidP="00224AC9">
      <w:pPr>
        <w:pStyle w:val="ListParagraph"/>
        <w:numPr>
          <w:ilvl w:val="0"/>
          <w:numId w:val="26"/>
        </w:numPr>
        <w:spacing w:after="120" w:line="480" w:lineRule="auto"/>
        <w:contextualSpacing w:val="0"/>
        <w:textAlignment w:val="baseline"/>
        <w:rPr>
          <w:rFonts w:eastAsia="Times New Roman" w:cs="Arial"/>
        </w:rPr>
      </w:pPr>
      <w:r w:rsidRPr="00C54BEC">
        <w:rPr>
          <w:rFonts w:eastAsia="Times New Roman" w:cs="Arial"/>
        </w:rPr>
        <w:t>Identify any statutory and regulatory provisions that govern the creation and operation of MAAs in your state.</w:t>
      </w:r>
    </w:p>
    <w:p w14:paraId="424B83B4" w14:textId="77777777" w:rsidR="005E0299" w:rsidRPr="00C54BEC" w:rsidRDefault="005E0299" w:rsidP="00224AC9">
      <w:pPr>
        <w:pStyle w:val="ListParagraph"/>
        <w:numPr>
          <w:ilvl w:val="0"/>
          <w:numId w:val="26"/>
        </w:numPr>
        <w:spacing w:after="120" w:line="480" w:lineRule="auto"/>
        <w:contextualSpacing w:val="0"/>
        <w:textAlignment w:val="baseline"/>
        <w:rPr>
          <w:rFonts w:eastAsia="Times New Roman" w:cs="Arial"/>
        </w:rPr>
      </w:pPr>
      <w:r w:rsidRPr="00C54BEC">
        <w:rPr>
          <w:rFonts w:eastAsia="Times New Roman" w:cs="Arial"/>
        </w:rPr>
        <w:t>Identify the various MAAs and any other cooperation agreements through which the state and its agencies can receive or provide aid.</w:t>
      </w:r>
    </w:p>
    <w:p w14:paraId="66085ED7" w14:textId="77777777" w:rsidR="005E0299" w:rsidRPr="00C54BEC" w:rsidRDefault="005E0299" w:rsidP="00224AC9">
      <w:pPr>
        <w:pStyle w:val="ListParagraph"/>
        <w:numPr>
          <w:ilvl w:val="0"/>
          <w:numId w:val="26"/>
        </w:numPr>
        <w:spacing w:after="120" w:line="480" w:lineRule="auto"/>
        <w:contextualSpacing w:val="0"/>
        <w:textAlignment w:val="baseline"/>
        <w:rPr>
          <w:rFonts w:eastAsia="Times New Roman" w:cs="Arial"/>
        </w:rPr>
      </w:pPr>
      <w:r w:rsidRPr="00C54BEC">
        <w:rPr>
          <w:rFonts w:eastAsia="Times New Roman" w:cs="Arial"/>
        </w:rPr>
        <w:t>Identify any gaps in emergency response capacity that may be addressed through MAAs.</w:t>
      </w:r>
    </w:p>
    <w:p w14:paraId="6A2B3EC3" w14:textId="77777777" w:rsidR="005E0299" w:rsidRPr="00C54BEC" w:rsidRDefault="005E0299" w:rsidP="00224AC9">
      <w:pPr>
        <w:pStyle w:val="ListParagraph"/>
        <w:numPr>
          <w:ilvl w:val="0"/>
          <w:numId w:val="26"/>
        </w:numPr>
        <w:spacing w:after="120" w:line="480" w:lineRule="auto"/>
        <w:contextualSpacing w:val="0"/>
        <w:textAlignment w:val="baseline"/>
        <w:rPr>
          <w:rFonts w:eastAsia="Times New Roman" w:cs="Arial"/>
        </w:rPr>
      </w:pPr>
      <w:r w:rsidRPr="00C54BEC">
        <w:rPr>
          <w:rFonts w:eastAsia="Times New Roman" w:cs="Arial"/>
        </w:rPr>
        <w:t>Understand the legal requirements contained in the MAAs and the legal processes though which they are operationalized.</w:t>
      </w:r>
    </w:p>
    <w:p w14:paraId="1813A4D2" w14:textId="77777777" w:rsidR="005E0299" w:rsidRPr="00C54BEC" w:rsidRDefault="005E0299" w:rsidP="00224AC9">
      <w:pPr>
        <w:pStyle w:val="ListParagraph"/>
        <w:numPr>
          <w:ilvl w:val="0"/>
          <w:numId w:val="26"/>
        </w:numPr>
        <w:spacing w:after="120" w:line="480" w:lineRule="auto"/>
        <w:contextualSpacing w:val="0"/>
        <w:textAlignment w:val="baseline"/>
        <w:rPr>
          <w:rFonts w:eastAsia="Times New Roman" w:cs="Arial"/>
        </w:rPr>
      </w:pPr>
      <w:r w:rsidRPr="00C54BEC">
        <w:rPr>
          <w:rFonts w:eastAsia="Times New Roman" w:cs="Arial"/>
        </w:rPr>
        <w:t>Understand how MAAs are operationalized by agencies and programs in your state, including the circumstances under which an incident command system (ICS) or emergency operations center (EOC) will be activated.</w:t>
      </w:r>
    </w:p>
    <w:p w14:paraId="44A6C7EF" w14:textId="77777777" w:rsidR="005E0299" w:rsidRPr="00C54BEC" w:rsidRDefault="005E0299" w:rsidP="004C19B5">
      <w:pPr>
        <w:spacing w:line="480" w:lineRule="auto"/>
        <w:textAlignment w:val="baseline"/>
        <w:rPr>
          <w:rFonts w:eastAsia="Times New Roman" w:cs="Arial"/>
        </w:rPr>
      </w:pPr>
    </w:p>
    <w:p w14:paraId="4D50E5C7" w14:textId="77777777" w:rsidR="005E0299" w:rsidRPr="00C54BEC" w:rsidRDefault="005E0299" w:rsidP="004C19B5">
      <w:pPr>
        <w:spacing w:line="480" w:lineRule="auto"/>
        <w:textAlignment w:val="baseline"/>
        <w:rPr>
          <w:rFonts w:eastAsia="Times New Roman" w:cs="Arial"/>
        </w:rPr>
      </w:pPr>
      <w:r w:rsidRPr="00C54BEC">
        <w:rPr>
          <w:rFonts w:eastAsia="Times New Roman" w:cs="Arial"/>
        </w:rPr>
        <w:t>_____________________________________________________________________</w:t>
      </w:r>
    </w:p>
    <w:p w14:paraId="338BE7D9" w14:textId="77777777" w:rsidR="005E0299" w:rsidRPr="006B1F28" w:rsidRDefault="005E0299" w:rsidP="004C19B5">
      <w:pPr>
        <w:spacing w:line="480" w:lineRule="auto"/>
        <w:textAlignment w:val="baseline"/>
        <w:rPr>
          <w:rFonts w:eastAsia="Times New Roman" w:cs="Arial"/>
        </w:rPr>
      </w:pPr>
    </w:p>
    <w:p w14:paraId="194A4088" w14:textId="77777777" w:rsidR="005E0299" w:rsidRPr="006B1F28" w:rsidRDefault="005E0299" w:rsidP="004C19B5">
      <w:pPr>
        <w:spacing w:line="480" w:lineRule="auto"/>
        <w:rPr>
          <w:rFonts w:eastAsia="Times New Roman" w:cs="Arial"/>
          <w:b/>
          <w:bCs/>
          <w:color w:val="3C3030"/>
          <w:sz w:val="24"/>
          <w:szCs w:val="24"/>
        </w:rPr>
      </w:pPr>
      <w:r w:rsidRPr="006B1F28">
        <w:rPr>
          <w:rFonts w:eastAsia="Times New Roman" w:cs="Arial"/>
          <w:b/>
          <w:bCs/>
          <w:color w:val="3C3030"/>
          <w:sz w:val="24"/>
          <w:szCs w:val="24"/>
        </w:rPr>
        <w:t>Sources</w:t>
      </w:r>
    </w:p>
    <w:p w14:paraId="509A6CEF" w14:textId="77777777" w:rsidR="005E0299" w:rsidRPr="006B1F28" w:rsidRDefault="005E0299" w:rsidP="00224AC9">
      <w:pPr>
        <w:numPr>
          <w:ilvl w:val="0"/>
          <w:numId w:val="24"/>
        </w:numPr>
        <w:spacing w:line="480" w:lineRule="auto"/>
        <w:ind w:left="450"/>
        <w:textAlignment w:val="baseline"/>
        <w:rPr>
          <w:rFonts w:eastAsia="Times New Roman" w:cs="Arial"/>
          <w:szCs w:val="20"/>
        </w:rPr>
      </w:pPr>
      <w:r w:rsidRPr="006B1F28">
        <w:rPr>
          <w:rFonts w:eastAsia="Times New Roman" w:cs="Arial"/>
          <w:szCs w:val="20"/>
        </w:rPr>
        <w:t>U.S. Dept. of Homeland Security. </w:t>
      </w:r>
      <w:r w:rsidRPr="006B1F28">
        <w:rPr>
          <w:rFonts w:eastAsia="Times New Roman" w:cs="Arial"/>
          <w:i/>
          <w:iCs/>
          <w:szCs w:val="20"/>
          <w:bdr w:val="none" w:sz="0" w:space="0" w:color="auto" w:frame="1"/>
        </w:rPr>
        <w:t>National Incident Management System </w:t>
      </w:r>
      <w:r w:rsidRPr="006B1F28">
        <w:rPr>
          <w:rFonts w:eastAsia="Times New Roman" w:cs="Arial"/>
          <w:szCs w:val="20"/>
        </w:rPr>
        <w:t>(December 2008).</w:t>
      </w:r>
    </w:p>
    <w:p w14:paraId="4F51EA42" w14:textId="77777777" w:rsidR="005E0299" w:rsidRPr="006B1F28" w:rsidRDefault="005E0299" w:rsidP="00224AC9">
      <w:pPr>
        <w:numPr>
          <w:ilvl w:val="0"/>
          <w:numId w:val="24"/>
        </w:numPr>
        <w:spacing w:line="480" w:lineRule="auto"/>
        <w:ind w:left="450"/>
        <w:textAlignment w:val="baseline"/>
        <w:rPr>
          <w:rFonts w:eastAsia="Times New Roman" w:cs="Arial"/>
          <w:szCs w:val="20"/>
        </w:rPr>
      </w:pPr>
      <w:r w:rsidRPr="006B1F28">
        <w:rPr>
          <w:rFonts w:eastAsia="Times New Roman" w:cs="Arial"/>
          <w:szCs w:val="20"/>
        </w:rPr>
        <w:t>FEMA. “Mutual Aid Agreements for Public Assistance and Fire Management Assistance” (Disaster Assistance Policy 9523.6). August 13, 2007. Available at </w:t>
      </w:r>
      <w:hyperlink r:id="rId54" w:tooltip="www.fema.gov/government/grant/pa/9523_6.shtm" w:history="1">
        <w:r w:rsidRPr="006B1F28">
          <w:rPr>
            <w:rFonts w:eastAsia="Times New Roman" w:cs="Arial"/>
            <w:color w:val="0F88B8"/>
            <w:szCs w:val="20"/>
            <w:bdr w:val="none" w:sz="0" w:space="0" w:color="auto" w:frame="1"/>
          </w:rPr>
          <w:t>www.fema.gov/government/grant/pa/9523_6.shtm</w:t>
        </w:r>
      </w:hyperlink>
      <w:r w:rsidRPr="006B1F28">
        <w:rPr>
          <w:rFonts w:eastAsia="Times New Roman" w:cs="Arial"/>
          <w:color w:val="737373"/>
          <w:szCs w:val="20"/>
        </w:rPr>
        <w:t xml:space="preserve">. </w:t>
      </w:r>
      <w:r w:rsidRPr="006B1F28">
        <w:rPr>
          <w:rFonts w:eastAsia="Times New Roman" w:cs="Arial"/>
          <w:szCs w:val="20"/>
        </w:rPr>
        <w:t>Accessed January 31, 2012.</w:t>
      </w:r>
    </w:p>
    <w:p w14:paraId="1494D33A" w14:textId="77777777" w:rsidR="005E0299" w:rsidRPr="006B1F28" w:rsidRDefault="005E0299" w:rsidP="00224AC9">
      <w:pPr>
        <w:numPr>
          <w:ilvl w:val="0"/>
          <w:numId w:val="24"/>
        </w:numPr>
        <w:spacing w:line="480" w:lineRule="auto"/>
        <w:ind w:left="450"/>
        <w:textAlignment w:val="baseline"/>
        <w:rPr>
          <w:rFonts w:eastAsia="Times New Roman" w:cs="Arial"/>
          <w:szCs w:val="20"/>
        </w:rPr>
      </w:pPr>
      <w:r w:rsidRPr="006B1F28">
        <w:rPr>
          <w:rFonts w:eastAsia="Times New Roman" w:cs="Arial"/>
          <w:szCs w:val="20"/>
        </w:rPr>
        <w:t>Emergency Management Assistance Compact, Pub. L. No. 104-321.</w:t>
      </w:r>
    </w:p>
    <w:p w14:paraId="2C78051B" w14:textId="77777777" w:rsidR="005E0299" w:rsidRPr="006B1F28" w:rsidRDefault="005E0299" w:rsidP="00224AC9">
      <w:pPr>
        <w:numPr>
          <w:ilvl w:val="0"/>
          <w:numId w:val="24"/>
        </w:numPr>
        <w:spacing w:line="480" w:lineRule="auto"/>
        <w:ind w:left="450"/>
        <w:textAlignment w:val="baseline"/>
        <w:rPr>
          <w:rFonts w:eastAsia="Times New Roman" w:cs="Arial"/>
          <w:szCs w:val="20"/>
        </w:rPr>
      </w:pPr>
      <w:r w:rsidRPr="006B1F28">
        <w:rPr>
          <w:rFonts w:eastAsia="Times New Roman" w:cs="Arial"/>
          <w:szCs w:val="20"/>
        </w:rPr>
        <w:t>Emergency Management Assistance Compact website. Available at </w:t>
      </w:r>
      <w:hyperlink r:id="rId55" w:tooltip="www.emacweb.org" w:history="1">
        <w:r w:rsidRPr="006B1F28">
          <w:rPr>
            <w:rFonts w:eastAsia="Times New Roman" w:cs="Arial"/>
            <w:color w:val="0F88B8"/>
            <w:szCs w:val="20"/>
            <w:bdr w:val="none" w:sz="0" w:space="0" w:color="auto" w:frame="1"/>
          </w:rPr>
          <w:t>www.emacweb.org</w:t>
        </w:r>
      </w:hyperlink>
      <w:r w:rsidRPr="006B1F28">
        <w:rPr>
          <w:rFonts w:eastAsia="Times New Roman" w:cs="Arial"/>
          <w:color w:val="737373"/>
          <w:szCs w:val="20"/>
        </w:rPr>
        <w:t xml:space="preserve">. </w:t>
      </w:r>
      <w:r w:rsidRPr="006B1F28">
        <w:rPr>
          <w:rFonts w:eastAsia="Times New Roman" w:cs="Arial"/>
          <w:szCs w:val="20"/>
        </w:rPr>
        <w:t>Accessed January 31, 2012.</w:t>
      </w:r>
    </w:p>
    <w:p w14:paraId="136896A8" w14:textId="77777777" w:rsidR="005E0299" w:rsidRPr="006B1F28" w:rsidRDefault="005E0299" w:rsidP="00224AC9">
      <w:pPr>
        <w:numPr>
          <w:ilvl w:val="0"/>
          <w:numId w:val="24"/>
        </w:numPr>
        <w:spacing w:line="480" w:lineRule="auto"/>
        <w:ind w:left="450"/>
        <w:textAlignment w:val="baseline"/>
        <w:rPr>
          <w:rFonts w:eastAsia="Times New Roman" w:cs="Arial"/>
          <w:szCs w:val="20"/>
        </w:rPr>
      </w:pPr>
      <w:r w:rsidRPr="006B1F28">
        <w:rPr>
          <w:rFonts w:eastAsia="Times New Roman" w:cs="Arial"/>
          <w:szCs w:val="20"/>
        </w:rPr>
        <w:lastRenderedPageBreak/>
        <w:t>Emergency Management Assistance Compact, Articles of Agreement. Available at</w:t>
      </w:r>
      <w:r w:rsidRPr="006B1F28">
        <w:rPr>
          <w:rFonts w:eastAsia="Times New Roman" w:cs="Arial"/>
          <w:color w:val="737373"/>
          <w:szCs w:val="20"/>
        </w:rPr>
        <w:t> </w:t>
      </w:r>
      <w:hyperlink r:id="rId56" w:tooltip="www.emacweb.org" w:history="1">
        <w:r w:rsidRPr="006B1F28">
          <w:rPr>
            <w:rFonts w:eastAsia="Times New Roman" w:cs="Arial"/>
            <w:color w:val="0F88B8"/>
            <w:szCs w:val="20"/>
            <w:bdr w:val="none" w:sz="0" w:space="0" w:color="auto" w:frame="1"/>
          </w:rPr>
          <w:t>www.emacweb.org</w:t>
        </w:r>
      </w:hyperlink>
      <w:r w:rsidRPr="006B1F28">
        <w:rPr>
          <w:rFonts w:eastAsia="Times New Roman" w:cs="Arial"/>
          <w:color w:val="737373"/>
          <w:szCs w:val="20"/>
        </w:rPr>
        <w:t xml:space="preserve">. </w:t>
      </w:r>
      <w:r w:rsidRPr="006B1F28">
        <w:rPr>
          <w:rFonts w:eastAsia="Times New Roman" w:cs="Arial"/>
          <w:szCs w:val="20"/>
        </w:rPr>
        <w:t>Accessed January 31, 2012.</w:t>
      </w:r>
    </w:p>
    <w:p w14:paraId="2E686733" w14:textId="77777777" w:rsidR="005E0299" w:rsidRPr="006B1F28" w:rsidRDefault="005E0299" w:rsidP="00224AC9">
      <w:pPr>
        <w:numPr>
          <w:ilvl w:val="0"/>
          <w:numId w:val="24"/>
        </w:numPr>
        <w:spacing w:line="480" w:lineRule="auto"/>
        <w:ind w:left="450"/>
        <w:textAlignment w:val="baseline"/>
        <w:rPr>
          <w:rFonts w:eastAsia="Times New Roman" w:cs="Arial"/>
          <w:szCs w:val="20"/>
        </w:rPr>
      </w:pPr>
      <w:r w:rsidRPr="006B1F28">
        <w:rPr>
          <w:rFonts w:eastAsia="Times New Roman" w:cs="Arial"/>
          <w:szCs w:val="20"/>
        </w:rPr>
        <w:t>CDC, Public Health Law Program. “Selected Federal Legal Authorities Pertinent to Public Health Emergencies” (September 2009).</w:t>
      </w:r>
    </w:p>
    <w:p w14:paraId="764BE3E5" w14:textId="77777777" w:rsidR="005E0299" w:rsidRPr="006B1F28" w:rsidRDefault="005E0299" w:rsidP="00224AC9">
      <w:pPr>
        <w:numPr>
          <w:ilvl w:val="0"/>
          <w:numId w:val="24"/>
        </w:numPr>
        <w:spacing w:line="480" w:lineRule="auto"/>
        <w:ind w:left="450"/>
        <w:textAlignment w:val="baseline"/>
        <w:rPr>
          <w:rFonts w:eastAsia="Times New Roman" w:cs="Arial"/>
          <w:szCs w:val="20"/>
        </w:rPr>
      </w:pPr>
      <w:r w:rsidRPr="006B1F28">
        <w:rPr>
          <w:rFonts w:eastAsia="Times New Roman" w:cs="Arial"/>
          <w:szCs w:val="20"/>
        </w:rPr>
        <w:t>CDC, Public Health Law Program. “Mutual Aid” webpage. Available at</w:t>
      </w:r>
      <w:r w:rsidRPr="006B1F28">
        <w:rPr>
          <w:rFonts w:eastAsia="Times New Roman" w:cs="Arial"/>
          <w:color w:val="737373"/>
          <w:szCs w:val="20"/>
        </w:rPr>
        <w:t> </w:t>
      </w:r>
      <w:hyperlink r:id="rId57" w:tooltip="http://www2a.cdc.gov/phlp/mutualaid/index.asp" w:history="1">
        <w:r w:rsidRPr="006B1F28">
          <w:rPr>
            <w:rFonts w:eastAsia="Times New Roman" w:cs="Arial"/>
            <w:color w:val="0F88B8"/>
            <w:szCs w:val="20"/>
            <w:bdr w:val="none" w:sz="0" w:space="0" w:color="auto" w:frame="1"/>
          </w:rPr>
          <w:t>http://www2a.cdc.gov/phlp/mutualaid/index.asp</w:t>
        </w:r>
      </w:hyperlink>
      <w:r w:rsidRPr="006B1F28">
        <w:rPr>
          <w:rFonts w:eastAsia="Times New Roman" w:cs="Arial"/>
          <w:color w:val="737373"/>
          <w:szCs w:val="20"/>
        </w:rPr>
        <w:t xml:space="preserve">. </w:t>
      </w:r>
      <w:r w:rsidRPr="006B1F28">
        <w:rPr>
          <w:rFonts w:eastAsia="Times New Roman" w:cs="Arial"/>
          <w:szCs w:val="20"/>
        </w:rPr>
        <w:t>Accessed January 31, 2012.</w:t>
      </w:r>
    </w:p>
    <w:p w14:paraId="5872B643" w14:textId="77777777" w:rsidR="005E0299" w:rsidRPr="006B1F28" w:rsidRDefault="005E0299" w:rsidP="00224AC9">
      <w:pPr>
        <w:numPr>
          <w:ilvl w:val="0"/>
          <w:numId w:val="24"/>
        </w:numPr>
        <w:spacing w:line="480" w:lineRule="auto"/>
        <w:ind w:left="450"/>
        <w:textAlignment w:val="baseline"/>
        <w:rPr>
          <w:rFonts w:eastAsia="Times New Roman" w:cs="Arial"/>
          <w:szCs w:val="20"/>
        </w:rPr>
      </w:pPr>
      <w:r w:rsidRPr="006B1F28">
        <w:rPr>
          <w:rFonts w:eastAsia="Times New Roman" w:cs="Arial"/>
          <w:szCs w:val="20"/>
        </w:rPr>
        <w:t>U.S. EPA. “Mutual Aid and Assistance” webpage. Available at </w:t>
      </w:r>
      <w:hyperlink r:id="rId58" w:tooltip="http://water.epa.gov/infrastructure/watersecurity/mutualaid/index.cfm" w:history="1">
        <w:r w:rsidRPr="006B1F28">
          <w:rPr>
            <w:rFonts w:eastAsia="Times New Roman" w:cs="Arial"/>
            <w:color w:val="0F88B8"/>
            <w:szCs w:val="20"/>
            <w:bdr w:val="none" w:sz="0" w:space="0" w:color="auto" w:frame="1"/>
          </w:rPr>
          <w:t>http://water.epa.gov/infrastructure/watersecurity/mutualaid/index.cfm</w:t>
        </w:r>
      </w:hyperlink>
      <w:r w:rsidRPr="006B1F28">
        <w:rPr>
          <w:rFonts w:eastAsia="Times New Roman" w:cs="Arial"/>
          <w:color w:val="737373"/>
          <w:szCs w:val="20"/>
        </w:rPr>
        <w:t xml:space="preserve">. </w:t>
      </w:r>
      <w:r w:rsidRPr="006B1F28">
        <w:rPr>
          <w:rFonts w:eastAsia="Times New Roman" w:cs="Arial"/>
          <w:szCs w:val="20"/>
        </w:rPr>
        <w:t>Accessed January 31, 2012.</w:t>
      </w:r>
    </w:p>
    <w:p w14:paraId="43C6FBBC" w14:textId="77777777" w:rsidR="005E0299" w:rsidRPr="006B1F28" w:rsidRDefault="005E0299" w:rsidP="00224AC9">
      <w:pPr>
        <w:numPr>
          <w:ilvl w:val="0"/>
          <w:numId w:val="24"/>
        </w:numPr>
        <w:spacing w:line="480" w:lineRule="auto"/>
        <w:ind w:left="450"/>
        <w:textAlignment w:val="baseline"/>
        <w:rPr>
          <w:rFonts w:eastAsia="Times New Roman" w:cs="Arial"/>
          <w:szCs w:val="20"/>
        </w:rPr>
      </w:pPr>
      <w:r w:rsidRPr="006B1F28">
        <w:rPr>
          <w:rFonts w:eastAsia="Times New Roman" w:cs="Arial"/>
          <w:szCs w:val="20"/>
        </w:rPr>
        <w:t>American Hospital Association, “Model Hospital Mutual Aid Memorandum of Understanding” (March 2002). Available at</w:t>
      </w:r>
      <w:r w:rsidRPr="006B1F28">
        <w:rPr>
          <w:rFonts w:eastAsia="Times New Roman" w:cs="Arial"/>
          <w:color w:val="737373"/>
          <w:szCs w:val="20"/>
        </w:rPr>
        <w:t> </w:t>
      </w:r>
      <w:hyperlink r:id="rId59" w:tooltip="www.aha.org/aha/issues/Emergency-Readiness/hospreadiness.html" w:history="1">
        <w:r w:rsidRPr="006B1F28">
          <w:rPr>
            <w:rFonts w:eastAsia="Times New Roman" w:cs="Arial"/>
            <w:color w:val="0F88B8"/>
            <w:szCs w:val="20"/>
            <w:bdr w:val="none" w:sz="0" w:space="0" w:color="auto" w:frame="1"/>
          </w:rPr>
          <w:t>www.aha.org/aha/issues/Emergency-Readiness/hospreadiness.html</w:t>
        </w:r>
      </w:hyperlink>
      <w:r w:rsidRPr="006B1F28">
        <w:rPr>
          <w:rFonts w:eastAsia="Times New Roman" w:cs="Arial"/>
          <w:color w:val="737373"/>
          <w:szCs w:val="20"/>
        </w:rPr>
        <w:t xml:space="preserve">. </w:t>
      </w:r>
      <w:r w:rsidRPr="006B1F28">
        <w:rPr>
          <w:rFonts w:eastAsia="Times New Roman" w:cs="Arial"/>
          <w:szCs w:val="20"/>
        </w:rPr>
        <w:t>Accessed January 31, 2012.</w:t>
      </w:r>
    </w:p>
    <w:p w14:paraId="43B43B81" w14:textId="0526A79B" w:rsidR="005E0299" w:rsidRDefault="005E0299" w:rsidP="004C19B5">
      <w:pPr>
        <w:spacing w:line="480" w:lineRule="auto"/>
        <w:rPr>
          <w:sz w:val="24"/>
        </w:rPr>
      </w:pPr>
    </w:p>
    <w:p w14:paraId="7A9FAF9E" w14:textId="77777777" w:rsidR="00BF5484" w:rsidRDefault="00BF5484" w:rsidP="00BF5484">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TO</w:t>
        </w:r>
        <w:r w:rsidRPr="00B16B87">
          <w:rPr>
            <w:rStyle w:val="Hyperlink"/>
            <w:rFonts w:ascii="Calibri" w:hAnsi="Calibri" w:cs="Calibri"/>
            <w:sz w:val="24"/>
          </w:rPr>
          <w:t>C</w:t>
        </w:r>
        <w:r w:rsidRPr="00B16B87">
          <w:rPr>
            <w:rStyle w:val="Hyperlink"/>
            <w:rFonts w:ascii="Calibri" w:hAnsi="Calibri" w:cs="Calibri"/>
            <w:sz w:val="24"/>
          </w:rPr>
          <w:t xml:space="preserve"> top</w:t>
        </w:r>
      </w:hyperlink>
      <w:r>
        <w:rPr>
          <w:rFonts w:ascii="Calibri" w:hAnsi="Calibri" w:cs="Calibri"/>
          <w:sz w:val="24"/>
        </w:rPr>
        <w:t>]</w:t>
      </w:r>
    </w:p>
    <w:p w14:paraId="36F89CAF" w14:textId="77777777" w:rsidR="00BF5484" w:rsidRDefault="00BF5484" w:rsidP="004C19B5">
      <w:pPr>
        <w:spacing w:line="480" w:lineRule="auto"/>
        <w:rPr>
          <w:sz w:val="24"/>
        </w:rPr>
      </w:pPr>
    </w:p>
    <w:p w14:paraId="6C805F50" w14:textId="13D57C85" w:rsidR="00BF5484" w:rsidRDefault="00BF5484">
      <w:pPr>
        <w:rPr>
          <w:sz w:val="24"/>
        </w:rPr>
      </w:pPr>
      <w:r>
        <w:rPr>
          <w:sz w:val="24"/>
        </w:rPr>
        <w:br w:type="page"/>
      </w:r>
    </w:p>
    <w:p w14:paraId="24EAD338" w14:textId="77777777" w:rsidR="005E0299" w:rsidRPr="00E516AE" w:rsidRDefault="005E0299" w:rsidP="004C19B5">
      <w:pPr>
        <w:spacing w:after="120"/>
        <w:rPr>
          <w:rFonts w:eastAsia="Times New Roman" w:cs="Helvetica"/>
          <w:b/>
          <w:bCs/>
          <w:color w:val="333333"/>
          <w:spacing w:val="15"/>
          <w:kern w:val="36"/>
          <w:sz w:val="28"/>
          <w:szCs w:val="28"/>
        </w:rPr>
      </w:pPr>
      <w:bookmarkStart w:id="10" w:name="NatlEmergAct_FS"/>
      <w:r w:rsidRPr="00E516AE">
        <w:rPr>
          <w:rFonts w:eastAsia="Times New Roman" w:cs="Helvetica"/>
          <w:b/>
          <w:bCs/>
          <w:color w:val="333333"/>
          <w:spacing w:val="15"/>
          <w:kern w:val="36"/>
          <w:sz w:val="28"/>
          <w:szCs w:val="28"/>
        </w:rPr>
        <w:lastRenderedPageBreak/>
        <w:t>National Emergencies Act, Sections 201 and 301</w:t>
      </w:r>
      <w:bookmarkEnd w:id="10"/>
    </w:p>
    <w:p w14:paraId="5FB5CB8E" w14:textId="77777777" w:rsidR="005E0299" w:rsidRDefault="005E0299" w:rsidP="004C19B5">
      <w:pPr>
        <w:spacing w:after="120"/>
        <w:rPr>
          <w:rFonts w:eastAsia="Times New Roman" w:cs="Arial"/>
          <w:b/>
          <w:bCs/>
          <w:color w:val="3C3030"/>
          <w:sz w:val="24"/>
          <w:szCs w:val="24"/>
        </w:rPr>
      </w:pPr>
      <w:r w:rsidRPr="00E516AE">
        <w:rPr>
          <w:rFonts w:eastAsia="Times New Roman" w:cs="Arial"/>
          <w:b/>
          <w:bCs/>
          <w:color w:val="3C3030"/>
          <w:sz w:val="24"/>
          <w:szCs w:val="24"/>
        </w:rPr>
        <w:t>Fact Sheet</w:t>
      </w:r>
    </w:p>
    <w:p w14:paraId="5C4EF9F9" w14:textId="77777777" w:rsidR="005E0299" w:rsidRPr="00E516AE" w:rsidRDefault="005E0299" w:rsidP="004C19B5">
      <w:pPr>
        <w:spacing w:line="480" w:lineRule="auto"/>
        <w:rPr>
          <w:rFonts w:eastAsia="Times New Roman" w:cs="Arial"/>
          <w:b/>
          <w:bCs/>
          <w:color w:val="3C3030"/>
          <w:sz w:val="24"/>
          <w:szCs w:val="24"/>
        </w:rPr>
      </w:pPr>
    </w:p>
    <w:p w14:paraId="5CD8BB2B" w14:textId="77777777" w:rsidR="005E0299" w:rsidRPr="00E516AE" w:rsidRDefault="005E0299" w:rsidP="004C19B5">
      <w:pPr>
        <w:spacing w:line="480" w:lineRule="auto"/>
        <w:rPr>
          <w:rFonts w:eastAsia="Times New Roman" w:cs="Arial"/>
          <w:b/>
          <w:bCs/>
          <w:color w:val="3C3030"/>
          <w:sz w:val="24"/>
          <w:szCs w:val="24"/>
        </w:rPr>
      </w:pPr>
      <w:r w:rsidRPr="00E516AE">
        <w:rPr>
          <w:rFonts w:eastAsia="Times New Roman" w:cs="Arial"/>
          <w:b/>
          <w:bCs/>
          <w:color w:val="3C3030"/>
          <w:sz w:val="24"/>
          <w:szCs w:val="24"/>
        </w:rPr>
        <w:t>Overview</w:t>
      </w:r>
    </w:p>
    <w:p w14:paraId="0191482D" w14:textId="77777777" w:rsidR="005E0299" w:rsidRPr="00E516AE" w:rsidRDefault="005E0299" w:rsidP="004C19B5">
      <w:pPr>
        <w:shd w:val="clear" w:color="auto" w:fill="FFFFFF"/>
        <w:spacing w:line="480" w:lineRule="auto"/>
        <w:textAlignment w:val="baseline"/>
        <w:rPr>
          <w:rFonts w:eastAsia="Times New Roman" w:cs="Arial"/>
        </w:rPr>
      </w:pPr>
      <w:r w:rsidRPr="00E516AE">
        <w:rPr>
          <w:rFonts w:eastAsia="Times New Roman" w:cs="Arial"/>
        </w:rPr>
        <w:t>The </w:t>
      </w:r>
      <w:hyperlink r:id="rId60" w:anchor="National-Emergencies-Act-(NEA),-Section-201-and-301" w:tooltip="National Emergencies Act (NEA)" w:history="1">
        <w:r w:rsidRPr="00E516AE">
          <w:rPr>
            <w:rFonts w:eastAsia="Times New Roman" w:cs="Arial"/>
            <w:bdr w:val="none" w:sz="0" w:space="0" w:color="auto" w:frame="1"/>
          </w:rPr>
          <w:t>National Emergencies Act (NEA)</w:t>
        </w:r>
      </w:hyperlink>
      <w:r w:rsidRPr="00E516AE">
        <w:rPr>
          <w:rFonts w:eastAsia="Times New Roman" w:cs="Arial"/>
        </w:rPr>
        <w:t> authorizes the president to declare a “national emergency.”</w:t>
      </w:r>
      <w:r w:rsidRPr="00E516AE">
        <w:rPr>
          <w:rFonts w:eastAsia="Times New Roman" w:cs="Arial"/>
          <w:bdr w:val="none" w:sz="0" w:space="0" w:color="auto" w:frame="1"/>
          <w:vertAlign w:val="superscript"/>
        </w:rPr>
        <w:t>1</w:t>
      </w:r>
      <w:r w:rsidRPr="00E516AE">
        <w:rPr>
          <w:rFonts w:eastAsia="Times New Roman" w:cs="Arial"/>
        </w:rPr>
        <w:t> A declaration under NEA triggers emergency authorities contained in other federal statutes. Past NEA declarations have addressed, among other things, the imposition of export controls and limitations on transactions and property from specified nations.</w:t>
      </w:r>
      <w:r w:rsidRPr="00E516AE">
        <w:rPr>
          <w:rFonts w:eastAsia="Times New Roman" w:cs="Arial"/>
          <w:bdr w:val="none" w:sz="0" w:space="0" w:color="auto" w:frame="1"/>
          <w:vertAlign w:val="superscript"/>
        </w:rPr>
        <w:t>2</w:t>
      </w:r>
      <w:r w:rsidRPr="00E516AE">
        <w:rPr>
          <w:rFonts w:eastAsia="Times New Roman" w:cs="Arial"/>
        </w:rPr>
        <w:t xml:space="preserve"> A national emergency was declared in 2001 after the September 11th terrorist attacks and has been renewed every year since then. </w:t>
      </w:r>
    </w:p>
    <w:p w14:paraId="3D8A9ADF" w14:textId="77777777" w:rsidR="005E0299" w:rsidRPr="002A0C57" w:rsidRDefault="005E0299" w:rsidP="004C19B5">
      <w:pPr>
        <w:spacing w:line="480" w:lineRule="auto"/>
        <w:rPr>
          <w:rFonts w:eastAsia="Times New Roman" w:cs="Arial"/>
          <w:b/>
          <w:bCs/>
        </w:rPr>
      </w:pPr>
    </w:p>
    <w:p w14:paraId="09644385" w14:textId="77777777" w:rsidR="005E0299" w:rsidRPr="00E516AE" w:rsidRDefault="005E0299" w:rsidP="004C19B5">
      <w:pPr>
        <w:spacing w:line="480" w:lineRule="auto"/>
        <w:rPr>
          <w:rFonts w:eastAsia="Times New Roman" w:cs="Arial"/>
          <w:b/>
          <w:bCs/>
          <w:color w:val="3C3030"/>
          <w:sz w:val="24"/>
          <w:szCs w:val="24"/>
        </w:rPr>
      </w:pPr>
      <w:r w:rsidRPr="00E516AE">
        <w:rPr>
          <w:rFonts w:eastAsia="Times New Roman" w:cs="Arial"/>
          <w:b/>
          <w:bCs/>
          <w:color w:val="3C3030"/>
          <w:sz w:val="24"/>
          <w:szCs w:val="24"/>
        </w:rPr>
        <w:t>What the Law Does</w:t>
      </w:r>
    </w:p>
    <w:p w14:paraId="667EF079" w14:textId="77777777" w:rsidR="005E0299" w:rsidRPr="00E516AE" w:rsidRDefault="005E0299" w:rsidP="004C19B5">
      <w:pPr>
        <w:shd w:val="clear" w:color="auto" w:fill="FFFFFF"/>
        <w:spacing w:line="480" w:lineRule="auto"/>
        <w:textAlignment w:val="baseline"/>
        <w:rPr>
          <w:rFonts w:eastAsia="Times New Roman" w:cs="Arial"/>
        </w:rPr>
      </w:pPr>
      <w:r w:rsidRPr="00E516AE">
        <w:rPr>
          <w:rFonts w:eastAsia="Times New Roman" w:cs="Arial"/>
        </w:rPr>
        <w:t>The NEA authorizes the president to declare a national emergency, which declaration activates emergency powers contained in other federal statutes.</w:t>
      </w:r>
      <w:r w:rsidRPr="00E516AE">
        <w:rPr>
          <w:rFonts w:eastAsia="Times New Roman" w:cs="Arial"/>
          <w:bdr w:val="none" w:sz="0" w:space="0" w:color="auto" w:frame="1"/>
          <w:vertAlign w:val="superscript"/>
        </w:rPr>
        <w:t>3</w:t>
      </w:r>
      <w:r w:rsidRPr="00E516AE">
        <w:rPr>
          <w:rFonts w:eastAsia="Times New Roman" w:cs="Arial"/>
        </w:rPr>
        <w:t>During the 2009 H1N1 influenza pandemic, the president’s declaration of a national emergency under the NEA, coupled with the HHS secretary’s prior determination of a public health emergency under </w:t>
      </w:r>
      <w:hyperlink r:id="rId61" w:anchor="Public-Health-Service-Act,-Section-319" w:tooltip="Section 319 of the Public Health Service Act (PHSA)" w:history="1">
        <w:r w:rsidRPr="00E516AE">
          <w:rPr>
            <w:rFonts w:eastAsia="Times New Roman" w:cs="Arial"/>
            <w:color w:val="0F88B8"/>
            <w:bdr w:val="none" w:sz="0" w:space="0" w:color="auto" w:frame="1"/>
          </w:rPr>
          <w:t>Section 319 of the Public Health Service Act (PHSA)</w:t>
        </w:r>
      </w:hyperlink>
      <w:r w:rsidRPr="00E516AE">
        <w:rPr>
          <w:rFonts w:eastAsia="Times New Roman" w:cs="Arial"/>
          <w:color w:val="737373"/>
        </w:rPr>
        <w:t xml:space="preserve">, </w:t>
      </w:r>
      <w:r w:rsidRPr="00E516AE">
        <w:rPr>
          <w:rFonts w:eastAsia="Times New Roman" w:cs="Arial"/>
        </w:rPr>
        <w:t>permitted the activation of </w:t>
      </w:r>
      <w:hyperlink r:id="rId62" w:anchor="Social-Security-Act,-Section-1135" w:tooltip="Social Security Act (SSA) Section 1135 waiver" w:history="1">
        <w:r w:rsidRPr="00E516AE">
          <w:rPr>
            <w:rFonts w:eastAsia="Times New Roman" w:cs="Arial"/>
            <w:color w:val="0F88B8"/>
            <w:bdr w:val="none" w:sz="0" w:space="0" w:color="auto" w:frame="1"/>
          </w:rPr>
          <w:t>Social Security Act (SSA) Section 1135 waiver</w:t>
        </w:r>
      </w:hyperlink>
      <w:r w:rsidRPr="00E516AE">
        <w:rPr>
          <w:rFonts w:eastAsia="Times New Roman" w:cs="Arial"/>
          <w:color w:val="737373"/>
        </w:rPr>
        <w:t> </w:t>
      </w:r>
      <w:r w:rsidRPr="00E516AE">
        <w:rPr>
          <w:rFonts w:eastAsia="Times New Roman" w:cs="Arial"/>
        </w:rPr>
        <w:t>authorities. (See Figure A for the text of the 2009 H1N1 NEA declaration.) </w:t>
      </w:r>
    </w:p>
    <w:p w14:paraId="2EDC43C6" w14:textId="77777777" w:rsidR="005E0299" w:rsidRPr="002A0C57" w:rsidRDefault="005E0299" w:rsidP="004C19B5">
      <w:pPr>
        <w:spacing w:line="480" w:lineRule="auto"/>
        <w:rPr>
          <w:rFonts w:eastAsia="Times New Roman" w:cs="Arial"/>
          <w:b/>
          <w:bCs/>
          <w:color w:val="3C3030"/>
        </w:rPr>
      </w:pPr>
    </w:p>
    <w:p w14:paraId="5320D965" w14:textId="77777777" w:rsidR="005E0299" w:rsidRPr="00E516AE" w:rsidRDefault="005E0299" w:rsidP="004C19B5">
      <w:pPr>
        <w:spacing w:line="480" w:lineRule="auto"/>
        <w:rPr>
          <w:rFonts w:eastAsia="Times New Roman" w:cs="Arial"/>
          <w:b/>
          <w:bCs/>
          <w:color w:val="3C3030"/>
          <w:sz w:val="24"/>
          <w:szCs w:val="24"/>
        </w:rPr>
      </w:pPr>
      <w:r w:rsidRPr="00E516AE">
        <w:rPr>
          <w:rFonts w:eastAsia="Times New Roman" w:cs="Arial"/>
          <w:b/>
          <w:bCs/>
          <w:color w:val="3C3030"/>
          <w:sz w:val="24"/>
          <w:szCs w:val="24"/>
        </w:rPr>
        <w:t>How the Law Works</w:t>
      </w:r>
    </w:p>
    <w:p w14:paraId="2E40E90F" w14:textId="77777777" w:rsidR="005E0299" w:rsidRPr="00E516AE" w:rsidRDefault="005E0299" w:rsidP="004C19B5">
      <w:pPr>
        <w:shd w:val="clear" w:color="auto" w:fill="FFFFFF"/>
        <w:spacing w:line="480" w:lineRule="auto"/>
        <w:textAlignment w:val="baseline"/>
        <w:rPr>
          <w:rFonts w:eastAsia="Times New Roman" w:cs="Arial"/>
          <w:color w:val="000000" w:themeColor="text1"/>
        </w:rPr>
      </w:pPr>
      <w:r w:rsidRPr="00E516AE">
        <w:rPr>
          <w:rFonts w:eastAsia="Times New Roman" w:cs="Arial"/>
          <w:color w:val="000000" w:themeColor="text1"/>
        </w:rPr>
        <w:t>The NEA does not provide any specific emergency authority on its own, but relies on emergency authorities provided in other statutes. A national emergency declaration allows for the activation of these other statutory authorities. Emergency statutory provisions are not activated automatically, however; they must be specifically identified in the president’s declaration before these authorities may be given effect. </w:t>
      </w:r>
    </w:p>
    <w:p w14:paraId="0B39B779" w14:textId="77777777" w:rsidR="005E0299" w:rsidRPr="00D17E25" w:rsidRDefault="005E0299" w:rsidP="004C19B5">
      <w:pPr>
        <w:spacing w:line="480" w:lineRule="auto"/>
        <w:rPr>
          <w:rFonts w:eastAsia="Times New Roman" w:cs="Arial"/>
          <w:b/>
          <w:bCs/>
          <w:color w:val="000000" w:themeColor="text1"/>
        </w:rPr>
      </w:pPr>
    </w:p>
    <w:p w14:paraId="40405A53" w14:textId="77777777" w:rsidR="005E0299" w:rsidRPr="00E516AE" w:rsidRDefault="005E0299" w:rsidP="004C19B5">
      <w:pPr>
        <w:spacing w:line="480" w:lineRule="auto"/>
        <w:rPr>
          <w:rFonts w:eastAsia="Times New Roman" w:cs="Arial"/>
          <w:b/>
          <w:bCs/>
          <w:color w:val="000000" w:themeColor="text1"/>
        </w:rPr>
      </w:pPr>
      <w:r w:rsidRPr="00E516AE">
        <w:rPr>
          <w:rFonts w:eastAsia="Times New Roman" w:cs="Arial"/>
          <w:b/>
          <w:bCs/>
          <w:color w:val="000000" w:themeColor="text1"/>
        </w:rPr>
        <w:t>Declaration</w:t>
      </w:r>
    </w:p>
    <w:p w14:paraId="7FD5F2EC" w14:textId="77777777" w:rsidR="005E0299" w:rsidRPr="00E516AE" w:rsidRDefault="005E0299" w:rsidP="004C19B5">
      <w:pPr>
        <w:shd w:val="clear" w:color="auto" w:fill="FFFFFF"/>
        <w:spacing w:line="480" w:lineRule="auto"/>
        <w:textAlignment w:val="baseline"/>
        <w:rPr>
          <w:rFonts w:eastAsia="Times New Roman" w:cs="Arial"/>
          <w:color w:val="000000" w:themeColor="text1"/>
        </w:rPr>
      </w:pPr>
      <w:r w:rsidRPr="00E516AE">
        <w:rPr>
          <w:rFonts w:eastAsia="Times New Roman" w:cs="Arial"/>
          <w:color w:val="000000" w:themeColor="text1"/>
        </w:rPr>
        <w:t>NEA Section 201 authorizes the president to declare a national emergency. The proclamation of a national emergency must be immediately transmitted to Congress and published in the </w:t>
      </w:r>
      <w:r w:rsidRPr="00E516AE">
        <w:rPr>
          <w:rFonts w:eastAsia="Times New Roman" w:cs="Arial"/>
          <w:i/>
          <w:iCs/>
          <w:color w:val="000000" w:themeColor="text1"/>
          <w:bdr w:val="none" w:sz="0" w:space="0" w:color="auto" w:frame="1"/>
        </w:rPr>
        <w:t>Federal Register</w:t>
      </w:r>
      <w:r w:rsidRPr="00E516AE">
        <w:rPr>
          <w:rFonts w:eastAsia="Times New Roman" w:cs="Arial"/>
          <w:color w:val="000000" w:themeColor="text1"/>
        </w:rPr>
        <w:t>.</w:t>
      </w:r>
      <w:r w:rsidRPr="00E516AE">
        <w:rPr>
          <w:rFonts w:eastAsia="Times New Roman" w:cs="Arial"/>
          <w:color w:val="000000" w:themeColor="text1"/>
          <w:bdr w:val="none" w:sz="0" w:space="0" w:color="auto" w:frame="1"/>
          <w:vertAlign w:val="superscript"/>
        </w:rPr>
        <w:t>1,2</w:t>
      </w:r>
      <w:r w:rsidRPr="00E516AE">
        <w:rPr>
          <w:rFonts w:eastAsia="Times New Roman" w:cs="Arial"/>
          <w:color w:val="000000" w:themeColor="text1"/>
        </w:rPr>
        <w:t> Under NEA Section 301, statutory emergency authorities enabled by the national emergency declaration cannot be exercised until the president specifies the provisions of law under which the president or other officials will act. Such specification may be made either in the declaration or in subsequent Executive Orders published in the</w:t>
      </w:r>
      <w:r w:rsidRPr="00D17E25">
        <w:rPr>
          <w:rFonts w:eastAsia="Times New Roman" w:cs="Arial"/>
          <w:color w:val="000000" w:themeColor="text1"/>
        </w:rPr>
        <w:t xml:space="preserve"> </w:t>
      </w:r>
      <w:r w:rsidRPr="00E516AE">
        <w:rPr>
          <w:rFonts w:eastAsia="Times New Roman" w:cs="Arial"/>
          <w:i/>
          <w:iCs/>
          <w:color w:val="000000" w:themeColor="text1"/>
          <w:bdr w:val="none" w:sz="0" w:space="0" w:color="auto" w:frame="1"/>
        </w:rPr>
        <w:t>Federal Register </w:t>
      </w:r>
      <w:r w:rsidRPr="00E516AE">
        <w:rPr>
          <w:rFonts w:eastAsia="Times New Roman" w:cs="Arial"/>
          <w:color w:val="000000" w:themeColor="text1"/>
        </w:rPr>
        <w:t>and transmitted to Congress.</w:t>
      </w:r>
    </w:p>
    <w:p w14:paraId="4DD54098" w14:textId="77777777" w:rsidR="005E0299" w:rsidRPr="00D17E25" w:rsidRDefault="005E0299" w:rsidP="004C19B5">
      <w:pPr>
        <w:spacing w:line="480" w:lineRule="auto"/>
        <w:rPr>
          <w:rFonts w:eastAsia="Times New Roman" w:cs="Arial"/>
          <w:b/>
          <w:bCs/>
          <w:color w:val="000000" w:themeColor="text1"/>
        </w:rPr>
      </w:pPr>
    </w:p>
    <w:p w14:paraId="091BE09D" w14:textId="77777777" w:rsidR="005E0299" w:rsidRPr="00E516AE" w:rsidRDefault="005E0299" w:rsidP="004C19B5">
      <w:pPr>
        <w:spacing w:line="480" w:lineRule="auto"/>
        <w:rPr>
          <w:rFonts w:eastAsia="Times New Roman" w:cs="Arial"/>
          <w:b/>
          <w:bCs/>
          <w:color w:val="000000" w:themeColor="text1"/>
        </w:rPr>
      </w:pPr>
      <w:r w:rsidRPr="00E516AE">
        <w:rPr>
          <w:rFonts w:eastAsia="Times New Roman" w:cs="Arial"/>
          <w:b/>
          <w:bCs/>
          <w:color w:val="000000" w:themeColor="text1"/>
        </w:rPr>
        <w:t>Termination</w:t>
      </w:r>
    </w:p>
    <w:p w14:paraId="0D848EE7" w14:textId="77777777" w:rsidR="005E0299" w:rsidRPr="00E516AE" w:rsidRDefault="005E0299" w:rsidP="004C19B5">
      <w:pPr>
        <w:shd w:val="clear" w:color="auto" w:fill="FFFFFF"/>
        <w:spacing w:line="480" w:lineRule="auto"/>
        <w:textAlignment w:val="baseline"/>
        <w:rPr>
          <w:rFonts w:eastAsia="Times New Roman" w:cs="Arial"/>
          <w:color w:val="000000" w:themeColor="text1"/>
        </w:rPr>
      </w:pPr>
      <w:r w:rsidRPr="00E516AE">
        <w:rPr>
          <w:rFonts w:eastAsia="Times New Roman" w:cs="Arial"/>
          <w:color w:val="000000" w:themeColor="text1"/>
        </w:rPr>
        <w:t>A national emergency can be terminated if the president issues a proclamation or if Congress enacts a joint resolution terminating the emergency. A national emergency will terminate automatically upon the anniversary of the proclamation unless the president renews the proclamation by transmitting notice to Congress within a 90-day period prior to the anniversary date and publishing it in the </w:t>
      </w:r>
      <w:r w:rsidRPr="00E516AE">
        <w:rPr>
          <w:rFonts w:eastAsia="Times New Roman" w:cs="Arial"/>
          <w:i/>
          <w:iCs/>
          <w:color w:val="000000" w:themeColor="text1"/>
          <w:bdr w:val="none" w:sz="0" w:space="0" w:color="auto" w:frame="1"/>
        </w:rPr>
        <w:t>Federal Register</w:t>
      </w:r>
      <w:r w:rsidRPr="00E516AE">
        <w:rPr>
          <w:rFonts w:eastAsia="Times New Roman" w:cs="Arial"/>
          <w:color w:val="000000" w:themeColor="text1"/>
        </w:rPr>
        <w:t>.</w:t>
      </w:r>
    </w:p>
    <w:p w14:paraId="316AD94F" w14:textId="77777777" w:rsidR="005E0299" w:rsidRPr="00D17E25" w:rsidRDefault="005E0299" w:rsidP="004C19B5">
      <w:pPr>
        <w:spacing w:line="480" w:lineRule="auto"/>
        <w:rPr>
          <w:rFonts w:eastAsia="Times New Roman" w:cs="Arial"/>
          <w:b/>
          <w:bCs/>
          <w:color w:val="000000" w:themeColor="text1"/>
        </w:rPr>
      </w:pPr>
    </w:p>
    <w:p w14:paraId="6B1F77AD" w14:textId="77777777" w:rsidR="005E0299" w:rsidRPr="00E516AE" w:rsidRDefault="005E0299" w:rsidP="004C19B5">
      <w:pPr>
        <w:spacing w:line="480" w:lineRule="auto"/>
        <w:rPr>
          <w:rFonts w:eastAsia="Times New Roman" w:cs="Arial"/>
          <w:b/>
          <w:bCs/>
          <w:color w:val="000000" w:themeColor="text1"/>
        </w:rPr>
      </w:pPr>
      <w:r w:rsidRPr="00E516AE">
        <w:rPr>
          <w:rFonts w:eastAsia="Times New Roman" w:cs="Arial"/>
          <w:b/>
          <w:bCs/>
          <w:color w:val="000000" w:themeColor="text1"/>
        </w:rPr>
        <w:t>Immunity and Liability Issues</w:t>
      </w:r>
    </w:p>
    <w:p w14:paraId="313F08BB" w14:textId="77777777" w:rsidR="005E0299" w:rsidRPr="00E516AE" w:rsidRDefault="005E0299" w:rsidP="004C19B5">
      <w:pPr>
        <w:shd w:val="clear" w:color="auto" w:fill="FFFFFF"/>
        <w:spacing w:line="480" w:lineRule="auto"/>
        <w:textAlignment w:val="baseline"/>
        <w:rPr>
          <w:rFonts w:eastAsia="Times New Roman" w:cs="Arial"/>
          <w:color w:val="000000" w:themeColor="text1"/>
        </w:rPr>
      </w:pPr>
      <w:r w:rsidRPr="00E516AE">
        <w:rPr>
          <w:rFonts w:eastAsia="Times New Roman" w:cs="Arial"/>
          <w:color w:val="000000" w:themeColor="text1"/>
        </w:rPr>
        <w:t>The national emergency provisions of the NEA do not address liability issues or provide any immunity. The act could be used to activate emergency authorities in other federal statutes that provide immunity during emergency events.</w:t>
      </w:r>
    </w:p>
    <w:p w14:paraId="5A3EC287" w14:textId="77777777" w:rsidR="005E0299" w:rsidRPr="00D17E25" w:rsidRDefault="005E0299" w:rsidP="004C19B5">
      <w:pPr>
        <w:spacing w:line="480" w:lineRule="auto"/>
        <w:rPr>
          <w:rFonts w:eastAsia="Times New Roman" w:cs="Arial"/>
          <w:b/>
          <w:bCs/>
          <w:color w:val="000000" w:themeColor="text1"/>
        </w:rPr>
      </w:pPr>
    </w:p>
    <w:p w14:paraId="34B991A8" w14:textId="77777777" w:rsidR="005E0299" w:rsidRPr="00E516AE" w:rsidRDefault="005E0299" w:rsidP="004C19B5">
      <w:pPr>
        <w:spacing w:line="480" w:lineRule="auto"/>
        <w:rPr>
          <w:rFonts w:eastAsia="Times New Roman" w:cs="Arial"/>
          <w:b/>
          <w:bCs/>
          <w:color w:val="3C3030"/>
          <w:sz w:val="24"/>
          <w:szCs w:val="24"/>
        </w:rPr>
      </w:pPr>
      <w:r w:rsidRPr="00E516AE">
        <w:rPr>
          <w:rFonts w:eastAsia="Times New Roman" w:cs="Arial"/>
          <w:b/>
          <w:bCs/>
          <w:color w:val="3C3030"/>
          <w:sz w:val="24"/>
          <w:szCs w:val="24"/>
        </w:rPr>
        <w:t>How the Law Affects States</w:t>
      </w:r>
    </w:p>
    <w:p w14:paraId="4E15A0FD" w14:textId="77777777" w:rsidR="005E0299" w:rsidRPr="00E516AE" w:rsidRDefault="005E0299" w:rsidP="004C19B5">
      <w:pPr>
        <w:shd w:val="clear" w:color="auto" w:fill="FFFFFF"/>
        <w:spacing w:line="480" w:lineRule="auto"/>
        <w:textAlignment w:val="baseline"/>
        <w:rPr>
          <w:rFonts w:eastAsia="Times New Roman" w:cs="Arial"/>
          <w:color w:val="000000" w:themeColor="text1"/>
        </w:rPr>
      </w:pPr>
      <w:r w:rsidRPr="00E516AE">
        <w:rPr>
          <w:rFonts w:eastAsia="Times New Roman" w:cs="Arial"/>
          <w:color w:val="000000" w:themeColor="text1"/>
        </w:rPr>
        <w:t>National emergency declarations under the NEA can impact states through the federal statutory emergency authorities activated once the NEA declaration is made. The most recent example of this effect was the activation of SSA Section 1135 waiver authority during the H1N1 influenza pandemic. </w:t>
      </w:r>
    </w:p>
    <w:p w14:paraId="2ECDE446" w14:textId="77777777" w:rsidR="005E0299" w:rsidRDefault="005E0299" w:rsidP="004C19B5">
      <w:pPr>
        <w:rPr>
          <w:rFonts w:eastAsia="Times New Roman" w:cs="Arial"/>
          <w:b/>
          <w:bCs/>
          <w:color w:val="000000" w:themeColor="text1"/>
        </w:rPr>
      </w:pPr>
      <w:r w:rsidRPr="005E0237">
        <w:rPr>
          <w:rFonts w:eastAsia="Times New Roman" w:cs="Arial"/>
          <w:b/>
          <w:bCs/>
          <w:noProof/>
          <w:color w:val="000000" w:themeColor="text1"/>
        </w:rPr>
        <w:lastRenderedPageBreak/>
        <mc:AlternateContent>
          <mc:Choice Requires="wps">
            <w:drawing>
              <wp:anchor distT="45720" distB="45720" distL="114300" distR="114300" simplePos="0" relativeHeight="251658240" behindDoc="0" locked="0" layoutInCell="1" allowOverlap="1" wp14:anchorId="1276F753" wp14:editId="78FAEAD7">
                <wp:simplePos x="0" y="0"/>
                <wp:positionH relativeFrom="margin">
                  <wp:posOffset>0</wp:posOffset>
                </wp:positionH>
                <wp:positionV relativeFrom="paragraph">
                  <wp:posOffset>353695</wp:posOffset>
                </wp:positionV>
                <wp:extent cx="5876290" cy="1404620"/>
                <wp:effectExtent l="0" t="0" r="10160" b="1587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290" cy="1404620"/>
                        </a:xfrm>
                        <a:prstGeom prst="rect">
                          <a:avLst/>
                        </a:prstGeom>
                        <a:solidFill>
                          <a:srgbClr val="FFFFFF"/>
                        </a:solidFill>
                        <a:ln w="9525">
                          <a:solidFill>
                            <a:srgbClr val="000000"/>
                          </a:solidFill>
                          <a:miter lim="800000"/>
                          <a:headEnd/>
                          <a:tailEnd/>
                        </a:ln>
                      </wps:spPr>
                      <wps:txbx>
                        <w:txbxContent>
                          <w:p w14:paraId="0FADD877" w14:textId="77777777" w:rsidR="005E0299" w:rsidRPr="00E516AE" w:rsidRDefault="005E0299" w:rsidP="004C19B5">
                            <w:pPr>
                              <w:jc w:val="center"/>
                              <w:rPr>
                                <w:rFonts w:eastAsia="Times New Roman" w:cs="Arial"/>
                                <w:b/>
                                <w:bCs/>
                                <w:color w:val="000000" w:themeColor="text1"/>
                              </w:rPr>
                            </w:pPr>
                            <w:r w:rsidRPr="00E516AE">
                              <w:rPr>
                                <w:rFonts w:eastAsia="Times New Roman" w:cs="Arial"/>
                                <w:b/>
                                <w:bCs/>
                                <w:color w:val="000000" w:themeColor="text1"/>
                              </w:rPr>
                              <w:t>FIGURE A</w:t>
                            </w:r>
                          </w:p>
                          <w:p w14:paraId="1B55F5B2" w14:textId="77777777" w:rsidR="005E0299" w:rsidRDefault="005E0299" w:rsidP="004C19B5">
                            <w:pPr>
                              <w:shd w:val="clear" w:color="auto" w:fill="FFFFFF"/>
                              <w:jc w:val="center"/>
                              <w:textAlignment w:val="baseline"/>
                              <w:rPr>
                                <w:rFonts w:eastAsia="Times New Roman" w:cs="Arial"/>
                                <w:color w:val="000000" w:themeColor="text1"/>
                              </w:rPr>
                            </w:pPr>
                            <w:r w:rsidRPr="00E516AE">
                              <w:rPr>
                                <w:rFonts w:eastAsia="Times New Roman" w:cs="Arial"/>
                                <w:color w:val="000000" w:themeColor="text1"/>
                              </w:rPr>
                              <w:t xml:space="preserve">DECLARATION OF A NATIONAL EMERGENCY WITH RESPECT TO THE </w:t>
                            </w:r>
                          </w:p>
                          <w:p w14:paraId="4BBF6470" w14:textId="77777777" w:rsidR="005E0299" w:rsidRDefault="005E0299" w:rsidP="004C19B5">
                            <w:pPr>
                              <w:shd w:val="clear" w:color="auto" w:fill="FFFFFF"/>
                              <w:spacing w:after="120"/>
                              <w:jc w:val="center"/>
                              <w:textAlignment w:val="baseline"/>
                              <w:rPr>
                                <w:rFonts w:eastAsia="Times New Roman" w:cs="Arial"/>
                                <w:color w:val="000000" w:themeColor="text1"/>
                              </w:rPr>
                            </w:pPr>
                            <w:r w:rsidRPr="00E516AE">
                              <w:rPr>
                                <w:rFonts w:eastAsia="Times New Roman" w:cs="Arial"/>
                                <w:color w:val="000000" w:themeColor="text1"/>
                              </w:rPr>
                              <w:t>2009 H1N1 INFLUENZA PANDEMIC </w:t>
                            </w:r>
                            <w:r w:rsidRPr="00E516AE">
                              <w:rPr>
                                <w:rFonts w:eastAsia="Times New Roman" w:cs="Arial"/>
                                <w:color w:val="000000" w:themeColor="text1"/>
                              </w:rPr>
                              <w:br/>
                              <w:t>BY THE PRESIDENT OF THE UNITED STATES OF AMERICA</w:t>
                            </w:r>
                          </w:p>
                          <w:p w14:paraId="087CEE10" w14:textId="77777777" w:rsidR="005E0299" w:rsidRDefault="005E0299" w:rsidP="004C19B5">
                            <w:pPr>
                              <w:shd w:val="clear" w:color="auto" w:fill="FFFFFF"/>
                              <w:spacing w:after="120"/>
                              <w:jc w:val="center"/>
                              <w:textAlignment w:val="baseline"/>
                              <w:rPr>
                                <w:rFonts w:eastAsia="Times New Roman" w:cs="Arial"/>
                                <w:color w:val="000000" w:themeColor="text1"/>
                              </w:rPr>
                            </w:pPr>
                            <w:r w:rsidRPr="00E516AE">
                              <w:rPr>
                                <w:rFonts w:eastAsia="Times New Roman" w:cs="Arial"/>
                                <w:color w:val="000000" w:themeColor="text1"/>
                              </w:rPr>
                              <w:t>A PROCLAMATION </w:t>
                            </w:r>
                            <w:r w:rsidRPr="00E516AE">
                              <w:rPr>
                                <w:rFonts w:eastAsia="Times New Roman" w:cs="Arial"/>
                                <w:color w:val="000000" w:themeColor="text1"/>
                              </w:rPr>
                              <w:br/>
                              <w:t>October 24, 2009</w:t>
                            </w:r>
                          </w:p>
                          <w:p w14:paraId="3BC59954" w14:textId="77777777" w:rsidR="005E0299" w:rsidRPr="00E516AE" w:rsidRDefault="005E0299" w:rsidP="004C19B5">
                            <w:pPr>
                              <w:shd w:val="clear" w:color="auto" w:fill="FFFFFF"/>
                              <w:textAlignment w:val="baseline"/>
                              <w:rPr>
                                <w:rFonts w:eastAsia="Times New Roman" w:cs="Arial"/>
                                <w:color w:val="000000" w:themeColor="text1"/>
                              </w:rPr>
                            </w:pPr>
                            <w:r w:rsidRPr="00E516AE">
                              <w:rPr>
                                <w:rFonts w:eastAsia="Times New Roman" w:cs="Arial"/>
                                <w:color w:val="000000" w:themeColor="text1"/>
                              </w:rPr>
                              <w:br/>
                              <w:t>“NOW, THEREFORE, I, BARACK OBAMA, President of the United States of America, by virtue of the authority vested in me by the Constitution and the laws of the United States, including sections 201 and 301 of the National Emergencies Act (50 U.S.C. 1601 et seq.) and consistent with section 1135 of the Social Security Act (SSA), as amended (42 U.S.C. 1320b-5), do hereby find and proclaim that, given that the rapid increase in illness across the Nation may overburden health care resources and that the temporary waiver of certain standard Federal requirements may be warranted in order to enable U.S. health care facilities to implement emergency operations plans, the 2009 H1N1 influenza pandemic in the United States constitutes a national emergency. Accordingly, I hereby declare that the Secretary may exercise the authority under section 1135 of the SSA to temporarily waive or modify certain requirements of the Medicare, Medicaid, and State Children's Health Insurance programs and of the Health Insurance Portability and Accountability Act Privacy Rule throughout the duration of the public health emergency declared in response to the 2009 H1N1 influenza pandemic. In exercising this authority, the Secretary shall provide certification and advance written notice to the Congress as required by section 1135(d) of the SSA (42 U.S.C. 1320b-5(d)).”</w:t>
                            </w:r>
                            <w:r w:rsidRPr="00E516AE">
                              <w:rPr>
                                <w:rFonts w:eastAsia="Times New Roman" w:cs="Arial"/>
                                <w:color w:val="000000" w:themeColor="text1"/>
                                <w:bdr w:val="none" w:sz="0" w:space="0" w:color="auto" w:frame="1"/>
                                <w:vertAlign w:val="superscript"/>
                              </w:rPr>
                              <w:t>4</w:t>
                            </w:r>
                          </w:p>
                          <w:p w14:paraId="26980A3A" w14:textId="77777777" w:rsidR="005E0299" w:rsidRDefault="005E029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76F753" id="_x0000_t202" coordsize="21600,21600" o:spt="202" path="m,l,21600r21600,l21600,xe">
                <v:stroke joinstyle="miter"/>
                <v:path gradientshapeok="t" o:connecttype="rect"/>
              </v:shapetype>
              <v:shape id="Text Box 2" o:spid="_x0000_s1026" type="#_x0000_t202" style="position:absolute;margin-left:0;margin-top:27.85pt;width:462.7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">
                <v:textbox style="mso-fit-shape-to-text:t">
                  <w:txbxContent>
                    <w:p w14:paraId="0FADD877" w14:textId="77777777" w:rsidR="005E0299" w:rsidRPr="00E516AE" w:rsidRDefault="005E0299" w:rsidP="004C19B5">
                      <w:pPr>
                        <w:jc w:val="center"/>
                        <w:rPr>
                          <w:rFonts w:eastAsia="Times New Roman" w:cs="Arial"/>
                          <w:b/>
                          <w:bCs/>
                          <w:color w:val="000000" w:themeColor="text1"/>
                        </w:rPr>
                      </w:pPr>
                      <w:r w:rsidRPr="00E516AE">
                        <w:rPr>
                          <w:rFonts w:eastAsia="Times New Roman" w:cs="Arial"/>
                          <w:b/>
                          <w:bCs/>
                          <w:color w:val="000000" w:themeColor="text1"/>
                        </w:rPr>
                        <w:t>FIGURE A</w:t>
                      </w:r>
                    </w:p>
                    <w:p w14:paraId="1B55F5B2" w14:textId="77777777" w:rsidR="005E0299" w:rsidRDefault="005E0299" w:rsidP="004C19B5">
                      <w:pPr>
                        <w:shd w:val="clear" w:color="auto" w:fill="FFFFFF"/>
                        <w:jc w:val="center"/>
                        <w:textAlignment w:val="baseline"/>
                        <w:rPr>
                          <w:rFonts w:eastAsia="Times New Roman" w:cs="Arial"/>
                          <w:color w:val="000000" w:themeColor="text1"/>
                        </w:rPr>
                      </w:pPr>
                      <w:r w:rsidRPr="00E516AE">
                        <w:rPr>
                          <w:rFonts w:eastAsia="Times New Roman" w:cs="Arial"/>
                          <w:color w:val="000000" w:themeColor="text1"/>
                        </w:rPr>
                        <w:t xml:space="preserve">DECLARATION OF A NATIONAL EMERGENCY WITH RESPECT TO THE </w:t>
                      </w:r>
                    </w:p>
                    <w:p w14:paraId="4BBF6470" w14:textId="77777777" w:rsidR="005E0299" w:rsidRDefault="005E0299" w:rsidP="004C19B5">
                      <w:pPr>
                        <w:shd w:val="clear" w:color="auto" w:fill="FFFFFF"/>
                        <w:spacing w:after="120"/>
                        <w:jc w:val="center"/>
                        <w:textAlignment w:val="baseline"/>
                        <w:rPr>
                          <w:rFonts w:eastAsia="Times New Roman" w:cs="Arial"/>
                          <w:color w:val="000000" w:themeColor="text1"/>
                        </w:rPr>
                      </w:pPr>
                      <w:r w:rsidRPr="00E516AE">
                        <w:rPr>
                          <w:rFonts w:eastAsia="Times New Roman" w:cs="Arial"/>
                          <w:color w:val="000000" w:themeColor="text1"/>
                        </w:rPr>
                        <w:t>2009 H1N1 INFLUENZA PANDEMIC </w:t>
                      </w:r>
                      <w:r w:rsidRPr="00E516AE">
                        <w:rPr>
                          <w:rFonts w:eastAsia="Times New Roman" w:cs="Arial"/>
                          <w:color w:val="000000" w:themeColor="text1"/>
                        </w:rPr>
                        <w:br/>
                        <w:t>BY THE PRESIDENT OF THE UNITED STATES OF AMERICA</w:t>
                      </w:r>
                    </w:p>
                    <w:p w14:paraId="087CEE10" w14:textId="77777777" w:rsidR="005E0299" w:rsidRDefault="005E0299" w:rsidP="004C19B5">
                      <w:pPr>
                        <w:shd w:val="clear" w:color="auto" w:fill="FFFFFF"/>
                        <w:spacing w:after="120"/>
                        <w:jc w:val="center"/>
                        <w:textAlignment w:val="baseline"/>
                        <w:rPr>
                          <w:rFonts w:eastAsia="Times New Roman" w:cs="Arial"/>
                          <w:color w:val="000000" w:themeColor="text1"/>
                        </w:rPr>
                      </w:pPr>
                      <w:r w:rsidRPr="00E516AE">
                        <w:rPr>
                          <w:rFonts w:eastAsia="Times New Roman" w:cs="Arial"/>
                          <w:color w:val="000000" w:themeColor="text1"/>
                        </w:rPr>
                        <w:t>A PROCLAMATION </w:t>
                      </w:r>
                      <w:r w:rsidRPr="00E516AE">
                        <w:rPr>
                          <w:rFonts w:eastAsia="Times New Roman" w:cs="Arial"/>
                          <w:color w:val="000000" w:themeColor="text1"/>
                        </w:rPr>
                        <w:br/>
                        <w:t>October 24, 2009</w:t>
                      </w:r>
                    </w:p>
                    <w:p w14:paraId="3BC59954" w14:textId="77777777" w:rsidR="005E0299" w:rsidRPr="00E516AE" w:rsidRDefault="005E0299" w:rsidP="004C19B5">
                      <w:pPr>
                        <w:shd w:val="clear" w:color="auto" w:fill="FFFFFF"/>
                        <w:textAlignment w:val="baseline"/>
                        <w:rPr>
                          <w:rFonts w:eastAsia="Times New Roman" w:cs="Arial"/>
                          <w:color w:val="000000" w:themeColor="text1"/>
                        </w:rPr>
                      </w:pPr>
                      <w:r w:rsidRPr="00E516AE">
                        <w:rPr>
                          <w:rFonts w:eastAsia="Times New Roman" w:cs="Arial"/>
                          <w:color w:val="000000" w:themeColor="text1"/>
                        </w:rPr>
                        <w:br/>
                        <w:t>“NOW, THEREFORE, I, BARACK OBAMA, President of the United States of America, by virtue of the authority vested in me by the Constitution and the laws of the United States, including sections 201 and 301 of the National Emergencies Act (50 U.S.C. 1601 et seq.) and consistent with section 1135 of the Social Security Act (SSA), as amended (42 U.S.C. 1320b-5), do hereby find and proclaim that, given that the rapid increase in illness across the Nation may overburden health care resources and that the temporary waiver of certain standard Federal requirements may be warranted in order to enable U.S. health care facilities to implement emergency operations plans, the 2009 H1N1 influenza pandemic in the United States constitutes a national emergency. Accordingly, I hereby declare that the Secretary may exercise the authority under section 1135 of the SSA to temporarily waive or modify certain requirements of the Medicare, Medicaid, and State Children's Health Insurance programs and of the Health Insurance Portability and Accountability Act Privacy Rule throughout the duration of the public health emergency declared in response to the 2009 H1N1 influenza pandemic. In exercising this authority, the Secretary shall provide certification and advance written notice to the Congress as required by section 1135(d) of the SSA (42 U.S.C. 1320b-5(d)).”</w:t>
                      </w:r>
                      <w:r w:rsidRPr="00E516AE">
                        <w:rPr>
                          <w:rFonts w:eastAsia="Times New Roman" w:cs="Arial"/>
                          <w:color w:val="000000" w:themeColor="text1"/>
                          <w:bdr w:val="none" w:sz="0" w:space="0" w:color="auto" w:frame="1"/>
                          <w:vertAlign w:val="superscript"/>
                        </w:rPr>
                        <w:t>4</w:t>
                      </w:r>
                    </w:p>
                    <w:p w14:paraId="26980A3A" w14:textId="77777777" w:rsidR="005E0299" w:rsidRDefault="005E0299"/>
                  </w:txbxContent>
                </v:textbox>
                <w10:wrap type="topAndBottom" anchorx="margin"/>
              </v:shape>
            </w:pict>
          </mc:Fallback>
        </mc:AlternateContent>
      </w:r>
    </w:p>
    <w:p w14:paraId="2BBB2D85" w14:textId="77777777" w:rsidR="005E0299" w:rsidRPr="00D17E25" w:rsidRDefault="005E0299" w:rsidP="004C19B5">
      <w:pPr>
        <w:rPr>
          <w:rFonts w:eastAsia="Times New Roman" w:cs="Arial"/>
          <w:b/>
          <w:bCs/>
          <w:color w:val="000000" w:themeColor="text1"/>
        </w:rPr>
      </w:pPr>
    </w:p>
    <w:p w14:paraId="46CE03DC" w14:textId="77777777" w:rsidR="005E0299" w:rsidRDefault="005E0299" w:rsidP="004C19B5">
      <w:pPr>
        <w:rPr>
          <w:rFonts w:eastAsia="Times New Roman" w:cs="Arial"/>
          <w:b/>
          <w:bCs/>
          <w:color w:val="3C3030"/>
          <w:sz w:val="24"/>
          <w:szCs w:val="24"/>
        </w:rPr>
      </w:pPr>
    </w:p>
    <w:p w14:paraId="6876DFC4" w14:textId="77777777" w:rsidR="005E0299" w:rsidRDefault="005E0299" w:rsidP="004C19B5">
      <w:pPr>
        <w:rPr>
          <w:rFonts w:eastAsia="Times New Roman" w:cs="Arial"/>
          <w:b/>
          <w:bCs/>
          <w:color w:val="3C3030"/>
          <w:sz w:val="24"/>
          <w:szCs w:val="24"/>
        </w:rPr>
      </w:pPr>
      <w:r>
        <w:rPr>
          <w:rFonts w:eastAsia="Times New Roman" w:cs="Arial"/>
          <w:b/>
          <w:bCs/>
          <w:color w:val="3C3030"/>
          <w:sz w:val="24"/>
          <w:szCs w:val="24"/>
        </w:rPr>
        <w:t>__________________________________________________________________</w:t>
      </w:r>
    </w:p>
    <w:p w14:paraId="33736208" w14:textId="77777777" w:rsidR="005E0299" w:rsidRDefault="005E0299" w:rsidP="004C19B5">
      <w:pPr>
        <w:rPr>
          <w:rFonts w:eastAsia="Times New Roman" w:cs="Arial"/>
          <w:b/>
          <w:bCs/>
          <w:color w:val="3C3030"/>
          <w:sz w:val="24"/>
          <w:szCs w:val="24"/>
        </w:rPr>
      </w:pPr>
    </w:p>
    <w:p w14:paraId="6C84A219" w14:textId="77777777" w:rsidR="005E0299" w:rsidRPr="00E516AE" w:rsidRDefault="005E0299" w:rsidP="004C19B5">
      <w:pPr>
        <w:spacing w:line="480" w:lineRule="auto"/>
        <w:rPr>
          <w:rFonts w:eastAsia="Times New Roman" w:cs="Arial"/>
          <w:b/>
          <w:bCs/>
          <w:color w:val="3C3030"/>
          <w:sz w:val="24"/>
          <w:szCs w:val="24"/>
        </w:rPr>
      </w:pPr>
      <w:r w:rsidRPr="00E516AE">
        <w:rPr>
          <w:rFonts w:eastAsia="Times New Roman" w:cs="Arial"/>
          <w:b/>
          <w:bCs/>
          <w:color w:val="3C3030"/>
          <w:sz w:val="24"/>
          <w:szCs w:val="24"/>
        </w:rPr>
        <w:t>Sources</w:t>
      </w:r>
    </w:p>
    <w:p w14:paraId="374B8714" w14:textId="77777777" w:rsidR="005E0299" w:rsidRPr="00E516AE" w:rsidRDefault="005E0299" w:rsidP="00224AC9">
      <w:pPr>
        <w:numPr>
          <w:ilvl w:val="0"/>
          <w:numId w:val="27"/>
        </w:numPr>
        <w:spacing w:line="480" w:lineRule="auto"/>
        <w:ind w:left="450"/>
        <w:textAlignment w:val="baseline"/>
        <w:rPr>
          <w:rFonts w:eastAsia="Times New Roman" w:cs="Arial"/>
          <w:color w:val="000000" w:themeColor="text1"/>
          <w:szCs w:val="20"/>
        </w:rPr>
      </w:pPr>
      <w:r w:rsidRPr="00E516AE">
        <w:rPr>
          <w:rFonts w:eastAsia="Times New Roman" w:cs="Arial"/>
          <w:color w:val="000000" w:themeColor="text1"/>
          <w:szCs w:val="20"/>
        </w:rPr>
        <w:t>National Emergencies Act, Pub. L. No. 94-412. Codified in part at 50 U.S.C. §§ 1621, 1631.</w:t>
      </w:r>
    </w:p>
    <w:p w14:paraId="6789D69E" w14:textId="77777777" w:rsidR="005E0299" w:rsidRPr="00E516AE" w:rsidRDefault="005E0299" w:rsidP="00224AC9">
      <w:pPr>
        <w:numPr>
          <w:ilvl w:val="0"/>
          <w:numId w:val="27"/>
        </w:numPr>
        <w:spacing w:line="480" w:lineRule="auto"/>
        <w:ind w:left="450"/>
        <w:textAlignment w:val="baseline"/>
        <w:rPr>
          <w:rFonts w:eastAsia="Times New Roman" w:cs="Arial"/>
          <w:color w:val="000000" w:themeColor="text1"/>
          <w:szCs w:val="20"/>
        </w:rPr>
      </w:pPr>
      <w:r w:rsidRPr="00E516AE">
        <w:rPr>
          <w:rFonts w:eastAsia="Times New Roman" w:cs="Arial"/>
          <w:color w:val="000000" w:themeColor="text1"/>
          <w:szCs w:val="20"/>
        </w:rPr>
        <w:t>Relyea H. Congressional Research Service. </w:t>
      </w:r>
      <w:r w:rsidRPr="00E516AE">
        <w:rPr>
          <w:rFonts w:eastAsia="Times New Roman" w:cs="Arial"/>
          <w:i/>
          <w:iCs/>
          <w:color w:val="000000" w:themeColor="text1"/>
          <w:szCs w:val="20"/>
          <w:bdr w:val="none" w:sz="0" w:space="0" w:color="auto" w:frame="1"/>
        </w:rPr>
        <w:t>National Emergency Powers</w:t>
      </w:r>
      <w:r w:rsidRPr="00DF3C93">
        <w:rPr>
          <w:rFonts w:eastAsia="Times New Roman" w:cs="Arial"/>
          <w:i/>
          <w:iCs/>
          <w:color w:val="000000" w:themeColor="text1"/>
          <w:szCs w:val="20"/>
          <w:bdr w:val="none" w:sz="0" w:space="0" w:color="auto" w:frame="1"/>
        </w:rPr>
        <w:t xml:space="preserve"> </w:t>
      </w:r>
      <w:r w:rsidRPr="00E516AE">
        <w:rPr>
          <w:rFonts w:eastAsia="Times New Roman" w:cs="Arial"/>
          <w:color w:val="000000" w:themeColor="text1"/>
          <w:szCs w:val="20"/>
        </w:rPr>
        <w:t>(98-505). August 30, 2007. Available at </w:t>
      </w:r>
      <w:hyperlink r:id="rId63" w:tooltip="www.law.umaryland.edu/marshall/crsreports/crsdocuments/98505_08302007.pdf" w:history="1">
        <w:r w:rsidRPr="00E516AE">
          <w:rPr>
            <w:rFonts w:eastAsia="Times New Roman" w:cs="Arial"/>
            <w:color w:val="0F88B8"/>
            <w:szCs w:val="20"/>
            <w:bdr w:val="none" w:sz="0" w:space="0" w:color="auto" w:frame="1"/>
          </w:rPr>
          <w:t>www.law.umaryland.edu/marshall/crsreports/crsdocuments/98505_08302007.pdf</w:t>
        </w:r>
      </w:hyperlink>
      <w:r w:rsidRPr="00E516AE">
        <w:rPr>
          <w:rFonts w:eastAsia="Times New Roman" w:cs="Arial"/>
          <w:color w:val="737373"/>
          <w:szCs w:val="20"/>
        </w:rPr>
        <w:t xml:space="preserve">. </w:t>
      </w:r>
      <w:r w:rsidRPr="00E516AE">
        <w:rPr>
          <w:rFonts w:eastAsia="Times New Roman" w:cs="Arial"/>
          <w:color w:val="000000" w:themeColor="text1"/>
          <w:szCs w:val="20"/>
        </w:rPr>
        <w:t>Accessed January 31, 2012.</w:t>
      </w:r>
    </w:p>
    <w:p w14:paraId="2DFB48C3" w14:textId="77777777" w:rsidR="005E0299" w:rsidRPr="00E516AE" w:rsidRDefault="005E0299" w:rsidP="00224AC9">
      <w:pPr>
        <w:numPr>
          <w:ilvl w:val="0"/>
          <w:numId w:val="27"/>
        </w:numPr>
        <w:spacing w:line="480" w:lineRule="auto"/>
        <w:ind w:left="450"/>
        <w:textAlignment w:val="baseline"/>
        <w:rPr>
          <w:rFonts w:eastAsia="Times New Roman" w:cs="Arial"/>
          <w:color w:val="000000" w:themeColor="text1"/>
          <w:szCs w:val="20"/>
        </w:rPr>
      </w:pPr>
      <w:proofErr w:type="spellStart"/>
      <w:r w:rsidRPr="00E516AE">
        <w:rPr>
          <w:rFonts w:eastAsia="Times New Roman" w:cs="Arial"/>
          <w:color w:val="000000" w:themeColor="text1"/>
          <w:szCs w:val="20"/>
        </w:rPr>
        <w:t>Swendiman</w:t>
      </w:r>
      <w:proofErr w:type="spellEnd"/>
      <w:r w:rsidRPr="00E516AE">
        <w:rPr>
          <w:rFonts w:eastAsia="Times New Roman" w:cs="Arial"/>
          <w:color w:val="000000" w:themeColor="text1"/>
          <w:szCs w:val="20"/>
        </w:rPr>
        <w:t xml:space="preserve"> K and Jones NL. Congressional Research Service.</w:t>
      </w:r>
      <w:r w:rsidRPr="00E516AE">
        <w:rPr>
          <w:rFonts w:eastAsia="Times New Roman" w:cs="Arial"/>
          <w:i/>
          <w:iCs/>
          <w:color w:val="000000" w:themeColor="text1"/>
          <w:szCs w:val="20"/>
          <w:bdr w:val="none" w:sz="0" w:space="0" w:color="auto" w:frame="1"/>
        </w:rPr>
        <w:t> The 2009 Influenza Pandemic: Selected Legal Issues</w:t>
      </w:r>
      <w:r w:rsidRPr="00E516AE">
        <w:rPr>
          <w:rFonts w:eastAsia="Times New Roman" w:cs="Arial"/>
          <w:color w:val="000000" w:themeColor="text1"/>
          <w:szCs w:val="20"/>
        </w:rPr>
        <w:t xml:space="preserve"> (R40560). October 29, 2009. Available </w:t>
      </w:r>
      <w:r w:rsidRPr="00E516AE">
        <w:rPr>
          <w:rFonts w:eastAsia="Times New Roman" w:cs="Arial"/>
          <w:color w:val="000000" w:themeColor="text1"/>
          <w:szCs w:val="20"/>
        </w:rPr>
        <w:lastRenderedPageBreak/>
        <w:t>at</w:t>
      </w:r>
      <w:r w:rsidRPr="00E516AE">
        <w:rPr>
          <w:rFonts w:eastAsia="Times New Roman" w:cs="Arial"/>
          <w:color w:val="737373"/>
          <w:szCs w:val="20"/>
        </w:rPr>
        <w:t> </w:t>
      </w:r>
      <w:hyperlink r:id="rId64" w:tooltip="www.law.umaryland.edu/marshall/crsreports/crsdocuments/R40560B_05212009.pdf" w:history="1">
        <w:r w:rsidRPr="00E516AE">
          <w:rPr>
            <w:rFonts w:eastAsia="Times New Roman" w:cs="Arial"/>
            <w:color w:val="0F88B8"/>
            <w:szCs w:val="20"/>
            <w:bdr w:val="none" w:sz="0" w:space="0" w:color="auto" w:frame="1"/>
          </w:rPr>
          <w:t>www.law.umaryland.edu/marshall/crsreports/crsdocuments/R40560B_05212009.pdf</w:t>
        </w:r>
      </w:hyperlink>
      <w:r w:rsidRPr="00E516AE">
        <w:rPr>
          <w:rFonts w:eastAsia="Times New Roman" w:cs="Arial"/>
          <w:color w:val="737373"/>
          <w:szCs w:val="20"/>
        </w:rPr>
        <w:t xml:space="preserve">. </w:t>
      </w:r>
      <w:r w:rsidRPr="00E516AE">
        <w:rPr>
          <w:rFonts w:eastAsia="Times New Roman" w:cs="Arial"/>
          <w:color w:val="000000" w:themeColor="text1"/>
          <w:szCs w:val="20"/>
        </w:rPr>
        <w:t>Accessed January 31, 2012.</w:t>
      </w:r>
    </w:p>
    <w:p w14:paraId="1C2320C2" w14:textId="77777777" w:rsidR="005E0299" w:rsidRPr="00E516AE" w:rsidRDefault="005E0299" w:rsidP="00224AC9">
      <w:pPr>
        <w:numPr>
          <w:ilvl w:val="0"/>
          <w:numId w:val="27"/>
        </w:numPr>
        <w:spacing w:line="480" w:lineRule="auto"/>
        <w:ind w:left="450"/>
        <w:textAlignment w:val="baseline"/>
        <w:rPr>
          <w:rFonts w:eastAsia="Times New Roman" w:cs="Arial"/>
          <w:color w:val="000000" w:themeColor="text1"/>
          <w:szCs w:val="20"/>
        </w:rPr>
      </w:pPr>
      <w:r w:rsidRPr="00E516AE">
        <w:rPr>
          <w:rFonts w:eastAsia="Times New Roman" w:cs="Arial"/>
          <w:color w:val="000000" w:themeColor="text1"/>
          <w:szCs w:val="20"/>
        </w:rPr>
        <w:t>White House, “Declaration of a National Emergency with Respect to the 2009 H1N1 Influenza Pandemic.” October 24, 2009. Available at </w:t>
      </w:r>
      <w:hyperlink r:id="rId65" w:tooltip="www.whitehouse.gov/the-press-office/declaration-a-national-emergency-with-respect-2009-h1n1-influenza-pandemic-0" w:history="1">
        <w:r w:rsidRPr="00E516AE">
          <w:rPr>
            <w:rFonts w:eastAsia="Times New Roman" w:cs="Arial"/>
            <w:color w:val="0F88B8"/>
            <w:szCs w:val="20"/>
            <w:bdr w:val="none" w:sz="0" w:space="0" w:color="auto" w:frame="1"/>
          </w:rPr>
          <w:t>www.whitehouse.gov/the-press-office/declaration-a-national-emergency-with-respect-2009-h1n1-influenza-pandemic-0</w:t>
        </w:r>
      </w:hyperlink>
      <w:r w:rsidRPr="00E516AE">
        <w:rPr>
          <w:rFonts w:eastAsia="Times New Roman" w:cs="Arial"/>
          <w:color w:val="737373"/>
          <w:szCs w:val="20"/>
        </w:rPr>
        <w:t xml:space="preserve">. </w:t>
      </w:r>
      <w:r w:rsidRPr="00E516AE">
        <w:rPr>
          <w:rFonts w:eastAsia="Times New Roman" w:cs="Arial"/>
          <w:color w:val="000000" w:themeColor="text1"/>
          <w:szCs w:val="20"/>
        </w:rPr>
        <w:t>Accessed January 31, 2012.</w:t>
      </w:r>
    </w:p>
    <w:p w14:paraId="0AAC63A2" w14:textId="36D51BCC" w:rsidR="005E0299" w:rsidRDefault="005E0299" w:rsidP="004C19B5">
      <w:pPr>
        <w:spacing w:line="480" w:lineRule="auto"/>
        <w:rPr>
          <w:color w:val="000000" w:themeColor="text1"/>
          <w:sz w:val="24"/>
        </w:rPr>
      </w:pPr>
    </w:p>
    <w:p w14:paraId="714B82C5" w14:textId="77777777" w:rsidR="00D55525" w:rsidRDefault="00D55525" w:rsidP="00D55525">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TOC top</w:t>
        </w:r>
      </w:hyperlink>
      <w:r>
        <w:rPr>
          <w:rFonts w:ascii="Calibri" w:hAnsi="Calibri" w:cs="Calibri"/>
          <w:sz w:val="24"/>
        </w:rPr>
        <w:t>]</w:t>
      </w:r>
    </w:p>
    <w:p w14:paraId="28982EE3" w14:textId="77777777" w:rsidR="00D55525" w:rsidRDefault="00D55525" w:rsidP="004C19B5">
      <w:pPr>
        <w:spacing w:line="480" w:lineRule="auto"/>
        <w:rPr>
          <w:color w:val="000000" w:themeColor="text1"/>
          <w:sz w:val="24"/>
        </w:rPr>
      </w:pPr>
    </w:p>
    <w:p w14:paraId="1AE447EB" w14:textId="42A7CCC6" w:rsidR="00D55525" w:rsidRDefault="00D55525">
      <w:pPr>
        <w:rPr>
          <w:color w:val="000000" w:themeColor="text1"/>
          <w:sz w:val="24"/>
        </w:rPr>
      </w:pPr>
      <w:r>
        <w:rPr>
          <w:color w:val="000000" w:themeColor="text1"/>
          <w:sz w:val="24"/>
        </w:rPr>
        <w:br w:type="page"/>
      </w:r>
    </w:p>
    <w:p w14:paraId="2D6DA550" w14:textId="77777777" w:rsidR="00342BAE" w:rsidRPr="00B52F0F" w:rsidRDefault="00342BAE" w:rsidP="00825E69">
      <w:pPr>
        <w:spacing w:after="120"/>
        <w:rPr>
          <w:rFonts w:eastAsia="Times New Roman" w:cs="Helvetica"/>
          <w:b/>
          <w:bCs/>
          <w:color w:val="333333"/>
          <w:spacing w:val="15"/>
          <w:kern w:val="36"/>
          <w:sz w:val="28"/>
          <w:szCs w:val="28"/>
        </w:rPr>
      </w:pPr>
      <w:bookmarkStart w:id="11" w:name="PAHPA_FS"/>
      <w:r w:rsidRPr="00B52F0F">
        <w:rPr>
          <w:rFonts w:eastAsia="Times New Roman" w:cs="Helvetica"/>
          <w:b/>
          <w:bCs/>
          <w:color w:val="333333"/>
          <w:spacing w:val="15"/>
          <w:kern w:val="36"/>
          <w:sz w:val="28"/>
          <w:szCs w:val="28"/>
        </w:rPr>
        <w:lastRenderedPageBreak/>
        <w:t>Pandemic and All-Hazards Preparedness Act</w:t>
      </w:r>
      <w:bookmarkEnd w:id="11"/>
    </w:p>
    <w:p w14:paraId="626BC8F3" w14:textId="77777777" w:rsidR="00342BAE" w:rsidRPr="00B52F0F" w:rsidRDefault="00342BAE" w:rsidP="00825E69">
      <w:pPr>
        <w:rPr>
          <w:rFonts w:eastAsia="Times New Roman" w:cs="Arial"/>
          <w:b/>
          <w:bCs/>
          <w:color w:val="3C3030"/>
          <w:sz w:val="24"/>
          <w:szCs w:val="24"/>
        </w:rPr>
      </w:pPr>
      <w:r w:rsidRPr="00B52F0F">
        <w:rPr>
          <w:rFonts w:eastAsia="Times New Roman" w:cs="Arial"/>
          <w:b/>
          <w:bCs/>
          <w:color w:val="3C3030"/>
          <w:sz w:val="24"/>
          <w:szCs w:val="24"/>
        </w:rPr>
        <w:t>Fact Sheet</w:t>
      </w:r>
    </w:p>
    <w:p w14:paraId="5C08F8C7" w14:textId="77777777" w:rsidR="00342BAE" w:rsidRPr="00B52F0F" w:rsidRDefault="00342BAE" w:rsidP="00825E69">
      <w:pPr>
        <w:shd w:val="clear" w:color="auto" w:fill="FFFFFF"/>
        <w:spacing w:line="480" w:lineRule="auto"/>
        <w:textAlignment w:val="baseline"/>
        <w:rPr>
          <w:rFonts w:eastAsia="Times New Roman" w:cs="Arial"/>
          <w:color w:val="737373"/>
          <w:sz w:val="20"/>
          <w:szCs w:val="20"/>
        </w:rPr>
      </w:pPr>
    </w:p>
    <w:p w14:paraId="5F3CD6B6" w14:textId="77777777" w:rsidR="00342BAE" w:rsidRPr="00B52F0F" w:rsidRDefault="00342BAE" w:rsidP="00825E69">
      <w:pPr>
        <w:spacing w:line="480" w:lineRule="auto"/>
        <w:rPr>
          <w:rFonts w:eastAsia="Times New Roman" w:cs="Arial"/>
          <w:b/>
          <w:bCs/>
          <w:color w:val="3C3030"/>
          <w:sz w:val="24"/>
          <w:szCs w:val="24"/>
        </w:rPr>
      </w:pPr>
      <w:r w:rsidRPr="00B52F0F">
        <w:rPr>
          <w:rFonts w:eastAsia="Times New Roman" w:cs="Arial"/>
          <w:b/>
          <w:bCs/>
          <w:color w:val="3C3030"/>
          <w:sz w:val="24"/>
          <w:szCs w:val="24"/>
        </w:rPr>
        <w:t>Overview</w:t>
      </w:r>
    </w:p>
    <w:p w14:paraId="3C05FDF3" w14:textId="77777777" w:rsidR="00342BAE" w:rsidRDefault="00342BAE" w:rsidP="00825E69">
      <w:pPr>
        <w:shd w:val="clear" w:color="auto" w:fill="FFFFFF"/>
        <w:spacing w:line="480" w:lineRule="auto"/>
        <w:textAlignment w:val="baseline"/>
        <w:rPr>
          <w:rFonts w:eastAsia="Times New Roman" w:cs="Arial"/>
          <w:color w:val="000000" w:themeColor="text1"/>
        </w:rPr>
      </w:pPr>
      <w:r w:rsidRPr="00B52F0F">
        <w:rPr>
          <w:rFonts w:eastAsia="Times New Roman" w:cs="Arial"/>
          <w:color w:val="000000" w:themeColor="text1"/>
        </w:rPr>
        <w:t>The </w:t>
      </w:r>
      <w:hyperlink r:id="rId66" w:anchor="Pandemic-and-All-Hazards-Preparedness-Act-(PAHPA)" w:tooltip="Pandemic and All-Hazards Preparedness Act (PAHPA)" w:history="1">
        <w:r w:rsidRPr="00B52F0F">
          <w:rPr>
            <w:rFonts w:eastAsia="Times New Roman" w:cs="Arial"/>
            <w:color w:val="0F88B8"/>
            <w:bdr w:val="none" w:sz="0" w:space="0" w:color="auto" w:frame="1"/>
          </w:rPr>
          <w:t>Pandemic and All-Hazards Preparedness Act (PAHPA)</w:t>
        </w:r>
      </w:hyperlink>
      <w:r w:rsidRPr="00B52F0F">
        <w:rPr>
          <w:rFonts w:eastAsia="Times New Roman" w:cs="Arial"/>
          <w:color w:val="000000" w:themeColor="text1"/>
          <w:bdr w:val="none" w:sz="0" w:space="0" w:color="auto" w:frame="1"/>
          <w:vertAlign w:val="superscript"/>
        </w:rPr>
        <w:t>1</w:t>
      </w:r>
      <w:r w:rsidRPr="00B52F0F">
        <w:rPr>
          <w:rFonts w:eastAsia="Times New Roman" w:cs="Arial"/>
          <w:color w:val="737373"/>
        </w:rPr>
        <w:t> </w:t>
      </w:r>
      <w:r w:rsidRPr="00B52F0F">
        <w:rPr>
          <w:rFonts w:eastAsia="Times New Roman" w:cs="Arial"/>
          <w:color w:val="000000" w:themeColor="text1"/>
        </w:rPr>
        <w:t>was enacted to “improve the Nation’s public health and medical preparedness and response capabilities for emergencies, whether deliberate, accidental, or natural.”</w:t>
      </w:r>
      <w:r w:rsidRPr="00B52F0F">
        <w:rPr>
          <w:rFonts w:eastAsia="Times New Roman" w:cs="Arial"/>
          <w:color w:val="000000" w:themeColor="text1"/>
          <w:bdr w:val="none" w:sz="0" w:space="0" w:color="auto" w:frame="1"/>
          <w:vertAlign w:val="superscript"/>
        </w:rPr>
        <w:t>2</w:t>
      </w:r>
      <w:r w:rsidRPr="00B52F0F">
        <w:rPr>
          <w:rFonts w:eastAsia="Times New Roman" w:cs="Arial"/>
          <w:color w:val="000000" w:themeColor="text1"/>
        </w:rPr>
        <w:t> PAHPA amends the Public Health Service Act to address the organization of public health emergency preparedness and response activities. It also authorizes new programs and initiatives concerning medical surge capacity, the development of countermeasures to biological threats, and the capacity of states and localities to prepare for and respond to public health emergencies.</w:t>
      </w:r>
    </w:p>
    <w:p w14:paraId="4CEC3A74" w14:textId="77777777" w:rsidR="00342BAE" w:rsidRDefault="00342BAE" w:rsidP="00825E69">
      <w:pPr>
        <w:shd w:val="clear" w:color="auto" w:fill="FFFFFF"/>
        <w:spacing w:line="480" w:lineRule="auto"/>
        <w:textAlignment w:val="baseline"/>
        <w:rPr>
          <w:rFonts w:eastAsia="Times New Roman" w:cs="Arial"/>
          <w:color w:val="000000" w:themeColor="text1"/>
        </w:rPr>
      </w:pPr>
    </w:p>
    <w:p w14:paraId="1D8B528D" w14:textId="77777777" w:rsidR="00342BAE" w:rsidRDefault="00342BAE" w:rsidP="00825E69">
      <w:pPr>
        <w:shd w:val="clear" w:color="auto" w:fill="FFFFFF"/>
        <w:spacing w:line="480" w:lineRule="auto"/>
        <w:textAlignment w:val="baseline"/>
        <w:rPr>
          <w:rFonts w:eastAsia="Times New Roman" w:cs="Arial"/>
          <w:color w:val="000000" w:themeColor="text1"/>
        </w:rPr>
      </w:pPr>
      <w:r w:rsidRPr="00B52F0F">
        <w:rPr>
          <w:rFonts w:eastAsia="Times New Roman" w:cs="Arial"/>
          <w:color w:val="000000" w:themeColor="text1"/>
        </w:rPr>
        <w:t>As of March 2012, Congress is in the process of reauthorizing PAHPA, with the House and Senate each adopting its own version. While there are many similarities between the two bills, Congress is likely to convene a conference committee to reconcile the differences between them. The legislation ultimately passed may or may not affect the provisions of PAHPA as described below. Please see </w:t>
      </w:r>
      <w:hyperlink r:id="rId67" w:tooltip="ASTHO EAI Current Issues Winter 2012" w:history="1">
        <w:r w:rsidRPr="00B52F0F">
          <w:rPr>
            <w:rFonts w:eastAsia="Times New Roman" w:cs="Arial"/>
            <w:color w:val="000000" w:themeColor="text1"/>
            <w:bdr w:val="none" w:sz="0" w:space="0" w:color="auto" w:frame="1"/>
          </w:rPr>
          <w:t>ASTHO EAI Current Issues Winter 2012</w:t>
        </w:r>
      </w:hyperlink>
      <w:r w:rsidRPr="00B52F0F">
        <w:rPr>
          <w:rFonts w:eastAsia="Times New Roman" w:cs="Arial"/>
          <w:color w:val="000000" w:themeColor="text1"/>
        </w:rPr>
        <w:t xml:space="preserve"> for more information about reauthorization. </w:t>
      </w:r>
    </w:p>
    <w:p w14:paraId="04EABFF8" w14:textId="77777777" w:rsidR="00342BAE" w:rsidRDefault="00342BAE" w:rsidP="00825E69">
      <w:pPr>
        <w:shd w:val="clear" w:color="auto" w:fill="FFFFFF"/>
        <w:spacing w:line="480" w:lineRule="auto"/>
        <w:textAlignment w:val="baseline"/>
        <w:rPr>
          <w:rFonts w:eastAsia="Times New Roman" w:cs="Arial"/>
          <w:color w:val="000000" w:themeColor="text1"/>
        </w:rPr>
      </w:pPr>
    </w:p>
    <w:p w14:paraId="3CD35147" w14:textId="77777777" w:rsidR="00342BAE" w:rsidRPr="00B52F0F" w:rsidRDefault="00342BAE" w:rsidP="00825E69">
      <w:pPr>
        <w:spacing w:line="480" w:lineRule="auto"/>
        <w:rPr>
          <w:rFonts w:eastAsia="Times New Roman" w:cs="Arial"/>
          <w:b/>
          <w:bCs/>
          <w:color w:val="3C3030"/>
          <w:sz w:val="24"/>
          <w:szCs w:val="24"/>
        </w:rPr>
      </w:pPr>
      <w:r w:rsidRPr="00B52F0F">
        <w:rPr>
          <w:rFonts w:eastAsia="Times New Roman" w:cs="Arial"/>
          <w:b/>
          <w:bCs/>
          <w:color w:val="3C3030"/>
          <w:sz w:val="24"/>
          <w:szCs w:val="24"/>
        </w:rPr>
        <w:t>What the Law Does</w:t>
      </w:r>
    </w:p>
    <w:p w14:paraId="11E1F5E0" w14:textId="77777777" w:rsidR="00342BAE" w:rsidRDefault="00342BAE" w:rsidP="00825E69">
      <w:pPr>
        <w:spacing w:line="480" w:lineRule="auto"/>
        <w:rPr>
          <w:rFonts w:eastAsia="Times New Roman" w:cs="Arial"/>
          <w:b/>
          <w:bCs/>
          <w:color w:val="737373"/>
          <w:sz w:val="20"/>
          <w:szCs w:val="20"/>
        </w:rPr>
      </w:pPr>
    </w:p>
    <w:p w14:paraId="24A24720" w14:textId="77777777" w:rsidR="00342BAE" w:rsidRDefault="00342BAE" w:rsidP="00825E69">
      <w:pPr>
        <w:spacing w:line="480" w:lineRule="auto"/>
        <w:rPr>
          <w:rFonts w:eastAsia="Times New Roman" w:cs="Arial"/>
          <w:b/>
          <w:bCs/>
          <w:color w:val="000000" w:themeColor="text1"/>
        </w:rPr>
      </w:pPr>
      <w:r w:rsidRPr="00B52F0F">
        <w:rPr>
          <w:rFonts w:eastAsia="Times New Roman" w:cs="Arial"/>
          <w:b/>
          <w:bCs/>
          <w:color w:val="000000" w:themeColor="text1"/>
        </w:rPr>
        <w:t>National Preparedness and Response, Leadership, Organization, and Planning</w:t>
      </w:r>
    </w:p>
    <w:p w14:paraId="008F6BAC" w14:textId="77777777" w:rsidR="00342BAE" w:rsidRPr="00B52F0F" w:rsidRDefault="00342BAE" w:rsidP="00825E69">
      <w:pPr>
        <w:spacing w:line="480" w:lineRule="auto"/>
        <w:rPr>
          <w:rFonts w:eastAsia="Times New Roman" w:cs="Arial"/>
          <w:b/>
          <w:bCs/>
          <w:color w:val="000000" w:themeColor="text1"/>
        </w:rPr>
      </w:pPr>
    </w:p>
    <w:p w14:paraId="19225F2F" w14:textId="77777777" w:rsidR="00342BAE" w:rsidRPr="00C15B11" w:rsidRDefault="00342BAE" w:rsidP="00224AC9">
      <w:pPr>
        <w:pStyle w:val="ListParagraph"/>
        <w:numPr>
          <w:ilvl w:val="0"/>
          <w:numId w:val="33"/>
        </w:numPr>
        <w:spacing w:line="480" w:lineRule="auto"/>
        <w:ind w:left="360"/>
        <w:textAlignment w:val="baseline"/>
        <w:rPr>
          <w:rFonts w:eastAsia="Times New Roman" w:cs="Arial"/>
          <w:color w:val="000000" w:themeColor="text1"/>
        </w:rPr>
      </w:pPr>
      <w:r w:rsidRPr="00C15B11">
        <w:rPr>
          <w:rFonts w:eastAsia="Times New Roman" w:cs="Arial"/>
          <w:b/>
          <w:bCs/>
          <w:color w:val="000000" w:themeColor="text1"/>
          <w:bdr w:val="none" w:sz="0" w:space="0" w:color="auto" w:frame="1"/>
        </w:rPr>
        <w:t>Leadership and Organization—</w:t>
      </w:r>
      <w:r w:rsidRPr="00C15B11">
        <w:rPr>
          <w:rFonts w:eastAsia="Times New Roman" w:cs="Arial"/>
          <w:color w:val="000000" w:themeColor="text1"/>
        </w:rPr>
        <w:t xml:space="preserve">PAHPA designates the secretary of the Department Health and Human Services (HHS) as the lead federal official for public health emergency preparedness and response. The act establishes the position of Assistant Secretary for Preparedness and Response to advise the HHS secretary on federal public health and medical preparedness and response, oversee </w:t>
      </w:r>
      <w:r w:rsidRPr="00C15B11">
        <w:rPr>
          <w:rFonts w:eastAsia="Times New Roman" w:cs="Arial"/>
          <w:color w:val="000000" w:themeColor="text1"/>
        </w:rPr>
        <w:lastRenderedPageBreak/>
        <w:t>the development of countermeasures, and provide logistical support for federal responses to public health emergencies. The act requires the secretary to submit the </w:t>
      </w:r>
      <w:hyperlink r:id="rId68" w:anchor="National-Health-Security-Strategy" w:tooltip="National Health Security Strategy" w:history="1">
        <w:r w:rsidRPr="00C15B11">
          <w:rPr>
            <w:rFonts w:eastAsia="Times New Roman" w:cs="Arial"/>
            <w:color w:val="0F88B8"/>
            <w:bdr w:val="none" w:sz="0" w:space="0" w:color="auto" w:frame="1"/>
          </w:rPr>
          <w:t>National Health Security Strategy</w:t>
        </w:r>
      </w:hyperlink>
      <w:r w:rsidRPr="00C15B11">
        <w:rPr>
          <w:rFonts w:eastAsia="Times New Roman" w:cs="Arial"/>
          <w:color w:val="737373"/>
        </w:rPr>
        <w:t> </w:t>
      </w:r>
      <w:r w:rsidRPr="00C15B11">
        <w:rPr>
          <w:rFonts w:eastAsia="Times New Roman" w:cs="Arial"/>
          <w:color w:val="000000" w:themeColor="text1"/>
        </w:rPr>
        <w:t>for public health emergency preparedness and response to Congress.</w:t>
      </w:r>
    </w:p>
    <w:p w14:paraId="56AA3C4E" w14:textId="77777777" w:rsidR="00342BAE" w:rsidRPr="00B52F0F" w:rsidRDefault="00342BAE" w:rsidP="00825E69">
      <w:pPr>
        <w:spacing w:line="480" w:lineRule="auto"/>
        <w:textAlignment w:val="baseline"/>
        <w:rPr>
          <w:rFonts w:eastAsia="Times New Roman" w:cs="Arial"/>
          <w:color w:val="000000" w:themeColor="text1"/>
        </w:rPr>
      </w:pPr>
    </w:p>
    <w:p w14:paraId="5BD86473" w14:textId="77777777" w:rsidR="00342BAE" w:rsidRPr="00C15B11" w:rsidRDefault="00342BAE" w:rsidP="00224AC9">
      <w:pPr>
        <w:pStyle w:val="ListParagraph"/>
        <w:numPr>
          <w:ilvl w:val="0"/>
          <w:numId w:val="33"/>
        </w:numPr>
        <w:spacing w:line="480" w:lineRule="auto"/>
        <w:ind w:left="360"/>
        <w:textAlignment w:val="baseline"/>
        <w:rPr>
          <w:rFonts w:eastAsia="Times New Roman" w:cs="Arial"/>
          <w:color w:val="000000" w:themeColor="text1"/>
        </w:rPr>
      </w:pPr>
      <w:r w:rsidRPr="00C15B11">
        <w:rPr>
          <w:rFonts w:eastAsia="Times New Roman" w:cs="Arial"/>
          <w:b/>
          <w:bCs/>
          <w:color w:val="000000" w:themeColor="text1"/>
          <w:bdr w:val="none" w:sz="0" w:space="0" w:color="auto" w:frame="1"/>
        </w:rPr>
        <w:t>Planning for At-Risk Populations—</w:t>
      </w:r>
      <w:r w:rsidRPr="00C15B11">
        <w:rPr>
          <w:rFonts w:eastAsia="Times New Roman" w:cs="Arial"/>
          <w:color w:val="000000" w:themeColor="text1"/>
        </w:rPr>
        <w:t>PAHPA requires the secretary to consider the public health and medical needs of </w:t>
      </w:r>
      <w:hyperlink r:id="rId69" w:anchor="At-Risk" w:tooltip="at-risk individuals" w:history="1">
        <w:r w:rsidRPr="00C15B11">
          <w:rPr>
            <w:rFonts w:eastAsia="Times New Roman" w:cs="Arial"/>
            <w:color w:val="0F88B8"/>
            <w:bdr w:val="none" w:sz="0" w:space="0" w:color="auto" w:frame="1"/>
          </w:rPr>
          <w:t>at-risk individuals</w:t>
        </w:r>
      </w:hyperlink>
      <w:r w:rsidRPr="00C15B11">
        <w:rPr>
          <w:rFonts w:eastAsia="Times New Roman" w:cs="Arial"/>
          <w:color w:val="737373"/>
        </w:rPr>
        <w:t> </w:t>
      </w:r>
      <w:r w:rsidRPr="00C15B11">
        <w:rPr>
          <w:rFonts w:eastAsia="Times New Roman" w:cs="Arial"/>
          <w:color w:val="000000" w:themeColor="text1"/>
        </w:rPr>
        <w:t>during public health emergencies. HHS defines “at-risk” as “those individuals specifically recognized as at-risk in the statute, i.e., children, senior citizens, and pregnant women, as well as those individuals who may need additional response assistance” such as those with physical or mental disabilities and those with limited English proficiency.</w:t>
      </w:r>
      <w:r w:rsidRPr="00C15B11">
        <w:rPr>
          <w:rFonts w:eastAsia="Times New Roman" w:cs="Arial"/>
          <w:color w:val="000000" w:themeColor="text1"/>
          <w:bdr w:val="none" w:sz="0" w:space="0" w:color="auto" w:frame="1"/>
          <w:vertAlign w:val="superscript"/>
        </w:rPr>
        <w:t>4</w:t>
      </w:r>
      <w:r w:rsidRPr="00C15B11">
        <w:rPr>
          <w:rFonts w:eastAsia="Times New Roman" w:cs="Arial"/>
          <w:color w:val="000000" w:themeColor="text1"/>
        </w:rPr>
        <w:t> The secretary must consider the needs of at-risk individuals in guidance given to recipients of state and local public health grants and in the composition of the contents of the Strategic National Stockpile. The secretary is also required to oversee an advisory committee on at-risk persons and disseminate novel and best practices on outreach to and care of the at-risk before, during, and after public health emergencies.</w:t>
      </w:r>
    </w:p>
    <w:p w14:paraId="17926559" w14:textId="77777777" w:rsidR="00342BAE" w:rsidRPr="00B52F0F" w:rsidRDefault="00342BAE" w:rsidP="00825E69">
      <w:pPr>
        <w:spacing w:line="480" w:lineRule="auto"/>
        <w:textAlignment w:val="baseline"/>
        <w:rPr>
          <w:rFonts w:eastAsia="Times New Roman" w:cs="Arial"/>
          <w:color w:val="000000" w:themeColor="text1"/>
        </w:rPr>
      </w:pPr>
    </w:p>
    <w:p w14:paraId="6646CB71" w14:textId="77777777" w:rsidR="00342BAE" w:rsidRDefault="00342BAE" w:rsidP="00825E69">
      <w:pPr>
        <w:spacing w:line="480" w:lineRule="auto"/>
        <w:rPr>
          <w:rFonts w:eastAsia="Times New Roman" w:cs="Arial"/>
          <w:b/>
          <w:bCs/>
          <w:color w:val="000000" w:themeColor="text1"/>
        </w:rPr>
      </w:pPr>
      <w:r w:rsidRPr="00B52F0F">
        <w:rPr>
          <w:rFonts w:eastAsia="Times New Roman" w:cs="Arial"/>
          <w:b/>
          <w:bCs/>
          <w:color w:val="000000" w:themeColor="text1"/>
        </w:rPr>
        <w:t>Public Health Preparedness Capacity</w:t>
      </w:r>
    </w:p>
    <w:p w14:paraId="44F78C29" w14:textId="77777777" w:rsidR="00342BAE" w:rsidRPr="00B52F0F" w:rsidRDefault="00342BAE" w:rsidP="00825E69">
      <w:pPr>
        <w:spacing w:line="480" w:lineRule="auto"/>
        <w:rPr>
          <w:rFonts w:eastAsia="Times New Roman" w:cs="Arial"/>
          <w:b/>
          <w:bCs/>
          <w:color w:val="000000" w:themeColor="text1"/>
        </w:rPr>
      </w:pPr>
    </w:p>
    <w:p w14:paraId="67C8E020" w14:textId="77777777" w:rsidR="00342BAE" w:rsidRPr="00C15B11" w:rsidRDefault="00342BAE" w:rsidP="00224AC9">
      <w:pPr>
        <w:pStyle w:val="ListParagraph"/>
        <w:numPr>
          <w:ilvl w:val="0"/>
          <w:numId w:val="32"/>
        </w:numPr>
        <w:spacing w:line="480" w:lineRule="auto"/>
        <w:ind w:left="360"/>
        <w:textAlignment w:val="baseline"/>
        <w:rPr>
          <w:rFonts w:eastAsia="Times New Roman" w:cs="Arial"/>
          <w:color w:val="000000" w:themeColor="text1"/>
        </w:rPr>
      </w:pPr>
      <w:r w:rsidRPr="00C15B11">
        <w:rPr>
          <w:rFonts w:eastAsia="Times New Roman" w:cs="Arial"/>
          <w:b/>
          <w:bCs/>
          <w:color w:val="000000" w:themeColor="text1"/>
          <w:bdr w:val="none" w:sz="0" w:space="0" w:color="auto" w:frame="1"/>
        </w:rPr>
        <w:t>State and Local Emergency Preparedness—</w:t>
      </w:r>
      <w:r w:rsidRPr="00C15B11">
        <w:rPr>
          <w:rFonts w:eastAsia="Times New Roman" w:cs="Arial"/>
          <w:color w:val="000000" w:themeColor="text1"/>
        </w:rPr>
        <w:t>PAHPA creates and expands programs to enhance the public health system’s capacity to monitor and respond to public health emergencies. The act expands grant programs for state and local public health emergency preparedness activities and mandates the use of evidence-based benchmarks and standards to measure levels of preparedness.</w:t>
      </w:r>
    </w:p>
    <w:p w14:paraId="204B26A9" w14:textId="77777777" w:rsidR="00342BAE" w:rsidRPr="00B52F0F" w:rsidRDefault="00342BAE" w:rsidP="00825E69">
      <w:pPr>
        <w:spacing w:line="480" w:lineRule="auto"/>
        <w:textAlignment w:val="baseline"/>
        <w:rPr>
          <w:rFonts w:eastAsia="Times New Roman" w:cs="Arial"/>
          <w:color w:val="000000" w:themeColor="text1"/>
        </w:rPr>
      </w:pPr>
    </w:p>
    <w:p w14:paraId="7E16DE9C" w14:textId="77777777" w:rsidR="00342BAE" w:rsidRPr="00C15B11" w:rsidRDefault="00342BAE" w:rsidP="00224AC9">
      <w:pPr>
        <w:pStyle w:val="ListParagraph"/>
        <w:numPr>
          <w:ilvl w:val="0"/>
          <w:numId w:val="32"/>
        </w:numPr>
        <w:spacing w:line="480" w:lineRule="auto"/>
        <w:ind w:left="360"/>
        <w:textAlignment w:val="baseline"/>
        <w:rPr>
          <w:rFonts w:eastAsia="Times New Roman" w:cs="Arial"/>
          <w:color w:val="000000" w:themeColor="text1"/>
        </w:rPr>
      </w:pPr>
      <w:r w:rsidRPr="00C15B11">
        <w:rPr>
          <w:rFonts w:eastAsia="Times New Roman" w:cs="Arial"/>
          <w:b/>
          <w:bCs/>
          <w:color w:val="000000" w:themeColor="text1"/>
          <w:bdr w:val="none" w:sz="0" w:space="0" w:color="auto" w:frame="1"/>
        </w:rPr>
        <w:t>Public Health Workforce Capacity—</w:t>
      </w:r>
      <w:r w:rsidRPr="00C15B11">
        <w:rPr>
          <w:rFonts w:eastAsia="Times New Roman" w:cs="Arial"/>
          <w:color w:val="000000" w:themeColor="text1"/>
        </w:rPr>
        <w:t xml:space="preserve">PAHPA establishes a demonstration loan repayment program for eligible National Health Service Corps participants who agree to complete their service in a state, </w:t>
      </w:r>
      <w:r w:rsidRPr="00C15B11">
        <w:rPr>
          <w:rFonts w:eastAsia="Times New Roman" w:cs="Arial"/>
          <w:color w:val="000000" w:themeColor="text1"/>
        </w:rPr>
        <w:lastRenderedPageBreak/>
        <w:t>local, or tribal health department in a health professional shortage area or area at risk for public health emergencies. The act also requires the secretary to establish requirements to ensure the readiness of the Commissioned Corps to respond to urgent or emergency public healthcare needs that cannot otherwise be met at the federal, state, and local levels.</w:t>
      </w:r>
    </w:p>
    <w:p w14:paraId="4E66EFDF" w14:textId="77777777" w:rsidR="00342BAE" w:rsidRPr="00B52F0F" w:rsidRDefault="00342BAE" w:rsidP="00825E69">
      <w:pPr>
        <w:spacing w:line="480" w:lineRule="auto"/>
        <w:textAlignment w:val="baseline"/>
        <w:rPr>
          <w:rFonts w:eastAsia="Times New Roman" w:cs="Arial"/>
          <w:color w:val="000000" w:themeColor="text1"/>
        </w:rPr>
      </w:pPr>
    </w:p>
    <w:p w14:paraId="5E0D18C0" w14:textId="77777777" w:rsidR="00342BAE" w:rsidRPr="00C15B11" w:rsidRDefault="00342BAE" w:rsidP="00224AC9">
      <w:pPr>
        <w:pStyle w:val="ListParagraph"/>
        <w:numPr>
          <w:ilvl w:val="0"/>
          <w:numId w:val="32"/>
        </w:numPr>
        <w:spacing w:line="480" w:lineRule="auto"/>
        <w:ind w:left="360"/>
        <w:textAlignment w:val="baseline"/>
        <w:rPr>
          <w:rFonts w:eastAsia="Times New Roman" w:cs="Arial"/>
          <w:color w:val="000000" w:themeColor="text1"/>
        </w:rPr>
      </w:pPr>
      <w:r w:rsidRPr="00C15B11">
        <w:rPr>
          <w:rFonts w:eastAsia="Times New Roman" w:cs="Arial"/>
          <w:b/>
          <w:bCs/>
          <w:color w:val="000000" w:themeColor="text1"/>
          <w:bdr w:val="none" w:sz="0" w:space="0" w:color="auto" w:frame="1"/>
        </w:rPr>
        <w:t>Situational Awareness Capacity—</w:t>
      </w:r>
      <w:r w:rsidRPr="00C15B11">
        <w:rPr>
          <w:rFonts w:eastAsia="Times New Roman" w:cs="Arial"/>
          <w:color w:val="000000" w:themeColor="text1"/>
        </w:rPr>
        <w:t>PAHPA authorizes the creation of a near-real-time electronic nationwide public health situational awareness capability though an interoperable network to share data to enhance early detection and rapid response to public health emergencies. The act authorizes the creation of systems to track the initial distribution of federally purchased influenza vaccine during an influenza pandemic.</w:t>
      </w:r>
    </w:p>
    <w:p w14:paraId="377B5651" w14:textId="77777777" w:rsidR="00342BAE" w:rsidRPr="00B52F0F" w:rsidRDefault="00342BAE" w:rsidP="00825E69">
      <w:pPr>
        <w:spacing w:line="480" w:lineRule="auto"/>
        <w:textAlignment w:val="baseline"/>
        <w:rPr>
          <w:rFonts w:eastAsia="Times New Roman" w:cs="Arial"/>
          <w:color w:val="000000" w:themeColor="text1"/>
        </w:rPr>
      </w:pPr>
    </w:p>
    <w:p w14:paraId="11AB2FBB" w14:textId="77777777" w:rsidR="00342BAE" w:rsidRPr="000250FC" w:rsidRDefault="00342BAE" w:rsidP="00825E69">
      <w:pPr>
        <w:spacing w:line="480" w:lineRule="auto"/>
        <w:rPr>
          <w:rFonts w:eastAsia="Times New Roman" w:cs="Arial"/>
          <w:b/>
          <w:bCs/>
          <w:color w:val="000000" w:themeColor="text1"/>
        </w:rPr>
      </w:pPr>
      <w:r w:rsidRPr="00B52F0F">
        <w:rPr>
          <w:rFonts w:eastAsia="Times New Roman" w:cs="Arial"/>
          <w:b/>
          <w:bCs/>
          <w:color w:val="000000" w:themeColor="text1"/>
        </w:rPr>
        <w:t>All-Hazards Medical Surge Capacity</w:t>
      </w:r>
    </w:p>
    <w:p w14:paraId="6F52C54A" w14:textId="77777777" w:rsidR="00342BAE" w:rsidRPr="00B52F0F" w:rsidRDefault="00342BAE" w:rsidP="00825E69">
      <w:pPr>
        <w:spacing w:line="480" w:lineRule="auto"/>
        <w:rPr>
          <w:rFonts w:eastAsia="Times New Roman" w:cs="Arial"/>
          <w:b/>
          <w:bCs/>
          <w:color w:val="000000" w:themeColor="text1"/>
        </w:rPr>
      </w:pPr>
    </w:p>
    <w:p w14:paraId="5567961A" w14:textId="77777777" w:rsidR="00342BAE" w:rsidRDefault="00342BAE" w:rsidP="00224AC9">
      <w:pPr>
        <w:numPr>
          <w:ilvl w:val="0"/>
          <w:numId w:val="31"/>
        </w:numPr>
        <w:spacing w:line="480" w:lineRule="auto"/>
        <w:ind w:left="360"/>
        <w:textAlignment w:val="baseline"/>
        <w:rPr>
          <w:rFonts w:eastAsia="Times New Roman" w:cs="Arial"/>
          <w:color w:val="000000" w:themeColor="text1"/>
        </w:rPr>
      </w:pPr>
      <w:r w:rsidRPr="00B52F0F">
        <w:rPr>
          <w:rFonts w:eastAsia="Times New Roman" w:cs="Arial"/>
          <w:b/>
          <w:bCs/>
          <w:color w:val="000000" w:themeColor="text1"/>
          <w:bdr w:val="none" w:sz="0" w:space="0" w:color="auto" w:frame="1"/>
        </w:rPr>
        <w:t>Medical Surge Capacity—</w:t>
      </w:r>
      <w:r w:rsidRPr="00B52F0F">
        <w:rPr>
          <w:rFonts w:eastAsia="Times New Roman" w:cs="Arial"/>
          <w:color w:val="000000" w:themeColor="text1"/>
        </w:rPr>
        <w:t>PAHPA directs the secretary to assess the nation’s medical surge capacity by reviewing the </w:t>
      </w:r>
      <w:hyperlink r:id="rId70" w:anchor="National-Disaster-Medical-System-(NDMS)" w:tooltip="National Disaster Medical System" w:history="1">
        <w:r w:rsidRPr="00B52F0F">
          <w:rPr>
            <w:rFonts w:eastAsia="Times New Roman" w:cs="Arial"/>
            <w:color w:val="0F88B8"/>
            <w:bdr w:val="none" w:sz="0" w:space="0" w:color="auto" w:frame="1"/>
          </w:rPr>
          <w:t>National Disaster Medical System</w:t>
        </w:r>
      </w:hyperlink>
      <w:r w:rsidRPr="00B52F0F">
        <w:rPr>
          <w:rFonts w:eastAsia="Times New Roman" w:cs="Arial"/>
          <w:color w:val="000000" w:themeColor="text1"/>
        </w:rPr>
        <w:t>, evaluating the feasibility of improving HHS's capacity to provide medical surge capacity to local communities and analyzing the potential for using federal facilities as healthcare facilities during public health emergencies. The act expands programs to improve hospital preparedness for public health emergencies to include grants to improve surge capacity.</w:t>
      </w:r>
    </w:p>
    <w:p w14:paraId="01F644C8" w14:textId="77777777" w:rsidR="00342BAE" w:rsidRPr="00B52F0F" w:rsidRDefault="00342BAE" w:rsidP="00825E69">
      <w:pPr>
        <w:spacing w:line="480" w:lineRule="auto"/>
        <w:textAlignment w:val="baseline"/>
        <w:rPr>
          <w:rFonts w:eastAsia="Times New Roman" w:cs="Arial"/>
          <w:color w:val="000000" w:themeColor="text1"/>
        </w:rPr>
      </w:pPr>
    </w:p>
    <w:p w14:paraId="5FB95E42" w14:textId="77777777" w:rsidR="00342BAE" w:rsidRDefault="00342BAE" w:rsidP="00224AC9">
      <w:pPr>
        <w:numPr>
          <w:ilvl w:val="0"/>
          <w:numId w:val="31"/>
        </w:numPr>
        <w:spacing w:line="480" w:lineRule="auto"/>
        <w:ind w:left="360"/>
        <w:textAlignment w:val="baseline"/>
        <w:rPr>
          <w:rFonts w:eastAsia="Times New Roman" w:cs="Arial"/>
          <w:color w:val="000000" w:themeColor="text1"/>
        </w:rPr>
      </w:pPr>
      <w:r w:rsidRPr="00B52F0F">
        <w:rPr>
          <w:rFonts w:eastAsia="Times New Roman" w:cs="Arial"/>
          <w:b/>
          <w:bCs/>
          <w:color w:val="000000" w:themeColor="text1"/>
          <w:bdr w:val="none" w:sz="0" w:space="0" w:color="auto" w:frame="1"/>
        </w:rPr>
        <w:t>Medical Reserve Corps and Volunteers—</w:t>
      </w:r>
      <w:r w:rsidRPr="00B52F0F">
        <w:rPr>
          <w:rFonts w:eastAsia="Times New Roman" w:cs="Arial"/>
          <w:color w:val="000000" w:themeColor="text1"/>
        </w:rPr>
        <w:t>PAHPA requires HHS to link </w:t>
      </w:r>
      <w:hyperlink r:id="rId71" w:anchor="Medical-Reserve-Corps-(MRC)" w:tooltip="Medical Reserve Corps" w:history="1">
        <w:r w:rsidRPr="00B52F0F">
          <w:rPr>
            <w:rFonts w:eastAsia="Times New Roman" w:cs="Arial"/>
            <w:color w:val="0F88B8"/>
            <w:bdr w:val="none" w:sz="0" w:space="0" w:color="auto" w:frame="1"/>
          </w:rPr>
          <w:t>Medical Reserve Corps</w:t>
        </w:r>
      </w:hyperlink>
      <w:r w:rsidRPr="00B52F0F">
        <w:rPr>
          <w:rFonts w:eastAsia="Times New Roman" w:cs="Arial"/>
          <w:color w:val="737373"/>
        </w:rPr>
        <w:t> </w:t>
      </w:r>
      <w:r w:rsidRPr="00B52F0F">
        <w:rPr>
          <w:rFonts w:eastAsia="Times New Roman" w:cs="Arial"/>
          <w:color w:val="000000" w:themeColor="text1"/>
        </w:rPr>
        <w:t>and existing state verification systems into a single national interoperable network of systems—</w:t>
      </w:r>
      <w:hyperlink r:id="rId72" w:anchor="Emergency-System" w:tooltip="Emergency System for Advance Registration of Volunteer Health Professionals (ESAR-VHP)" w:history="1">
        <w:r w:rsidRPr="00B52F0F">
          <w:rPr>
            <w:rFonts w:eastAsia="Times New Roman" w:cs="Arial"/>
            <w:color w:val="000000" w:themeColor="text1"/>
            <w:bdr w:val="none" w:sz="0" w:space="0" w:color="auto" w:frame="1"/>
          </w:rPr>
          <w:t>Emergency System for Advance Registration of Volunteer Health Professionals (ESAR-VHP)</w:t>
        </w:r>
      </w:hyperlink>
      <w:r w:rsidRPr="00B52F0F">
        <w:rPr>
          <w:rFonts w:eastAsia="Times New Roman" w:cs="Arial"/>
          <w:color w:val="000000" w:themeColor="text1"/>
        </w:rPr>
        <w:t>—to verify the credentials and licenses of healthcare professionals who volunteer in emergencies.</w:t>
      </w:r>
    </w:p>
    <w:p w14:paraId="6561ED42" w14:textId="77777777" w:rsidR="00342BAE" w:rsidRPr="00B52F0F" w:rsidRDefault="00342BAE" w:rsidP="00825E69">
      <w:pPr>
        <w:spacing w:line="480" w:lineRule="auto"/>
        <w:textAlignment w:val="baseline"/>
        <w:rPr>
          <w:rFonts w:eastAsia="Times New Roman" w:cs="Arial"/>
          <w:color w:val="000000" w:themeColor="text1"/>
        </w:rPr>
      </w:pPr>
    </w:p>
    <w:p w14:paraId="78D7E14D" w14:textId="77777777" w:rsidR="00342BAE" w:rsidRPr="00C15B11" w:rsidRDefault="00342BAE" w:rsidP="00224AC9">
      <w:pPr>
        <w:pStyle w:val="ListParagraph"/>
        <w:numPr>
          <w:ilvl w:val="0"/>
          <w:numId w:val="31"/>
        </w:numPr>
        <w:spacing w:line="480" w:lineRule="auto"/>
        <w:ind w:left="360"/>
        <w:rPr>
          <w:rFonts w:eastAsia="Times New Roman" w:cs="Arial"/>
          <w:b/>
          <w:bCs/>
          <w:color w:val="000000" w:themeColor="text1"/>
        </w:rPr>
      </w:pPr>
      <w:r w:rsidRPr="00C15B11">
        <w:rPr>
          <w:rFonts w:eastAsia="Times New Roman" w:cs="Arial"/>
          <w:b/>
          <w:bCs/>
          <w:color w:val="000000" w:themeColor="text1"/>
        </w:rPr>
        <w:t>Pandemic and Biodefense Vaccine and Drug Development</w:t>
      </w:r>
    </w:p>
    <w:p w14:paraId="0CEB4F7F" w14:textId="77777777" w:rsidR="00342BAE" w:rsidRPr="00B52F0F" w:rsidRDefault="00342BAE" w:rsidP="00825E69">
      <w:pPr>
        <w:spacing w:line="480" w:lineRule="auto"/>
        <w:rPr>
          <w:rFonts w:eastAsia="Times New Roman" w:cs="Arial"/>
          <w:b/>
          <w:bCs/>
          <w:color w:val="000000" w:themeColor="text1"/>
        </w:rPr>
      </w:pPr>
    </w:p>
    <w:p w14:paraId="3A556CD1" w14:textId="77777777" w:rsidR="00342BAE" w:rsidRPr="000250FC" w:rsidRDefault="00342BAE" w:rsidP="00224AC9">
      <w:pPr>
        <w:numPr>
          <w:ilvl w:val="0"/>
          <w:numId w:val="31"/>
        </w:numPr>
        <w:spacing w:line="480" w:lineRule="auto"/>
        <w:ind w:left="360"/>
        <w:textAlignment w:val="baseline"/>
        <w:rPr>
          <w:rFonts w:eastAsia="Times New Roman" w:cs="Arial"/>
          <w:color w:val="000000" w:themeColor="text1"/>
        </w:rPr>
      </w:pPr>
      <w:r w:rsidRPr="00B52F0F">
        <w:rPr>
          <w:rFonts w:eastAsia="Times New Roman" w:cs="Arial"/>
          <w:color w:val="000000" w:themeColor="text1"/>
        </w:rPr>
        <w:t>PAHPA establishes the </w:t>
      </w:r>
      <w:hyperlink r:id="rId73" w:anchor="Biomedical-Advanced" w:tooltip="Biomedical Advanced Research and Development Authority (BARDA)" w:history="1">
        <w:r w:rsidRPr="00B52F0F">
          <w:rPr>
            <w:rFonts w:eastAsia="Times New Roman" w:cs="Arial"/>
            <w:color w:val="0F88B8"/>
            <w:bdr w:val="none" w:sz="0" w:space="0" w:color="auto" w:frame="1"/>
          </w:rPr>
          <w:t>Biomedical Advanced Research and Development Authority (BARDA)</w:t>
        </w:r>
      </w:hyperlink>
      <w:r w:rsidRPr="00B52F0F">
        <w:rPr>
          <w:rFonts w:eastAsia="Times New Roman" w:cs="Arial"/>
          <w:color w:val="737373"/>
        </w:rPr>
        <w:t> </w:t>
      </w:r>
      <w:r w:rsidRPr="00B52F0F">
        <w:rPr>
          <w:rFonts w:eastAsia="Times New Roman" w:cs="Arial"/>
          <w:color w:val="000000" w:themeColor="text1"/>
        </w:rPr>
        <w:t>within HHS to foster the rapid development of drugs and vaccines (countermeasures and products) against highly infectious pathogens. The act establishes the Biodefense Medical Countermeasure Development Fund to pay for development contracts with the makers of the countermeasures and products.</w:t>
      </w:r>
    </w:p>
    <w:p w14:paraId="7A3C51CF" w14:textId="77777777" w:rsidR="00342BAE" w:rsidRPr="00B52F0F" w:rsidRDefault="00342BAE" w:rsidP="00825E69">
      <w:pPr>
        <w:spacing w:line="480" w:lineRule="auto"/>
        <w:textAlignment w:val="baseline"/>
        <w:rPr>
          <w:rFonts w:eastAsia="Times New Roman" w:cs="Arial"/>
          <w:color w:val="000000" w:themeColor="text1"/>
        </w:rPr>
      </w:pPr>
    </w:p>
    <w:p w14:paraId="771B61C4" w14:textId="77777777" w:rsidR="00342BAE" w:rsidRPr="00B52F0F" w:rsidRDefault="00342BAE" w:rsidP="00825E69">
      <w:pPr>
        <w:spacing w:line="480" w:lineRule="auto"/>
        <w:rPr>
          <w:rFonts w:eastAsia="Times New Roman" w:cs="Arial"/>
          <w:b/>
          <w:bCs/>
          <w:color w:val="3C3030"/>
          <w:sz w:val="24"/>
          <w:szCs w:val="24"/>
        </w:rPr>
      </w:pPr>
      <w:r w:rsidRPr="00B52F0F">
        <w:rPr>
          <w:rFonts w:eastAsia="Times New Roman" w:cs="Arial"/>
          <w:b/>
          <w:bCs/>
          <w:color w:val="3C3030"/>
          <w:sz w:val="24"/>
          <w:szCs w:val="24"/>
        </w:rPr>
        <w:t>Immunity and Liability Issues</w:t>
      </w:r>
    </w:p>
    <w:p w14:paraId="708287DF" w14:textId="77777777" w:rsidR="00342BAE" w:rsidRDefault="00342BAE" w:rsidP="00825E69">
      <w:pPr>
        <w:shd w:val="clear" w:color="auto" w:fill="FFFFFF"/>
        <w:spacing w:line="480" w:lineRule="auto"/>
        <w:textAlignment w:val="baseline"/>
        <w:rPr>
          <w:rFonts w:eastAsia="Times New Roman" w:cs="Arial"/>
          <w:color w:val="737373"/>
          <w:szCs w:val="20"/>
        </w:rPr>
      </w:pPr>
      <w:r w:rsidRPr="00B52F0F">
        <w:rPr>
          <w:rFonts w:eastAsia="Times New Roman" w:cs="Arial"/>
          <w:color w:val="000000" w:themeColor="text1"/>
          <w:szCs w:val="20"/>
        </w:rPr>
        <w:t>PAHPA does not contain any new grants of immunity or other liability and compensation protections. Some activities or persons addressed in PAHPA may be eligible for liability protection through other federal laws; thus, public health and medical volunteers may be eligible, depending on the program they deploy though (e.g., the Medical Reserve Corps) for liability protection under such federal laws as the Federal Tort Claims Act or the Volunteer Protection Act. Persons who are involved with certain activities related to countermeasures may be eligible for liability protection under the </w:t>
      </w:r>
      <w:hyperlink r:id="rId74" w:anchor="Public-Readiness-and-Emergency-Preparedness-Act" w:tooltip="Public Readiness and Emergency Preparedness Act (PREP Act)" w:history="1">
        <w:r w:rsidRPr="00B52F0F">
          <w:rPr>
            <w:rFonts w:eastAsia="Times New Roman" w:cs="Arial"/>
            <w:color w:val="0F88B8"/>
            <w:szCs w:val="20"/>
            <w:bdr w:val="none" w:sz="0" w:space="0" w:color="auto" w:frame="1"/>
          </w:rPr>
          <w:t>Public Readiness and Emergency Preparedness Act (PREP Act)</w:t>
        </w:r>
      </w:hyperlink>
      <w:r w:rsidRPr="00B52F0F">
        <w:rPr>
          <w:rFonts w:eastAsia="Times New Roman" w:cs="Arial"/>
          <w:color w:val="737373"/>
          <w:szCs w:val="20"/>
        </w:rPr>
        <w:t> </w:t>
      </w:r>
      <w:r w:rsidRPr="00B52F0F">
        <w:rPr>
          <w:rFonts w:eastAsia="Times New Roman" w:cs="Arial"/>
          <w:color w:val="000000" w:themeColor="text1"/>
          <w:szCs w:val="20"/>
        </w:rPr>
        <w:t>if they fall into one of the covered classes. </w:t>
      </w:r>
    </w:p>
    <w:p w14:paraId="5AA376F6" w14:textId="77777777" w:rsidR="00342BAE" w:rsidRPr="00B52F0F" w:rsidRDefault="00342BAE" w:rsidP="00825E69">
      <w:pPr>
        <w:shd w:val="clear" w:color="auto" w:fill="FFFFFF"/>
        <w:spacing w:line="480" w:lineRule="auto"/>
        <w:textAlignment w:val="baseline"/>
        <w:rPr>
          <w:rFonts w:eastAsia="Times New Roman" w:cs="Arial"/>
          <w:color w:val="000000" w:themeColor="text1"/>
          <w:szCs w:val="20"/>
        </w:rPr>
      </w:pPr>
    </w:p>
    <w:p w14:paraId="4C17AC6F" w14:textId="77777777" w:rsidR="00342BAE" w:rsidRPr="00B52F0F" w:rsidRDefault="00342BAE" w:rsidP="00825E69">
      <w:pPr>
        <w:spacing w:line="480" w:lineRule="auto"/>
        <w:rPr>
          <w:rFonts w:eastAsia="Times New Roman" w:cs="Arial"/>
          <w:b/>
          <w:bCs/>
          <w:color w:val="3C3030"/>
          <w:sz w:val="24"/>
          <w:szCs w:val="24"/>
        </w:rPr>
      </w:pPr>
      <w:r w:rsidRPr="00B52F0F">
        <w:rPr>
          <w:rFonts w:eastAsia="Times New Roman" w:cs="Arial"/>
          <w:b/>
          <w:bCs/>
          <w:color w:val="3C3030"/>
          <w:sz w:val="24"/>
          <w:szCs w:val="24"/>
        </w:rPr>
        <w:t>How the Law Works</w:t>
      </w:r>
    </w:p>
    <w:p w14:paraId="433EFBD6" w14:textId="77777777" w:rsidR="00342BAE" w:rsidRPr="00C15B11" w:rsidRDefault="00342BAE" w:rsidP="00825E69">
      <w:pPr>
        <w:shd w:val="clear" w:color="auto" w:fill="FFFFFF"/>
        <w:spacing w:line="480" w:lineRule="auto"/>
        <w:textAlignment w:val="baseline"/>
        <w:rPr>
          <w:rFonts w:eastAsia="Times New Roman" w:cs="Arial"/>
          <w:color w:val="000000" w:themeColor="text1"/>
          <w:szCs w:val="20"/>
        </w:rPr>
      </w:pPr>
      <w:r w:rsidRPr="00B52F0F">
        <w:rPr>
          <w:rFonts w:eastAsia="Times New Roman" w:cs="Arial"/>
          <w:color w:val="000000" w:themeColor="text1"/>
          <w:szCs w:val="20"/>
        </w:rPr>
        <w:t>PAHPA is primarily authorizing legislation that directs HHS to establish positions and programs related to public health emergency preparedness and response. HHS has issued a number of progress reports about the status of its efforts to implement PAHPA. </w:t>
      </w:r>
    </w:p>
    <w:p w14:paraId="62500E97" w14:textId="77777777" w:rsidR="00342BAE" w:rsidRPr="00C15B11" w:rsidRDefault="00342BAE" w:rsidP="00825E69">
      <w:pPr>
        <w:shd w:val="clear" w:color="auto" w:fill="FFFFFF"/>
        <w:spacing w:line="480" w:lineRule="auto"/>
        <w:textAlignment w:val="baseline"/>
        <w:rPr>
          <w:rFonts w:eastAsia="Times New Roman" w:cs="Arial"/>
          <w:color w:val="000000" w:themeColor="text1"/>
          <w:szCs w:val="20"/>
        </w:rPr>
      </w:pPr>
    </w:p>
    <w:p w14:paraId="344CAC7E" w14:textId="77777777" w:rsidR="00342BAE" w:rsidRPr="00B52F0F" w:rsidRDefault="00342BAE" w:rsidP="00825E69">
      <w:pPr>
        <w:keepNext/>
        <w:spacing w:line="480" w:lineRule="auto"/>
        <w:rPr>
          <w:rFonts w:eastAsia="Times New Roman" w:cs="Arial"/>
          <w:b/>
          <w:bCs/>
          <w:color w:val="3C3030"/>
          <w:sz w:val="24"/>
          <w:szCs w:val="24"/>
        </w:rPr>
      </w:pPr>
      <w:r w:rsidRPr="00B52F0F">
        <w:rPr>
          <w:rFonts w:eastAsia="Times New Roman" w:cs="Arial"/>
          <w:b/>
          <w:bCs/>
          <w:color w:val="3C3030"/>
          <w:sz w:val="24"/>
          <w:szCs w:val="24"/>
        </w:rPr>
        <w:lastRenderedPageBreak/>
        <w:t>How the Law Affects States</w:t>
      </w:r>
    </w:p>
    <w:p w14:paraId="7C823E5A" w14:textId="77777777" w:rsidR="00342BAE" w:rsidRPr="00B52F0F" w:rsidRDefault="00342BAE" w:rsidP="00825E69">
      <w:pPr>
        <w:shd w:val="clear" w:color="auto" w:fill="FFFFFF"/>
        <w:spacing w:after="120" w:line="480" w:lineRule="auto"/>
        <w:textAlignment w:val="baseline"/>
        <w:rPr>
          <w:rFonts w:eastAsia="Times New Roman" w:cs="Arial"/>
          <w:color w:val="000000" w:themeColor="text1"/>
          <w:szCs w:val="20"/>
        </w:rPr>
      </w:pPr>
      <w:r w:rsidRPr="00B52F0F">
        <w:rPr>
          <w:rFonts w:eastAsia="Times New Roman" w:cs="Arial"/>
          <w:color w:val="000000" w:themeColor="text1"/>
          <w:szCs w:val="20"/>
        </w:rPr>
        <w:t>PAHPA impacts the states through the organizational structures and programs it established within HHS. Many of the offices and programs within HHS that state public health preparedness programs interact with on a daily basis were developed or refined through PAHPA, including:</w:t>
      </w:r>
    </w:p>
    <w:p w14:paraId="2B9F0812" w14:textId="77777777" w:rsidR="00342BAE" w:rsidRPr="00C15B11" w:rsidRDefault="00342BAE" w:rsidP="00224AC9">
      <w:pPr>
        <w:pStyle w:val="ListParagraph"/>
        <w:numPr>
          <w:ilvl w:val="0"/>
          <w:numId w:val="30"/>
        </w:numPr>
        <w:spacing w:after="120" w:line="480" w:lineRule="auto"/>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The office of the </w:t>
      </w:r>
      <w:hyperlink r:id="rId75" w:anchor="HHS-Office-of-the-Assistant-Secretary-for-Preparedness-and-Response-(ASPR)" w:tooltip="Assistant Secretary for Preparedness and Response (HHS ASPR)" w:history="1">
        <w:r w:rsidRPr="00C15B11">
          <w:rPr>
            <w:rFonts w:eastAsia="Times New Roman" w:cs="Arial"/>
            <w:color w:val="0F88B8"/>
            <w:szCs w:val="20"/>
            <w:bdr w:val="none" w:sz="0" w:space="0" w:color="auto" w:frame="1"/>
          </w:rPr>
          <w:t>Assistant Secretary for Preparedness and Response (HHS ASPR)</w:t>
        </w:r>
      </w:hyperlink>
      <w:r w:rsidRPr="00C15B11">
        <w:rPr>
          <w:rFonts w:eastAsia="Times New Roman" w:cs="Arial"/>
          <w:color w:val="737373"/>
          <w:szCs w:val="20"/>
        </w:rPr>
        <w:t>.</w:t>
      </w:r>
    </w:p>
    <w:p w14:paraId="0F055A4E" w14:textId="77777777" w:rsidR="00342BAE" w:rsidRPr="00C15B11" w:rsidRDefault="00342BAE" w:rsidP="00224AC9">
      <w:pPr>
        <w:pStyle w:val="ListParagraph"/>
        <w:numPr>
          <w:ilvl w:val="0"/>
          <w:numId w:val="30"/>
        </w:numPr>
        <w:spacing w:after="120" w:line="480" w:lineRule="auto"/>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Grant programs such as the Public Health Emergency Preparedness Program, Hospital Preparedness Program, and Healthcare Facility Partnership Program.</w:t>
      </w:r>
    </w:p>
    <w:p w14:paraId="5B662BEA" w14:textId="77777777" w:rsidR="00342BAE" w:rsidRPr="00C15B11" w:rsidRDefault="00342BAE" w:rsidP="00224AC9">
      <w:pPr>
        <w:pStyle w:val="ListParagraph"/>
        <w:numPr>
          <w:ilvl w:val="0"/>
          <w:numId w:val="30"/>
        </w:numPr>
        <w:spacing w:after="120" w:line="480" w:lineRule="auto"/>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Guidance regarding at-risk populations generated through PAHPA-supported initiatives.</w:t>
      </w:r>
    </w:p>
    <w:p w14:paraId="79AF9814" w14:textId="77777777" w:rsidR="00342BAE" w:rsidRPr="00C15B11" w:rsidRDefault="00342BAE" w:rsidP="00224AC9">
      <w:pPr>
        <w:pStyle w:val="ListParagraph"/>
        <w:numPr>
          <w:ilvl w:val="0"/>
          <w:numId w:val="30"/>
        </w:numPr>
        <w:spacing w:line="480" w:lineRule="auto"/>
        <w:textAlignment w:val="baseline"/>
        <w:rPr>
          <w:rFonts w:eastAsia="Times New Roman" w:cs="Arial"/>
          <w:color w:val="000000" w:themeColor="text1"/>
          <w:szCs w:val="20"/>
        </w:rPr>
      </w:pPr>
      <w:r w:rsidRPr="00C15B11">
        <w:rPr>
          <w:rFonts w:eastAsia="Times New Roman" w:cs="Arial"/>
          <w:color w:val="000000" w:themeColor="text1"/>
          <w:szCs w:val="20"/>
        </w:rPr>
        <w:t>Registration of volunteer health professionals into ESAR-VHP-compliant databases.</w:t>
      </w:r>
    </w:p>
    <w:p w14:paraId="606A42EE" w14:textId="77777777" w:rsidR="00342BAE" w:rsidRPr="00B52F0F" w:rsidRDefault="00342BAE" w:rsidP="00825E69">
      <w:pPr>
        <w:spacing w:line="480" w:lineRule="auto"/>
        <w:textAlignment w:val="baseline"/>
        <w:rPr>
          <w:rFonts w:eastAsia="Times New Roman" w:cs="Arial"/>
          <w:color w:val="000000" w:themeColor="text1"/>
          <w:szCs w:val="20"/>
        </w:rPr>
      </w:pPr>
    </w:p>
    <w:p w14:paraId="6796947A" w14:textId="77777777" w:rsidR="00342BAE" w:rsidRPr="00B52F0F" w:rsidRDefault="00342BAE" w:rsidP="00825E69">
      <w:pPr>
        <w:spacing w:line="480" w:lineRule="auto"/>
        <w:rPr>
          <w:rFonts w:eastAsia="Times New Roman" w:cs="Arial"/>
          <w:b/>
          <w:bCs/>
          <w:color w:val="3C3030"/>
          <w:sz w:val="24"/>
          <w:szCs w:val="24"/>
        </w:rPr>
      </w:pPr>
      <w:r w:rsidRPr="00B52F0F">
        <w:rPr>
          <w:rFonts w:eastAsia="Times New Roman" w:cs="Arial"/>
          <w:b/>
          <w:bCs/>
          <w:color w:val="3C3030"/>
          <w:sz w:val="24"/>
          <w:szCs w:val="24"/>
        </w:rPr>
        <w:t>Practice Notes</w:t>
      </w:r>
    </w:p>
    <w:p w14:paraId="16CAFB5E" w14:textId="77777777" w:rsidR="00342BAE" w:rsidRPr="00C15B11" w:rsidRDefault="00342BAE" w:rsidP="00224AC9">
      <w:pPr>
        <w:pStyle w:val="ListParagraph"/>
        <w:numPr>
          <w:ilvl w:val="0"/>
          <w:numId w:val="29"/>
        </w:numPr>
        <w:spacing w:after="120" w:line="480" w:lineRule="auto"/>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Identify the offices and/or agencies in your state that interact with HHS ASPR and its various programs. These state offices will most likely be in the state public health agency, but some programs might be housed in state homeland security or emergency management agencies.</w:t>
      </w:r>
    </w:p>
    <w:p w14:paraId="0419FFF9" w14:textId="77777777" w:rsidR="00342BAE" w:rsidRPr="00C15B11" w:rsidRDefault="00342BAE" w:rsidP="00224AC9">
      <w:pPr>
        <w:pStyle w:val="ListParagraph"/>
        <w:numPr>
          <w:ilvl w:val="0"/>
          <w:numId w:val="29"/>
        </w:numPr>
        <w:spacing w:after="120" w:line="480" w:lineRule="auto"/>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Identify and understand the HHS ASPR grants your state receives and the programmatic and administrative requirements of each.</w:t>
      </w:r>
    </w:p>
    <w:p w14:paraId="747D971F" w14:textId="77777777" w:rsidR="00342BAE" w:rsidRPr="00C15B11" w:rsidRDefault="00342BAE" w:rsidP="00224AC9">
      <w:pPr>
        <w:pStyle w:val="ListParagraph"/>
        <w:numPr>
          <w:ilvl w:val="0"/>
          <w:numId w:val="29"/>
        </w:numPr>
        <w:spacing w:after="120" w:line="480" w:lineRule="auto"/>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Identify and understand any parallel state statutory or regulatory requirements in the program areas addressed by PAHPA.</w:t>
      </w:r>
    </w:p>
    <w:p w14:paraId="111B6BC9" w14:textId="77777777" w:rsidR="00342BAE" w:rsidRPr="00C15B11" w:rsidRDefault="00342BAE" w:rsidP="00224AC9">
      <w:pPr>
        <w:pStyle w:val="ListParagraph"/>
        <w:numPr>
          <w:ilvl w:val="0"/>
          <w:numId w:val="29"/>
        </w:numPr>
        <w:spacing w:after="120" w:line="480" w:lineRule="auto"/>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Identify requirements and expectations within PAHPA (e.g., performance measures, matching requirements, partnering requirements) and determine how these affect your state’s preparedness program.</w:t>
      </w:r>
    </w:p>
    <w:p w14:paraId="6402CAAB" w14:textId="77777777" w:rsidR="00342BAE" w:rsidRDefault="00342BAE" w:rsidP="00825E69">
      <w:pPr>
        <w:spacing w:line="480" w:lineRule="auto"/>
        <w:textAlignment w:val="baseline"/>
        <w:rPr>
          <w:rFonts w:eastAsia="Times New Roman" w:cs="Arial"/>
          <w:color w:val="000000" w:themeColor="text1"/>
          <w:szCs w:val="20"/>
        </w:rPr>
      </w:pPr>
    </w:p>
    <w:p w14:paraId="5A25FB5B" w14:textId="77777777" w:rsidR="00342BAE" w:rsidRDefault="00342BAE" w:rsidP="00825E69">
      <w:pPr>
        <w:spacing w:line="480" w:lineRule="auto"/>
        <w:textAlignment w:val="baseline"/>
        <w:rPr>
          <w:rFonts w:eastAsia="Times New Roman" w:cs="Arial"/>
          <w:color w:val="000000" w:themeColor="text1"/>
          <w:szCs w:val="20"/>
        </w:rPr>
      </w:pPr>
      <w:r>
        <w:rPr>
          <w:rFonts w:eastAsia="Times New Roman" w:cs="Arial"/>
          <w:color w:val="000000" w:themeColor="text1"/>
          <w:szCs w:val="20"/>
        </w:rPr>
        <w:lastRenderedPageBreak/>
        <w:t>__________________________________________________________________________</w:t>
      </w:r>
    </w:p>
    <w:p w14:paraId="7E28A7D9" w14:textId="77777777" w:rsidR="00342BAE" w:rsidRPr="00B52F0F" w:rsidRDefault="00342BAE" w:rsidP="00825E69">
      <w:pPr>
        <w:spacing w:line="480" w:lineRule="auto"/>
        <w:textAlignment w:val="baseline"/>
        <w:rPr>
          <w:rFonts w:eastAsia="Times New Roman" w:cs="Arial"/>
          <w:color w:val="000000" w:themeColor="text1"/>
          <w:szCs w:val="20"/>
        </w:rPr>
      </w:pPr>
    </w:p>
    <w:p w14:paraId="78BC2F35" w14:textId="77777777" w:rsidR="00342BAE" w:rsidRPr="00B52F0F" w:rsidRDefault="00342BAE" w:rsidP="00825E69">
      <w:pPr>
        <w:spacing w:line="480" w:lineRule="auto"/>
        <w:rPr>
          <w:rFonts w:eastAsia="Times New Roman" w:cs="Arial"/>
          <w:b/>
          <w:bCs/>
          <w:color w:val="3C3030"/>
          <w:sz w:val="24"/>
          <w:szCs w:val="24"/>
        </w:rPr>
      </w:pPr>
      <w:r w:rsidRPr="00B52F0F">
        <w:rPr>
          <w:rFonts w:eastAsia="Times New Roman" w:cs="Arial"/>
          <w:b/>
          <w:bCs/>
          <w:color w:val="3C3030"/>
          <w:sz w:val="24"/>
          <w:szCs w:val="24"/>
        </w:rPr>
        <w:t>Sources</w:t>
      </w:r>
    </w:p>
    <w:p w14:paraId="666BFC5D" w14:textId="77777777" w:rsidR="00342BAE" w:rsidRPr="00B52F0F" w:rsidRDefault="00342BAE" w:rsidP="00224AC9">
      <w:pPr>
        <w:numPr>
          <w:ilvl w:val="0"/>
          <w:numId w:val="28"/>
        </w:numPr>
        <w:spacing w:line="480" w:lineRule="auto"/>
        <w:ind w:left="450"/>
        <w:textAlignment w:val="baseline"/>
        <w:rPr>
          <w:rFonts w:eastAsia="Times New Roman" w:cs="Arial"/>
          <w:color w:val="000000" w:themeColor="text1"/>
          <w:szCs w:val="20"/>
        </w:rPr>
      </w:pPr>
      <w:r w:rsidRPr="00B52F0F">
        <w:rPr>
          <w:rFonts w:eastAsia="Times New Roman" w:cs="Arial"/>
          <w:color w:val="000000" w:themeColor="text1"/>
          <w:szCs w:val="20"/>
        </w:rPr>
        <w:t>Pandemic and All-Hazards Preparedness Act of 2006, Pub. L. No. 109-417. Codified, in part, in the Public Health Service Act, 42 U.S.C. 201 et seq.</w:t>
      </w:r>
    </w:p>
    <w:p w14:paraId="57BD5C37" w14:textId="77777777" w:rsidR="00342BAE" w:rsidRPr="00B52F0F" w:rsidRDefault="00342BAE" w:rsidP="00224AC9">
      <w:pPr>
        <w:numPr>
          <w:ilvl w:val="0"/>
          <w:numId w:val="28"/>
        </w:numPr>
        <w:spacing w:line="480" w:lineRule="auto"/>
        <w:ind w:left="450"/>
        <w:textAlignment w:val="baseline"/>
        <w:rPr>
          <w:rFonts w:eastAsia="Times New Roman" w:cs="Arial"/>
          <w:color w:val="000000" w:themeColor="text1"/>
          <w:szCs w:val="20"/>
        </w:rPr>
      </w:pPr>
      <w:r w:rsidRPr="00B52F0F">
        <w:rPr>
          <w:rFonts w:eastAsia="Times New Roman" w:cs="Arial"/>
          <w:color w:val="000000" w:themeColor="text1"/>
          <w:szCs w:val="20"/>
        </w:rPr>
        <w:t>Department of Health and Human Services. “Pandemic and All-Hazards Preparedness Act” webpage. Available at </w:t>
      </w:r>
      <w:hyperlink r:id="rId76" w:tooltip="www.phe.gov/Preparedness/legal/pahpa/Pages/default.aspx" w:history="1">
        <w:r w:rsidRPr="00B52F0F">
          <w:rPr>
            <w:rFonts w:eastAsia="Times New Roman" w:cs="Arial"/>
            <w:color w:val="0F88B8"/>
            <w:szCs w:val="20"/>
            <w:bdr w:val="none" w:sz="0" w:space="0" w:color="auto" w:frame="1"/>
          </w:rPr>
          <w:t>www.phe.gov/Preparedness/legal/pahpa/Pages/default.aspx</w:t>
        </w:r>
      </w:hyperlink>
      <w:r w:rsidRPr="00B52F0F">
        <w:rPr>
          <w:rFonts w:eastAsia="Times New Roman" w:cs="Arial"/>
          <w:color w:val="737373"/>
          <w:szCs w:val="20"/>
        </w:rPr>
        <w:t xml:space="preserve">. </w:t>
      </w:r>
      <w:r w:rsidRPr="00B52F0F">
        <w:rPr>
          <w:rFonts w:eastAsia="Times New Roman" w:cs="Arial"/>
          <w:color w:val="000000" w:themeColor="text1"/>
          <w:szCs w:val="20"/>
        </w:rPr>
        <w:t>Accessed January 31, 2012.</w:t>
      </w:r>
    </w:p>
    <w:p w14:paraId="1687A16B" w14:textId="77777777" w:rsidR="00342BAE" w:rsidRPr="00B52F0F" w:rsidRDefault="00342BAE" w:rsidP="00224AC9">
      <w:pPr>
        <w:numPr>
          <w:ilvl w:val="0"/>
          <w:numId w:val="28"/>
        </w:numPr>
        <w:spacing w:line="480" w:lineRule="auto"/>
        <w:ind w:left="450"/>
        <w:textAlignment w:val="baseline"/>
        <w:rPr>
          <w:rFonts w:eastAsia="Times New Roman" w:cs="Arial"/>
          <w:color w:val="000000" w:themeColor="text1"/>
          <w:szCs w:val="20"/>
        </w:rPr>
      </w:pPr>
      <w:r w:rsidRPr="00B52F0F">
        <w:rPr>
          <w:rFonts w:eastAsia="Times New Roman" w:cs="Arial"/>
          <w:color w:val="000000" w:themeColor="text1"/>
          <w:szCs w:val="20"/>
        </w:rPr>
        <w:t>Congressional Research Service, Summary of Public Law 109-417. December 19, 2006.</w:t>
      </w:r>
    </w:p>
    <w:p w14:paraId="6C484DE0" w14:textId="77777777" w:rsidR="00342BAE" w:rsidRPr="00B52F0F" w:rsidRDefault="00342BAE" w:rsidP="00224AC9">
      <w:pPr>
        <w:numPr>
          <w:ilvl w:val="0"/>
          <w:numId w:val="28"/>
        </w:numPr>
        <w:spacing w:line="480" w:lineRule="auto"/>
        <w:ind w:left="450"/>
        <w:textAlignment w:val="baseline"/>
        <w:rPr>
          <w:rFonts w:eastAsia="Times New Roman" w:cs="Arial"/>
          <w:color w:val="000000" w:themeColor="text1"/>
          <w:szCs w:val="20"/>
        </w:rPr>
      </w:pPr>
      <w:r w:rsidRPr="00B52F0F">
        <w:rPr>
          <w:rFonts w:eastAsia="Times New Roman" w:cs="Arial"/>
          <w:color w:val="000000" w:themeColor="text1"/>
          <w:szCs w:val="20"/>
        </w:rPr>
        <w:t>Department of Health and Human Services. </w:t>
      </w:r>
      <w:r w:rsidRPr="00B52F0F">
        <w:rPr>
          <w:rFonts w:eastAsia="Times New Roman" w:cs="Arial"/>
          <w:i/>
          <w:iCs/>
          <w:color w:val="000000" w:themeColor="text1"/>
          <w:szCs w:val="20"/>
          <w:bdr w:val="none" w:sz="0" w:space="0" w:color="auto" w:frame="1"/>
        </w:rPr>
        <w:t>Pandemic and All-Hazards Preparedness Act: Progress Report on the Implementation of Provisions Addressing At-Risk Individuals</w:t>
      </w:r>
      <w:r w:rsidRPr="00B52F0F">
        <w:rPr>
          <w:rFonts w:eastAsia="Times New Roman" w:cs="Arial"/>
          <w:color w:val="000000" w:themeColor="text1"/>
          <w:szCs w:val="20"/>
        </w:rPr>
        <w:t>. August 2008. Available at </w:t>
      </w:r>
      <w:hyperlink r:id="rId77" w:tooltip="www.phe.gov/Preparedness/legal/pahpa/Documents/pahpa-at-risk-report0901.pdf" w:history="1">
        <w:r w:rsidRPr="00B52F0F">
          <w:rPr>
            <w:rFonts w:eastAsia="Times New Roman" w:cs="Arial"/>
            <w:color w:val="0F88B8"/>
            <w:szCs w:val="20"/>
            <w:bdr w:val="none" w:sz="0" w:space="0" w:color="auto" w:frame="1"/>
          </w:rPr>
          <w:t>www.phe.gov/Preparedness/legal/pahpa/Documents/pahpa-at-risk-report0901.pdf</w:t>
        </w:r>
      </w:hyperlink>
      <w:r w:rsidRPr="00B52F0F">
        <w:rPr>
          <w:rFonts w:eastAsia="Times New Roman" w:cs="Arial"/>
          <w:color w:val="737373"/>
          <w:szCs w:val="20"/>
        </w:rPr>
        <w:t xml:space="preserve">. </w:t>
      </w:r>
      <w:r w:rsidRPr="00B52F0F">
        <w:rPr>
          <w:rFonts w:eastAsia="Times New Roman" w:cs="Arial"/>
          <w:color w:val="000000" w:themeColor="text1"/>
          <w:szCs w:val="20"/>
        </w:rPr>
        <w:t>Accessed January 31, 2012.</w:t>
      </w:r>
    </w:p>
    <w:p w14:paraId="2CE07992" w14:textId="49D7D9C2" w:rsidR="00342BAE" w:rsidRDefault="00342BAE" w:rsidP="00825E69">
      <w:pPr>
        <w:spacing w:line="480" w:lineRule="auto"/>
        <w:rPr>
          <w:sz w:val="24"/>
        </w:rPr>
      </w:pPr>
    </w:p>
    <w:p w14:paraId="22F834B1" w14:textId="77777777" w:rsidR="00D55525" w:rsidRDefault="00D55525" w:rsidP="00D55525">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 xml:space="preserve">TOC </w:t>
        </w:r>
        <w:r w:rsidRPr="00B16B87">
          <w:rPr>
            <w:rStyle w:val="Hyperlink"/>
            <w:rFonts w:ascii="Calibri" w:hAnsi="Calibri" w:cs="Calibri"/>
            <w:sz w:val="24"/>
          </w:rPr>
          <w:t>t</w:t>
        </w:r>
        <w:r w:rsidRPr="00B16B87">
          <w:rPr>
            <w:rStyle w:val="Hyperlink"/>
            <w:rFonts w:ascii="Calibri" w:hAnsi="Calibri" w:cs="Calibri"/>
            <w:sz w:val="24"/>
          </w:rPr>
          <w:t>op</w:t>
        </w:r>
      </w:hyperlink>
      <w:r>
        <w:rPr>
          <w:rFonts w:ascii="Calibri" w:hAnsi="Calibri" w:cs="Calibri"/>
          <w:sz w:val="24"/>
        </w:rPr>
        <w:t>]</w:t>
      </w:r>
    </w:p>
    <w:p w14:paraId="78C9CB21" w14:textId="270A37EE" w:rsidR="00D55525" w:rsidRDefault="00D55525">
      <w:pPr>
        <w:rPr>
          <w:sz w:val="24"/>
        </w:rPr>
      </w:pPr>
      <w:r>
        <w:rPr>
          <w:sz w:val="24"/>
        </w:rPr>
        <w:br w:type="page"/>
      </w:r>
    </w:p>
    <w:p w14:paraId="7DA3ACD4" w14:textId="77777777" w:rsidR="00342BAE" w:rsidRPr="00740CF9" w:rsidRDefault="00342BAE" w:rsidP="00D55525">
      <w:pPr>
        <w:spacing w:before="120"/>
        <w:rPr>
          <w:rFonts w:eastAsia="Times New Roman" w:cs="Helvetica"/>
          <w:b/>
          <w:bCs/>
          <w:color w:val="333333"/>
          <w:spacing w:val="15"/>
          <w:kern w:val="36"/>
          <w:sz w:val="28"/>
          <w:szCs w:val="28"/>
        </w:rPr>
      </w:pPr>
      <w:bookmarkStart w:id="12" w:name="PHSAct319_FS"/>
      <w:r w:rsidRPr="00740CF9">
        <w:rPr>
          <w:rFonts w:eastAsia="Times New Roman" w:cs="Helvetica"/>
          <w:b/>
          <w:bCs/>
          <w:color w:val="333333"/>
          <w:spacing w:val="15"/>
          <w:kern w:val="36"/>
          <w:sz w:val="28"/>
          <w:szCs w:val="28"/>
        </w:rPr>
        <w:lastRenderedPageBreak/>
        <w:t>Public Health Service Act, Section 319</w:t>
      </w:r>
      <w:bookmarkEnd w:id="12"/>
    </w:p>
    <w:p w14:paraId="0B2A3276" w14:textId="77777777" w:rsidR="00342BAE" w:rsidRPr="00740CF9" w:rsidRDefault="00342BAE" w:rsidP="00825E69">
      <w:pPr>
        <w:rPr>
          <w:rFonts w:eastAsia="Times New Roman" w:cs="Helvetica"/>
          <w:b/>
          <w:bCs/>
          <w:color w:val="333333"/>
          <w:spacing w:val="15"/>
          <w:kern w:val="36"/>
          <w:sz w:val="28"/>
          <w:szCs w:val="28"/>
        </w:rPr>
      </w:pPr>
      <w:r w:rsidRPr="00740CF9">
        <w:rPr>
          <w:rFonts w:eastAsia="Times New Roman" w:cs="Helvetica"/>
          <w:b/>
          <w:bCs/>
          <w:color w:val="333333"/>
          <w:spacing w:val="15"/>
          <w:kern w:val="36"/>
          <w:sz w:val="28"/>
          <w:szCs w:val="28"/>
        </w:rPr>
        <w:t>Public Health Emergencies</w:t>
      </w:r>
    </w:p>
    <w:p w14:paraId="6CDE8CA4" w14:textId="77777777" w:rsidR="00342BAE" w:rsidRPr="00740CF9" w:rsidRDefault="00342BAE" w:rsidP="00825E69">
      <w:pPr>
        <w:shd w:val="clear" w:color="auto" w:fill="FFFFFF"/>
        <w:textAlignment w:val="baseline"/>
        <w:rPr>
          <w:rFonts w:eastAsia="Times New Roman" w:cs="Arial"/>
          <w:color w:val="737373"/>
          <w:sz w:val="20"/>
          <w:szCs w:val="20"/>
        </w:rPr>
      </w:pPr>
      <w:r w:rsidRPr="00740CF9">
        <w:rPr>
          <w:rFonts w:eastAsia="Times New Roman" w:cs="Arial"/>
          <w:color w:val="737373"/>
          <w:sz w:val="20"/>
          <w:szCs w:val="20"/>
        </w:rPr>
        <w:t> </w:t>
      </w:r>
    </w:p>
    <w:p w14:paraId="30C65D20" w14:textId="77777777" w:rsidR="00342BAE" w:rsidRPr="00740CF9" w:rsidRDefault="00342BAE" w:rsidP="00825E69">
      <w:pPr>
        <w:rPr>
          <w:rFonts w:eastAsia="Times New Roman" w:cs="Arial"/>
          <w:b/>
          <w:bCs/>
          <w:color w:val="3C3030"/>
          <w:sz w:val="24"/>
          <w:szCs w:val="24"/>
        </w:rPr>
      </w:pPr>
      <w:r w:rsidRPr="00740CF9">
        <w:rPr>
          <w:rFonts w:eastAsia="Times New Roman" w:cs="Arial"/>
          <w:b/>
          <w:bCs/>
          <w:color w:val="3C3030"/>
          <w:sz w:val="24"/>
          <w:szCs w:val="24"/>
        </w:rPr>
        <w:t>Fact Sheet</w:t>
      </w:r>
    </w:p>
    <w:p w14:paraId="44EF5DAE" w14:textId="77777777" w:rsidR="00342BAE" w:rsidRPr="00740CF9" w:rsidRDefault="00342BAE" w:rsidP="00825E69">
      <w:pPr>
        <w:shd w:val="clear" w:color="auto" w:fill="FFFFFF"/>
        <w:spacing w:line="480" w:lineRule="auto"/>
        <w:textAlignment w:val="baseline"/>
        <w:rPr>
          <w:rFonts w:eastAsia="Times New Roman" w:cs="Arial"/>
          <w:color w:val="737373"/>
          <w:sz w:val="20"/>
          <w:szCs w:val="20"/>
        </w:rPr>
      </w:pPr>
      <w:r w:rsidRPr="00740CF9">
        <w:rPr>
          <w:rFonts w:eastAsia="Times New Roman" w:cs="Arial"/>
          <w:color w:val="737373"/>
          <w:sz w:val="20"/>
          <w:szCs w:val="20"/>
        </w:rPr>
        <w:t> </w:t>
      </w:r>
    </w:p>
    <w:p w14:paraId="2DE9B9DF" w14:textId="77777777" w:rsidR="00342BAE" w:rsidRPr="00740CF9" w:rsidRDefault="00342BAE" w:rsidP="00825E69">
      <w:pPr>
        <w:spacing w:line="480" w:lineRule="auto"/>
        <w:rPr>
          <w:rFonts w:eastAsia="Times New Roman" w:cs="Arial"/>
          <w:b/>
          <w:bCs/>
          <w:color w:val="3C3030"/>
          <w:sz w:val="24"/>
          <w:szCs w:val="24"/>
        </w:rPr>
      </w:pPr>
      <w:r w:rsidRPr="00740CF9">
        <w:rPr>
          <w:rFonts w:eastAsia="Times New Roman" w:cs="Arial"/>
          <w:b/>
          <w:bCs/>
          <w:color w:val="3C3030"/>
          <w:sz w:val="24"/>
          <w:szCs w:val="24"/>
        </w:rPr>
        <w:t>Overview</w:t>
      </w:r>
    </w:p>
    <w:p w14:paraId="7A8C7BCC" w14:textId="77777777" w:rsidR="00342BAE" w:rsidRPr="007D11EB" w:rsidRDefault="00342BAE" w:rsidP="00825E69">
      <w:pPr>
        <w:shd w:val="clear" w:color="auto" w:fill="FFFFFF"/>
        <w:spacing w:line="480" w:lineRule="auto"/>
        <w:textAlignment w:val="baseline"/>
        <w:rPr>
          <w:rFonts w:eastAsia="Times New Roman" w:cs="Arial"/>
          <w:color w:val="000000" w:themeColor="text1"/>
        </w:rPr>
      </w:pPr>
      <w:r w:rsidRPr="00740CF9">
        <w:rPr>
          <w:rFonts w:eastAsia="Times New Roman" w:cs="Arial"/>
          <w:color w:val="000000" w:themeColor="text1"/>
        </w:rPr>
        <w:t>The Public Health Service Act (PHSA)</w:t>
      </w:r>
      <w:r w:rsidRPr="00740CF9">
        <w:rPr>
          <w:rFonts w:eastAsia="Times New Roman" w:cs="Arial"/>
          <w:color w:val="000000" w:themeColor="text1"/>
          <w:bdr w:val="none" w:sz="0" w:space="0" w:color="auto" w:frame="1"/>
          <w:vertAlign w:val="superscript"/>
        </w:rPr>
        <w:t>1</w:t>
      </w:r>
      <w:r w:rsidRPr="00740CF9">
        <w:rPr>
          <w:rFonts w:eastAsia="Times New Roman" w:cs="Arial"/>
          <w:color w:val="000000" w:themeColor="text1"/>
        </w:rPr>
        <w:t> provides the legal authority for the Department of Health and Human Services (HHS), among other things, to respond to public health emergencies. The act authorizes the HHS secretary to lead federal public health and medical response to public health emergencies, determine that a public health emergency exists, and assist states in their response activities. This fact sheet focuses on </w:t>
      </w:r>
      <w:hyperlink r:id="rId78" w:anchor="Public-Health-Service-Act,-Section-319" w:tooltip="Section 319 of the PHSA" w:history="1">
        <w:r w:rsidRPr="00740CF9">
          <w:rPr>
            <w:rFonts w:eastAsia="Times New Roman" w:cs="Arial"/>
            <w:color w:val="0F88B8"/>
            <w:bdr w:val="none" w:sz="0" w:space="0" w:color="auto" w:frame="1"/>
          </w:rPr>
          <w:t>Section 319 of the PHSA</w:t>
        </w:r>
      </w:hyperlink>
      <w:r w:rsidRPr="00740CF9">
        <w:rPr>
          <w:rFonts w:eastAsia="Times New Roman" w:cs="Arial"/>
          <w:color w:val="000000" w:themeColor="text1"/>
        </w:rPr>
        <w:t>,</w:t>
      </w:r>
      <w:r w:rsidRPr="00740CF9">
        <w:rPr>
          <w:rFonts w:eastAsia="Times New Roman" w:cs="Arial"/>
          <w:color w:val="737373"/>
        </w:rPr>
        <w:t xml:space="preserve"> </w:t>
      </w:r>
      <w:r w:rsidRPr="00740CF9">
        <w:rPr>
          <w:rFonts w:eastAsia="Times New Roman" w:cs="Arial"/>
          <w:color w:val="000000" w:themeColor="text1"/>
        </w:rPr>
        <w:t xml:space="preserve">which governs public health emergencies. </w:t>
      </w:r>
    </w:p>
    <w:p w14:paraId="7A762E80" w14:textId="77777777" w:rsidR="00342BAE" w:rsidRPr="00740CF9" w:rsidRDefault="00342BAE" w:rsidP="00825E69">
      <w:pPr>
        <w:shd w:val="clear" w:color="auto" w:fill="FFFFFF"/>
        <w:spacing w:line="480" w:lineRule="auto"/>
        <w:textAlignment w:val="baseline"/>
        <w:rPr>
          <w:rFonts w:eastAsia="Times New Roman" w:cs="Arial"/>
          <w:color w:val="000000" w:themeColor="text1"/>
        </w:rPr>
      </w:pPr>
    </w:p>
    <w:p w14:paraId="22E2EC32" w14:textId="77777777" w:rsidR="00342BAE" w:rsidRPr="00740CF9" w:rsidRDefault="00342BAE" w:rsidP="00825E69">
      <w:pPr>
        <w:spacing w:line="480" w:lineRule="auto"/>
        <w:rPr>
          <w:rFonts w:eastAsia="Times New Roman" w:cs="Arial"/>
          <w:b/>
          <w:bCs/>
          <w:color w:val="3C3030"/>
          <w:sz w:val="24"/>
          <w:szCs w:val="24"/>
        </w:rPr>
      </w:pPr>
      <w:r w:rsidRPr="00740CF9">
        <w:rPr>
          <w:rFonts w:eastAsia="Times New Roman" w:cs="Arial"/>
          <w:b/>
          <w:bCs/>
          <w:color w:val="3C3030"/>
          <w:sz w:val="24"/>
          <w:szCs w:val="24"/>
        </w:rPr>
        <w:t>What the Law Does</w:t>
      </w:r>
    </w:p>
    <w:p w14:paraId="768C1234" w14:textId="77777777" w:rsidR="00342BAE" w:rsidRPr="00740CF9" w:rsidRDefault="00342BAE" w:rsidP="00825E69">
      <w:pPr>
        <w:shd w:val="clear" w:color="auto" w:fill="FFFFFF"/>
        <w:spacing w:line="480" w:lineRule="auto"/>
        <w:textAlignment w:val="baseline"/>
        <w:rPr>
          <w:rFonts w:eastAsia="Times New Roman" w:cs="Arial"/>
          <w:color w:val="000000" w:themeColor="text1"/>
        </w:rPr>
      </w:pPr>
      <w:r w:rsidRPr="00740CF9">
        <w:rPr>
          <w:rFonts w:eastAsia="Times New Roman" w:cs="Arial"/>
          <w:color w:val="000000" w:themeColor="text1"/>
        </w:rPr>
        <w:t>Section 319 authorizes the secretary to determine that a public health emergency exists. This determination triggers emergency powers that permit the federal government to engage in activities such as assisting state and local governments, suspending or modifying certain legal requirements, and expending available funds to address the public health emergency. </w:t>
      </w:r>
    </w:p>
    <w:p w14:paraId="76A33F23" w14:textId="77777777" w:rsidR="00342BAE" w:rsidRPr="007D11EB" w:rsidRDefault="00342BAE" w:rsidP="00825E69">
      <w:pPr>
        <w:spacing w:line="480" w:lineRule="auto"/>
        <w:rPr>
          <w:rFonts w:eastAsia="Times New Roman" w:cs="Arial"/>
          <w:b/>
          <w:bCs/>
          <w:color w:val="000000" w:themeColor="text1"/>
        </w:rPr>
      </w:pPr>
    </w:p>
    <w:p w14:paraId="6FBA116E" w14:textId="77777777" w:rsidR="00342BAE" w:rsidRPr="00740CF9" w:rsidRDefault="00342BAE" w:rsidP="00825E69">
      <w:pPr>
        <w:spacing w:line="480" w:lineRule="auto"/>
        <w:rPr>
          <w:rFonts w:eastAsia="Times New Roman" w:cs="Arial"/>
          <w:b/>
          <w:bCs/>
          <w:color w:val="3C3030"/>
          <w:sz w:val="24"/>
          <w:szCs w:val="24"/>
        </w:rPr>
      </w:pPr>
      <w:r w:rsidRPr="00740CF9">
        <w:rPr>
          <w:rFonts w:eastAsia="Times New Roman" w:cs="Arial"/>
          <w:b/>
          <w:bCs/>
          <w:color w:val="3C3030"/>
          <w:sz w:val="24"/>
          <w:szCs w:val="24"/>
        </w:rPr>
        <w:t>How the Law Works</w:t>
      </w:r>
    </w:p>
    <w:p w14:paraId="503BA292" w14:textId="77777777" w:rsidR="00342BAE" w:rsidRPr="00740CF9" w:rsidRDefault="00342BAE" w:rsidP="00825E69">
      <w:pPr>
        <w:shd w:val="clear" w:color="auto" w:fill="FFFFFF"/>
        <w:spacing w:line="480" w:lineRule="auto"/>
        <w:textAlignment w:val="baseline"/>
        <w:rPr>
          <w:rFonts w:eastAsia="Times New Roman" w:cs="Arial"/>
          <w:color w:val="000000" w:themeColor="text1"/>
        </w:rPr>
      </w:pPr>
    </w:p>
    <w:p w14:paraId="1AD88D63" w14:textId="77777777" w:rsidR="00342BAE" w:rsidRPr="00740CF9" w:rsidRDefault="00342BAE" w:rsidP="00825E69">
      <w:pPr>
        <w:spacing w:line="480" w:lineRule="auto"/>
        <w:rPr>
          <w:rFonts w:eastAsia="Times New Roman" w:cs="Arial"/>
          <w:b/>
          <w:bCs/>
          <w:color w:val="000000" w:themeColor="text1"/>
        </w:rPr>
      </w:pPr>
      <w:r w:rsidRPr="00740CF9">
        <w:rPr>
          <w:rFonts w:eastAsia="Times New Roman" w:cs="Arial"/>
          <w:b/>
          <w:bCs/>
          <w:color w:val="000000" w:themeColor="text1"/>
        </w:rPr>
        <w:t>Determination of Public Health Emergency</w:t>
      </w:r>
    </w:p>
    <w:p w14:paraId="00B4DA59" w14:textId="77777777" w:rsidR="00342BAE" w:rsidRDefault="00342BAE" w:rsidP="00825E69">
      <w:pPr>
        <w:shd w:val="clear" w:color="auto" w:fill="FFFFFF"/>
        <w:spacing w:line="480" w:lineRule="auto"/>
        <w:textAlignment w:val="baseline"/>
        <w:rPr>
          <w:rFonts w:eastAsia="Times New Roman" w:cs="Arial"/>
          <w:color w:val="000000" w:themeColor="text1"/>
        </w:rPr>
      </w:pPr>
      <w:r w:rsidRPr="00740CF9">
        <w:rPr>
          <w:rFonts w:eastAsia="Times New Roman" w:cs="Arial"/>
          <w:color w:val="000000" w:themeColor="text1"/>
        </w:rPr>
        <w:t>Section 319 authorizes the secretary to make a determination that a public health emergency exists if the secretary determines that a disease or disorder presents a public health emergency or that a public health emergency—including significant outbreaks of infectious diseases or bioterrorist attacks—otherwise exists.</w:t>
      </w:r>
      <w:r w:rsidRPr="00740CF9">
        <w:rPr>
          <w:rFonts w:eastAsia="Times New Roman" w:cs="Arial"/>
          <w:color w:val="000000" w:themeColor="text1"/>
          <w:bdr w:val="none" w:sz="0" w:space="0" w:color="auto" w:frame="1"/>
          <w:vertAlign w:val="superscript"/>
        </w:rPr>
        <w:t>2</w:t>
      </w:r>
      <w:r w:rsidRPr="00740CF9">
        <w:rPr>
          <w:rFonts w:eastAsia="Times New Roman" w:cs="Arial"/>
          <w:color w:val="000000" w:themeColor="text1"/>
        </w:rPr>
        <w:t xml:space="preserve"> The secretary’s action is specifically referred to as a “determination” in Section 319 and in documents issued by HHS instead of the term “declaration.” The secretary can determine that a </w:t>
      </w:r>
      <w:r w:rsidRPr="00740CF9">
        <w:rPr>
          <w:rFonts w:eastAsia="Times New Roman" w:cs="Arial"/>
          <w:color w:val="000000" w:themeColor="text1"/>
        </w:rPr>
        <w:lastRenderedPageBreak/>
        <w:t>disease or condition presents a public health emergency based on conditions existing before an outbreak or natural disaster occurs.</w:t>
      </w:r>
      <w:r w:rsidRPr="00740CF9">
        <w:rPr>
          <w:rFonts w:eastAsia="Times New Roman" w:cs="Arial"/>
          <w:color w:val="000000" w:themeColor="text1"/>
          <w:bdr w:val="none" w:sz="0" w:space="0" w:color="auto" w:frame="1"/>
          <w:vertAlign w:val="superscript"/>
        </w:rPr>
        <w:t>3</w:t>
      </w:r>
      <w:r w:rsidRPr="00740CF9">
        <w:rPr>
          <w:rFonts w:eastAsia="Times New Roman" w:cs="Arial"/>
          <w:color w:val="000000" w:themeColor="text1"/>
        </w:rPr>
        <w:t> </w:t>
      </w:r>
    </w:p>
    <w:p w14:paraId="35293178" w14:textId="77777777" w:rsidR="00342BAE" w:rsidRDefault="00342BAE" w:rsidP="00825E69">
      <w:pPr>
        <w:shd w:val="clear" w:color="auto" w:fill="FFFFFF"/>
        <w:spacing w:line="480" w:lineRule="auto"/>
        <w:textAlignment w:val="baseline"/>
        <w:rPr>
          <w:rFonts w:eastAsia="Times New Roman" w:cs="Arial"/>
          <w:color w:val="000000" w:themeColor="text1"/>
        </w:rPr>
      </w:pPr>
    </w:p>
    <w:p w14:paraId="085B97B9" w14:textId="77777777" w:rsidR="00342BAE" w:rsidRDefault="00342BAE" w:rsidP="00825E69">
      <w:pPr>
        <w:shd w:val="clear" w:color="auto" w:fill="FFFFFF"/>
        <w:spacing w:line="480" w:lineRule="auto"/>
        <w:textAlignment w:val="baseline"/>
        <w:rPr>
          <w:rFonts w:eastAsia="Times New Roman" w:cs="Arial"/>
          <w:color w:val="000000" w:themeColor="text1"/>
        </w:rPr>
      </w:pPr>
      <w:r w:rsidRPr="00740CF9">
        <w:rPr>
          <w:rFonts w:eastAsia="Times New Roman" w:cs="Arial"/>
          <w:color w:val="000000" w:themeColor="text1"/>
        </w:rPr>
        <w:t>Although a Section 319 determination activates certain federal emergency powers, a public health emergency determination is not required in order for HHS to assist states; the secretary has broad legal authority under other sections of the PHSA to render assistance to states and localities. PHSA Section 301 gives the secretary broad authority to provide assistance and conduct investigations, among other things, into the causes, prevention, and control of diseases.</w:t>
      </w:r>
      <w:r w:rsidRPr="00740CF9">
        <w:rPr>
          <w:rFonts w:eastAsia="Times New Roman" w:cs="Arial"/>
          <w:color w:val="000000" w:themeColor="text1"/>
          <w:bdr w:val="none" w:sz="0" w:space="0" w:color="auto" w:frame="1"/>
          <w:vertAlign w:val="superscript"/>
        </w:rPr>
        <w:t>1</w:t>
      </w:r>
      <w:r w:rsidRPr="00740CF9">
        <w:rPr>
          <w:rFonts w:eastAsia="Times New Roman" w:cs="Arial"/>
          <w:color w:val="000000" w:themeColor="text1"/>
        </w:rPr>
        <w:t> PHSA Section 311 permits the secretary to work with states and localities to prevent and control communicable diseases and to implement plans activating HHS resources to control diseases and other public health emergencies.</w:t>
      </w:r>
      <w:r w:rsidRPr="00740CF9">
        <w:rPr>
          <w:rFonts w:eastAsia="Times New Roman" w:cs="Arial"/>
          <w:color w:val="000000" w:themeColor="text1"/>
          <w:bdr w:val="none" w:sz="0" w:space="0" w:color="auto" w:frame="1"/>
          <w:vertAlign w:val="superscript"/>
        </w:rPr>
        <w:t>1</w:t>
      </w:r>
      <w:r w:rsidRPr="00740CF9">
        <w:rPr>
          <w:rFonts w:eastAsia="Times New Roman" w:cs="Arial"/>
          <w:color w:val="000000" w:themeColor="text1"/>
        </w:rPr>
        <w:t> The secretary can activate the </w:t>
      </w:r>
      <w:hyperlink r:id="rId79" w:anchor="National-Disaster-Medical-System-(NDMS)" w:tooltip="National Disaster Medical System" w:history="1">
        <w:r w:rsidRPr="00740CF9">
          <w:rPr>
            <w:rFonts w:eastAsia="Times New Roman" w:cs="Arial"/>
            <w:color w:val="0F88B8"/>
            <w:bdr w:val="none" w:sz="0" w:space="0" w:color="auto" w:frame="1"/>
          </w:rPr>
          <w:t>National Disaster Medical System</w:t>
        </w:r>
      </w:hyperlink>
      <w:r>
        <w:rPr>
          <w:rFonts w:eastAsia="Times New Roman" w:cs="Arial"/>
          <w:color w:val="737373"/>
        </w:rPr>
        <w:t xml:space="preserve"> </w:t>
      </w:r>
      <w:r w:rsidRPr="00740CF9">
        <w:rPr>
          <w:rFonts w:eastAsia="Times New Roman" w:cs="Arial"/>
          <w:color w:val="000000" w:themeColor="text1"/>
        </w:rPr>
        <w:t>and deploy the </w:t>
      </w:r>
      <w:hyperlink r:id="rId80" w:anchor="Strategic-National-Stockpile" w:tooltip="Strategic National Stockpile" w:history="1">
        <w:r w:rsidRPr="00740CF9">
          <w:rPr>
            <w:rFonts w:eastAsia="Times New Roman" w:cs="Arial"/>
            <w:color w:val="0F88B8"/>
            <w:bdr w:val="none" w:sz="0" w:space="0" w:color="auto" w:frame="1"/>
          </w:rPr>
          <w:t>Strategic National Stockpile</w:t>
        </w:r>
      </w:hyperlink>
      <w:r w:rsidRPr="00740CF9">
        <w:rPr>
          <w:rFonts w:eastAsia="Times New Roman" w:cs="Arial"/>
          <w:color w:val="737373"/>
        </w:rPr>
        <w:t> </w:t>
      </w:r>
      <w:r w:rsidRPr="00740CF9">
        <w:rPr>
          <w:rFonts w:eastAsia="Times New Roman" w:cs="Arial"/>
          <w:color w:val="000000" w:themeColor="text1"/>
        </w:rPr>
        <w:t>without a Section 319 determination. </w:t>
      </w:r>
    </w:p>
    <w:p w14:paraId="3CD84BFE" w14:textId="77777777" w:rsidR="00342BAE" w:rsidRPr="00740CF9" w:rsidRDefault="00342BAE" w:rsidP="00825E69">
      <w:pPr>
        <w:shd w:val="clear" w:color="auto" w:fill="FFFFFF"/>
        <w:spacing w:line="480" w:lineRule="auto"/>
        <w:textAlignment w:val="baseline"/>
        <w:rPr>
          <w:rFonts w:eastAsia="Times New Roman" w:cs="Arial"/>
          <w:color w:val="000000" w:themeColor="text1"/>
        </w:rPr>
      </w:pPr>
    </w:p>
    <w:p w14:paraId="50E81ECF" w14:textId="77777777" w:rsidR="00342BAE" w:rsidRPr="00740CF9" w:rsidRDefault="00342BAE" w:rsidP="00825E69">
      <w:pPr>
        <w:spacing w:line="480" w:lineRule="auto"/>
        <w:rPr>
          <w:rFonts w:eastAsia="Times New Roman" w:cs="Arial"/>
          <w:b/>
          <w:bCs/>
          <w:color w:val="000000" w:themeColor="text1"/>
        </w:rPr>
      </w:pPr>
      <w:r w:rsidRPr="00740CF9">
        <w:rPr>
          <w:rFonts w:eastAsia="Times New Roman" w:cs="Arial"/>
          <w:b/>
          <w:bCs/>
          <w:color w:val="000000" w:themeColor="text1"/>
        </w:rPr>
        <w:t>Authorities Granted</w:t>
      </w:r>
    </w:p>
    <w:p w14:paraId="73F2D0F3" w14:textId="77777777" w:rsidR="00342BAE" w:rsidRDefault="00342BAE" w:rsidP="00825E69">
      <w:pPr>
        <w:shd w:val="clear" w:color="auto" w:fill="FFFFFF"/>
        <w:spacing w:line="480" w:lineRule="auto"/>
        <w:textAlignment w:val="baseline"/>
        <w:rPr>
          <w:rFonts w:eastAsia="Times New Roman" w:cs="Arial"/>
          <w:color w:val="000000" w:themeColor="text1"/>
        </w:rPr>
      </w:pPr>
      <w:r w:rsidRPr="00740CF9">
        <w:rPr>
          <w:rFonts w:eastAsia="Times New Roman" w:cs="Arial"/>
          <w:color w:val="000000" w:themeColor="text1"/>
        </w:rPr>
        <w:t>Once the HHS secretary determines that a public health emergency exists, the secretary is authorized, consistent with the secretary’s other authorities, to respond to the public health emergency. These authorities include making grants, contracting, and investigating the cause, treatment, or prevention of the disease or disorder underlying the public health emergency. The secretary may use funds from the Public Health Emergency Fund when funds are appropriated for it. </w:t>
      </w:r>
    </w:p>
    <w:p w14:paraId="4546EDBE" w14:textId="77777777" w:rsidR="00342BAE" w:rsidRDefault="00342BAE" w:rsidP="00825E69">
      <w:pPr>
        <w:shd w:val="clear" w:color="auto" w:fill="FFFFFF"/>
        <w:spacing w:line="480" w:lineRule="auto"/>
        <w:textAlignment w:val="baseline"/>
        <w:rPr>
          <w:rFonts w:eastAsia="Times New Roman" w:cs="Arial"/>
          <w:color w:val="000000" w:themeColor="text1"/>
        </w:rPr>
      </w:pPr>
    </w:p>
    <w:p w14:paraId="4D1B686A" w14:textId="77777777" w:rsidR="00342BAE" w:rsidRPr="007D11EB" w:rsidRDefault="00342BAE" w:rsidP="00224AC9">
      <w:pPr>
        <w:pStyle w:val="ListParagraph"/>
        <w:numPr>
          <w:ilvl w:val="0"/>
          <w:numId w:val="35"/>
        </w:numPr>
        <w:shd w:val="clear" w:color="auto" w:fill="FFFFFF"/>
        <w:spacing w:after="120" w:line="480" w:lineRule="auto"/>
        <w:textAlignment w:val="baseline"/>
        <w:rPr>
          <w:rFonts w:eastAsia="Times New Roman" w:cs="Arial"/>
          <w:color w:val="000000" w:themeColor="text1"/>
        </w:rPr>
      </w:pPr>
      <w:r w:rsidRPr="007D11EB">
        <w:rPr>
          <w:rFonts w:eastAsia="Times New Roman" w:cs="Arial"/>
          <w:color w:val="000000" w:themeColor="text1"/>
        </w:rPr>
        <w:t>Over time Congress has added other authorities to the PHSA, the Social Security Act (SSA), the Federal Food, Drug, and Cosmetic Act (FFDCA), and other laws administered by the secretary that allow the secretary to take certain discretionary actions once a public health emergency is determined under Section 319. Other discretionary actions include:</w:t>
      </w:r>
    </w:p>
    <w:p w14:paraId="2F8194E8" w14:textId="77777777" w:rsidR="00342BAE" w:rsidRPr="00740CF9" w:rsidRDefault="00342BAE" w:rsidP="00224AC9">
      <w:pPr>
        <w:numPr>
          <w:ilvl w:val="0"/>
          <w:numId w:val="35"/>
        </w:numPr>
        <w:spacing w:after="120" w:line="480" w:lineRule="auto"/>
        <w:textAlignment w:val="baseline"/>
        <w:rPr>
          <w:rFonts w:eastAsia="Times New Roman" w:cs="Arial"/>
          <w:color w:val="000000" w:themeColor="text1"/>
        </w:rPr>
      </w:pPr>
      <w:r w:rsidRPr="00740CF9">
        <w:rPr>
          <w:rFonts w:eastAsia="Times New Roman" w:cs="Arial"/>
          <w:color w:val="000000" w:themeColor="text1"/>
        </w:rPr>
        <w:lastRenderedPageBreak/>
        <w:t>Using </w:t>
      </w:r>
      <w:hyperlink r:id="rId81" w:anchor="Social-Security-Act,-Section-1135" w:tooltip="SSA Section 1135" w:history="1">
        <w:r w:rsidRPr="00740CF9">
          <w:rPr>
            <w:rFonts w:eastAsia="Times New Roman" w:cs="Arial"/>
            <w:color w:val="0F88B8"/>
            <w:bdr w:val="none" w:sz="0" w:space="0" w:color="auto" w:frame="1"/>
          </w:rPr>
          <w:t>SSA Section 1135</w:t>
        </w:r>
      </w:hyperlink>
      <w:r w:rsidRPr="00740CF9">
        <w:rPr>
          <w:rFonts w:eastAsia="Times New Roman" w:cs="Arial"/>
          <w:color w:val="737373"/>
        </w:rPr>
        <w:t> </w:t>
      </w:r>
      <w:r w:rsidRPr="00740CF9">
        <w:rPr>
          <w:rFonts w:eastAsia="Times New Roman" w:cs="Arial"/>
          <w:color w:val="000000" w:themeColor="text1"/>
        </w:rPr>
        <w:t>to waive or modify certain requirements under Medicare, Medicaid, the Children’s Health Insurance Program (CHIP), and the Health Insurance Portability and Accountability Act (HIPAA).</w:t>
      </w:r>
    </w:p>
    <w:p w14:paraId="193A5F6D" w14:textId="77777777" w:rsidR="00342BAE" w:rsidRPr="00740CF9" w:rsidRDefault="00342BAE" w:rsidP="00224AC9">
      <w:pPr>
        <w:numPr>
          <w:ilvl w:val="0"/>
          <w:numId w:val="35"/>
        </w:numPr>
        <w:spacing w:after="120" w:line="480" w:lineRule="auto"/>
        <w:textAlignment w:val="baseline"/>
        <w:rPr>
          <w:rFonts w:eastAsia="Times New Roman" w:cs="Arial"/>
          <w:color w:val="000000" w:themeColor="text1"/>
        </w:rPr>
      </w:pPr>
      <w:r w:rsidRPr="00740CF9">
        <w:rPr>
          <w:rFonts w:eastAsia="Times New Roman" w:cs="Arial"/>
          <w:color w:val="000000" w:themeColor="text1"/>
        </w:rPr>
        <w:t>Exempting a person from select agent requirements for 30 days.</w:t>
      </w:r>
    </w:p>
    <w:p w14:paraId="6F6B9596" w14:textId="77777777" w:rsidR="00342BAE" w:rsidRPr="00740CF9" w:rsidRDefault="00342BAE" w:rsidP="00224AC9">
      <w:pPr>
        <w:numPr>
          <w:ilvl w:val="0"/>
          <w:numId w:val="35"/>
        </w:numPr>
        <w:spacing w:after="120" w:line="480" w:lineRule="auto"/>
        <w:textAlignment w:val="baseline"/>
        <w:rPr>
          <w:rFonts w:eastAsia="Times New Roman" w:cs="Arial"/>
          <w:color w:val="000000" w:themeColor="text1"/>
        </w:rPr>
      </w:pPr>
      <w:r w:rsidRPr="00740CF9">
        <w:rPr>
          <w:rFonts w:eastAsia="Times New Roman" w:cs="Arial"/>
          <w:color w:val="000000" w:themeColor="text1"/>
        </w:rPr>
        <w:t>Waiving certain prescription and dispensing requirements under the FFDCA.</w:t>
      </w:r>
    </w:p>
    <w:p w14:paraId="0D569627" w14:textId="77777777" w:rsidR="00342BAE" w:rsidRPr="00740CF9" w:rsidRDefault="00342BAE" w:rsidP="00224AC9">
      <w:pPr>
        <w:numPr>
          <w:ilvl w:val="0"/>
          <w:numId w:val="35"/>
        </w:numPr>
        <w:spacing w:after="120" w:line="480" w:lineRule="auto"/>
        <w:textAlignment w:val="baseline"/>
        <w:rPr>
          <w:rFonts w:eastAsia="Times New Roman" w:cs="Arial"/>
          <w:color w:val="000000" w:themeColor="text1"/>
        </w:rPr>
      </w:pPr>
      <w:r w:rsidRPr="00740CF9">
        <w:rPr>
          <w:rFonts w:eastAsia="Times New Roman" w:cs="Arial"/>
          <w:color w:val="000000" w:themeColor="text1"/>
        </w:rPr>
        <w:t>Adjusting Medicare reimbursement for certain Part B drugs.</w:t>
      </w:r>
    </w:p>
    <w:p w14:paraId="4DCB16FB" w14:textId="77777777" w:rsidR="00342BAE" w:rsidRPr="00740CF9" w:rsidRDefault="00342BAE" w:rsidP="00224AC9">
      <w:pPr>
        <w:numPr>
          <w:ilvl w:val="0"/>
          <w:numId w:val="35"/>
        </w:numPr>
        <w:spacing w:after="120" w:line="480" w:lineRule="auto"/>
        <w:textAlignment w:val="baseline"/>
        <w:rPr>
          <w:rFonts w:eastAsia="Times New Roman" w:cs="Arial"/>
          <w:color w:val="000000" w:themeColor="text1"/>
        </w:rPr>
      </w:pPr>
      <w:r w:rsidRPr="00740CF9">
        <w:rPr>
          <w:rFonts w:eastAsia="Times New Roman" w:cs="Arial"/>
          <w:color w:val="000000" w:themeColor="text1"/>
        </w:rPr>
        <w:t>Waiving certain Ryan White HIV/AIDS grant program requirements.</w:t>
      </w:r>
    </w:p>
    <w:p w14:paraId="033D7999" w14:textId="77777777" w:rsidR="00342BAE" w:rsidRPr="00740CF9" w:rsidRDefault="00342BAE" w:rsidP="00224AC9">
      <w:pPr>
        <w:numPr>
          <w:ilvl w:val="0"/>
          <w:numId w:val="35"/>
        </w:numPr>
        <w:spacing w:after="120" w:line="480" w:lineRule="auto"/>
        <w:textAlignment w:val="baseline"/>
        <w:rPr>
          <w:rFonts w:eastAsia="Times New Roman" w:cs="Arial"/>
          <w:color w:val="000000" w:themeColor="text1"/>
        </w:rPr>
      </w:pPr>
      <w:r w:rsidRPr="00740CF9">
        <w:rPr>
          <w:rFonts w:eastAsia="Times New Roman" w:cs="Arial"/>
          <w:color w:val="000000" w:themeColor="text1"/>
        </w:rPr>
        <w:t>Making temporary personnel appointments up to one year.</w:t>
      </w:r>
    </w:p>
    <w:p w14:paraId="686E90F6" w14:textId="77777777" w:rsidR="00342BAE" w:rsidRPr="00740CF9" w:rsidRDefault="00342BAE" w:rsidP="00224AC9">
      <w:pPr>
        <w:numPr>
          <w:ilvl w:val="0"/>
          <w:numId w:val="35"/>
        </w:numPr>
        <w:spacing w:after="120" w:line="480" w:lineRule="auto"/>
        <w:textAlignment w:val="baseline"/>
        <w:rPr>
          <w:rFonts w:eastAsia="Times New Roman" w:cs="Arial"/>
          <w:color w:val="000000" w:themeColor="text1"/>
        </w:rPr>
      </w:pPr>
      <w:r w:rsidRPr="00740CF9">
        <w:rPr>
          <w:rFonts w:eastAsia="Times New Roman" w:cs="Arial"/>
          <w:color w:val="000000" w:themeColor="text1"/>
        </w:rPr>
        <w:t>Granting extensions or waiving sanctions relating to submission of data or reports.</w:t>
      </w:r>
      <w:r w:rsidRPr="00740CF9">
        <w:rPr>
          <w:rFonts w:eastAsia="Times New Roman" w:cs="Arial"/>
          <w:color w:val="000000" w:themeColor="text1"/>
          <w:bdr w:val="none" w:sz="0" w:space="0" w:color="auto" w:frame="1"/>
          <w:vertAlign w:val="superscript"/>
        </w:rPr>
        <w:t>3</w:t>
      </w:r>
    </w:p>
    <w:p w14:paraId="74BC17EA" w14:textId="77777777" w:rsidR="00342BAE" w:rsidRDefault="00342BAE" w:rsidP="00825E69">
      <w:pPr>
        <w:spacing w:line="480" w:lineRule="auto"/>
        <w:rPr>
          <w:rFonts w:eastAsia="Times New Roman" w:cs="Arial"/>
          <w:b/>
          <w:bCs/>
          <w:color w:val="000000" w:themeColor="text1"/>
        </w:rPr>
      </w:pPr>
    </w:p>
    <w:p w14:paraId="6EEE6816" w14:textId="77777777" w:rsidR="00342BAE" w:rsidRPr="00740CF9" w:rsidRDefault="00342BAE" w:rsidP="00825E69">
      <w:pPr>
        <w:spacing w:line="480" w:lineRule="auto"/>
        <w:rPr>
          <w:rFonts w:eastAsia="Times New Roman" w:cs="Arial"/>
          <w:b/>
          <w:bCs/>
          <w:color w:val="000000" w:themeColor="text1"/>
        </w:rPr>
      </w:pPr>
      <w:r w:rsidRPr="00740CF9">
        <w:rPr>
          <w:rFonts w:eastAsia="Times New Roman" w:cs="Arial"/>
          <w:b/>
          <w:bCs/>
          <w:color w:val="000000" w:themeColor="text1"/>
        </w:rPr>
        <w:t>Duration</w:t>
      </w:r>
    </w:p>
    <w:p w14:paraId="4B1C0C67" w14:textId="77777777" w:rsidR="00342BAE" w:rsidRDefault="00342BAE" w:rsidP="00825E69">
      <w:pPr>
        <w:shd w:val="clear" w:color="auto" w:fill="FFFFFF"/>
        <w:spacing w:line="480" w:lineRule="auto"/>
        <w:textAlignment w:val="baseline"/>
        <w:rPr>
          <w:rFonts w:eastAsia="Times New Roman" w:cs="Arial"/>
          <w:color w:val="000000" w:themeColor="text1"/>
        </w:rPr>
      </w:pPr>
    </w:p>
    <w:p w14:paraId="0E14A15D" w14:textId="77777777" w:rsidR="00342BAE" w:rsidRDefault="00342BAE" w:rsidP="00825E69">
      <w:pPr>
        <w:shd w:val="clear" w:color="auto" w:fill="FFFFFF"/>
        <w:spacing w:line="480" w:lineRule="auto"/>
        <w:textAlignment w:val="baseline"/>
        <w:rPr>
          <w:rFonts w:eastAsia="Times New Roman" w:cs="Arial"/>
          <w:color w:val="000000" w:themeColor="text1"/>
        </w:rPr>
      </w:pPr>
      <w:r w:rsidRPr="00740CF9">
        <w:rPr>
          <w:rFonts w:eastAsia="Times New Roman" w:cs="Arial"/>
          <w:color w:val="000000" w:themeColor="text1"/>
        </w:rPr>
        <w:t>A Section 319 determination remains in effect for 90 days or until the secretary determines that the emergency no longer exists, whichever occurs first. If the same or additional conditions continue to warrant a public health emergency, the secretary may renew the determination for additional 90-day periods. </w:t>
      </w:r>
    </w:p>
    <w:p w14:paraId="487F2D60" w14:textId="77777777" w:rsidR="00342BAE" w:rsidRPr="00740CF9" w:rsidRDefault="00342BAE" w:rsidP="00825E69">
      <w:pPr>
        <w:shd w:val="clear" w:color="auto" w:fill="FFFFFF"/>
        <w:spacing w:line="480" w:lineRule="auto"/>
        <w:textAlignment w:val="baseline"/>
        <w:rPr>
          <w:rFonts w:eastAsia="Times New Roman" w:cs="Arial"/>
          <w:color w:val="000000" w:themeColor="text1"/>
        </w:rPr>
      </w:pPr>
    </w:p>
    <w:p w14:paraId="51FC8561" w14:textId="77777777" w:rsidR="00342BAE" w:rsidRDefault="00342BAE" w:rsidP="00825E69">
      <w:pPr>
        <w:spacing w:line="480" w:lineRule="auto"/>
        <w:rPr>
          <w:rFonts w:eastAsia="Times New Roman" w:cs="Arial"/>
          <w:b/>
          <w:bCs/>
          <w:color w:val="000000" w:themeColor="text1"/>
        </w:rPr>
      </w:pPr>
      <w:r w:rsidRPr="00740CF9">
        <w:rPr>
          <w:rFonts w:eastAsia="Times New Roman" w:cs="Arial"/>
          <w:b/>
          <w:bCs/>
          <w:color w:val="000000" w:themeColor="text1"/>
        </w:rPr>
        <w:t>Relationship to Other Emergency Laws</w:t>
      </w:r>
    </w:p>
    <w:p w14:paraId="5F95BB58" w14:textId="77777777" w:rsidR="00342BAE" w:rsidRPr="00740CF9" w:rsidRDefault="00342BAE" w:rsidP="00825E69">
      <w:pPr>
        <w:spacing w:line="480" w:lineRule="auto"/>
        <w:rPr>
          <w:rFonts w:eastAsia="Times New Roman" w:cs="Arial"/>
          <w:b/>
          <w:bCs/>
          <w:color w:val="000000" w:themeColor="text1"/>
        </w:rPr>
      </w:pPr>
    </w:p>
    <w:p w14:paraId="0E410865" w14:textId="77777777" w:rsidR="00342BAE" w:rsidRDefault="00342BAE" w:rsidP="00224AC9">
      <w:pPr>
        <w:numPr>
          <w:ilvl w:val="0"/>
          <w:numId w:val="36"/>
        </w:numPr>
        <w:spacing w:line="480" w:lineRule="auto"/>
        <w:ind w:left="360"/>
        <w:textAlignment w:val="baseline"/>
        <w:rPr>
          <w:rFonts w:eastAsia="Times New Roman" w:cs="Arial"/>
          <w:color w:val="000000" w:themeColor="text1"/>
        </w:rPr>
      </w:pPr>
      <w:r w:rsidRPr="00740CF9">
        <w:rPr>
          <w:rFonts w:eastAsia="Times New Roman" w:cs="Arial"/>
          <w:b/>
          <w:bCs/>
          <w:color w:val="000000" w:themeColor="text1"/>
          <w:bdr w:val="none" w:sz="0" w:space="0" w:color="auto" w:frame="1"/>
        </w:rPr>
        <w:t>Stafford Act and National Emergencies Act—</w:t>
      </w:r>
      <w:r w:rsidRPr="00740CF9">
        <w:rPr>
          <w:rFonts w:eastAsia="Times New Roman" w:cs="Arial"/>
          <w:color w:val="000000" w:themeColor="text1"/>
        </w:rPr>
        <w:t>A public health emergency determination under Section 319 of the PHSA is separate and distinct from a presidential declaration of emergency under the </w:t>
      </w:r>
      <w:hyperlink r:id="rId82" w:anchor="National-Emergencies-Act-(NEA),-Section-201-and-301" w:tooltip="National Emergencies Act" w:history="1">
        <w:r w:rsidRPr="00740CF9">
          <w:rPr>
            <w:rFonts w:eastAsia="Times New Roman" w:cs="Arial"/>
            <w:color w:val="0F88B8"/>
            <w:bdr w:val="none" w:sz="0" w:space="0" w:color="auto" w:frame="1"/>
          </w:rPr>
          <w:t>National Emergencies Act</w:t>
        </w:r>
      </w:hyperlink>
      <w:r w:rsidRPr="00740CF9">
        <w:rPr>
          <w:rFonts w:eastAsia="Times New Roman" w:cs="Arial"/>
          <w:color w:val="737373"/>
        </w:rPr>
        <w:t> </w:t>
      </w:r>
      <w:r w:rsidRPr="00740CF9">
        <w:rPr>
          <w:rFonts w:eastAsia="Times New Roman" w:cs="Arial"/>
          <w:color w:val="000000" w:themeColor="text1"/>
        </w:rPr>
        <w:t>or a</w:t>
      </w:r>
      <w:r w:rsidRPr="00740CF9">
        <w:rPr>
          <w:rFonts w:eastAsia="Times New Roman" w:cs="Arial"/>
          <w:color w:val="737373"/>
        </w:rPr>
        <w:t> </w:t>
      </w:r>
      <w:hyperlink r:id="rId83" w:anchor="Stafford-Act" w:tooltip="Stafford Act" w:history="1">
        <w:r w:rsidRPr="00740CF9">
          <w:rPr>
            <w:rFonts w:eastAsia="Times New Roman" w:cs="Arial"/>
            <w:color w:val="0F88B8"/>
            <w:bdr w:val="none" w:sz="0" w:space="0" w:color="auto" w:frame="1"/>
          </w:rPr>
          <w:t>Stafford Act</w:t>
        </w:r>
      </w:hyperlink>
      <w:r w:rsidRPr="00740CF9">
        <w:rPr>
          <w:rFonts w:eastAsia="Times New Roman" w:cs="Arial"/>
          <w:color w:val="737373"/>
        </w:rPr>
        <w:t> </w:t>
      </w:r>
      <w:r w:rsidRPr="00740CF9">
        <w:rPr>
          <w:rFonts w:eastAsia="Times New Roman" w:cs="Arial"/>
          <w:color w:val="000000" w:themeColor="text1"/>
        </w:rPr>
        <w:t xml:space="preserve">declaration of an emergency or disaster. The HHS </w:t>
      </w:r>
      <w:r w:rsidRPr="00740CF9">
        <w:rPr>
          <w:rFonts w:eastAsia="Times New Roman" w:cs="Arial"/>
          <w:color w:val="000000" w:themeColor="text1"/>
        </w:rPr>
        <w:lastRenderedPageBreak/>
        <w:t>secretary does not need a presidential declaration to issue a public health emergency determination under Section 319. Unlike a Stafford Act declaration, which must be initiated by a gubernatorial request to the president, the secretary can make a Section 319 public health emergency determination without a state request. </w:t>
      </w:r>
    </w:p>
    <w:p w14:paraId="6FEBD3F8" w14:textId="77777777" w:rsidR="00342BAE" w:rsidRDefault="00342BAE" w:rsidP="00825E69">
      <w:pPr>
        <w:spacing w:line="480" w:lineRule="auto"/>
        <w:textAlignment w:val="baseline"/>
        <w:rPr>
          <w:rFonts w:eastAsia="Times New Roman" w:cs="Arial"/>
          <w:b/>
          <w:bCs/>
          <w:color w:val="000000" w:themeColor="text1"/>
          <w:bdr w:val="none" w:sz="0" w:space="0" w:color="auto" w:frame="1"/>
        </w:rPr>
      </w:pPr>
    </w:p>
    <w:p w14:paraId="452FC3A9" w14:textId="77777777" w:rsidR="00342BAE" w:rsidRPr="00CE09D9" w:rsidRDefault="00342BAE" w:rsidP="00825E69">
      <w:pPr>
        <w:spacing w:line="480" w:lineRule="auto"/>
        <w:ind w:left="360"/>
        <w:textAlignment w:val="baseline"/>
        <w:rPr>
          <w:rFonts w:eastAsia="Times New Roman" w:cs="Arial"/>
          <w:color w:val="000000" w:themeColor="text1"/>
        </w:rPr>
      </w:pPr>
      <w:r w:rsidRPr="00CE09D9">
        <w:rPr>
          <w:rFonts w:eastAsia="Times New Roman" w:cs="Arial"/>
          <w:color w:val="000000" w:themeColor="text1"/>
        </w:rPr>
        <w:t>Declarations under other laws are required for the secretary to exercise certain authorities. In order for the secretary to exercise waiver authority under SSA Section 1135, there must be an existing public health emergency declaration in addition to a presidential declaration under the Stafford Act or the National Emergencies Act.</w:t>
      </w:r>
    </w:p>
    <w:p w14:paraId="5471F9E4" w14:textId="77777777" w:rsidR="00342BAE" w:rsidRPr="00740CF9" w:rsidRDefault="00342BAE" w:rsidP="00825E69">
      <w:pPr>
        <w:spacing w:line="480" w:lineRule="auto"/>
        <w:textAlignment w:val="baseline"/>
        <w:rPr>
          <w:rFonts w:eastAsia="Times New Roman" w:cs="Arial"/>
          <w:color w:val="000000" w:themeColor="text1"/>
        </w:rPr>
      </w:pPr>
    </w:p>
    <w:p w14:paraId="338C9551" w14:textId="77777777" w:rsidR="00342BAE" w:rsidRDefault="00342BAE" w:rsidP="00224AC9">
      <w:pPr>
        <w:numPr>
          <w:ilvl w:val="0"/>
          <w:numId w:val="36"/>
        </w:numPr>
        <w:spacing w:line="480" w:lineRule="auto"/>
        <w:ind w:left="360"/>
        <w:textAlignment w:val="baseline"/>
        <w:rPr>
          <w:rFonts w:eastAsia="Times New Roman" w:cs="Arial"/>
          <w:color w:val="000000" w:themeColor="text1"/>
        </w:rPr>
      </w:pPr>
      <w:r w:rsidRPr="00740CF9">
        <w:rPr>
          <w:rFonts w:eastAsia="Times New Roman" w:cs="Arial"/>
          <w:b/>
          <w:bCs/>
          <w:color w:val="000000" w:themeColor="text1"/>
          <w:bdr w:val="none" w:sz="0" w:space="0" w:color="auto" w:frame="1"/>
        </w:rPr>
        <w:t>PREP Act—</w:t>
      </w:r>
      <w:r w:rsidRPr="00740CF9">
        <w:rPr>
          <w:rFonts w:eastAsia="Times New Roman" w:cs="Arial"/>
          <w:color w:val="000000" w:themeColor="text1"/>
        </w:rPr>
        <w:t>The secretary does not need to make a public health emergency determination under PHSA Section 319 to issue a declaration under the </w:t>
      </w:r>
      <w:hyperlink r:id="rId84" w:anchor="Public-Readiness-and-Emergency-Preparedness-Act" w:tooltip="Public Readiness and Emergency Preparedness Act (PREP Act)" w:history="1">
        <w:r w:rsidRPr="00740CF9">
          <w:rPr>
            <w:rFonts w:eastAsia="Times New Roman" w:cs="Arial"/>
            <w:color w:val="0F88B8"/>
            <w:bdr w:val="none" w:sz="0" w:space="0" w:color="auto" w:frame="1"/>
          </w:rPr>
          <w:t>Public Readiness and Emergency Preparedness Act (PREP Act)</w:t>
        </w:r>
      </w:hyperlink>
      <w:r w:rsidRPr="00740CF9">
        <w:rPr>
          <w:rFonts w:eastAsia="Times New Roman" w:cs="Arial"/>
          <w:color w:val="737373"/>
        </w:rPr>
        <w:t> </w:t>
      </w:r>
      <w:r w:rsidRPr="00740CF9">
        <w:rPr>
          <w:rFonts w:eastAsia="Times New Roman" w:cs="Arial"/>
          <w:color w:val="000000" w:themeColor="text1"/>
        </w:rPr>
        <w:t>for the liability immunity under the PREP Act to go into effect. The PREP Act, among other things, allows the secretary to provide tort liability immunity (except for willful misconduct) for claims of loss arising from the development and administration of countermeasures against diseases or threats that constitute a current or future risk of public health emergency.</w:t>
      </w:r>
    </w:p>
    <w:p w14:paraId="33491713" w14:textId="77777777" w:rsidR="00342BAE" w:rsidRPr="00740CF9" w:rsidRDefault="00342BAE" w:rsidP="00825E69">
      <w:pPr>
        <w:spacing w:line="480" w:lineRule="auto"/>
        <w:textAlignment w:val="baseline"/>
        <w:rPr>
          <w:rFonts w:eastAsia="Times New Roman" w:cs="Arial"/>
          <w:color w:val="000000" w:themeColor="text1"/>
        </w:rPr>
      </w:pPr>
    </w:p>
    <w:p w14:paraId="1606F4CB" w14:textId="77777777" w:rsidR="00342BAE" w:rsidRPr="00740CF9" w:rsidRDefault="00342BAE" w:rsidP="00825E69">
      <w:pPr>
        <w:spacing w:line="480" w:lineRule="auto"/>
        <w:rPr>
          <w:rFonts w:eastAsia="Times New Roman" w:cs="Arial"/>
          <w:b/>
          <w:bCs/>
          <w:color w:val="000000" w:themeColor="text1"/>
        </w:rPr>
      </w:pPr>
      <w:r w:rsidRPr="00740CF9">
        <w:rPr>
          <w:rFonts w:eastAsia="Times New Roman" w:cs="Arial"/>
          <w:b/>
          <w:bCs/>
          <w:color w:val="000000" w:themeColor="text1"/>
        </w:rPr>
        <w:t>Immunity and Liability Issues</w:t>
      </w:r>
    </w:p>
    <w:p w14:paraId="23E9CEC3" w14:textId="77777777" w:rsidR="00342BAE" w:rsidRPr="007D11EB" w:rsidRDefault="00342BAE" w:rsidP="00825E69">
      <w:pPr>
        <w:shd w:val="clear" w:color="auto" w:fill="FFFFFF"/>
        <w:spacing w:line="480" w:lineRule="auto"/>
        <w:textAlignment w:val="baseline"/>
        <w:rPr>
          <w:rFonts w:eastAsia="Times New Roman" w:cs="Arial"/>
          <w:color w:val="000000" w:themeColor="text1"/>
        </w:rPr>
      </w:pPr>
      <w:r w:rsidRPr="00740CF9">
        <w:rPr>
          <w:rFonts w:eastAsia="Times New Roman" w:cs="Arial"/>
          <w:color w:val="000000" w:themeColor="text1"/>
        </w:rPr>
        <w:t> </w:t>
      </w:r>
      <w:r w:rsidRPr="00740CF9">
        <w:rPr>
          <w:rFonts w:eastAsia="Times New Roman" w:cs="Arial"/>
          <w:color w:val="000000" w:themeColor="text1"/>
        </w:rPr>
        <w:br/>
        <w:t>Section 319 does not contain any immunity provisions or liability protections. The determination of a public health emergency, however, is a prerequisite for the activation of liability provisions in other laws such as the PREP Act. </w:t>
      </w:r>
    </w:p>
    <w:p w14:paraId="5BADDF76" w14:textId="77777777" w:rsidR="00342BAE" w:rsidRPr="00740CF9" w:rsidRDefault="00342BAE" w:rsidP="00825E69">
      <w:pPr>
        <w:shd w:val="clear" w:color="auto" w:fill="FFFFFF"/>
        <w:spacing w:line="480" w:lineRule="auto"/>
        <w:textAlignment w:val="baseline"/>
        <w:rPr>
          <w:rFonts w:eastAsia="Times New Roman" w:cs="Arial"/>
          <w:color w:val="000000" w:themeColor="text1"/>
        </w:rPr>
      </w:pPr>
    </w:p>
    <w:p w14:paraId="38629CCA" w14:textId="77777777" w:rsidR="00342BAE" w:rsidRPr="00740CF9" w:rsidRDefault="00342BAE" w:rsidP="00825E69">
      <w:pPr>
        <w:keepNext/>
        <w:spacing w:line="480" w:lineRule="auto"/>
        <w:rPr>
          <w:rFonts w:eastAsia="Times New Roman" w:cs="Arial"/>
          <w:b/>
          <w:bCs/>
          <w:color w:val="3C3030"/>
          <w:sz w:val="24"/>
          <w:szCs w:val="24"/>
        </w:rPr>
      </w:pPr>
      <w:r w:rsidRPr="00740CF9">
        <w:rPr>
          <w:rFonts w:eastAsia="Times New Roman" w:cs="Arial"/>
          <w:b/>
          <w:bCs/>
          <w:color w:val="3C3030"/>
          <w:sz w:val="24"/>
          <w:szCs w:val="24"/>
        </w:rPr>
        <w:lastRenderedPageBreak/>
        <w:t>How the Law Affects States</w:t>
      </w:r>
    </w:p>
    <w:p w14:paraId="3A25D2F1" w14:textId="77777777" w:rsidR="00342BAE" w:rsidRPr="00740CF9" w:rsidRDefault="00342BAE" w:rsidP="00825E69">
      <w:pPr>
        <w:shd w:val="clear" w:color="auto" w:fill="FFFFFF"/>
        <w:spacing w:line="480" w:lineRule="auto"/>
        <w:textAlignment w:val="baseline"/>
        <w:rPr>
          <w:rFonts w:eastAsia="Times New Roman" w:cs="Arial"/>
          <w:color w:val="000000" w:themeColor="text1"/>
        </w:rPr>
      </w:pPr>
      <w:r w:rsidRPr="00740CF9">
        <w:rPr>
          <w:rFonts w:eastAsia="Times New Roman" w:cs="Arial"/>
          <w:color w:val="000000" w:themeColor="text1"/>
        </w:rPr>
        <w:t>A determination by the HHS secretary under Section 319 that a public health emergency exists activates the secretary’s emergency powers to provide states with resources and personnel to respond to the emergency and to waive or modify certain legal requirements. There is no statutory or regulatory requirement that a state submit a formal request to the secretary for the determination of a public health emergency under PHSA Section 319 or an SSA Section 1135 waiver to be made. HHS encourages states to work with regional emergency coordinators in HHS regional offices to facilitate the request if the state believes such determinations are needed to respond to an event.</w:t>
      </w:r>
      <w:r w:rsidRPr="00740CF9">
        <w:rPr>
          <w:rFonts w:eastAsia="Times New Roman" w:cs="Arial"/>
          <w:color w:val="000000" w:themeColor="text1"/>
          <w:bdr w:val="none" w:sz="0" w:space="0" w:color="auto" w:frame="1"/>
          <w:vertAlign w:val="superscript"/>
        </w:rPr>
        <w:t>3</w:t>
      </w:r>
      <w:r w:rsidRPr="00740CF9">
        <w:rPr>
          <w:rFonts w:eastAsia="Times New Roman" w:cs="Arial"/>
          <w:color w:val="000000" w:themeColor="text1"/>
        </w:rPr>
        <w:t> A state declaration of emergency does not affect the secretary's Section 319 authority to determine that a public health emergency exists. However, the fact that a state has declared an emergency or requested federal assistance in response to an emergency may be relevant to the secretary's consideration of whether a public health emergency exists.</w:t>
      </w:r>
    </w:p>
    <w:p w14:paraId="581A2E0F" w14:textId="77777777" w:rsidR="00342BAE" w:rsidRPr="00740CF9" w:rsidRDefault="00342BAE" w:rsidP="00825E69">
      <w:pPr>
        <w:shd w:val="clear" w:color="auto" w:fill="FFFFFF"/>
        <w:spacing w:line="480" w:lineRule="auto"/>
        <w:textAlignment w:val="baseline"/>
        <w:rPr>
          <w:rFonts w:eastAsia="Times New Roman" w:cs="Arial"/>
          <w:color w:val="000000" w:themeColor="text1"/>
        </w:rPr>
      </w:pPr>
      <w:r w:rsidRPr="00740CF9">
        <w:rPr>
          <w:rFonts w:eastAsia="Times New Roman" w:cs="Arial"/>
          <w:color w:val="000000" w:themeColor="text1"/>
        </w:rPr>
        <w:t> </w:t>
      </w:r>
    </w:p>
    <w:p w14:paraId="7F65CC5D" w14:textId="77777777" w:rsidR="00342BAE" w:rsidRPr="00740CF9" w:rsidRDefault="00342BAE" w:rsidP="00825E69">
      <w:pPr>
        <w:spacing w:after="120" w:line="480" w:lineRule="auto"/>
        <w:rPr>
          <w:rFonts w:eastAsia="Times New Roman" w:cs="Arial"/>
          <w:b/>
          <w:bCs/>
          <w:color w:val="3C3030"/>
          <w:sz w:val="24"/>
          <w:szCs w:val="24"/>
        </w:rPr>
      </w:pPr>
      <w:r w:rsidRPr="00740CF9">
        <w:rPr>
          <w:rFonts w:eastAsia="Times New Roman" w:cs="Arial"/>
          <w:b/>
          <w:bCs/>
          <w:color w:val="3C3030"/>
          <w:sz w:val="24"/>
          <w:szCs w:val="24"/>
        </w:rPr>
        <w:t>Practice Notes</w:t>
      </w:r>
    </w:p>
    <w:p w14:paraId="7F5E0098" w14:textId="77777777" w:rsidR="00342BAE" w:rsidRPr="00CE09D9" w:rsidRDefault="00342BAE" w:rsidP="00224AC9">
      <w:pPr>
        <w:pStyle w:val="ListParagraph"/>
        <w:numPr>
          <w:ilvl w:val="0"/>
          <w:numId w:val="36"/>
        </w:numPr>
        <w:spacing w:after="120" w:line="480" w:lineRule="auto"/>
        <w:ind w:left="360"/>
        <w:contextualSpacing w:val="0"/>
        <w:textAlignment w:val="baseline"/>
        <w:rPr>
          <w:rFonts w:eastAsia="Times New Roman" w:cs="Arial"/>
          <w:color w:val="000000" w:themeColor="text1"/>
          <w:szCs w:val="20"/>
        </w:rPr>
      </w:pPr>
      <w:r w:rsidRPr="00CE09D9">
        <w:rPr>
          <w:rFonts w:eastAsia="Times New Roman" w:cs="Arial"/>
          <w:color w:val="000000" w:themeColor="text1"/>
          <w:szCs w:val="20"/>
        </w:rPr>
        <w:t>Identify circumstances in which your state might want or need a §319 determination.</w:t>
      </w:r>
    </w:p>
    <w:p w14:paraId="5449CE50" w14:textId="77777777" w:rsidR="00342BAE" w:rsidRPr="00CE09D9" w:rsidRDefault="00342BAE" w:rsidP="00224AC9">
      <w:pPr>
        <w:pStyle w:val="ListParagraph"/>
        <w:numPr>
          <w:ilvl w:val="0"/>
          <w:numId w:val="36"/>
        </w:numPr>
        <w:spacing w:after="120" w:line="480" w:lineRule="auto"/>
        <w:ind w:left="360"/>
        <w:contextualSpacing w:val="0"/>
        <w:textAlignment w:val="baseline"/>
        <w:rPr>
          <w:rFonts w:eastAsia="Times New Roman" w:cs="Arial"/>
          <w:color w:val="000000" w:themeColor="text1"/>
          <w:szCs w:val="20"/>
        </w:rPr>
      </w:pPr>
      <w:r w:rsidRPr="00CE09D9">
        <w:rPr>
          <w:rFonts w:eastAsia="Times New Roman" w:cs="Arial"/>
          <w:color w:val="000000" w:themeColor="text1"/>
          <w:szCs w:val="20"/>
        </w:rPr>
        <w:t>Identify the legal and programmatic effects a §319 determination has in your state.</w:t>
      </w:r>
    </w:p>
    <w:p w14:paraId="2E7CC016" w14:textId="77777777" w:rsidR="00342BAE" w:rsidRPr="00CE09D9" w:rsidRDefault="00342BAE" w:rsidP="00224AC9">
      <w:pPr>
        <w:pStyle w:val="ListParagraph"/>
        <w:numPr>
          <w:ilvl w:val="0"/>
          <w:numId w:val="36"/>
        </w:numPr>
        <w:spacing w:after="120" w:line="480" w:lineRule="auto"/>
        <w:ind w:left="360"/>
        <w:contextualSpacing w:val="0"/>
        <w:textAlignment w:val="baseline"/>
        <w:rPr>
          <w:rFonts w:eastAsia="Times New Roman" w:cs="Arial"/>
          <w:color w:val="000000" w:themeColor="text1"/>
          <w:szCs w:val="20"/>
        </w:rPr>
      </w:pPr>
      <w:r w:rsidRPr="00CE09D9">
        <w:rPr>
          <w:rFonts w:eastAsia="Times New Roman" w:cs="Arial"/>
          <w:color w:val="000000" w:themeColor="text1"/>
          <w:szCs w:val="20"/>
        </w:rPr>
        <w:t>Understand what, if any, effects a §319 determination will have on your state's response and emergency legal authorities with and without a state emergency declaration.</w:t>
      </w:r>
    </w:p>
    <w:p w14:paraId="02E1CA7D" w14:textId="77777777" w:rsidR="00342BAE" w:rsidRPr="00CE09D9" w:rsidRDefault="00342BAE" w:rsidP="00224AC9">
      <w:pPr>
        <w:pStyle w:val="ListParagraph"/>
        <w:numPr>
          <w:ilvl w:val="0"/>
          <w:numId w:val="36"/>
        </w:numPr>
        <w:spacing w:after="120" w:line="480" w:lineRule="auto"/>
        <w:ind w:left="360"/>
        <w:contextualSpacing w:val="0"/>
        <w:textAlignment w:val="baseline"/>
        <w:rPr>
          <w:rFonts w:eastAsia="Times New Roman" w:cs="Arial"/>
          <w:color w:val="000000" w:themeColor="text1"/>
          <w:szCs w:val="20"/>
        </w:rPr>
      </w:pPr>
      <w:r w:rsidRPr="00CE09D9">
        <w:rPr>
          <w:rFonts w:eastAsia="Times New Roman" w:cs="Arial"/>
          <w:color w:val="000000" w:themeColor="text1"/>
          <w:szCs w:val="20"/>
        </w:rPr>
        <w:t>Identify the process your state or health agency should use in requesting federal assistance.</w:t>
      </w:r>
    </w:p>
    <w:p w14:paraId="2B21BD42" w14:textId="77777777" w:rsidR="00342BAE" w:rsidRDefault="00342BAE" w:rsidP="00825E69">
      <w:pPr>
        <w:spacing w:line="480" w:lineRule="auto"/>
        <w:textAlignment w:val="baseline"/>
        <w:rPr>
          <w:rFonts w:eastAsia="Times New Roman" w:cs="Arial"/>
          <w:color w:val="000000" w:themeColor="text1"/>
          <w:szCs w:val="20"/>
        </w:rPr>
      </w:pPr>
    </w:p>
    <w:p w14:paraId="48664806" w14:textId="77777777" w:rsidR="00342BAE" w:rsidRDefault="00342BAE" w:rsidP="00825E69">
      <w:pPr>
        <w:spacing w:line="480" w:lineRule="auto"/>
        <w:textAlignment w:val="baseline"/>
        <w:rPr>
          <w:rFonts w:eastAsia="Times New Roman" w:cs="Arial"/>
          <w:color w:val="000000" w:themeColor="text1"/>
          <w:szCs w:val="20"/>
        </w:rPr>
      </w:pPr>
      <w:r>
        <w:rPr>
          <w:rFonts w:eastAsia="Times New Roman" w:cs="Arial"/>
          <w:color w:val="000000" w:themeColor="text1"/>
          <w:szCs w:val="20"/>
        </w:rPr>
        <w:t>______________________________________________________________________</w:t>
      </w:r>
    </w:p>
    <w:p w14:paraId="16E5DDC2" w14:textId="77777777" w:rsidR="00342BAE" w:rsidRPr="00740CF9" w:rsidRDefault="00342BAE" w:rsidP="00825E69">
      <w:pPr>
        <w:spacing w:line="480" w:lineRule="auto"/>
        <w:textAlignment w:val="baseline"/>
        <w:rPr>
          <w:rFonts w:eastAsia="Times New Roman" w:cs="Arial"/>
          <w:color w:val="000000" w:themeColor="text1"/>
          <w:szCs w:val="20"/>
        </w:rPr>
      </w:pPr>
    </w:p>
    <w:p w14:paraId="0B790B36" w14:textId="77777777" w:rsidR="00342BAE" w:rsidRPr="00740CF9" w:rsidRDefault="00342BAE" w:rsidP="00825E69">
      <w:pPr>
        <w:keepNext/>
        <w:spacing w:line="480" w:lineRule="auto"/>
        <w:rPr>
          <w:rFonts w:eastAsia="Times New Roman" w:cs="Arial"/>
          <w:b/>
          <w:bCs/>
          <w:color w:val="3C3030"/>
          <w:sz w:val="24"/>
          <w:szCs w:val="24"/>
        </w:rPr>
      </w:pPr>
      <w:r w:rsidRPr="00740CF9">
        <w:rPr>
          <w:rFonts w:eastAsia="Times New Roman" w:cs="Arial"/>
          <w:b/>
          <w:bCs/>
          <w:color w:val="3C3030"/>
          <w:sz w:val="24"/>
          <w:szCs w:val="24"/>
        </w:rPr>
        <w:lastRenderedPageBreak/>
        <w:t>Sources</w:t>
      </w:r>
    </w:p>
    <w:p w14:paraId="3DAFBEC7" w14:textId="77777777" w:rsidR="00342BAE" w:rsidRPr="00740CF9" w:rsidRDefault="00342BAE" w:rsidP="00224AC9">
      <w:pPr>
        <w:numPr>
          <w:ilvl w:val="0"/>
          <w:numId w:val="34"/>
        </w:numPr>
        <w:spacing w:line="480" w:lineRule="auto"/>
        <w:ind w:left="450"/>
        <w:textAlignment w:val="baseline"/>
        <w:rPr>
          <w:rFonts w:eastAsia="Times New Roman" w:cs="Arial"/>
          <w:color w:val="000000" w:themeColor="text1"/>
          <w:szCs w:val="20"/>
        </w:rPr>
      </w:pPr>
      <w:r w:rsidRPr="00740CF9">
        <w:rPr>
          <w:rFonts w:eastAsia="Times New Roman" w:cs="Arial"/>
          <w:color w:val="000000" w:themeColor="text1"/>
          <w:szCs w:val="20"/>
        </w:rPr>
        <w:t>Public Health Service Act, Pub. L. No. 104-321; Codified at 42 U.S.C. § 247d.</w:t>
      </w:r>
    </w:p>
    <w:p w14:paraId="1A36BFEC" w14:textId="77777777" w:rsidR="00342BAE" w:rsidRPr="00740CF9" w:rsidRDefault="00342BAE" w:rsidP="00224AC9">
      <w:pPr>
        <w:numPr>
          <w:ilvl w:val="0"/>
          <w:numId w:val="34"/>
        </w:numPr>
        <w:spacing w:line="480" w:lineRule="auto"/>
        <w:ind w:left="450"/>
        <w:textAlignment w:val="baseline"/>
        <w:rPr>
          <w:rFonts w:eastAsia="Times New Roman" w:cs="Arial"/>
          <w:color w:val="000000" w:themeColor="text1"/>
          <w:szCs w:val="20"/>
        </w:rPr>
      </w:pPr>
      <w:r w:rsidRPr="00740CF9">
        <w:rPr>
          <w:rFonts w:eastAsia="Times New Roman" w:cs="Arial"/>
          <w:color w:val="000000" w:themeColor="text1"/>
          <w:szCs w:val="20"/>
        </w:rPr>
        <w:t>Centers for Disease Control and Prevention, Public Health Law Program. “Selected Federal Legal Authorities Pertinent to Public Health Emergencies.” September 2009. Available at </w:t>
      </w:r>
      <w:hyperlink r:id="rId85" w:tgtFrame="_blank" w:tooltip="https://www.cdc.gov/phlp/docs/ph-emergencies.pdf" w:history="1">
        <w:r w:rsidRPr="00740CF9">
          <w:rPr>
            <w:rFonts w:eastAsia="Times New Roman" w:cs="Arial"/>
            <w:color w:val="0F88B8"/>
            <w:szCs w:val="20"/>
            <w:bdr w:val="none" w:sz="0" w:space="0" w:color="auto" w:frame="1"/>
          </w:rPr>
          <w:t>https://www.cdc.gov/phlp/docs/ph-emergencies.pdf</w:t>
        </w:r>
      </w:hyperlink>
      <w:r w:rsidRPr="00740CF9">
        <w:rPr>
          <w:rFonts w:eastAsia="Times New Roman" w:cs="Arial"/>
          <w:color w:val="737373"/>
          <w:szCs w:val="20"/>
        </w:rPr>
        <w:t xml:space="preserve">. </w:t>
      </w:r>
      <w:r w:rsidRPr="00740CF9">
        <w:rPr>
          <w:rFonts w:eastAsia="Times New Roman" w:cs="Arial"/>
          <w:color w:val="000000" w:themeColor="text1"/>
          <w:szCs w:val="20"/>
        </w:rPr>
        <w:t>August 2017. Accessed October 26, 2017. </w:t>
      </w:r>
    </w:p>
    <w:p w14:paraId="416D7C3A" w14:textId="77777777" w:rsidR="00342BAE" w:rsidRPr="00740CF9" w:rsidRDefault="00342BAE" w:rsidP="00224AC9">
      <w:pPr>
        <w:numPr>
          <w:ilvl w:val="0"/>
          <w:numId w:val="34"/>
        </w:numPr>
        <w:spacing w:line="480" w:lineRule="auto"/>
        <w:ind w:left="450"/>
        <w:textAlignment w:val="baseline"/>
        <w:rPr>
          <w:rFonts w:eastAsia="Times New Roman" w:cs="Arial"/>
          <w:color w:val="000000" w:themeColor="text1"/>
          <w:szCs w:val="20"/>
        </w:rPr>
      </w:pPr>
      <w:r w:rsidRPr="00740CF9">
        <w:rPr>
          <w:rFonts w:eastAsia="Times New Roman" w:cs="Arial"/>
          <w:color w:val="000000" w:themeColor="text1"/>
          <w:szCs w:val="20"/>
        </w:rPr>
        <w:t>Department of Health and Human Services. “Public Health Emergency Declaration Q&amp;As” webpage. Available at</w:t>
      </w:r>
      <w:r w:rsidRPr="00740CF9">
        <w:rPr>
          <w:rFonts w:eastAsia="Times New Roman" w:cs="Arial"/>
          <w:color w:val="737373"/>
          <w:szCs w:val="20"/>
        </w:rPr>
        <w:t> </w:t>
      </w:r>
      <w:hyperlink r:id="rId86" w:tooltip="www.phe.gov/Preparedness/legal/Pages/phe-qa.aspx" w:history="1">
        <w:r w:rsidRPr="00740CF9">
          <w:rPr>
            <w:rFonts w:eastAsia="Times New Roman" w:cs="Arial"/>
            <w:color w:val="0F88B8"/>
            <w:szCs w:val="20"/>
            <w:bdr w:val="none" w:sz="0" w:space="0" w:color="auto" w:frame="1"/>
          </w:rPr>
          <w:t>www.phe.gov/Preparedness/legal/Pages/phe-qa.aspx</w:t>
        </w:r>
      </w:hyperlink>
      <w:r w:rsidRPr="00740CF9">
        <w:rPr>
          <w:rFonts w:eastAsia="Times New Roman" w:cs="Arial"/>
          <w:color w:val="737373"/>
          <w:szCs w:val="20"/>
        </w:rPr>
        <w:t xml:space="preserve">. </w:t>
      </w:r>
      <w:r w:rsidRPr="00740CF9">
        <w:rPr>
          <w:rFonts w:eastAsia="Times New Roman" w:cs="Arial"/>
          <w:color w:val="000000" w:themeColor="text1"/>
          <w:szCs w:val="20"/>
        </w:rPr>
        <w:t>Accessed October 26, 2017.</w:t>
      </w:r>
    </w:p>
    <w:p w14:paraId="20439F74" w14:textId="5A35BD9A" w:rsidR="00342BAE" w:rsidRDefault="00342BAE" w:rsidP="00825E69">
      <w:pPr>
        <w:spacing w:line="480" w:lineRule="auto"/>
        <w:rPr>
          <w:sz w:val="24"/>
        </w:rPr>
      </w:pPr>
    </w:p>
    <w:p w14:paraId="4F62B73A" w14:textId="77777777" w:rsidR="00D55525" w:rsidRDefault="00D55525" w:rsidP="00D55525">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TOC top</w:t>
        </w:r>
      </w:hyperlink>
      <w:r>
        <w:rPr>
          <w:rFonts w:ascii="Calibri" w:hAnsi="Calibri" w:cs="Calibri"/>
          <w:sz w:val="24"/>
        </w:rPr>
        <w:t>]</w:t>
      </w:r>
    </w:p>
    <w:p w14:paraId="5AB791D6" w14:textId="191C08E9" w:rsidR="00D55525" w:rsidRDefault="00D55525">
      <w:pPr>
        <w:rPr>
          <w:sz w:val="24"/>
        </w:rPr>
      </w:pPr>
      <w:r>
        <w:rPr>
          <w:sz w:val="24"/>
        </w:rPr>
        <w:br w:type="page"/>
      </w:r>
    </w:p>
    <w:p w14:paraId="68B29618" w14:textId="77777777" w:rsidR="00342BAE" w:rsidRPr="00EE7BB3" w:rsidRDefault="00342BAE" w:rsidP="00825E69">
      <w:pPr>
        <w:spacing w:after="120"/>
        <w:rPr>
          <w:rFonts w:eastAsia="Times New Roman" w:cs="Helvetica"/>
          <w:b/>
          <w:bCs/>
          <w:color w:val="333333"/>
          <w:spacing w:val="15"/>
          <w:kern w:val="36"/>
          <w:sz w:val="28"/>
          <w:szCs w:val="28"/>
        </w:rPr>
      </w:pPr>
      <w:bookmarkStart w:id="13" w:name="PREPAct_FS"/>
      <w:r w:rsidRPr="00EE7BB3">
        <w:rPr>
          <w:rFonts w:eastAsia="Times New Roman" w:cs="Helvetica"/>
          <w:b/>
          <w:bCs/>
          <w:color w:val="333333"/>
          <w:spacing w:val="15"/>
          <w:kern w:val="36"/>
          <w:sz w:val="28"/>
          <w:szCs w:val="28"/>
        </w:rPr>
        <w:lastRenderedPageBreak/>
        <w:t>Public Readiness and Emergency Preparedness Act</w:t>
      </w:r>
      <w:bookmarkEnd w:id="13"/>
    </w:p>
    <w:p w14:paraId="2634FC8C" w14:textId="77777777" w:rsidR="00342BAE" w:rsidRDefault="00342BAE" w:rsidP="00825E69">
      <w:pPr>
        <w:rPr>
          <w:rFonts w:eastAsia="Times New Roman" w:cs="Arial"/>
          <w:b/>
          <w:bCs/>
          <w:color w:val="3C3030"/>
          <w:sz w:val="24"/>
          <w:szCs w:val="24"/>
        </w:rPr>
      </w:pPr>
      <w:r w:rsidRPr="00EE7BB3">
        <w:rPr>
          <w:rFonts w:eastAsia="Times New Roman" w:cs="Arial"/>
          <w:b/>
          <w:bCs/>
          <w:color w:val="3C3030"/>
          <w:sz w:val="24"/>
          <w:szCs w:val="24"/>
        </w:rPr>
        <w:t>Fact Sheet</w:t>
      </w:r>
    </w:p>
    <w:p w14:paraId="59C95AED" w14:textId="77777777" w:rsidR="00342BAE" w:rsidRPr="00EE7BB3" w:rsidRDefault="00342BAE" w:rsidP="00825E69">
      <w:pPr>
        <w:spacing w:line="480" w:lineRule="auto"/>
        <w:rPr>
          <w:rFonts w:eastAsia="Times New Roman" w:cs="Arial"/>
          <w:b/>
          <w:bCs/>
          <w:color w:val="3C3030"/>
          <w:sz w:val="24"/>
          <w:szCs w:val="24"/>
        </w:rPr>
      </w:pPr>
    </w:p>
    <w:p w14:paraId="1CB22EA9" w14:textId="77777777" w:rsidR="00342BAE" w:rsidRPr="00EE7BB3" w:rsidRDefault="00342BAE" w:rsidP="00825E69">
      <w:pPr>
        <w:spacing w:line="480" w:lineRule="auto"/>
        <w:rPr>
          <w:rFonts w:eastAsia="Times New Roman" w:cs="Arial"/>
          <w:b/>
          <w:bCs/>
          <w:color w:val="3C3030"/>
          <w:sz w:val="24"/>
          <w:szCs w:val="24"/>
        </w:rPr>
      </w:pPr>
      <w:r w:rsidRPr="00EE7BB3">
        <w:rPr>
          <w:rFonts w:eastAsia="Times New Roman" w:cs="Arial"/>
          <w:b/>
          <w:bCs/>
          <w:color w:val="3C3030"/>
          <w:sz w:val="24"/>
          <w:szCs w:val="24"/>
        </w:rPr>
        <w:t>Overview</w:t>
      </w:r>
    </w:p>
    <w:p w14:paraId="7AB4C6D5" w14:textId="77777777" w:rsidR="00342BAE" w:rsidRPr="00EE7BB3" w:rsidRDefault="00342BAE" w:rsidP="00825E69">
      <w:pPr>
        <w:shd w:val="clear" w:color="auto" w:fill="FFFFFF"/>
        <w:spacing w:line="480" w:lineRule="auto"/>
        <w:textAlignment w:val="baseline"/>
        <w:rPr>
          <w:rFonts w:eastAsia="Times New Roman" w:cs="Arial"/>
          <w:color w:val="000000" w:themeColor="text1"/>
          <w:szCs w:val="24"/>
        </w:rPr>
      </w:pPr>
      <w:r w:rsidRPr="00EE7BB3">
        <w:rPr>
          <w:rFonts w:eastAsia="Times New Roman" w:cs="Arial"/>
          <w:color w:val="737373"/>
          <w:szCs w:val="24"/>
        </w:rPr>
        <w:t>The </w:t>
      </w:r>
      <w:hyperlink r:id="rId87" w:anchor="Public-Readiness-and-Emergency-Preparedness-Act" w:tooltip="Public Readiness and Emergency Preparedness Act of 2005 (PREP Act)" w:history="1">
        <w:r w:rsidRPr="00EE7BB3">
          <w:rPr>
            <w:rFonts w:eastAsia="Times New Roman" w:cs="Arial"/>
            <w:color w:val="0F88B8"/>
            <w:szCs w:val="24"/>
            <w:bdr w:val="none" w:sz="0" w:space="0" w:color="auto" w:frame="1"/>
          </w:rPr>
          <w:t>Public Readiness and Emergency Preparedness Act of 2005 (PREP Act)</w:t>
        </w:r>
      </w:hyperlink>
      <w:r w:rsidRPr="00EE7BB3">
        <w:rPr>
          <w:rFonts w:eastAsia="Times New Roman" w:cs="Arial"/>
          <w:color w:val="000000" w:themeColor="text1"/>
          <w:szCs w:val="24"/>
          <w:bdr w:val="none" w:sz="0" w:space="0" w:color="auto" w:frame="1"/>
          <w:vertAlign w:val="superscript"/>
        </w:rPr>
        <w:t>1</w:t>
      </w:r>
      <w:r w:rsidRPr="00B01075">
        <w:rPr>
          <w:rFonts w:eastAsia="Times New Roman" w:cs="Arial"/>
          <w:color w:val="000000" w:themeColor="text1"/>
          <w:szCs w:val="24"/>
          <w:bdr w:val="none" w:sz="0" w:space="0" w:color="auto" w:frame="1"/>
          <w:vertAlign w:val="superscript"/>
        </w:rPr>
        <w:t xml:space="preserve"> </w:t>
      </w:r>
      <w:r w:rsidRPr="00EE7BB3">
        <w:rPr>
          <w:rFonts w:eastAsia="Times New Roman" w:cs="Arial"/>
          <w:color w:val="000000" w:themeColor="text1"/>
          <w:szCs w:val="24"/>
        </w:rPr>
        <w:t xml:space="preserve">authorizes the secretary of the Department of Health and Human Services (HHS) to issue a declaration that provides immunity from tort liability for claims of loss caused by countermeasures (e.g., vaccines, drugs, products) against diseases or other threats of public health emergencies. The PREP Act added new authorities under the Public Health Service Act to address concerns about potential liability associated with the development and administration of countermeasures. </w:t>
      </w:r>
    </w:p>
    <w:p w14:paraId="043CD77D" w14:textId="77777777" w:rsidR="00342BAE" w:rsidRPr="00B01075" w:rsidRDefault="00342BAE" w:rsidP="00825E69">
      <w:pPr>
        <w:spacing w:line="480" w:lineRule="auto"/>
        <w:rPr>
          <w:rFonts w:eastAsia="Times New Roman" w:cs="Arial"/>
          <w:b/>
          <w:bCs/>
          <w:color w:val="000000" w:themeColor="text1"/>
          <w:szCs w:val="24"/>
        </w:rPr>
      </w:pPr>
    </w:p>
    <w:p w14:paraId="2D237E80" w14:textId="77777777" w:rsidR="00342BAE" w:rsidRPr="00EE7BB3" w:rsidRDefault="00342BAE" w:rsidP="00825E69">
      <w:pPr>
        <w:spacing w:line="480" w:lineRule="auto"/>
        <w:rPr>
          <w:rFonts w:eastAsia="Times New Roman" w:cs="Arial"/>
          <w:b/>
          <w:bCs/>
          <w:color w:val="3C3030"/>
          <w:sz w:val="24"/>
          <w:szCs w:val="24"/>
        </w:rPr>
      </w:pPr>
      <w:r w:rsidRPr="00EE7BB3">
        <w:rPr>
          <w:rFonts w:eastAsia="Times New Roman" w:cs="Arial"/>
          <w:b/>
          <w:bCs/>
          <w:color w:val="3C3030"/>
          <w:sz w:val="24"/>
          <w:szCs w:val="24"/>
        </w:rPr>
        <w:t>What the Law Does</w:t>
      </w:r>
    </w:p>
    <w:p w14:paraId="45B8AECB" w14:textId="77777777" w:rsidR="00342BAE" w:rsidRPr="00B01075" w:rsidRDefault="00342BAE" w:rsidP="00825E69">
      <w:pPr>
        <w:spacing w:line="480" w:lineRule="auto"/>
        <w:rPr>
          <w:rFonts w:eastAsia="Times New Roman" w:cs="Arial"/>
          <w:b/>
          <w:bCs/>
          <w:color w:val="000000" w:themeColor="text1"/>
        </w:rPr>
      </w:pPr>
    </w:p>
    <w:p w14:paraId="591687B9" w14:textId="77777777" w:rsidR="00342BAE" w:rsidRPr="00EE7BB3" w:rsidRDefault="00342BAE" w:rsidP="00825E69">
      <w:pPr>
        <w:spacing w:line="480" w:lineRule="auto"/>
        <w:rPr>
          <w:rFonts w:eastAsia="Times New Roman" w:cs="Arial"/>
          <w:b/>
          <w:bCs/>
          <w:color w:val="000000" w:themeColor="text1"/>
        </w:rPr>
      </w:pPr>
      <w:r w:rsidRPr="00EE7BB3">
        <w:rPr>
          <w:rFonts w:eastAsia="Times New Roman" w:cs="Arial"/>
          <w:b/>
          <w:bCs/>
          <w:color w:val="000000" w:themeColor="text1"/>
        </w:rPr>
        <w:t>Liability Protection</w:t>
      </w:r>
    </w:p>
    <w:p w14:paraId="5061A636" w14:textId="77777777" w:rsidR="00342BAE" w:rsidRPr="00EE7BB3" w:rsidRDefault="00342BAE" w:rsidP="00825E69">
      <w:pPr>
        <w:shd w:val="clear" w:color="auto" w:fill="FFFFFF"/>
        <w:spacing w:after="120" w:line="480" w:lineRule="auto"/>
        <w:textAlignment w:val="baseline"/>
        <w:rPr>
          <w:rFonts w:eastAsia="Times New Roman" w:cs="Arial"/>
          <w:color w:val="000000" w:themeColor="text1"/>
        </w:rPr>
      </w:pPr>
      <w:r w:rsidRPr="00EE7BB3">
        <w:rPr>
          <w:rFonts w:eastAsia="Times New Roman" w:cs="Arial"/>
          <w:color w:val="000000" w:themeColor="text1"/>
        </w:rPr>
        <w:t>The PREP Act confers immunity from liability on specified persons for certain activities related to covered countermeasures:</w:t>
      </w:r>
    </w:p>
    <w:p w14:paraId="4D3255EF" w14:textId="77777777" w:rsidR="00342BAE" w:rsidRDefault="00342BAE" w:rsidP="00224AC9">
      <w:pPr>
        <w:pStyle w:val="ListParagraph"/>
        <w:numPr>
          <w:ilvl w:val="0"/>
          <w:numId w:val="38"/>
        </w:numPr>
        <w:spacing w:line="480" w:lineRule="auto"/>
        <w:textAlignment w:val="baseline"/>
        <w:rPr>
          <w:rFonts w:eastAsia="Times New Roman" w:cs="Arial"/>
          <w:color w:val="000000" w:themeColor="text1"/>
        </w:rPr>
      </w:pPr>
      <w:r w:rsidRPr="00B01075">
        <w:rPr>
          <w:rFonts w:eastAsia="Times New Roman" w:cs="Arial"/>
          <w:b/>
          <w:bCs/>
          <w:color w:val="000000" w:themeColor="text1"/>
          <w:bdr w:val="none" w:sz="0" w:space="0" w:color="auto" w:frame="1"/>
        </w:rPr>
        <w:t>Persons Covered—</w:t>
      </w:r>
      <w:r w:rsidRPr="00B01075">
        <w:rPr>
          <w:rFonts w:eastAsia="Times New Roman" w:cs="Arial"/>
          <w:color w:val="000000" w:themeColor="text1"/>
        </w:rPr>
        <w:t>The PREP Act covers individual persons and entities. Covered persons may, at the secretary’s discretion, include manufacturers, distributors, program planners (i.e., individuals and entities involved in planning and administering programs for the distribution of countermeasures), and qualified persons who prescribe, administer, or dispense countermeasures (i.e., healthcare and other providers). The U.S. officials, agents, and employees of any of these entities or persons are also covered persons.</w:t>
      </w:r>
    </w:p>
    <w:p w14:paraId="1F179661" w14:textId="77777777" w:rsidR="00342BAE" w:rsidRPr="00B01075" w:rsidRDefault="00342BAE" w:rsidP="00825E69">
      <w:pPr>
        <w:pStyle w:val="ListParagraph"/>
        <w:spacing w:line="480" w:lineRule="auto"/>
        <w:ind w:left="360"/>
        <w:textAlignment w:val="baseline"/>
        <w:rPr>
          <w:rFonts w:eastAsia="Times New Roman" w:cs="Arial"/>
          <w:color w:val="000000" w:themeColor="text1"/>
        </w:rPr>
      </w:pPr>
    </w:p>
    <w:p w14:paraId="66F0D7EF" w14:textId="77777777" w:rsidR="00342BAE" w:rsidRDefault="00342BAE" w:rsidP="00224AC9">
      <w:pPr>
        <w:pStyle w:val="ListParagraph"/>
        <w:numPr>
          <w:ilvl w:val="0"/>
          <w:numId w:val="38"/>
        </w:numPr>
        <w:spacing w:line="480" w:lineRule="auto"/>
        <w:textAlignment w:val="baseline"/>
        <w:rPr>
          <w:rFonts w:eastAsia="Times New Roman" w:cs="Arial"/>
          <w:color w:val="000000" w:themeColor="text1"/>
        </w:rPr>
      </w:pPr>
      <w:r w:rsidRPr="00B01075">
        <w:rPr>
          <w:rFonts w:eastAsia="Times New Roman" w:cs="Arial"/>
          <w:b/>
          <w:bCs/>
          <w:color w:val="000000" w:themeColor="text1"/>
          <w:bdr w:val="none" w:sz="0" w:space="0" w:color="auto" w:frame="1"/>
        </w:rPr>
        <w:lastRenderedPageBreak/>
        <w:t>Activities Covered—</w:t>
      </w:r>
      <w:r w:rsidRPr="00B01075">
        <w:rPr>
          <w:rFonts w:eastAsia="Times New Roman" w:cs="Arial"/>
          <w:color w:val="000000" w:themeColor="text1"/>
        </w:rPr>
        <w:t>Immunity applies to the development, manufacture, testing, distribution, administration, and use of countermeasures.</w:t>
      </w:r>
    </w:p>
    <w:p w14:paraId="4098DDB7" w14:textId="77777777" w:rsidR="00342BAE" w:rsidRPr="00B01075" w:rsidRDefault="00342BAE" w:rsidP="00825E69">
      <w:pPr>
        <w:spacing w:line="480" w:lineRule="auto"/>
        <w:textAlignment w:val="baseline"/>
        <w:rPr>
          <w:rFonts w:eastAsia="Times New Roman" w:cs="Arial"/>
          <w:color w:val="000000" w:themeColor="text1"/>
        </w:rPr>
      </w:pPr>
    </w:p>
    <w:p w14:paraId="437E92EB" w14:textId="77777777" w:rsidR="00342BAE" w:rsidRDefault="00342BAE" w:rsidP="00224AC9">
      <w:pPr>
        <w:pStyle w:val="ListParagraph"/>
        <w:numPr>
          <w:ilvl w:val="0"/>
          <w:numId w:val="38"/>
        </w:numPr>
        <w:spacing w:line="480" w:lineRule="auto"/>
        <w:textAlignment w:val="baseline"/>
        <w:rPr>
          <w:rFonts w:eastAsia="Times New Roman" w:cs="Arial"/>
          <w:color w:val="000000" w:themeColor="text1"/>
        </w:rPr>
      </w:pPr>
      <w:r w:rsidRPr="00B01075">
        <w:rPr>
          <w:rFonts w:eastAsia="Times New Roman" w:cs="Arial"/>
          <w:b/>
          <w:bCs/>
          <w:color w:val="000000" w:themeColor="text1"/>
          <w:bdr w:val="none" w:sz="0" w:space="0" w:color="auto" w:frame="1"/>
        </w:rPr>
        <w:t>Countermeasures Covered—</w:t>
      </w:r>
      <w:r w:rsidRPr="00B01075">
        <w:rPr>
          <w:rFonts w:eastAsia="Times New Roman" w:cs="Arial"/>
          <w:color w:val="000000" w:themeColor="text1"/>
        </w:rPr>
        <w:t>Countermeasures can include vaccines, drugs, or medical devices to be used against chemical, biological, radiological, and nuclear (CBRN) agents of terrorism, epidemics, and pandemics.</w:t>
      </w:r>
    </w:p>
    <w:p w14:paraId="69D70840" w14:textId="77777777" w:rsidR="00342BAE" w:rsidRPr="00B01075" w:rsidRDefault="00342BAE" w:rsidP="00825E69">
      <w:pPr>
        <w:spacing w:line="480" w:lineRule="auto"/>
        <w:textAlignment w:val="baseline"/>
        <w:rPr>
          <w:rFonts w:eastAsia="Times New Roman" w:cs="Arial"/>
          <w:color w:val="000000" w:themeColor="text1"/>
        </w:rPr>
      </w:pPr>
    </w:p>
    <w:p w14:paraId="79647901" w14:textId="77777777" w:rsidR="00342BAE" w:rsidRPr="00B01075" w:rsidRDefault="00342BAE" w:rsidP="00224AC9">
      <w:pPr>
        <w:pStyle w:val="ListParagraph"/>
        <w:numPr>
          <w:ilvl w:val="0"/>
          <w:numId w:val="38"/>
        </w:numPr>
        <w:spacing w:line="480" w:lineRule="auto"/>
        <w:textAlignment w:val="baseline"/>
        <w:rPr>
          <w:rFonts w:eastAsia="Times New Roman" w:cs="Arial"/>
          <w:color w:val="000000" w:themeColor="text1"/>
        </w:rPr>
      </w:pPr>
      <w:r w:rsidRPr="00B01075">
        <w:rPr>
          <w:rFonts w:eastAsia="Times New Roman" w:cs="Arial"/>
          <w:b/>
          <w:bCs/>
          <w:color w:val="000000" w:themeColor="text1"/>
          <w:bdr w:val="none" w:sz="0" w:space="0" w:color="auto" w:frame="1"/>
        </w:rPr>
        <w:t>Claims Covered—</w:t>
      </w:r>
      <w:r w:rsidRPr="00B01075">
        <w:rPr>
          <w:rFonts w:eastAsia="Times New Roman" w:cs="Arial"/>
          <w:color w:val="000000" w:themeColor="text1"/>
        </w:rPr>
        <w:t>The act provides immunity from tort liability except for willful misconduct. PREP Act immunity covers claims for death and physical, mental, or emotional injury, illness, or disability and the fear of these conditions. Liability protections also extend to claims made for medical monitoring as well as loss or damage to property, including business interruption. Claims that have a causal relationship to the development, distribution, administration, or use of the covered countermeasures are potentially included within the scope of PREP Act liability protections.</w:t>
      </w:r>
      <w:r w:rsidRPr="00B01075">
        <w:rPr>
          <w:rFonts w:eastAsia="Times New Roman" w:cs="Arial"/>
          <w:color w:val="000000" w:themeColor="text1"/>
          <w:bdr w:val="none" w:sz="0" w:space="0" w:color="auto" w:frame="1"/>
          <w:vertAlign w:val="superscript"/>
        </w:rPr>
        <w:t>3</w:t>
      </w:r>
    </w:p>
    <w:p w14:paraId="1E8321F0" w14:textId="77777777" w:rsidR="00342BAE" w:rsidRPr="00EE7BB3" w:rsidRDefault="00342BAE" w:rsidP="00825E69">
      <w:pPr>
        <w:spacing w:line="480" w:lineRule="auto"/>
        <w:textAlignment w:val="baseline"/>
        <w:rPr>
          <w:rFonts w:eastAsia="Times New Roman" w:cs="Arial"/>
          <w:color w:val="000000" w:themeColor="text1"/>
        </w:rPr>
      </w:pPr>
    </w:p>
    <w:p w14:paraId="27B9B05B" w14:textId="77777777" w:rsidR="00342BAE" w:rsidRPr="00EE7BB3" w:rsidRDefault="00342BAE" w:rsidP="00825E69">
      <w:pPr>
        <w:spacing w:line="480" w:lineRule="auto"/>
        <w:rPr>
          <w:rFonts w:eastAsia="Times New Roman" w:cs="Arial"/>
          <w:b/>
          <w:bCs/>
          <w:color w:val="000000" w:themeColor="text1"/>
        </w:rPr>
      </w:pPr>
      <w:r w:rsidRPr="00EE7BB3">
        <w:rPr>
          <w:rFonts w:eastAsia="Times New Roman" w:cs="Arial"/>
          <w:b/>
          <w:bCs/>
          <w:color w:val="000000" w:themeColor="text1"/>
        </w:rPr>
        <w:t>Compensation Fund</w:t>
      </w:r>
    </w:p>
    <w:p w14:paraId="19AF676E" w14:textId="77777777" w:rsidR="00342BAE" w:rsidRDefault="00342BAE" w:rsidP="00825E69">
      <w:pPr>
        <w:shd w:val="clear" w:color="auto" w:fill="FFFFFF"/>
        <w:spacing w:line="480" w:lineRule="auto"/>
        <w:textAlignment w:val="baseline"/>
        <w:rPr>
          <w:rFonts w:eastAsia="Times New Roman" w:cs="Arial"/>
          <w:color w:val="000000" w:themeColor="text1"/>
        </w:rPr>
      </w:pPr>
      <w:r w:rsidRPr="00EE7BB3">
        <w:rPr>
          <w:rFonts w:eastAsia="Times New Roman" w:cs="Arial"/>
          <w:color w:val="000000" w:themeColor="text1"/>
        </w:rPr>
        <w:t>The PREP Act authorizes an emergency fund in the U.S. Treasury to provide compensation for injuries directly caused by administration or use of a countermeasure covered by the secretary’s declaration. The </w:t>
      </w:r>
      <w:hyperlink r:id="rId88" w:anchor="Countermeasures-Injury" w:tooltip="Countermeasures Injury Compensation Program (CICP)" w:history="1">
        <w:r w:rsidRPr="00EE7BB3">
          <w:rPr>
            <w:rFonts w:eastAsia="Times New Roman" w:cs="Arial"/>
            <w:color w:val="0F88B8"/>
            <w:bdr w:val="none" w:sz="0" w:space="0" w:color="auto" w:frame="1"/>
          </w:rPr>
          <w:t>Countermeasures Injury Compensation Program (CICP)</w:t>
        </w:r>
      </w:hyperlink>
      <w:r w:rsidRPr="00EE7BB3">
        <w:rPr>
          <w:rFonts w:eastAsia="Times New Roman" w:cs="Arial"/>
          <w:color w:val="737373"/>
        </w:rPr>
        <w:t> </w:t>
      </w:r>
      <w:r w:rsidRPr="00EE7BB3">
        <w:rPr>
          <w:rFonts w:eastAsia="Times New Roman" w:cs="Arial"/>
          <w:color w:val="000000" w:themeColor="text1"/>
        </w:rPr>
        <w:t>is administered by the Health Resources and Services Administration (HRSA). </w:t>
      </w:r>
    </w:p>
    <w:p w14:paraId="791FAEAA" w14:textId="77777777" w:rsidR="00342BAE" w:rsidRPr="00EE7BB3" w:rsidRDefault="00342BAE" w:rsidP="00825E69">
      <w:pPr>
        <w:shd w:val="clear" w:color="auto" w:fill="FFFFFF"/>
        <w:spacing w:line="480" w:lineRule="auto"/>
        <w:textAlignment w:val="baseline"/>
        <w:rPr>
          <w:rFonts w:eastAsia="Times New Roman" w:cs="Arial"/>
          <w:color w:val="000000" w:themeColor="text1"/>
        </w:rPr>
      </w:pPr>
    </w:p>
    <w:p w14:paraId="4F7CA971" w14:textId="77777777" w:rsidR="00342BAE" w:rsidRPr="00EE7BB3" w:rsidRDefault="00342BAE" w:rsidP="00825E69">
      <w:pPr>
        <w:spacing w:line="480" w:lineRule="auto"/>
        <w:rPr>
          <w:rFonts w:eastAsia="Times New Roman" w:cs="Arial"/>
          <w:b/>
          <w:bCs/>
          <w:color w:val="000000" w:themeColor="text1"/>
        </w:rPr>
      </w:pPr>
      <w:r w:rsidRPr="00EE7BB3">
        <w:rPr>
          <w:rFonts w:eastAsia="Times New Roman" w:cs="Arial"/>
          <w:b/>
          <w:bCs/>
          <w:color w:val="000000" w:themeColor="text1"/>
        </w:rPr>
        <w:t>What the Law Does Not Do</w:t>
      </w:r>
    </w:p>
    <w:p w14:paraId="7C7D2D49" w14:textId="77777777" w:rsidR="00342BAE" w:rsidRDefault="00342BAE" w:rsidP="00825E69">
      <w:pPr>
        <w:shd w:val="clear" w:color="auto" w:fill="FFFFFF"/>
        <w:spacing w:line="480" w:lineRule="auto"/>
        <w:textAlignment w:val="baseline"/>
        <w:rPr>
          <w:rFonts w:eastAsia="Times New Roman" w:cs="Arial"/>
          <w:color w:val="000000" w:themeColor="text1"/>
        </w:rPr>
      </w:pPr>
      <w:r w:rsidRPr="00EE7BB3">
        <w:rPr>
          <w:rFonts w:eastAsia="Times New Roman" w:cs="Arial"/>
          <w:color w:val="000000" w:themeColor="text1"/>
        </w:rPr>
        <w:t xml:space="preserve">A PREP Act declaration by the HHS secretary only provides immunity from liability for the persons, activities, and countermeasures specified in the declaration; it does not automatically protect everyone involved in any kind of medical response to an emergency. The act’s liability protections do not apply </w:t>
      </w:r>
      <w:r w:rsidRPr="00EE7BB3">
        <w:rPr>
          <w:rFonts w:eastAsia="Times New Roman" w:cs="Arial"/>
          <w:color w:val="000000" w:themeColor="text1"/>
        </w:rPr>
        <w:lastRenderedPageBreak/>
        <w:t>where the liability arose from willful misconduct. It also does not protect individuals who violate a person’s civil rights or who violate the Americans with Disabilities Act, among other exceptions stated in the act. The PREP Act does not confer any other immunities or liability protections.</w:t>
      </w:r>
    </w:p>
    <w:p w14:paraId="693F5688" w14:textId="77777777" w:rsidR="00342BAE" w:rsidRDefault="00342BAE" w:rsidP="00825E69">
      <w:pPr>
        <w:shd w:val="clear" w:color="auto" w:fill="FFFFFF"/>
        <w:spacing w:line="480" w:lineRule="auto"/>
        <w:textAlignment w:val="baseline"/>
        <w:rPr>
          <w:rFonts w:eastAsia="Times New Roman" w:cs="Arial"/>
          <w:color w:val="000000" w:themeColor="text1"/>
        </w:rPr>
      </w:pPr>
    </w:p>
    <w:p w14:paraId="3DE799EA" w14:textId="77777777" w:rsidR="00342BAE" w:rsidRDefault="00342BAE" w:rsidP="00825E69">
      <w:pPr>
        <w:shd w:val="clear" w:color="auto" w:fill="FFFFFF"/>
        <w:spacing w:line="480" w:lineRule="auto"/>
        <w:textAlignment w:val="baseline"/>
        <w:rPr>
          <w:rFonts w:eastAsia="Times New Roman" w:cs="Arial"/>
          <w:color w:val="000000" w:themeColor="text1"/>
          <w:bdr w:val="none" w:sz="0" w:space="0" w:color="auto" w:frame="1"/>
          <w:vertAlign w:val="superscript"/>
        </w:rPr>
      </w:pPr>
      <w:r w:rsidRPr="00EE7BB3">
        <w:rPr>
          <w:rFonts w:eastAsia="Times New Roman" w:cs="Arial"/>
          <w:color w:val="000000" w:themeColor="text1"/>
        </w:rPr>
        <w:t>A PREP Act declaration is different from, and independent of, other federal emergency declarations. A separate public health emergency determination under </w:t>
      </w:r>
      <w:hyperlink r:id="rId89" w:anchor="Public-Health-Service-Act,-Section-319" w:tooltip="Public Health Service Act Section 319" w:history="1">
        <w:r w:rsidRPr="00EE7BB3">
          <w:rPr>
            <w:rFonts w:eastAsia="Times New Roman" w:cs="Arial"/>
            <w:color w:val="0F88B8"/>
            <w:bdr w:val="none" w:sz="0" w:space="0" w:color="auto" w:frame="1"/>
          </w:rPr>
          <w:t>Public Health Service Act Section 319</w:t>
        </w:r>
      </w:hyperlink>
      <w:r w:rsidRPr="00EE7BB3">
        <w:rPr>
          <w:rFonts w:eastAsia="Times New Roman" w:cs="Arial"/>
          <w:color w:val="737373"/>
        </w:rPr>
        <w:t> </w:t>
      </w:r>
      <w:r w:rsidRPr="00EE7BB3">
        <w:rPr>
          <w:rFonts w:eastAsia="Times New Roman" w:cs="Arial"/>
          <w:color w:val="000000" w:themeColor="text1"/>
        </w:rPr>
        <w:t xml:space="preserve">or another statute is not required for PREP Act immunities to take </w:t>
      </w:r>
      <w:proofErr w:type="spellStart"/>
      <w:r w:rsidRPr="00EE7BB3">
        <w:rPr>
          <w:rFonts w:eastAsia="Times New Roman" w:cs="Arial"/>
          <w:color w:val="000000" w:themeColor="text1"/>
        </w:rPr>
        <w:t>affect</w:t>
      </w:r>
      <w:proofErr w:type="spellEnd"/>
      <w:r w:rsidRPr="00EE7BB3">
        <w:rPr>
          <w:rFonts w:eastAsia="Times New Roman" w:cs="Arial"/>
          <w:color w:val="000000" w:themeColor="text1"/>
        </w:rPr>
        <w:t>.</w:t>
      </w:r>
      <w:r w:rsidRPr="00EE7BB3">
        <w:rPr>
          <w:rFonts w:eastAsia="Times New Roman" w:cs="Arial"/>
          <w:color w:val="000000" w:themeColor="text1"/>
          <w:bdr w:val="none" w:sz="0" w:space="0" w:color="auto" w:frame="1"/>
          <w:vertAlign w:val="superscript"/>
        </w:rPr>
        <w:t>3 </w:t>
      </w:r>
    </w:p>
    <w:p w14:paraId="79087F2B" w14:textId="77777777" w:rsidR="00342BAE" w:rsidRPr="00EE7BB3" w:rsidRDefault="00342BAE" w:rsidP="00825E69">
      <w:pPr>
        <w:shd w:val="clear" w:color="auto" w:fill="FFFFFF"/>
        <w:spacing w:line="480" w:lineRule="auto"/>
        <w:textAlignment w:val="baseline"/>
        <w:rPr>
          <w:rFonts w:eastAsia="Times New Roman" w:cs="Arial"/>
          <w:color w:val="000000" w:themeColor="text1"/>
        </w:rPr>
      </w:pPr>
    </w:p>
    <w:p w14:paraId="56039AAB" w14:textId="77777777" w:rsidR="00342BAE" w:rsidRPr="00EE7BB3" w:rsidRDefault="00342BAE" w:rsidP="00825E69">
      <w:pPr>
        <w:spacing w:line="480" w:lineRule="auto"/>
        <w:rPr>
          <w:rFonts w:eastAsia="Times New Roman" w:cs="Arial"/>
          <w:b/>
          <w:bCs/>
          <w:color w:val="3C3030"/>
          <w:sz w:val="24"/>
          <w:szCs w:val="24"/>
        </w:rPr>
      </w:pPr>
      <w:r w:rsidRPr="00EE7BB3">
        <w:rPr>
          <w:rFonts w:eastAsia="Times New Roman" w:cs="Arial"/>
          <w:b/>
          <w:bCs/>
          <w:color w:val="3C3030"/>
          <w:sz w:val="24"/>
          <w:szCs w:val="24"/>
        </w:rPr>
        <w:t>How the Law Works</w:t>
      </w:r>
    </w:p>
    <w:p w14:paraId="63516A4F" w14:textId="77777777" w:rsidR="00342BAE" w:rsidRPr="00EE7BB3" w:rsidRDefault="00342BAE" w:rsidP="00825E69">
      <w:pPr>
        <w:shd w:val="clear" w:color="auto" w:fill="FFFFFF"/>
        <w:spacing w:after="120" w:line="480" w:lineRule="auto"/>
        <w:textAlignment w:val="baseline"/>
        <w:rPr>
          <w:rFonts w:eastAsia="Times New Roman" w:cs="Arial"/>
          <w:color w:val="000000" w:themeColor="text1"/>
        </w:rPr>
      </w:pPr>
      <w:r w:rsidRPr="00EE7BB3">
        <w:rPr>
          <w:rFonts w:eastAsia="Times New Roman" w:cs="Arial"/>
          <w:color w:val="000000" w:themeColor="text1"/>
        </w:rPr>
        <w:t>Before issuing a PREP Act declaration, the secretary must determine that a disease, condition, or threat to health constitutes a public health emergency or a credible risk of future public health emergency and find that the development of a countermeasure is desirable. The secretary then issues a PREP Act declaration that specifies the following, among other things:</w:t>
      </w:r>
    </w:p>
    <w:p w14:paraId="456850E2" w14:textId="77777777" w:rsidR="00342BAE" w:rsidRPr="0014068C" w:rsidRDefault="00342BAE" w:rsidP="00224AC9">
      <w:pPr>
        <w:pStyle w:val="ListParagraph"/>
        <w:numPr>
          <w:ilvl w:val="0"/>
          <w:numId w:val="39"/>
        </w:numPr>
        <w:spacing w:after="120" w:line="480" w:lineRule="auto"/>
        <w:contextualSpacing w:val="0"/>
        <w:textAlignment w:val="baseline"/>
        <w:rPr>
          <w:rFonts w:eastAsia="Times New Roman" w:cs="Arial"/>
          <w:color w:val="000000" w:themeColor="text1"/>
        </w:rPr>
      </w:pPr>
      <w:r w:rsidRPr="0014068C">
        <w:rPr>
          <w:rFonts w:eastAsia="Times New Roman" w:cs="Arial"/>
          <w:color w:val="000000" w:themeColor="text1"/>
        </w:rPr>
        <w:t>The countermeasures covered by the declaration.</w:t>
      </w:r>
    </w:p>
    <w:p w14:paraId="4DF3D56D" w14:textId="77777777" w:rsidR="00342BAE" w:rsidRPr="0014068C" w:rsidRDefault="00342BAE" w:rsidP="00224AC9">
      <w:pPr>
        <w:pStyle w:val="ListParagraph"/>
        <w:numPr>
          <w:ilvl w:val="0"/>
          <w:numId w:val="39"/>
        </w:numPr>
        <w:spacing w:after="120" w:line="480" w:lineRule="auto"/>
        <w:contextualSpacing w:val="0"/>
        <w:textAlignment w:val="baseline"/>
        <w:rPr>
          <w:rFonts w:eastAsia="Times New Roman" w:cs="Arial"/>
          <w:color w:val="000000" w:themeColor="text1"/>
        </w:rPr>
      </w:pPr>
      <w:r w:rsidRPr="0014068C">
        <w:rPr>
          <w:rFonts w:eastAsia="Times New Roman" w:cs="Arial"/>
          <w:color w:val="000000" w:themeColor="text1"/>
        </w:rPr>
        <w:t>The category of diseases, health conditions, or health threats determined by the secretary to constitute a present or credible risk of a future public health emergency for which administration and use of the countermeasures is recommended.</w:t>
      </w:r>
    </w:p>
    <w:p w14:paraId="1E4FA2F2" w14:textId="77777777" w:rsidR="00342BAE" w:rsidRPr="0014068C" w:rsidRDefault="00342BAE" w:rsidP="00224AC9">
      <w:pPr>
        <w:pStyle w:val="ListParagraph"/>
        <w:numPr>
          <w:ilvl w:val="0"/>
          <w:numId w:val="39"/>
        </w:numPr>
        <w:spacing w:after="120" w:line="480" w:lineRule="auto"/>
        <w:contextualSpacing w:val="0"/>
        <w:textAlignment w:val="baseline"/>
        <w:rPr>
          <w:rFonts w:eastAsia="Times New Roman" w:cs="Arial"/>
          <w:color w:val="000000" w:themeColor="text1"/>
        </w:rPr>
      </w:pPr>
      <w:r w:rsidRPr="0014068C">
        <w:rPr>
          <w:rFonts w:eastAsia="Times New Roman" w:cs="Arial"/>
          <w:color w:val="000000" w:themeColor="text1"/>
        </w:rPr>
        <w:t>The effective time period of the declaration.</w:t>
      </w:r>
    </w:p>
    <w:p w14:paraId="702AEA6A" w14:textId="77777777" w:rsidR="00342BAE" w:rsidRPr="0014068C" w:rsidRDefault="00342BAE" w:rsidP="00224AC9">
      <w:pPr>
        <w:pStyle w:val="ListParagraph"/>
        <w:numPr>
          <w:ilvl w:val="0"/>
          <w:numId w:val="39"/>
        </w:numPr>
        <w:spacing w:after="120" w:line="480" w:lineRule="auto"/>
        <w:contextualSpacing w:val="0"/>
        <w:textAlignment w:val="baseline"/>
        <w:rPr>
          <w:rFonts w:eastAsia="Times New Roman" w:cs="Arial"/>
          <w:color w:val="000000" w:themeColor="text1"/>
        </w:rPr>
      </w:pPr>
      <w:r w:rsidRPr="0014068C">
        <w:rPr>
          <w:rFonts w:eastAsia="Times New Roman" w:cs="Arial"/>
          <w:color w:val="000000" w:themeColor="text1"/>
        </w:rPr>
        <w:t>The population of individuals receiving the countermeasure.</w:t>
      </w:r>
    </w:p>
    <w:p w14:paraId="396FCFCE" w14:textId="77777777" w:rsidR="00342BAE" w:rsidRPr="0014068C" w:rsidRDefault="00342BAE" w:rsidP="00224AC9">
      <w:pPr>
        <w:pStyle w:val="ListParagraph"/>
        <w:numPr>
          <w:ilvl w:val="0"/>
          <w:numId w:val="39"/>
        </w:numPr>
        <w:spacing w:after="120" w:line="480" w:lineRule="auto"/>
        <w:contextualSpacing w:val="0"/>
        <w:textAlignment w:val="baseline"/>
        <w:rPr>
          <w:rFonts w:eastAsia="Times New Roman" w:cs="Arial"/>
          <w:color w:val="000000" w:themeColor="text1"/>
        </w:rPr>
      </w:pPr>
      <w:r w:rsidRPr="0014068C">
        <w:rPr>
          <w:rFonts w:eastAsia="Times New Roman" w:cs="Arial"/>
          <w:color w:val="000000" w:themeColor="text1"/>
        </w:rPr>
        <w:t>Limitations, if any, on the geographic area for which immunity is in effect.</w:t>
      </w:r>
    </w:p>
    <w:p w14:paraId="1183EFE0" w14:textId="77777777" w:rsidR="00342BAE" w:rsidRPr="0014068C" w:rsidRDefault="00342BAE" w:rsidP="00224AC9">
      <w:pPr>
        <w:pStyle w:val="ListParagraph"/>
        <w:numPr>
          <w:ilvl w:val="0"/>
          <w:numId w:val="39"/>
        </w:numPr>
        <w:spacing w:after="120" w:line="480" w:lineRule="auto"/>
        <w:contextualSpacing w:val="0"/>
        <w:textAlignment w:val="baseline"/>
        <w:rPr>
          <w:rFonts w:eastAsia="Times New Roman" w:cs="Arial"/>
          <w:color w:val="000000" w:themeColor="text1"/>
        </w:rPr>
      </w:pPr>
      <w:r w:rsidRPr="0014068C">
        <w:rPr>
          <w:rFonts w:eastAsia="Times New Roman" w:cs="Arial"/>
          <w:color w:val="000000" w:themeColor="text1"/>
        </w:rPr>
        <w:t>Limitations, if any, on the means of distribution of the countermeasure.</w:t>
      </w:r>
    </w:p>
    <w:p w14:paraId="0D961648" w14:textId="77777777" w:rsidR="00342BAE" w:rsidRPr="0014068C" w:rsidRDefault="00342BAE" w:rsidP="00224AC9">
      <w:pPr>
        <w:pStyle w:val="ListParagraph"/>
        <w:numPr>
          <w:ilvl w:val="0"/>
          <w:numId w:val="39"/>
        </w:numPr>
        <w:spacing w:line="480" w:lineRule="auto"/>
        <w:textAlignment w:val="baseline"/>
        <w:rPr>
          <w:rFonts w:eastAsia="Times New Roman" w:cs="Arial"/>
          <w:color w:val="000000" w:themeColor="text1"/>
        </w:rPr>
      </w:pPr>
      <w:r w:rsidRPr="0014068C">
        <w:rPr>
          <w:rFonts w:eastAsia="Times New Roman" w:cs="Arial"/>
          <w:color w:val="000000" w:themeColor="text1"/>
        </w:rPr>
        <w:lastRenderedPageBreak/>
        <w:t>Any additional persons identified by the secretary as qualified to prescribe, dispense, or administer the countermeasures.</w:t>
      </w:r>
      <w:r w:rsidRPr="0014068C">
        <w:rPr>
          <w:rFonts w:eastAsia="Times New Roman" w:cs="Arial"/>
          <w:color w:val="000000" w:themeColor="text1"/>
          <w:bdr w:val="none" w:sz="0" w:space="0" w:color="auto" w:frame="1"/>
          <w:vertAlign w:val="superscript"/>
        </w:rPr>
        <w:t>2</w:t>
      </w:r>
    </w:p>
    <w:p w14:paraId="51E17A95" w14:textId="77777777" w:rsidR="00342BAE" w:rsidRPr="0014068C" w:rsidRDefault="00342BAE" w:rsidP="00825E69">
      <w:pPr>
        <w:spacing w:line="480" w:lineRule="auto"/>
        <w:rPr>
          <w:rFonts w:eastAsia="Times New Roman" w:cs="Arial"/>
          <w:b/>
          <w:bCs/>
          <w:color w:val="000000" w:themeColor="text1"/>
        </w:rPr>
      </w:pPr>
    </w:p>
    <w:p w14:paraId="52288955" w14:textId="77777777" w:rsidR="00342BAE" w:rsidRPr="00EE7BB3" w:rsidRDefault="00342BAE" w:rsidP="00825E69">
      <w:pPr>
        <w:spacing w:line="480" w:lineRule="auto"/>
        <w:rPr>
          <w:rFonts w:eastAsia="Times New Roman" w:cs="Arial"/>
          <w:b/>
          <w:bCs/>
          <w:color w:val="000000" w:themeColor="text1"/>
        </w:rPr>
      </w:pPr>
      <w:r w:rsidRPr="00EE7BB3">
        <w:rPr>
          <w:rFonts w:eastAsia="Times New Roman" w:cs="Arial"/>
          <w:b/>
          <w:bCs/>
          <w:color w:val="000000" w:themeColor="text1"/>
        </w:rPr>
        <w:t>PREP Act Declarations</w:t>
      </w:r>
    </w:p>
    <w:p w14:paraId="78296E99" w14:textId="77777777" w:rsidR="00342BAE" w:rsidRDefault="00342BAE" w:rsidP="00825E69">
      <w:pPr>
        <w:shd w:val="clear" w:color="auto" w:fill="FFFFFF"/>
        <w:spacing w:line="480" w:lineRule="auto"/>
        <w:textAlignment w:val="baseline"/>
        <w:rPr>
          <w:rFonts w:eastAsia="Times New Roman" w:cs="Arial"/>
          <w:color w:val="000000" w:themeColor="text1"/>
        </w:rPr>
      </w:pPr>
      <w:r w:rsidRPr="00EE7BB3">
        <w:rPr>
          <w:rFonts w:eastAsia="Times New Roman" w:cs="Arial"/>
          <w:color w:val="000000" w:themeColor="text1"/>
        </w:rPr>
        <w:t>As of December 2011, there have been seven PREP Act declarations since the act’s passage, some which have been amended multiple times.</w:t>
      </w:r>
      <w:r w:rsidRPr="00EE7BB3">
        <w:rPr>
          <w:rFonts w:eastAsia="Times New Roman" w:cs="Arial"/>
          <w:color w:val="000000" w:themeColor="text1"/>
          <w:bdr w:val="none" w:sz="0" w:space="0" w:color="auto" w:frame="1"/>
          <w:vertAlign w:val="superscript"/>
        </w:rPr>
        <w:t>5</w:t>
      </w:r>
      <w:r w:rsidRPr="00EE7BB3">
        <w:rPr>
          <w:rFonts w:eastAsia="Times New Roman" w:cs="Arial"/>
          <w:color w:val="000000" w:themeColor="text1"/>
        </w:rPr>
        <w:t> The declarations have covered H5N1 and H1N1 pandemic influenza vaccine and antivirals and countermeasures for the following diseases: anthrax, botulism, pandemic influenza, smallpox, and acute radiation syndrome. A declaration for influenza antiviral Peramivir has expired. </w:t>
      </w:r>
    </w:p>
    <w:p w14:paraId="6884D2EC" w14:textId="77777777" w:rsidR="00342BAE" w:rsidRPr="00EE7BB3" w:rsidRDefault="00342BAE" w:rsidP="00825E69">
      <w:pPr>
        <w:shd w:val="clear" w:color="auto" w:fill="FFFFFF"/>
        <w:spacing w:line="480" w:lineRule="auto"/>
        <w:textAlignment w:val="baseline"/>
        <w:rPr>
          <w:rFonts w:eastAsia="Times New Roman" w:cs="Arial"/>
          <w:color w:val="000000" w:themeColor="text1"/>
        </w:rPr>
      </w:pPr>
    </w:p>
    <w:p w14:paraId="4A9CA4F0" w14:textId="77777777" w:rsidR="00342BAE" w:rsidRPr="00EE7BB3" w:rsidRDefault="00342BAE" w:rsidP="00825E69">
      <w:pPr>
        <w:spacing w:line="480" w:lineRule="auto"/>
        <w:rPr>
          <w:rFonts w:eastAsia="Times New Roman" w:cs="Arial"/>
          <w:b/>
          <w:bCs/>
          <w:color w:val="000000" w:themeColor="text1"/>
        </w:rPr>
      </w:pPr>
      <w:r w:rsidRPr="00EE7BB3">
        <w:rPr>
          <w:rFonts w:eastAsia="Times New Roman" w:cs="Arial"/>
          <w:b/>
          <w:bCs/>
          <w:color w:val="000000" w:themeColor="text1"/>
        </w:rPr>
        <w:t>Compensation Fund</w:t>
      </w:r>
    </w:p>
    <w:p w14:paraId="76707908" w14:textId="77777777" w:rsidR="00342BAE" w:rsidRPr="00EE7BB3" w:rsidRDefault="00342BAE" w:rsidP="00825E69">
      <w:pPr>
        <w:shd w:val="clear" w:color="auto" w:fill="FFFFFF"/>
        <w:spacing w:line="480" w:lineRule="auto"/>
        <w:textAlignment w:val="baseline"/>
        <w:rPr>
          <w:rFonts w:eastAsia="Times New Roman" w:cs="Arial"/>
          <w:color w:val="737373"/>
        </w:rPr>
      </w:pPr>
      <w:r w:rsidRPr="00EE7BB3">
        <w:rPr>
          <w:rFonts w:eastAsia="Times New Roman" w:cs="Arial"/>
          <w:color w:val="000000" w:themeColor="text1"/>
        </w:rPr>
        <w:t>An interim final rule (IFR) governing the submission and review of claims to the CICP was issued by HRSA in October 2010. The IFR allows the CICP to begin evaluating requests for benefits filed by individuals who sustained serious physical injuries as a direct result of the administration or use of covered countermeasures identified by the HHS secretary in declarations issued under the PREP Act.</w:t>
      </w:r>
      <w:r w:rsidRPr="00EE7BB3">
        <w:rPr>
          <w:rFonts w:eastAsia="Times New Roman" w:cs="Arial"/>
          <w:color w:val="000000" w:themeColor="text1"/>
          <w:bdr w:val="none" w:sz="0" w:space="0" w:color="auto" w:frame="1"/>
          <w:vertAlign w:val="superscript"/>
        </w:rPr>
        <w:t>4</w:t>
      </w:r>
      <w:r w:rsidRPr="00EE7BB3">
        <w:rPr>
          <w:rFonts w:eastAsia="Times New Roman" w:cs="Arial"/>
          <w:color w:val="000000" w:themeColor="text1"/>
        </w:rPr>
        <w:t> Claims must be filed within one year of administration or use of a covered countermeasure. Eligible countermeasures include certain influenza vaccines, antivirals, respiratory protection and support devices, and anything to identify, prevent, or treat smallpox, anthrax, botulinum toxin, and acute radiation syndrome.</w:t>
      </w:r>
      <w:r w:rsidRPr="00EE7BB3">
        <w:rPr>
          <w:rFonts w:eastAsia="Times New Roman" w:cs="Arial"/>
          <w:color w:val="000000" w:themeColor="text1"/>
          <w:bdr w:val="none" w:sz="0" w:space="0" w:color="auto" w:frame="1"/>
          <w:vertAlign w:val="superscript"/>
        </w:rPr>
        <w:t>4</w:t>
      </w:r>
      <w:r w:rsidRPr="00EE7BB3">
        <w:rPr>
          <w:rFonts w:eastAsia="Times New Roman" w:cs="Arial"/>
          <w:color w:val="000000" w:themeColor="text1"/>
        </w:rPr>
        <w:t> Claims for injuries from seasonal influenza vaccine are administered through the</w:t>
      </w:r>
      <w:r w:rsidRPr="00EE7BB3">
        <w:rPr>
          <w:rFonts w:eastAsia="Times New Roman" w:cs="Arial"/>
          <w:color w:val="737373"/>
        </w:rPr>
        <w:t> </w:t>
      </w:r>
      <w:hyperlink r:id="rId90" w:anchor="Vaccine-Injury-Compensation-Program" w:tooltip="National Vaccine Injury Compensation Program (VICP)" w:history="1">
        <w:r w:rsidRPr="00EE7BB3">
          <w:rPr>
            <w:rFonts w:eastAsia="Times New Roman" w:cs="Arial"/>
            <w:color w:val="0F88B8"/>
            <w:bdr w:val="none" w:sz="0" w:space="0" w:color="auto" w:frame="1"/>
          </w:rPr>
          <w:t>National Vaccine Injury Compensation Program (VICP)</w:t>
        </w:r>
      </w:hyperlink>
      <w:r w:rsidRPr="00EE7BB3">
        <w:rPr>
          <w:rFonts w:eastAsia="Times New Roman" w:cs="Arial"/>
          <w:color w:val="000000" w:themeColor="text1"/>
        </w:rPr>
        <w:t>. </w:t>
      </w:r>
    </w:p>
    <w:p w14:paraId="53E00CAF" w14:textId="77777777" w:rsidR="00342BAE" w:rsidRPr="0014068C" w:rsidRDefault="00342BAE" w:rsidP="00825E69">
      <w:pPr>
        <w:spacing w:line="480" w:lineRule="auto"/>
        <w:rPr>
          <w:rFonts w:eastAsia="Times New Roman" w:cs="Arial"/>
          <w:b/>
          <w:bCs/>
          <w:color w:val="3C3030"/>
          <w:szCs w:val="24"/>
        </w:rPr>
      </w:pPr>
    </w:p>
    <w:p w14:paraId="55537B40" w14:textId="77777777" w:rsidR="00342BAE" w:rsidRPr="00EE7BB3" w:rsidRDefault="00342BAE" w:rsidP="00825E69">
      <w:pPr>
        <w:spacing w:line="480" w:lineRule="auto"/>
        <w:rPr>
          <w:rFonts w:eastAsia="Times New Roman" w:cs="Arial"/>
          <w:b/>
          <w:bCs/>
          <w:color w:val="3C3030"/>
          <w:sz w:val="24"/>
          <w:szCs w:val="24"/>
        </w:rPr>
      </w:pPr>
      <w:r w:rsidRPr="00EE7BB3">
        <w:rPr>
          <w:rFonts w:eastAsia="Times New Roman" w:cs="Arial"/>
          <w:b/>
          <w:bCs/>
          <w:color w:val="3C3030"/>
          <w:sz w:val="24"/>
          <w:szCs w:val="24"/>
        </w:rPr>
        <w:t>How the Law Affects States</w:t>
      </w:r>
    </w:p>
    <w:p w14:paraId="7EAC32BE" w14:textId="77777777" w:rsidR="00342BAE" w:rsidRPr="00EE7BB3" w:rsidRDefault="00342BAE" w:rsidP="00825E69">
      <w:pPr>
        <w:shd w:val="clear" w:color="auto" w:fill="FFFFFF"/>
        <w:spacing w:line="480" w:lineRule="auto"/>
        <w:textAlignment w:val="baseline"/>
        <w:rPr>
          <w:rFonts w:eastAsia="Times New Roman" w:cs="Arial"/>
          <w:color w:val="000000" w:themeColor="text1"/>
          <w:szCs w:val="20"/>
        </w:rPr>
      </w:pPr>
      <w:r w:rsidRPr="00EE7BB3">
        <w:rPr>
          <w:rFonts w:eastAsia="Times New Roman" w:cs="Arial"/>
          <w:color w:val="000000" w:themeColor="text1"/>
          <w:szCs w:val="20"/>
        </w:rPr>
        <w:t xml:space="preserve">The PREP Act has a direct impact on states because it provides a source of potential liability protection for governmental and private sector persons developing and administering approved countermeasures </w:t>
      </w:r>
      <w:r w:rsidRPr="00EE7BB3">
        <w:rPr>
          <w:rFonts w:eastAsia="Times New Roman" w:cs="Arial"/>
          <w:color w:val="000000" w:themeColor="text1"/>
          <w:szCs w:val="20"/>
        </w:rPr>
        <w:lastRenderedPageBreak/>
        <w:t>during a public health emergency. During the H1N1 outbreak, PREP Act declarations were issued for H1N1 vaccines, antivirals, and personal protective equipment. PREP Act declarations have also been used in conjunction with </w:t>
      </w:r>
      <w:hyperlink r:id="rId91" w:anchor="Emergency-Use-Authorization-(EUA)" w:tooltip="Emergency Use Authorizations (EUA)" w:history="1">
        <w:r w:rsidRPr="00EE7BB3">
          <w:rPr>
            <w:rFonts w:eastAsia="Times New Roman" w:cs="Arial"/>
            <w:color w:val="0F88B8"/>
            <w:szCs w:val="20"/>
            <w:bdr w:val="none" w:sz="0" w:space="0" w:color="auto" w:frame="1"/>
          </w:rPr>
          <w:t>Emergency Use Authorizations (EUA)</w:t>
        </w:r>
      </w:hyperlink>
      <w:r w:rsidRPr="00EE7BB3">
        <w:rPr>
          <w:rFonts w:eastAsia="Times New Roman" w:cs="Arial"/>
          <w:color w:val="737373"/>
          <w:szCs w:val="20"/>
        </w:rPr>
        <w:t> </w:t>
      </w:r>
      <w:r w:rsidRPr="00EE7BB3">
        <w:rPr>
          <w:rFonts w:eastAsia="Times New Roman" w:cs="Arial"/>
          <w:color w:val="000000" w:themeColor="text1"/>
          <w:szCs w:val="20"/>
        </w:rPr>
        <w:t>under the Federal Food, Drug, and Cosmetic Act, which allow for the use of an unapproved medical product (drug, device, or diagnostic), or an unapproved use of an approved medical product, during a declared emergency. Covered countermeasures that are issued under an EUA may have supplementary requirements on their administration and use in addition to those imposed by the PREP Act declaration.</w:t>
      </w:r>
    </w:p>
    <w:p w14:paraId="2F23A3D4" w14:textId="77777777" w:rsidR="00342BAE" w:rsidRPr="00EE7BB3" w:rsidRDefault="00342BAE" w:rsidP="00825E69">
      <w:pPr>
        <w:shd w:val="clear" w:color="auto" w:fill="FFFFFF"/>
        <w:spacing w:line="480" w:lineRule="auto"/>
        <w:textAlignment w:val="baseline"/>
        <w:rPr>
          <w:rFonts w:eastAsia="Times New Roman" w:cs="Arial"/>
          <w:color w:val="000000" w:themeColor="text1"/>
          <w:szCs w:val="20"/>
        </w:rPr>
      </w:pPr>
      <w:r w:rsidRPr="00EE7BB3">
        <w:rPr>
          <w:rFonts w:eastAsia="Times New Roman" w:cs="Arial"/>
          <w:color w:val="000000" w:themeColor="text1"/>
          <w:szCs w:val="20"/>
        </w:rPr>
        <w:t> </w:t>
      </w:r>
    </w:p>
    <w:p w14:paraId="0550B8C9" w14:textId="77777777" w:rsidR="00342BAE" w:rsidRPr="00EE7BB3" w:rsidRDefault="00342BAE" w:rsidP="00825E69">
      <w:pPr>
        <w:spacing w:after="120" w:line="480" w:lineRule="auto"/>
        <w:rPr>
          <w:rFonts w:eastAsia="Times New Roman" w:cs="Arial"/>
          <w:b/>
          <w:bCs/>
          <w:color w:val="3C3030"/>
          <w:sz w:val="24"/>
          <w:szCs w:val="24"/>
        </w:rPr>
      </w:pPr>
      <w:r w:rsidRPr="00EE7BB3">
        <w:rPr>
          <w:rFonts w:eastAsia="Times New Roman" w:cs="Arial"/>
          <w:b/>
          <w:bCs/>
          <w:color w:val="3C3030"/>
          <w:sz w:val="24"/>
          <w:szCs w:val="24"/>
        </w:rPr>
        <w:t>Practice Notes</w:t>
      </w:r>
    </w:p>
    <w:p w14:paraId="04CDB66A" w14:textId="77777777" w:rsidR="00342BAE" w:rsidRPr="0014068C" w:rsidRDefault="00342BAE" w:rsidP="00224AC9">
      <w:pPr>
        <w:pStyle w:val="ListParagraph"/>
        <w:numPr>
          <w:ilvl w:val="0"/>
          <w:numId w:val="40"/>
        </w:numPr>
        <w:spacing w:after="120" w:line="480" w:lineRule="auto"/>
        <w:contextualSpacing w:val="0"/>
        <w:textAlignment w:val="baseline"/>
        <w:rPr>
          <w:rFonts w:eastAsia="Times New Roman" w:cs="Arial"/>
          <w:color w:val="000000" w:themeColor="text1"/>
          <w:szCs w:val="20"/>
        </w:rPr>
      </w:pPr>
      <w:r w:rsidRPr="0014068C">
        <w:rPr>
          <w:rFonts w:eastAsia="Times New Roman" w:cs="Arial"/>
          <w:color w:val="000000" w:themeColor="text1"/>
          <w:szCs w:val="20"/>
        </w:rPr>
        <w:t>Questions and concerns about potential liabilities for agency staff, providers, and volunteers will arise in every public health emergency event. Plan on frequently discussing liability and immunity concerns with each new event.</w:t>
      </w:r>
    </w:p>
    <w:p w14:paraId="62DBA73E" w14:textId="77777777" w:rsidR="00342BAE" w:rsidRPr="0014068C" w:rsidRDefault="00342BAE" w:rsidP="00224AC9">
      <w:pPr>
        <w:pStyle w:val="ListParagraph"/>
        <w:numPr>
          <w:ilvl w:val="0"/>
          <w:numId w:val="40"/>
        </w:numPr>
        <w:spacing w:after="120" w:line="480" w:lineRule="auto"/>
        <w:contextualSpacing w:val="0"/>
        <w:textAlignment w:val="baseline"/>
        <w:rPr>
          <w:rFonts w:eastAsia="Times New Roman" w:cs="Arial"/>
          <w:color w:val="000000" w:themeColor="text1"/>
          <w:szCs w:val="20"/>
        </w:rPr>
      </w:pPr>
      <w:r w:rsidRPr="0014068C">
        <w:rPr>
          <w:rFonts w:eastAsia="Times New Roman" w:cs="Arial"/>
          <w:color w:val="000000" w:themeColor="text1"/>
          <w:szCs w:val="20"/>
        </w:rPr>
        <w:t>Before an event, educate state and local public health agency staff, private clinicians, and other potential volunteers about the scope of liability protections provided by the PREP Act and any other federal and state liability protections that may apply to those persons.</w:t>
      </w:r>
    </w:p>
    <w:p w14:paraId="1FABF235" w14:textId="77777777" w:rsidR="00342BAE" w:rsidRPr="0014068C" w:rsidRDefault="00342BAE" w:rsidP="00224AC9">
      <w:pPr>
        <w:pStyle w:val="ListParagraph"/>
        <w:numPr>
          <w:ilvl w:val="0"/>
          <w:numId w:val="40"/>
        </w:numPr>
        <w:spacing w:after="120" w:line="480" w:lineRule="auto"/>
        <w:contextualSpacing w:val="0"/>
        <w:textAlignment w:val="baseline"/>
        <w:rPr>
          <w:rFonts w:eastAsia="Times New Roman" w:cs="Arial"/>
          <w:color w:val="000000" w:themeColor="text1"/>
          <w:szCs w:val="20"/>
        </w:rPr>
      </w:pPr>
      <w:r w:rsidRPr="0014068C">
        <w:rPr>
          <w:rFonts w:eastAsia="Times New Roman" w:cs="Arial"/>
          <w:color w:val="000000" w:themeColor="text1"/>
          <w:szCs w:val="20"/>
        </w:rPr>
        <w:t>Develop educational materials that describe and differentiate the various liability protections available to staff, medical providers, and other volunteers under state and federal law.</w:t>
      </w:r>
    </w:p>
    <w:p w14:paraId="22779853" w14:textId="77777777" w:rsidR="00342BAE" w:rsidRPr="0014068C" w:rsidRDefault="00342BAE" w:rsidP="00224AC9">
      <w:pPr>
        <w:pStyle w:val="ListParagraph"/>
        <w:numPr>
          <w:ilvl w:val="0"/>
          <w:numId w:val="40"/>
        </w:numPr>
        <w:spacing w:after="120" w:line="480" w:lineRule="auto"/>
        <w:contextualSpacing w:val="0"/>
        <w:textAlignment w:val="baseline"/>
        <w:rPr>
          <w:rFonts w:eastAsia="Times New Roman" w:cs="Arial"/>
          <w:color w:val="000000" w:themeColor="text1"/>
          <w:szCs w:val="20"/>
        </w:rPr>
      </w:pPr>
      <w:r w:rsidRPr="0014068C">
        <w:rPr>
          <w:rFonts w:eastAsia="Times New Roman" w:cs="Arial"/>
          <w:color w:val="000000" w:themeColor="text1"/>
          <w:szCs w:val="20"/>
        </w:rPr>
        <w:t>During an event, carefully review the PREP Act declaration, if one is issued, to understand the scope of coverage. Brief staff, clinicians, and volunteers about their potential liabilities and immunities under the current PREP Act declaration(s).</w:t>
      </w:r>
    </w:p>
    <w:p w14:paraId="611B5D0D" w14:textId="77777777" w:rsidR="00342BAE" w:rsidRPr="0014068C" w:rsidRDefault="00342BAE" w:rsidP="00825E69">
      <w:pPr>
        <w:spacing w:line="480" w:lineRule="auto"/>
        <w:rPr>
          <w:rFonts w:eastAsia="Times New Roman" w:cs="Arial"/>
          <w:bCs/>
          <w:color w:val="3C3030"/>
          <w:sz w:val="24"/>
          <w:szCs w:val="24"/>
        </w:rPr>
      </w:pPr>
      <w:r w:rsidRPr="0014068C">
        <w:rPr>
          <w:rFonts w:eastAsia="Times New Roman" w:cs="Arial"/>
          <w:bCs/>
          <w:color w:val="3C3030"/>
          <w:sz w:val="24"/>
          <w:szCs w:val="24"/>
        </w:rPr>
        <w:t>_________________________________________________________</w:t>
      </w:r>
    </w:p>
    <w:p w14:paraId="71CD9EB3" w14:textId="77777777" w:rsidR="00342BAE" w:rsidRPr="0014068C" w:rsidRDefault="00342BAE" w:rsidP="00825E69">
      <w:pPr>
        <w:spacing w:line="480" w:lineRule="auto"/>
        <w:rPr>
          <w:rFonts w:eastAsia="Times New Roman" w:cs="Arial"/>
          <w:bCs/>
          <w:color w:val="3C3030"/>
          <w:sz w:val="24"/>
          <w:szCs w:val="24"/>
        </w:rPr>
      </w:pPr>
    </w:p>
    <w:p w14:paraId="784E3734" w14:textId="77777777" w:rsidR="00342BAE" w:rsidRPr="00EE7BB3" w:rsidRDefault="00342BAE" w:rsidP="00825E69">
      <w:pPr>
        <w:keepNext/>
        <w:spacing w:line="480" w:lineRule="auto"/>
        <w:rPr>
          <w:rFonts w:eastAsia="Times New Roman" w:cs="Arial"/>
          <w:b/>
          <w:bCs/>
          <w:color w:val="3C3030"/>
          <w:sz w:val="24"/>
          <w:szCs w:val="24"/>
        </w:rPr>
      </w:pPr>
      <w:r w:rsidRPr="00EE7BB3">
        <w:rPr>
          <w:rFonts w:eastAsia="Times New Roman" w:cs="Arial"/>
          <w:b/>
          <w:bCs/>
          <w:color w:val="3C3030"/>
          <w:sz w:val="24"/>
          <w:szCs w:val="24"/>
        </w:rPr>
        <w:lastRenderedPageBreak/>
        <w:t>Sources</w:t>
      </w:r>
    </w:p>
    <w:p w14:paraId="6BA8C198" w14:textId="77777777" w:rsidR="00342BAE" w:rsidRPr="00EE7BB3" w:rsidRDefault="00342BAE" w:rsidP="00224AC9">
      <w:pPr>
        <w:numPr>
          <w:ilvl w:val="0"/>
          <w:numId w:val="37"/>
        </w:numPr>
        <w:spacing w:line="480" w:lineRule="auto"/>
        <w:ind w:left="450"/>
        <w:textAlignment w:val="baseline"/>
        <w:rPr>
          <w:rFonts w:eastAsia="Times New Roman" w:cs="Arial"/>
          <w:color w:val="000000" w:themeColor="text1"/>
          <w:szCs w:val="20"/>
        </w:rPr>
      </w:pPr>
      <w:r w:rsidRPr="00EE7BB3">
        <w:rPr>
          <w:rFonts w:eastAsia="Times New Roman" w:cs="Arial"/>
          <w:color w:val="000000" w:themeColor="text1"/>
          <w:szCs w:val="20"/>
        </w:rPr>
        <w:t>Public Readiness and Emergency Preparedness Response Act of 2005, Pub. L. No. 109-148. Codified in the Public Health Service Act at 42 U.S.C. §§ 247d-6d, 247d-6e.</w:t>
      </w:r>
    </w:p>
    <w:p w14:paraId="4417E03A" w14:textId="77777777" w:rsidR="00342BAE" w:rsidRPr="00EE7BB3" w:rsidRDefault="00342BAE" w:rsidP="00224AC9">
      <w:pPr>
        <w:numPr>
          <w:ilvl w:val="0"/>
          <w:numId w:val="37"/>
        </w:numPr>
        <w:spacing w:line="480" w:lineRule="auto"/>
        <w:ind w:left="450"/>
        <w:textAlignment w:val="baseline"/>
        <w:rPr>
          <w:rFonts w:eastAsia="Times New Roman" w:cs="Arial"/>
          <w:color w:val="000000" w:themeColor="text1"/>
          <w:szCs w:val="20"/>
        </w:rPr>
      </w:pPr>
      <w:r w:rsidRPr="00EE7BB3">
        <w:rPr>
          <w:rFonts w:eastAsia="Times New Roman" w:cs="Arial"/>
          <w:color w:val="000000" w:themeColor="text1"/>
          <w:szCs w:val="20"/>
        </w:rPr>
        <w:t>Centers for Disease Control and Prevention, Public Health Law Program. “Selected Federal Legal Authorities Pertinent to Public Health Emergencies.” September 2009. Available at </w:t>
      </w:r>
      <w:hyperlink r:id="rId92" w:tooltip="http://www2.cdc.gov/phlp/docs/Selected%20Fed%20Legal%20Authorities%20re%20PH%20Emergencies%20102709%20v2.pdf" w:history="1">
        <w:r w:rsidRPr="00EE7BB3">
          <w:rPr>
            <w:rFonts w:eastAsia="Times New Roman" w:cs="Arial"/>
            <w:color w:val="0F88B8"/>
            <w:szCs w:val="20"/>
            <w:bdr w:val="none" w:sz="0" w:space="0" w:color="auto" w:frame="1"/>
          </w:rPr>
          <w:t>http://www2.cdc.gov/phlp/docs/Selected%20Fed%20Legal%20Authorities%20re%20PH%20Emergencies%20102709%20v2.pdf</w:t>
        </w:r>
      </w:hyperlink>
      <w:r w:rsidRPr="00EE7BB3">
        <w:rPr>
          <w:rFonts w:eastAsia="Times New Roman" w:cs="Arial"/>
          <w:color w:val="737373"/>
          <w:szCs w:val="20"/>
        </w:rPr>
        <w:t xml:space="preserve">. </w:t>
      </w:r>
      <w:r w:rsidRPr="00EE7BB3">
        <w:rPr>
          <w:rFonts w:eastAsia="Times New Roman" w:cs="Arial"/>
          <w:color w:val="000000" w:themeColor="text1"/>
          <w:szCs w:val="20"/>
        </w:rPr>
        <w:t>Accessed January 31, 2012.</w:t>
      </w:r>
    </w:p>
    <w:p w14:paraId="6301DC39" w14:textId="77777777" w:rsidR="00342BAE" w:rsidRPr="00EE7BB3" w:rsidRDefault="00342BAE" w:rsidP="00224AC9">
      <w:pPr>
        <w:numPr>
          <w:ilvl w:val="0"/>
          <w:numId w:val="37"/>
        </w:numPr>
        <w:spacing w:line="480" w:lineRule="auto"/>
        <w:ind w:left="450"/>
        <w:textAlignment w:val="baseline"/>
        <w:rPr>
          <w:rFonts w:eastAsia="Times New Roman" w:cs="Arial"/>
          <w:color w:val="000000" w:themeColor="text1"/>
          <w:szCs w:val="20"/>
        </w:rPr>
      </w:pPr>
      <w:r w:rsidRPr="00EE7BB3">
        <w:rPr>
          <w:rFonts w:eastAsia="Times New Roman" w:cs="Arial"/>
          <w:color w:val="000000" w:themeColor="text1"/>
          <w:szCs w:val="20"/>
        </w:rPr>
        <w:t>Department of Health and Human Services. “Public Readiness and Emergency Preparedness Act Questions and Answers” webpage. Available at </w:t>
      </w:r>
      <w:hyperlink r:id="rId93" w:tooltip="www.phe.gov/Preparedness/legal/Pages/phe-qa.aspx" w:history="1">
        <w:r w:rsidRPr="00EE7BB3">
          <w:rPr>
            <w:rFonts w:eastAsia="Times New Roman" w:cs="Arial"/>
            <w:color w:val="0F88B8"/>
            <w:szCs w:val="20"/>
            <w:bdr w:val="none" w:sz="0" w:space="0" w:color="auto" w:frame="1"/>
          </w:rPr>
          <w:t>www.phe.gov/Preparedness/legal/Pages/phe-qa.aspx</w:t>
        </w:r>
      </w:hyperlink>
      <w:r w:rsidRPr="00EE7BB3">
        <w:rPr>
          <w:rFonts w:eastAsia="Times New Roman" w:cs="Arial"/>
          <w:color w:val="737373"/>
          <w:szCs w:val="20"/>
        </w:rPr>
        <w:t xml:space="preserve">. </w:t>
      </w:r>
      <w:r w:rsidRPr="00EE7BB3">
        <w:rPr>
          <w:rFonts w:eastAsia="Times New Roman" w:cs="Arial"/>
          <w:color w:val="000000" w:themeColor="text1"/>
          <w:szCs w:val="20"/>
        </w:rPr>
        <w:t>Accessed January 31, 2012.</w:t>
      </w:r>
    </w:p>
    <w:p w14:paraId="596A57AA" w14:textId="77777777" w:rsidR="00342BAE" w:rsidRPr="00EE7BB3" w:rsidRDefault="00342BAE" w:rsidP="00224AC9">
      <w:pPr>
        <w:numPr>
          <w:ilvl w:val="0"/>
          <w:numId w:val="37"/>
        </w:numPr>
        <w:spacing w:line="480" w:lineRule="auto"/>
        <w:ind w:left="450"/>
        <w:textAlignment w:val="baseline"/>
        <w:rPr>
          <w:rFonts w:eastAsia="Times New Roman" w:cs="Arial"/>
          <w:color w:val="000000" w:themeColor="text1"/>
          <w:szCs w:val="20"/>
        </w:rPr>
      </w:pPr>
      <w:r w:rsidRPr="00EE7BB3">
        <w:rPr>
          <w:rFonts w:eastAsia="Times New Roman" w:cs="Arial"/>
          <w:color w:val="000000" w:themeColor="text1"/>
          <w:szCs w:val="20"/>
        </w:rPr>
        <w:t>Health Resources and Services Administration. “Countermeasures Injury Compensation Program” webpage. Available at </w:t>
      </w:r>
      <w:hyperlink r:id="rId94" w:tooltip="www.hrsa.gov/gethealthcare/conditions/countermeasurescomp/index.html" w:history="1">
        <w:r w:rsidRPr="00EE7BB3">
          <w:rPr>
            <w:rFonts w:eastAsia="Times New Roman" w:cs="Arial"/>
            <w:color w:val="0F88B8"/>
            <w:szCs w:val="20"/>
            <w:bdr w:val="none" w:sz="0" w:space="0" w:color="auto" w:frame="1"/>
          </w:rPr>
          <w:t>www.hrsa.gov/gethealthcare/conditions/countermeasurescomp/index.html</w:t>
        </w:r>
      </w:hyperlink>
      <w:r w:rsidRPr="00EE7BB3">
        <w:rPr>
          <w:rFonts w:eastAsia="Times New Roman" w:cs="Arial"/>
          <w:color w:val="737373"/>
          <w:szCs w:val="20"/>
        </w:rPr>
        <w:t xml:space="preserve">. </w:t>
      </w:r>
      <w:r w:rsidRPr="00EE7BB3">
        <w:rPr>
          <w:rFonts w:eastAsia="Times New Roman" w:cs="Arial"/>
          <w:color w:val="000000" w:themeColor="text1"/>
          <w:szCs w:val="20"/>
        </w:rPr>
        <w:t>Accessed January 31, 2012.</w:t>
      </w:r>
    </w:p>
    <w:p w14:paraId="5FB1F03E" w14:textId="77777777" w:rsidR="00342BAE" w:rsidRPr="00EE7BB3" w:rsidRDefault="00342BAE" w:rsidP="00224AC9">
      <w:pPr>
        <w:numPr>
          <w:ilvl w:val="0"/>
          <w:numId w:val="37"/>
        </w:numPr>
        <w:spacing w:line="480" w:lineRule="auto"/>
        <w:ind w:left="450"/>
        <w:textAlignment w:val="baseline"/>
        <w:rPr>
          <w:rFonts w:eastAsia="Times New Roman" w:cs="Arial"/>
          <w:color w:val="000000" w:themeColor="text1"/>
          <w:szCs w:val="20"/>
        </w:rPr>
      </w:pPr>
      <w:r w:rsidRPr="00EE7BB3">
        <w:rPr>
          <w:rFonts w:eastAsia="Times New Roman" w:cs="Arial"/>
          <w:color w:val="000000" w:themeColor="text1"/>
          <w:szCs w:val="20"/>
        </w:rPr>
        <w:t>Department of Health and Human Services. “Public Readiness and Emergency Preparedness Act” webpage. Available at </w:t>
      </w:r>
      <w:hyperlink r:id="rId95" w:tooltip="www.phe.gov/Preparedness/legal/prepact/Pages/default.aspx" w:history="1">
        <w:r w:rsidRPr="00EE7BB3">
          <w:rPr>
            <w:rFonts w:eastAsia="Times New Roman" w:cs="Arial"/>
            <w:color w:val="0F88B8"/>
            <w:szCs w:val="20"/>
            <w:bdr w:val="none" w:sz="0" w:space="0" w:color="auto" w:frame="1"/>
          </w:rPr>
          <w:t>www.phe.gov/Preparedness/legal/prepact/Pages/default.aspx</w:t>
        </w:r>
      </w:hyperlink>
      <w:r w:rsidRPr="00EE7BB3">
        <w:rPr>
          <w:rFonts w:eastAsia="Times New Roman" w:cs="Arial"/>
          <w:color w:val="000000" w:themeColor="text1"/>
          <w:szCs w:val="20"/>
        </w:rPr>
        <w:t>. Accessed January 31, 2012.</w:t>
      </w:r>
    </w:p>
    <w:p w14:paraId="485A7269" w14:textId="795787AD" w:rsidR="00342BAE" w:rsidRDefault="00342BAE" w:rsidP="00825E69">
      <w:pPr>
        <w:spacing w:line="480" w:lineRule="auto"/>
        <w:rPr>
          <w:sz w:val="24"/>
        </w:rPr>
      </w:pPr>
    </w:p>
    <w:p w14:paraId="5DA7F253" w14:textId="77777777" w:rsidR="00D55525" w:rsidRDefault="00D55525" w:rsidP="00D55525">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TOC top</w:t>
        </w:r>
      </w:hyperlink>
      <w:r>
        <w:rPr>
          <w:rFonts w:ascii="Calibri" w:hAnsi="Calibri" w:cs="Calibri"/>
          <w:sz w:val="24"/>
        </w:rPr>
        <w:t>]</w:t>
      </w:r>
    </w:p>
    <w:p w14:paraId="2DFCFDF9" w14:textId="0F085530" w:rsidR="00D55525" w:rsidRDefault="00D55525">
      <w:pPr>
        <w:rPr>
          <w:sz w:val="24"/>
        </w:rPr>
      </w:pPr>
      <w:r>
        <w:rPr>
          <w:sz w:val="24"/>
        </w:rPr>
        <w:br w:type="page"/>
      </w:r>
    </w:p>
    <w:p w14:paraId="16F8BEAF" w14:textId="77777777" w:rsidR="00342BAE" w:rsidRPr="00A11DAD" w:rsidRDefault="00342BAE" w:rsidP="00825E69">
      <w:pPr>
        <w:spacing w:after="120"/>
        <w:rPr>
          <w:rFonts w:cs="Helvetica"/>
          <w:b/>
          <w:color w:val="333333"/>
          <w:spacing w:val="15"/>
          <w:sz w:val="28"/>
          <w:szCs w:val="28"/>
        </w:rPr>
      </w:pPr>
      <w:bookmarkStart w:id="14" w:name="StaffordAct_FS"/>
      <w:r w:rsidRPr="00A11DAD">
        <w:rPr>
          <w:rFonts w:cs="Helvetica"/>
          <w:b/>
          <w:color w:val="333333"/>
          <w:spacing w:val="15"/>
          <w:sz w:val="28"/>
          <w:szCs w:val="28"/>
        </w:rPr>
        <w:lastRenderedPageBreak/>
        <w:t>Robert T. Stafford Disaster Relief and Emergency Assistance Act</w:t>
      </w:r>
      <w:bookmarkEnd w:id="14"/>
    </w:p>
    <w:p w14:paraId="5FB80E52" w14:textId="77777777" w:rsidR="00342BAE" w:rsidRPr="007A3742" w:rsidRDefault="00342BAE" w:rsidP="00825E69">
      <w:pPr>
        <w:rPr>
          <w:rFonts w:eastAsia="Times New Roman" w:cs="Arial"/>
          <w:b/>
          <w:bCs/>
          <w:color w:val="3C3030"/>
          <w:sz w:val="24"/>
          <w:szCs w:val="24"/>
        </w:rPr>
      </w:pPr>
      <w:r w:rsidRPr="007A3742">
        <w:rPr>
          <w:rFonts w:eastAsia="Times New Roman" w:cs="Arial"/>
          <w:b/>
          <w:bCs/>
          <w:color w:val="3C3030"/>
          <w:sz w:val="24"/>
          <w:szCs w:val="24"/>
        </w:rPr>
        <w:t>Fact Sheet</w:t>
      </w:r>
    </w:p>
    <w:p w14:paraId="330A5C52" w14:textId="77777777" w:rsidR="00342BAE" w:rsidRPr="007A3742" w:rsidRDefault="00342BAE" w:rsidP="00825E69">
      <w:pPr>
        <w:shd w:val="clear" w:color="auto" w:fill="FFFFFF"/>
        <w:spacing w:line="480" w:lineRule="auto"/>
        <w:textAlignment w:val="baseline"/>
        <w:rPr>
          <w:rFonts w:eastAsia="Times New Roman" w:cs="Arial"/>
          <w:color w:val="000000" w:themeColor="text1"/>
          <w:szCs w:val="20"/>
        </w:rPr>
      </w:pPr>
      <w:r w:rsidRPr="007A3742">
        <w:rPr>
          <w:rFonts w:eastAsia="Times New Roman" w:cs="Arial"/>
          <w:color w:val="000000" w:themeColor="text1"/>
          <w:szCs w:val="20"/>
        </w:rPr>
        <w:t> </w:t>
      </w:r>
    </w:p>
    <w:p w14:paraId="2F848B49" w14:textId="77777777" w:rsidR="00342BAE" w:rsidRPr="007A3742" w:rsidRDefault="00342BAE" w:rsidP="00825E69">
      <w:pPr>
        <w:spacing w:line="480" w:lineRule="auto"/>
        <w:rPr>
          <w:rFonts w:eastAsia="Times New Roman" w:cs="Arial"/>
          <w:b/>
          <w:bCs/>
          <w:color w:val="3C3030"/>
          <w:sz w:val="24"/>
          <w:szCs w:val="24"/>
        </w:rPr>
      </w:pPr>
      <w:r w:rsidRPr="007A3742">
        <w:rPr>
          <w:rFonts w:eastAsia="Times New Roman" w:cs="Arial"/>
          <w:b/>
          <w:bCs/>
          <w:color w:val="3C3030"/>
          <w:sz w:val="24"/>
          <w:szCs w:val="24"/>
        </w:rPr>
        <w:t>Overview</w:t>
      </w:r>
    </w:p>
    <w:p w14:paraId="0AE02CAA" w14:textId="77777777" w:rsidR="00342BAE" w:rsidRPr="007A3742" w:rsidRDefault="00342BAE" w:rsidP="00825E69">
      <w:pPr>
        <w:shd w:val="clear" w:color="auto" w:fill="FFFFFF"/>
        <w:spacing w:line="480" w:lineRule="auto"/>
        <w:textAlignment w:val="baseline"/>
        <w:rPr>
          <w:rFonts w:eastAsia="Times New Roman" w:cs="Arial"/>
          <w:color w:val="000000" w:themeColor="text1"/>
        </w:rPr>
      </w:pPr>
      <w:r w:rsidRPr="007A3742">
        <w:rPr>
          <w:rFonts w:eastAsia="Times New Roman" w:cs="Arial"/>
          <w:color w:val="000000" w:themeColor="text1"/>
        </w:rPr>
        <w:t>The</w:t>
      </w:r>
      <w:r w:rsidRPr="007A3742">
        <w:rPr>
          <w:rFonts w:eastAsia="Times New Roman" w:cs="Arial"/>
          <w:color w:val="737373"/>
        </w:rPr>
        <w:t> </w:t>
      </w:r>
      <w:hyperlink r:id="rId96" w:anchor="Stafford-Act" w:tooltip="Robert T. Stafford Disaster Relief and Emergency Assistance Act of 1988 (Stafford Act)" w:history="1">
        <w:r w:rsidRPr="007A3742">
          <w:rPr>
            <w:rFonts w:eastAsia="Times New Roman" w:cs="Arial"/>
            <w:color w:val="0F88B8"/>
            <w:bdr w:val="none" w:sz="0" w:space="0" w:color="auto" w:frame="1"/>
          </w:rPr>
          <w:t>Robert T. Stafford Disaster Relief and Emergency Assistance Act of 1988 (Stafford Act)</w:t>
        </w:r>
      </w:hyperlink>
      <w:r w:rsidRPr="007A3742">
        <w:rPr>
          <w:rFonts w:eastAsia="Times New Roman" w:cs="Arial"/>
          <w:color w:val="737373"/>
        </w:rPr>
        <w:t> </w:t>
      </w:r>
      <w:r w:rsidRPr="007A3742">
        <w:rPr>
          <w:rFonts w:eastAsia="Times New Roman" w:cs="Arial"/>
          <w:color w:val="000000" w:themeColor="text1"/>
        </w:rPr>
        <w:t>provides the legal authority for the federal government to provide assistance to states during declared major disasters and emergencies.</w:t>
      </w:r>
      <w:r w:rsidRPr="007A3742">
        <w:rPr>
          <w:rFonts w:eastAsia="Times New Roman" w:cs="Arial"/>
          <w:color w:val="000000" w:themeColor="text1"/>
          <w:bdr w:val="none" w:sz="0" w:space="0" w:color="auto" w:frame="1"/>
          <w:vertAlign w:val="superscript"/>
        </w:rPr>
        <w:t>1</w:t>
      </w:r>
    </w:p>
    <w:p w14:paraId="551E31A0" w14:textId="77777777" w:rsidR="00342BAE" w:rsidRPr="00A11DAD" w:rsidRDefault="00342BAE" w:rsidP="00825E69">
      <w:pPr>
        <w:spacing w:line="480" w:lineRule="auto"/>
        <w:rPr>
          <w:rFonts w:eastAsia="Times New Roman" w:cs="Arial"/>
          <w:b/>
          <w:bCs/>
          <w:color w:val="000000" w:themeColor="text1"/>
        </w:rPr>
      </w:pPr>
    </w:p>
    <w:p w14:paraId="0262A5FD" w14:textId="77777777" w:rsidR="00342BAE" w:rsidRPr="007A3742" w:rsidRDefault="00342BAE" w:rsidP="00825E69">
      <w:pPr>
        <w:spacing w:line="480" w:lineRule="auto"/>
        <w:rPr>
          <w:rFonts w:eastAsia="Times New Roman" w:cs="Arial"/>
          <w:b/>
          <w:bCs/>
          <w:color w:val="3C3030"/>
          <w:sz w:val="24"/>
          <w:szCs w:val="24"/>
        </w:rPr>
      </w:pPr>
      <w:r w:rsidRPr="007A3742">
        <w:rPr>
          <w:rFonts w:eastAsia="Times New Roman" w:cs="Arial"/>
          <w:b/>
          <w:bCs/>
          <w:color w:val="3C3030"/>
          <w:sz w:val="24"/>
          <w:szCs w:val="24"/>
        </w:rPr>
        <w:t>What the Law Does</w:t>
      </w:r>
    </w:p>
    <w:p w14:paraId="1D868CBD" w14:textId="77777777" w:rsidR="00342BAE" w:rsidRPr="007A3742" w:rsidRDefault="00342BAE" w:rsidP="00825E69">
      <w:pPr>
        <w:shd w:val="clear" w:color="auto" w:fill="FFFFFF"/>
        <w:spacing w:line="480" w:lineRule="auto"/>
        <w:textAlignment w:val="baseline"/>
        <w:rPr>
          <w:rFonts w:eastAsia="Times New Roman" w:cs="Arial"/>
          <w:color w:val="000000" w:themeColor="text1"/>
        </w:rPr>
      </w:pPr>
      <w:r w:rsidRPr="007A3742">
        <w:rPr>
          <w:rFonts w:eastAsia="Times New Roman" w:cs="Arial"/>
          <w:color w:val="000000" w:themeColor="text1"/>
        </w:rPr>
        <w:t>The Stafford Act authorizes the delivery of federal technical, financial, logistical, and other assistance to states and localities during declared major disasters or emergencies.</w:t>
      </w:r>
      <w:r w:rsidRPr="007A3742">
        <w:rPr>
          <w:rFonts w:eastAsia="Times New Roman" w:cs="Arial"/>
          <w:color w:val="000000" w:themeColor="text1"/>
          <w:bdr w:val="none" w:sz="0" w:space="0" w:color="auto" w:frame="1"/>
          <w:vertAlign w:val="superscript"/>
        </w:rPr>
        <w:t>2</w:t>
      </w:r>
      <w:r w:rsidRPr="007A3742">
        <w:rPr>
          <w:rFonts w:eastAsia="Times New Roman" w:cs="Arial"/>
          <w:color w:val="000000" w:themeColor="text1"/>
        </w:rPr>
        <w:t> The Federal Emergency Management Agency (FEMA) coordinates administration of disaster relief resources and assistance to states. Federal assistance is provided under the Stafford Act if an event is beyond the combined response capabilities of state and local governments. </w:t>
      </w:r>
    </w:p>
    <w:p w14:paraId="4DD2007C" w14:textId="77777777" w:rsidR="00342BAE" w:rsidRPr="00A11DAD" w:rsidRDefault="00342BAE" w:rsidP="00825E69">
      <w:pPr>
        <w:spacing w:line="480" w:lineRule="auto"/>
        <w:rPr>
          <w:rFonts w:eastAsia="Times New Roman" w:cs="Arial"/>
          <w:b/>
          <w:bCs/>
          <w:color w:val="000000" w:themeColor="text1"/>
        </w:rPr>
      </w:pPr>
    </w:p>
    <w:p w14:paraId="0C696D04" w14:textId="77777777" w:rsidR="00342BAE" w:rsidRPr="007A3742" w:rsidRDefault="00342BAE" w:rsidP="00825E69">
      <w:pPr>
        <w:spacing w:line="480" w:lineRule="auto"/>
        <w:rPr>
          <w:rFonts w:eastAsia="Times New Roman" w:cs="Arial"/>
          <w:b/>
          <w:bCs/>
          <w:color w:val="3C3030"/>
          <w:sz w:val="24"/>
          <w:szCs w:val="24"/>
        </w:rPr>
      </w:pPr>
      <w:r w:rsidRPr="007A3742">
        <w:rPr>
          <w:rFonts w:eastAsia="Times New Roman" w:cs="Arial"/>
          <w:b/>
          <w:bCs/>
          <w:color w:val="3C3030"/>
          <w:sz w:val="24"/>
          <w:szCs w:val="24"/>
        </w:rPr>
        <w:t>How the Law Works</w:t>
      </w:r>
    </w:p>
    <w:p w14:paraId="4387EF5F" w14:textId="77777777" w:rsidR="00342BAE" w:rsidRPr="00A11DAD" w:rsidRDefault="00342BAE" w:rsidP="00825E69">
      <w:pPr>
        <w:spacing w:line="480" w:lineRule="auto"/>
        <w:rPr>
          <w:rFonts w:eastAsia="Times New Roman" w:cs="Arial"/>
          <w:b/>
          <w:bCs/>
          <w:color w:val="000000" w:themeColor="text1"/>
        </w:rPr>
      </w:pPr>
    </w:p>
    <w:p w14:paraId="50F6DCD6" w14:textId="77777777" w:rsidR="00342BAE" w:rsidRPr="007A3742" w:rsidRDefault="00342BAE" w:rsidP="00825E69">
      <w:pPr>
        <w:spacing w:line="480" w:lineRule="auto"/>
        <w:rPr>
          <w:rFonts w:eastAsia="Times New Roman" w:cs="Arial"/>
          <w:b/>
          <w:bCs/>
          <w:color w:val="000000" w:themeColor="text1"/>
        </w:rPr>
      </w:pPr>
      <w:r w:rsidRPr="007A3742">
        <w:rPr>
          <w:rFonts w:eastAsia="Times New Roman" w:cs="Arial"/>
          <w:b/>
          <w:bCs/>
          <w:color w:val="000000" w:themeColor="text1"/>
        </w:rPr>
        <w:t>State Response and Request for Assistance</w:t>
      </w:r>
    </w:p>
    <w:p w14:paraId="2982E8F7" w14:textId="77777777" w:rsidR="00342BAE" w:rsidRPr="007A3742" w:rsidRDefault="00342BAE" w:rsidP="00825E69">
      <w:pPr>
        <w:shd w:val="clear" w:color="auto" w:fill="FFFFFF"/>
        <w:spacing w:line="480" w:lineRule="auto"/>
        <w:textAlignment w:val="baseline"/>
        <w:rPr>
          <w:rFonts w:eastAsia="Times New Roman" w:cs="Arial"/>
          <w:color w:val="000000" w:themeColor="text1"/>
        </w:rPr>
      </w:pPr>
      <w:r w:rsidRPr="007A3742">
        <w:rPr>
          <w:rFonts w:eastAsia="Times New Roman" w:cs="Arial"/>
          <w:color w:val="000000" w:themeColor="text1"/>
        </w:rPr>
        <w:t>The governor of an affected state must first respond to the emergency event and execute the state’s emergency response plan before requesting a presidential declaration under the Stafford Act. The governor must certify in writing that the magnitude of the event exceeds the state’s capability to respond and that supplemental federal assistance is necessary. In the absence of a specific request, the president may provide accelerated federal assistance where it is necessary to save lives or prevent severe damage.</w:t>
      </w:r>
      <w:r w:rsidRPr="007A3742">
        <w:rPr>
          <w:rFonts w:eastAsia="Times New Roman" w:cs="Arial"/>
          <w:color w:val="000000" w:themeColor="text1"/>
          <w:bdr w:val="none" w:sz="0" w:space="0" w:color="auto" w:frame="1"/>
          <w:vertAlign w:val="superscript"/>
        </w:rPr>
        <w:t>3 </w:t>
      </w:r>
    </w:p>
    <w:p w14:paraId="1E3022CD" w14:textId="77777777" w:rsidR="00342BAE" w:rsidRPr="00A11DAD" w:rsidRDefault="00342BAE" w:rsidP="00825E69">
      <w:pPr>
        <w:spacing w:line="480" w:lineRule="auto"/>
        <w:rPr>
          <w:rFonts w:eastAsia="Times New Roman" w:cs="Arial"/>
          <w:b/>
          <w:bCs/>
          <w:color w:val="000000" w:themeColor="text1"/>
        </w:rPr>
      </w:pPr>
    </w:p>
    <w:p w14:paraId="37B3C87F" w14:textId="77777777" w:rsidR="00342BAE" w:rsidRPr="007A3742" w:rsidRDefault="00342BAE" w:rsidP="00825E69">
      <w:pPr>
        <w:spacing w:line="480" w:lineRule="auto"/>
        <w:rPr>
          <w:rFonts w:eastAsia="Times New Roman" w:cs="Arial"/>
          <w:b/>
          <w:bCs/>
          <w:color w:val="000000" w:themeColor="text1"/>
        </w:rPr>
      </w:pPr>
      <w:r w:rsidRPr="007A3742">
        <w:rPr>
          <w:rFonts w:eastAsia="Times New Roman" w:cs="Arial"/>
          <w:b/>
          <w:bCs/>
          <w:color w:val="000000" w:themeColor="text1"/>
        </w:rPr>
        <w:t>Presidential Declaration</w:t>
      </w:r>
    </w:p>
    <w:p w14:paraId="071F888E" w14:textId="77777777" w:rsidR="00342BAE" w:rsidRDefault="00342BAE" w:rsidP="00825E69">
      <w:pPr>
        <w:shd w:val="clear" w:color="auto" w:fill="FFFFFF"/>
        <w:spacing w:line="480" w:lineRule="auto"/>
        <w:textAlignment w:val="baseline"/>
        <w:rPr>
          <w:rFonts w:eastAsia="Times New Roman" w:cs="Arial"/>
          <w:color w:val="000000" w:themeColor="text1"/>
        </w:rPr>
      </w:pPr>
      <w:r w:rsidRPr="007A3742">
        <w:rPr>
          <w:rFonts w:eastAsia="Times New Roman" w:cs="Arial"/>
          <w:color w:val="000000" w:themeColor="text1"/>
        </w:rPr>
        <w:t>The Stafford Act authorizes the president to declare a "major disaster" or "emergency" in response to an incident or threatened incident that overwhelms the response capability of state or local governments. A presidential declaration under the Stafford Act enables access to disaster relief assistance and funds as appropriated by Congress. The Disaster Relief Fund has several billion dollars immediately available for the emergency needs of state and local governments, but its use is limited to those purposes specifically authorized in the Stafford Act—implementing allowed activities to respond to major disasters and emergencies as defined in the act. Congress may authorize additional funds as an event dictates. The presidential declaration specifies the types of assistance authorized.</w:t>
      </w:r>
    </w:p>
    <w:p w14:paraId="5FC66FF3" w14:textId="77777777" w:rsidR="00342BAE" w:rsidRDefault="00342BAE" w:rsidP="00825E69">
      <w:pPr>
        <w:shd w:val="clear" w:color="auto" w:fill="FFFFFF"/>
        <w:spacing w:line="480" w:lineRule="auto"/>
        <w:textAlignment w:val="baseline"/>
        <w:rPr>
          <w:rFonts w:eastAsia="Times New Roman" w:cs="Arial"/>
          <w:color w:val="000000" w:themeColor="text1"/>
        </w:rPr>
      </w:pPr>
    </w:p>
    <w:p w14:paraId="5AC1983D" w14:textId="77777777" w:rsidR="00342BAE" w:rsidRDefault="00342BAE" w:rsidP="00825E69">
      <w:pPr>
        <w:shd w:val="clear" w:color="auto" w:fill="FFFFFF"/>
        <w:spacing w:line="480" w:lineRule="auto"/>
        <w:textAlignment w:val="baseline"/>
        <w:rPr>
          <w:rFonts w:eastAsia="Times New Roman" w:cs="Arial"/>
          <w:color w:val="000000" w:themeColor="text1"/>
        </w:rPr>
      </w:pPr>
      <w:r w:rsidRPr="007A3742">
        <w:rPr>
          <w:rFonts w:eastAsia="Times New Roman" w:cs="Arial"/>
          <w:color w:val="000000" w:themeColor="text1"/>
        </w:rPr>
        <w:t>The president may declare an emergency without first receiving a gubernatorial request if the emergency involves an area of "federal primary responsibility" in which principal responsibility for response rests with the federal government because the emergency involves a subject area for which the United States exercises exclusive responsibility and authority.</w:t>
      </w:r>
      <w:r w:rsidRPr="007A3742">
        <w:rPr>
          <w:rFonts w:eastAsia="Times New Roman" w:cs="Arial"/>
          <w:color w:val="000000" w:themeColor="text1"/>
          <w:bdr w:val="none" w:sz="0" w:space="0" w:color="auto" w:frame="1"/>
          <w:vertAlign w:val="superscript"/>
        </w:rPr>
        <w:t>2,3</w:t>
      </w:r>
      <w:r w:rsidRPr="007A3742">
        <w:rPr>
          <w:rFonts w:eastAsia="Times New Roman" w:cs="Arial"/>
          <w:color w:val="000000" w:themeColor="text1"/>
        </w:rPr>
        <w:t xml:space="preserve"> Such declarations were made during the 2001 Pentagon terrorist attack and the 1995 bombing of the </w:t>
      </w:r>
      <w:proofErr w:type="spellStart"/>
      <w:r w:rsidRPr="007A3742">
        <w:rPr>
          <w:rFonts w:eastAsia="Times New Roman" w:cs="Arial"/>
          <w:color w:val="000000" w:themeColor="text1"/>
        </w:rPr>
        <w:t>Murrah</w:t>
      </w:r>
      <w:proofErr w:type="spellEnd"/>
      <w:r w:rsidRPr="007A3742">
        <w:rPr>
          <w:rFonts w:eastAsia="Times New Roman" w:cs="Arial"/>
          <w:color w:val="000000" w:themeColor="text1"/>
        </w:rPr>
        <w:t xml:space="preserve"> Federal Building in Oklahoma City. </w:t>
      </w:r>
    </w:p>
    <w:p w14:paraId="4FFA49A1" w14:textId="77777777" w:rsidR="00342BAE" w:rsidRDefault="00342BAE" w:rsidP="00825E69">
      <w:pPr>
        <w:shd w:val="clear" w:color="auto" w:fill="FFFFFF"/>
        <w:spacing w:line="480" w:lineRule="auto"/>
        <w:textAlignment w:val="baseline"/>
        <w:rPr>
          <w:rFonts w:eastAsia="Times New Roman" w:cs="Arial"/>
          <w:color w:val="000000" w:themeColor="text1"/>
        </w:rPr>
      </w:pPr>
    </w:p>
    <w:p w14:paraId="4FE78DCA" w14:textId="77777777" w:rsidR="00342BAE" w:rsidRPr="00A11DAD" w:rsidRDefault="00342BAE" w:rsidP="00825E69">
      <w:pPr>
        <w:shd w:val="clear" w:color="auto" w:fill="FFFFFF"/>
        <w:spacing w:line="480" w:lineRule="auto"/>
        <w:textAlignment w:val="baseline"/>
        <w:rPr>
          <w:rFonts w:eastAsia="Times New Roman" w:cs="Arial"/>
          <w:color w:val="000000" w:themeColor="text1"/>
        </w:rPr>
      </w:pPr>
      <w:r w:rsidRPr="007A3742">
        <w:rPr>
          <w:rFonts w:eastAsia="Times New Roman" w:cs="Arial"/>
          <w:color w:val="000000" w:themeColor="text1"/>
        </w:rPr>
        <w:t>A Stafford Act declaration can trigger other public health emergency response authorities. In order for the secretary of Health and Human Services (HHS) to exercise waiver authority under</w:t>
      </w:r>
      <w:r w:rsidRPr="007A3742">
        <w:rPr>
          <w:rFonts w:eastAsia="Times New Roman" w:cs="Arial"/>
          <w:color w:val="737373"/>
        </w:rPr>
        <w:t> </w:t>
      </w:r>
      <w:hyperlink r:id="rId97" w:anchor="Social-Security-Act,-Section-1135" w:tooltip="Social Security Act Section 1135" w:history="1">
        <w:r w:rsidRPr="007A3742">
          <w:rPr>
            <w:rFonts w:eastAsia="Times New Roman" w:cs="Arial"/>
            <w:color w:val="0F88B8"/>
            <w:bdr w:val="none" w:sz="0" w:space="0" w:color="auto" w:frame="1"/>
          </w:rPr>
          <w:t>Social Security Act Section 1135</w:t>
        </w:r>
      </w:hyperlink>
      <w:r w:rsidRPr="007A3742">
        <w:rPr>
          <w:rFonts w:eastAsia="Times New Roman" w:cs="Arial"/>
          <w:color w:val="737373"/>
        </w:rPr>
        <w:t> </w:t>
      </w:r>
      <w:r w:rsidRPr="007A3742">
        <w:rPr>
          <w:rFonts w:eastAsia="Times New Roman" w:cs="Arial"/>
          <w:color w:val="000000" w:themeColor="text1"/>
        </w:rPr>
        <w:t>(which allows the secretary to temporarily waive or modify certain Medicare, Medicaid, SCHIP, and HIPAA requirements), there must be a public health emergency determination under </w:t>
      </w:r>
      <w:hyperlink r:id="rId98" w:anchor="Public-Health-Service-Act,-Section-319" w:tooltip="Section 319 of the Public Health Service Act" w:history="1">
        <w:r w:rsidRPr="007A3742">
          <w:rPr>
            <w:rFonts w:eastAsia="Times New Roman" w:cs="Arial"/>
            <w:color w:val="0F88B8"/>
            <w:bdr w:val="none" w:sz="0" w:space="0" w:color="auto" w:frame="1"/>
          </w:rPr>
          <w:t>Section 319 of the Public Health Service Act</w:t>
        </w:r>
      </w:hyperlink>
      <w:r w:rsidRPr="007A3742">
        <w:rPr>
          <w:rFonts w:eastAsia="Times New Roman" w:cs="Arial"/>
          <w:color w:val="000000" w:themeColor="text1"/>
        </w:rPr>
        <w:t>,</w:t>
      </w:r>
      <w:r w:rsidRPr="007A3742">
        <w:rPr>
          <w:rFonts w:eastAsia="Times New Roman" w:cs="Arial"/>
          <w:color w:val="737373"/>
        </w:rPr>
        <w:t xml:space="preserve"> </w:t>
      </w:r>
      <w:r w:rsidRPr="007A3742">
        <w:rPr>
          <w:rFonts w:eastAsia="Times New Roman" w:cs="Arial"/>
          <w:color w:val="000000" w:themeColor="text1"/>
        </w:rPr>
        <w:t>as well as a presidential declaration under the </w:t>
      </w:r>
      <w:hyperlink r:id="rId99" w:anchor="National-Emergencies-Act-(NEA),-Section-201-and-301" w:tooltip="Stafford Act or the National Emergencies Act" w:history="1">
        <w:r w:rsidRPr="007A3742">
          <w:rPr>
            <w:rFonts w:eastAsia="Times New Roman" w:cs="Arial"/>
            <w:color w:val="0F88B8"/>
            <w:bdr w:val="none" w:sz="0" w:space="0" w:color="auto" w:frame="1"/>
          </w:rPr>
          <w:t>Stafford Act or the National Emergencies Act</w:t>
        </w:r>
      </w:hyperlink>
      <w:r w:rsidRPr="007A3742">
        <w:rPr>
          <w:rFonts w:eastAsia="Times New Roman" w:cs="Arial"/>
          <w:color w:val="737373"/>
        </w:rPr>
        <w:t>. </w:t>
      </w:r>
    </w:p>
    <w:p w14:paraId="0137523B" w14:textId="77777777" w:rsidR="00342BAE" w:rsidRPr="007A3742" w:rsidRDefault="00342BAE" w:rsidP="00825E69">
      <w:pPr>
        <w:shd w:val="clear" w:color="auto" w:fill="FFFFFF"/>
        <w:spacing w:line="480" w:lineRule="auto"/>
        <w:textAlignment w:val="baseline"/>
        <w:rPr>
          <w:rFonts w:eastAsia="Times New Roman" w:cs="Arial"/>
          <w:color w:val="000000" w:themeColor="text1"/>
        </w:rPr>
      </w:pPr>
    </w:p>
    <w:p w14:paraId="425A5EBA" w14:textId="77777777" w:rsidR="00342BAE" w:rsidRPr="007A3742" w:rsidRDefault="00342BAE" w:rsidP="00825E69">
      <w:pPr>
        <w:spacing w:line="480" w:lineRule="auto"/>
        <w:rPr>
          <w:rFonts w:eastAsia="Times New Roman" w:cs="Arial"/>
          <w:b/>
          <w:bCs/>
          <w:color w:val="000000" w:themeColor="text1"/>
        </w:rPr>
      </w:pPr>
      <w:r w:rsidRPr="007A3742">
        <w:rPr>
          <w:rFonts w:eastAsia="Times New Roman" w:cs="Arial"/>
          <w:b/>
          <w:bCs/>
          <w:color w:val="000000" w:themeColor="text1"/>
        </w:rPr>
        <w:t>Types of Events Covered</w:t>
      </w:r>
    </w:p>
    <w:p w14:paraId="1FF0CF61" w14:textId="77777777" w:rsidR="00342BAE" w:rsidRPr="00A11DAD" w:rsidRDefault="00342BAE" w:rsidP="00825E69">
      <w:pPr>
        <w:shd w:val="clear" w:color="auto" w:fill="FFFFFF"/>
        <w:spacing w:line="480" w:lineRule="auto"/>
        <w:textAlignment w:val="baseline"/>
        <w:rPr>
          <w:rFonts w:eastAsia="Times New Roman" w:cs="Arial"/>
          <w:color w:val="000000" w:themeColor="text1"/>
        </w:rPr>
      </w:pPr>
      <w:r w:rsidRPr="007A3742">
        <w:rPr>
          <w:rFonts w:eastAsia="Times New Roman" w:cs="Arial"/>
          <w:color w:val="000000" w:themeColor="text1"/>
        </w:rPr>
        <w:t>The Stafford Act covers major disasters and emergencies. Major disasters are defined as any natural catastrophe or fire, flood, or explosion, regardless of cause, which is of sufficient severity to warrant assistance under the act to alleviate the damage, loss, or hardship caused by the event. Emergencies are defined as any event for which federal assistance is needed to supplement state/local efforts to save lives, protect public health and safety, protect property, or avert the threat of a catastrophe. Pandemic influenza and other communicable diseases are defined as emergencies eligible for coverage under the Stafford Act. </w:t>
      </w:r>
    </w:p>
    <w:p w14:paraId="745077F4" w14:textId="77777777" w:rsidR="00342BAE" w:rsidRPr="007A3742" w:rsidRDefault="00342BAE" w:rsidP="00825E69">
      <w:pPr>
        <w:shd w:val="clear" w:color="auto" w:fill="FFFFFF"/>
        <w:spacing w:line="480" w:lineRule="auto"/>
        <w:textAlignment w:val="baseline"/>
        <w:rPr>
          <w:rFonts w:eastAsia="Times New Roman" w:cs="Arial"/>
          <w:color w:val="000000" w:themeColor="text1"/>
        </w:rPr>
      </w:pPr>
    </w:p>
    <w:p w14:paraId="4E16C2ED" w14:textId="77777777" w:rsidR="00342BAE" w:rsidRPr="007A3742" w:rsidRDefault="00342BAE" w:rsidP="00825E69">
      <w:pPr>
        <w:spacing w:line="480" w:lineRule="auto"/>
        <w:rPr>
          <w:rFonts w:eastAsia="Times New Roman" w:cs="Arial"/>
          <w:b/>
          <w:bCs/>
          <w:color w:val="000000" w:themeColor="text1"/>
        </w:rPr>
      </w:pPr>
      <w:r w:rsidRPr="007A3742">
        <w:rPr>
          <w:rFonts w:eastAsia="Times New Roman" w:cs="Arial"/>
          <w:b/>
          <w:bCs/>
          <w:color w:val="000000" w:themeColor="text1"/>
        </w:rPr>
        <w:t>Resources and Assistance Available</w:t>
      </w:r>
    </w:p>
    <w:p w14:paraId="5A40DE87" w14:textId="77777777" w:rsidR="00342BAE" w:rsidRPr="007A3742" w:rsidRDefault="00342BAE" w:rsidP="00825E69">
      <w:pPr>
        <w:shd w:val="clear" w:color="auto" w:fill="FFFFFF"/>
        <w:spacing w:line="480" w:lineRule="auto"/>
        <w:textAlignment w:val="baseline"/>
        <w:rPr>
          <w:rFonts w:eastAsia="Times New Roman" w:cs="Arial"/>
          <w:color w:val="000000" w:themeColor="text1"/>
        </w:rPr>
      </w:pPr>
      <w:r w:rsidRPr="007A3742">
        <w:rPr>
          <w:rFonts w:eastAsia="Times New Roman" w:cs="Arial"/>
          <w:color w:val="000000" w:themeColor="text1"/>
        </w:rPr>
        <w:t xml:space="preserve">Three types of assistance are authorized by the Stafford Act. Assistance can take the form of direct federal aid in terms of services, grants, and technical support, or as reimbursement for services provided by or contracted for by affected states. FEMA has extensive rules, policies, and </w:t>
      </w:r>
      <w:proofErr w:type="spellStart"/>
      <w:r w:rsidRPr="007A3742">
        <w:rPr>
          <w:rFonts w:eastAsia="Times New Roman" w:cs="Arial"/>
          <w:color w:val="000000" w:themeColor="text1"/>
        </w:rPr>
        <w:t>guidances</w:t>
      </w:r>
      <w:proofErr w:type="spellEnd"/>
      <w:r w:rsidRPr="007A3742">
        <w:rPr>
          <w:rFonts w:eastAsia="Times New Roman" w:cs="Arial"/>
          <w:color w:val="000000" w:themeColor="text1"/>
        </w:rPr>
        <w:t xml:space="preserve"> to further define eligibility and procedures for Stafford Act assistance.</w:t>
      </w:r>
      <w:r w:rsidRPr="007A3742">
        <w:rPr>
          <w:rFonts w:eastAsia="Times New Roman" w:cs="Arial"/>
          <w:color w:val="000000" w:themeColor="text1"/>
          <w:bdr w:val="none" w:sz="0" w:space="0" w:color="auto" w:frame="1"/>
          <w:vertAlign w:val="superscript"/>
        </w:rPr>
        <w:t>4</w:t>
      </w:r>
      <w:r w:rsidRPr="007A3742">
        <w:rPr>
          <w:rFonts w:eastAsia="Times New Roman" w:cs="Arial"/>
          <w:color w:val="000000" w:themeColor="text1"/>
        </w:rPr>
        <w:t>  </w:t>
      </w:r>
    </w:p>
    <w:p w14:paraId="05A5D87C" w14:textId="77777777" w:rsidR="00342BAE" w:rsidRDefault="00342BAE" w:rsidP="00825E69">
      <w:pPr>
        <w:shd w:val="clear" w:color="auto" w:fill="FFFFFF"/>
        <w:spacing w:line="480" w:lineRule="auto"/>
        <w:textAlignment w:val="baseline"/>
        <w:rPr>
          <w:rFonts w:eastAsia="Times New Roman" w:cs="Arial"/>
          <w:b/>
          <w:bCs/>
          <w:color w:val="000000" w:themeColor="text1"/>
          <w:bdr w:val="none" w:sz="0" w:space="0" w:color="auto" w:frame="1"/>
        </w:rPr>
      </w:pPr>
    </w:p>
    <w:p w14:paraId="466EAEB1" w14:textId="77777777" w:rsidR="00342BAE" w:rsidRPr="007A3742" w:rsidRDefault="00342BAE" w:rsidP="00825E69">
      <w:pPr>
        <w:shd w:val="clear" w:color="auto" w:fill="FFFFFF"/>
        <w:spacing w:line="480" w:lineRule="auto"/>
        <w:textAlignment w:val="baseline"/>
        <w:rPr>
          <w:rFonts w:eastAsia="Times New Roman" w:cs="Arial"/>
          <w:color w:val="000000" w:themeColor="text1"/>
        </w:rPr>
      </w:pPr>
      <w:r w:rsidRPr="007A3742">
        <w:rPr>
          <w:rFonts w:eastAsia="Times New Roman" w:cs="Arial"/>
          <w:b/>
          <w:bCs/>
          <w:color w:val="000000" w:themeColor="text1"/>
          <w:bdr w:val="none" w:sz="0" w:space="0" w:color="auto" w:frame="1"/>
        </w:rPr>
        <w:t>Individual Assistance—</w:t>
      </w:r>
      <w:r w:rsidRPr="007A3742">
        <w:rPr>
          <w:rFonts w:eastAsia="Times New Roman" w:cs="Arial"/>
          <w:color w:val="000000" w:themeColor="text1"/>
        </w:rPr>
        <w:t>Provides immediate direct and financial assistance to individuals for housing and other disaster related needs.</w:t>
      </w:r>
    </w:p>
    <w:p w14:paraId="1F308522" w14:textId="77777777" w:rsidR="00342BAE" w:rsidRDefault="00342BAE" w:rsidP="00825E69">
      <w:pPr>
        <w:shd w:val="clear" w:color="auto" w:fill="FFFFFF"/>
        <w:spacing w:line="480" w:lineRule="auto"/>
        <w:textAlignment w:val="baseline"/>
        <w:rPr>
          <w:rFonts w:eastAsia="Times New Roman" w:cs="Arial"/>
          <w:b/>
          <w:bCs/>
          <w:color w:val="000000" w:themeColor="text1"/>
          <w:bdr w:val="none" w:sz="0" w:space="0" w:color="auto" w:frame="1"/>
        </w:rPr>
      </w:pPr>
    </w:p>
    <w:p w14:paraId="2370321C" w14:textId="77777777" w:rsidR="00342BAE" w:rsidRPr="007A3742" w:rsidRDefault="00342BAE" w:rsidP="00825E69">
      <w:pPr>
        <w:shd w:val="clear" w:color="auto" w:fill="FFFFFF"/>
        <w:spacing w:line="480" w:lineRule="auto"/>
        <w:textAlignment w:val="baseline"/>
        <w:rPr>
          <w:rFonts w:eastAsia="Times New Roman" w:cs="Arial"/>
          <w:color w:val="000000" w:themeColor="text1"/>
        </w:rPr>
      </w:pPr>
      <w:r w:rsidRPr="007A3742">
        <w:rPr>
          <w:rFonts w:eastAsia="Times New Roman" w:cs="Arial"/>
          <w:b/>
          <w:bCs/>
          <w:color w:val="000000" w:themeColor="text1"/>
          <w:bdr w:val="none" w:sz="0" w:space="0" w:color="auto" w:frame="1"/>
        </w:rPr>
        <w:t>Hazard Mitigation—</w:t>
      </w:r>
      <w:r w:rsidRPr="007A3742">
        <w:rPr>
          <w:rFonts w:eastAsia="Times New Roman" w:cs="Arial"/>
          <w:color w:val="000000" w:themeColor="text1"/>
        </w:rPr>
        <w:t>Provides grants to affected governments to implement long-term hazard mitigation measures after a major disaster declaration. Only areas within the geographic area designated in the declaration are eligible for hazard mitigation aid.</w:t>
      </w:r>
      <w:r w:rsidRPr="007A3742">
        <w:rPr>
          <w:rFonts w:eastAsia="Times New Roman" w:cs="Arial"/>
          <w:color w:val="000000" w:themeColor="text1"/>
          <w:bdr w:val="none" w:sz="0" w:space="0" w:color="auto" w:frame="1"/>
          <w:vertAlign w:val="superscript"/>
        </w:rPr>
        <w:t>6</w:t>
      </w:r>
      <w:r w:rsidRPr="007A3742">
        <w:rPr>
          <w:rFonts w:eastAsia="Times New Roman" w:cs="Arial"/>
          <w:color w:val="000000" w:themeColor="text1"/>
        </w:rPr>
        <w:t> Hazard mitigation assistance is available for major disasters but not emergencies under the Stafford Act.</w:t>
      </w:r>
    </w:p>
    <w:p w14:paraId="223F1DF6" w14:textId="77777777" w:rsidR="00342BAE" w:rsidRDefault="00342BAE" w:rsidP="00825E69">
      <w:pPr>
        <w:shd w:val="clear" w:color="auto" w:fill="FFFFFF"/>
        <w:spacing w:line="480" w:lineRule="auto"/>
        <w:textAlignment w:val="baseline"/>
        <w:rPr>
          <w:rFonts w:eastAsia="Times New Roman" w:cs="Arial"/>
          <w:b/>
          <w:bCs/>
          <w:color w:val="000000" w:themeColor="text1"/>
          <w:bdr w:val="none" w:sz="0" w:space="0" w:color="auto" w:frame="1"/>
        </w:rPr>
      </w:pPr>
    </w:p>
    <w:p w14:paraId="6A6D2C46" w14:textId="77777777" w:rsidR="00342BAE" w:rsidRPr="007A3742" w:rsidRDefault="00342BAE" w:rsidP="00825E69">
      <w:pPr>
        <w:shd w:val="clear" w:color="auto" w:fill="FFFFFF"/>
        <w:spacing w:after="120" w:line="480" w:lineRule="auto"/>
        <w:textAlignment w:val="baseline"/>
        <w:rPr>
          <w:rFonts w:eastAsia="Times New Roman" w:cs="Arial"/>
          <w:color w:val="000000" w:themeColor="text1"/>
        </w:rPr>
      </w:pPr>
      <w:r w:rsidRPr="007A3742">
        <w:rPr>
          <w:rFonts w:eastAsia="Times New Roman" w:cs="Arial"/>
          <w:b/>
          <w:bCs/>
          <w:color w:val="000000" w:themeColor="text1"/>
          <w:bdr w:val="none" w:sz="0" w:space="0" w:color="auto" w:frame="1"/>
        </w:rPr>
        <w:lastRenderedPageBreak/>
        <w:t>Public Assistance—</w:t>
      </w:r>
      <w:r w:rsidRPr="007A3742">
        <w:rPr>
          <w:rFonts w:eastAsia="Times New Roman" w:cs="Arial"/>
          <w:color w:val="000000" w:themeColor="text1"/>
        </w:rPr>
        <w:t>Provides aid to eligible applicants seeking assistance with eligible costs for eligible work performed at eligible facilities. Funding for public assistance is divided generally into a 75 percent federal share and 25 percent state share; however, the federal share may be raised in a presidential declaration.</w:t>
      </w:r>
    </w:p>
    <w:p w14:paraId="79486553" w14:textId="77777777" w:rsidR="00342BAE" w:rsidRPr="003E7D6B" w:rsidRDefault="00342BAE" w:rsidP="00224AC9">
      <w:pPr>
        <w:pStyle w:val="ListParagraph"/>
        <w:numPr>
          <w:ilvl w:val="0"/>
          <w:numId w:val="41"/>
        </w:numPr>
        <w:spacing w:after="120" w:line="480" w:lineRule="auto"/>
        <w:contextualSpacing w:val="0"/>
        <w:textAlignment w:val="baseline"/>
        <w:rPr>
          <w:rFonts w:eastAsia="Times New Roman" w:cs="Arial"/>
          <w:color w:val="000000" w:themeColor="text1"/>
        </w:rPr>
      </w:pPr>
      <w:r w:rsidRPr="003E7D6B">
        <w:rPr>
          <w:rFonts w:eastAsia="Times New Roman" w:cs="Arial"/>
          <w:b/>
          <w:bCs/>
          <w:color w:val="000000" w:themeColor="text1"/>
          <w:bdr w:val="none" w:sz="0" w:space="0" w:color="auto" w:frame="1"/>
        </w:rPr>
        <w:t>Eligible applicants</w:t>
      </w:r>
      <w:r w:rsidRPr="003E7D6B">
        <w:rPr>
          <w:rFonts w:eastAsia="Times New Roman" w:cs="Arial"/>
          <w:color w:val="000000" w:themeColor="text1"/>
        </w:rPr>
        <w:t> are state and local governments, tribes, and certain private nonprofit entities that provide services of a governmental nature.</w:t>
      </w:r>
      <w:r w:rsidRPr="003E7D6B">
        <w:rPr>
          <w:rFonts w:eastAsia="Times New Roman" w:cs="Arial"/>
          <w:color w:val="000000" w:themeColor="text1"/>
          <w:bdr w:val="none" w:sz="0" w:space="0" w:color="auto" w:frame="1"/>
          <w:vertAlign w:val="superscript"/>
        </w:rPr>
        <w:t>5</w:t>
      </w:r>
      <w:r w:rsidRPr="003E7D6B">
        <w:rPr>
          <w:rFonts w:eastAsia="Times New Roman" w:cs="Arial"/>
          <w:color w:val="000000" w:themeColor="text1"/>
        </w:rPr>
        <w:t>  </w:t>
      </w:r>
    </w:p>
    <w:p w14:paraId="69641092" w14:textId="77777777" w:rsidR="00342BAE" w:rsidRPr="003E7D6B" w:rsidRDefault="00342BAE" w:rsidP="00224AC9">
      <w:pPr>
        <w:pStyle w:val="ListParagraph"/>
        <w:numPr>
          <w:ilvl w:val="0"/>
          <w:numId w:val="41"/>
        </w:numPr>
        <w:spacing w:after="120" w:line="480" w:lineRule="auto"/>
        <w:contextualSpacing w:val="0"/>
        <w:textAlignment w:val="baseline"/>
        <w:rPr>
          <w:rFonts w:eastAsia="Times New Roman" w:cs="Arial"/>
          <w:color w:val="000000" w:themeColor="text1"/>
        </w:rPr>
      </w:pPr>
      <w:r w:rsidRPr="003E7D6B">
        <w:rPr>
          <w:rFonts w:eastAsia="Times New Roman" w:cs="Arial"/>
          <w:b/>
          <w:bCs/>
          <w:color w:val="000000" w:themeColor="text1"/>
          <w:bdr w:val="none" w:sz="0" w:space="0" w:color="auto" w:frame="1"/>
        </w:rPr>
        <w:t>Eligible facilities </w:t>
      </w:r>
      <w:r w:rsidRPr="003E7D6B">
        <w:rPr>
          <w:rFonts w:eastAsia="Times New Roman" w:cs="Arial"/>
          <w:color w:val="000000" w:themeColor="text1"/>
        </w:rPr>
        <w:t>are structures or equipment, such as public buildings, schools, hospitals, outpatient care centers, and custodial care facilities, that are owned by eligible applicants.</w:t>
      </w:r>
    </w:p>
    <w:p w14:paraId="3EDC8EC6" w14:textId="77777777" w:rsidR="00342BAE" w:rsidRPr="003E7D6B" w:rsidRDefault="00342BAE" w:rsidP="00224AC9">
      <w:pPr>
        <w:pStyle w:val="ListParagraph"/>
        <w:numPr>
          <w:ilvl w:val="0"/>
          <w:numId w:val="41"/>
        </w:numPr>
        <w:spacing w:after="120" w:line="480" w:lineRule="auto"/>
        <w:contextualSpacing w:val="0"/>
        <w:textAlignment w:val="baseline"/>
        <w:rPr>
          <w:rFonts w:eastAsia="Times New Roman" w:cs="Arial"/>
          <w:color w:val="000000" w:themeColor="text1"/>
        </w:rPr>
      </w:pPr>
      <w:r w:rsidRPr="003E7D6B">
        <w:rPr>
          <w:rFonts w:eastAsia="Times New Roman" w:cs="Arial"/>
          <w:b/>
          <w:bCs/>
          <w:color w:val="000000" w:themeColor="text1"/>
          <w:bdr w:val="none" w:sz="0" w:space="0" w:color="auto" w:frame="1"/>
        </w:rPr>
        <w:t>Eligible work</w:t>
      </w:r>
      <w:r w:rsidRPr="003E7D6B">
        <w:rPr>
          <w:rFonts w:eastAsia="Times New Roman" w:cs="Arial"/>
          <w:color w:val="000000" w:themeColor="text1"/>
        </w:rPr>
        <w:t> is disaster recovery work performed on an eligible facility that is needed as the result of a major disaster event, located within a designated disaster area, and the legal responsibility of an eligible applicant. Two general types of work are recognized by the Stafford Act:</w:t>
      </w:r>
    </w:p>
    <w:p w14:paraId="2E5E24B0" w14:textId="77777777" w:rsidR="00342BAE" w:rsidRPr="003E7D6B" w:rsidRDefault="00342BAE" w:rsidP="00224AC9">
      <w:pPr>
        <w:pStyle w:val="ListParagraph"/>
        <w:numPr>
          <w:ilvl w:val="1"/>
          <w:numId w:val="41"/>
        </w:numPr>
        <w:spacing w:after="120" w:line="480" w:lineRule="auto"/>
        <w:contextualSpacing w:val="0"/>
        <w:textAlignment w:val="baseline"/>
        <w:rPr>
          <w:rFonts w:eastAsia="Times New Roman" w:cs="Arial"/>
          <w:color w:val="000000" w:themeColor="text1"/>
        </w:rPr>
      </w:pPr>
      <w:r w:rsidRPr="003E7D6B">
        <w:rPr>
          <w:rFonts w:eastAsia="Times New Roman" w:cs="Arial"/>
          <w:b/>
          <w:bCs/>
          <w:color w:val="000000" w:themeColor="text1"/>
          <w:bdr w:val="none" w:sz="0" w:space="0" w:color="auto" w:frame="1"/>
        </w:rPr>
        <w:t>Emergency work</w:t>
      </w:r>
      <w:r w:rsidRPr="003E7D6B">
        <w:rPr>
          <w:rFonts w:eastAsia="Times New Roman" w:cs="Arial"/>
          <w:color w:val="000000" w:themeColor="text1"/>
        </w:rPr>
        <w:t> is assistance to meet immediate threats to life and property, such as debris removal, and emergency protective measures, such as search, rescue, evacuation, emergency medical care, food, water, and shelter.</w:t>
      </w:r>
    </w:p>
    <w:p w14:paraId="6CB236D9" w14:textId="77777777" w:rsidR="00342BAE" w:rsidRPr="003E7D6B" w:rsidRDefault="00342BAE" w:rsidP="00224AC9">
      <w:pPr>
        <w:pStyle w:val="ListParagraph"/>
        <w:numPr>
          <w:ilvl w:val="1"/>
          <w:numId w:val="41"/>
        </w:numPr>
        <w:spacing w:after="120" w:line="480" w:lineRule="auto"/>
        <w:contextualSpacing w:val="0"/>
        <w:textAlignment w:val="baseline"/>
        <w:rPr>
          <w:rFonts w:eastAsia="Times New Roman" w:cs="Arial"/>
          <w:color w:val="000000" w:themeColor="text1"/>
        </w:rPr>
      </w:pPr>
      <w:r w:rsidRPr="003E7D6B">
        <w:rPr>
          <w:rFonts w:eastAsia="Times New Roman" w:cs="Arial"/>
          <w:b/>
          <w:bCs/>
          <w:color w:val="000000" w:themeColor="text1"/>
          <w:bdr w:val="none" w:sz="0" w:space="0" w:color="auto" w:frame="1"/>
        </w:rPr>
        <w:t>Permanent work</w:t>
      </w:r>
      <w:r w:rsidRPr="003E7D6B">
        <w:rPr>
          <w:rFonts w:eastAsia="Times New Roman" w:cs="Arial"/>
          <w:color w:val="000000" w:themeColor="text1"/>
        </w:rPr>
        <w:t> activities include repair, restoration, and replacement of damaged facilities owned by states, localities, tribes, and eligible private nonprofits.</w:t>
      </w:r>
    </w:p>
    <w:p w14:paraId="0BEF048B" w14:textId="77777777" w:rsidR="00342BAE" w:rsidRPr="003E7D6B" w:rsidRDefault="00342BAE" w:rsidP="00224AC9">
      <w:pPr>
        <w:pStyle w:val="ListParagraph"/>
        <w:numPr>
          <w:ilvl w:val="0"/>
          <w:numId w:val="41"/>
        </w:numPr>
        <w:spacing w:line="480" w:lineRule="auto"/>
        <w:textAlignment w:val="baseline"/>
        <w:rPr>
          <w:rFonts w:eastAsia="Times New Roman" w:cs="Arial"/>
          <w:color w:val="000000" w:themeColor="text1"/>
        </w:rPr>
      </w:pPr>
      <w:r w:rsidRPr="003E7D6B">
        <w:rPr>
          <w:rFonts w:eastAsia="Times New Roman" w:cs="Arial"/>
          <w:b/>
          <w:bCs/>
          <w:color w:val="000000" w:themeColor="text1"/>
          <w:bdr w:val="none" w:sz="0" w:space="0" w:color="auto" w:frame="1"/>
        </w:rPr>
        <w:t>Eligible costs</w:t>
      </w:r>
      <w:r w:rsidRPr="003E7D6B">
        <w:rPr>
          <w:rFonts w:eastAsia="Times New Roman" w:cs="Arial"/>
          <w:color w:val="000000" w:themeColor="text1"/>
        </w:rPr>
        <w:t> are those reasonable costs that can be directly tied to the performance of eligible work and comply with governmental procurement requirements. Costs are reduced by all applicable credits, such as insurance proceeds and salvage values.</w:t>
      </w:r>
    </w:p>
    <w:p w14:paraId="6B8DF693" w14:textId="77777777" w:rsidR="00342BAE" w:rsidRPr="007A3742" w:rsidRDefault="00342BAE" w:rsidP="00825E69">
      <w:pPr>
        <w:spacing w:line="480" w:lineRule="auto"/>
        <w:textAlignment w:val="baseline"/>
        <w:rPr>
          <w:rFonts w:eastAsia="Times New Roman" w:cs="Arial"/>
          <w:color w:val="000000" w:themeColor="text1"/>
        </w:rPr>
      </w:pPr>
    </w:p>
    <w:p w14:paraId="40395A71" w14:textId="77777777" w:rsidR="00342BAE" w:rsidRPr="007A3742" w:rsidRDefault="00342BAE" w:rsidP="00825E69">
      <w:pPr>
        <w:shd w:val="clear" w:color="auto" w:fill="FFFFFF"/>
        <w:spacing w:line="480" w:lineRule="auto"/>
        <w:textAlignment w:val="baseline"/>
        <w:rPr>
          <w:rFonts w:eastAsia="Times New Roman" w:cs="Arial"/>
          <w:color w:val="000000" w:themeColor="text1"/>
        </w:rPr>
      </w:pPr>
      <w:r w:rsidRPr="007A3742">
        <w:rPr>
          <w:rFonts w:eastAsia="Times New Roman" w:cs="Arial"/>
          <w:b/>
          <w:bCs/>
          <w:color w:val="000000" w:themeColor="text1"/>
          <w:bdr w:val="none" w:sz="0" w:space="0" w:color="auto" w:frame="1"/>
        </w:rPr>
        <w:t>Pandemic Coverage—</w:t>
      </w:r>
      <w:r w:rsidRPr="007A3742">
        <w:rPr>
          <w:rFonts w:eastAsia="Times New Roman" w:cs="Arial"/>
          <w:color w:val="000000" w:themeColor="text1"/>
        </w:rPr>
        <w:t>Direct federal assistance is available through Public Assistance grants for Stafford Act declarations related to pandemic influenza.</w:t>
      </w:r>
      <w:r w:rsidRPr="007A3742">
        <w:rPr>
          <w:rFonts w:eastAsia="Times New Roman" w:cs="Arial"/>
          <w:color w:val="000000" w:themeColor="text1"/>
          <w:bdr w:val="none" w:sz="0" w:space="0" w:color="auto" w:frame="1"/>
          <w:vertAlign w:val="superscript"/>
        </w:rPr>
        <w:t>7</w:t>
      </w:r>
      <w:r w:rsidRPr="007A3742">
        <w:rPr>
          <w:rFonts w:eastAsia="Times New Roman" w:cs="Arial"/>
          <w:color w:val="000000" w:themeColor="text1"/>
        </w:rPr>
        <w:t xml:space="preserve">Direct federal assistance in a pandemic can include, among other things, providing emergency medical care and temporary medical facilities; supplying food, </w:t>
      </w:r>
      <w:r w:rsidRPr="007A3742">
        <w:rPr>
          <w:rFonts w:eastAsia="Times New Roman" w:cs="Arial"/>
          <w:color w:val="000000" w:themeColor="text1"/>
        </w:rPr>
        <w:lastRenderedPageBreak/>
        <w:t>water, medicine, and other supplies; and management control and reduction of immediate threats to public health and safety. Assistance provided by FEMA under the Stafford Act in response to a pandemic influenza declaration may not duplicate assistance provided or available under the authority of other federal agencies, including HHS.</w:t>
      </w:r>
    </w:p>
    <w:p w14:paraId="734F7066" w14:textId="77777777" w:rsidR="00342BAE" w:rsidRDefault="00342BAE" w:rsidP="00825E69">
      <w:pPr>
        <w:shd w:val="clear" w:color="auto" w:fill="FFFFFF"/>
        <w:spacing w:line="480" w:lineRule="auto"/>
        <w:textAlignment w:val="baseline"/>
        <w:rPr>
          <w:rFonts w:eastAsia="Times New Roman" w:cs="Arial"/>
          <w:b/>
          <w:bCs/>
          <w:color w:val="000000" w:themeColor="text1"/>
          <w:bdr w:val="none" w:sz="0" w:space="0" w:color="auto" w:frame="1"/>
        </w:rPr>
      </w:pPr>
    </w:p>
    <w:p w14:paraId="4997E09B" w14:textId="77777777" w:rsidR="00342BAE" w:rsidRPr="007A3742" w:rsidRDefault="00342BAE" w:rsidP="00825E69">
      <w:pPr>
        <w:shd w:val="clear" w:color="auto" w:fill="FFFFFF"/>
        <w:spacing w:line="480" w:lineRule="auto"/>
        <w:textAlignment w:val="baseline"/>
        <w:rPr>
          <w:rFonts w:eastAsia="Times New Roman" w:cs="Arial"/>
          <w:color w:val="000000" w:themeColor="text1"/>
        </w:rPr>
      </w:pPr>
      <w:r w:rsidRPr="007A3742">
        <w:rPr>
          <w:rFonts w:eastAsia="Times New Roman" w:cs="Arial"/>
          <w:b/>
          <w:bCs/>
          <w:color w:val="000000" w:themeColor="text1"/>
          <w:bdr w:val="none" w:sz="0" w:space="0" w:color="auto" w:frame="1"/>
        </w:rPr>
        <w:t>Mutual Aid Agreement Reimbursement—</w:t>
      </w:r>
      <w:r w:rsidRPr="007A3742">
        <w:rPr>
          <w:rFonts w:eastAsia="Times New Roman" w:cs="Arial"/>
          <w:color w:val="000000" w:themeColor="text1"/>
        </w:rPr>
        <w:t>FEMA will reimburse for services provided through written mutual aid agreements, like the </w:t>
      </w:r>
      <w:hyperlink r:id="rId100" w:anchor="Emergency-Management" w:tooltip="Emergency Management Assistance Compact (EMAC)" w:history="1">
        <w:r w:rsidRPr="007A3742">
          <w:rPr>
            <w:rFonts w:eastAsia="Times New Roman" w:cs="Arial"/>
            <w:color w:val="0F88B8"/>
            <w:bdr w:val="none" w:sz="0" w:space="0" w:color="auto" w:frame="1"/>
          </w:rPr>
          <w:t>Emergency Management Assistance Compact (EMAC)</w:t>
        </w:r>
      </w:hyperlink>
      <w:r w:rsidRPr="007A3742">
        <w:rPr>
          <w:rFonts w:eastAsia="Times New Roman" w:cs="Arial"/>
          <w:color w:val="000000" w:themeColor="text1"/>
        </w:rPr>
        <w:t>, for aid provided to states where there has been a presidential declaration, the activities and costs directly relate to the event and eligible work, and costs are reasonable.</w:t>
      </w:r>
      <w:r w:rsidRPr="007A3742">
        <w:rPr>
          <w:rFonts w:eastAsia="Times New Roman" w:cs="Arial"/>
          <w:color w:val="000000" w:themeColor="text1"/>
          <w:bdr w:val="none" w:sz="0" w:space="0" w:color="auto" w:frame="1"/>
          <w:vertAlign w:val="superscript"/>
        </w:rPr>
        <w:t>8 </w:t>
      </w:r>
    </w:p>
    <w:p w14:paraId="62907558" w14:textId="77777777" w:rsidR="00342BAE" w:rsidRDefault="00342BAE" w:rsidP="00825E69">
      <w:pPr>
        <w:spacing w:line="480" w:lineRule="auto"/>
        <w:rPr>
          <w:rFonts w:eastAsia="Times New Roman" w:cs="Arial"/>
          <w:b/>
          <w:bCs/>
          <w:color w:val="000000" w:themeColor="text1"/>
        </w:rPr>
      </w:pPr>
    </w:p>
    <w:p w14:paraId="5AF2A568" w14:textId="77777777" w:rsidR="00342BAE" w:rsidRPr="007A3742" w:rsidRDefault="00342BAE" w:rsidP="00825E69">
      <w:pPr>
        <w:spacing w:line="480" w:lineRule="auto"/>
        <w:rPr>
          <w:rFonts w:eastAsia="Times New Roman" w:cs="Arial"/>
          <w:b/>
          <w:bCs/>
          <w:color w:val="000000" w:themeColor="text1"/>
        </w:rPr>
      </w:pPr>
      <w:r w:rsidRPr="007A3742">
        <w:rPr>
          <w:rFonts w:eastAsia="Times New Roman" w:cs="Arial"/>
          <w:b/>
          <w:bCs/>
          <w:color w:val="000000" w:themeColor="text1"/>
        </w:rPr>
        <w:t>Immunity and Liability Issues</w:t>
      </w:r>
    </w:p>
    <w:p w14:paraId="29C06AF6" w14:textId="77777777" w:rsidR="00342BAE" w:rsidRDefault="00342BAE" w:rsidP="00825E69">
      <w:pPr>
        <w:shd w:val="clear" w:color="auto" w:fill="FFFFFF"/>
        <w:spacing w:line="480" w:lineRule="auto"/>
        <w:textAlignment w:val="baseline"/>
        <w:rPr>
          <w:rFonts w:eastAsia="Times New Roman" w:cs="Arial"/>
          <w:color w:val="737373"/>
        </w:rPr>
      </w:pPr>
      <w:r w:rsidRPr="007A3742">
        <w:rPr>
          <w:rFonts w:eastAsia="Times New Roman" w:cs="Arial"/>
          <w:color w:val="000000" w:themeColor="text1"/>
        </w:rPr>
        <w:t>The Stafford Act does not directly address liability protections or immunities; however, personnel and resources deployed during the response may be eligible for liability protections under other laws. Personnel deployed as part of the </w:t>
      </w:r>
      <w:hyperlink r:id="rId101" w:anchor="Medical-Reserve-Corps-(MRC)" w:tooltip="Medical Reserve Corps" w:history="1">
        <w:r w:rsidRPr="007A3742">
          <w:rPr>
            <w:rFonts w:eastAsia="Times New Roman" w:cs="Arial"/>
            <w:color w:val="0F88B8"/>
            <w:bdr w:val="none" w:sz="0" w:space="0" w:color="auto" w:frame="1"/>
          </w:rPr>
          <w:t>Medical Reserve Corps</w:t>
        </w:r>
      </w:hyperlink>
      <w:r w:rsidRPr="007A3742">
        <w:rPr>
          <w:rFonts w:eastAsia="Times New Roman" w:cs="Arial"/>
          <w:color w:val="737373"/>
        </w:rPr>
        <w:t> </w:t>
      </w:r>
      <w:r w:rsidRPr="007A3742">
        <w:rPr>
          <w:rFonts w:eastAsia="Times New Roman" w:cs="Arial"/>
          <w:color w:val="000000" w:themeColor="text1"/>
        </w:rPr>
        <w:t>or</w:t>
      </w:r>
      <w:r w:rsidRPr="007A3742">
        <w:rPr>
          <w:rFonts w:eastAsia="Times New Roman" w:cs="Arial"/>
          <w:color w:val="737373"/>
        </w:rPr>
        <w:t> </w:t>
      </w:r>
      <w:hyperlink r:id="rId102" w:anchor="National-Disaster-Medical-System-(NDMS)" w:tooltip="National Disaster Medical System" w:history="1">
        <w:r w:rsidRPr="007A3742">
          <w:rPr>
            <w:rFonts w:eastAsia="Times New Roman" w:cs="Arial"/>
            <w:color w:val="0F88B8"/>
            <w:bdr w:val="none" w:sz="0" w:space="0" w:color="auto" w:frame="1"/>
          </w:rPr>
          <w:t>National Disaster Medical System</w:t>
        </w:r>
      </w:hyperlink>
      <w:r w:rsidRPr="007A3742">
        <w:rPr>
          <w:rFonts w:eastAsia="Times New Roman" w:cs="Arial"/>
          <w:color w:val="737373"/>
        </w:rPr>
        <w:t> </w:t>
      </w:r>
      <w:r w:rsidRPr="007A3742">
        <w:rPr>
          <w:rFonts w:eastAsia="Times New Roman" w:cs="Arial"/>
          <w:color w:val="000000" w:themeColor="text1"/>
        </w:rPr>
        <w:t>have liability protections through other federal laws. Responders deployed through the EMAC may be covered by state liability protections. Specified countermeasures may be covered under the </w:t>
      </w:r>
      <w:hyperlink r:id="rId103" w:anchor="Public-Readiness-and-Emergency-Preparedness-Act" w:tooltip="Public Readiness and Emergency Preparedness Act (PREP Act)" w:history="1">
        <w:r w:rsidRPr="007A3742">
          <w:rPr>
            <w:rFonts w:eastAsia="Times New Roman" w:cs="Arial"/>
            <w:color w:val="0F88B8"/>
            <w:bdr w:val="none" w:sz="0" w:space="0" w:color="auto" w:frame="1"/>
          </w:rPr>
          <w:t>Public Readiness and Emergency Preparedness Act (PREP Act)</w:t>
        </w:r>
      </w:hyperlink>
      <w:r w:rsidRPr="007A3742">
        <w:rPr>
          <w:rFonts w:eastAsia="Times New Roman" w:cs="Arial"/>
          <w:color w:val="737373"/>
        </w:rPr>
        <w:t>. </w:t>
      </w:r>
    </w:p>
    <w:p w14:paraId="55D43396" w14:textId="77777777" w:rsidR="00342BAE" w:rsidRPr="007A3742" w:rsidRDefault="00342BAE" w:rsidP="00825E69">
      <w:pPr>
        <w:shd w:val="clear" w:color="auto" w:fill="FFFFFF"/>
        <w:spacing w:line="480" w:lineRule="auto"/>
        <w:textAlignment w:val="baseline"/>
        <w:rPr>
          <w:rFonts w:eastAsia="Times New Roman" w:cs="Arial"/>
          <w:color w:val="737373"/>
        </w:rPr>
      </w:pPr>
    </w:p>
    <w:p w14:paraId="48CBE1A0" w14:textId="77777777" w:rsidR="00342BAE" w:rsidRPr="007A3742" w:rsidRDefault="00342BAE" w:rsidP="00825E69">
      <w:pPr>
        <w:spacing w:line="480" w:lineRule="auto"/>
        <w:rPr>
          <w:rFonts w:eastAsia="Times New Roman" w:cs="Arial"/>
          <w:b/>
          <w:bCs/>
          <w:color w:val="3C3030"/>
          <w:sz w:val="24"/>
          <w:szCs w:val="24"/>
        </w:rPr>
      </w:pPr>
      <w:r w:rsidRPr="007A3742">
        <w:rPr>
          <w:rFonts w:eastAsia="Times New Roman" w:cs="Arial"/>
          <w:b/>
          <w:bCs/>
          <w:color w:val="3C3030"/>
          <w:sz w:val="24"/>
          <w:szCs w:val="24"/>
        </w:rPr>
        <w:t>How the Law Affects States</w:t>
      </w:r>
    </w:p>
    <w:p w14:paraId="509B92B0" w14:textId="77777777" w:rsidR="00342BAE" w:rsidRPr="007A3742" w:rsidRDefault="00342BAE" w:rsidP="00825E69">
      <w:pPr>
        <w:shd w:val="clear" w:color="auto" w:fill="FFFFFF"/>
        <w:spacing w:line="480" w:lineRule="auto"/>
        <w:textAlignment w:val="baseline"/>
        <w:rPr>
          <w:rFonts w:eastAsia="Times New Roman" w:cs="Arial"/>
          <w:color w:val="000000" w:themeColor="text1"/>
          <w:szCs w:val="20"/>
        </w:rPr>
      </w:pPr>
      <w:r w:rsidRPr="007A3742">
        <w:rPr>
          <w:rFonts w:eastAsia="Times New Roman" w:cs="Arial"/>
          <w:color w:val="000000" w:themeColor="text1"/>
          <w:szCs w:val="20"/>
        </w:rPr>
        <w:t xml:space="preserve">The aid triggered by a Stafford Act declaration provides states and localities with financial, technical, and logistical support during emergency events that overwhelm their capacity to respond. The Stafford Act and its implementing rules, policies, and </w:t>
      </w:r>
      <w:proofErr w:type="spellStart"/>
      <w:r w:rsidRPr="007A3742">
        <w:rPr>
          <w:rFonts w:eastAsia="Times New Roman" w:cs="Arial"/>
          <w:color w:val="000000" w:themeColor="text1"/>
          <w:szCs w:val="20"/>
        </w:rPr>
        <w:t>guidances</w:t>
      </w:r>
      <w:proofErr w:type="spellEnd"/>
      <w:r w:rsidRPr="007A3742">
        <w:rPr>
          <w:rFonts w:eastAsia="Times New Roman" w:cs="Arial"/>
          <w:color w:val="000000" w:themeColor="text1"/>
          <w:szCs w:val="20"/>
        </w:rPr>
        <w:t xml:space="preserve"> create a highly structured system through which states seek assistance. The </w:t>
      </w:r>
      <w:hyperlink r:id="rId104" w:anchor="National-Response-Framework-(NRF)" w:tooltip="National Response Framework" w:history="1">
        <w:r w:rsidRPr="007A3742">
          <w:rPr>
            <w:rFonts w:eastAsia="Times New Roman" w:cs="Arial"/>
            <w:color w:val="0F88B8"/>
            <w:szCs w:val="20"/>
            <w:bdr w:val="none" w:sz="0" w:space="0" w:color="auto" w:frame="1"/>
          </w:rPr>
          <w:t>National Response Framework</w:t>
        </w:r>
      </w:hyperlink>
      <w:r w:rsidRPr="007A3742">
        <w:rPr>
          <w:rFonts w:eastAsia="Times New Roman" w:cs="Arial"/>
          <w:color w:val="737373"/>
          <w:szCs w:val="20"/>
        </w:rPr>
        <w:t> </w:t>
      </w:r>
      <w:r w:rsidRPr="007A3742">
        <w:rPr>
          <w:rFonts w:eastAsia="Times New Roman" w:cs="Arial"/>
          <w:color w:val="000000" w:themeColor="text1"/>
          <w:szCs w:val="20"/>
        </w:rPr>
        <w:t>and the </w:t>
      </w:r>
      <w:hyperlink r:id="rId105" w:anchor="National-Incident-Management-System-(NIMS)" w:tooltip="National Incident Management System" w:history="1">
        <w:r w:rsidRPr="007A3742">
          <w:rPr>
            <w:rFonts w:eastAsia="Times New Roman" w:cs="Arial"/>
            <w:color w:val="0F88B8"/>
            <w:szCs w:val="20"/>
            <w:bdr w:val="none" w:sz="0" w:space="0" w:color="auto" w:frame="1"/>
          </w:rPr>
          <w:t xml:space="preserve">National Incident Management </w:t>
        </w:r>
        <w:r w:rsidRPr="007A3742">
          <w:rPr>
            <w:rFonts w:eastAsia="Times New Roman" w:cs="Arial"/>
            <w:color w:val="0F88B8"/>
            <w:szCs w:val="20"/>
            <w:bdr w:val="none" w:sz="0" w:space="0" w:color="auto" w:frame="1"/>
          </w:rPr>
          <w:lastRenderedPageBreak/>
          <w:t>System</w:t>
        </w:r>
      </w:hyperlink>
      <w:r w:rsidRPr="007A3742">
        <w:rPr>
          <w:rFonts w:eastAsia="Times New Roman" w:cs="Arial"/>
          <w:color w:val="737373"/>
          <w:szCs w:val="20"/>
        </w:rPr>
        <w:t> </w:t>
      </w:r>
      <w:r w:rsidRPr="007A3742">
        <w:rPr>
          <w:rFonts w:eastAsia="Times New Roman" w:cs="Arial"/>
          <w:color w:val="000000" w:themeColor="text1"/>
          <w:szCs w:val="20"/>
        </w:rPr>
        <w:t>further define roles of federal, state, and local governments and other sectors in responding to events of various sizes, not just those severe enough to qualify for coverage under the Stafford Act.</w:t>
      </w:r>
    </w:p>
    <w:p w14:paraId="7B57426D" w14:textId="77777777" w:rsidR="00342BAE" w:rsidRPr="007A3742" w:rsidRDefault="00342BAE" w:rsidP="00825E69">
      <w:pPr>
        <w:shd w:val="clear" w:color="auto" w:fill="FFFFFF"/>
        <w:spacing w:line="480" w:lineRule="auto"/>
        <w:textAlignment w:val="baseline"/>
        <w:rPr>
          <w:rFonts w:eastAsia="Times New Roman" w:cs="Arial"/>
          <w:color w:val="000000" w:themeColor="text1"/>
          <w:szCs w:val="20"/>
        </w:rPr>
      </w:pPr>
      <w:r w:rsidRPr="007A3742">
        <w:rPr>
          <w:rFonts w:eastAsia="Times New Roman" w:cs="Arial"/>
          <w:color w:val="000000" w:themeColor="text1"/>
          <w:szCs w:val="20"/>
        </w:rPr>
        <w:t> </w:t>
      </w:r>
    </w:p>
    <w:p w14:paraId="5D9C3D4B" w14:textId="77777777" w:rsidR="00342BAE" w:rsidRPr="007A3742" w:rsidRDefault="00342BAE" w:rsidP="00825E69">
      <w:pPr>
        <w:spacing w:after="120" w:line="480" w:lineRule="auto"/>
        <w:rPr>
          <w:rFonts w:eastAsia="Times New Roman" w:cs="Arial"/>
          <w:b/>
          <w:bCs/>
          <w:color w:val="3C3030"/>
          <w:sz w:val="24"/>
          <w:szCs w:val="24"/>
        </w:rPr>
      </w:pPr>
      <w:r w:rsidRPr="007A3742">
        <w:rPr>
          <w:rFonts w:eastAsia="Times New Roman" w:cs="Arial"/>
          <w:b/>
          <w:bCs/>
          <w:color w:val="3C3030"/>
          <w:sz w:val="24"/>
          <w:szCs w:val="24"/>
        </w:rPr>
        <w:t>Practice Notes</w:t>
      </w:r>
    </w:p>
    <w:p w14:paraId="4DE83D16" w14:textId="77777777" w:rsidR="00342BAE" w:rsidRPr="003E7D6B" w:rsidRDefault="00342BAE" w:rsidP="00224AC9">
      <w:pPr>
        <w:pStyle w:val="ListParagraph"/>
        <w:numPr>
          <w:ilvl w:val="0"/>
          <w:numId w:val="42"/>
        </w:numPr>
        <w:spacing w:after="120" w:line="480" w:lineRule="auto"/>
        <w:ind w:left="360"/>
        <w:contextualSpacing w:val="0"/>
        <w:textAlignment w:val="baseline"/>
        <w:rPr>
          <w:rFonts w:eastAsia="Times New Roman" w:cs="Arial"/>
          <w:color w:val="000000" w:themeColor="text1"/>
          <w:szCs w:val="20"/>
        </w:rPr>
      </w:pPr>
      <w:r w:rsidRPr="003E7D6B">
        <w:rPr>
          <w:rFonts w:eastAsia="Times New Roman" w:cs="Arial"/>
          <w:color w:val="000000" w:themeColor="text1"/>
          <w:szCs w:val="20"/>
        </w:rPr>
        <w:t>Understand how public health and other emergencies or disasters are legally defined in your state.</w:t>
      </w:r>
    </w:p>
    <w:p w14:paraId="617C62D6" w14:textId="77777777" w:rsidR="00342BAE" w:rsidRPr="003E7D6B" w:rsidRDefault="00342BAE" w:rsidP="00224AC9">
      <w:pPr>
        <w:pStyle w:val="ListParagraph"/>
        <w:numPr>
          <w:ilvl w:val="0"/>
          <w:numId w:val="42"/>
        </w:numPr>
        <w:spacing w:after="120" w:line="480" w:lineRule="auto"/>
        <w:ind w:left="360"/>
        <w:contextualSpacing w:val="0"/>
        <w:textAlignment w:val="baseline"/>
        <w:rPr>
          <w:rFonts w:eastAsia="Times New Roman" w:cs="Arial"/>
          <w:color w:val="000000" w:themeColor="text1"/>
          <w:szCs w:val="20"/>
        </w:rPr>
      </w:pPr>
      <w:r w:rsidRPr="003E7D6B">
        <w:rPr>
          <w:rFonts w:eastAsia="Times New Roman" w:cs="Arial"/>
          <w:color w:val="000000" w:themeColor="text1"/>
          <w:szCs w:val="20"/>
        </w:rPr>
        <w:t>Identify state agencies and offices that interact with FEMA and understand the health agency’s role during emergencies and disasters.</w:t>
      </w:r>
    </w:p>
    <w:p w14:paraId="7BE89084" w14:textId="77777777" w:rsidR="00342BAE" w:rsidRDefault="00342BAE" w:rsidP="00825E69">
      <w:pPr>
        <w:spacing w:line="480" w:lineRule="auto"/>
        <w:rPr>
          <w:color w:val="000000" w:themeColor="text1"/>
        </w:rPr>
      </w:pPr>
    </w:p>
    <w:p w14:paraId="23FD23EC" w14:textId="77777777" w:rsidR="00342BAE" w:rsidRDefault="00342BAE" w:rsidP="00825E69">
      <w:pPr>
        <w:spacing w:line="480" w:lineRule="auto"/>
        <w:rPr>
          <w:color w:val="000000" w:themeColor="text1"/>
        </w:rPr>
      </w:pPr>
      <w:r>
        <w:rPr>
          <w:color w:val="000000" w:themeColor="text1"/>
        </w:rPr>
        <w:t>__________________________________________________________________________</w:t>
      </w:r>
    </w:p>
    <w:p w14:paraId="4157D3E6" w14:textId="77777777" w:rsidR="00342BAE" w:rsidRPr="002B697F" w:rsidRDefault="00342BAE" w:rsidP="00825E69">
      <w:pPr>
        <w:spacing w:line="480" w:lineRule="auto"/>
        <w:rPr>
          <w:rFonts w:ascii="Calibri" w:hAnsi="Calibri"/>
          <w:color w:val="000000" w:themeColor="text1"/>
        </w:rPr>
      </w:pPr>
    </w:p>
    <w:p w14:paraId="6168FD1D" w14:textId="77777777" w:rsidR="00342BAE" w:rsidRPr="002B697F" w:rsidRDefault="00342BAE" w:rsidP="00825E69">
      <w:pPr>
        <w:spacing w:line="480" w:lineRule="auto"/>
        <w:rPr>
          <w:rFonts w:ascii="Calibri" w:eastAsia="Times New Roman" w:hAnsi="Calibri" w:cs="Arial"/>
          <w:b/>
          <w:bCs/>
          <w:color w:val="3C3030"/>
        </w:rPr>
      </w:pPr>
      <w:r w:rsidRPr="002B697F">
        <w:rPr>
          <w:rFonts w:ascii="Calibri" w:eastAsia="Times New Roman" w:hAnsi="Calibri" w:cs="Arial"/>
          <w:b/>
          <w:bCs/>
          <w:color w:val="3C3030"/>
        </w:rPr>
        <w:t>Sources and Notes</w:t>
      </w:r>
    </w:p>
    <w:p w14:paraId="13C32438" w14:textId="77777777" w:rsidR="00342BAE" w:rsidRPr="002B697F" w:rsidRDefault="00342BAE" w:rsidP="00224AC9">
      <w:pPr>
        <w:numPr>
          <w:ilvl w:val="0"/>
          <w:numId w:val="43"/>
        </w:numPr>
        <w:spacing w:line="480" w:lineRule="auto"/>
        <w:ind w:left="450"/>
        <w:textAlignment w:val="baseline"/>
        <w:rPr>
          <w:rFonts w:ascii="Calibri" w:eastAsia="Times New Roman" w:hAnsi="Calibri" w:cs="Arial"/>
          <w:color w:val="000000" w:themeColor="text1"/>
        </w:rPr>
      </w:pPr>
      <w:r w:rsidRPr="002B697F">
        <w:rPr>
          <w:rFonts w:ascii="Calibri" w:eastAsia="Times New Roman" w:hAnsi="Calibri" w:cs="Arial"/>
          <w:color w:val="000000" w:themeColor="text1"/>
        </w:rPr>
        <w:t>Robert T. Stafford Disaster Relief and Emergency Assistance Act of 1988. Pub. L. No. 100-707; amending Pub. L. No. 93-288. Codified at 42 U.S.C. §§ 5121-5207.</w:t>
      </w:r>
    </w:p>
    <w:p w14:paraId="40513449" w14:textId="77777777" w:rsidR="00342BAE" w:rsidRPr="002B697F" w:rsidRDefault="00342BAE" w:rsidP="00224AC9">
      <w:pPr>
        <w:numPr>
          <w:ilvl w:val="0"/>
          <w:numId w:val="43"/>
        </w:numPr>
        <w:spacing w:line="480" w:lineRule="auto"/>
        <w:ind w:left="450"/>
        <w:textAlignment w:val="baseline"/>
        <w:rPr>
          <w:rFonts w:ascii="Calibri" w:eastAsia="Times New Roman" w:hAnsi="Calibri" w:cs="Arial"/>
          <w:color w:val="000000" w:themeColor="text1"/>
        </w:rPr>
      </w:pPr>
      <w:r w:rsidRPr="002B697F">
        <w:rPr>
          <w:rFonts w:ascii="Calibri" w:eastAsia="Times New Roman" w:hAnsi="Calibri" w:cs="Arial"/>
          <w:color w:val="000000" w:themeColor="text1"/>
        </w:rPr>
        <w:t>CDC, Public Health Law Program. “Selected Federal Legal Authorities Pertinent to Public Health Emergencies.” September 2009. Available at </w:t>
      </w:r>
      <w:hyperlink r:id="rId106" w:tooltip="http://www2.cdc.gov/phlp/docs/Selected%20Fed%20Legal%20Authorities%20re%20PH%20Emergencies%20102709%20v2.pdf" w:history="1">
        <w:r w:rsidRPr="002B697F">
          <w:rPr>
            <w:rFonts w:ascii="Calibri" w:eastAsia="Times New Roman" w:hAnsi="Calibri" w:cs="Arial"/>
            <w:color w:val="0F88B8"/>
            <w:u w:val="single"/>
            <w:bdr w:val="none" w:sz="0" w:space="0" w:color="auto" w:frame="1"/>
          </w:rPr>
          <w:t>http://www2.cdc.gov/phlp/docs/Selected%20Fed%20Legal%20Authorities%20re%20PH%20Emergencies%20102709%20v2.pdf</w:t>
        </w:r>
      </w:hyperlink>
      <w:r w:rsidRPr="002B697F">
        <w:rPr>
          <w:rFonts w:ascii="Calibri" w:eastAsia="Times New Roman" w:hAnsi="Calibri" w:cs="Arial"/>
          <w:color w:val="737373"/>
        </w:rPr>
        <w:t xml:space="preserve">. </w:t>
      </w:r>
      <w:r w:rsidRPr="002B697F">
        <w:rPr>
          <w:rFonts w:ascii="Calibri" w:eastAsia="Times New Roman" w:hAnsi="Calibri" w:cs="Arial"/>
          <w:color w:val="000000" w:themeColor="text1"/>
        </w:rPr>
        <w:t>Accessed January 31, 2012.</w:t>
      </w:r>
    </w:p>
    <w:p w14:paraId="064FBA5A" w14:textId="77777777" w:rsidR="00342BAE" w:rsidRPr="002B697F" w:rsidRDefault="00342BAE" w:rsidP="00224AC9">
      <w:pPr>
        <w:numPr>
          <w:ilvl w:val="0"/>
          <w:numId w:val="43"/>
        </w:numPr>
        <w:spacing w:line="480" w:lineRule="auto"/>
        <w:ind w:left="450"/>
        <w:textAlignment w:val="baseline"/>
        <w:rPr>
          <w:rFonts w:ascii="Calibri" w:eastAsia="Times New Roman" w:hAnsi="Calibri" w:cs="Arial"/>
          <w:color w:val="000000" w:themeColor="text1"/>
        </w:rPr>
      </w:pPr>
      <w:r w:rsidRPr="002B697F">
        <w:rPr>
          <w:rFonts w:ascii="Calibri" w:eastAsia="Times New Roman" w:hAnsi="Calibri" w:cs="Arial"/>
          <w:color w:val="000000" w:themeColor="text1"/>
        </w:rPr>
        <w:t>HHS. “Legal Authority and Related Guidance.” Available at </w:t>
      </w:r>
      <w:hyperlink r:id="rId107" w:tooltip="www.phe.gov/Preparedness/planning/authority/Pages/default.aspx" w:history="1">
        <w:r w:rsidRPr="002B697F">
          <w:rPr>
            <w:rFonts w:ascii="Calibri" w:eastAsia="Times New Roman" w:hAnsi="Calibri" w:cs="Arial"/>
            <w:color w:val="0F88B8"/>
            <w:u w:val="single"/>
            <w:bdr w:val="none" w:sz="0" w:space="0" w:color="auto" w:frame="1"/>
          </w:rPr>
          <w:t>www.phe.gov/Preparedness/planning/authority/Pages/default.aspx</w:t>
        </w:r>
      </w:hyperlink>
      <w:r w:rsidRPr="002B697F">
        <w:rPr>
          <w:rFonts w:ascii="Calibri" w:eastAsia="Times New Roman" w:hAnsi="Calibri" w:cs="Arial"/>
          <w:color w:val="737373"/>
        </w:rPr>
        <w:t xml:space="preserve">. </w:t>
      </w:r>
      <w:r w:rsidRPr="002B697F">
        <w:rPr>
          <w:rFonts w:ascii="Calibri" w:eastAsia="Times New Roman" w:hAnsi="Calibri" w:cs="Arial"/>
          <w:color w:val="000000" w:themeColor="text1"/>
        </w:rPr>
        <w:t>Accessed January 31, 2012.</w:t>
      </w:r>
    </w:p>
    <w:p w14:paraId="3BACBC67" w14:textId="77777777" w:rsidR="00342BAE" w:rsidRPr="002B697F" w:rsidRDefault="00342BAE" w:rsidP="00224AC9">
      <w:pPr>
        <w:numPr>
          <w:ilvl w:val="0"/>
          <w:numId w:val="43"/>
        </w:numPr>
        <w:spacing w:line="480" w:lineRule="auto"/>
        <w:ind w:left="450"/>
        <w:textAlignment w:val="baseline"/>
        <w:rPr>
          <w:rFonts w:ascii="Calibri" w:eastAsia="Times New Roman" w:hAnsi="Calibri" w:cs="Arial"/>
          <w:color w:val="000000" w:themeColor="text1"/>
        </w:rPr>
      </w:pPr>
      <w:r w:rsidRPr="002B697F">
        <w:rPr>
          <w:rFonts w:ascii="Calibri" w:eastAsia="Times New Roman" w:hAnsi="Calibri" w:cs="Arial"/>
          <w:color w:val="000000" w:themeColor="text1"/>
        </w:rPr>
        <w:t>See generally 44 CFR Parts 1-362 and FEMA website at</w:t>
      </w:r>
      <w:r w:rsidRPr="002B697F">
        <w:rPr>
          <w:rFonts w:ascii="Calibri" w:eastAsia="Times New Roman" w:hAnsi="Calibri" w:cs="Arial"/>
          <w:color w:val="737373"/>
        </w:rPr>
        <w:t> </w:t>
      </w:r>
      <w:hyperlink r:id="rId108" w:tooltip="www.fema.gov/index.shtm" w:history="1">
        <w:r w:rsidRPr="002B697F">
          <w:rPr>
            <w:rFonts w:ascii="Calibri" w:eastAsia="Times New Roman" w:hAnsi="Calibri" w:cs="Arial"/>
            <w:color w:val="0F88B8"/>
            <w:u w:val="single"/>
            <w:bdr w:val="none" w:sz="0" w:space="0" w:color="auto" w:frame="1"/>
          </w:rPr>
          <w:t>www.fema.gov/index.shtm</w:t>
        </w:r>
      </w:hyperlink>
      <w:r w:rsidRPr="002B697F">
        <w:rPr>
          <w:rFonts w:ascii="Calibri" w:eastAsia="Times New Roman" w:hAnsi="Calibri" w:cs="Arial"/>
          <w:color w:val="737373"/>
        </w:rPr>
        <w:t xml:space="preserve">. </w:t>
      </w:r>
      <w:r w:rsidRPr="002B697F">
        <w:rPr>
          <w:rFonts w:ascii="Calibri" w:eastAsia="Times New Roman" w:hAnsi="Calibri" w:cs="Arial"/>
          <w:color w:val="000000" w:themeColor="text1"/>
        </w:rPr>
        <w:t>Accessed January 31, 2012.</w:t>
      </w:r>
    </w:p>
    <w:p w14:paraId="6CC48D9D" w14:textId="77777777" w:rsidR="00342BAE" w:rsidRPr="002B697F" w:rsidRDefault="00342BAE" w:rsidP="00224AC9">
      <w:pPr>
        <w:numPr>
          <w:ilvl w:val="0"/>
          <w:numId w:val="43"/>
        </w:numPr>
        <w:spacing w:line="480" w:lineRule="auto"/>
        <w:ind w:left="450"/>
        <w:textAlignment w:val="baseline"/>
        <w:rPr>
          <w:rFonts w:ascii="Calibri" w:eastAsia="Times New Roman" w:hAnsi="Calibri" w:cs="Arial"/>
          <w:color w:val="000000" w:themeColor="text1"/>
        </w:rPr>
      </w:pPr>
      <w:r w:rsidRPr="002B697F">
        <w:rPr>
          <w:rFonts w:ascii="Calibri" w:eastAsia="Times New Roman" w:hAnsi="Calibri" w:cs="Arial"/>
          <w:color w:val="000000" w:themeColor="text1"/>
        </w:rPr>
        <w:lastRenderedPageBreak/>
        <w:t>FEMA. “Eligible Applicants.” Available at </w:t>
      </w:r>
      <w:hyperlink r:id="rId109" w:tooltip="www.fema.gov/government/grant/pa/eligibility_applicants.shtm" w:history="1">
        <w:r w:rsidRPr="002B697F">
          <w:rPr>
            <w:rFonts w:ascii="Calibri" w:eastAsia="Times New Roman" w:hAnsi="Calibri" w:cs="Arial"/>
            <w:color w:val="0F88B8"/>
            <w:u w:val="single"/>
            <w:bdr w:val="none" w:sz="0" w:space="0" w:color="auto" w:frame="1"/>
          </w:rPr>
          <w:t>www.fema.gov/government/grant/pa/eligibility_applicants.shtm</w:t>
        </w:r>
      </w:hyperlink>
      <w:r w:rsidRPr="002B697F">
        <w:rPr>
          <w:rFonts w:ascii="Calibri" w:eastAsia="Times New Roman" w:hAnsi="Calibri" w:cs="Arial"/>
          <w:color w:val="737373"/>
        </w:rPr>
        <w:t xml:space="preserve">. </w:t>
      </w:r>
      <w:r w:rsidRPr="002B697F">
        <w:rPr>
          <w:rFonts w:ascii="Calibri" w:eastAsia="Times New Roman" w:hAnsi="Calibri" w:cs="Arial"/>
          <w:color w:val="000000" w:themeColor="text1"/>
        </w:rPr>
        <w:t>Accessed January 31, 2012. See also 44 CFR Part 206.</w:t>
      </w:r>
    </w:p>
    <w:p w14:paraId="4B79A3D7" w14:textId="77777777" w:rsidR="00342BAE" w:rsidRPr="002B697F" w:rsidRDefault="00342BAE" w:rsidP="00224AC9">
      <w:pPr>
        <w:numPr>
          <w:ilvl w:val="0"/>
          <w:numId w:val="43"/>
        </w:numPr>
        <w:spacing w:line="480" w:lineRule="auto"/>
        <w:ind w:left="450"/>
        <w:textAlignment w:val="baseline"/>
        <w:rPr>
          <w:rFonts w:ascii="Calibri" w:eastAsia="Times New Roman" w:hAnsi="Calibri" w:cs="Arial"/>
          <w:color w:val="000000" w:themeColor="text1"/>
        </w:rPr>
      </w:pPr>
      <w:r w:rsidRPr="002B697F">
        <w:rPr>
          <w:rFonts w:ascii="Calibri" w:eastAsia="Times New Roman" w:hAnsi="Calibri" w:cs="Arial"/>
          <w:color w:val="000000" w:themeColor="text1"/>
        </w:rPr>
        <w:t>FEMA. “Hazard Mitigation Grant Program.” Available at</w:t>
      </w:r>
      <w:r w:rsidRPr="002B697F">
        <w:rPr>
          <w:rFonts w:ascii="Calibri" w:eastAsia="Times New Roman" w:hAnsi="Calibri" w:cs="Arial"/>
          <w:color w:val="737373"/>
        </w:rPr>
        <w:t> </w:t>
      </w:r>
      <w:hyperlink r:id="rId110" w:tooltip="www.fema.gov/government/grant/hmgp/index.shtm" w:history="1">
        <w:r w:rsidRPr="002B697F">
          <w:rPr>
            <w:rFonts w:ascii="Calibri" w:eastAsia="Times New Roman" w:hAnsi="Calibri" w:cs="Arial"/>
            <w:color w:val="0F88B8"/>
            <w:u w:val="single"/>
            <w:bdr w:val="none" w:sz="0" w:space="0" w:color="auto" w:frame="1"/>
          </w:rPr>
          <w:t>www.fema.gov/government/grant/hmgp/index.shtm</w:t>
        </w:r>
      </w:hyperlink>
      <w:r w:rsidRPr="002B697F">
        <w:rPr>
          <w:rFonts w:ascii="Calibri" w:eastAsia="Times New Roman" w:hAnsi="Calibri" w:cs="Arial"/>
          <w:color w:val="737373"/>
        </w:rPr>
        <w:t xml:space="preserve">. </w:t>
      </w:r>
      <w:r w:rsidRPr="002B697F">
        <w:rPr>
          <w:rFonts w:ascii="Calibri" w:eastAsia="Times New Roman" w:hAnsi="Calibri" w:cs="Arial"/>
          <w:color w:val="000000" w:themeColor="text1"/>
        </w:rPr>
        <w:t>Accessed January 31, 2012. See also 44 CFR Part 206.</w:t>
      </w:r>
    </w:p>
    <w:p w14:paraId="148F46D9" w14:textId="77777777" w:rsidR="00342BAE" w:rsidRPr="002B697F" w:rsidRDefault="00342BAE" w:rsidP="00224AC9">
      <w:pPr>
        <w:numPr>
          <w:ilvl w:val="0"/>
          <w:numId w:val="43"/>
        </w:numPr>
        <w:spacing w:line="480" w:lineRule="auto"/>
        <w:ind w:left="450"/>
        <w:textAlignment w:val="baseline"/>
        <w:rPr>
          <w:rFonts w:ascii="Calibri" w:eastAsia="Times New Roman" w:hAnsi="Calibri" w:cs="Arial"/>
          <w:color w:val="000000" w:themeColor="text1"/>
        </w:rPr>
      </w:pPr>
      <w:r w:rsidRPr="002B697F">
        <w:rPr>
          <w:rFonts w:ascii="Calibri" w:eastAsia="Times New Roman" w:hAnsi="Calibri" w:cs="Arial"/>
          <w:color w:val="000000" w:themeColor="text1"/>
        </w:rPr>
        <w:t>FEMA. Emergency Assistance for Human Influenza Pandemic Disaster Assistance Policy 9523.17. November 25, 2009. </w:t>
      </w:r>
      <w:r w:rsidRPr="002B697F">
        <w:rPr>
          <w:rFonts w:ascii="Calibri" w:eastAsia="Times New Roman" w:hAnsi="Calibri" w:cs="Arial"/>
          <w:color w:val="000000" w:themeColor="text1"/>
        </w:rPr>
        <w:br/>
        <w:t>8 FEMA. Mutual Aid Agreements for Public Assistance and Fire Management Assistance Disaster Assistance Policy 9523.6. August 13, 2007.</w:t>
      </w:r>
    </w:p>
    <w:p w14:paraId="579DC135" w14:textId="7A06A387" w:rsidR="00342BAE" w:rsidRDefault="00342BAE" w:rsidP="00825E69">
      <w:pPr>
        <w:spacing w:line="480" w:lineRule="auto"/>
        <w:rPr>
          <w:rFonts w:ascii="Calibri" w:hAnsi="Calibri"/>
          <w:color w:val="000000" w:themeColor="text1"/>
        </w:rPr>
      </w:pPr>
    </w:p>
    <w:p w14:paraId="35BD0C17" w14:textId="77777777" w:rsidR="00D55525" w:rsidRDefault="00D55525" w:rsidP="00D55525">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TOC to</w:t>
        </w:r>
        <w:r w:rsidRPr="00B16B87">
          <w:rPr>
            <w:rStyle w:val="Hyperlink"/>
            <w:rFonts w:ascii="Calibri" w:hAnsi="Calibri" w:cs="Calibri"/>
            <w:sz w:val="24"/>
          </w:rPr>
          <w:t>p</w:t>
        </w:r>
      </w:hyperlink>
      <w:r>
        <w:rPr>
          <w:rFonts w:ascii="Calibri" w:hAnsi="Calibri" w:cs="Calibri"/>
          <w:sz w:val="24"/>
        </w:rPr>
        <w:t>]</w:t>
      </w:r>
    </w:p>
    <w:p w14:paraId="6BBC66B5" w14:textId="30859C35" w:rsidR="00D55525" w:rsidRDefault="00D55525">
      <w:pPr>
        <w:rPr>
          <w:rFonts w:ascii="Calibri" w:hAnsi="Calibri"/>
          <w:color w:val="000000" w:themeColor="text1"/>
        </w:rPr>
      </w:pPr>
      <w:r>
        <w:rPr>
          <w:rFonts w:ascii="Calibri" w:hAnsi="Calibri"/>
          <w:color w:val="000000" w:themeColor="text1"/>
        </w:rPr>
        <w:br w:type="page"/>
      </w:r>
    </w:p>
    <w:p w14:paraId="488A4B01" w14:textId="77777777" w:rsidR="00342BAE" w:rsidRPr="00805BD1" w:rsidRDefault="00342BAE" w:rsidP="00825E69">
      <w:pPr>
        <w:rPr>
          <w:rFonts w:ascii="Calibri" w:eastAsia="Times New Roman" w:hAnsi="Calibri" w:cs="Helvetica"/>
          <w:b/>
          <w:bCs/>
          <w:color w:val="333333"/>
          <w:spacing w:val="15"/>
          <w:kern w:val="36"/>
          <w:sz w:val="28"/>
          <w:szCs w:val="28"/>
        </w:rPr>
      </w:pPr>
      <w:bookmarkStart w:id="15" w:name="SSA1135_FS"/>
      <w:r w:rsidRPr="00805BD1">
        <w:rPr>
          <w:rFonts w:ascii="Calibri" w:eastAsia="Times New Roman" w:hAnsi="Calibri" w:cs="Helvetica"/>
          <w:b/>
          <w:bCs/>
          <w:color w:val="333333"/>
          <w:spacing w:val="15"/>
          <w:kern w:val="36"/>
          <w:sz w:val="28"/>
          <w:szCs w:val="28"/>
        </w:rPr>
        <w:lastRenderedPageBreak/>
        <w:t>Social Security Act, Section 1135</w:t>
      </w:r>
      <w:bookmarkEnd w:id="15"/>
    </w:p>
    <w:p w14:paraId="7C6C371B" w14:textId="77777777" w:rsidR="00342BAE" w:rsidRPr="00805BD1" w:rsidRDefault="00342BAE" w:rsidP="00825E69">
      <w:pPr>
        <w:spacing w:after="120"/>
        <w:rPr>
          <w:rFonts w:ascii="Calibri" w:eastAsia="Times New Roman" w:hAnsi="Calibri" w:cs="Helvetica"/>
          <w:b/>
          <w:bCs/>
          <w:color w:val="333333"/>
          <w:spacing w:val="15"/>
          <w:kern w:val="36"/>
          <w:sz w:val="28"/>
          <w:szCs w:val="28"/>
        </w:rPr>
      </w:pPr>
      <w:r w:rsidRPr="00805BD1">
        <w:rPr>
          <w:rFonts w:ascii="Calibri" w:eastAsia="Times New Roman" w:hAnsi="Calibri" w:cs="Helvetica"/>
          <w:b/>
          <w:bCs/>
          <w:color w:val="333333"/>
          <w:spacing w:val="15"/>
          <w:kern w:val="36"/>
          <w:sz w:val="28"/>
          <w:szCs w:val="28"/>
        </w:rPr>
        <w:t>Waiver Authority in National Emergencies</w:t>
      </w:r>
    </w:p>
    <w:p w14:paraId="5E8B0D87" w14:textId="77777777" w:rsidR="00342BAE" w:rsidRPr="00805BD1" w:rsidRDefault="00342BAE" w:rsidP="00825E69">
      <w:pPr>
        <w:rPr>
          <w:rFonts w:ascii="Calibri" w:eastAsia="Times New Roman" w:hAnsi="Calibri" w:cs="Arial"/>
          <w:b/>
          <w:bCs/>
          <w:color w:val="3C3030"/>
          <w:sz w:val="24"/>
          <w:szCs w:val="24"/>
        </w:rPr>
      </w:pPr>
      <w:r w:rsidRPr="00805BD1">
        <w:rPr>
          <w:rFonts w:ascii="Calibri" w:eastAsia="Times New Roman" w:hAnsi="Calibri" w:cs="Arial"/>
          <w:b/>
          <w:bCs/>
          <w:color w:val="3C3030"/>
          <w:sz w:val="24"/>
          <w:szCs w:val="24"/>
        </w:rPr>
        <w:t>Fact Sheet</w:t>
      </w:r>
    </w:p>
    <w:p w14:paraId="1792E4AA" w14:textId="77777777" w:rsidR="00342BAE" w:rsidRPr="00805BD1" w:rsidRDefault="00342BAE" w:rsidP="00825E69">
      <w:pPr>
        <w:shd w:val="clear" w:color="auto" w:fill="FFFFFF"/>
        <w:spacing w:line="480" w:lineRule="auto"/>
        <w:textAlignment w:val="baseline"/>
        <w:rPr>
          <w:rFonts w:ascii="Calibri" w:eastAsia="Times New Roman" w:hAnsi="Calibri" w:cs="Arial"/>
          <w:color w:val="737373"/>
          <w:sz w:val="20"/>
          <w:szCs w:val="20"/>
        </w:rPr>
      </w:pPr>
    </w:p>
    <w:p w14:paraId="795B0175" w14:textId="77777777" w:rsidR="00342BAE" w:rsidRPr="00805BD1" w:rsidRDefault="00342BAE" w:rsidP="00825E69">
      <w:pPr>
        <w:spacing w:line="480" w:lineRule="auto"/>
        <w:rPr>
          <w:rFonts w:ascii="Calibri" w:eastAsia="Times New Roman" w:hAnsi="Calibri" w:cs="Arial"/>
          <w:b/>
          <w:bCs/>
          <w:color w:val="3C3030"/>
          <w:sz w:val="24"/>
          <w:szCs w:val="24"/>
        </w:rPr>
      </w:pPr>
      <w:r w:rsidRPr="00805BD1">
        <w:rPr>
          <w:rFonts w:ascii="Calibri" w:eastAsia="Times New Roman" w:hAnsi="Calibri" w:cs="Arial"/>
          <w:b/>
          <w:bCs/>
          <w:color w:val="3C3030"/>
          <w:sz w:val="24"/>
          <w:szCs w:val="24"/>
        </w:rPr>
        <w:t>Overview</w:t>
      </w:r>
    </w:p>
    <w:p w14:paraId="3353CC15" w14:textId="77777777" w:rsidR="00342BAE" w:rsidRPr="00805BD1" w:rsidRDefault="00342BAE" w:rsidP="00825E69">
      <w:pPr>
        <w:shd w:val="clear" w:color="auto" w:fill="FFFFFF"/>
        <w:spacing w:line="480" w:lineRule="auto"/>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The Social Security Act (SSA) authorizes Medicare, Medicaid, State Children’s Health Insurance (SCHIP), and Health and Human Services (HHS) social services programs.</w:t>
      </w:r>
      <w:r w:rsidRPr="00805BD1">
        <w:rPr>
          <w:rFonts w:ascii="Calibri" w:eastAsia="Times New Roman" w:hAnsi="Calibri" w:cs="Arial"/>
          <w:color w:val="000000" w:themeColor="text1"/>
          <w:bdr w:val="none" w:sz="0" w:space="0" w:color="auto" w:frame="1"/>
          <w:vertAlign w:val="superscript"/>
        </w:rPr>
        <w:t>1</w:t>
      </w:r>
      <w:r w:rsidRPr="00805BD1">
        <w:rPr>
          <w:rFonts w:ascii="Calibri" w:eastAsia="Times New Roman" w:hAnsi="Calibri" w:cs="Arial"/>
          <w:color w:val="000000" w:themeColor="text1"/>
        </w:rPr>
        <w:t> </w:t>
      </w:r>
      <w:hyperlink r:id="rId111" w:anchor="Social-Security-Act,-Section-1135" w:tooltip="Section 1135 of the SSA" w:history="1">
        <w:r w:rsidRPr="00805BD1">
          <w:rPr>
            <w:rFonts w:ascii="Calibri" w:eastAsia="Times New Roman" w:hAnsi="Calibri" w:cs="Arial"/>
            <w:color w:val="0F88B8"/>
            <w:bdr w:val="none" w:sz="0" w:space="0" w:color="auto" w:frame="1"/>
          </w:rPr>
          <w:t>Section 1135 of the SSA</w:t>
        </w:r>
      </w:hyperlink>
      <w:r w:rsidRPr="00805BD1">
        <w:rPr>
          <w:rFonts w:ascii="Calibri" w:eastAsia="Times New Roman" w:hAnsi="Calibri" w:cs="Arial"/>
          <w:color w:val="737373"/>
        </w:rPr>
        <w:t> </w:t>
      </w:r>
      <w:r w:rsidRPr="00805BD1">
        <w:rPr>
          <w:rFonts w:ascii="Calibri" w:eastAsia="Times New Roman" w:hAnsi="Calibri" w:cs="Arial"/>
          <w:color w:val="000000" w:themeColor="text1"/>
        </w:rPr>
        <w:t xml:space="preserve">authorizes the HHS secretary to temporarily modify or waive certain Medicare, Medicaid, SCHIP, and Health Insurance Portability and Accountability Act (HIPAA) requirements. The purpose of the 1135 waiver authority is to ensure that sufficient healthcare services are available to meet the needs of individuals enrolled in SSA programs when and where an emergency is experienced. Service providers who in good faith are unable to comply with certain requirements are reimbursed for the services they provide during an emergency and are exempted from sanctions for noncompliance absent fraud or abuse. </w:t>
      </w:r>
    </w:p>
    <w:p w14:paraId="30C90EBB" w14:textId="77777777" w:rsidR="00342BAE" w:rsidRPr="00E27D7D" w:rsidRDefault="00342BAE" w:rsidP="00825E69">
      <w:pPr>
        <w:spacing w:line="480" w:lineRule="auto"/>
        <w:rPr>
          <w:rFonts w:ascii="Calibri" w:eastAsia="Times New Roman" w:hAnsi="Calibri" w:cs="Arial"/>
          <w:b/>
          <w:bCs/>
          <w:color w:val="000000" w:themeColor="text1"/>
        </w:rPr>
      </w:pPr>
    </w:p>
    <w:p w14:paraId="2C46F241" w14:textId="77777777" w:rsidR="00342BAE" w:rsidRPr="00805BD1" w:rsidRDefault="00342BAE" w:rsidP="00825E69">
      <w:pPr>
        <w:spacing w:line="480" w:lineRule="auto"/>
        <w:rPr>
          <w:rFonts w:ascii="Calibri" w:eastAsia="Times New Roman" w:hAnsi="Calibri" w:cs="Arial"/>
          <w:b/>
          <w:bCs/>
          <w:color w:val="3C3030"/>
          <w:sz w:val="24"/>
          <w:szCs w:val="24"/>
        </w:rPr>
      </w:pPr>
      <w:r w:rsidRPr="00805BD1">
        <w:rPr>
          <w:rFonts w:ascii="Calibri" w:eastAsia="Times New Roman" w:hAnsi="Calibri" w:cs="Arial"/>
          <w:b/>
          <w:bCs/>
          <w:color w:val="3C3030"/>
          <w:sz w:val="24"/>
          <w:szCs w:val="24"/>
        </w:rPr>
        <w:t>What the Law Does</w:t>
      </w:r>
    </w:p>
    <w:p w14:paraId="38C864AE" w14:textId="77777777" w:rsidR="00342BAE" w:rsidRPr="00805BD1" w:rsidRDefault="00342BAE" w:rsidP="00825E69">
      <w:pPr>
        <w:shd w:val="clear" w:color="auto" w:fill="FFFFFF"/>
        <w:spacing w:after="120" w:line="480" w:lineRule="auto"/>
        <w:textAlignment w:val="baseline"/>
        <w:rPr>
          <w:rFonts w:ascii="Calibri" w:eastAsia="Times New Roman" w:hAnsi="Calibri" w:cs="Arial"/>
          <w:color w:val="000000" w:themeColor="text1"/>
          <w:szCs w:val="20"/>
        </w:rPr>
      </w:pPr>
      <w:r w:rsidRPr="00805BD1">
        <w:rPr>
          <w:rFonts w:ascii="Calibri" w:eastAsia="Times New Roman" w:hAnsi="Calibri" w:cs="Arial"/>
          <w:color w:val="000000" w:themeColor="text1"/>
          <w:szCs w:val="20"/>
        </w:rPr>
        <w:t>Under SSA Section 1135, the secretary can waive or modify specific requirements to match the particular needs of the emergency event and service providers. Section 1135 allows the secretary to waive or modify the following reimbursement requirements:</w:t>
      </w:r>
    </w:p>
    <w:p w14:paraId="7ACB4278" w14:textId="77777777" w:rsidR="00342BAE" w:rsidRPr="00E27D7D" w:rsidRDefault="00342BAE" w:rsidP="00224AC9">
      <w:pPr>
        <w:pStyle w:val="ListParagraph"/>
        <w:numPr>
          <w:ilvl w:val="0"/>
          <w:numId w:val="45"/>
        </w:numPr>
        <w:spacing w:after="120" w:line="480" w:lineRule="auto"/>
        <w:contextualSpacing w:val="0"/>
        <w:textAlignment w:val="baseline"/>
        <w:rPr>
          <w:rFonts w:ascii="Calibri" w:eastAsia="Times New Roman" w:hAnsi="Calibri" w:cs="Arial"/>
          <w:color w:val="000000" w:themeColor="text1"/>
          <w:szCs w:val="20"/>
        </w:rPr>
      </w:pPr>
      <w:r w:rsidRPr="00E27D7D">
        <w:rPr>
          <w:rFonts w:ascii="Calibri" w:eastAsia="Times New Roman" w:hAnsi="Calibri" w:cs="Arial"/>
          <w:b/>
          <w:bCs/>
          <w:color w:val="000000" w:themeColor="text1"/>
          <w:szCs w:val="20"/>
          <w:bdr w:val="none" w:sz="0" w:space="0" w:color="auto" w:frame="1"/>
        </w:rPr>
        <w:t>Conditions of Participation and Preapproval—</w:t>
      </w:r>
      <w:r w:rsidRPr="00E27D7D">
        <w:rPr>
          <w:rFonts w:ascii="Calibri" w:eastAsia="Times New Roman" w:hAnsi="Calibri" w:cs="Arial"/>
          <w:color w:val="000000" w:themeColor="text1"/>
          <w:szCs w:val="20"/>
        </w:rPr>
        <w:t>Conditions of participation or other certification requirements, program participation and similar requirements for providers, and preapproval requirements for service providers and items.</w:t>
      </w:r>
    </w:p>
    <w:p w14:paraId="62C1FEEF" w14:textId="77777777" w:rsidR="00342BAE" w:rsidRPr="00E27D7D" w:rsidRDefault="00342BAE" w:rsidP="00224AC9">
      <w:pPr>
        <w:pStyle w:val="ListParagraph"/>
        <w:numPr>
          <w:ilvl w:val="0"/>
          <w:numId w:val="45"/>
        </w:numPr>
        <w:spacing w:after="120" w:line="480" w:lineRule="auto"/>
        <w:contextualSpacing w:val="0"/>
        <w:textAlignment w:val="baseline"/>
        <w:rPr>
          <w:rFonts w:ascii="Calibri" w:eastAsia="Times New Roman" w:hAnsi="Calibri" w:cs="Arial"/>
          <w:color w:val="000000" w:themeColor="text1"/>
          <w:szCs w:val="20"/>
        </w:rPr>
      </w:pPr>
      <w:r w:rsidRPr="00E27D7D">
        <w:rPr>
          <w:rFonts w:ascii="Calibri" w:eastAsia="Times New Roman" w:hAnsi="Calibri" w:cs="Arial"/>
          <w:b/>
          <w:bCs/>
          <w:color w:val="000000" w:themeColor="text1"/>
          <w:szCs w:val="20"/>
          <w:bdr w:val="none" w:sz="0" w:space="0" w:color="auto" w:frame="1"/>
        </w:rPr>
        <w:t>Licensure Requirements—</w:t>
      </w:r>
      <w:r w:rsidRPr="00E27D7D">
        <w:rPr>
          <w:rFonts w:ascii="Calibri" w:eastAsia="Times New Roman" w:hAnsi="Calibri" w:cs="Arial"/>
          <w:color w:val="000000" w:themeColor="text1"/>
          <w:szCs w:val="20"/>
        </w:rPr>
        <w:t>Reimbursement requirements that physicians and other healthcare professionals be licensed in the state in which they are providing services are waived if they have a license from another state and have not been barred from practice in that state or any state in the emergency area. This does not affect state licensure requirements.</w:t>
      </w:r>
    </w:p>
    <w:p w14:paraId="475E1514" w14:textId="77777777" w:rsidR="00342BAE" w:rsidRPr="00E27D7D" w:rsidRDefault="00342BAE" w:rsidP="00224AC9">
      <w:pPr>
        <w:pStyle w:val="ListParagraph"/>
        <w:numPr>
          <w:ilvl w:val="0"/>
          <w:numId w:val="45"/>
        </w:numPr>
        <w:spacing w:after="120" w:line="480" w:lineRule="auto"/>
        <w:contextualSpacing w:val="0"/>
        <w:textAlignment w:val="baseline"/>
        <w:rPr>
          <w:rFonts w:ascii="Calibri" w:eastAsia="Times New Roman" w:hAnsi="Calibri" w:cs="Arial"/>
          <w:color w:val="000000" w:themeColor="text1"/>
          <w:szCs w:val="20"/>
        </w:rPr>
      </w:pPr>
      <w:r w:rsidRPr="00E27D7D">
        <w:rPr>
          <w:rFonts w:ascii="Calibri" w:eastAsia="Times New Roman" w:hAnsi="Calibri" w:cs="Arial"/>
          <w:b/>
          <w:bCs/>
          <w:color w:val="000000" w:themeColor="text1"/>
          <w:szCs w:val="20"/>
          <w:bdr w:val="none" w:sz="0" w:space="0" w:color="auto" w:frame="1"/>
        </w:rPr>
        <w:lastRenderedPageBreak/>
        <w:t>EMTALA—</w:t>
      </w:r>
      <w:r w:rsidRPr="00E27D7D">
        <w:rPr>
          <w:rFonts w:ascii="Calibri" w:eastAsia="Times New Roman" w:hAnsi="Calibri" w:cs="Arial"/>
          <w:color w:val="000000" w:themeColor="text1"/>
          <w:szCs w:val="20"/>
        </w:rPr>
        <w:t>Sanctions under the Emergency Medical Treatment and Active Labor Act (EMTALA) for transfer of an individual who has not been stabilized if the transfer arises out of an emergency or redirection to another location to receive a medical screening exam under a state emergency preparedness or pandemic plan. A waiver of EMTALA sanctions is effective only if actions under the waiver do not discriminate as to source of payment or ability to pay.</w:t>
      </w:r>
    </w:p>
    <w:p w14:paraId="7F5B7C93" w14:textId="77777777" w:rsidR="00342BAE" w:rsidRPr="00E27D7D" w:rsidRDefault="00342BAE" w:rsidP="00224AC9">
      <w:pPr>
        <w:pStyle w:val="ListParagraph"/>
        <w:numPr>
          <w:ilvl w:val="0"/>
          <w:numId w:val="45"/>
        </w:numPr>
        <w:spacing w:after="120" w:line="480" w:lineRule="auto"/>
        <w:contextualSpacing w:val="0"/>
        <w:textAlignment w:val="baseline"/>
        <w:rPr>
          <w:rFonts w:ascii="Calibri" w:eastAsia="Times New Roman" w:hAnsi="Calibri" w:cs="Arial"/>
          <w:color w:val="000000" w:themeColor="text1"/>
          <w:szCs w:val="20"/>
        </w:rPr>
      </w:pPr>
      <w:r w:rsidRPr="00E27D7D">
        <w:rPr>
          <w:rFonts w:ascii="Calibri" w:eastAsia="Times New Roman" w:hAnsi="Calibri" w:cs="Arial"/>
          <w:b/>
          <w:bCs/>
          <w:color w:val="000000" w:themeColor="text1"/>
          <w:szCs w:val="20"/>
          <w:bdr w:val="none" w:sz="0" w:space="0" w:color="auto" w:frame="1"/>
        </w:rPr>
        <w:t>Physician Self-Referral—</w:t>
      </w:r>
      <w:r w:rsidRPr="00E27D7D">
        <w:rPr>
          <w:rFonts w:ascii="Calibri" w:eastAsia="Times New Roman" w:hAnsi="Calibri" w:cs="Arial"/>
          <w:color w:val="000000" w:themeColor="text1"/>
          <w:szCs w:val="20"/>
        </w:rPr>
        <w:t>Sanctions related to self-referral prohibitions, which could apply when a physician refers a patient for services to a provider in which the physician has a financial interest.</w:t>
      </w:r>
    </w:p>
    <w:p w14:paraId="73C70B36" w14:textId="77777777" w:rsidR="00342BAE" w:rsidRPr="00E27D7D" w:rsidRDefault="00342BAE" w:rsidP="00224AC9">
      <w:pPr>
        <w:pStyle w:val="ListParagraph"/>
        <w:numPr>
          <w:ilvl w:val="0"/>
          <w:numId w:val="45"/>
        </w:numPr>
        <w:spacing w:after="120" w:line="480" w:lineRule="auto"/>
        <w:contextualSpacing w:val="0"/>
        <w:textAlignment w:val="baseline"/>
        <w:rPr>
          <w:rFonts w:ascii="Calibri" w:eastAsia="Times New Roman" w:hAnsi="Calibri" w:cs="Arial"/>
          <w:color w:val="000000" w:themeColor="text1"/>
          <w:szCs w:val="20"/>
        </w:rPr>
      </w:pPr>
      <w:r w:rsidRPr="00E27D7D">
        <w:rPr>
          <w:rFonts w:ascii="Calibri" w:eastAsia="Times New Roman" w:hAnsi="Calibri" w:cs="Arial"/>
          <w:b/>
          <w:bCs/>
          <w:color w:val="000000" w:themeColor="text1"/>
          <w:szCs w:val="20"/>
          <w:bdr w:val="none" w:sz="0" w:space="0" w:color="auto" w:frame="1"/>
        </w:rPr>
        <w:t>Time for Performance—</w:t>
      </w:r>
      <w:r w:rsidRPr="00E27D7D">
        <w:rPr>
          <w:rFonts w:ascii="Calibri" w:eastAsia="Times New Roman" w:hAnsi="Calibri" w:cs="Arial"/>
          <w:color w:val="000000" w:themeColor="text1"/>
          <w:szCs w:val="20"/>
        </w:rPr>
        <w:t>Deadlines and timetables for performance of required activities to be modified but not waived.</w:t>
      </w:r>
    </w:p>
    <w:p w14:paraId="3606018A" w14:textId="77777777" w:rsidR="00342BAE" w:rsidRPr="00E27D7D" w:rsidRDefault="00342BAE" w:rsidP="00224AC9">
      <w:pPr>
        <w:pStyle w:val="ListParagraph"/>
        <w:numPr>
          <w:ilvl w:val="0"/>
          <w:numId w:val="45"/>
        </w:numPr>
        <w:spacing w:after="120" w:line="480" w:lineRule="auto"/>
        <w:contextualSpacing w:val="0"/>
        <w:textAlignment w:val="baseline"/>
        <w:rPr>
          <w:rFonts w:ascii="Calibri" w:eastAsia="Times New Roman" w:hAnsi="Calibri" w:cs="Arial"/>
          <w:color w:val="000000" w:themeColor="text1"/>
          <w:szCs w:val="20"/>
        </w:rPr>
      </w:pPr>
      <w:r w:rsidRPr="00E27D7D">
        <w:rPr>
          <w:rFonts w:ascii="Calibri" w:eastAsia="Times New Roman" w:hAnsi="Calibri" w:cs="Arial"/>
          <w:b/>
          <w:bCs/>
          <w:color w:val="000000" w:themeColor="text1"/>
          <w:szCs w:val="20"/>
          <w:bdr w:val="none" w:sz="0" w:space="0" w:color="auto" w:frame="1"/>
        </w:rPr>
        <w:t>Out-of-Network Payments—</w:t>
      </w:r>
      <w:r w:rsidRPr="00E27D7D">
        <w:rPr>
          <w:rFonts w:ascii="Calibri" w:eastAsia="Times New Roman" w:hAnsi="Calibri" w:cs="Arial"/>
          <w:color w:val="000000" w:themeColor="text1"/>
          <w:szCs w:val="20"/>
        </w:rPr>
        <w:t xml:space="preserve">Limitations on payments to permit </w:t>
      </w:r>
      <w:proofErr w:type="spellStart"/>
      <w:r w:rsidRPr="00E27D7D">
        <w:rPr>
          <w:rFonts w:ascii="Calibri" w:eastAsia="Times New Roman" w:hAnsi="Calibri" w:cs="Arial"/>
          <w:color w:val="000000" w:themeColor="text1"/>
          <w:szCs w:val="20"/>
        </w:rPr>
        <w:t>Medicare+Choice</w:t>
      </w:r>
      <w:proofErr w:type="spellEnd"/>
      <w:r w:rsidRPr="00E27D7D">
        <w:rPr>
          <w:rFonts w:ascii="Calibri" w:eastAsia="Times New Roman" w:hAnsi="Calibri" w:cs="Arial"/>
          <w:color w:val="000000" w:themeColor="text1"/>
          <w:szCs w:val="20"/>
        </w:rPr>
        <w:t xml:space="preserve"> enrollees to use out-of-network providers in an emergency situation.</w:t>
      </w:r>
    </w:p>
    <w:p w14:paraId="1F75ECC4" w14:textId="77777777" w:rsidR="00342BAE" w:rsidRPr="00E27D7D" w:rsidRDefault="00342BAE" w:rsidP="00224AC9">
      <w:pPr>
        <w:pStyle w:val="ListParagraph"/>
        <w:numPr>
          <w:ilvl w:val="0"/>
          <w:numId w:val="45"/>
        </w:numPr>
        <w:spacing w:after="120" w:line="480" w:lineRule="auto"/>
        <w:contextualSpacing w:val="0"/>
        <w:textAlignment w:val="baseline"/>
        <w:rPr>
          <w:rFonts w:ascii="Calibri" w:eastAsia="Times New Roman" w:hAnsi="Calibri" w:cs="Arial"/>
          <w:color w:val="000000" w:themeColor="text1"/>
          <w:szCs w:val="20"/>
        </w:rPr>
      </w:pPr>
      <w:r w:rsidRPr="00E27D7D">
        <w:rPr>
          <w:rFonts w:ascii="Calibri" w:eastAsia="Times New Roman" w:hAnsi="Calibri" w:cs="Arial"/>
          <w:b/>
          <w:bCs/>
          <w:color w:val="000000" w:themeColor="text1"/>
          <w:szCs w:val="20"/>
          <w:bdr w:val="none" w:sz="0" w:space="0" w:color="auto" w:frame="1"/>
        </w:rPr>
        <w:t>HIPAA—</w:t>
      </w:r>
      <w:r w:rsidRPr="00E27D7D">
        <w:rPr>
          <w:rFonts w:ascii="Calibri" w:eastAsia="Times New Roman" w:hAnsi="Calibri" w:cs="Arial"/>
          <w:color w:val="000000" w:themeColor="text1"/>
          <w:szCs w:val="20"/>
        </w:rPr>
        <w:t>Sanctions arising from noncompliance with HIPAA privacy regulations relating to: 1) obtaining a patient’s agreement to speak with family or friends or honoring a patient’s request to opt out of the facility directory; 2) distributing a notice of privacy practices; or 3) the patient’s right to request confidential communications. The waiver is effective only if actions under the waiver do not discriminate as to source of payment or ability to pay.</w:t>
      </w:r>
    </w:p>
    <w:p w14:paraId="0A08E8AF" w14:textId="77777777" w:rsidR="00342BAE" w:rsidRPr="00805BD1" w:rsidRDefault="00342BAE" w:rsidP="00825E69">
      <w:pPr>
        <w:spacing w:line="480" w:lineRule="auto"/>
        <w:textAlignment w:val="baseline"/>
        <w:rPr>
          <w:rFonts w:ascii="Calibri" w:eastAsia="Times New Roman" w:hAnsi="Calibri" w:cs="Arial"/>
          <w:color w:val="000000" w:themeColor="text1"/>
          <w:szCs w:val="20"/>
        </w:rPr>
      </w:pPr>
    </w:p>
    <w:p w14:paraId="12D32E03" w14:textId="77777777" w:rsidR="00342BAE" w:rsidRPr="00805BD1" w:rsidRDefault="00342BAE" w:rsidP="00825E69">
      <w:pPr>
        <w:spacing w:line="480" w:lineRule="auto"/>
        <w:rPr>
          <w:rFonts w:ascii="Calibri" w:eastAsia="Times New Roman" w:hAnsi="Calibri" w:cs="Arial"/>
          <w:b/>
          <w:bCs/>
          <w:color w:val="3C3030"/>
          <w:sz w:val="24"/>
          <w:szCs w:val="24"/>
        </w:rPr>
      </w:pPr>
      <w:r w:rsidRPr="00805BD1">
        <w:rPr>
          <w:rFonts w:ascii="Calibri" w:eastAsia="Times New Roman" w:hAnsi="Calibri" w:cs="Arial"/>
          <w:b/>
          <w:bCs/>
          <w:color w:val="3C3030"/>
          <w:sz w:val="24"/>
          <w:szCs w:val="24"/>
        </w:rPr>
        <w:t>How the Law Works</w:t>
      </w:r>
    </w:p>
    <w:p w14:paraId="4A98D18D" w14:textId="77777777" w:rsidR="00342BAE" w:rsidRPr="00805BD1" w:rsidRDefault="00342BAE" w:rsidP="00825E69">
      <w:pPr>
        <w:shd w:val="clear" w:color="auto" w:fill="FFFFFF"/>
        <w:spacing w:line="480" w:lineRule="auto"/>
        <w:textAlignment w:val="baseline"/>
        <w:rPr>
          <w:rFonts w:ascii="Calibri" w:eastAsia="Times New Roman" w:hAnsi="Calibri" w:cs="Arial"/>
          <w:color w:val="000000" w:themeColor="text1"/>
        </w:rPr>
      </w:pPr>
    </w:p>
    <w:p w14:paraId="63ABEB5B" w14:textId="77777777" w:rsidR="00342BAE" w:rsidRPr="00805BD1" w:rsidRDefault="00342BAE" w:rsidP="00825E69">
      <w:pPr>
        <w:spacing w:line="480" w:lineRule="auto"/>
        <w:rPr>
          <w:rFonts w:ascii="Calibri" w:eastAsia="Times New Roman" w:hAnsi="Calibri" w:cs="Arial"/>
          <w:b/>
          <w:bCs/>
          <w:color w:val="000000" w:themeColor="text1"/>
        </w:rPr>
      </w:pPr>
      <w:r w:rsidRPr="00805BD1">
        <w:rPr>
          <w:rFonts w:ascii="Calibri" w:eastAsia="Times New Roman" w:hAnsi="Calibri" w:cs="Arial"/>
          <w:b/>
          <w:bCs/>
          <w:color w:val="000000" w:themeColor="text1"/>
        </w:rPr>
        <w:t>Prior Emergency Declaration Required</w:t>
      </w:r>
    </w:p>
    <w:p w14:paraId="5570F9CB" w14:textId="77777777" w:rsidR="00342BAE" w:rsidRPr="00805BD1" w:rsidRDefault="00342BAE" w:rsidP="00825E69">
      <w:pPr>
        <w:shd w:val="clear" w:color="auto" w:fill="FFFFFF"/>
        <w:spacing w:line="480" w:lineRule="auto"/>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Section 1135 waivers require both a declaration of national emergency or disaster by the president under the </w:t>
      </w:r>
      <w:hyperlink r:id="rId112" w:anchor="National-Emergencies-Act-(NEA),-Section-201-and-301" w:tooltip="National Emergencies Act" w:history="1">
        <w:r w:rsidRPr="00805BD1">
          <w:rPr>
            <w:rFonts w:ascii="Calibri" w:eastAsia="Times New Roman" w:hAnsi="Calibri" w:cs="Arial"/>
            <w:color w:val="0F88B8"/>
            <w:bdr w:val="none" w:sz="0" w:space="0" w:color="auto" w:frame="1"/>
          </w:rPr>
          <w:t>National Emergencies Act</w:t>
        </w:r>
      </w:hyperlink>
      <w:r w:rsidRPr="00805BD1">
        <w:rPr>
          <w:rFonts w:ascii="Calibri" w:eastAsia="Times New Roman" w:hAnsi="Calibri" w:cs="Arial"/>
          <w:color w:val="737373"/>
        </w:rPr>
        <w:t> or the </w:t>
      </w:r>
      <w:hyperlink r:id="rId113" w:anchor="Stafford-Act" w:tooltip="Stafford Act" w:history="1">
        <w:r w:rsidRPr="00805BD1">
          <w:rPr>
            <w:rFonts w:ascii="Calibri" w:eastAsia="Times New Roman" w:hAnsi="Calibri" w:cs="Arial"/>
            <w:color w:val="000000" w:themeColor="text1"/>
            <w:bdr w:val="none" w:sz="0" w:space="0" w:color="auto" w:frame="1"/>
          </w:rPr>
          <w:t>Stafford Act</w:t>
        </w:r>
      </w:hyperlink>
      <w:r w:rsidRPr="00E27D7D">
        <w:rPr>
          <w:rFonts w:ascii="Calibri" w:eastAsia="Times New Roman" w:hAnsi="Calibri" w:cs="Arial"/>
          <w:color w:val="000000" w:themeColor="text1"/>
        </w:rPr>
        <w:t xml:space="preserve"> </w:t>
      </w:r>
      <w:r w:rsidRPr="00805BD1">
        <w:rPr>
          <w:rFonts w:ascii="Calibri" w:eastAsia="Times New Roman" w:hAnsi="Calibri" w:cs="Arial"/>
          <w:color w:val="000000" w:themeColor="text1"/>
        </w:rPr>
        <w:t>and a public health emergency determination by the HHS secretary under </w:t>
      </w:r>
      <w:hyperlink r:id="rId114" w:anchor="Public-Health-Service-Act,-Section-319" w:tooltip="Section 319 of the Public Health Service Act (PHSA)" w:history="1">
        <w:r w:rsidRPr="00805BD1">
          <w:rPr>
            <w:rFonts w:ascii="Calibri" w:eastAsia="Times New Roman" w:hAnsi="Calibri" w:cs="Arial"/>
            <w:color w:val="0F88B8"/>
            <w:bdr w:val="none" w:sz="0" w:space="0" w:color="auto" w:frame="1"/>
          </w:rPr>
          <w:t>Section 319 of the Public Health Service Act (PHSA)</w:t>
        </w:r>
      </w:hyperlink>
      <w:r w:rsidRPr="00805BD1">
        <w:rPr>
          <w:rFonts w:ascii="Calibri" w:eastAsia="Times New Roman" w:hAnsi="Calibri" w:cs="Arial"/>
          <w:color w:val="000000" w:themeColor="text1"/>
        </w:rPr>
        <w:t>. </w:t>
      </w:r>
    </w:p>
    <w:p w14:paraId="6A2BC4A0" w14:textId="77777777" w:rsidR="00342BAE" w:rsidRPr="00E27D7D" w:rsidRDefault="00342BAE" w:rsidP="00825E69">
      <w:pPr>
        <w:spacing w:line="480" w:lineRule="auto"/>
        <w:rPr>
          <w:rFonts w:ascii="Calibri" w:eastAsia="Times New Roman" w:hAnsi="Calibri" w:cs="Arial"/>
          <w:b/>
          <w:bCs/>
          <w:color w:val="000000" w:themeColor="text1"/>
        </w:rPr>
      </w:pPr>
    </w:p>
    <w:p w14:paraId="2C230CD6" w14:textId="77777777" w:rsidR="00342BAE" w:rsidRPr="00805BD1" w:rsidRDefault="00342BAE" w:rsidP="00825E69">
      <w:pPr>
        <w:spacing w:line="480" w:lineRule="auto"/>
        <w:rPr>
          <w:rFonts w:ascii="Calibri" w:eastAsia="Times New Roman" w:hAnsi="Calibri" w:cs="Arial"/>
          <w:b/>
          <w:bCs/>
          <w:color w:val="000000" w:themeColor="text1"/>
        </w:rPr>
      </w:pPr>
      <w:r w:rsidRPr="00805BD1">
        <w:rPr>
          <w:rFonts w:ascii="Calibri" w:eastAsia="Times New Roman" w:hAnsi="Calibri" w:cs="Arial"/>
          <w:b/>
          <w:bCs/>
          <w:color w:val="000000" w:themeColor="text1"/>
        </w:rPr>
        <w:t>Issuing a Section 1135 Waiver</w:t>
      </w:r>
    </w:p>
    <w:p w14:paraId="57B037FF" w14:textId="77777777" w:rsidR="00342BAE" w:rsidRDefault="00342BAE" w:rsidP="00825E69">
      <w:pPr>
        <w:shd w:val="clear" w:color="auto" w:fill="FFFFFF"/>
        <w:spacing w:line="480" w:lineRule="auto"/>
        <w:textAlignment w:val="baseline"/>
        <w:rPr>
          <w:rFonts w:ascii="Calibri" w:eastAsia="Times New Roman" w:hAnsi="Calibri" w:cs="Arial"/>
          <w:color w:val="000000" w:themeColor="text1"/>
          <w:bdr w:val="none" w:sz="0" w:space="0" w:color="auto" w:frame="1"/>
        </w:rPr>
      </w:pPr>
      <w:r w:rsidRPr="00805BD1">
        <w:rPr>
          <w:rFonts w:ascii="Calibri" w:eastAsia="Times New Roman" w:hAnsi="Calibri" w:cs="Arial"/>
          <w:color w:val="000000" w:themeColor="text1"/>
        </w:rPr>
        <w:t>If the required emergency declarations have been satisfied, then the HHS assistant secretary for preparedness and response will coordinate with HHS and Centers for Medicare and Medicaid Services (CMS) offices to determine the need for and scope of the 1135 waiver. The assistant secretary considers requests from governors’ offices, individual healthcare providers and associations, and regional and field HHS and CMS offices. While governors can make a formal request for a public health emergency declaration or a Section 1135 waiver, there is no statutory requirement to do so, unlike Stafford Act declarations, which require a formal request for assistance by a state’s governor. According to HHS, when state officials believe that a public health emergency determination and Section 1135 waivers are needed, they usually work with their state’s HHS regional emergency coordinator and regional CMS officials to discuss the request.</w:t>
      </w:r>
      <w:r w:rsidRPr="00805BD1">
        <w:rPr>
          <w:rFonts w:ascii="Calibri" w:eastAsia="Times New Roman" w:hAnsi="Calibri" w:cs="Arial"/>
          <w:color w:val="000000" w:themeColor="text1"/>
          <w:bdr w:val="none" w:sz="0" w:space="0" w:color="auto" w:frame="1"/>
          <w:vertAlign w:val="superscript"/>
        </w:rPr>
        <w:t>2 </w:t>
      </w:r>
    </w:p>
    <w:p w14:paraId="1E610BB4" w14:textId="77777777" w:rsidR="00342BAE" w:rsidRDefault="00342BAE" w:rsidP="00825E69">
      <w:pPr>
        <w:shd w:val="clear" w:color="auto" w:fill="FFFFFF"/>
        <w:spacing w:line="480" w:lineRule="auto"/>
        <w:textAlignment w:val="baseline"/>
        <w:rPr>
          <w:rFonts w:ascii="Calibri" w:eastAsia="Times New Roman" w:hAnsi="Calibri" w:cs="Arial"/>
          <w:color w:val="000000" w:themeColor="text1"/>
          <w:bdr w:val="none" w:sz="0" w:space="0" w:color="auto" w:frame="1"/>
        </w:rPr>
      </w:pPr>
    </w:p>
    <w:p w14:paraId="0C0AB89C" w14:textId="77777777" w:rsidR="00342BAE" w:rsidRDefault="00342BAE" w:rsidP="00825E69">
      <w:pPr>
        <w:shd w:val="clear" w:color="auto" w:fill="FFFFFF"/>
        <w:spacing w:line="480" w:lineRule="auto"/>
        <w:textAlignment w:val="baseline"/>
        <w:rPr>
          <w:rFonts w:ascii="Calibri" w:eastAsia="Times New Roman" w:hAnsi="Calibri" w:cs="Arial"/>
          <w:color w:val="000000" w:themeColor="text1"/>
          <w:bdr w:val="none" w:sz="0" w:space="0" w:color="auto" w:frame="1"/>
        </w:rPr>
      </w:pPr>
      <w:r w:rsidRPr="00805BD1">
        <w:rPr>
          <w:rFonts w:ascii="Calibri" w:eastAsia="Times New Roman" w:hAnsi="Calibri" w:cs="Arial"/>
          <w:color w:val="000000" w:themeColor="text1"/>
        </w:rPr>
        <w:t>A state declaration of an emergency has no bearing on the secretary’s authority to invoke Section 1135. However, the fact that a state has declared an emergency or requested federal assistance in response to an emergency may be relevant to the secretary’s determination of whether a public health emergency exists or an 1135 waiver should be authorized.</w:t>
      </w:r>
      <w:r w:rsidRPr="00805BD1">
        <w:rPr>
          <w:rFonts w:ascii="Calibri" w:eastAsia="Times New Roman" w:hAnsi="Calibri" w:cs="Arial"/>
          <w:color w:val="000000" w:themeColor="text1"/>
          <w:bdr w:val="none" w:sz="0" w:space="0" w:color="auto" w:frame="1"/>
          <w:vertAlign w:val="superscript"/>
        </w:rPr>
        <w:t>3 </w:t>
      </w:r>
    </w:p>
    <w:p w14:paraId="1258DF57" w14:textId="77777777" w:rsidR="00342BAE" w:rsidRDefault="00342BAE" w:rsidP="00825E69">
      <w:pPr>
        <w:shd w:val="clear" w:color="auto" w:fill="FFFFFF"/>
        <w:spacing w:line="480" w:lineRule="auto"/>
        <w:textAlignment w:val="baseline"/>
        <w:rPr>
          <w:rFonts w:ascii="Calibri" w:eastAsia="Times New Roman" w:hAnsi="Calibri" w:cs="Arial"/>
          <w:color w:val="000000" w:themeColor="text1"/>
          <w:bdr w:val="none" w:sz="0" w:space="0" w:color="auto" w:frame="1"/>
        </w:rPr>
      </w:pPr>
    </w:p>
    <w:p w14:paraId="767CB597" w14:textId="77777777" w:rsidR="00342BAE" w:rsidRPr="00805BD1" w:rsidRDefault="00342BAE" w:rsidP="00825E69">
      <w:pPr>
        <w:shd w:val="clear" w:color="auto" w:fill="FFFFFF"/>
        <w:spacing w:line="480" w:lineRule="auto"/>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At least two days before formally exercising Section 1135 waiver authority, the secretary must provide a certification and notice to Congress that describes the specific provision to be waived or modified, the healthcare providers to whom the waiver will apply, the geographic area in which the waiver or modification will apply, the period of time the modification will be in effect, and a statement that the waiver or modification is necessary to achieve the purposes of the SSA. </w:t>
      </w:r>
    </w:p>
    <w:p w14:paraId="294F4968" w14:textId="77777777" w:rsidR="00342BAE" w:rsidRDefault="00342BAE" w:rsidP="00825E69">
      <w:pPr>
        <w:spacing w:line="480" w:lineRule="auto"/>
        <w:rPr>
          <w:rFonts w:ascii="Calibri" w:eastAsia="Times New Roman" w:hAnsi="Calibri" w:cs="Arial"/>
          <w:b/>
          <w:bCs/>
          <w:color w:val="000000" w:themeColor="text1"/>
        </w:rPr>
      </w:pPr>
    </w:p>
    <w:p w14:paraId="61BFF5D1" w14:textId="77777777" w:rsidR="00342BAE" w:rsidRPr="00805BD1" w:rsidRDefault="00342BAE" w:rsidP="00825E69">
      <w:pPr>
        <w:spacing w:line="480" w:lineRule="auto"/>
        <w:rPr>
          <w:rFonts w:ascii="Calibri" w:eastAsia="Times New Roman" w:hAnsi="Calibri" w:cs="Arial"/>
          <w:b/>
          <w:bCs/>
          <w:color w:val="000000" w:themeColor="text1"/>
        </w:rPr>
      </w:pPr>
      <w:r w:rsidRPr="00805BD1">
        <w:rPr>
          <w:rFonts w:ascii="Calibri" w:eastAsia="Times New Roman" w:hAnsi="Calibri" w:cs="Arial"/>
          <w:b/>
          <w:bCs/>
          <w:color w:val="000000" w:themeColor="text1"/>
        </w:rPr>
        <w:lastRenderedPageBreak/>
        <w:t>Obtaining Coverage Under the Waiver</w:t>
      </w:r>
    </w:p>
    <w:p w14:paraId="1C46475E" w14:textId="77777777" w:rsidR="00342BAE" w:rsidRPr="00B73BC6" w:rsidRDefault="00342BAE" w:rsidP="00825E69">
      <w:pPr>
        <w:shd w:val="clear" w:color="auto" w:fill="FFFFFF"/>
        <w:spacing w:line="480" w:lineRule="auto"/>
        <w:textAlignment w:val="baseline"/>
        <w:rPr>
          <w:rFonts w:ascii="Calibri" w:eastAsia="Times New Roman" w:hAnsi="Calibri" w:cs="Arial"/>
          <w:color w:val="000000" w:themeColor="text1"/>
          <w:bdr w:val="none" w:sz="0" w:space="0" w:color="auto" w:frame="1"/>
        </w:rPr>
      </w:pPr>
      <w:r w:rsidRPr="00805BD1">
        <w:rPr>
          <w:rFonts w:ascii="Calibri" w:eastAsia="Times New Roman" w:hAnsi="Calibri" w:cs="Arial"/>
          <w:color w:val="000000" w:themeColor="text1"/>
        </w:rPr>
        <w:t>Once the 1135 waiver has been authorized, service providers’ requirements are not automatically waived or modified. CMS implements the waiver by determining on a case-by-case basis whether and the extent to which sufficient grounds exist for waiving requirements with respect to a particular provider, a group or class of providers, or a geographic area.</w:t>
      </w:r>
      <w:r w:rsidRPr="00805BD1">
        <w:rPr>
          <w:rFonts w:ascii="Calibri" w:eastAsia="Times New Roman" w:hAnsi="Calibri" w:cs="Arial"/>
          <w:color w:val="000000" w:themeColor="text1"/>
          <w:bdr w:val="none" w:sz="0" w:space="0" w:color="auto" w:frame="1"/>
          <w:vertAlign w:val="superscript"/>
        </w:rPr>
        <w:t>3</w:t>
      </w:r>
      <w:r w:rsidRPr="00805BD1">
        <w:rPr>
          <w:rFonts w:ascii="Calibri" w:eastAsia="Times New Roman" w:hAnsi="Calibri" w:cs="Arial"/>
          <w:color w:val="000000" w:themeColor="text1"/>
        </w:rPr>
        <w:t> Providers can submit requests to operate under the waiver authority to regional CMS offices and to CMS for other relief beyond the scope of discretion granted to CMS regional offices and state survey agencies. CMS reviews specific 1135 waiver requests with a cross-regional waiver validation team. Absent a waiver, other SSA provisions and CMS regulations can provide flexibility to providers during emergencies.</w:t>
      </w:r>
      <w:r w:rsidRPr="00805BD1">
        <w:rPr>
          <w:rFonts w:ascii="Calibri" w:eastAsia="Times New Roman" w:hAnsi="Calibri" w:cs="Arial"/>
          <w:color w:val="000000" w:themeColor="text1"/>
          <w:bdr w:val="none" w:sz="0" w:space="0" w:color="auto" w:frame="1"/>
          <w:vertAlign w:val="superscript"/>
        </w:rPr>
        <w:t>4</w:t>
      </w:r>
    </w:p>
    <w:p w14:paraId="4F2C9EF7" w14:textId="77777777" w:rsidR="00342BAE" w:rsidRPr="00B73BC6" w:rsidRDefault="00342BAE" w:rsidP="00825E69">
      <w:pPr>
        <w:shd w:val="clear" w:color="auto" w:fill="FFFFFF"/>
        <w:spacing w:line="480" w:lineRule="auto"/>
        <w:textAlignment w:val="baseline"/>
        <w:rPr>
          <w:rFonts w:ascii="Calibri" w:eastAsia="Times New Roman" w:hAnsi="Calibri" w:cs="Arial"/>
          <w:color w:val="000000" w:themeColor="text1"/>
          <w:bdr w:val="none" w:sz="0" w:space="0" w:color="auto" w:frame="1"/>
        </w:rPr>
      </w:pPr>
    </w:p>
    <w:p w14:paraId="7DDB3DF2" w14:textId="77777777" w:rsidR="00342BAE" w:rsidRPr="00805BD1" w:rsidRDefault="00342BAE" w:rsidP="00825E69">
      <w:pPr>
        <w:spacing w:line="480" w:lineRule="auto"/>
        <w:rPr>
          <w:rFonts w:ascii="Calibri" w:eastAsia="Times New Roman" w:hAnsi="Calibri" w:cs="Arial"/>
          <w:b/>
          <w:bCs/>
          <w:color w:val="000000" w:themeColor="text1"/>
        </w:rPr>
      </w:pPr>
      <w:r w:rsidRPr="00805BD1">
        <w:rPr>
          <w:rFonts w:ascii="Calibri" w:eastAsia="Times New Roman" w:hAnsi="Calibri" w:cs="Arial"/>
          <w:b/>
          <w:bCs/>
          <w:color w:val="000000" w:themeColor="text1"/>
        </w:rPr>
        <w:t>Waiver Duration</w:t>
      </w:r>
    </w:p>
    <w:p w14:paraId="5EE47369" w14:textId="77777777" w:rsidR="00342BAE" w:rsidRDefault="00342BAE" w:rsidP="00825E69">
      <w:pPr>
        <w:shd w:val="clear" w:color="auto" w:fill="FFFFFF"/>
        <w:spacing w:line="480" w:lineRule="auto"/>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Section 1135 waivers generally expire when the underlying emergency/disaster declaration terminates. The secretary may make a waiver retroactive to the beginning of the emergency period or any subsequent date thereafter. The secretary may further specify that the waiver terminates 60 days from publication, which may be extended, provided that neither the original 60-day period nor any extension continues beyond termination of the applicable declaration or determination. </w:t>
      </w:r>
    </w:p>
    <w:p w14:paraId="7D2C5EC7" w14:textId="77777777" w:rsidR="00342BAE" w:rsidRDefault="00342BAE" w:rsidP="00825E69">
      <w:pPr>
        <w:shd w:val="clear" w:color="auto" w:fill="FFFFFF"/>
        <w:spacing w:line="480" w:lineRule="auto"/>
        <w:textAlignment w:val="baseline"/>
        <w:rPr>
          <w:rFonts w:ascii="Calibri" w:eastAsia="Times New Roman" w:hAnsi="Calibri" w:cs="Arial"/>
          <w:color w:val="000000" w:themeColor="text1"/>
        </w:rPr>
      </w:pPr>
    </w:p>
    <w:p w14:paraId="2A3CFE1E" w14:textId="77777777" w:rsidR="00342BAE" w:rsidRDefault="00342BAE" w:rsidP="00825E69">
      <w:pPr>
        <w:shd w:val="clear" w:color="auto" w:fill="FFFFFF"/>
        <w:spacing w:line="480" w:lineRule="auto"/>
        <w:textAlignment w:val="baseline"/>
        <w:rPr>
          <w:rFonts w:ascii="Calibri" w:eastAsia="Times New Roman" w:hAnsi="Calibri" w:cs="Arial"/>
          <w:color w:val="000000" w:themeColor="text1"/>
          <w:bdr w:val="none" w:sz="0" w:space="0" w:color="auto" w:frame="1"/>
          <w:vertAlign w:val="superscript"/>
        </w:rPr>
      </w:pPr>
      <w:r w:rsidRPr="00805BD1">
        <w:rPr>
          <w:rFonts w:ascii="Calibri" w:eastAsia="Times New Roman" w:hAnsi="Calibri" w:cs="Arial"/>
          <w:color w:val="000000" w:themeColor="text1"/>
        </w:rPr>
        <w:t>Waivers related to the HIPAA privacy rule and non-pandemic-related waivers of EMTALA sanctions are subject to different requirements and are generally limited to a 72-hour period beginning with implementation of a hospital disaster protocol.</w:t>
      </w:r>
      <w:r w:rsidRPr="00805BD1">
        <w:rPr>
          <w:rFonts w:ascii="Calibri" w:eastAsia="Times New Roman" w:hAnsi="Calibri" w:cs="Arial"/>
          <w:color w:val="000000" w:themeColor="text1"/>
          <w:bdr w:val="none" w:sz="0" w:space="0" w:color="auto" w:frame="1"/>
          <w:vertAlign w:val="superscript"/>
        </w:rPr>
        <w:t>2</w:t>
      </w:r>
      <w:r w:rsidRPr="00805BD1">
        <w:rPr>
          <w:rFonts w:ascii="Calibri" w:eastAsia="Times New Roman" w:hAnsi="Calibri" w:cs="Arial"/>
          <w:color w:val="000000" w:themeColor="text1"/>
        </w:rPr>
        <w:t> However, when a public health emergency involves a pandemic infectious disease, waivers of EMTALA sanctions can extend through the duration of the public health emergency.</w:t>
      </w:r>
      <w:r w:rsidRPr="00805BD1">
        <w:rPr>
          <w:rFonts w:ascii="Calibri" w:eastAsia="Times New Roman" w:hAnsi="Calibri" w:cs="Arial"/>
          <w:color w:val="000000" w:themeColor="text1"/>
          <w:bdr w:val="none" w:sz="0" w:space="0" w:color="auto" w:frame="1"/>
          <w:vertAlign w:val="superscript"/>
        </w:rPr>
        <w:t>2 </w:t>
      </w:r>
    </w:p>
    <w:p w14:paraId="00ED8843" w14:textId="77777777" w:rsidR="00342BAE" w:rsidRPr="00805BD1" w:rsidRDefault="00342BAE" w:rsidP="00825E69">
      <w:pPr>
        <w:shd w:val="clear" w:color="auto" w:fill="FFFFFF"/>
        <w:spacing w:line="480" w:lineRule="auto"/>
        <w:textAlignment w:val="baseline"/>
        <w:rPr>
          <w:rFonts w:ascii="Calibri" w:eastAsia="Times New Roman" w:hAnsi="Calibri" w:cs="Arial"/>
          <w:color w:val="000000" w:themeColor="text1"/>
        </w:rPr>
      </w:pPr>
    </w:p>
    <w:p w14:paraId="33913121" w14:textId="77777777" w:rsidR="00342BAE" w:rsidRPr="00805BD1" w:rsidRDefault="00342BAE" w:rsidP="00825E69">
      <w:pPr>
        <w:keepNext/>
        <w:spacing w:line="480" w:lineRule="auto"/>
        <w:rPr>
          <w:rFonts w:ascii="Calibri" w:eastAsia="Times New Roman" w:hAnsi="Calibri" w:cs="Arial"/>
          <w:b/>
          <w:bCs/>
          <w:color w:val="000000" w:themeColor="text1"/>
        </w:rPr>
      </w:pPr>
      <w:r w:rsidRPr="00805BD1">
        <w:rPr>
          <w:rFonts w:ascii="Calibri" w:eastAsia="Times New Roman" w:hAnsi="Calibri" w:cs="Arial"/>
          <w:b/>
          <w:bCs/>
          <w:color w:val="000000" w:themeColor="text1"/>
        </w:rPr>
        <w:lastRenderedPageBreak/>
        <w:t>Immunity and Liability Issues</w:t>
      </w:r>
    </w:p>
    <w:p w14:paraId="6416A112" w14:textId="77777777" w:rsidR="00342BAE" w:rsidRDefault="00342BAE" w:rsidP="00825E69">
      <w:pPr>
        <w:shd w:val="clear" w:color="auto" w:fill="FFFFFF"/>
        <w:spacing w:line="480" w:lineRule="auto"/>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SSA Section 1135 does not provide immunity from liability. Section 1135 provides for waivers and modifications of certain SSA program requirements, which are limited in time and geographic scope during an emergency event declared by the HHS secretary and the president. Section 1135 waivers are intended to temporarily reduce administrative burdens and increase flexibility of service providers during a declared emergency with the goal of promoting greater access to care by individuals affected by the emergency.</w:t>
      </w:r>
      <w:r w:rsidRPr="00805BD1">
        <w:rPr>
          <w:rFonts w:ascii="Calibri" w:eastAsia="Times New Roman" w:hAnsi="Calibri" w:cs="Arial"/>
          <w:color w:val="000000" w:themeColor="text1"/>
          <w:bdr w:val="none" w:sz="0" w:space="0" w:color="auto" w:frame="1"/>
          <w:vertAlign w:val="superscript"/>
        </w:rPr>
        <w:t>4</w:t>
      </w:r>
      <w:r w:rsidRPr="00805BD1">
        <w:rPr>
          <w:rFonts w:ascii="Calibri" w:eastAsia="Times New Roman" w:hAnsi="Calibri" w:cs="Arial"/>
          <w:color w:val="000000" w:themeColor="text1"/>
        </w:rPr>
        <w:t> </w:t>
      </w:r>
    </w:p>
    <w:p w14:paraId="532E0BF6" w14:textId="77777777" w:rsidR="00342BAE" w:rsidRPr="00805BD1" w:rsidRDefault="00342BAE" w:rsidP="00825E69">
      <w:pPr>
        <w:shd w:val="clear" w:color="auto" w:fill="FFFFFF"/>
        <w:spacing w:line="480" w:lineRule="auto"/>
        <w:textAlignment w:val="baseline"/>
        <w:rPr>
          <w:rFonts w:ascii="Calibri" w:eastAsia="Times New Roman" w:hAnsi="Calibri" w:cs="Arial"/>
          <w:color w:val="000000" w:themeColor="text1"/>
        </w:rPr>
      </w:pPr>
    </w:p>
    <w:p w14:paraId="288DCB6A" w14:textId="77777777" w:rsidR="00342BAE" w:rsidRPr="00805BD1" w:rsidRDefault="00342BAE" w:rsidP="00825E69">
      <w:pPr>
        <w:spacing w:line="480" w:lineRule="auto"/>
        <w:rPr>
          <w:rFonts w:ascii="Calibri" w:eastAsia="Times New Roman" w:hAnsi="Calibri" w:cs="Arial"/>
          <w:b/>
          <w:bCs/>
          <w:color w:val="3C3030"/>
          <w:sz w:val="24"/>
          <w:szCs w:val="24"/>
        </w:rPr>
      </w:pPr>
      <w:r w:rsidRPr="00805BD1">
        <w:rPr>
          <w:rFonts w:ascii="Calibri" w:eastAsia="Times New Roman" w:hAnsi="Calibri" w:cs="Arial"/>
          <w:b/>
          <w:bCs/>
          <w:color w:val="3C3030"/>
          <w:sz w:val="24"/>
          <w:szCs w:val="24"/>
        </w:rPr>
        <w:t>How the Law Affects States</w:t>
      </w:r>
    </w:p>
    <w:p w14:paraId="62C15C53" w14:textId="77777777" w:rsidR="00342BAE" w:rsidRDefault="00342BAE" w:rsidP="00825E69">
      <w:pPr>
        <w:shd w:val="clear" w:color="auto" w:fill="FFFFFF"/>
        <w:spacing w:line="480" w:lineRule="auto"/>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Only certain federal requirements relating to Medicare, Medicaid, SCHIP, and HIPAA may be waived or modified under Section 1135. A waiver does not affect state laws or regulations, including those for licensure and conditions of participation.</w:t>
      </w:r>
      <w:r w:rsidRPr="00805BD1">
        <w:rPr>
          <w:rFonts w:ascii="Calibri" w:eastAsia="Times New Roman" w:hAnsi="Calibri" w:cs="Arial"/>
          <w:color w:val="000000" w:themeColor="text1"/>
          <w:bdr w:val="none" w:sz="0" w:space="0" w:color="auto" w:frame="1"/>
          <w:vertAlign w:val="superscript"/>
        </w:rPr>
        <w:t>3 </w:t>
      </w:r>
      <w:r w:rsidRPr="00805BD1">
        <w:rPr>
          <w:rFonts w:ascii="Calibri" w:eastAsia="Times New Roman" w:hAnsi="Calibri" w:cs="Arial"/>
          <w:color w:val="000000" w:themeColor="text1"/>
        </w:rPr>
        <w:t>The 1135 licensure requirement waiver is only for reimbursement under Medicare, Medicaid, and SCHIP; state law governs whether a non-federal provider is allowed to provide services in the state without licensure in that state. </w:t>
      </w:r>
    </w:p>
    <w:p w14:paraId="2EFFCC8C" w14:textId="77777777" w:rsidR="00342BAE" w:rsidRDefault="00342BAE" w:rsidP="00825E69">
      <w:pPr>
        <w:shd w:val="clear" w:color="auto" w:fill="FFFFFF"/>
        <w:spacing w:line="480" w:lineRule="auto"/>
        <w:textAlignment w:val="baseline"/>
        <w:rPr>
          <w:rFonts w:ascii="Calibri" w:eastAsia="Times New Roman" w:hAnsi="Calibri" w:cs="Arial"/>
          <w:color w:val="000000" w:themeColor="text1"/>
        </w:rPr>
      </w:pPr>
    </w:p>
    <w:p w14:paraId="2656DC05" w14:textId="77777777" w:rsidR="00342BAE" w:rsidRPr="00805BD1" w:rsidRDefault="00342BAE" w:rsidP="00825E69">
      <w:pPr>
        <w:shd w:val="clear" w:color="auto" w:fill="FFFFFF"/>
        <w:spacing w:line="480" w:lineRule="auto"/>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Section 1135 affects the operation and compliance requirements of healthcare providers in states that are included within the time and location of emergencies as identified in the Section 1135 waiver declaration. States can figure prominently in requesting a waiver—though such request is not required by law—by working with regional HHS and CMS offices to support requests for Section 1135 waivers and supporting healthcare providers’ requests to operate under a waiver.</w:t>
      </w:r>
    </w:p>
    <w:p w14:paraId="6D437864" w14:textId="77777777" w:rsidR="00342BAE" w:rsidRPr="00805BD1" w:rsidRDefault="00342BAE" w:rsidP="00825E69">
      <w:pPr>
        <w:shd w:val="clear" w:color="auto" w:fill="FFFFFF"/>
        <w:spacing w:line="480" w:lineRule="auto"/>
        <w:textAlignment w:val="baseline"/>
        <w:rPr>
          <w:rFonts w:ascii="Calibri" w:eastAsia="Times New Roman" w:hAnsi="Calibri" w:cs="Arial"/>
          <w:color w:val="000000" w:themeColor="text1"/>
        </w:rPr>
      </w:pPr>
    </w:p>
    <w:p w14:paraId="506E8698" w14:textId="77777777" w:rsidR="00342BAE" w:rsidRPr="00805BD1" w:rsidRDefault="00342BAE" w:rsidP="00825E69">
      <w:pPr>
        <w:keepNext/>
        <w:spacing w:after="120" w:line="480" w:lineRule="auto"/>
        <w:rPr>
          <w:rFonts w:ascii="Calibri" w:eastAsia="Times New Roman" w:hAnsi="Calibri" w:cs="Arial"/>
          <w:b/>
          <w:bCs/>
          <w:color w:val="3C3030"/>
          <w:sz w:val="24"/>
          <w:szCs w:val="24"/>
        </w:rPr>
      </w:pPr>
      <w:r w:rsidRPr="00805BD1">
        <w:rPr>
          <w:rFonts w:ascii="Calibri" w:eastAsia="Times New Roman" w:hAnsi="Calibri" w:cs="Arial"/>
          <w:b/>
          <w:bCs/>
          <w:color w:val="3C3030"/>
          <w:sz w:val="24"/>
          <w:szCs w:val="24"/>
        </w:rPr>
        <w:lastRenderedPageBreak/>
        <w:t>Practice Notes</w:t>
      </w:r>
    </w:p>
    <w:p w14:paraId="3B2E4F35" w14:textId="77777777" w:rsidR="00342BAE" w:rsidRPr="00B73BC6" w:rsidRDefault="00342BAE" w:rsidP="00224AC9">
      <w:pPr>
        <w:pStyle w:val="ListParagraph"/>
        <w:numPr>
          <w:ilvl w:val="0"/>
          <w:numId w:val="46"/>
        </w:numPr>
        <w:spacing w:after="120" w:line="480" w:lineRule="auto"/>
        <w:contextualSpacing w:val="0"/>
        <w:textAlignment w:val="baseline"/>
        <w:rPr>
          <w:rFonts w:ascii="Calibri" w:eastAsia="Times New Roman" w:hAnsi="Calibri" w:cs="Arial"/>
          <w:color w:val="000000" w:themeColor="text1"/>
          <w:szCs w:val="20"/>
        </w:rPr>
      </w:pPr>
      <w:r w:rsidRPr="00B73BC6">
        <w:rPr>
          <w:rFonts w:ascii="Calibri" w:eastAsia="Times New Roman" w:hAnsi="Calibri" w:cs="Arial"/>
          <w:color w:val="000000" w:themeColor="text1"/>
          <w:szCs w:val="20"/>
        </w:rPr>
        <w:t>Before an event, establish contact with regional HHS and CMS offices and state healthcare survey/regulatory agencies or offices to understand the policies and procedures involved in requesting and operating under a §1135 waiver.</w:t>
      </w:r>
    </w:p>
    <w:p w14:paraId="7AA183DC" w14:textId="77777777" w:rsidR="00342BAE" w:rsidRPr="00B73BC6" w:rsidRDefault="00342BAE" w:rsidP="00224AC9">
      <w:pPr>
        <w:pStyle w:val="ListParagraph"/>
        <w:numPr>
          <w:ilvl w:val="0"/>
          <w:numId w:val="46"/>
        </w:numPr>
        <w:spacing w:after="120" w:line="480" w:lineRule="auto"/>
        <w:contextualSpacing w:val="0"/>
        <w:textAlignment w:val="baseline"/>
        <w:rPr>
          <w:rFonts w:ascii="Calibri" w:eastAsia="Times New Roman" w:hAnsi="Calibri" w:cs="Arial"/>
          <w:color w:val="000000" w:themeColor="text1"/>
          <w:szCs w:val="20"/>
        </w:rPr>
      </w:pPr>
      <w:r w:rsidRPr="00B73BC6">
        <w:rPr>
          <w:rFonts w:ascii="Calibri" w:eastAsia="Times New Roman" w:hAnsi="Calibri" w:cs="Arial"/>
          <w:color w:val="000000" w:themeColor="text1"/>
          <w:szCs w:val="20"/>
        </w:rPr>
        <w:t>Determine what flexibilities are permitted to state survey agencies and regional HHS and CMS offices in flexing certain requirements without a §1135 waiver.</w:t>
      </w:r>
    </w:p>
    <w:p w14:paraId="214C866F" w14:textId="77777777" w:rsidR="00342BAE" w:rsidRPr="00B73BC6" w:rsidRDefault="00342BAE" w:rsidP="00224AC9">
      <w:pPr>
        <w:pStyle w:val="ListParagraph"/>
        <w:numPr>
          <w:ilvl w:val="0"/>
          <w:numId w:val="46"/>
        </w:numPr>
        <w:spacing w:after="120" w:line="480" w:lineRule="auto"/>
        <w:contextualSpacing w:val="0"/>
        <w:textAlignment w:val="baseline"/>
        <w:rPr>
          <w:rFonts w:ascii="Calibri" w:eastAsia="Times New Roman" w:hAnsi="Calibri" w:cs="Arial"/>
          <w:color w:val="000000" w:themeColor="text1"/>
          <w:szCs w:val="20"/>
        </w:rPr>
      </w:pPr>
      <w:r w:rsidRPr="00B73BC6">
        <w:rPr>
          <w:rFonts w:ascii="Calibri" w:eastAsia="Times New Roman" w:hAnsi="Calibri" w:cs="Arial"/>
          <w:color w:val="000000" w:themeColor="text1"/>
          <w:szCs w:val="20"/>
        </w:rPr>
        <w:t>If the state wishes to formally request a §1135 waiver, understand the process for doing so and draft template language in advance that can be customized during an event.</w:t>
      </w:r>
    </w:p>
    <w:p w14:paraId="0FCE1F60" w14:textId="77777777" w:rsidR="00342BAE" w:rsidRPr="00B73BC6" w:rsidRDefault="00342BAE" w:rsidP="00224AC9">
      <w:pPr>
        <w:pStyle w:val="ListParagraph"/>
        <w:numPr>
          <w:ilvl w:val="0"/>
          <w:numId w:val="46"/>
        </w:numPr>
        <w:spacing w:line="480" w:lineRule="auto"/>
        <w:textAlignment w:val="baseline"/>
        <w:rPr>
          <w:rFonts w:ascii="Calibri" w:eastAsia="Times New Roman" w:hAnsi="Calibri" w:cs="Arial"/>
          <w:color w:val="000000" w:themeColor="text1"/>
          <w:szCs w:val="20"/>
        </w:rPr>
      </w:pPr>
      <w:r w:rsidRPr="00B73BC6">
        <w:rPr>
          <w:rFonts w:ascii="Calibri" w:eastAsia="Times New Roman" w:hAnsi="Calibri" w:cs="Arial"/>
          <w:color w:val="000000" w:themeColor="text1"/>
          <w:szCs w:val="20"/>
        </w:rPr>
        <w:t>During an event, use established plans and communication networks to request and implement §1135 waivers.</w:t>
      </w:r>
    </w:p>
    <w:p w14:paraId="7196718D" w14:textId="77777777" w:rsidR="00342BAE" w:rsidRPr="00B73BC6" w:rsidRDefault="00342BAE" w:rsidP="00825E69">
      <w:pPr>
        <w:spacing w:line="480" w:lineRule="auto"/>
        <w:rPr>
          <w:rFonts w:ascii="Calibri" w:eastAsia="Times New Roman" w:hAnsi="Calibri" w:cs="Arial"/>
          <w:bCs/>
          <w:color w:val="000000" w:themeColor="text1"/>
          <w:sz w:val="24"/>
          <w:szCs w:val="24"/>
        </w:rPr>
      </w:pPr>
    </w:p>
    <w:p w14:paraId="338F1999" w14:textId="77777777" w:rsidR="00342BAE" w:rsidRDefault="00342BAE" w:rsidP="00825E69">
      <w:pPr>
        <w:spacing w:line="480" w:lineRule="auto"/>
        <w:rPr>
          <w:rFonts w:ascii="Calibri" w:eastAsia="Times New Roman" w:hAnsi="Calibri" w:cs="Arial"/>
          <w:bCs/>
          <w:color w:val="3C3030"/>
          <w:szCs w:val="24"/>
        </w:rPr>
      </w:pPr>
      <w:r>
        <w:rPr>
          <w:rFonts w:ascii="Calibri" w:eastAsia="Times New Roman" w:hAnsi="Calibri" w:cs="Arial"/>
          <w:bCs/>
          <w:color w:val="3C3030"/>
          <w:szCs w:val="24"/>
        </w:rPr>
        <w:t>_____________________________________________________________________</w:t>
      </w:r>
    </w:p>
    <w:p w14:paraId="13D5C14D" w14:textId="77777777" w:rsidR="00342BAE" w:rsidRPr="00B73BC6" w:rsidRDefault="00342BAE" w:rsidP="00825E69">
      <w:pPr>
        <w:spacing w:line="480" w:lineRule="auto"/>
        <w:rPr>
          <w:rFonts w:ascii="Calibri" w:eastAsia="Times New Roman" w:hAnsi="Calibri" w:cs="Arial"/>
          <w:bCs/>
          <w:color w:val="3C3030"/>
        </w:rPr>
      </w:pPr>
    </w:p>
    <w:p w14:paraId="0A655BBA" w14:textId="77777777" w:rsidR="00342BAE" w:rsidRPr="00805BD1" w:rsidRDefault="00342BAE" w:rsidP="00825E69">
      <w:pPr>
        <w:spacing w:line="480" w:lineRule="auto"/>
        <w:rPr>
          <w:rFonts w:ascii="Calibri" w:eastAsia="Times New Roman" w:hAnsi="Calibri" w:cs="Arial"/>
          <w:b/>
          <w:bCs/>
          <w:color w:val="3C3030"/>
        </w:rPr>
      </w:pPr>
      <w:r w:rsidRPr="00805BD1">
        <w:rPr>
          <w:rFonts w:ascii="Calibri" w:eastAsia="Times New Roman" w:hAnsi="Calibri" w:cs="Arial"/>
          <w:b/>
          <w:bCs/>
          <w:color w:val="3C3030"/>
        </w:rPr>
        <w:t>Sources</w:t>
      </w:r>
    </w:p>
    <w:p w14:paraId="6D7C9D40" w14:textId="77777777" w:rsidR="00342BAE" w:rsidRPr="00805BD1" w:rsidRDefault="00342BAE" w:rsidP="00224AC9">
      <w:pPr>
        <w:numPr>
          <w:ilvl w:val="0"/>
          <w:numId w:val="44"/>
        </w:numPr>
        <w:spacing w:line="480" w:lineRule="auto"/>
        <w:ind w:left="450"/>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Social Security Act, Pub. L. No. 104-321. Codified at 42 U.S.C. § 1320b-5.</w:t>
      </w:r>
    </w:p>
    <w:p w14:paraId="60A9804E" w14:textId="77777777" w:rsidR="00342BAE" w:rsidRPr="00805BD1" w:rsidRDefault="00342BAE" w:rsidP="00224AC9">
      <w:pPr>
        <w:numPr>
          <w:ilvl w:val="0"/>
          <w:numId w:val="44"/>
        </w:numPr>
        <w:spacing w:line="480" w:lineRule="auto"/>
        <w:ind w:left="450"/>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DHHS. Public Health Emergency Declaration Q&amp;As. Available at </w:t>
      </w:r>
      <w:hyperlink r:id="rId115" w:tooltip="www.phe.gov/Preparedness/legal/Pages/phe-qa.aspx" w:history="1">
        <w:r w:rsidRPr="00805BD1">
          <w:rPr>
            <w:rFonts w:ascii="Calibri" w:eastAsia="Times New Roman" w:hAnsi="Calibri" w:cs="Arial"/>
            <w:color w:val="0F88B8"/>
            <w:bdr w:val="none" w:sz="0" w:space="0" w:color="auto" w:frame="1"/>
          </w:rPr>
          <w:t>www.phe.gov/Preparedness/legal/Pages/phe-qa.aspx</w:t>
        </w:r>
      </w:hyperlink>
      <w:r w:rsidRPr="00805BD1">
        <w:rPr>
          <w:rFonts w:ascii="Calibri" w:eastAsia="Times New Roman" w:hAnsi="Calibri" w:cs="Arial"/>
          <w:color w:val="737373"/>
        </w:rPr>
        <w:t xml:space="preserve">. </w:t>
      </w:r>
      <w:r w:rsidRPr="00805BD1">
        <w:rPr>
          <w:rFonts w:ascii="Calibri" w:eastAsia="Times New Roman" w:hAnsi="Calibri" w:cs="Arial"/>
          <w:color w:val="000000" w:themeColor="text1"/>
        </w:rPr>
        <w:t>Accessed January 31, 2012.</w:t>
      </w:r>
    </w:p>
    <w:p w14:paraId="61AC2B71" w14:textId="77777777" w:rsidR="00342BAE" w:rsidRPr="00805BD1" w:rsidRDefault="00342BAE" w:rsidP="00224AC9">
      <w:pPr>
        <w:numPr>
          <w:ilvl w:val="0"/>
          <w:numId w:val="44"/>
        </w:numPr>
        <w:spacing w:line="480" w:lineRule="auto"/>
        <w:ind w:left="450"/>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Center for Medicare and Medicaid Services. “Medicare Fee-For-Service Emergency and Disaster-Related Policies and Procedures That May Be Implemented Only With a §1135 Waiver.” October 3, 2011. Available at</w:t>
      </w:r>
      <w:r w:rsidRPr="00805BD1">
        <w:rPr>
          <w:rFonts w:ascii="Calibri" w:eastAsia="Times New Roman" w:hAnsi="Calibri" w:cs="Arial"/>
          <w:color w:val="737373"/>
        </w:rPr>
        <w:t> </w:t>
      </w:r>
      <w:hyperlink r:id="rId116" w:tooltip="www.cms.gov/Emergency/downloads/MedicareFFS-EmergencyQsAs1135Waiver.pdf" w:history="1">
        <w:r w:rsidRPr="00805BD1">
          <w:rPr>
            <w:rFonts w:ascii="Calibri" w:eastAsia="Times New Roman" w:hAnsi="Calibri" w:cs="Arial"/>
            <w:color w:val="0F88B8"/>
            <w:bdr w:val="none" w:sz="0" w:space="0" w:color="auto" w:frame="1"/>
          </w:rPr>
          <w:t>www.cms.gov/Emergency/downloads/MedicareFFS-EmergencyQsAs1135Waiver.pdf</w:t>
        </w:r>
      </w:hyperlink>
      <w:r w:rsidRPr="00805BD1">
        <w:rPr>
          <w:rFonts w:ascii="Calibri" w:eastAsia="Times New Roman" w:hAnsi="Calibri" w:cs="Arial"/>
          <w:color w:val="737373"/>
        </w:rPr>
        <w:t xml:space="preserve">. </w:t>
      </w:r>
      <w:r w:rsidRPr="00805BD1">
        <w:rPr>
          <w:rFonts w:ascii="Calibri" w:eastAsia="Times New Roman" w:hAnsi="Calibri" w:cs="Arial"/>
          <w:color w:val="000000" w:themeColor="text1"/>
        </w:rPr>
        <w:t>Accessed January 31, 2012.</w:t>
      </w:r>
    </w:p>
    <w:p w14:paraId="250B789A" w14:textId="77777777" w:rsidR="00342BAE" w:rsidRPr="00805BD1" w:rsidRDefault="00342BAE" w:rsidP="00224AC9">
      <w:pPr>
        <w:numPr>
          <w:ilvl w:val="0"/>
          <w:numId w:val="44"/>
        </w:numPr>
        <w:spacing w:line="480" w:lineRule="auto"/>
        <w:ind w:left="450"/>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 xml:space="preserve">Center for Medicare and Medicaid Services. “Medicare Fee-For-Service Emergency-Related Policies and Procedures That May Be Implemented Without §1135 Waivers.” October 3, 2011. Available </w:t>
      </w:r>
      <w:r w:rsidRPr="00805BD1">
        <w:rPr>
          <w:rFonts w:ascii="Calibri" w:eastAsia="Times New Roman" w:hAnsi="Calibri" w:cs="Arial"/>
          <w:color w:val="000000" w:themeColor="text1"/>
        </w:rPr>
        <w:lastRenderedPageBreak/>
        <w:t>at </w:t>
      </w:r>
      <w:hyperlink r:id="rId117" w:tooltip="www.cms.gov/Emergency/Downloads/Consolidated_Medicare_FFS_Emergency_QsAs.pdf" w:history="1">
        <w:r w:rsidRPr="00805BD1">
          <w:rPr>
            <w:rFonts w:ascii="Calibri" w:eastAsia="Times New Roman" w:hAnsi="Calibri" w:cs="Arial"/>
            <w:color w:val="0F88B8"/>
            <w:bdr w:val="none" w:sz="0" w:space="0" w:color="auto" w:frame="1"/>
          </w:rPr>
          <w:t>www.cms.gov/Emergency/Downloads/Consolidated_Medicare_FFS_Emergency_QsAs.pdf</w:t>
        </w:r>
      </w:hyperlink>
      <w:r w:rsidRPr="00805BD1">
        <w:rPr>
          <w:rFonts w:ascii="Calibri" w:eastAsia="Times New Roman" w:hAnsi="Calibri" w:cs="Arial"/>
          <w:color w:val="737373"/>
        </w:rPr>
        <w:t xml:space="preserve">. </w:t>
      </w:r>
      <w:r w:rsidRPr="00805BD1">
        <w:rPr>
          <w:rFonts w:ascii="Calibri" w:eastAsia="Times New Roman" w:hAnsi="Calibri" w:cs="Arial"/>
          <w:color w:val="000000" w:themeColor="text1"/>
        </w:rPr>
        <w:t>Accessed January 31, 2012.</w:t>
      </w:r>
    </w:p>
    <w:p w14:paraId="441E6AA9" w14:textId="3475243A" w:rsidR="00342BAE" w:rsidRDefault="00342BAE" w:rsidP="00825E69">
      <w:pPr>
        <w:spacing w:line="480" w:lineRule="auto"/>
        <w:rPr>
          <w:rFonts w:ascii="Calibri" w:hAnsi="Calibri"/>
        </w:rPr>
      </w:pPr>
    </w:p>
    <w:p w14:paraId="2BD864A5" w14:textId="77777777" w:rsidR="00D852F1" w:rsidRDefault="00D852F1" w:rsidP="00D852F1">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TOC top</w:t>
        </w:r>
      </w:hyperlink>
      <w:r>
        <w:rPr>
          <w:rFonts w:ascii="Calibri" w:hAnsi="Calibri" w:cs="Calibri"/>
          <w:sz w:val="24"/>
        </w:rPr>
        <w:t>]</w:t>
      </w:r>
    </w:p>
    <w:p w14:paraId="0CFB9D90" w14:textId="77777777" w:rsidR="00D852F1" w:rsidRPr="00B73BC6" w:rsidRDefault="00D852F1" w:rsidP="00825E69">
      <w:pPr>
        <w:spacing w:line="480" w:lineRule="auto"/>
        <w:rPr>
          <w:rFonts w:ascii="Calibri" w:hAnsi="Calibri"/>
        </w:rPr>
      </w:pPr>
    </w:p>
    <w:p w14:paraId="3910D242" w14:textId="2FBF1ED8" w:rsidR="00825E69" w:rsidRDefault="00825E69">
      <w:pPr>
        <w:rPr>
          <w:rFonts w:cstheme="minorHAnsi"/>
        </w:rPr>
      </w:pPr>
      <w:r>
        <w:rPr>
          <w:rFonts w:cstheme="minorHAnsi"/>
        </w:rPr>
        <w:br w:type="page"/>
      </w:r>
    </w:p>
    <w:p w14:paraId="78B109BC" w14:textId="77777777" w:rsidR="00E47795" w:rsidRPr="000B61F3" w:rsidRDefault="00E47795" w:rsidP="00141741">
      <w:pPr>
        <w:spacing w:after="120"/>
        <w:rPr>
          <w:rFonts w:eastAsia="Times New Roman" w:cs="Helvetica"/>
          <w:b/>
          <w:bCs/>
          <w:color w:val="333333"/>
          <w:spacing w:val="15"/>
          <w:kern w:val="36"/>
          <w:sz w:val="28"/>
          <w:szCs w:val="28"/>
        </w:rPr>
      </w:pPr>
      <w:bookmarkStart w:id="16" w:name="WorkersComp_FS"/>
      <w:r w:rsidRPr="000B61F3">
        <w:rPr>
          <w:rFonts w:eastAsia="Times New Roman" w:cs="Helvetica"/>
          <w:b/>
          <w:bCs/>
          <w:color w:val="333333"/>
          <w:spacing w:val="15"/>
          <w:kern w:val="36"/>
          <w:sz w:val="28"/>
          <w:szCs w:val="28"/>
        </w:rPr>
        <w:lastRenderedPageBreak/>
        <w:t>Workers’ Compensation Issues in Emergencies</w:t>
      </w:r>
      <w:bookmarkEnd w:id="16"/>
    </w:p>
    <w:p w14:paraId="3ACF6EE1" w14:textId="77777777" w:rsidR="00E47795" w:rsidRPr="000B61F3" w:rsidRDefault="00E47795" w:rsidP="00141741">
      <w:pPr>
        <w:rPr>
          <w:rFonts w:eastAsia="Times New Roman" w:cs="Arial"/>
          <w:b/>
          <w:bCs/>
          <w:color w:val="3C3030"/>
          <w:sz w:val="24"/>
          <w:szCs w:val="24"/>
        </w:rPr>
      </w:pPr>
      <w:r w:rsidRPr="000B61F3">
        <w:rPr>
          <w:rFonts w:eastAsia="Times New Roman" w:cs="Arial"/>
          <w:b/>
          <w:bCs/>
          <w:color w:val="3C3030"/>
          <w:sz w:val="24"/>
          <w:szCs w:val="24"/>
        </w:rPr>
        <w:t>Fact Sheet</w:t>
      </w:r>
    </w:p>
    <w:p w14:paraId="42DD71B3" w14:textId="77777777" w:rsidR="00E47795" w:rsidRDefault="00E47795" w:rsidP="00141741">
      <w:pPr>
        <w:rPr>
          <w:rFonts w:eastAsia="Times New Roman" w:cs="Arial"/>
          <w:b/>
          <w:bCs/>
          <w:color w:val="3C3030"/>
          <w:sz w:val="24"/>
          <w:szCs w:val="24"/>
        </w:rPr>
      </w:pPr>
    </w:p>
    <w:p w14:paraId="445FB033" w14:textId="77777777" w:rsidR="00E47795" w:rsidRPr="000B61F3" w:rsidRDefault="00E47795" w:rsidP="00141741">
      <w:pPr>
        <w:spacing w:line="480" w:lineRule="auto"/>
        <w:rPr>
          <w:rFonts w:eastAsia="Times New Roman" w:cs="Arial"/>
          <w:b/>
          <w:bCs/>
          <w:color w:val="3C3030"/>
          <w:sz w:val="24"/>
          <w:szCs w:val="24"/>
        </w:rPr>
      </w:pPr>
      <w:r w:rsidRPr="000B61F3">
        <w:rPr>
          <w:rFonts w:eastAsia="Times New Roman" w:cs="Arial"/>
          <w:b/>
          <w:bCs/>
          <w:color w:val="3C3030"/>
          <w:sz w:val="24"/>
          <w:szCs w:val="24"/>
        </w:rPr>
        <w:t>Overview</w:t>
      </w:r>
    </w:p>
    <w:p w14:paraId="25F77C01" w14:textId="77777777" w:rsidR="00E47795" w:rsidRPr="000B61F3" w:rsidRDefault="00E47795" w:rsidP="00141741">
      <w:pPr>
        <w:shd w:val="clear" w:color="auto" w:fill="FFFFFF"/>
        <w:spacing w:line="480" w:lineRule="auto"/>
        <w:textAlignment w:val="baseline"/>
        <w:rPr>
          <w:rFonts w:eastAsia="Times New Roman" w:cs="Arial"/>
          <w:color w:val="000000" w:themeColor="text1"/>
          <w:szCs w:val="20"/>
        </w:rPr>
      </w:pPr>
      <w:r w:rsidRPr="000B61F3">
        <w:rPr>
          <w:rFonts w:eastAsia="Times New Roman" w:cs="Arial"/>
          <w:color w:val="000000" w:themeColor="text1"/>
          <w:szCs w:val="20"/>
        </w:rPr>
        <w:t xml:space="preserve">Volunteers and others participating in emergency responses raise questions about their ability to obtain coverage under state workers’ compensation programs for injuries received while participating in the response. Depending on the circumstances, workers’ compensation and other benefits may be available to provide payments for injuries received while participating in the response. These protections, however, can be highly dependent on the nature of the services provided by the person (volunteer vs. paid employee) and the individual’s access to alternative compensation resources. </w:t>
      </w:r>
    </w:p>
    <w:p w14:paraId="225D0649" w14:textId="77777777" w:rsidR="00E47795" w:rsidRPr="007655DF" w:rsidRDefault="00E47795" w:rsidP="00141741">
      <w:pPr>
        <w:spacing w:line="480" w:lineRule="auto"/>
        <w:rPr>
          <w:rFonts w:eastAsia="Times New Roman" w:cs="Arial"/>
          <w:b/>
          <w:bCs/>
          <w:color w:val="000000" w:themeColor="text1"/>
          <w:sz w:val="28"/>
          <w:szCs w:val="24"/>
        </w:rPr>
      </w:pPr>
    </w:p>
    <w:p w14:paraId="65C6E2C7" w14:textId="77777777" w:rsidR="00E47795" w:rsidRPr="000B61F3" w:rsidRDefault="00E47795" w:rsidP="00141741">
      <w:pPr>
        <w:spacing w:line="480" w:lineRule="auto"/>
        <w:rPr>
          <w:rFonts w:eastAsia="Times New Roman" w:cs="Arial"/>
          <w:b/>
          <w:bCs/>
          <w:color w:val="3C3030"/>
          <w:sz w:val="24"/>
          <w:szCs w:val="24"/>
        </w:rPr>
      </w:pPr>
      <w:r w:rsidRPr="000B61F3">
        <w:rPr>
          <w:rFonts w:eastAsia="Times New Roman" w:cs="Arial"/>
          <w:b/>
          <w:bCs/>
          <w:color w:val="3C3030"/>
          <w:sz w:val="24"/>
          <w:szCs w:val="24"/>
        </w:rPr>
        <w:t>Worker’s Compensation and Disability Issues</w:t>
      </w:r>
    </w:p>
    <w:p w14:paraId="19F6D858" w14:textId="77777777" w:rsidR="00E47795" w:rsidRPr="000B61F3" w:rsidRDefault="00E47795" w:rsidP="00141741">
      <w:pPr>
        <w:shd w:val="clear" w:color="auto" w:fill="FFFFFF"/>
        <w:spacing w:line="480" w:lineRule="auto"/>
        <w:textAlignment w:val="baseline"/>
        <w:rPr>
          <w:rFonts w:eastAsia="Times New Roman" w:cs="Arial"/>
          <w:color w:val="000000" w:themeColor="text1"/>
          <w:szCs w:val="20"/>
        </w:rPr>
      </w:pPr>
      <w:r w:rsidRPr="000B61F3">
        <w:rPr>
          <w:rFonts w:eastAsia="Times New Roman" w:cs="Arial"/>
          <w:color w:val="000000" w:themeColor="text1"/>
          <w:szCs w:val="20"/>
        </w:rPr>
        <w:t xml:space="preserve">A person’s ability to obtain workers’ compensation for injuries or lost wages is a significant question for those responding to emergency events. In deciding the issue, </w:t>
      </w:r>
      <w:proofErr w:type="gramStart"/>
      <w:r w:rsidRPr="000B61F3">
        <w:rPr>
          <w:rFonts w:eastAsia="Times New Roman" w:cs="Arial"/>
          <w:color w:val="000000" w:themeColor="text1"/>
          <w:szCs w:val="20"/>
        </w:rPr>
        <w:t>a number of</w:t>
      </w:r>
      <w:proofErr w:type="gramEnd"/>
      <w:r w:rsidRPr="000B61F3">
        <w:rPr>
          <w:rFonts w:eastAsia="Times New Roman" w:cs="Arial"/>
          <w:color w:val="000000" w:themeColor="text1"/>
          <w:szCs w:val="20"/>
        </w:rPr>
        <w:t xml:space="preserve"> factors can affect the analysis, such as the parameters of a state’s workers’ compensation laws, the person’s status while responding (employee or volunteer), the systems or programs under which a person deploys, and events surrounding the injury. Sick leave and disability insurance may provide an additional or alternative source of compensation for persons involved in emergency response activities, although not all persons may have access to these mechanisms. </w:t>
      </w:r>
    </w:p>
    <w:p w14:paraId="2DD65899" w14:textId="77777777" w:rsidR="00E47795" w:rsidRPr="00141741" w:rsidRDefault="00E47795" w:rsidP="00141741">
      <w:pPr>
        <w:spacing w:line="480" w:lineRule="auto"/>
        <w:rPr>
          <w:rFonts w:eastAsia="Times New Roman" w:cs="Arial"/>
          <w:b/>
          <w:bCs/>
          <w:color w:val="000000" w:themeColor="text1"/>
          <w:szCs w:val="20"/>
        </w:rPr>
      </w:pPr>
    </w:p>
    <w:p w14:paraId="1311BB01" w14:textId="77777777" w:rsidR="00E47795" w:rsidRPr="000B61F3" w:rsidRDefault="00E47795" w:rsidP="00141741">
      <w:pPr>
        <w:spacing w:line="480" w:lineRule="auto"/>
        <w:rPr>
          <w:rFonts w:eastAsia="Times New Roman" w:cs="Arial"/>
          <w:b/>
          <w:bCs/>
          <w:color w:val="000000" w:themeColor="text1"/>
          <w:sz w:val="20"/>
          <w:szCs w:val="20"/>
        </w:rPr>
      </w:pPr>
      <w:r w:rsidRPr="000B61F3">
        <w:rPr>
          <w:rFonts w:eastAsia="Times New Roman" w:cs="Arial"/>
          <w:b/>
          <w:bCs/>
          <w:color w:val="000000" w:themeColor="text1"/>
          <w:sz w:val="20"/>
          <w:szCs w:val="20"/>
        </w:rPr>
        <w:t xml:space="preserve">Workers’ </w:t>
      </w:r>
      <w:r w:rsidRPr="000B61F3">
        <w:rPr>
          <w:rFonts w:eastAsia="Times New Roman" w:cs="Arial"/>
          <w:b/>
          <w:bCs/>
          <w:color w:val="000000" w:themeColor="text1"/>
          <w:szCs w:val="20"/>
        </w:rPr>
        <w:t>Compensation</w:t>
      </w:r>
    </w:p>
    <w:p w14:paraId="2A3FCB8A" w14:textId="77777777" w:rsidR="00E47795" w:rsidRPr="007655DF" w:rsidRDefault="00E47795" w:rsidP="00141741">
      <w:pPr>
        <w:shd w:val="clear" w:color="auto" w:fill="FFFFFF"/>
        <w:spacing w:line="480" w:lineRule="auto"/>
        <w:textAlignment w:val="baseline"/>
        <w:rPr>
          <w:rFonts w:eastAsia="Times New Roman" w:cs="Arial"/>
          <w:color w:val="000000" w:themeColor="text1"/>
          <w:szCs w:val="20"/>
        </w:rPr>
      </w:pPr>
      <w:r w:rsidRPr="000B61F3">
        <w:rPr>
          <w:rFonts w:eastAsia="Times New Roman" w:cs="Arial"/>
          <w:color w:val="000000" w:themeColor="text1"/>
          <w:szCs w:val="20"/>
        </w:rPr>
        <w:t xml:space="preserve">Workers’ compensation programs provide benefits to workers who are injured during the scope and course of their employment. Workers’ compensation laws are enacted and administered by states. Every state, the District of Columbia, and the territories have a workers’ compensation program. Each program is unique, and the requirements for coverage, types of benefits, and amounts of benefits vary </w:t>
      </w:r>
      <w:r w:rsidRPr="000B61F3">
        <w:rPr>
          <w:rFonts w:eastAsia="Times New Roman" w:cs="Arial"/>
          <w:color w:val="000000" w:themeColor="text1"/>
          <w:szCs w:val="20"/>
        </w:rPr>
        <w:lastRenderedPageBreak/>
        <w:t xml:space="preserve">from state to state. Although state workers’ compensation programs cover </w:t>
      </w:r>
      <w:proofErr w:type="gramStart"/>
      <w:r w:rsidRPr="000B61F3">
        <w:rPr>
          <w:rFonts w:eastAsia="Times New Roman" w:cs="Arial"/>
          <w:color w:val="000000" w:themeColor="text1"/>
          <w:szCs w:val="20"/>
        </w:rPr>
        <w:t>a majority of</w:t>
      </w:r>
      <w:proofErr w:type="gramEnd"/>
      <w:r w:rsidRPr="000B61F3">
        <w:rPr>
          <w:rFonts w:eastAsia="Times New Roman" w:cs="Arial"/>
          <w:color w:val="000000" w:themeColor="text1"/>
          <w:szCs w:val="20"/>
        </w:rPr>
        <w:t xml:space="preserve"> workers, certain types of organizations or activities are exempted from coverage under workers’ compensation programs, including employees of nonprofit, charitable, or religious institutions; employees of small businesses under a specified size; and workers in hazardous occupations. Some states further exempt domestic service, agricultural employment, casual laborers, and state and local employees. Some of these groups are provided coverage through other mechanisms, such as disability insurance that is provided by an employer as a full or partial benefit or negotiated through union agreements. </w:t>
      </w:r>
    </w:p>
    <w:p w14:paraId="6C702D1F" w14:textId="77777777" w:rsidR="00E47795" w:rsidRPr="007655DF" w:rsidRDefault="00E47795" w:rsidP="00141741">
      <w:pPr>
        <w:shd w:val="clear" w:color="auto" w:fill="FFFFFF"/>
        <w:spacing w:line="480" w:lineRule="auto"/>
        <w:textAlignment w:val="baseline"/>
        <w:rPr>
          <w:rFonts w:eastAsia="Times New Roman" w:cs="Arial"/>
          <w:color w:val="000000" w:themeColor="text1"/>
          <w:szCs w:val="20"/>
        </w:rPr>
      </w:pPr>
    </w:p>
    <w:p w14:paraId="267FDCC0" w14:textId="77777777" w:rsidR="00E47795" w:rsidRPr="007655DF" w:rsidRDefault="00E47795" w:rsidP="00141741">
      <w:pPr>
        <w:shd w:val="clear" w:color="auto" w:fill="FFFFFF"/>
        <w:spacing w:line="480" w:lineRule="auto"/>
        <w:textAlignment w:val="baseline"/>
        <w:rPr>
          <w:rFonts w:eastAsia="Times New Roman" w:cs="Arial"/>
          <w:color w:val="000000" w:themeColor="text1"/>
          <w:szCs w:val="20"/>
        </w:rPr>
      </w:pPr>
      <w:r w:rsidRPr="000B61F3">
        <w:rPr>
          <w:rFonts w:eastAsia="Times New Roman" w:cs="Arial"/>
          <w:color w:val="000000" w:themeColor="text1"/>
          <w:szCs w:val="20"/>
        </w:rPr>
        <w:t>Workers’ compensation is primarily an employer-funded system. Workers’ compensation laws require employers to purchase workers’ compensation insurance policies through state-sponsored or commercial insurance providers or provide coverage through self-insurance in which the employer demonstrates to the state its financial ability to cover potential liabilities. State compensation programs are administered by various regulatory bodies in different ways, including departments or divisions of labor, insurance departments or commissions, or freestanding commissions or special boards. </w:t>
      </w:r>
    </w:p>
    <w:p w14:paraId="1244672D" w14:textId="77777777" w:rsidR="00E47795" w:rsidRPr="000B61F3" w:rsidRDefault="00E47795" w:rsidP="00141741">
      <w:pPr>
        <w:shd w:val="clear" w:color="auto" w:fill="FFFFFF"/>
        <w:spacing w:line="480" w:lineRule="auto"/>
        <w:textAlignment w:val="baseline"/>
        <w:rPr>
          <w:rFonts w:eastAsia="Times New Roman" w:cs="Arial"/>
          <w:color w:val="000000" w:themeColor="text1"/>
          <w:szCs w:val="20"/>
        </w:rPr>
      </w:pPr>
    </w:p>
    <w:p w14:paraId="6536F061" w14:textId="77777777" w:rsidR="00E47795" w:rsidRPr="000B61F3" w:rsidRDefault="00E47795" w:rsidP="00141741">
      <w:pPr>
        <w:spacing w:line="480" w:lineRule="auto"/>
        <w:rPr>
          <w:rFonts w:eastAsia="Times New Roman" w:cs="Arial"/>
          <w:b/>
          <w:bCs/>
          <w:color w:val="000000" w:themeColor="text1"/>
          <w:szCs w:val="20"/>
        </w:rPr>
      </w:pPr>
      <w:r w:rsidRPr="000B61F3">
        <w:rPr>
          <w:rFonts w:eastAsia="Times New Roman" w:cs="Arial"/>
          <w:b/>
          <w:bCs/>
          <w:color w:val="000000" w:themeColor="text1"/>
          <w:szCs w:val="20"/>
        </w:rPr>
        <w:t>Compensation Acts and Funds</w:t>
      </w:r>
    </w:p>
    <w:p w14:paraId="07B09A93" w14:textId="77777777" w:rsidR="00E47795" w:rsidRPr="000B61F3" w:rsidRDefault="00E47795" w:rsidP="00141741">
      <w:pPr>
        <w:shd w:val="clear" w:color="auto" w:fill="FFFFFF"/>
        <w:spacing w:line="480" w:lineRule="auto"/>
        <w:textAlignment w:val="baseline"/>
        <w:rPr>
          <w:rFonts w:eastAsia="Times New Roman" w:cs="Arial"/>
          <w:color w:val="000000" w:themeColor="text1"/>
          <w:szCs w:val="20"/>
        </w:rPr>
      </w:pPr>
      <w:r w:rsidRPr="000B61F3">
        <w:rPr>
          <w:rFonts w:eastAsia="Times New Roman" w:cs="Arial"/>
          <w:color w:val="000000" w:themeColor="text1"/>
          <w:szCs w:val="20"/>
        </w:rPr>
        <w:t>Federal and state laws have created mechanisms or funds to compensate groups of people based on their occupation or involvement in a specific injurious event. One such law, the </w:t>
      </w:r>
      <w:hyperlink r:id="rId118" w:anchor="Federal-Employees-Compensation-Act-(FECA)" w:tooltip="Federal Employees’ Compensation Act (FECA)" w:history="1">
        <w:r w:rsidRPr="000B61F3">
          <w:rPr>
            <w:rFonts w:eastAsia="Times New Roman" w:cs="Arial"/>
            <w:color w:val="0F88B8"/>
            <w:szCs w:val="20"/>
            <w:bdr w:val="none" w:sz="0" w:space="0" w:color="auto" w:frame="1"/>
          </w:rPr>
          <w:t>Federal Employees’ Compensation Act (FECA)</w:t>
        </w:r>
      </w:hyperlink>
      <w:r w:rsidRPr="000B61F3">
        <w:rPr>
          <w:rFonts w:eastAsia="Times New Roman" w:cs="Arial"/>
          <w:color w:val="000000" w:themeColor="text1"/>
          <w:szCs w:val="20"/>
        </w:rPr>
        <w:t>, provides workers’ compensation to civilian federal employees who are injured or killed during the course of their duties. Volunteers who deploy under federal programs like the </w:t>
      </w:r>
      <w:hyperlink r:id="rId119" w:anchor="National-Disaster-Medical-System-(NDMS)" w:tooltip="National Disaster Medical System" w:history="1">
        <w:r w:rsidRPr="000B61F3">
          <w:rPr>
            <w:rFonts w:eastAsia="Times New Roman" w:cs="Arial"/>
            <w:color w:val="0F88B8"/>
            <w:szCs w:val="20"/>
            <w:bdr w:val="none" w:sz="0" w:space="0" w:color="auto" w:frame="1"/>
          </w:rPr>
          <w:t>National Disaster Medical System</w:t>
        </w:r>
      </w:hyperlink>
      <w:r w:rsidRPr="000B61F3">
        <w:rPr>
          <w:rFonts w:eastAsia="Times New Roman" w:cs="Arial"/>
          <w:color w:val="737373"/>
          <w:szCs w:val="20"/>
        </w:rPr>
        <w:t> </w:t>
      </w:r>
      <w:r w:rsidRPr="000B61F3">
        <w:rPr>
          <w:rFonts w:eastAsia="Times New Roman" w:cs="Arial"/>
          <w:color w:val="000000" w:themeColor="text1"/>
          <w:szCs w:val="20"/>
        </w:rPr>
        <w:t>are covered under FECA. </w:t>
      </w:r>
    </w:p>
    <w:p w14:paraId="1D26AB02" w14:textId="77777777" w:rsidR="00E47795" w:rsidRPr="007655DF" w:rsidRDefault="00E47795" w:rsidP="00141741">
      <w:pPr>
        <w:spacing w:line="480" w:lineRule="auto"/>
        <w:rPr>
          <w:rFonts w:eastAsia="Times New Roman" w:cs="Arial"/>
          <w:b/>
          <w:bCs/>
          <w:color w:val="000000" w:themeColor="text1"/>
          <w:sz w:val="24"/>
          <w:szCs w:val="20"/>
        </w:rPr>
      </w:pPr>
    </w:p>
    <w:p w14:paraId="6F7B28A4" w14:textId="77777777" w:rsidR="00E47795" w:rsidRPr="000B61F3" w:rsidRDefault="00E47795" w:rsidP="00141741">
      <w:pPr>
        <w:keepNext/>
        <w:spacing w:line="480" w:lineRule="auto"/>
        <w:rPr>
          <w:rFonts w:eastAsia="Times New Roman" w:cs="Arial"/>
          <w:b/>
          <w:bCs/>
          <w:color w:val="000000" w:themeColor="text1"/>
          <w:szCs w:val="20"/>
        </w:rPr>
      </w:pPr>
      <w:r w:rsidRPr="000B61F3">
        <w:rPr>
          <w:rFonts w:eastAsia="Times New Roman" w:cs="Arial"/>
          <w:b/>
          <w:bCs/>
          <w:color w:val="000000" w:themeColor="text1"/>
          <w:szCs w:val="20"/>
        </w:rPr>
        <w:lastRenderedPageBreak/>
        <w:t>Sick Leave and Disability Insurance</w:t>
      </w:r>
    </w:p>
    <w:p w14:paraId="62D30F44" w14:textId="77777777" w:rsidR="00E47795" w:rsidRPr="000B61F3" w:rsidRDefault="00E47795" w:rsidP="00141741">
      <w:pPr>
        <w:shd w:val="clear" w:color="auto" w:fill="FFFFFF"/>
        <w:spacing w:line="480" w:lineRule="auto"/>
        <w:textAlignment w:val="baseline"/>
        <w:rPr>
          <w:rFonts w:eastAsia="Times New Roman" w:cs="Arial"/>
          <w:color w:val="000000" w:themeColor="text1"/>
          <w:szCs w:val="20"/>
        </w:rPr>
      </w:pPr>
      <w:r w:rsidRPr="000B61F3">
        <w:rPr>
          <w:rFonts w:eastAsia="Times New Roman" w:cs="Arial"/>
          <w:color w:val="000000" w:themeColor="text1"/>
          <w:szCs w:val="20"/>
        </w:rPr>
        <w:t>Some workers may have coverage for work-related or non-work-related injuries through paid sick leave, temporary disability benefits, and long-term disability insurance. Companies typically provide sick leave and disability insurance voluntarily, although it can be a negotiated benefit through union contracts; it is mandatory in only a few states. These benefits may provide an additional or alternative source of compensation for persons involved in emergency response activities whose status or activities during a response may not qualify or fully qualify them for a state’s workers’ compensation program. Not all persons have access to these additional resources, however, unless an employer offers them or a person obtains an individual disability policy. The specifics of a disability policy dictate whether coverage is available for only work-related injuries or will also cover non-work-related injuries (e.g., while volunteering during an emergency). </w:t>
      </w:r>
    </w:p>
    <w:p w14:paraId="55FD8EED" w14:textId="77777777" w:rsidR="00E47795" w:rsidRPr="007655DF" w:rsidRDefault="00E47795" w:rsidP="00141741">
      <w:pPr>
        <w:spacing w:line="480" w:lineRule="auto"/>
        <w:rPr>
          <w:rFonts w:eastAsia="Times New Roman" w:cs="Arial"/>
          <w:b/>
          <w:bCs/>
          <w:color w:val="000000" w:themeColor="text1"/>
          <w:sz w:val="28"/>
          <w:szCs w:val="24"/>
        </w:rPr>
      </w:pPr>
    </w:p>
    <w:p w14:paraId="7B60F129" w14:textId="77777777" w:rsidR="00E47795" w:rsidRPr="000B61F3" w:rsidRDefault="00E47795" w:rsidP="00141741">
      <w:pPr>
        <w:spacing w:line="480" w:lineRule="auto"/>
        <w:rPr>
          <w:rFonts w:eastAsia="Times New Roman" w:cs="Arial"/>
          <w:b/>
          <w:bCs/>
          <w:color w:val="3C3030"/>
          <w:sz w:val="24"/>
          <w:szCs w:val="24"/>
        </w:rPr>
      </w:pPr>
      <w:r w:rsidRPr="000B61F3">
        <w:rPr>
          <w:rFonts w:eastAsia="Times New Roman" w:cs="Arial"/>
          <w:b/>
          <w:bCs/>
          <w:color w:val="3C3030"/>
          <w:sz w:val="24"/>
          <w:szCs w:val="24"/>
        </w:rPr>
        <w:t>Key Issues Regarding Workers’ Compensation in Emergency Response</w:t>
      </w:r>
    </w:p>
    <w:p w14:paraId="5110B4A5" w14:textId="77777777" w:rsidR="00E47795" w:rsidRPr="007655DF" w:rsidRDefault="00E47795" w:rsidP="00141741">
      <w:pPr>
        <w:shd w:val="clear" w:color="auto" w:fill="FFFFFF"/>
        <w:spacing w:line="480" w:lineRule="auto"/>
        <w:textAlignment w:val="baseline"/>
        <w:rPr>
          <w:rFonts w:eastAsia="Times New Roman" w:cs="Arial"/>
          <w:color w:val="000000" w:themeColor="text1"/>
          <w:szCs w:val="20"/>
        </w:rPr>
      </w:pPr>
    </w:p>
    <w:p w14:paraId="08EEF66F" w14:textId="77777777" w:rsidR="00E47795" w:rsidRPr="000B61F3" w:rsidRDefault="00E47795" w:rsidP="00141741">
      <w:pPr>
        <w:shd w:val="clear" w:color="auto" w:fill="FFFFFF"/>
        <w:spacing w:line="480" w:lineRule="auto"/>
        <w:textAlignment w:val="baseline"/>
        <w:rPr>
          <w:rFonts w:eastAsia="Times New Roman" w:cs="Arial"/>
          <w:color w:val="000000" w:themeColor="text1"/>
          <w:szCs w:val="20"/>
        </w:rPr>
      </w:pPr>
      <w:r w:rsidRPr="000B61F3">
        <w:rPr>
          <w:rFonts w:eastAsia="Times New Roman" w:cs="Arial"/>
          <w:color w:val="000000" w:themeColor="text1"/>
          <w:szCs w:val="20"/>
        </w:rPr>
        <w:t>An analysis of eligibility for workers’ compensation in the context of an emergency response scenario must consider a number of factors. Such an analysis is highly dependent on state law and the facts in a specific case.</w:t>
      </w:r>
    </w:p>
    <w:p w14:paraId="5270C7A8" w14:textId="77777777" w:rsidR="00E47795" w:rsidRPr="007655DF" w:rsidRDefault="00E47795" w:rsidP="00141741">
      <w:pPr>
        <w:shd w:val="clear" w:color="auto" w:fill="FFFFFF"/>
        <w:spacing w:line="480" w:lineRule="auto"/>
        <w:textAlignment w:val="baseline"/>
        <w:rPr>
          <w:rFonts w:eastAsia="Times New Roman" w:cs="Arial"/>
          <w:b/>
          <w:bCs/>
          <w:color w:val="000000" w:themeColor="text1"/>
          <w:szCs w:val="20"/>
          <w:bdr w:val="none" w:sz="0" w:space="0" w:color="auto" w:frame="1"/>
        </w:rPr>
      </w:pPr>
    </w:p>
    <w:p w14:paraId="4BA84EDF" w14:textId="77777777" w:rsidR="00E47795" w:rsidRPr="00285F9F" w:rsidRDefault="00E47795" w:rsidP="00141741">
      <w:pPr>
        <w:shd w:val="clear" w:color="auto" w:fill="FFFFFF"/>
        <w:spacing w:line="480" w:lineRule="auto"/>
        <w:textAlignment w:val="baseline"/>
        <w:rPr>
          <w:rFonts w:eastAsia="Times New Roman" w:cs="Arial"/>
          <w:b/>
          <w:bCs/>
          <w:color w:val="000000" w:themeColor="text1"/>
          <w:szCs w:val="20"/>
          <w:bdr w:val="none" w:sz="0" w:space="0" w:color="auto" w:frame="1"/>
        </w:rPr>
      </w:pPr>
      <w:r w:rsidRPr="000B61F3">
        <w:rPr>
          <w:rFonts w:eastAsia="Times New Roman" w:cs="Arial"/>
          <w:b/>
          <w:bCs/>
          <w:color w:val="000000" w:themeColor="text1"/>
          <w:szCs w:val="20"/>
          <w:bdr w:val="none" w:sz="0" w:space="0" w:color="auto" w:frame="1"/>
        </w:rPr>
        <w:t>Which state’s law applies? </w:t>
      </w:r>
      <w:r w:rsidRPr="000B61F3">
        <w:rPr>
          <w:rFonts w:eastAsia="Times New Roman" w:cs="Arial"/>
          <w:color w:val="000000" w:themeColor="text1"/>
          <w:szCs w:val="20"/>
        </w:rPr>
        <w:t>When a person responds to an emergency in another state, an issue can arise as to what state’s workers’ compensation law should apply if the responder is injured—the state receiving the aid (host state) or the injured responder’s home state. Some deployment mechanisms and mutual aid agreements determine this issue in advance; for instance, EMAC stipulates that the state providing assistance (the home state) is responsible for paying compensation and death benefits in the same manner and terms as if the injury or death were sustained in the home state. The </w:t>
      </w:r>
      <w:hyperlink r:id="rId120" w:anchor="Uniform-Emergency-Volunteer-Health-Practitioners-Act" w:tooltip="Uniform Emergency Volunteer Health Practitioners Act (UEVHPA)" w:history="1">
        <w:r w:rsidRPr="000B61F3">
          <w:rPr>
            <w:rFonts w:eastAsia="Times New Roman" w:cs="Arial"/>
            <w:color w:val="0F88B8"/>
            <w:szCs w:val="20"/>
            <w:bdr w:val="none" w:sz="0" w:space="0" w:color="auto" w:frame="1"/>
          </w:rPr>
          <w:t xml:space="preserve">Uniform </w:t>
        </w:r>
        <w:r w:rsidRPr="000B61F3">
          <w:rPr>
            <w:rFonts w:eastAsia="Times New Roman" w:cs="Arial"/>
            <w:color w:val="0F88B8"/>
            <w:szCs w:val="20"/>
            <w:bdr w:val="none" w:sz="0" w:space="0" w:color="auto" w:frame="1"/>
          </w:rPr>
          <w:lastRenderedPageBreak/>
          <w:t>Emergency Volunteer Health Practitioners Act (UEVHPA)</w:t>
        </w:r>
      </w:hyperlink>
      <w:r w:rsidRPr="000B61F3">
        <w:rPr>
          <w:rFonts w:eastAsia="Times New Roman" w:cs="Arial"/>
          <w:color w:val="737373"/>
          <w:szCs w:val="20"/>
        </w:rPr>
        <w:t> </w:t>
      </w:r>
      <w:r w:rsidRPr="000B61F3">
        <w:rPr>
          <w:rFonts w:eastAsia="Times New Roman" w:cs="Arial"/>
          <w:color w:val="000000" w:themeColor="text1"/>
          <w:szCs w:val="20"/>
        </w:rPr>
        <w:t>provides that any volunteer health professional harmed or killed during an emergency may elect workers’ compensation protections of the host state as a payer of last resort. State emergency response and other volunteer protection statutes may require the issuance of a state or federally declared emergency before compensation coverage is available.</w:t>
      </w:r>
    </w:p>
    <w:p w14:paraId="12E6AEDC" w14:textId="77777777" w:rsidR="00E47795" w:rsidRPr="00285F9F" w:rsidRDefault="00E47795" w:rsidP="00141741">
      <w:pPr>
        <w:shd w:val="clear" w:color="auto" w:fill="FFFFFF"/>
        <w:spacing w:line="480" w:lineRule="auto"/>
        <w:textAlignment w:val="baseline"/>
        <w:rPr>
          <w:rFonts w:eastAsia="Times New Roman" w:cs="Arial"/>
          <w:b/>
          <w:bCs/>
          <w:color w:val="000000" w:themeColor="text1"/>
          <w:szCs w:val="20"/>
          <w:bdr w:val="none" w:sz="0" w:space="0" w:color="auto" w:frame="1"/>
        </w:rPr>
      </w:pPr>
    </w:p>
    <w:p w14:paraId="36CEEC57" w14:textId="77777777" w:rsidR="00E47795" w:rsidRDefault="00E47795" w:rsidP="00141741">
      <w:pPr>
        <w:shd w:val="clear" w:color="auto" w:fill="FFFFFF"/>
        <w:spacing w:line="480" w:lineRule="auto"/>
        <w:textAlignment w:val="baseline"/>
        <w:rPr>
          <w:rFonts w:eastAsia="Times New Roman" w:cs="Arial"/>
          <w:color w:val="000000" w:themeColor="text1"/>
          <w:szCs w:val="20"/>
        </w:rPr>
      </w:pPr>
      <w:r w:rsidRPr="000B61F3">
        <w:rPr>
          <w:rFonts w:eastAsia="Times New Roman" w:cs="Arial"/>
          <w:b/>
          <w:bCs/>
          <w:color w:val="000000" w:themeColor="text1"/>
          <w:szCs w:val="20"/>
          <w:bdr w:val="none" w:sz="0" w:space="0" w:color="auto" w:frame="1"/>
        </w:rPr>
        <w:t>Who is covered under a state’s workers’ compensation law?</w:t>
      </w:r>
      <w:r w:rsidRPr="000B61F3">
        <w:rPr>
          <w:rFonts w:eastAsia="Times New Roman" w:cs="Arial"/>
          <w:color w:val="000000" w:themeColor="text1"/>
          <w:szCs w:val="20"/>
        </w:rPr>
        <w:t> State workers’ compensation laws can expressly exclude coverage for volunteers. In the absence of a state law extending workers’ compensation to volunteers, unpaid persons involved in an emergency response are not covered because they are not “employees.” Some state laws that address volunteer health professionals (VHPs) in emergencies may include compensation, but this benefit may be mitigated if coverage is optional and an employer exercises a right to opt out or if the VHP is not appropriately registered with a volunteer registration system recognized by the state.</w:t>
      </w:r>
    </w:p>
    <w:p w14:paraId="3B4D84D8" w14:textId="77777777" w:rsidR="00E47795" w:rsidRDefault="00E47795" w:rsidP="00141741">
      <w:pPr>
        <w:shd w:val="clear" w:color="auto" w:fill="FFFFFF"/>
        <w:spacing w:line="480" w:lineRule="auto"/>
        <w:textAlignment w:val="baseline"/>
        <w:rPr>
          <w:rFonts w:eastAsia="Times New Roman" w:cs="Arial"/>
          <w:color w:val="000000" w:themeColor="text1"/>
          <w:szCs w:val="20"/>
        </w:rPr>
      </w:pPr>
    </w:p>
    <w:p w14:paraId="27EE3800" w14:textId="77777777" w:rsidR="00E47795" w:rsidRDefault="00E47795" w:rsidP="00141741">
      <w:pPr>
        <w:shd w:val="clear" w:color="auto" w:fill="FFFFFF"/>
        <w:spacing w:line="480" w:lineRule="auto"/>
        <w:textAlignment w:val="baseline"/>
        <w:rPr>
          <w:rFonts w:eastAsia="Times New Roman" w:cs="Arial"/>
          <w:color w:val="000000" w:themeColor="text1"/>
          <w:szCs w:val="20"/>
        </w:rPr>
      </w:pPr>
      <w:r w:rsidRPr="000B61F3">
        <w:rPr>
          <w:rFonts w:eastAsia="Times New Roman" w:cs="Arial"/>
          <w:b/>
          <w:bCs/>
          <w:color w:val="000000" w:themeColor="text1"/>
          <w:szCs w:val="20"/>
          <w:bdr w:val="none" w:sz="0" w:space="0" w:color="auto" w:frame="1"/>
        </w:rPr>
        <w:t>Who is the employer? </w:t>
      </w:r>
      <w:r w:rsidRPr="000B61F3">
        <w:rPr>
          <w:rFonts w:eastAsia="Times New Roman" w:cs="Arial"/>
          <w:color w:val="000000" w:themeColor="text1"/>
          <w:szCs w:val="20"/>
        </w:rPr>
        <w:t>Determining who the “employer” of a volunteer or other person deployed in an emergency response situation is can dictate both which state law applies (if it is an interstate deployment) and what entity, if any, is responsible for paying compensation to an injured responder. A volunteer’s regular employer is not likely to be responsible for injuries to the volunteer because the volunteer is acting outside the course of his or her employment unless the employer offers to provide coverage. The hosting employer (which may be the state or municipal government where the volunteer is deployed) or the host institution (e.g., hospital) may be responsible for paying workers’ compensation. </w:t>
      </w:r>
    </w:p>
    <w:p w14:paraId="78E71031" w14:textId="77777777" w:rsidR="00E47795" w:rsidRDefault="00E47795" w:rsidP="00141741">
      <w:pPr>
        <w:shd w:val="clear" w:color="auto" w:fill="FFFFFF"/>
        <w:spacing w:line="480" w:lineRule="auto"/>
        <w:textAlignment w:val="baseline"/>
        <w:rPr>
          <w:rFonts w:eastAsia="Times New Roman" w:cs="Arial"/>
          <w:color w:val="000000" w:themeColor="text1"/>
          <w:szCs w:val="20"/>
        </w:rPr>
      </w:pPr>
    </w:p>
    <w:p w14:paraId="536530D8" w14:textId="77777777" w:rsidR="00E47795" w:rsidRPr="000B61F3" w:rsidRDefault="00E47795" w:rsidP="00141741">
      <w:pPr>
        <w:shd w:val="clear" w:color="auto" w:fill="FFFFFF"/>
        <w:spacing w:line="480" w:lineRule="auto"/>
        <w:textAlignment w:val="baseline"/>
        <w:rPr>
          <w:rFonts w:eastAsia="Times New Roman" w:cs="Arial"/>
          <w:color w:val="000000" w:themeColor="text1"/>
          <w:szCs w:val="20"/>
        </w:rPr>
      </w:pPr>
      <w:r w:rsidRPr="000B61F3">
        <w:rPr>
          <w:rFonts w:eastAsia="Times New Roman" w:cs="Arial"/>
          <w:b/>
          <w:bCs/>
          <w:color w:val="000000" w:themeColor="text1"/>
          <w:szCs w:val="20"/>
          <w:bdr w:val="none" w:sz="0" w:space="0" w:color="auto" w:frame="1"/>
        </w:rPr>
        <w:t>What scope of activities are covered? </w:t>
      </w:r>
      <w:r w:rsidRPr="000B61F3">
        <w:rPr>
          <w:rFonts w:eastAsia="Times New Roman" w:cs="Arial"/>
          <w:color w:val="000000" w:themeColor="text1"/>
          <w:szCs w:val="20"/>
        </w:rPr>
        <w:t xml:space="preserve">Eligibility for workers’ compensation benefits may be limited to injuries that occur within the scope of the responder’s employment. Determining what activities are </w:t>
      </w:r>
      <w:r w:rsidRPr="000B61F3">
        <w:rPr>
          <w:rFonts w:eastAsia="Times New Roman" w:cs="Arial"/>
          <w:color w:val="000000" w:themeColor="text1"/>
          <w:szCs w:val="20"/>
        </w:rPr>
        <w:lastRenderedPageBreak/>
        <w:t>within that scope, especially since the activities may occur under extreme conditions, is important in assessing eligibility for coverage. Further, it may be necessary to determine if the injury occurred when the responder was actively engaged in the task for which he or she was deployed (e.g., providing healthcare, assessing sanitary conditions) as opposed to engaging in some other activity incident to the deployment (e.g., meeting, loading, training, cooking).</w:t>
      </w:r>
    </w:p>
    <w:p w14:paraId="6C0FB0D9" w14:textId="77777777" w:rsidR="00E47795" w:rsidRDefault="00E47795" w:rsidP="00141741">
      <w:pPr>
        <w:spacing w:line="480" w:lineRule="auto"/>
        <w:rPr>
          <w:rFonts w:eastAsia="Times New Roman" w:cs="Arial"/>
          <w:bCs/>
          <w:color w:val="3C3030"/>
          <w:szCs w:val="24"/>
        </w:rPr>
      </w:pPr>
    </w:p>
    <w:p w14:paraId="310061A1" w14:textId="77777777" w:rsidR="00E47795" w:rsidRDefault="00E47795" w:rsidP="00141741">
      <w:pPr>
        <w:spacing w:line="480" w:lineRule="auto"/>
        <w:rPr>
          <w:rFonts w:eastAsia="Times New Roman" w:cs="Arial"/>
          <w:bCs/>
          <w:color w:val="3C3030"/>
          <w:szCs w:val="24"/>
        </w:rPr>
      </w:pPr>
      <w:r>
        <w:rPr>
          <w:rFonts w:eastAsia="Times New Roman" w:cs="Arial"/>
          <w:bCs/>
          <w:color w:val="3C3030"/>
          <w:szCs w:val="24"/>
        </w:rPr>
        <w:t>_______________________________________________________________</w:t>
      </w:r>
    </w:p>
    <w:p w14:paraId="76AE2D6F" w14:textId="77777777" w:rsidR="00E47795" w:rsidRPr="007655DF" w:rsidRDefault="00E47795" w:rsidP="00141741">
      <w:pPr>
        <w:spacing w:line="480" w:lineRule="auto"/>
        <w:rPr>
          <w:rFonts w:eastAsia="Times New Roman" w:cs="Arial"/>
          <w:bCs/>
          <w:color w:val="3C3030"/>
          <w:szCs w:val="24"/>
        </w:rPr>
      </w:pPr>
    </w:p>
    <w:p w14:paraId="1311F443" w14:textId="77777777" w:rsidR="00E47795" w:rsidRPr="000B61F3" w:rsidRDefault="00E47795" w:rsidP="00141741">
      <w:pPr>
        <w:spacing w:line="480" w:lineRule="auto"/>
        <w:rPr>
          <w:rFonts w:eastAsia="Times New Roman" w:cs="Arial"/>
          <w:b/>
          <w:bCs/>
          <w:color w:val="3C3030"/>
          <w:sz w:val="24"/>
          <w:szCs w:val="24"/>
        </w:rPr>
      </w:pPr>
      <w:r w:rsidRPr="000B61F3">
        <w:rPr>
          <w:rFonts w:eastAsia="Times New Roman" w:cs="Arial"/>
          <w:b/>
          <w:bCs/>
          <w:color w:val="3C3030"/>
          <w:sz w:val="24"/>
          <w:szCs w:val="24"/>
        </w:rPr>
        <w:t>Sources</w:t>
      </w:r>
    </w:p>
    <w:p w14:paraId="32D46869" w14:textId="77777777" w:rsidR="00E47795" w:rsidRPr="000B61F3" w:rsidRDefault="00E47795" w:rsidP="00E47795">
      <w:pPr>
        <w:numPr>
          <w:ilvl w:val="0"/>
          <w:numId w:val="47"/>
        </w:numPr>
        <w:spacing w:line="480" w:lineRule="auto"/>
        <w:ind w:left="0"/>
        <w:textAlignment w:val="baseline"/>
        <w:rPr>
          <w:rFonts w:eastAsia="Times New Roman" w:cs="Arial"/>
          <w:color w:val="000000" w:themeColor="text1"/>
          <w:szCs w:val="20"/>
        </w:rPr>
      </w:pPr>
      <w:r w:rsidRPr="000B61F3">
        <w:rPr>
          <w:rFonts w:eastAsia="Times New Roman" w:cs="Arial"/>
          <w:color w:val="000000" w:themeColor="text1"/>
          <w:szCs w:val="20"/>
        </w:rPr>
        <w:t>Federal Emergency Management Agency. </w:t>
      </w:r>
      <w:r w:rsidRPr="000B61F3">
        <w:rPr>
          <w:rFonts w:eastAsia="Times New Roman" w:cs="Arial"/>
          <w:i/>
          <w:iCs/>
          <w:color w:val="000000" w:themeColor="text1"/>
          <w:szCs w:val="20"/>
          <w:bdr w:val="none" w:sz="0" w:space="0" w:color="auto" w:frame="1"/>
        </w:rPr>
        <w:t>Citizen Corps Volunteer Liability Guide </w:t>
      </w:r>
      <w:r w:rsidRPr="000B61F3">
        <w:rPr>
          <w:rFonts w:eastAsia="Times New Roman" w:cs="Arial"/>
          <w:color w:val="000000" w:themeColor="text1"/>
          <w:szCs w:val="20"/>
        </w:rPr>
        <w:t>(undated). Available at </w:t>
      </w:r>
      <w:hyperlink r:id="rId121" w:tooltip="www.citizencorps.gov" w:history="1">
        <w:r w:rsidRPr="000B61F3">
          <w:rPr>
            <w:rFonts w:eastAsia="Times New Roman" w:cs="Arial"/>
            <w:color w:val="0F88B8"/>
            <w:szCs w:val="20"/>
            <w:bdr w:val="none" w:sz="0" w:space="0" w:color="auto" w:frame="1"/>
          </w:rPr>
          <w:t>www.citizencorps.gov</w:t>
        </w:r>
      </w:hyperlink>
      <w:r w:rsidRPr="000B61F3">
        <w:rPr>
          <w:rFonts w:eastAsia="Times New Roman" w:cs="Arial"/>
          <w:color w:val="000000" w:themeColor="text1"/>
          <w:szCs w:val="20"/>
        </w:rPr>
        <w:t>. Accessed May 30, 2013.</w:t>
      </w:r>
    </w:p>
    <w:p w14:paraId="19B65538" w14:textId="77777777" w:rsidR="00E47795" w:rsidRPr="000B61F3" w:rsidRDefault="00E47795" w:rsidP="00E47795">
      <w:pPr>
        <w:numPr>
          <w:ilvl w:val="0"/>
          <w:numId w:val="47"/>
        </w:numPr>
        <w:spacing w:line="480" w:lineRule="auto"/>
        <w:ind w:left="0"/>
        <w:textAlignment w:val="baseline"/>
        <w:rPr>
          <w:rFonts w:eastAsia="Times New Roman" w:cs="Arial"/>
          <w:color w:val="000000" w:themeColor="text1"/>
          <w:szCs w:val="20"/>
        </w:rPr>
      </w:pPr>
      <w:r w:rsidRPr="000B61F3">
        <w:rPr>
          <w:rFonts w:eastAsia="Times New Roman" w:cs="Arial"/>
          <w:color w:val="000000" w:themeColor="text1"/>
          <w:szCs w:val="20"/>
        </w:rPr>
        <w:t>Health Resources and Services Administration. </w:t>
      </w:r>
      <w:r w:rsidRPr="000B61F3">
        <w:rPr>
          <w:rFonts w:eastAsia="Times New Roman" w:cs="Arial"/>
          <w:i/>
          <w:iCs/>
          <w:color w:val="000000" w:themeColor="text1"/>
          <w:szCs w:val="20"/>
          <w:bdr w:val="none" w:sz="0" w:space="0" w:color="auto" w:frame="1"/>
        </w:rPr>
        <w:t>Emergency System for Advance Registration of Volunteer Health Professionals (ESAR-VHP): Legal and Regulatory Issues</w:t>
      </w:r>
      <w:r w:rsidRPr="000B61F3">
        <w:rPr>
          <w:rFonts w:eastAsia="Times New Roman" w:cs="Arial"/>
          <w:color w:val="000000" w:themeColor="text1"/>
          <w:szCs w:val="20"/>
        </w:rPr>
        <w:t>. Draft Report. May 2006. Available at</w:t>
      </w:r>
      <w:r w:rsidRPr="000B61F3">
        <w:rPr>
          <w:rFonts w:eastAsia="Times New Roman" w:cs="Arial"/>
          <w:color w:val="737373"/>
          <w:szCs w:val="20"/>
        </w:rPr>
        <w:t> </w:t>
      </w:r>
      <w:hyperlink r:id="rId122" w:history="1">
        <w:r w:rsidRPr="000B61F3">
          <w:rPr>
            <w:rFonts w:eastAsia="Times New Roman" w:cs="Arial"/>
            <w:color w:val="0F88B8"/>
            <w:szCs w:val="20"/>
            <w:bdr w:val="none" w:sz="0" w:space="0" w:color="auto" w:frame="1"/>
          </w:rPr>
          <w:t>www.publichealthlaw.net/Projects/ESAR-VHP.php</w:t>
        </w:r>
      </w:hyperlink>
      <w:r w:rsidRPr="000B61F3">
        <w:rPr>
          <w:rFonts w:eastAsia="Times New Roman" w:cs="Arial"/>
          <w:color w:val="737373"/>
          <w:szCs w:val="20"/>
        </w:rPr>
        <w:t xml:space="preserve">. </w:t>
      </w:r>
      <w:r w:rsidRPr="000B61F3">
        <w:rPr>
          <w:rFonts w:eastAsia="Times New Roman" w:cs="Arial"/>
          <w:color w:val="000000" w:themeColor="text1"/>
          <w:szCs w:val="20"/>
        </w:rPr>
        <w:t>Accessed May 30, 2013.</w:t>
      </w:r>
    </w:p>
    <w:p w14:paraId="02F00D5B" w14:textId="77777777" w:rsidR="00E47795" w:rsidRPr="000B61F3" w:rsidRDefault="00E47795" w:rsidP="00E47795">
      <w:pPr>
        <w:numPr>
          <w:ilvl w:val="0"/>
          <w:numId w:val="47"/>
        </w:numPr>
        <w:spacing w:line="480" w:lineRule="auto"/>
        <w:ind w:left="0"/>
        <w:textAlignment w:val="baseline"/>
        <w:rPr>
          <w:rFonts w:eastAsia="Times New Roman" w:cs="Arial"/>
          <w:color w:val="000000" w:themeColor="text1"/>
          <w:szCs w:val="20"/>
        </w:rPr>
      </w:pPr>
      <w:r w:rsidRPr="000B61F3">
        <w:rPr>
          <w:rFonts w:eastAsia="Times New Roman" w:cs="Arial"/>
          <w:color w:val="000000" w:themeColor="text1"/>
          <w:szCs w:val="20"/>
        </w:rPr>
        <w:t>Hodges JG and Arias JJ. “Liability Risks and Protections for Volunteer Health Practitioners in Emergencies.” Presentation to the Network for Public Health Law-Western Region. November 19, 2010. Available at </w:t>
      </w:r>
      <w:hyperlink r:id="rId123" w:tooltip="http://www.networkforphl.org/_asset/dnnppn/Western-Region---VHP-Liability-Webinar-12-2.pdf" w:history="1">
        <w:r w:rsidRPr="000B61F3">
          <w:rPr>
            <w:rFonts w:eastAsia="Times New Roman" w:cs="Arial"/>
            <w:color w:val="0F88B8"/>
            <w:szCs w:val="20"/>
            <w:bdr w:val="none" w:sz="0" w:space="0" w:color="auto" w:frame="1"/>
          </w:rPr>
          <w:t>http://www.networkforphl.org/_asset/dnnppn/Western-Region---VHP-Liability-Webinar-12-2.pdf</w:t>
        </w:r>
      </w:hyperlink>
      <w:r w:rsidRPr="000B61F3">
        <w:rPr>
          <w:rFonts w:eastAsia="Times New Roman" w:cs="Arial"/>
          <w:color w:val="737373"/>
          <w:szCs w:val="20"/>
        </w:rPr>
        <w:t xml:space="preserve">. </w:t>
      </w:r>
      <w:r w:rsidRPr="000B61F3">
        <w:rPr>
          <w:rFonts w:eastAsia="Times New Roman" w:cs="Arial"/>
          <w:color w:val="000000" w:themeColor="text1"/>
          <w:szCs w:val="20"/>
        </w:rPr>
        <w:t>Accessed May 30, 2013.</w:t>
      </w:r>
    </w:p>
    <w:p w14:paraId="4E3CFE86" w14:textId="77777777" w:rsidR="00E47795" w:rsidRPr="000B61F3" w:rsidRDefault="00E47795" w:rsidP="00E47795">
      <w:pPr>
        <w:numPr>
          <w:ilvl w:val="0"/>
          <w:numId w:val="47"/>
        </w:numPr>
        <w:spacing w:line="480" w:lineRule="auto"/>
        <w:ind w:left="0"/>
        <w:textAlignment w:val="baseline"/>
        <w:rPr>
          <w:rFonts w:eastAsia="Times New Roman" w:cs="Arial"/>
          <w:color w:val="000000" w:themeColor="text1"/>
          <w:szCs w:val="20"/>
        </w:rPr>
      </w:pPr>
      <w:r w:rsidRPr="000B61F3">
        <w:rPr>
          <w:rFonts w:eastAsia="Times New Roman" w:cs="Arial"/>
          <w:color w:val="000000" w:themeColor="text1"/>
          <w:szCs w:val="20"/>
        </w:rPr>
        <w:t>Sengupta I. et al. National Academy of Social Insurance. </w:t>
      </w:r>
      <w:r w:rsidRPr="000B61F3">
        <w:rPr>
          <w:rFonts w:eastAsia="Times New Roman" w:cs="Arial"/>
          <w:i/>
          <w:iCs/>
          <w:color w:val="000000" w:themeColor="text1"/>
          <w:szCs w:val="20"/>
          <w:bdr w:val="none" w:sz="0" w:space="0" w:color="auto" w:frame="1"/>
        </w:rPr>
        <w:t>Workers’ Compensation: Benefits, Coverage, and Costs, 2008</w:t>
      </w:r>
      <w:r w:rsidRPr="000B61F3">
        <w:rPr>
          <w:rFonts w:eastAsia="Times New Roman" w:cs="Arial"/>
          <w:color w:val="000000" w:themeColor="text1"/>
          <w:szCs w:val="20"/>
        </w:rPr>
        <w:t>. September 2010. Available at </w:t>
      </w:r>
      <w:hyperlink r:id="rId124" w:tooltip="www.nasi.org/research/workers-compensation" w:history="1">
        <w:r w:rsidRPr="000B61F3">
          <w:rPr>
            <w:rFonts w:eastAsia="Times New Roman" w:cs="Arial"/>
            <w:color w:val="0F88B8"/>
            <w:szCs w:val="20"/>
            <w:bdr w:val="none" w:sz="0" w:space="0" w:color="auto" w:frame="1"/>
          </w:rPr>
          <w:t>www.nasi.org/research/workers-compensation</w:t>
        </w:r>
      </w:hyperlink>
      <w:r w:rsidRPr="000B61F3">
        <w:rPr>
          <w:rFonts w:eastAsia="Times New Roman" w:cs="Arial"/>
          <w:color w:val="737373"/>
          <w:szCs w:val="20"/>
        </w:rPr>
        <w:t xml:space="preserve">. </w:t>
      </w:r>
      <w:r w:rsidRPr="000B61F3">
        <w:rPr>
          <w:rFonts w:eastAsia="Times New Roman" w:cs="Arial"/>
          <w:color w:val="000000" w:themeColor="text1"/>
          <w:szCs w:val="20"/>
        </w:rPr>
        <w:t>Accessed May 30, 2013.</w:t>
      </w:r>
    </w:p>
    <w:p w14:paraId="14FD49CE" w14:textId="77777777" w:rsidR="00E47795" w:rsidRPr="000B61F3" w:rsidRDefault="00E47795" w:rsidP="00E47795">
      <w:pPr>
        <w:numPr>
          <w:ilvl w:val="0"/>
          <w:numId w:val="47"/>
        </w:numPr>
        <w:spacing w:line="480" w:lineRule="auto"/>
        <w:ind w:left="0"/>
        <w:textAlignment w:val="baseline"/>
        <w:rPr>
          <w:rFonts w:eastAsia="Times New Roman" w:cs="Arial"/>
          <w:color w:val="737373"/>
          <w:szCs w:val="20"/>
        </w:rPr>
      </w:pPr>
      <w:proofErr w:type="spellStart"/>
      <w:r w:rsidRPr="000B61F3">
        <w:rPr>
          <w:rFonts w:eastAsia="Times New Roman" w:cs="Arial"/>
          <w:color w:val="000000" w:themeColor="text1"/>
          <w:szCs w:val="20"/>
        </w:rPr>
        <w:t>Mashaw</w:t>
      </w:r>
      <w:proofErr w:type="spellEnd"/>
      <w:r w:rsidRPr="000B61F3">
        <w:rPr>
          <w:rFonts w:eastAsia="Times New Roman" w:cs="Arial"/>
          <w:color w:val="000000" w:themeColor="text1"/>
          <w:szCs w:val="20"/>
        </w:rPr>
        <w:t xml:space="preserve"> J and Reno V, eds. National Academy of Social Insurance. </w:t>
      </w:r>
      <w:r w:rsidRPr="000B61F3">
        <w:rPr>
          <w:rFonts w:eastAsia="Times New Roman" w:cs="Arial"/>
          <w:i/>
          <w:iCs/>
          <w:color w:val="000000" w:themeColor="text1"/>
          <w:szCs w:val="20"/>
          <w:bdr w:val="none" w:sz="0" w:space="0" w:color="auto" w:frame="1"/>
        </w:rPr>
        <w:t>The Environment of Disability Income Policy: Programs, People, History, and Context: Interim Report of the Disability Policy Panel</w:t>
      </w:r>
      <w:r w:rsidRPr="000B61F3">
        <w:rPr>
          <w:rFonts w:eastAsia="Times New Roman" w:cs="Arial"/>
          <w:color w:val="000000" w:themeColor="text1"/>
          <w:szCs w:val="20"/>
        </w:rPr>
        <w:t xml:space="preserve">. August 1996. </w:t>
      </w:r>
      <w:r w:rsidRPr="000B61F3">
        <w:rPr>
          <w:rFonts w:eastAsia="Times New Roman" w:cs="Arial"/>
          <w:color w:val="000000" w:themeColor="text1"/>
          <w:szCs w:val="20"/>
        </w:rPr>
        <w:lastRenderedPageBreak/>
        <w:t>Available at </w:t>
      </w:r>
      <w:hyperlink r:id="rId125" w:tooltip="www.nasi.org/research/1996/environment-disability-income-policy-programs-people-history" w:history="1">
        <w:r w:rsidRPr="000B61F3">
          <w:rPr>
            <w:rFonts w:eastAsia="Times New Roman" w:cs="Arial"/>
            <w:color w:val="0F88B8"/>
            <w:szCs w:val="20"/>
            <w:bdr w:val="none" w:sz="0" w:space="0" w:color="auto" w:frame="1"/>
          </w:rPr>
          <w:t>www.nasi.org/research/1996/environment-disability-income-policy-programs-people-history</w:t>
        </w:r>
      </w:hyperlink>
      <w:r w:rsidRPr="000B61F3">
        <w:rPr>
          <w:rFonts w:eastAsia="Times New Roman" w:cs="Arial"/>
          <w:color w:val="737373"/>
          <w:szCs w:val="20"/>
        </w:rPr>
        <w:t xml:space="preserve">. </w:t>
      </w:r>
      <w:r w:rsidRPr="000B61F3">
        <w:rPr>
          <w:rFonts w:eastAsia="Times New Roman" w:cs="Arial"/>
          <w:color w:val="000000" w:themeColor="text1"/>
          <w:szCs w:val="20"/>
        </w:rPr>
        <w:t>Accessed May 30, 2013.</w:t>
      </w:r>
    </w:p>
    <w:p w14:paraId="54051643" w14:textId="52AEEC7A" w:rsidR="00E47795" w:rsidRDefault="00E47795" w:rsidP="00141741">
      <w:pPr>
        <w:spacing w:line="480" w:lineRule="auto"/>
        <w:rPr>
          <w:sz w:val="24"/>
        </w:rPr>
      </w:pPr>
    </w:p>
    <w:p w14:paraId="39BC5FA7" w14:textId="77777777" w:rsidR="0026028C" w:rsidRDefault="0026028C" w:rsidP="0026028C">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 xml:space="preserve">TOC </w:t>
        </w:r>
        <w:r w:rsidRPr="00B16B87">
          <w:rPr>
            <w:rStyle w:val="Hyperlink"/>
            <w:rFonts w:ascii="Calibri" w:hAnsi="Calibri" w:cs="Calibri"/>
            <w:sz w:val="24"/>
          </w:rPr>
          <w:t>t</w:t>
        </w:r>
        <w:r w:rsidRPr="00B16B87">
          <w:rPr>
            <w:rStyle w:val="Hyperlink"/>
            <w:rFonts w:ascii="Calibri" w:hAnsi="Calibri" w:cs="Calibri"/>
            <w:sz w:val="24"/>
          </w:rPr>
          <w:t>op</w:t>
        </w:r>
      </w:hyperlink>
      <w:r>
        <w:rPr>
          <w:rFonts w:ascii="Calibri" w:hAnsi="Calibri" w:cs="Calibri"/>
          <w:sz w:val="24"/>
        </w:rPr>
        <w:t>]</w:t>
      </w:r>
    </w:p>
    <w:p w14:paraId="1BB2E9B4" w14:textId="0AAE6B87" w:rsidR="0026028C" w:rsidRDefault="0026028C">
      <w:pPr>
        <w:rPr>
          <w:sz w:val="24"/>
        </w:rPr>
      </w:pPr>
      <w:r>
        <w:rPr>
          <w:sz w:val="24"/>
        </w:rPr>
        <w:br w:type="page"/>
      </w:r>
    </w:p>
    <w:p w14:paraId="582F7231" w14:textId="77777777" w:rsidR="00E47795" w:rsidRPr="0099702B" w:rsidRDefault="00E47795" w:rsidP="00EB12E6">
      <w:pPr>
        <w:spacing w:after="120"/>
        <w:rPr>
          <w:rFonts w:eastAsia="Times New Roman" w:cs="Helvetica"/>
          <w:b/>
          <w:bCs/>
          <w:color w:val="333333"/>
          <w:spacing w:val="15"/>
          <w:kern w:val="36"/>
          <w:sz w:val="28"/>
          <w:szCs w:val="28"/>
        </w:rPr>
      </w:pPr>
      <w:bookmarkStart w:id="17" w:name="Lia_Immune_WC_IB"/>
      <w:r w:rsidRPr="0099702B">
        <w:rPr>
          <w:rFonts w:eastAsia="Times New Roman" w:cs="Helvetica"/>
          <w:b/>
          <w:bCs/>
          <w:color w:val="333333"/>
          <w:spacing w:val="15"/>
          <w:kern w:val="36"/>
          <w:sz w:val="28"/>
          <w:szCs w:val="28"/>
        </w:rPr>
        <w:lastRenderedPageBreak/>
        <w:t>Liability, Immunity, and Workers’ Compensation Issues in Public Health Emergencies</w:t>
      </w:r>
      <w:bookmarkEnd w:id="17"/>
    </w:p>
    <w:p w14:paraId="2F3CB8A3" w14:textId="77777777" w:rsidR="00E47795" w:rsidRPr="0099702B" w:rsidRDefault="00E47795"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Issue Brief</w:t>
      </w:r>
    </w:p>
    <w:p w14:paraId="47842233"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p>
    <w:p w14:paraId="3320E854" w14:textId="77777777" w:rsidR="00E47795" w:rsidRPr="0099702B" w:rsidRDefault="00E47795"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Overview</w:t>
      </w:r>
    </w:p>
    <w:p w14:paraId="107DA447"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3F13EF64" w14:textId="77777777" w:rsidR="00E47795" w:rsidRPr="00F86AF4"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Concerns about potential liabilities regularly arise during emergency response situations. Individual government employees, volunteers, and healthcare providers, as well as entities such as businesses and nonprofit organizations, worry about potential liability for their actions during an emergency. Liability occurs when a person or entity is found to be legally responsible for their actions or their failure to act. Volunteers and others participating in emergency response activities also raise questions about their ability to obtain coverage under state workers’ compensation programs for injuries received while participating in the response.</w:t>
      </w:r>
    </w:p>
    <w:p w14:paraId="7AD3A09F" w14:textId="77777777" w:rsidR="00E47795" w:rsidRPr="00F86AF4" w:rsidRDefault="00E47795" w:rsidP="00EB12E6">
      <w:pPr>
        <w:shd w:val="clear" w:color="auto" w:fill="FFFFFF"/>
        <w:spacing w:line="360" w:lineRule="auto"/>
        <w:textAlignment w:val="baseline"/>
        <w:rPr>
          <w:rFonts w:eastAsia="Times New Roman" w:cs="Arial"/>
          <w:color w:val="000000" w:themeColor="text1"/>
          <w:szCs w:val="20"/>
        </w:rPr>
      </w:pPr>
    </w:p>
    <w:p w14:paraId="23C5F70A" w14:textId="77777777" w:rsidR="00E47795" w:rsidRPr="00F86AF4"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Federal and state statutory protections against liability have been created to address the concerns of volunteers and others involved in emergency response, as well as to ensure that there are adequate numbers of medical, public health, and other individuals and institutions to participate in response efforts. These various laws work together to form a patchwork of liability protections. These protections, however, can be highly dependent on the nature of the services provided by the person (volunteer vs. paid employee) and the extent of protections provided under the program the person is participating in. This issue brief describes some of the possible theories of liability that could arise from emergency response activities and reviews liability protections and workers’ compensation frameworks for individuals and entities. The brief is intended to provide general information on the topics presented and is not intended to provide legal advice. </w:t>
      </w:r>
    </w:p>
    <w:p w14:paraId="7CA2F719"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p>
    <w:p w14:paraId="12EE6A54" w14:textId="77777777" w:rsidR="00E47795" w:rsidRPr="0099702B" w:rsidRDefault="00E47795"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Potential Areas of Liability</w:t>
      </w:r>
    </w:p>
    <w:p w14:paraId="5F71CFE3"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2C411A39"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Individuals and organizations who participate in emergency response activities can potentially be liable under a number of theories of civil and criminal liability. While many of the parties and activities involved in emergency response are covered under one or more liability protections and waivers (see later sections in this issue brief), there remains the potential for liability, especially for egregious conduct or the particular circumstance of an emergency event and the response to it. This section </w:t>
      </w:r>
      <w:r w:rsidRPr="0099702B">
        <w:rPr>
          <w:rFonts w:eastAsia="Times New Roman" w:cs="Arial"/>
          <w:color w:val="000000" w:themeColor="text1"/>
          <w:szCs w:val="20"/>
        </w:rPr>
        <w:lastRenderedPageBreak/>
        <w:t>identifies potential bases for liability, with emphasis on civil liability issues. Within the emergency response context, civil liability claims are the most likely to arise, particularly negligence. Other potential civil liability claims discussed in the section include intentional torts, violations of statutory or regulatory requirements, strict liability, and constitutional violations. This section identifies potential theories of liability, but it should not be considered a comprehensive treatment of the theories listed or of all the potential areas for liability. </w:t>
      </w:r>
    </w:p>
    <w:p w14:paraId="5897BF9E" w14:textId="77777777" w:rsidR="00E47795" w:rsidRPr="00F86AF4" w:rsidRDefault="00E47795" w:rsidP="00EB12E6">
      <w:pPr>
        <w:spacing w:line="360" w:lineRule="auto"/>
        <w:rPr>
          <w:rFonts w:eastAsia="Times New Roman" w:cs="Arial"/>
          <w:b/>
          <w:bCs/>
          <w:color w:val="000000" w:themeColor="text1"/>
          <w:sz w:val="28"/>
          <w:szCs w:val="24"/>
        </w:rPr>
      </w:pPr>
    </w:p>
    <w:p w14:paraId="509EF21B" w14:textId="77777777" w:rsidR="00E47795" w:rsidRPr="0099702B" w:rsidRDefault="00E47795"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Direct and Vicarious Liability</w:t>
      </w:r>
    </w:p>
    <w:p w14:paraId="7CBACA40"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24EDEE4A"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Both individuals and organizational entities can potentially be held liable for their own actions, as well as the actions of another person or entity. </w:t>
      </w:r>
    </w:p>
    <w:p w14:paraId="56DB5C3B" w14:textId="77777777" w:rsidR="00E47795" w:rsidRPr="00F86AF4" w:rsidRDefault="00E47795" w:rsidP="00EB12E6">
      <w:pPr>
        <w:spacing w:line="360" w:lineRule="auto"/>
        <w:rPr>
          <w:rFonts w:eastAsia="Times New Roman" w:cs="Arial"/>
          <w:b/>
          <w:bCs/>
          <w:color w:val="000000" w:themeColor="text1"/>
          <w:szCs w:val="20"/>
        </w:rPr>
      </w:pPr>
    </w:p>
    <w:p w14:paraId="386E2AFC"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Direct Liability</w:t>
      </w:r>
    </w:p>
    <w:p w14:paraId="7573E06F" w14:textId="77777777" w:rsidR="00E47795" w:rsidRPr="00F86AF4"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Within the context of the law, liability (or direct liability) means that a person or entity is legally responsible for their actions or failure to act. In general, in order to prove a liability claim a plaintiff must show that the defendant had a duty not to harm the plaintiff but failed in this duty, which failure resulted in harm to the plaintiff. An individual person or an organizational entity like a corporation, hospital, nonprofit organization, or government may be held liable. A hospital, for instance, could be held liable for failing to protect the safety of its patients if a plaintiff can show that the hospital deviated from its standard of care, the hospital had actual or constructive knowledge of the problems giving rise to the injury, and there was a causal link between the hospital’s conduct and the plaintiff’s harm. As will be discussed below, determining what standard of care should apply during an emergency is an important consideration in assessing liability. </w:t>
      </w:r>
    </w:p>
    <w:p w14:paraId="7975E8D3"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p>
    <w:p w14:paraId="3B71D313"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Vicarious Liability</w:t>
      </w:r>
    </w:p>
    <w:p w14:paraId="18BB5373" w14:textId="77777777" w:rsidR="00E47795" w:rsidRPr="00F86AF4"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Vicarious liability is a type of secondary liability. It occurs when a person or entity is held legally responsible for the actions, or failure to act, of another person with whom they have a particular legal relationship. This is primarily seen in the context of an employer being held responsible for the actions of its employee, which is also known as the legal principle of </w:t>
      </w:r>
      <w:proofErr w:type="spellStart"/>
      <w:r w:rsidRPr="0099702B">
        <w:rPr>
          <w:rFonts w:eastAsia="Times New Roman" w:cs="Arial"/>
          <w:color w:val="000000" w:themeColor="text1"/>
          <w:szCs w:val="20"/>
        </w:rPr>
        <w:t>respondeat</w:t>
      </w:r>
      <w:proofErr w:type="spellEnd"/>
      <w:r w:rsidRPr="0099702B">
        <w:rPr>
          <w:rFonts w:eastAsia="Times New Roman" w:cs="Arial"/>
          <w:color w:val="000000" w:themeColor="text1"/>
          <w:szCs w:val="20"/>
        </w:rPr>
        <w:t xml:space="preserve"> superior. Vicarious liability also extends to a corporation, nonprofit, or other entity for the acts or omissions of its agents, like an officer or director. This occurs, for example, when an aid organization is sued for the negligent or intentional acts of a physician who is an employee or volunteer for the group. </w:t>
      </w:r>
    </w:p>
    <w:p w14:paraId="657D2A8F"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p>
    <w:p w14:paraId="0DD68A3E"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Ostensible Agency</w:t>
      </w:r>
    </w:p>
    <w:p w14:paraId="7A821B47" w14:textId="77777777" w:rsidR="00E47795" w:rsidRPr="00F86AF4"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Some entities try to limit their potential for vicarious liability by designating persons as independent contractors rather than as employees or agents. This approach can be effective to limit liability; however, the courts can disregard the independent contractor relationship and find an entity vicariously liable through the legal principle of ostensible agency. This form of agency finds that an employer/principal can be liable for the actions of an independent contractor (or other non-employee/non-agent) if the employer/principal holds the contractor out as an employee or agent of the employer/principal and a third party believes that the contractor acts on the employer/principal’s behalf. </w:t>
      </w:r>
    </w:p>
    <w:p w14:paraId="6C5D59D1"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p>
    <w:p w14:paraId="544B9DD6" w14:textId="77777777" w:rsidR="00E47795" w:rsidRPr="0099702B" w:rsidRDefault="00E47795"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Civil Liability</w:t>
      </w:r>
    </w:p>
    <w:p w14:paraId="73F2FEC5"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4C24B836"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Civil liability is the most likely area in which liability issues arise in the emergency response context. Civil liabilities take a variety of forms—negligence, intentional harms (battery), privacy violations, discrimination, or misrepresentations by a volunteer or other responders. Liability extends to individual persons as well as organizational entities like corporations and nonprofits. As discussed above, entities may be found vicariously liable for the actions, or failures to act, of their employees, agents, officers, or directors. If a person or entity is found liable for causing the harm, the aggrieved party can seek monetary compensation and, in some instances, an injunction against current or future action by the liable party. </w:t>
      </w:r>
    </w:p>
    <w:p w14:paraId="37BBD825" w14:textId="77777777" w:rsidR="00E47795" w:rsidRPr="00F86AF4" w:rsidRDefault="00E47795" w:rsidP="00EB12E6">
      <w:pPr>
        <w:spacing w:line="360" w:lineRule="auto"/>
        <w:rPr>
          <w:rFonts w:eastAsia="Times New Roman" w:cs="Arial"/>
          <w:b/>
          <w:bCs/>
          <w:color w:val="000000" w:themeColor="text1"/>
          <w:szCs w:val="20"/>
        </w:rPr>
      </w:pPr>
    </w:p>
    <w:p w14:paraId="3C5FC5D4"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Intentional and Unintentional Torts</w:t>
      </w:r>
    </w:p>
    <w:p w14:paraId="41352D4F"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A tort is an action in which an actor (a person or entity) either intentionally or unintentionally causes harm to another person or property. A tort claim allows a person to sue the actor in civil court for the harm. This is contrasted with criminal charges in which the government prosecutes an actor/defendant or with contractual claims in which the parties to a contract sue over the terms of the contract. Unintentional torts occur when an actor harms another person or property through their actions but did not intend the harm. Negligence is the most common type of unintentional tort (see the discussion of negligence below). </w:t>
      </w:r>
    </w:p>
    <w:p w14:paraId="3017FAA1"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22F6BE8B"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lastRenderedPageBreak/>
        <w:t>Intentional torts occur when a person intends to harm a person or touches a person with the intent of harming them. Thus, battery is considered an intentional tort in addition to being a potential criminal violation. In the healthcare context, conducting a medical procedure on a patient without first obtaining the patient’s informed consent could be construed, among other things, as the intentional tort of battery. Other intentional torts include assault, conversion (i.e., theft), intentional infliction of emotional distress, fraud, misrepresentation, false imprisonment, and trespass.</w:t>
      </w:r>
    </w:p>
    <w:p w14:paraId="6EF89BFB"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5284E2F2"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Defenses to Intentional Torts</w:t>
      </w:r>
    </w:p>
    <w:p w14:paraId="4F033402" w14:textId="77777777" w:rsidR="00E47795" w:rsidRPr="0099702B" w:rsidRDefault="00E47795" w:rsidP="00EB12E6">
      <w:pPr>
        <w:shd w:val="clear" w:color="auto" w:fill="FFFFFF"/>
        <w:spacing w:after="120" w:line="360" w:lineRule="auto"/>
        <w:textAlignment w:val="baseline"/>
        <w:rPr>
          <w:rFonts w:eastAsia="Times New Roman" w:cs="Arial"/>
          <w:color w:val="000000" w:themeColor="text1"/>
          <w:szCs w:val="20"/>
        </w:rPr>
      </w:pPr>
      <w:r w:rsidRPr="0099702B">
        <w:rPr>
          <w:rFonts w:eastAsia="Times New Roman" w:cs="Arial"/>
          <w:color w:val="000000" w:themeColor="text1"/>
          <w:szCs w:val="20"/>
        </w:rPr>
        <w:t>There are a number of potential defenses to intentional torts, two of which may be generally applicable in emergency response scenarios:</w:t>
      </w:r>
    </w:p>
    <w:p w14:paraId="48EEFF40" w14:textId="77777777" w:rsidR="00E47795" w:rsidRDefault="00E47795" w:rsidP="00E47795">
      <w:pPr>
        <w:pStyle w:val="ListParagraph"/>
        <w:numPr>
          <w:ilvl w:val="0"/>
          <w:numId w:val="50"/>
        </w:numPr>
        <w:spacing w:line="360" w:lineRule="auto"/>
        <w:textAlignment w:val="baseline"/>
        <w:rPr>
          <w:rFonts w:eastAsia="Times New Roman" w:cs="Arial"/>
          <w:color w:val="000000" w:themeColor="text1"/>
          <w:szCs w:val="20"/>
        </w:rPr>
      </w:pPr>
      <w:r w:rsidRPr="00770415">
        <w:rPr>
          <w:rFonts w:eastAsia="Times New Roman" w:cs="Arial"/>
          <w:b/>
          <w:bCs/>
          <w:color w:val="000000" w:themeColor="text1"/>
          <w:szCs w:val="20"/>
          <w:bdr w:val="none" w:sz="0" w:space="0" w:color="auto" w:frame="1"/>
        </w:rPr>
        <w:t>Consent—</w:t>
      </w:r>
      <w:r w:rsidRPr="00770415">
        <w:rPr>
          <w:rFonts w:eastAsia="Times New Roman" w:cs="Arial"/>
          <w:color w:val="000000" w:themeColor="text1"/>
          <w:szCs w:val="20"/>
        </w:rPr>
        <w:t>A person can give express consent through written or oral assent. Implied consent may be inferred from a person’s actions. Thus, a person who gives informed consent before being given a vaccine or drug may be deemed to have assented to its administration. However, questions about whether consent was truly informed and if the treatment stayed within the bounds of the consent are questions that can arise in this scenario. Consent can also be implied in situations in which emergency medical treatment is provided to victims who are unconscious or unable to provide consent in the absence of a third party who is eligible to give consent on behalf of the victim.</w:t>
      </w:r>
    </w:p>
    <w:p w14:paraId="13C321E1" w14:textId="77777777" w:rsidR="00E47795" w:rsidRPr="00770415" w:rsidRDefault="00E47795" w:rsidP="00EB12E6">
      <w:pPr>
        <w:pStyle w:val="ListParagraph"/>
        <w:spacing w:line="360" w:lineRule="auto"/>
        <w:ind w:left="360"/>
        <w:textAlignment w:val="baseline"/>
        <w:rPr>
          <w:rFonts w:eastAsia="Times New Roman" w:cs="Arial"/>
          <w:color w:val="000000" w:themeColor="text1"/>
          <w:szCs w:val="20"/>
        </w:rPr>
      </w:pPr>
    </w:p>
    <w:p w14:paraId="3FF7703B" w14:textId="77777777" w:rsidR="00E47795" w:rsidRPr="00770415" w:rsidRDefault="00E47795" w:rsidP="00E47795">
      <w:pPr>
        <w:pStyle w:val="ListParagraph"/>
        <w:numPr>
          <w:ilvl w:val="0"/>
          <w:numId w:val="50"/>
        </w:numPr>
        <w:spacing w:line="360" w:lineRule="auto"/>
        <w:textAlignment w:val="baseline"/>
        <w:rPr>
          <w:rFonts w:eastAsia="Times New Roman" w:cs="Arial"/>
          <w:color w:val="000000" w:themeColor="text1"/>
          <w:szCs w:val="20"/>
        </w:rPr>
      </w:pPr>
      <w:r w:rsidRPr="00770415">
        <w:rPr>
          <w:rFonts w:eastAsia="Times New Roman" w:cs="Arial"/>
          <w:b/>
          <w:bCs/>
          <w:color w:val="000000" w:themeColor="text1"/>
          <w:szCs w:val="20"/>
          <w:bdr w:val="none" w:sz="0" w:space="0" w:color="auto" w:frame="1"/>
        </w:rPr>
        <w:t>Necessity—</w:t>
      </w:r>
      <w:r w:rsidRPr="00770415">
        <w:rPr>
          <w:rFonts w:eastAsia="Times New Roman" w:cs="Arial"/>
          <w:color w:val="000000" w:themeColor="text1"/>
          <w:szCs w:val="20"/>
        </w:rPr>
        <w:t>If committing an intentional tort is necessary to avoid a greater harm, then a defendant is justified in committing the tort. Public necessity, in which a defendant appropriates or harms the private property of another to protect the community, is a defense to liability. When the government takes or uses property, even if for public necessity, issues arise as to whether the taking or use of the property (real estate or personal property) is covered by sovereign immunity or subject to paying compensation to the property owner.</w:t>
      </w:r>
    </w:p>
    <w:p w14:paraId="129969D1" w14:textId="77777777" w:rsidR="00E47795" w:rsidRDefault="00E47795" w:rsidP="00EB12E6">
      <w:pPr>
        <w:spacing w:line="360" w:lineRule="auto"/>
        <w:rPr>
          <w:rFonts w:eastAsia="Times New Roman" w:cs="Arial"/>
          <w:b/>
          <w:bCs/>
          <w:color w:val="000000" w:themeColor="text1"/>
          <w:szCs w:val="20"/>
        </w:rPr>
      </w:pPr>
    </w:p>
    <w:p w14:paraId="227D3D5C"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Negligence</w:t>
      </w:r>
    </w:p>
    <w:p w14:paraId="39A7C25F"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Negligence is a type of tort law that addresses unintentional wrongful conduct that harms another. It is the theory most likely to be used to assert claims arising from emergency response situations. Negligence occurs when a person or entity fails to use ordinary care in their actions or by their failure to take action. Ordinary care generally means the amount of care that a reasonable person would take under similar circumstances. The standard of care applied to a physician or other person with specialized skills may be different than an ordinary care standard. </w:t>
      </w:r>
    </w:p>
    <w:p w14:paraId="73D88914"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550FCAE9"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The specific elements of a negligence claim are: (1) the defendant owes the plaintiff a duty of care (including a duty of ordinary care); (2) the defendant breached that duty by failing to meet the applicable standard of care; (3) the defendant’s actions resulted in harm to the plaintiff; and (4) the defendant’s breach of duty was the cause of the plaintiff’s injury. </w:t>
      </w:r>
    </w:p>
    <w:p w14:paraId="59E83638" w14:textId="77777777" w:rsidR="00E47795" w:rsidRPr="0099702B" w:rsidRDefault="00E47795" w:rsidP="00EB12E6">
      <w:pPr>
        <w:shd w:val="clear" w:color="auto" w:fill="FFFFFF"/>
        <w:spacing w:line="360" w:lineRule="auto"/>
        <w:textAlignment w:val="baseline"/>
        <w:rPr>
          <w:rFonts w:eastAsia="Times New Roman" w:cs="Arial"/>
          <w:color w:val="000000" w:themeColor="text1"/>
          <w:sz w:val="24"/>
          <w:szCs w:val="20"/>
        </w:rPr>
      </w:pPr>
    </w:p>
    <w:p w14:paraId="3C74D990"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Determining the Standard of Care</w:t>
      </w:r>
    </w:p>
    <w:p w14:paraId="69CB2D45"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The basic standard of care applied in negligence cases is determined by what a reasonable person would do in similar circumstances. Even outside of the context of a governmentally declared emergency, most states allow juries to consider whether or not a defendant was acting under emergency circumstances to determine whether the defendant’s actions were reasonable. While assessing the reasonableness of a defendant’s actions in light of emergency conditions will not necessarily be a complete defense to liability, it may help to reduce the judgment against a defendant. It also demonstrates that the concept of standard of care is already seen as a flexible one that can account for the circumstances under which the conduct occurs.</w:t>
      </w:r>
    </w:p>
    <w:p w14:paraId="3294A69B"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0BC8496D"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Determining the appropriate standard of care to apply during widespread or prolonged emergency events like a pandemic has been the subject of much discussion. These discussions have focused on trying to determine “altered,” “disaster,” or “alternative” standards of care for emergency and disaster situations. Federal and state governments, as well as other academic and private sector organizations, have created discussion and planning guides to engage stakeholders in addressing this sensitive but important issue. </w:t>
      </w:r>
    </w:p>
    <w:p w14:paraId="1DB58828" w14:textId="77777777" w:rsidR="00E47795" w:rsidRDefault="00E47795" w:rsidP="00EB12E6">
      <w:pPr>
        <w:spacing w:line="360" w:lineRule="auto"/>
        <w:rPr>
          <w:rFonts w:eastAsia="Times New Roman" w:cs="Arial"/>
          <w:b/>
          <w:bCs/>
          <w:color w:val="000000" w:themeColor="text1"/>
          <w:szCs w:val="20"/>
        </w:rPr>
      </w:pPr>
    </w:p>
    <w:p w14:paraId="58352ACA"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Theories of Negligence</w:t>
      </w:r>
    </w:p>
    <w:p w14:paraId="0AB7736F" w14:textId="77777777" w:rsidR="00E47795" w:rsidRPr="0099702B" w:rsidRDefault="00E47795" w:rsidP="00EB12E6">
      <w:pPr>
        <w:shd w:val="clear" w:color="auto" w:fill="FFFFFF"/>
        <w:spacing w:after="120" w:line="360" w:lineRule="auto"/>
        <w:textAlignment w:val="baseline"/>
        <w:rPr>
          <w:rFonts w:eastAsia="Times New Roman" w:cs="Arial"/>
          <w:color w:val="000000" w:themeColor="text1"/>
          <w:szCs w:val="20"/>
        </w:rPr>
      </w:pPr>
      <w:r w:rsidRPr="0099702B">
        <w:rPr>
          <w:rFonts w:eastAsia="Times New Roman" w:cs="Arial"/>
          <w:color w:val="000000" w:themeColor="text1"/>
          <w:szCs w:val="20"/>
        </w:rPr>
        <w:t>Within the area of negligence, there are a number of theories that could apply in the emergency response context.</w:t>
      </w:r>
    </w:p>
    <w:p w14:paraId="3AD419F4" w14:textId="77777777" w:rsidR="00E47795" w:rsidRDefault="00E47795" w:rsidP="00E47795">
      <w:pPr>
        <w:numPr>
          <w:ilvl w:val="0"/>
          <w:numId w:val="51"/>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Medical Malpractice—</w:t>
      </w:r>
      <w:r w:rsidRPr="0099702B">
        <w:rPr>
          <w:rFonts w:eastAsia="Times New Roman" w:cs="Arial"/>
          <w:color w:val="000000" w:themeColor="text1"/>
          <w:szCs w:val="20"/>
        </w:rPr>
        <w:t>Healthcare professionals may be subject to medical malpractice claims, which are a type of negligence claim. The elements of proof for a medical malpractice claim are the same as for negligence: the healthcare professional owed a duty of care to the patient, which duty was breached by failing to use the knowledge and skills of the profession (standard of care), directly resulting in the injury to the patient. Failure to provide information upon which a patient can give informed consent can be a basis for malpractice.</w:t>
      </w:r>
    </w:p>
    <w:p w14:paraId="75F47B0E" w14:textId="77777777" w:rsidR="00E47795" w:rsidRPr="0099702B" w:rsidRDefault="00E47795" w:rsidP="00EB12E6">
      <w:pPr>
        <w:spacing w:line="360" w:lineRule="auto"/>
        <w:ind w:left="360"/>
        <w:textAlignment w:val="baseline"/>
        <w:rPr>
          <w:rFonts w:eastAsia="Times New Roman" w:cs="Arial"/>
          <w:color w:val="000000" w:themeColor="text1"/>
          <w:szCs w:val="20"/>
        </w:rPr>
      </w:pPr>
    </w:p>
    <w:p w14:paraId="3F21CAFC" w14:textId="77777777" w:rsidR="00E47795" w:rsidRDefault="00E47795" w:rsidP="00E47795">
      <w:pPr>
        <w:numPr>
          <w:ilvl w:val="0"/>
          <w:numId w:val="51"/>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Scope of Practice—</w:t>
      </w:r>
      <w:r w:rsidRPr="0099702B">
        <w:rPr>
          <w:rFonts w:eastAsia="Times New Roman" w:cs="Arial"/>
          <w:color w:val="000000" w:themeColor="text1"/>
          <w:szCs w:val="20"/>
        </w:rPr>
        <w:t>A licensed healthcare provider such as a nurse or physician assistant may be subject to negligence claims for exceeding scope of practice by making decisions or undertaking tasks beyond what state law permits for their profession. Because states differ in how they define the scope of practice for a given profession (e.g., EMTs), questions about scope of practice frequently arise in mutual aid situations in which licensed healthcare professionals are providing care in another state from the one in which they are licensed. Mutual aid agreements like the Emergency Management Assistance Compact (EMAC) help to resolve questions about scope of practice (see discussion below).</w:t>
      </w:r>
    </w:p>
    <w:p w14:paraId="0E750BFA" w14:textId="77777777" w:rsidR="00E47795" w:rsidRPr="0099702B" w:rsidRDefault="00E47795" w:rsidP="00EB12E6">
      <w:pPr>
        <w:spacing w:line="360" w:lineRule="auto"/>
        <w:textAlignment w:val="baseline"/>
        <w:rPr>
          <w:rFonts w:eastAsia="Times New Roman" w:cs="Arial"/>
          <w:color w:val="000000" w:themeColor="text1"/>
          <w:szCs w:val="20"/>
        </w:rPr>
      </w:pPr>
    </w:p>
    <w:p w14:paraId="3B5934E9" w14:textId="77777777" w:rsidR="00E47795" w:rsidRDefault="00E47795" w:rsidP="00E47795">
      <w:pPr>
        <w:numPr>
          <w:ilvl w:val="0"/>
          <w:numId w:val="51"/>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Failure to Plan or Prepare—</w:t>
      </w:r>
      <w:r w:rsidRPr="0099702B">
        <w:rPr>
          <w:rFonts w:eastAsia="Times New Roman" w:cs="Arial"/>
          <w:color w:val="000000" w:themeColor="text1"/>
          <w:szCs w:val="20"/>
        </w:rPr>
        <w:t>Healthcare facilities like hospitals could face negligence charges based on the theory that they failed to plan or prepare for an emergency. With the large number of publications, planning guides, and other resources available to help healthcare facilities plan and exercise how they will respond to an emergency, any facility that fails to undertake emergency planning and keep those plans current, as well as conduct training and exercises with staff, may subject itself to potential negligence claims for failure to plan or prepare.</w:t>
      </w:r>
    </w:p>
    <w:p w14:paraId="684FA63C" w14:textId="77777777" w:rsidR="00E47795" w:rsidRPr="0099702B" w:rsidRDefault="00E47795" w:rsidP="00EB12E6">
      <w:pPr>
        <w:spacing w:line="360" w:lineRule="auto"/>
        <w:textAlignment w:val="baseline"/>
        <w:rPr>
          <w:rFonts w:eastAsia="Times New Roman" w:cs="Arial"/>
          <w:color w:val="000000" w:themeColor="text1"/>
          <w:szCs w:val="20"/>
        </w:rPr>
      </w:pPr>
    </w:p>
    <w:p w14:paraId="52A93299" w14:textId="77777777" w:rsidR="00E47795" w:rsidRDefault="00E47795" w:rsidP="00E47795">
      <w:pPr>
        <w:numPr>
          <w:ilvl w:val="0"/>
          <w:numId w:val="51"/>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Breach of Privacy and Confidentiality—</w:t>
      </w:r>
      <w:r w:rsidRPr="0099702B">
        <w:rPr>
          <w:rFonts w:eastAsia="Times New Roman" w:cs="Arial"/>
          <w:color w:val="000000" w:themeColor="text1"/>
          <w:szCs w:val="20"/>
        </w:rPr>
        <w:t>There are torts that address negligent violations of privacy and confidentiality, in addition to intentional breaches. Individuals and organizational entities could be liable for failing to take adequate precautions to protect patients’ privacy and confidentiality during emergencies. There are federal statutes such as the Health Insurance Portability and Accountability Act (HIPAA) and Family Educational Rights and Privacy Act (FERPA), as well as state privacy and confidentiality statutes that can give rise to potential statutory and regulatory violations independent of tort-based privacy and confidentiality claims. A negligent breach of privacy and confidentiality could occur, for example, if patient records are left unattended and open to public view in an alternate care site used to triage victims of a disaster.</w:t>
      </w:r>
    </w:p>
    <w:p w14:paraId="4006F983" w14:textId="77777777" w:rsidR="00E47795" w:rsidRDefault="00E47795" w:rsidP="00EB12E6">
      <w:pPr>
        <w:pStyle w:val="ListParagraph"/>
        <w:spacing w:line="360" w:lineRule="auto"/>
        <w:rPr>
          <w:rFonts w:eastAsia="Times New Roman" w:cs="Arial"/>
          <w:color w:val="000000" w:themeColor="text1"/>
          <w:szCs w:val="20"/>
        </w:rPr>
      </w:pPr>
    </w:p>
    <w:p w14:paraId="669EFFF0" w14:textId="77777777" w:rsidR="00E47795" w:rsidRDefault="00E47795" w:rsidP="00E47795">
      <w:pPr>
        <w:numPr>
          <w:ilvl w:val="0"/>
          <w:numId w:val="51"/>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Premises Liability—</w:t>
      </w:r>
      <w:r w:rsidRPr="0099702B">
        <w:rPr>
          <w:rFonts w:eastAsia="Times New Roman" w:cs="Arial"/>
          <w:color w:val="000000" w:themeColor="text1"/>
          <w:szCs w:val="20"/>
        </w:rPr>
        <w:t xml:space="preserve">Premises liability holds a person or entity in possession of a premises or piece of land responsible for certain injuries to persons present on the land or premises. Traditionally a finding of premises liability turns on the whether the defendant was in possession of the premises and the status of the plaintiff. Possession is considered to be ownership of the premises or control of the premises (e.g., a company leasing a building). A plaintiff may be considered to be an invitee, a </w:t>
      </w:r>
      <w:r w:rsidRPr="0099702B">
        <w:rPr>
          <w:rFonts w:eastAsia="Times New Roman" w:cs="Arial"/>
          <w:color w:val="000000" w:themeColor="text1"/>
          <w:szCs w:val="20"/>
        </w:rPr>
        <w:lastRenderedPageBreak/>
        <w:t>licensee, or a trespasser on the premises. An invitee is a person invited to be on the premises for the commercial gain or business purposes of the premises possessor. A licensee is a person invited to be on the premises with the express or implied permission of the premises possessor for a purpose other than the business or commercial interest of the possessor. A trespasser is person who does not have the express or implied permission of the possessor to be on the premises and is not performing any duty for the premises owner. Possessors owe a duty of care to invitees and licenses, but generally not to trespassers. In some states, a general reasonable person standard has replaced the above traditional analysis based on the status of the person entering the premises. Under the reasonable person standard, the premises possessor owes a duty of reasonable care to anyone entering the premises, regardless of their relationship to the premises possessor. </w:t>
      </w:r>
    </w:p>
    <w:p w14:paraId="7CCD82DC" w14:textId="77777777" w:rsidR="00E47795" w:rsidRDefault="00E47795" w:rsidP="00EB12E6">
      <w:pPr>
        <w:spacing w:line="360" w:lineRule="auto"/>
        <w:ind w:left="360"/>
        <w:textAlignment w:val="baseline"/>
        <w:rPr>
          <w:rFonts w:eastAsia="Times New Roman" w:cs="Arial"/>
          <w:b/>
          <w:bCs/>
          <w:color w:val="000000" w:themeColor="text1"/>
          <w:szCs w:val="20"/>
          <w:bdr w:val="none" w:sz="0" w:space="0" w:color="auto" w:frame="1"/>
        </w:rPr>
      </w:pPr>
    </w:p>
    <w:p w14:paraId="7322289B" w14:textId="77777777" w:rsidR="00E47795" w:rsidRDefault="00E47795" w:rsidP="00EB12E6">
      <w:pPr>
        <w:spacing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Concerns about potential liability based on premises liability can arise in the emergency response context in instances when facilities and properties are used for preparedness and response activities. This can include the use of hospitals, clinics, and other facilities (schools, convention centers, malls) for alternate care sites to triage and treat victims of an emergency. Businesses and other private property owners who volunteer use of their property as points of distribution (POD) for medicine and supplies also voice concerns about liability issues. This is especially true among those hosting “open” PODs in which members of the public will visit the property. “Closed” PODs serve a more narrowly defined population, such as the employees of a business hosting the POD, which can prevent or limit liability claims based on a theory of premises liability.</w:t>
      </w:r>
    </w:p>
    <w:p w14:paraId="007CB7BA" w14:textId="77777777" w:rsidR="00E47795" w:rsidRPr="0099702B" w:rsidRDefault="00E47795" w:rsidP="00EB12E6">
      <w:pPr>
        <w:spacing w:line="360" w:lineRule="auto"/>
        <w:ind w:left="360"/>
        <w:textAlignment w:val="baseline"/>
        <w:rPr>
          <w:rFonts w:eastAsia="Times New Roman" w:cs="Arial"/>
          <w:color w:val="000000" w:themeColor="text1"/>
          <w:szCs w:val="20"/>
        </w:rPr>
      </w:pPr>
    </w:p>
    <w:p w14:paraId="4BA0FFF6" w14:textId="77777777" w:rsidR="00E47795" w:rsidRDefault="00E47795" w:rsidP="00E47795">
      <w:pPr>
        <w:numPr>
          <w:ilvl w:val="0"/>
          <w:numId w:val="51"/>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Negligence Per Se—</w:t>
      </w:r>
      <w:r w:rsidRPr="0099702B">
        <w:rPr>
          <w:rFonts w:eastAsia="Times New Roman" w:cs="Arial"/>
          <w:color w:val="000000" w:themeColor="text1"/>
          <w:szCs w:val="20"/>
        </w:rPr>
        <w:t>This theory allows a statute or regulation to be used to set the standard of care when determining negligence. In order to find negligence per se, the plaintiff must be in the category of persons the statute was intended to protect and the injury must be one that the statute was intended to prevent. Negligence per se is a subset of both negligence and statutory violations; however, all negligence claims do not require violation of a statute to be successful, and all violations of statutes do not constitute negligence per se.</w:t>
      </w:r>
    </w:p>
    <w:p w14:paraId="7A884C58" w14:textId="77777777" w:rsidR="00E47795" w:rsidRPr="0099702B" w:rsidRDefault="00E47795" w:rsidP="00EB12E6">
      <w:pPr>
        <w:spacing w:line="360" w:lineRule="auto"/>
        <w:ind w:left="360"/>
        <w:textAlignment w:val="baseline"/>
        <w:rPr>
          <w:rFonts w:eastAsia="Times New Roman" w:cs="Arial"/>
          <w:color w:val="000000" w:themeColor="text1"/>
          <w:szCs w:val="20"/>
        </w:rPr>
      </w:pPr>
    </w:p>
    <w:p w14:paraId="59E5B850" w14:textId="77777777" w:rsidR="00E47795" w:rsidRDefault="00E47795" w:rsidP="00E47795">
      <w:pPr>
        <w:numPr>
          <w:ilvl w:val="0"/>
          <w:numId w:val="51"/>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Gross Negligence—</w:t>
      </w:r>
      <w:r w:rsidRPr="0099702B">
        <w:rPr>
          <w:rFonts w:eastAsia="Times New Roman" w:cs="Arial"/>
          <w:color w:val="000000" w:themeColor="text1"/>
          <w:szCs w:val="20"/>
        </w:rPr>
        <w:t>This is conduct or failure to act which is so reckless that it demonstrates disregard for whether an injury or harm will occur. Acts of gross negligence (also noted as willful or wanton conduct) are not covered under statutes that provide immunity or other liability protections to emergency response participants.</w:t>
      </w:r>
    </w:p>
    <w:p w14:paraId="5CDCC813" w14:textId="77777777" w:rsidR="00E47795" w:rsidRPr="0099702B" w:rsidRDefault="00E47795" w:rsidP="00EB12E6">
      <w:pPr>
        <w:spacing w:line="360" w:lineRule="auto"/>
        <w:textAlignment w:val="baseline"/>
        <w:rPr>
          <w:rFonts w:eastAsia="Times New Roman" w:cs="Arial"/>
          <w:color w:val="000000" w:themeColor="text1"/>
          <w:szCs w:val="20"/>
        </w:rPr>
      </w:pPr>
    </w:p>
    <w:p w14:paraId="1CF47A24" w14:textId="77777777" w:rsidR="00E47795" w:rsidRPr="00763876" w:rsidRDefault="00E47795" w:rsidP="00EB12E6">
      <w:pPr>
        <w:spacing w:line="360" w:lineRule="auto"/>
        <w:rPr>
          <w:rFonts w:eastAsia="Times New Roman" w:cs="Arial"/>
          <w:b/>
          <w:bCs/>
          <w:color w:val="000000" w:themeColor="text1"/>
          <w:szCs w:val="20"/>
        </w:rPr>
      </w:pPr>
      <w:r w:rsidRPr="00763876">
        <w:rPr>
          <w:rFonts w:eastAsia="Times New Roman" w:cs="Arial"/>
          <w:b/>
          <w:bCs/>
          <w:color w:val="000000" w:themeColor="text1"/>
          <w:szCs w:val="20"/>
        </w:rPr>
        <w:t>Defenses to Negligence Claims</w:t>
      </w:r>
    </w:p>
    <w:p w14:paraId="69FE6681" w14:textId="77777777" w:rsidR="00E47795" w:rsidRPr="00763876" w:rsidRDefault="00E47795" w:rsidP="00EB12E6">
      <w:pPr>
        <w:shd w:val="clear" w:color="auto" w:fill="FFFFFF"/>
        <w:spacing w:after="120" w:line="360" w:lineRule="auto"/>
        <w:textAlignment w:val="baseline"/>
        <w:rPr>
          <w:rFonts w:eastAsia="Times New Roman" w:cs="Arial"/>
          <w:color w:val="000000" w:themeColor="text1"/>
          <w:szCs w:val="20"/>
        </w:rPr>
      </w:pPr>
      <w:r w:rsidRPr="00763876">
        <w:rPr>
          <w:rFonts w:eastAsia="Times New Roman" w:cs="Arial"/>
          <w:color w:val="000000" w:themeColor="text1"/>
          <w:szCs w:val="20"/>
        </w:rPr>
        <w:t>There are several potential defenses to negligence claims, including contributory and comparative negligence, assumption of risk, and immunity.</w:t>
      </w:r>
    </w:p>
    <w:p w14:paraId="5FAF623D" w14:textId="77777777" w:rsidR="00E47795" w:rsidRDefault="00E47795" w:rsidP="00E47795">
      <w:pPr>
        <w:pStyle w:val="ListParagraph"/>
        <w:numPr>
          <w:ilvl w:val="0"/>
          <w:numId w:val="52"/>
        </w:numPr>
        <w:spacing w:line="360" w:lineRule="auto"/>
        <w:textAlignment w:val="baseline"/>
        <w:rPr>
          <w:rFonts w:eastAsia="Times New Roman" w:cs="Arial"/>
          <w:color w:val="000000" w:themeColor="text1"/>
          <w:szCs w:val="20"/>
        </w:rPr>
      </w:pPr>
      <w:r w:rsidRPr="00F260D9">
        <w:rPr>
          <w:rFonts w:eastAsia="Times New Roman" w:cs="Arial"/>
          <w:b/>
          <w:bCs/>
          <w:color w:val="000000" w:themeColor="text1"/>
          <w:szCs w:val="20"/>
          <w:bdr w:val="none" w:sz="0" w:space="0" w:color="auto" w:frame="1"/>
        </w:rPr>
        <w:t>Contributory and Comparative Negligence—</w:t>
      </w:r>
      <w:r w:rsidRPr="00F260D9">
        <w:rPr>
          <w:rFonts w:eastAsia="Times New Roman" w:cs="Arial"/>
          <w:color w:val="000000" w:themeColor="text1"/>
          <w:szCs w:val="20"/>
        </w:rPr>
        <w:t>Contributory negligence occurs when a plaintiff’s actions contributed to the harm. It acts as a complete defense to negligence such that a defendant will not be held liable for his or her actions because the plaintiff’s actions added to the harm. Because of the perceived harshness of this approach, most states have rejected contributory negligence and instead have adopted comparative negligence. With comparative negligence, the plaintiff may still be entitled to damages even if his action’s contributed to the harm; the amount of compensation awarded to a plaintiff may be reduced to account for role he or she played in causing the harm.</w:t>
      </w:r>
    </w:p>
    <w:p w14:paraId="6658B645" w14:textId="77777777" w:rsidR="00E47795" w:rsidRPr="00F260D9" w:rsidRDefault="00E47795" w:rsidP="00EB12E6">
      <w:pPr>
        <w:pStyle w:val="ListParagraph"/>
        <w:spacing w:line="360" w:lineRule="auto"/>
        <w:ind w:left="360"/>
        <w:textAlignment w:val="baseline"/>
        <w:rPr>
          <w:rFonts w:eastAsia="Times New Roman" w:cs="Arial"/>
          <w:color w:val="000000" w:themeColor="text1"/>
          <w:szCs w:val="20"/>
        </w:rPr>
      </w:pPr>
    </w:p>
    <w:p w14:paraId="7455556C" w14:textId="77777777" w:rsidR="00E47795" w:rsidRDefault="00E47795" w:rsidP="00E47795">
      <w:pPr>
        <w:pStyle w:val="ListParagraph"/>
        <w:numPr>
          <w:ilvl w:val="0"/>
          <w:numId w:val="52"/>
        </w:numPr>
        <w:spacing w:line="360" w:lineRule="auto"/>
        <w:textAlignment w:val="baseline"/>
        <w:rPr>
          <w:rFonts w:eastAsia="Times New Roman" w:cs="Arial"/>
          <w:color w:val="000000" w:themeColor="text1"/>
          <w:szCs w:val="20"/>
        </w:rPr>
      </w:pPr>
      <w:r w:rsidRPr="00F260D9">
        <w:rPr>
          <w:rFonts w:eastAsia="Times New Roman" w:cs="Arial"/>
          <w:b/>
          <w:bCs/>
          <w:color w:val="000000" w:themeColor="text1"/>
          <w:szCs w:val="20"/>
          <w:bdr w:val="none" w:sz="0" w:space="0" w:color="auto" w:frame="1"/>
        </w:rPr>
        <w:t>Assumption of Risk—</w:t>
      </w:r>
      <w:r w:rsidRPr="00F260D9">
        <w:rPr>
          <w:rFonts w:eastAsia="Times New Roman" w:cs="Arial"/>
          <w:color w:val="000000" w:themeColor="text1"/>
          <w:szCs w:val="20"/>
        </w:rPr>
        <w:t>Traditionally, assumption of risk was seen as a complete bar to recovery if a plaintiff understood the risk and voluntarily assumed the risk. Express assumption occurs when a person agrees to accept a risk. Implied assumption of risk can occur when a person’s actions indicate he or she has accepted the risk, but has not specifically agreed to it. In some states, implied assumption of risk has been incorporated into the concept of comparative negligence, so it is no longer a complete bar to recovery but can reduce the amount, if any, awarded to the plaintiff.</w:t>
      </w:r>
    </w:p>
    <w:p w14:paraId="08BB00B5" w14:textId="77777777" w:rsidR="00E47795" w:rsidRPr="00F260D9" w:rsidRDefault="00E47795" w:rsidP="00EB12E6">
      <w:pPr>
        <w:spacing w:line="360" w:lineRule="auto"/>
        <w:textAlignment w:val="baseline"/>
        <w:rPr>
          <w:rFonts w:eastAsia="Times New Roman" w:cs="Arial"/>
          <w:color w:val="000000" w:themeColor="text1"/>
          <w:szCs w:val="20"/>
        </w:rPr>
      </w:pPr>
    </w:p>
    <w:p w14:paraId="0916C599" w14:textId="77777777" w:rsidR="00E47795" w:rsidRPr="00F260D9" w:rsidRDefault="00E47795" w:rsidP="00E47795">
      <w:pPr>
        <w:pStyle w:val="ListParagraph"/>
        <w:numPr>
          <w:ilvl w:val="0"/>
          <w:numId w:val="52"/>
        </w:numPr>
        <w:spacing w:line="360" w:lineRule="auto"/>
        <w:textAlignment w:val="baseline"/>
        <w:rPr>
          <w:rFonts w:eastAsia="Times New Roman" w:cs="Arial"/>
          <w:color w:val="000000" w:themeColor="text1"/>
          <w:szCs w:val="20"/>
        </w:rPr>
      </w:pPr>
      <w:r w:rsidRPr="00F260D9">
        <w:rPr>
          <w:rFonts w:eastAsia="Times New Roman" w:cs="Arial"/>
          <w:b/>
          <w:bCs/>
          <w:color w:val="000000" w:themeColor="text1"/>
          <w:szCs w:val="20"/>
          <w:bdr w:val="none" w:sz="0" w:space="0" w:color="auto" w:frame="1"/>
        </w:rPr>
        <w:t>Immunity—</w:t>
      </w:r>
      <w:r w:rsidRPr="00F260D9">
        <w:rPr>
          <w:rFonts w:eastAsia="Times New Roman" w:cs="Arial"/>
          <w:color w:val="000000" w:themeColor="text1"/>
          <w:szCs w:val="20"/>
        </w:rPr>
        <w:t>Immunity protects defendants from potential tort liabilities. The most significant defense to negligence claims arising in the context of an emergency response scenario is the defense of immunity. Specific sources of immunity are discussed in detail later in this issue brief.</w:t>
      </w:r>
    </w:p>
    <w:p w14:paraId="49A727A4" w14:textId="77777777" w:rsidR="00E47795" w:rsidRDefault="00E47795" w:rsidP="00EB12E6">
      <w:pPr>
        <w:spacing w:line="360" w:lineRule="auto"/>
        <w:rPr>
          <w:rFonts w:eastAsia="Times New Roman" w:cs="Arial"/>
          <w:b/>
          <w:bCs/>
          <w:color w:val="3C3030"/>
          <w:sz w:val="24"/>
          <w:szCs w:val="24"/>
        </w:rPr>
      </w:pPr>
    </w:p>
    <w:p w14:paraId="2CA8AD19" w14:textId="77777777" w:rsidR="00E47795" w:rsidRPr="0099702B" w:rsidRDefault="00E47795"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Strict Liability</w:t>
      </w:r>
    </w:p>
    <w:p w14:paraId="5E056ED9" w14:textId="77777777" w:rsidR="00E47795" w:rsidRPr="00F260D9" w:rsidRDefault="00E47795" w:rsidP="00EB12E6">
      <w:pPr>
        <w:shd w:val="clear" w:color="auto" w:fill="FFFFFF"/>
        <w:spacing w:line="360" w:lineRule="auto"/>
        <w:textAlignment w:val="baseline"/>
        <w:rPr>
          <w:rFonts w:eastAsia="Times New Roman" w:cs="Arial"/>
          <w:color w:val="000000" w:themeColor="text1"/>
          <w:szCs w:val="20"/>
        </w:rPr>
      </w:pPr>
    </w:p>
    <w:p w14:paraId="117A61B6"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Strict liability is another tort theory in which civil liability can arise. Strict liability occurs when the manufacture, possession, or use of inherently dangerous equipment or materials is sufficient to find the possessor/user liable for damages for the harm caused by the equipment or materials; no finding of intent, negligence, or fault is required for strict liability to attach. Strict liability most frequently arises in the context of defective manufactured products, but can also apply to items like inappropriately used </w:t>
      </w:r>
      <w:r w:rsidRPr="0099702B">
        <w:rPr>
          <w:rFonts w:eastAsia="Times New Roman" w:cs="Arial"/>
          <w:color w:val="000000" w:themeColor="text1"/>
          <w:szCs w:val="20"/>
        </w:rPr>
        <w:lastRenderedPageBreak/>
        <w:t>explosives and toxic substances or the possession of wild animals. Potential claims against manufacturers of vaccines, drugs, or medical equipment used in public health emergencies could arise under the theory of strict product liability for defects in the design, manufacturing, or labeling of an item. From the perspective of persons and entities involved in most emergency preparedness and response situations, a strict liability claim is not likely to occur; however, as with all legal claims, the legal theories put forth and the outcome of a case depends on the facts in that particular case. The Public Readiness and Emergency Preparedness Act (PREP Act) was enacted to provide immunity from tort liability for claims of loss caused by the manufacture, testing, distribution, administration, and use of countermeasures (see below). </w:t>
      </w:r>
    </w:p>
    <w:p w14:paraId="1F0345A8" w14:textId="77777777" w:rsidR="00E47795" w:rsidRPr="00F260D9" w:rsidRDefault="00E47795" w:rsidP="00EB12E6">
      <w:pPr>
        <w:spacing w:line="360" w:lineRule="auto"/>
        <w:rPr>
          <w:rFonts w:eastAsia="Times New Roman" w:cs="Arial"/>
          <w:b/>
          <w:bCs/>
          <w:color w:val="000000" w:themeColor="text1"/>
          <w:sz w:val="28"/>
          <w:szCs w:val="24"/>
        </w:rPr>
      </w:pPr>
    </w:p>
    <w:p w14:paraId="5B93FCE5" w14:textId="77777777" w:rsidR="00E47795" w:rsidRPr="0099702B" w:rsidRDefault="00E47795"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Statutory and Regulatory Violations</w:t>
      </w:r>
    </w:p>
    <w:p w14:paraId="5759C63D" w14:textId="77777777" w:rsidR="00E47795" w:rsidRPr="00F260D9" w:rsidRDefault="00E47795" w:rsidP="00EB12E6">
      <w:pPr>
        <w:shd w:val="clear" w:color="auto" w:fill="FFFFFF"/>
        <w:spacing w:line="360" w:lineRule="auto"/>
        <w:textAlignment w:val="baseline"/>
        <w:rPr>
          <w:rFonts w:eastAsia="Times New Roman" w:cs="Arial"/>
          <w:color w:val="000000" w:themeColor="text1"/>
          <w:szCs w:val="20"/>
        </w:rPr>
      </w:pPr>
    </w:p>
    <w:p w14:paraId="2A170554"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Statutes and regulations establish legal requirements for persons and entities. Violations of statutes and regulations can give rise to charges made by a governmental entity of criminal, civil, and administrative wrongs. To the extent that federal and state governments have waived sovereign immunity, governments and officials in their individual capacities may be subject to lawsuits for statutory or regulatory violations. In addition to the right of parties to bring contractual and tort-based claims, state and federal laws may also specifically allow individual persons and entities to sue others based on violations of statutes or regulations (known as a private cause of action). </w:t>
      </w:r>
    </w:p>
    <w:p w14:paraId="503421F6"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7B07A7EA"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There are many potential areas in which state and federal statutory and regulatory requirements could be intentionally or inadvertently violated during an emergency response scenario. Governors have the authority to temporarily waive or suspend regulatory and potentially some statutory requirements during a declared state emergency. Similarly, the HHS secretary is authorized under Social Security Act (SSA) Section 1135 to waive certain requirements during public health emergencies. Under their waiver authorities, states can evaluate which requirements to retain and which to temporarily suspend to ease compliance and facilitate response and recovery efforts. Several potential areas in which claims arising from violations of federal and state statutes and regulations may occur during emergencies are discussed below. This discussion, however, does not represent a comprehensive treatment of these and other potential issues. </w:t>
      </w:r>
    </w:p>
    <w:p w14:paraId="6FC1BC22"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p>
    <w:p w14:paraId="765B5591" w14:textId="77777777" w:rsidR="00E47795" w:rsidRDefault="00E47795" w:rsidP="00EB12E6">
      <w:pPr>
        <w:keepNext/>
        <w:spacing w:line="360" w:lineRule="auto"/>
        <w:rPr>
          <w:rFonts w:eastAsia="Times New Roman" w:cs="Arial"/>
          <w:b/>
          <w:bCs/>
          <w:color w:val="000000" w:themeColor="text1"/>
          <w:szCs w:val="20"/>
        </w:rPr>
      </w:pPr>
      <w:r w:rsidRPr="0099702B">
        <w:rPr>
          <w:rFonts w:eastAsia="Times New Roman" w:cs="Arial"/>
          <w:b/>
          <w:bCs/>
          <w:color w:val="000000" w:themeColor="text1"/>
          <w:szCs w:val="20"/>
        </w:rPr>
        <w:lastRenderedPageBreak/>
        <w:t>Federal Statutory and Regulatory Violations</w:t>
      </w:r>
    </w:p>
    <w:p w14:paraId="28EE8733" w14:textId="77777777" w:rsidR="00E47795" w:rsidRPr="0099702B" w:rsidRDefault="00E47795" w:rsidP="00EB12E6">
      <w:pPr>
        <w:spacing w:line="360" w:lineRule="auto"/>
        <w:rPr>
          <w:rFonts w:eastAsia="Times New Roman" w:cs="Arial"/>
          <w:bCs/>
          <w:color w:val="000000" w:themeColor="text1"/>
          <w:szCs w:val="20"/>
        </w:rPr>
      </w:pPr>
    </w:p>
    <w:p w14:paraId="61C57C2D"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Section 1983 Civil Rights Violation. </w:t>
      </w:r>
      <w:r w:rsidRPr="0099702B">
        <w:rPr>
          <w:rFonts w:eastAsia="Times New Roman" w:cs="Arial"/>
          <w:color w:val="000000" w:themeColor="text1"/>
          <w:szCs w:val="20"/>
        </w:rPr>
        <w:t>42 U.S.C. Section 1983, which addresses civil actions for deprivation of rights, could be used as a basis to allege civil rights violations in the context of an emergency response scenario. Local, state, and federal officials can be sued in their individual capacities if they used their position to deprive individuals of their U.S. Constitutional and other legal rights. State governments as entities are protected from Section 1983 claims by the 11th Amendment to the Constitution, which prohibits lawsuits against state governmental entities by private individuals. Local governments as entities can be sued under Section 1983 because they are not covered by 11th Amendment protections. </w:t>
      </w:r>
      <w:r w:rsidRPr="0099702B">
        <w:rPr>
          <w:rFonts w:eastAsia="Times New Roman" w:cs="Arial"/>
          <w:color w:val="000000" w:themeColor="text1"/>
          <w:szCs w:val="20"/>
        </w:rPr>
        <w:br/>
      </w:r>
      <w:r w:rsidRPr="0099702B">
        <w:rPr>
          <w:rFonts w:eastAsia="Times New Roman" w:cs="Arial"/>
          <w:color w:val="000000" w:themeColor="text1"/>
          <w:szCs w:val="20"/>
        </w:rPr>
        <w:br/>
      </w:r>
      <w:r w:rsidRPr="0099702B">
        <w:rPr>
          <w:rFonts w:eastAsia="Times New Roman" w:cs="Arial"/>
          <w:b/>
          <w:bCs/>
          <w:color w:val="000000" w:themeColor="text1"/>
          <w:szCs w:val="20"/>
          <w:bdr w:val="none" w:sz="0" w:space="0" w:color="auto" w:frame="1"/>
        </w:rPr>
        <w:t>Americans with Disabilities Act (ADA).</w:t>
      </w:r>
      <w:r w:rsidRPr="0099702B">
        <w:rPr>
          <w:rFonts w:eastAsia="Times New Roman" w:cs="Arial"/>
          <w:color w:val="000000" w:themeColor="text1"/>
          <w:szCs w:val="20"/>
        </w:rPr>
        <w:t> The Americans with Disabilities Act (ADA) prohibits discrimination based on disability in the areas of employment, public services, public accommodations, commercial facilities, transportation, and telecommunications. Specifically, ADA Title II (public services/transportation) and Title III (public accommodations/transportation) require that persons with disabilities be entitled to equal opportunity to access and benefit from these services. There is a private cause of action in the ADA, which has been interpreted by the U.S. Supreme Court to apply to state governments in spite of 11th Amendment immunity protections. Entities required to comply with the ADA can assert that accommodating persons with disabilities would cause an undue hardship, which generally means an imposition of significant difficulty or expense relative to the operation of a program or service. Where a particular accommodation would result in an undue hardship, an entity must determine if another accommodation is available that would not result in an undue hardship. The Pandemic and All-Hazards Preparedness Act (PAHPA) required, among other things, that the HHS secretary consider the needs of at-risk and special populations when planning for and responding to emergencies. Federal preparedness grants to states and localities require that the needs of at-risk and special populations are likewise considered in their emergency preparedness and response activities. </w:t>
      </w:r>
      <w:r w:rsidRPr="0099702B">
        <w:rPr>
          <w:rFonts w:eastAsia="Times New Roman" w:cs="Arial"/>
          <w:color w:val="000000" w:themeColor="text1"/>
          <w:szCs w:val="20"/>
        </w:rPr>
        <w:br/>
      </w:r>
      <w:r w:rsidRPr="0099702B">
        <w:rPr>
          <w:rFonts w:eastAsia="Times New Roman" w:cs="Arial"/>
          <w:color w:val="000000" w:themeColor="text1"/>
          <w:szCs w:val="20"/>
        </w:rPr>
        <w:br/>
      </w:r>
      <w:r w:rsidRPr="0099702B">
        <w:rPr>
          <w:rFonts w:eastAsia="Times New Roman" w:cs="Arial"/>
          <w:b/>
          <w:bCs/>
          <w:color w:val="000000" w:themeColor="text1"/>
          <w:szCs w:val="20"/>
          <w:bdr w:val="none" w:sz="0" w:space="0" w:color="auto" w:frame="1"/>
        </w:rPr>
        <w:t>Emergency Medical Treatment and Active Labor Act (EMTALA).</w:t>
      </w:r>
      <w:r w:rsidRPr="0099702B">
        <w:rPr>
          <w:rFonts w:eastAsia="Times New Roman" w:cs="Arial"/>
          <w:color w:val="000000" w:themeColor="text1"/>
          <w:szCs w:val="20"/>
        </w:rPr>
        <w:t xml:space="preserve"> EMTALA requires that hospital emergency rooms screen all patients who seek care for emergency medical conditions regardless of the patients’ ability to pay or citizenship status. The act applies to hospitals that participate in Medicare and allows for administrative penalties and a private cause of action for individuals. When there has been a public health emergency determination under Section 319 of the Public Health Service Act, the HHS secretary can use SSA Section 1135 to temporarily waive or suspend certain EMTALA requirements. </w:t>
      </w:r>
      <w:r w:rsidRPr="0099702B">
        <w:rPr>
          <w:rFonts w:eastAsia="Times New Roman" w:cs="Arial"/>
          <w:color w:val="000000" w:themeColor="text1"/>
          <w:szCs w:val="20"/>
        </w:rPr>
        <w:lastRenderedPageBreak/>
        <w:t>However, these waivers expire within 72 hours before full compliance is again required. When a public health emergency involves a pandemic infectious disease, waivers of EMTALA sanctions can extend through the duration of the public health emergency. </w:t>
      </w:r>
    </w:p>
    <w:p w14:paraId="7039C394"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731100EB"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Health Insurance Portability and Accountability Act (HIPAA).</w:t>
      </w:r>
      <w:r w:rsidRPr="0099702B">
        <w:rPr>
          <w:rFonts w:eastAsia="Times New Roman" w:cs="Arial"/>
          <w:color w:val="000000" w:themeColor="text1"/>
          <w:szCs w:val="20"/>
        </w:rPr>
        <w:t> Among other things, HIPAA protects the confidentiality of a person’s individually identifiable health information. HIPAA does not provide for a private cause of action to allow individuals the ability to sue directly; however, individuals can file a complaint with the HHS Office for Civil Rights, which will investigate the claim. HHS can seek a range of enforcement mechanisms from voluntary compliance to monetary penalties, if warranted. During an emergency event it may not be possible for a hospital to adhere to some HIPAA privacy requirements. As with EMTALA, certain HIPAA requirements regarding patient information at hospitals operating under an emergency plan can be temporarily waived under SSA Section 1135 waiver. Again, however, these waivers expire within 72 hours before full compliance is again required. </w:t>
      </w:r>
    </w:p>
    <w:p w14:paraId="6E5D36D2"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p>
    <w:p w14:paraId="090D1572" w14:textId="77777777" w:rsidR="00E47795"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Statutory and Regulatory Violations</w:t>
      </w:r>
    </w:p>
    <w:p w14:paraId="55FC7354" w14:textId="77777777" w:rsidR="00E47795" w:rsidRPr="0099702B" w:rsidRDefault="00E47795" w:rsidP="00EB12E6">
      <w:pPr>
        <w:spacing w:line="360" w:lineRule="auto"/>
        <w:rPr>
          <w:rFonts w:eastAsia="Times New Roman" w:cs="Arial"/>
          <w:b/>
          <w:bCs/>
          <w:color w:val="000000" w:themeColor="text1"/>
          <w:szCs w:val="20"/>
        </w:rPr>
      </w:pPr>
    </w:p>
    <w:p w14:paraId="50E15134"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State Civil Rights and Anti-Discrimination Laws. </w:t>
      </w:r>
      <w:r w:rsidRPr="0099702B">
        <w:rPr>
          <w:rFonts w:eastAsia="Times New Roman" w:cs="Arial"/>
          <w:color w:val="000000" w:themeColor="text1"/>
          <w:szCs w:val="20"/>
        </w:rPr>
        <w:t>States may have parallel statutory and constitutional protections that protect civil rights and prohibit discrimination by state or local officials. These state authorities could be used to claim a civil rights violation or disparate treatment during an emergency response. </w:t>
      </w:r>
    </w:p>
    <w:p w14:paraId="6EF5231C"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4D50E69A"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State Professional Licensure Requirements. </w:t>
      </w:r>
      <w:r w:rsidRPr="0099702B">
        <w:rPr>
          <w:rFonts w:eastAsia="Times New Roman" w:cs="Arial"/>
          <w:color w:val="000000" w:themeColor="text1"/>
          <w:szCs w:val="20"/>
        </w:rPr>
        <w:t>Each state determines the requirements for licensure and the permitted scope of practice for healthcare and other professions regulated by the state. Healthcare and other licensed volunteers (e.g., architects, engineers) who cross state lines to provide emergency services during a disaster could be found liable for unlicensed practice if they are not properly permitted to assist via a mutual aid agreement like the EMAC or through other emergency response mechanisms recognized by a state, such as the U.S. National Disaster Medical System. </w:t>
      </w:r>
    </w:p>
    <w:p w14:paraId="33AB7E7C" w14:textId="77777777" w:rsidR="00E47795" w:rsidRDefault="00E47795" w:rsidP="00EB12E6">
      <w:pPr>
        <w:spacing w:line="360" w:lineRule="auto"/>
        <w:rPr>
          <w:rFonts w:eastAsia="Times New Roman" w:cs="Arial"/>
          <w:b/>
          <w:bCs/>
          <w:color w:val="3C3030"/>
          <w:sz w:val="24"/>
          <w:szCs w:val="24"/>
        </w:rPr>
      </w:pPr>
    </w:p>
    <w:p w14:paraId="55201B09" w14:textId="77777777" w:rsidR="00E47795" w:rsidRDefault="00E47795" w:rsidP="00EB12E6">
      <w:pPr>
        <w:keepNext/>
        <w:keepLines/>
        <w:spacing w:line="360" w:lineRule="auto"/>
        <w:rPr>
          <w:rFonts w:eastAsia="Times New Roman" w:cs="Arial"/>
          <w:b/>
          <w:bCs/>
          <w:color w:val="3C3030"/>
          <w:sz w:val="24"/>
          <w:szCs w:val="24"/>
        </w:rPr>
      </w:pPr>
      <w:r w:rsidRPr="0099702B">
        <w:rPr>
          <w:rFonts w:eastAsia="Times New Roman" w:cs="Arial"/>
          <w:b/>
          <w:bCs/>
          <w:color w:val="3C3030"/>
          <w:sz w:val="24"/>
          <w:szCs w:val="24"/>
        </w:rPr>
        <w:lastRenderedPageBreak/>
        <w:t>Constitutional Violations</w:t>
      </w:r>
    </w:p>
    <w:p w14:paraId="4BBA06C1" w14:textId="77777777" w:rsidR="00E47795" w:rsidRPr="0099702B" w:rsidRDefault="00E47795" w:rsidP="00EB12E6">
      <w:pPr>
        <w:keepNext/>
        <w:keepLines/>
        <w:spacing w:line="360" w:lineRule="auto"/>
        <w:rPr>
          <w:rFonts w:eastAsia="Times New Roman" w:cs="Arial"/>
          <w:b/>
          <w:bCs/>
          <w:color w:val="3C3030"/>
          <w:sz w:val="24"/>
          <w:szCs w:val="24"/>
        </w:rPr>
      </w:pPr>
    </w:p>
    <w:p w14:paraId="3AA1F5D3" w14:textId="77777777" w:rsidR="00E47795" w:rsidRPr="0099702B" w:rsidRDefault="00E47795" w:rsidP="00EB12E6">
      <w:pPr>
        <w:keepLines/>
        <w:shd w:val="clear" w:color="auto" w:fill="FFFFFF"/>
        <w:spacing w:after="120" w:line="360" w:lineRule="auto"/>
        <w:textAlignment w:val="baseline"/>
        <w:rPr>
          <w:rFonts w:eastAsia="Times New Roman" w:cs="Arial"/>
          <w:color w:val="000000" w:themeColor="text1"/>
          <w:szCs w:val="20"/>
        </w:rPr>
      </w:pPr>
      <w:r w:rsidRPr="0099702B">
        <w:rPr>
          <w:rFonts w:eastAsia="Times New Roman" w:cs="Arial"/>
          <w:color w:val="000000" w:themeColor="text1"/>
          <w:szCs w:val="20"/>
        </w:rPr>
        <w:t>The U.S. Constitution, the Bill of Rights, and state constitutions identify fundamental rights that can give rise to claims if these rights are violated. Parties could assert constitutional claims against public officials and entities in addition to tort claims, including violations of the following rights:</w:t>
      </w:r>
    </w:p>
    <w:p w14:paraId="72608614" w14:textId="77777777" w:rsidR="00E47795" w:rsidRPr="00FC3301" w:rsidRDefault="00E47795" w:rsidP="00E47795">
      <w:pPr>
        <w:pStyle w:val="ListParagraph"/>
        <w:numPr>
          <w:ilvl w:val="0"/>
          <w:numId w:val="53"/>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Freedom of speech and association (1st Amendment).</w:t>
      </w:r>
    </w:p>
    <w:p w14:paraId="7C0492B7" w14:textId="77777777" w:rsidR="00E47795" w:rsidRPr="00FC3301" w:rsidRDefault="00E47795" w:rsidP="00E47795">
      <w:pPr>
        <w:pStyle w:val="ListParagraph"/>
        <w:numPr>
          <w:ilvl w:val="0"/>
          <w:numId w:val="53"/>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Unreasonable searches and seizures (4th Amendment).</w:t>
      </w:r>
    </w:p>
    <w:p w14:paraId="567D7495" w14:textId="77777777" w:rsidR="00E47795" w:rsidRPr="00FC3301" w:rsidRDefault="00E47795" w:rsidP="00E47795">
      <w:pPr>
        <w:pStyle w:val="ListParagraph"/>
        <w:numPr>
          <w:ilvl w:val="0"/>
          <w:numId w:val="53"/>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Cruel and unusual punishment (8th Amendment).</w:t>
      </w:r>
    </w:p>
    <w:p w14:paraId="25EE6CF2" w14:textId="77777777" w:rsidR="00E47795" w:rsidRPr="00FC3301" w:rsidRDefault="00E47795" w:rsidP="00E47795">
      <w:pPr>
        <w:pStyle w:val="ListParagraph"/>
        <w:numPr>
          <w:ilvl w:val="0"/>
          <w:numId w:val="53"/>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Due process (5th and 14th Amendments)—Prohibits federal and state governments from depriving persons of life, liberty, or property without due process of law.</w:t>
      </w:r>
    </w:p>
    <w:p w14:paraId="46D63A35" w14:textId="77777777" w:rsidR="00E47795" w:rsidRPr="00FC3301" w:rsidRDefault="00E47795" w:rsidP="00E47795">
      <w:pPr>
        <w:pStyle w:val="ListParagraph"/>
        <w:numPr>
          <w:ilvl w:val="0"/>
          <w:numId w:val="53"/>
        </w:numPr>
        <w:spacing w:line="360" w:lineRule="auto"/>
        <w:textAlignment w:val="baseline"/>
        <w:rPr>
          <w:rFonts w:eastAsia="Times New Roman" w:cs="Arial"/>
          <w:color w:val="000000" w:themeColor="text1"/>
          <w:szCs w:val="20"/>
        </w:rPr>
      </w:pPr>
      <w:r w:rsidRPr="00FC3301">
        <w:rPr>
          <w:rFonts w:eastAsia="Times New Roman" w:cs="Arial"/>
          <w:color w:val="000000" w:themeColor="text1"/>
          <w:szCs w:val="20"/>
        </w:rPr>
        <w:t>Equal protection (14th Amendment)—Violations in which a person or group of persons are denied equal protection under state and federal laws.</w:t>
      </w:r>
    </w:p>
    <w:p w14:paraId="2383E93C"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16975E71"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Parallel violations grounded on state constitutional claims, as well as on other claims specific to a state’s constitution, should also be considered. </w:t>
      </w:r>
    </w:p>
    <w:p w14:paraId="480EDF01" w14:textId="77777777" w:rsidR="00E47795" w:rsidRPr="00FC3301" w:rsidRDefault="00E47795" w:rsidP="00EB12E6">
      <w:pPr>
        <w:spacing w:line="360" w:lineRule="auto"/>
        <w:rPr>
          <w:rFonts w:eastAsia="Times New Roman" w:cs="Arial"/>
          <w:bCs/>
          <w:color w:val="3C3030"/>
          <w:szCs w:val="24"/>
        </w:rPr>
      </w:pPr>
    </w:p>
    <w:p w14:paraId="7D8E0DEA" w14:textId="77777777" w:rsidR="00E47795" w:rsidRPr="0099702B" w:rsidRDefault="00E47795"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Criminal Liability</w:t>
      </w:r>
    </w:p>
    <w:p w14:paraId="4DB8C112" w14:textId="77777777" w:rsidR="00E47795" w:rsidRPr="00FC3301" w:rsidRDefault="00E47795" w:rsidP="00EB12E6">
      <w:pPr>
        <w:shd w:val="clear" w:color="auto" w:fill="FFFFFF"/>
        <w:spacing w:line="360" w:lineRule="auto"/>
        <w:textAlignment w:val="baseline"/>
        <w:rPr>
          <w:rFonts w:eastAsia="Times New Roman" w:cs="Arial"/>
          <w:color w:val="000000" w:themeColor="text1"/>
          <w:szCs w:val="20"/>
        </w:rPr>
      </w:pPr>
    </w:p>
    <w:p w14:paraId="43D39B24"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As with civil liability, both individuals and organizational entities can be liable for criminal sanctions based on their actions during an emergency response event. Criminal prosecutions of first responders, healthcare providers, and volunteers involved in emergency response activities are most likely to occur where there has been egregious or willful misconduct on the part of the actor. Ultimately, however, the decision to seek prosecution in any given situation is a matter of prosecutorial discretion and, where required, the decision of a grand jury to indict. Even where there are statutory liability protections available to emergency response participants, they generally exclude coverage for criminal acts, willful or wanton actions, and gross negligence. </w:t>
      </w:r>
    </w:p>
    <w:p w14:paraId="27F3987C" w14:textId="77777777" w:rsidR="00E47795" w:rsidRPr="00FC3301" w:rsidRDefault="00E47795" w:rsidP="00EB12E6">
      <w:pPr>
        <w:spacing w:line="360" w:lineRule="auto"/>
        <w:rPr>
          <w:rFonts w:eastAsia="Times New Roman" w:cs="Arial"/>
          <w:b/>
          <w:bCs/>
          <w:color w:val="000000" w:themeColor="text1"/>
          <w:sz w:val="28"/>
          <w:szCs w:val="24"/>
        </w:rPr>
      </w:pPr>
    </w:p>
    <w:p w14:paraId="472D8FCF" w14:textId="77777777" w:rsidR="00E47795" w:rsidRPr="0099702B" w:rsidRDefault="00E47795" w:rsidP="00917A36">
      <w:pPr>
        <w:keepNext/>
        <w:keepLines/>
        <w:spacing w:line="360" w:lineRule="auto"/>
        <w:rPr>
          <w:rFonts w:eastAsia="Times New Roman" w:cs="Arial"/>
          <w:b/>
          <w:bCs/>
          <w:color w:val="3C3030"/>
          <w:sz w:val="24"/>
          <w:szCs w:val="24"/>
        </w:rPr>
      </w:pPr>
      <w:r w:rsidRPr="0099702B">
        <w:rPr>
          <w:rFonts w:eastAsia="Times New Roman" w:cs="Arial"/>
          <w:b/>
          <w:bCs/>
          <w:color w:val="3C3030"/>
          <w:sz w:val="24"/>
          <w:szCs w:val="24"/>
        </w:rPr>
        <w:lastRenderedPageBreak/>
        <w:t>Liability Protections and Immunities</w:t>
      </w:r>
    </w:p>
    <w:p w14:paraId="3287C5C8" w14:textId="77777777" w:rsidR="00E47795" w:rsidRPr="0079749B" w:rsidRDefault="00E47795" w:rsidP="00EB12E6">
      <w:pPr>
        <w:keepLines/>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While the foregoing list of potential theories of liability for various actors involved in emergency preparedness and response activities can seem daunting, there are significant sources of liability protection available at the state and federal levels. Many of these protections were newly developed or refined within the last decade. Others are fundamental principles of governmental immunity that continue to evolve as our understanding of modern emergencies likewise evolves. What has emerged is a mosaic of protections that can provide varying degrees of coverage: the extent to which liability protections are available to an individual, entity, or class will depend on the actor, the law providing the protections, and the circumstances surrounding a particular emergency response. </w:t>
      </w:r>
    </w:p>
    <w:p w14:paraId="1DBB5796" w14:textId="77777777" w:rsidR="00E47795" w:rsidRPr="0079749B" w:rsidRDefault="00E47795" w:rsidP="00EB12E6">
      <w:pPr>
        <w:shd w:val="clear" w:color="auto" w:fill="FFFFFF"/>
        <w:spacing w:line="360" w:lineRule="auto"/>
        <w:textAlignment w:val="baseline"/>
        <w:rPr>
          <w:rFonts w:eastAsia="Times New Roman" w:cs="Arial"/>
          <w:color w:val="000000" w:themeColor="text1"/>
          <w:szCs w:val="20"/>
        </w:rPr>
      </w:pPr>
    </w:p>
    <w:p w14:paraId="371BC55F" w14:textId="77777777" w:rsidR="00E47795" w:rsidRPr="0099702B" w:rsidRDefault="00E47795" w:rsidP="00EB12E6">
      <w:pPr>
        <w:shd w:val="clear" w:color="auto" w:fill="FFFFFF"/>
        <w:spacing w:line="360" w:lineRule="auto"/>
        <w:textAlignment w:val="baseline"/>
        <w:rPr>
          <w:rFonts w:eastAsia="Times New Roman" w:cs="Arial"/>
          <w:color w:val="000000" w:themeColor="text1"/>
          <w:sz w:val="20"/>
          <w:szCs w:val="20"/>
        </w:rPr>
      </w:pPr>
      <w:r w:rsidRPr="0099702B">
        <w:rPr>
          <w:rFonts w:eastAsia="Times New Roman" w:cs="Arial"/>
          <w:color w:val="000000" w:themeColor="text1"/>
          <w:szCs w:val="20"/>
        </w:rPr>
        <w:t>This section reviews available federal and state immunity and liability protections, highlights the actors covered, and discusses the types and extent of liability protections provided. This section provides an overview of potential liability protections; it is not intended to be a comprehensive listing or analysis of these or other available protections</w:t>
      </w:r>
      <w:r w:rsidRPr="0099702B">
        <w:rPr>
          <w:rFonts w:eastAsia="Times New Roman" w:cs="Arial"/>
          <w:color w:val="000000" w:themeColor="text1"/>
          <w:sz w:val="20"/>
          <w:szCs w:val="20"/>
        </w:rPr>
        <w:t>. </w:t>
      </w:r>
    </w:p>
    <w:p w14:paraId="3F6FA9F9" w14:textId="77777777" w:rsidR="00E47795" w:rsidRPr="0079749B" w:rsidRDefault="00E47795" w:rsidP="00EB12E6">
      <w:pPr>
        <w:spacing w:line="360" w:lineRule="auto"/>
        <w:rPr>
          <w:rFonts w:eastAsia="Times New Roman" w:cs="Arial"/>
          <w:b/>
          <w:bCs/>
          <w:color w:val="000000" w:themeColor="text1"/>
          <w:szCs w:val="24"/>
        </w:rPr>
      </w:pPr>
    </w:p>
    <w:p w14:paraId="39D894D7" w14:textId="77777777" w:rsidR="00E47795" w:rsidRPr="0099702B" w:rsidRDefault="00E47795"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Federal Liability Protections and Immunities</w:t>
      </w:r>
    </w:p>
    <w:p w14:paraId="44D2DEB6"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p>
    <w:p w14:paraId="68B6C774"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Federal Governmental/Sovereign Immunity</w:t>
      </w:r>
    </w:p>
    <w:p w14:paraId="470E9717"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The federal government’s sovereign immunity has its roots in the English common law that became the foundation of the U.S. legal system as the nation developed. The common law doctrine of sovereign immunity holds that the “king”—the state—cannot commit an illegal act and therefore cannot be sued. This doctrine has been modified through court decisions and laws like the Federal Tort Claims Act to allow suits against federal government employees and agents in certain circumstances. In the context of emergency response, one way to protect volunteers is to designate them as unpaid employees of the federal government. In doing this, the volunteers would be able to assert the liability protections afforded to federal employees. </w:t>
      </w:r>
    </w:p>
    <w:p w14:paraId="15C7210E" w14:textId="77777777" w:rsidR="00E47795" w:rsidRPr="0079749B" w:rsidRDefault="00E47795" w:rsidP="00EB12E6">
      <w:pPr>
        <w:spacing w:line="360" w:lineRule="auto"/>
        <w:rPr>
          <w:rFonts w:eastAsia="Times New Roman" w:cs="Arial"/>
          <w:b/>
          <w:bCs/>
          <w:color w:val="000000" w:themeColor="text1"/>
          <w:szCs w:val="20"/>
        </w:rPr>
      </w:pPr>
    </w:p>
    <w:p w14:paraId="134BC572"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Federal Tort Claims Act (FTCA)</w:t>
      </w:r>
    </w:p>
    <w:p w14:paraId="5CE25219"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The FTCA is generally the exclusive path by which individuals can seek compensation when injured by federal employees acting within the scope of their work. The FTCA immunizes federal government employees from tort liability by substituting the federal government as the defendant in certain types of suits brought against the federal government. Specifically, the act allows suits for “injury or loss of </w:t>
      </w:r>
      <w:r w:rsidRPr="0099702B">
        <w:rPr>
          <w:rFonts w:eastAsia="Times New Roman" w:cs="Arial"/>
          <w:color w:val="000000" w:themeColor="text1"/>
          <w:szCs w:val="20"/>
        </w:rPr>
        <w:lastRenderedPageBreak/>
        <w:t>property, or personal injury or death caused by the negligent or wrongful act or omission of any employee of the government while acting within the scope of his office or employment, under circumstances where the United States, if a private person, would be liable to the claimant in accordance with the law of the place where the act or omission occurred.”</w:t>
      </w:r>
    </w:p>
    <w:p w14:paraId="71745EF2"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186B7043" w14:textId="77777777" w:rsidR="00E47795" w:rsidRPr="0099702B" w:rsidRDefault="00E47795" w:rsidP="00EB12E6">
      <w:pPr>
        <w:shd w:val="clear" w:color="auto" w:fill="FFFFFF"/>
        <w:spacing w:after="120" w:line="360" w:lineRule="auto"/>
        <w:textAlignment w:val="baseline"/>
        <w:rPr>
          <w:rFonts w:eastAsia="Times New Roman" w:cs="Arial"/>
          <w:color w:val="000000" w:themeColor="text1"/>
          <w:szCs w:val="20"/>
        </w:rPr>
      </w:pPr>
      <w:r w:rsidRPr="0099702B">
        <w:rPr>
          <w:rFonts w:eastAsia="Times New Roman" w:cs="Arial"/>
          <w:color w:val="000000" w:themeColor="text1"/>
          <w:szCs w:val="20"/>
        </w:rPr>
        <w:t>Prior to filing suit under the FTCA, a claimant must present a claim to the federal agency under which the claim arises. If the agency denies the claim or fails to take action on it within a specified time period, a claimant can file suit in federal district court. If a suit is brought, the federal government stands in as the defendant in place of a federal employee sued for actions within the scope of employment. Lawsuits under the FTCA are decided by a judge rather than a jury. Coverage under the FTCA does not require that an emergency declaration be in place before immunity attaches.</w:t>
      </w:r>
    </w:p>
    <w:p w14:paraId="6CBE880A" w14:textId="77777777" w:rsidR="00E47795" w:rsidRPr="000844A3" w:rsidRDefault="00E47795" w:rsidP="00E47795">
      <w:pPr>
        <w:pStyle w:val="ListParagraph"/>
        <w:numPr>
          <w:ilvl w:val="0"/>
          <w:numId w:val="54"/>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Actors—</w:t>
      </w:r>
      <w:r w:rsidRPr="000844A3">
        <w:rPr>
          <w:rFonts w:eastAsia="Times New Roman" w:cs="Arial"/>
          <w:color w:val="000000" w:themeColor="text1"/>
          <w:szCs w:val="20"/>
        </w:rPr>
        <w:t>The FTCA covers all government employees, including volunteers; it does not cover volunteers in nongovernmental settings.</w:t>
      </w:r>
    </w:p>
    <w:p w14:paraId="6475CF55" w14:textId="77777777" w:rsidR="00E47795" w:rsidRPr="000844A3" w:rsidRDefault="00E47795" w:rsidP="00E47795">
      <w:pPr>
        <w:pStyle w:val="ListParagraph"/>
        <w:numPr>
          <w:ilvl w:val="0"/>
          <w:numId w:val="54"/>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Protections—</w:t>
      </w:r>
      <w:r w:rsidRPr="000844A3">
        <w:rPr>
          <w:rFonts w:eastAsia="Times New Roman" w:cs="Arial"/>
          <w:color w:val="000000" w:themeColor="text1"/>
          <w:szCs w:val="20"/>
        </w:rPr>
        <w:t>The FTCA contains a number of exceptions under which the United States may not be held liable even though a private employer could be held liable under state law; among these exceptions are: (1) the performance of discretionary functions; (2) commission of intentional torts; (3) injuries sustained by military personnel incident to their service. Federal employees may still be sued for violating the U.S. Constitution or a federal statute that authorizes suit against an individual (see liability discussion above).</w:t>
      </w:r>
    </w:p>
    <w:p w14:paraId="169FD8B5" w14:textId="77777777" w:rsidR="00E47795" w:rsidRPr="000844A3" w:rsidRDefault="00E47795" w:rsidP="00E47795">
      <w:pPr>
        <w:pStyle w:val="ListParagraph"/>
        <w:numPr>
          <w:ilvl w:val="0"/>
          <w:numId w:val="54"/>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Relation to State Laws—</w:t>
      </w:r>
      <w:r w:rsidRPr="000844A3">
        <w:rPr>
          <w:rFonts w:eastAsia="Times New Roman" w:cs="Arial"/>
          <w:color w:val="000000" w:themeColor="text1"/>
          <w:szCs w:val="20"/>
        </w:rPr>
        <w:t>Federal employees are immune from suit under state tort law.</w:t>
      </w:r>
    </w:p>
    <w:p w14:paraId="0D494FA7" w14:textId="77777777" w:rsidR="00E47795" w:rsidRDefault="00E47795" w:rsidP="00EB12E6">
      <w:pPr>
        <w:spacing w:line="360" w:lineRule="auto"/>
        <w:rPr>
          <w:rFonts w:eastAsia="Times New Roman" w:cs="Arial"/>
          <w:b/>
          <w:bCs/>
          <w:color w:val="000000" w:themeColor="text1"/>
          <w:szCs w:val="20"/>
        </w:rPr>
      </w:pPr>
    </w:p>
    <w:p w14:paraId="50818079"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Volunteer Protection Act</w:t>
      </w:r>
    </w:p>
    <w:p w14:paraId="132A94C0" w14:textId="77777777" w:rsidR="00E47795" w:rsidRPr="0099702B" w:rsidRDefault="00E47795" w:rsidP="00EB12E6">
      <w:pPr>
        <w:shd w:val="clear" w:color="auto" w:fill="FFFFFF"/>
        <w:spacing w:after="120" w:line="360" w:lineRule="auto"/>
        <w:textAlignment w:val="baseline"/>
        <w:rPr>
          <w:rFonts w:eastAsia="Times New Roman" w:cs="Arial"/>
          <w:color w:val="000000" w:themeColor="text1"/>
          <w:szCs w:val="20"/>
        </w:rPr>
      </w:pPr>
      <w:r w:rsidRPr="0099702B">
        <w:rPr>
          <w:rFonts w:eastAsia="Times New Roman" w:cs="Arial"/>
          <w:color w:val="000000" w:themeColor="text1"/>
          <w:szCs w:val="20"/>
        </w:rPr>
        <w:t>The federal Volunteer Protection Act (VPA) provides immunity for volunteers of nonprofit organizations or governmental entities against claims of ordinary negligence. The act does not require that an emergency declaration be in place for its protections to apply.</w:t>
      </w:r>
    </w:p>
    <w:p w14:paraId="639947B7" w14:textId="77777777" w:rsidR="00E47795" w:rsidRPr="000844A3" w:rsidRDefault="00E47795" w:rsidP="00E47795">
      <w:pPr>
        <w:pStyle w:val="ListParagraph"/>
        <w:numPr>
          <w:ilvl w:val="0"/>
          <w:numId w:val="55"/>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Actors—</w:t>
      </w:r>
      <w:r w:rsidRPr="000844A3">
        <w:rPr>
          <w:rFonts w:eastAsia="Times New Roman" w:cs="Arial"/>
          <w:color w:val="000000" w:themeColor="text1"/>
          <w:szCs w:val="20"/>
        </w:rPr>
        <w:t>The VPA protects individual volunteers who are working without compensation and within their scope of responsibility for a governmental entity or nonprofit organization. VPA does not protect volunteers working in businesses (including for-profit hospitals) and organizational entities of any type (including nonprofit or governmental organizations) that use volunteers.</w:t>
      </w:r>
    </w:p>
    <w:p w14:paraId="0A6119A4" w14:textId="77777777" w:rsidR="00E47795" w:rsidRPr="000844A3" w:rsidRDefault="00E47795" w:rsidP="00E47795">
      <w:pPr>
        <w:pStyle w:val="ListParagraph"/>
        <w:numPr>
          <w:ilvl w:val="0"/>
          <w:numId w:val="55"/>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lastRenderedPageBreak/>
        <w:t>Protections—</w:t>
      </w:r>
      <w:r w:rsidRPr="000844A3">
        <w:rPr>
          <w:rFonts w:eastAsia="Times New Roman" w:cs="Arial"/>
          <w:color w:val="000000" w:themeColor="text1"/>
          <w:szCs w:val="20"/>
        </w:rPr>
        <w:t>The VPA shields volunteers from ordinary negligence. It does not protect volunteers from liability for: (1) actions beyond ordinary negligence (e.g., gross negligence); (2) actions for which the volunteer is not properly licensed or insured; (3) operation of a motor or other vehicle that requires a license and insurance; or (4) for any criminal conduct or civil rights violations. A plaintiff’s right to recover is limited to punitive damages from a protected volunteer; the VPA does not provide for payment of defense costs or payment of a judgment or settlement. The act also does not prohibit a nonprofit or governmental entity from suing its own volunteers.</w:t>
      </w:r>
    </w:p>
    <w:p w14:paraId="4A215A1B" w14:textId="77777777" w:rsidR="00E47795" w:rsidRPr="000844A3" w:rsidRDefault="00E47795" w:rsidP="00E47795">
      <w:pPr>
        <w:pStyle w:val="ListParagraph"/>
        <w:numPr>
          <w:ilvl w:val="0"/>
          <w:numId w:val="55"/>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Relation to State Laws—</w:t>
      </w:r>
      <w:r w:rsidRPr="000844A3">
        <w:rPr>
          <w:rFonts w:eastAsia="Times New Roman" w:cs="Arial"/>
          <w:color w:val="000000" w:themeColor="text1"/>
          <w:szCs w:val="20"/>
        </w:rPr>
        <w:t>The VPA expressly preempts state volunteer protection laws that provide less coverage than the VPA; states can adopt laws that provide greater protections than the VPA.</w:t>
      </w:r>
    </w:p>
    <w:p w14:paraId="7C8A9A1E" w14:textId="77777777" w:rsidR="00E47795" w:rsidRDefault="00E47795" w:rsidP="00EB12E6">
      <w:pPr>
        <w:spacing w:line="360" w:lineRule="auto"/>
        <w:rPr>
          <w:rFonts w:eastAsia="Times New Roman" w:cs="Arial"/>
          <w:b/>
          <w:bCs/>
          <w:color w:val="000000" w:themeColor="text1"/>
          <w:szCs w:val="20"/>
        </w:rPr>
      </w:pPr>
    </w:p>
    <w:p w14:paraId="6C4768B5"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Public Readiness and Emergency Preparedness Act (PREP Act)</w:t>
      </w:r>
    </w:p>
    <w:p w14:paraId="0A88D2AE" w14:textId="77777777" w:rsidR="00E47795" w:rsidRPr="0099702B" w:rsidRDefault="00E47795" w:rsidP="00EB12E6">
      <w:pPr>
        <w:shd w:val="clear" w:color="auto" w:fill="FFFFFF"/>
        <w:spacing w:after="120"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The Public Readiness and Emergency Preparedness Act of 2005 (PREP Act) authorizes the HHS Secretary to issue a declaration that provides immunity from tort liability for claims of loss caused by countermeasures (vaccines, drugs, products) against diseases or other threats of public health emergencies. The PREP Act added new authorities under the Public Health Service Act to address concerns about potential liability associated with the development and administration of countermeasures. A separate public health emergency determination under Public Health Service Act Section 319 or an emergency declaration under another statute is not required for PREP Act immunities to take </w:t>
      </w:r>
      <w:proofErr w:type="spellStart"/>
      <w:r w:rsidRPr="0099702B">
        <w:rPr>
          <w:rFonts w:eastAsia="Times New Roman" w:cs="Arial"/>
          <w:color w:val="000000" w:themeColor="text1"/>
          <w:szCs w:val="20"/>
        </w:rPr>
        <w:t>affect</w:t>
      </w:r>
      <w:proofErr w:type="spellEnd"/>
      <w:r w:rsidRPr="0099702B">
        <w:rPr>
          <w:rFonts w:eastAsia="Times New Roman" w:cs="Arial"/>
          <w:color w:val="000000" w:themeColor="text1"/>
          <w:szCs w:val="20"/>
        </w:rPr>
        <w:t>.</w:t>
      </w:r>
    </w:p>
    <w:p w14:paraId="3E07187B" w14:textId="77777777" w:rsidR="00E47795" w:rsidRPr="001C40BE" w:rsidRDefault="00E47795" w:rsidP="00E47795">
      <w:pPr>
        <w:pStyle w:val="ListParagraph"/>
        <w:numPr>
          <w:ilvl w:val="0"/>
          <w:numId w:val="56"/>
        </w:numPr>
        <w:spacing w:after="120"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t>Actors—</w:t>
      </w:r>
      <w:r w:rsidRPr="001C40BE">
        <w:rPr>
          <w:rFonts w:eastAsia="Times New Roman" w:cs="Arial"/>
          <w:color w:val="000000" w:themeColor="text1"/>
          <w:szCs w:val="20"/>
        </w:rPr>
        <w:t>The PREP Act covers individual persons and entities. Covered persons may, at the secretary’s discretion, include manufacturers, distributors, program planners (i.e., individuals and entities involved in planning and administering programs for distribution of a countermeasure), and qualified persons who prescribe, administer, or dispense countermeasures (i.e., healthcare and other providers), as well as the United States. Officials, agents, and employees of any of these entities or persons are also covered persons.</w:t>
      </w:r>
    </w:p>
    <w:p w14:paraId="3142F429" w14:textId="77777777" w:rsidR="00E47795" w:rsidRPr="001C40BE" w:rsidRDefault="00E47795" w:rsidP="00E47795">
      <w:pPr>
        <w:pStyle w:val="ListParagraph"/>
        <w:numPr>
          <w:ilvl w:val="0"/>
          <w:numId w:val="56"/>
        </w:numPr>
        <w:spacing w:after="120"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t>Activities Covered—</w:t>
      </w:r>
      <w:r w:rsidRPr="001C40BE">
        <w:rPr>
          <w:rFonts w:eastAsia="Times New Roman" w:cs="Arial"/>
          <w:color w:val="000000" w:themeColor="text1"/>
          <w:szCs w:val="20"/>
        </w:rPr>
        <w:t>The immunity applies to the development, manufacture, testing, distribution, administration, and use of countermeasures.</w:t>
      </w:r>
    </w:p>
    <w:p w14:paraId="709D9BB0" w14:textId="77777777" w:rsidR="00E47795" w:rsidRPr="001C40BE" w:rsidRDefault="00E47795" w:rsidP="00E47795">
      <w:pPr>
        <w:pStyle w:val="ListParagraph"/>
        <w:numPr>
          <w:ilvl w:val="0"/>
          <w:numId w:val="56"/>
        </w:numPr>
        <w:spacing w:after="120"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t>Countermeasures Covered—</w:t>
      </w:r>
      <w:r w:rsidRPr="001C40BE">
        <w:rPr>
          <w:rFonts w:eastAsia="Times New Roman" w:cs="Arial"/>
          <w:color w:val="000000" w:themeColor="text1"/>
          <w:szCs w:val="20"/>
        </w:rPr>
        <w:t>Countermeasures can include vaccines, drugs, or medical devices to be used against chemical, biological, radiological, and nuclear agents of terrorism, epidemics, and pandemics.</w:t>
      </w:r>
    </w:p>
    <w:p w14:paraId="696AA420" w14:textId="77777777" w:rsidR="00E47795" w:rsidRPr="001C40BE" w:rsidRDefault="00E47795" w:rsidP="00E47795">
      <w:pPr>
        <w:pStyle w:val="ListParagraph"/>
        <w:numPr>
          <w:ilvl w:val="0"/>
          <w:numId w:val="56"/>
        </w:numPr>
        <w:spacing w:after="120"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lastRenderedPageBreak/>
        <w:t>Protections—</w:t>
      </w:r>
      <w:r w:rsidRPr="001C40BE">
        <w:rPr>
          <w:rFonts w:eastAsia="Times New Roman" w:cs="Arial"/>
          <w:color w:val="000000" w:themeColor="text1"/>
          <w:szCs w:val="20"/>
        </w:rPr>
        <w:t>The PREP Act provides immunity from tort liability (except for willful misconduct) for the condition or fear of death, physical, mental, emotional, injury, illness, or disability. Immunity includes covering claims for medical monitoring and the loss or damage to property, including business interruption. Claims must have a causal relationship to the development, distribution, administration, or use of the covered countermeasure. The PREP Act also authorizes an emergency fund, the Countermeasures Injury Compensation Program (CICP), to provide compensation for injuries directly caused by administration or use of a countermeasure covered by the HHS secretary’s declaration. </w:t>
      </w:r>
      <w:r w:rsidRPr="001C40BE">
        <w:rPr>
          <w:rFonts w:eastAsia="Times New Roman" w:cs="Arial"/>
          <w:color w:val="000000" w:themeColor="text1"/>
          <w:szCs w:val="20"/>
        </w:rPr>
        <w:br/>
      </w:r>
      <w:r w:rsidRPr="001C40BE">
        <w:rPr>
          <w:rFonts w:eastAsia="Times New Roman" w:cs="Arial"/>
          <w:color w:val="000000" w:themeColor="text1"/>
          <w:szCs w:val="20"/>
        </w:rPr>
        <w:br/>
        <w:t>A PREP Act declaration by the HHS secretary only relates to providing immunity from liability for the covered persons and activities related to covered countermeasures. The act’s liability protections do not apply where the liability arose from willful misconduct. It also does not protect individuals who violate a person’s civil rights or who violate the ADA, among other exceptions. Furthermore, the PREP Act does not automatically protect everyone involved in a medical response to an emergency. Liability protection under the PREP Act is limited to a specific emergency and includes only the countermeasures and other conditions listed in the PREP Act declaration.</w:t>
      </w:r>
    </w:p>
    <w:p w14:paraId="3B273CC3" w14:textId="77777777" w:rsidR="00E47795" w:rsidRDefault="00E47795" w:rsidP="00EB12E6">
      <w:pPr>
        <w:spacing w:line="360" w:lineRule="auto"/>
        <w:rPr>
          <w:rFonts w:eastAsia="Times New Roman" w:cs="Arial"/>
          <w:b/>
          <w:bCs/>
          <w:color w:val="3C3030"/>
          <w:sz w:val="24"/>
          <w:szCs w:val="24"/>
        </w:rPr>
      </w:pPr>
    </w:p>
    <w:p w14:paraId="6B52D636" w14:textId="77777777" w:rsidR="00E47795" w:rsidRPr="0099702B" w:rsidRDefault="00E47795"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State Liability Protections and Immunities</w:t>
      </w:r>
    </w:p>
    <w:p w14:paraId="63F0B97F" w14:textId="77777777" w:rsidR="00E47795" w:rsidRPr="002A2B2D" w:rsidRDefault="00E47795" w:rsidP="00EB12E6">
      <w:pPr>
        <w:spacing w:line="360" w:lineRule="auto"/>
        <w:rPr>
          <w:rFonts w:eastAsia="Times New Roman" w:cs="Arial"/>
          <w:b/>
          <w:bCs/>
          <w:color w:val="000000" w:themeColor="text1"/>
          <w:szCs w:val="20"/>
        </w:rPr>
      </w:pPr>
    </w:p>
    <w:p w14:paraId="25091BEC"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Governmental/Sovereign Immunity</w:t>
      </w:r>
    </w:p>
    <w:p w14:paraId="6980FDF4"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State governments are immune from lawsuits under sovereign immunity conferred by the 11th Amendment of the U.S. Constitution. Like the federal government, some states have waived this immunity in certain circumstances through state tort claims or state claims acts. These acts generally immunize government employees from tort liability for acts or omissions committed within their scope of employment. Some states cap the amount of money damages available from a judgment against the state and frequently prohibit the recovery of punitive damages against the state. Some states extend these protections to volunteers; others declare them unpaid state employees during an emergency. </w:t>
      </w:r>
    </w:p>
    <w:p w14:paraId="149B75F3" w14:textId="77777777" w:rsidR="00E47795" w:rsidRPr="002A2B2D" w:rsidRDefault="00E47795" w:rsidP="00EB12E6">
      <w:pPr>
        <w:spacing w:line="360" w:lineRule="auto"/>
        <w:rPr>
          <w:rFonts w:eastAsia="Times New Roman" w:cs="Arial"/>
          <w:b/>
          <w:bCs/>
          <w:color w:val="000000" w:themeColor="text1"/>
          <w:szCs w:val="20"/>
        </w:rPr>
      </w:pPr>
    </w:p>
    <w:p w14:paraId="2B08ABDE"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Tort Claims Acts</w:t>
      </w:r>
    </w:p>
    <w:p w14:paraId="06B62D28"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State tort claims acts are generally modeled after the FTCA and are the most common type of statutory waiver of sovereign immunity. These types of laws either abolish state sovereign immunity generally and </w:t>
      </w:r>
      <w:r w:rsidRPr="0099702B">
        <w:rPr>
          <w:rFonts w:eastAsia="Times New Roman" w:cs="Arial"/>
          <w:color w:val="000000" w:themeColor="text1"/>
          <w:szCs w:val="20"/>
        </w:rPr>
        <w:lastRenderedPageBreak/>
        <w:t>provide immunity in only specific circumstances, or preserve sovereign immunity generally but identify certain exceptions in which immunity is waived. </w:t>
      </w:r>
    </w:p>
    <w:p w14:paraId="15EF1247" w14:textId="77777777" w:rsidR="00E47795" w:rsidRPr="002A2B2D" w:rsidRDefault="00E47795" w:rsidP="00EB12E6">
      <w:pPr>
        <w:spacing w:line="360" w:lineRule="auto"/>
        <w:rPr>
          <w:rFonts w:eastAsia="Times New Roman" w:cs="Arial"/>
          <w:b/>
          <w:bCs/>
          <w:color w:val="000000" w:themeColor="text1"/>
          <w:szCs w:val="20"/>
        </w:rPr>
      </w:pPr>
    </w:p>
    <w:p w14:paraId="0F9CF0DB"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Claims Acts</w:t>
      </w:r>
    </w:p>
    <w:p w14:paraId="12D0CAD7"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State claims acts are contrasted with state tort claims acts. Claims acts limit state sovereign immunity by establishing procedures for making claims against the state, which are overseen by a special claims court. The claims courts are empowered to decide claims, limit the amount of damages, and find exceptions to liability. </w:t>
      </w:r>
    </w:p>
    <w:p w14:paraId="6F02664E" w14:textId="77777777" w:rsidR="00E47795" w:rsidRPr="002A2B2D" w:rsidRDefault="00E47795" w:rsidP="00EB12E6">
      <w:pPr>
        <w:spacing w:line="360" w:lineRule="auto"/>
        <w:rPr>
          <w:rFonts w:eastAsia="Times New Roman" w:cs="Arial"/>
          <w:b/>
          <w:bCs/>
          <w:color w:val="000000" w:themeColor="text1"/>
          <w:szCs w:val="20"/>
        </w:rPr>
      </w:pPr>
    </w:p>
    <w:p w14:paraId="4A1BB41F"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Emergency Powers Statutes</w:t>
      </w:r>
    </w:p>
    <w:p w14:paraId="23D9F7C8"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State emergency laws can trigger additional powers, suspend certain administrative requirements, and provide or enhance liability protections to specified responders upon a gubernatorial declaration of emergency. These emergency statutes may include liability protections for specified groups of volunteers and other responders that are more tailored to their services (e.g., health, fire, law enforcement, or engineering). These statutes can extend the rights and immunities provided to governmental employees to volunteers performing work that is eligible for coverage under governmental immunity and state tort claims acts. There is a wide range in the types and degrees of coverage provided to volunteers under emergency powers statutes. The provisions can be broad or duplicative of other provisions in state law. </w:t>
      </w:r>
    </w:p>
    <w:p w14:paraId="7C038A6B" w14:textId="77777777" w:rsidR="00E47795" w:rsidRDefault="00E47795" w:rsidP="00EB12E6">
      <w:pPr>
        <w:spacing w:line="360" w:lineRule="auto"/>
        <w:rPr>
          <w:rFonts w:eastAsia="Times New Roman" w:cs="Arial"/>
          <w:b/>
          <w:bCs/>
          <w:color w:val="000000" w:themeColor="text1"/>
          <w:szCs w:val="20"/>
        </w:rPr>
      </w:pPr>
    </w:p>
    <w:p w14:paraId="2EE2381D"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General Volunteer Protection Statutes</w:t>
      </w:r>
    </w:p>
    <w:p w14:paraId="378F7326" w14:textId="77777777" w:rsidR="00E47795" w:rsidRPr="0099702B" w:rsidRDefault="00E47795" w:rsidP="00EB12E6">
      <w:pPr>
        <w:spacing w:line="360" w:lineRule="auto"/>
        <w:rPr>
          <w:rFonts w:eastAsia="Times New Roman" w:cs="Arial"/>
          <w:color w:val="000000" w:themeColor="text1"/>
          <w:szCs w:val="20"/>
        </w:rPr>
      </w:pPr>
      <w:r w:rsidRPr="0099702B">
        <w:rPr>
          <w:rFonts w:eastAsia="Times New Roman" w:cs="Arial"/>
          <w:color w:val="000000" w:themeColor="text1"/>
          <w:szCs w:val="20"/>
        </w:rPr>
        <w:t>All states have some statutory protections for volunteers. The federal VPA (see above) preempts state laws that are less protective than the VPA, but allows states to pass laws with greater protections. Generally, like the VPA, these statutes do not require that an emergency declaration be in place, apply to uncompensated individual volunteers for nonprofit and governmental entities only, and apply only to individual persons and not to organizations. However, because each state’s approach is different, it is important to identify what actors, actions, and liability protections are covered and those that are not under a specific state’s statute. </w:t>
      </w:r>
    </w:p>
    <w:p w14:paraId="15413EA4" w14:textId="77777777" w:rsidR="00E47795" w:rsidRDefault="00E47795" w:rsidP="00EB12E6">
      <w:pPr>
        <w:spacing w:line="360" w:lineRule="auto"/>
        <w:rPr>
          <w:rFonts w:eastAsia="Times New Roman" w:cs="Arial"/>
          <w:b/>
          <w:bCs/>
          <w:color w:val="000000" w:themeColor="text1"/>
          <w:szCs w:val="20"/>
        </w:rPr>
      </w:pPr>
    </w:p>
    <w:p w14:paraId="030CD826"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Healthcare Volunteer Protection Statutes</w:t>
      </w:r>
    </w:p>
    <w:p w14:paraId="1ECCD09F"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Many states have also adopted specific liability protections for volunteer health professionals (VHPs) in addition to or to supplement their emergency powers and general volunteer protection statutes. Like </w:t>
      </w:r>
      <w:r w:rsidRPr="0099702B">
        <w:rPr>
          <w:rFonts w:eastAsia="Times New Roman" w:cs="Arial"/>
          <w:color w:val="000000" w:themeColor="text1"/>
          <w:szCs w:val="20"/>
        </w:rPr>
        <w:lastRenderedPageBreak/>
        <w:t>the VPA, VHP protection statutes confer immunity to volunteers from civil liability provided that certain conditions are met and are not dependent on the existence of an emergency declaration. </w:t>
      </w:r>
    </w:p>
    <w:p w14:paraId="326C1AB0" w14:textId="77777777" w:rsidR="00E47795" w:rsidRDefault="00E47795" w:rsidP="00EB12E6">
      <w:pPr>
        <w:spacing w:line="360" w:lineRule="auto"/>
        <w:rPr>
          <w:rFonts w:eastAsia="Times New Roman" w:cs="Arial"/>
          <w:b/>
          <w:bCs/>
          <w:color w:val="000000" w:themeColor="text1"/>
          <w:szCs w:val="20"/>
        </w:rPr>
      </w:pPr>
    </w:p>
    <w:p w14:paraId="7848A1E2"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Uniform Emergency Volunteer Health Practitioners Act (UEVHPA)</w:t>
      </w:r>
    </w:p>
    <w:p w14:paraId="1577540A"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Some states have adopted the Uniform Emergency Volunteer Health Practitioners Act (UEVHPA), which is uniform model law adopted by the Uniform Law Commission. The UEVHPA was conceived as a way to further supplement the number of VHPs who can rapidly respond to emergency events, particularly since traditional mutual aid approaches were viewed as insufficient to rapidly deploy VHPs. The UEVHPA permits health professionals to register either in advance of or during an emergency to provide volunteer services in an enacting state. Under the UEVHPA, VHPs can register through governmentally established registration systems (e.g., ESAR-VHP or Medical Reserve Corps) or with registration systems established by disaster relief organizations, licensing boards, or national or multi-state systems established by associations of licensing boards or health professionals. UVEHPA liability protections become effective upon the state emergency declaration. </w:t>
      </w:r>
    </w:p>
    <w:p w14:paraId="1DDFBDB4" w14:textId="77777777" w:rsidR="00E47795" w:rsidRDefault="00E47795" w:rsidP="00EB12E6">
      <w:pPr>
        <w:spacing w:line="360" w:lineRule="auto"/>
        <w:rPr>
          <w:rFonts w:eastAsia="Times New Roman" w:cs="Arial"/>
          <w:b/>
          <w:bCs/>
          <w:color w:val="000000" w:themeColor="text1"/>
          <w:szCs w:val="20"/>
        </w:rPr>
      </w:pPr>
    </w:p>
    <w:p w14:paraId="2B7D7377"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Good Samaritan Laws</w:t>
      </w:r>
    </w:p>
    <w:p w14:paraId="06C3643E"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Good Samaritan laws can provide liability protection to volunteers who are near an emergency event and respond to help victims. No formal emergency declaration or activation of the volunteer as part of an emergency response force is required for Good Samaritan liability protections to attach. Every state has a Good Samaritan statute, but the actors eligible for coverage and qualifying circumstances under which care is delivered varies. Generally, Good Samaritan statutes cover the spontaneous rendering of aid and reduce the standard of care that would normally be required of the person supplying aid (e.g., a doctor or nurse helping a victim at the scene of an accident) to account for the exigent circumstances in which the care is being delivered. These laws generally do not apply to employees on duty (e.g., EMTs) and may not apply for pre-arranged or compensated volunteers. Good Samaritan laws provide limited immunity from civil liability for ordinary negligence to protected volunteers; they do not provide payment for defense costs, judgments, or settlements. As with other volunteer protection statutes, Good Samaritan laws do not cover egregious conduct. </w:t>
      </w:r>
    </w:p>
    <w:p w14:paraId="10E940FE" w14:textId="77777777" w:rsidR="00E47795" w:rsidRDefault="00E47795" w:rsidP="00EB12E6">
      <w:pPr>
        <w:spacing w:line="360" w:lineRule="auto"/>
        <w:rPr>
          <w:rFonts w:eastAsia="Times New Roman" w:cs="Arial"/>
          <w:b/>
          <w:bCs/>
          <w:color w:val="000000" w:themeColor="text1"/>
          <w:szCs w:val="20"/>
        </w:rPr>
      </w:pPr>
    </w:p>
    <w:p w14:paraId="5F6F1907"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Entity Liability Statutes</w:t>
      </w:r>
    </w:p>
    <w:p w14:paraId="442009B2" w14:textId="77777777" w:rsidR="00E47795" w:rsidRPr="0099702B" w:rsidRDefault="00E47795" w:rsidP="00EB12E6">
      <w:pPr>
        <w:shd w:val="clear" w:color="auto" w:fill="FFFFFF"/>
        <w:spacing w:after="120"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While liability protections for organizations and entities are generally less robust than they are for individuals, some entity protections exist and more have been developed in recent years in </w:t>
      </w:r>
      <w:r w:rsidRPr="0099702B">
        <w:rPr>
          <w:rFonts w:eastAsia="Times New Roman" w:cs="Arial"/>
          <w:color w:val="000000" w:themeColor="text1"/>
          <w:szCs w:val="20"/>
        </w:rPr>
        <w:lastRenderedPageBreak/>
        <w:t>acknowledgment of the important role that businesses and nonprofit organizations play during emergencies. Removing the potential for liability for entities that assist in an emergency response is seen as a way to ensure their participation in a response and therefore make planning for and responding to an event more efficient.</w:t>
      </w:r>
    </w:p>
    <w:p w14:paraId="1C20B793" w14:textId="77777777" w:rsidR="00E47795" w:rsidRDefault="00E47795" w:rsidP="00E47795">
      <w:pPr>
        <w:pStyle w:val="ListParagraph"/>
        <w:numPr>
          <w:ilvl w:val="0"/>
          <w:numId w:val="57"/>
        </w:numPr>
        <w:spacing w:line="360" w:lineRule="auto"/>
        <w:textAlignment w:val="baseline"/>
        <w:rPr>
          <w:rFonts w:eastAsia="Times New Roman" w:cs="Arial"/>
          <w:color w:val="000000" w:themeColor="text1"/>
          <w:szCs w:val="20"/>
        </w:rPr>
      </w:pPr>
      <w:r w:rsidRPr="003241AC">
        <w:rPr>
          <w:rFonts w:eastAsia="Times New Roman" w:cs="Arial"/>
          <w:b/>
          <w:bCs/>
          <w:color w:val="000000" w:themeColor="text1"/>
          <w:szCs w:val="20"/>
          <w:bdr w:val="none" w:sz="0" w:space="0" w:color="auto" w:frame="1"/>
        </w:rPr>
        <w:t>The Public/Private Legal Preparedness Initiative—</w:t>
      </w:r>
      <w:r w:rsidRPr="003241AC">
        <w:rPr>
          <w:rFonts w:eastAsia="Times New Roman" w:cs="Arial"/>
          <w:color w:val="000000" w:themeColor="text1"/>
          <w:szCs w:val="20"/>
        </w:rPr>
        <w:t>There has been an effort in recent years to extend Good Samaritan liability protections to entities. The Public/Private Legal Preparedness Initiative comprises various state-level coalitions of interested stakeholders from public health, emergency management, business, nonprofit entities, professional associations, and academia seeking to adopt Good Samaritan entity liability protections. Sample legislation that amends a state’s Good Samaritan law: (1) extends liability protection to cover business and nonprofit entities acting in good faith during an emergency; (2) links coverage to a gubernatorial emergency declaration; (3) applies coverage only where emergency activities are conducted in coordination with the state; and (4) includes coverage for pre-event planning and training activities that take place prior to the declared emergency.</w:t>
      </w:r>
    </w:p>
    <w:p w14:paraId="2E2F47F0" w14:textId="77777777" w:rsidR="00E47795" w:rsidRPr="003241AC" w:rsidRDefault="00E47795" w:rsidP="00EB12E6">
      <w:pPr>
        <w:pStyle w:val="ListParagraph"/>
        <w:spacing w:line="360" w:lineRule="auto"/>
        <w:ind w:left="360"/>
        <w:textAlignment w:val="baseline"/>
        <w:rPr>
          <w:rFonts w:eastAsia="Times New Roman" w:cs="Arial"/>
          <w:color w:val="000000" w:themeColor="text1"/>
          <w:szCs w:val="20"/>
        </w:rPr>
      </w:pPr>
    </w:p>
    <w:p w14:paraId="66E78B3E" w14:textId="77777777" w:rsidR="00E47795" w:rsidRPr="003241AC" w:rsidRDefault="00E47795" w:rsidP="00E47795">
      <w:pPr>
        <w:pStyle w:val="ListParagraph"/>
        <w:numPr>
          <w:ilvl w:val="0"/>
          <w:numId w:val="57"/>
        </w:numPr>
        <w:spacing w:line="360" w:lineRule="auto"/>
        <w:textAlignment w:val="baseline"/>
        <w:rPr>
          <w:rFonts w:eastAsia="Times New Roman" w:cs="Arial"/>
          <w:color w:val="000000" w:themeColor="text1"/>
          <w:szCs w:val="20"/>
        </w:rPr>
      </w:pPr>
      <w:r w:rsidRPr="003241AC">
        <w:rPr>
          <w:rFonts w:eastAsia="Times New Roman" w:cs="Arial"/>
          <w:b/>
          <w:bCs/>
          <w:color w:val="000000" w:themeColor="text1"/>
          <w:szCs w:val="20"/>
          <w:bdr w:val="none" w:sz="0" w:space="0" w:color="auto" w:frame="1"/>
        </w:rPr>
        <w:t>Uniform Emergency Volunteer Health Practitioners Act—</w:t>
      </w:r>
      <w:r w:rsidRPr="003241AC">
        <w:rPr>
          <w:rFonts w:eastAsia="Times New Roman" w:cs="Arial"/>
          <w:color w:val="000000" w:themeColor="text1"/>
          <w:szCs w:val="20"/>
        </w:rPr>
        <w:t>Another effort to provide entity liability protection is contained in UEVHPA. UEVHPA offers two alternatives to states for protecting volunteer health professionals during emergencies: Alternative A grants individual and entity liability protections for volunteer health professionals. Alternative B grants protection only to individuals who are uncompensated volunteers based on the criteria in the federal Volunteer Protection Act.</w:t>
      </w:r>
    </w:p>
    <w:p w14:paraId="5BD5A72F" w14:textId="77777777" w:rsidR="00E47795" w:rsidRDefault="00E47795" w:rsidP="00EB12E6">
      <w:pPr>
        <w:spacing w:line="360" w:lineRule="auto"/>
        <w:rPr>
          <w:rFonts w:eastAsia="Times New Roman" w:cs="Arial"/>
          <w:b/>
          <w:bCs/>
          <w:color w:val="000000" w:themeColor="text1"/>
          <w:szCs w:val="20"/>
        </w:rPr>
      </w:pPr>
    </w:p>
    <w:p w14:paraId="2E7B91DD" w14:textId="77777777" w:rsidR="00E47795" w:rsidRPr="0099702B" w:rsidRDefault="00E47795"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Mutual Aid Agreements</w:t>
      </w:r>
    </w:p>
    <w:p w14:paraId="55979251"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Mutual aid agreements are mechanisms through which jurisdictions can provide assistance to other jurisdictions during emergencies. These agreements also generally include provisions for reimbursing expenses, providing liability protections to governmental personnel and volunteers who provide aid, and awarding compensation for injuries to personnel deployed under the agreement.</w:t>
      </w:r>
    </w:p>
    <w:p w14:paraId="32D50EC2"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p>
    <w:p w14:paraId="32A40072" w14:textId="77777777" w:rsidR="00E47795" w:rsidRDefault="00E47795" w:rsidP="00E47795">
      <w:pPr>
        <w:pStyle w:val="ListParagraph"/>
        <w:numPr>
          <w:ilvl w:val="0"/>
          <w:numId w:val="58"/>
        </w:numPr>
        <w:spacing w:line="360" w:lineRule="auto"/>
        <w:textAlignment w:val="baseline"/>
        <w:rPr>
          <w:rFonts w:eastAsia="Times New Roman" w:cs="Arial"/>
          <w:color w:val="000000" w:themeColor="text1"/>
          <w:szCs w:val="20"/>
        </w:rPr>
      </w:pPr>
      <w:r w:rsidRPr="00C91B48">
        <w:rPr>
          <w:rFonts w:eastAsia="Times New Roman" w:cs="Arial"/>
          <w:b/>
          <w:bCs/>
          <w:color w:val="000000" w:themeColor="text1"/>
          <w:szCs w:val="20"/>
          <w:bdr w:val="none" w:sz="0" w:space="0" w:color="auto" w:frame="1"/>
        </w:rPr>
        <w:t>Emergency Management Assistance Compact—</w:t>
      </w:r>
      <w:r w:rsidRPr="00C91B48">
        <w:rPr>
          <w:rFonts w:eastAsia="Times New Roman" w:cs="Arial"/>
          <w:color w:val="000000" w:themeColor="text1"/>
          <w:szCs w:val="20"/>
        </w:rPr>
        <w:t xml:space="preserve">EMAC is the most widely adopted mutual aid agreement in the United Sates; it has been adopted by all states, the District of Columbia, and some territories. Congress ratified EMAC in 1996. EMAC provides an organized structure through which a state can request aid from other states during an emergency. Under EMAC, when officers or employees of one state provide aid to another state, they are considered to be agents of the state </w:t>
      </w:r>
      <w:r w:rsidRPr="00C91B48">
        <w:rPr>
          <w:rFonts w:eastAsia="Times New Roman" w:cs="Arial"/>
          <w:color w:val="000000" w:themeColor="text1"/>
          <w:szCs w:val="20"/>
        </w:rPr>
        <w:lastRenderedPageBreak/>
        <w:t>receiving aid for tort and immunity purposes. Covered individuals and the state itself are immune from tort liability for acts or omissions committed in good faith while rendering aid or providing supplies and equipment. EMAC also provides reciprocity for individuals who hold a license, certificate, or other authorization to practice medicine or other skilled professions to provide those services in the receiving state, subject to any limitations imposed by the receiving state. EMAC only applies to persons properly dispatched in response to an EMAC request. Immunity protections and license reciprocity will not automatically extend to volunteers who provide services outside of EMAC. Volunteers would have to be made temporary government employees to be covered under EMAC.</w:t>
      </w:r>
    </w:p>
    <w:p w14:paraId="58B1D254" w14:textId="77777777" w:rsidR="00E47795" w:rsidRPr="00C91B48" w:rsidRDefault="00E47795" w:rsidP="00EB12E6">
      <w:pPr>
        <w:pStyle w:val="ListParagraph"/>
        <w:spacing w:line="360" w:lineRule="auto"/>
        <w:ind w:left="360"/>
        <w:textAlignment w:val="baseline"/>
        <w:rPr>
          <w:rFonts w:eastAsia="Times New Roman" w:cs="Arial"/>
          <w:color w:val="000000" w:themeColor="text1"/>
          <w:szCs w:val="20"/>
        </w:rPr>
      </w:pPr>
    </w:p>
    <w:p w14:paraId="38DED435" w14:textId="77777777" w:rsidR="00E47795" w:rsidRPr="00C91B48" w:rsidRDefault="00E47795" w:rsidP="00E47795">
      <w:pPr>
        <w:pStyle w:val="ListParagraph"/>
        <w:numPr>
          <w:ilvl w:val="0"/>
          <w:numId w:val="58"/>
        </w:numPr>
        <w:spacing w:line="360" w:lineRule="auto"/>
        <w:textAlignment w:val="baseline"/>
        <w:rPr>
          <w:rFonts w:eastAsia="Times New Roman" w:cs="Arial"/>
          <w:color w:val="000000" w:themeColor="text1"/>
          <w:szCs w:val="20"/>
        </w:rPr>
      </w:pPr>
      <w:r w:rsidRPr="00C91B48">
        <w:rPr>
          <w:rFonts w:eastAsia="Times New Roman" w:cs="Arial"/>
          <w:b/>
          <w:bCs/>
          <w:color w:val="000000" w:themeColor="text1"/>
          <w:szCs w:val="20"/>
          <w:bdr w:val="none" w:sz="0" w:space="0" w:color="auto" w:frame="1"/>
        </w:rPr>
        <w:t>Other Mutual Aid Agreements—</w:t>
      </w:r>
      <w:r w:rsidRPr="00C91B48">
        <w:rPr>
          <w:rFonts w:eastAsia="Times New Roman" w:cs="Arial"/>
          <w:color w:val="000000" w:themeColor="text1"/>
          <w:szCs w:val="20"/>
        </w:rPr>
        <w:t>In addition to EMAC, emergency mutual aid agreements can exist between states and tribes, between individual states or groups of states, between localities in a state, or internationally. Depending on the particulars of the agreement, states may enter various mutual aid arrangements as another way to provide assistance to affected jurisdictions while providing liability protections to government employees and others participating in the response.</w:t>
      </w:r>
    </w:p>
    <w:p w14:paraId="577FBA1D" w14:textId="77777777" w:rsidR="00E47795" w:rsidRDefault="00E47795" w:rsidP="00EB12E6">
      <w:pPr>
        <w:spacing w:line="360" w:lineRule="auto"/>
        <w:rPr>
          <w:rFonts w:eastAsia="Times New Roman" w:cs="Arial"/>
          <w:b/>
          <w:bCs/>
          <w:color w:val="3C3030"/>
          <w:sz w:val="24"/>
          <w:szCs w:val="24"/>
        </w:rPr>
      </w:pPr>
    </w:p>
    <w:p w14:paraId="5A13C19A" w14:textId="77777777" w:rsidR="00E47795" w:rsidRPr="0099702B" w:rsidRDefault="00E47795"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Workers’ Compensation and Disability Issues</w:t>
      </w:r>
    </w:p>
    <w:p w14:paraId="42F70D55"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1AC74E4C"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Government employees, contractors, and volunteers may be injured and disabled during the course of responding to an emergency. A person’s ability to obtain workers’ compensation for injuries or lost wages is a significant question for those responding to emergency events. In deciding the issue, a number of factors can affect the analysis such as the parameters of a state’s workers’ compensation laws, the person’s status while responding (employee or volunteer), the systems or programs under which a person deploys, and events surrounding the injury. Sick leave and disability insurance may provide an additional or alternative source of compensation for persons involved in emergency response activities, although not all persons may have access to these mechanisms. </w:t>
      </w:r>
    </w:p>
    <w:p w14:paraId="6B1379F8" w14:textId="77777777" w:rsidR="00E47795" w:rsidRDefault="00E47795" w:rsidP="00EB12E6">
      <w:pPr>
        <w:spacing w:line="360" w:lineRule="auto"/>
        <w:rPr>
          <w:rFonts w:eastAsia="Times New Roman" w:cs="Arial"/>
          <w:b/>
          <w:bCs/>
          <w:color w:val="3C3030"/>
          <w:sz w:val="24"/>
          <w:szCs w:val="24"/>
        </w:rPr>
      </w:pPr>
    </w:p>
    <w:p w14:paraId="653B206B" w14:textId="77777777" w:rsidR="00E47795" w:rsidRPr="0099702B" w:rsidRDefault="00E47795"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Workers’ Compensation</w:t>
      </w:r>
    </w:p>
    <w:p w14:paraId="2857967E" w14:textId="77777777" w:rsidR="00E47795" w:rsidRPr="00C91B48" w:rsidRDefault="00E47795" w:rsidP="00EB12E6">
      <w:pPr>
        <w:shd w:val="clear" w:color="auto" w:fill="FFFFFF"/>
        <w:spacing w:line="360" w:lineRule="auto"/>
        <w:textAlignment w:val="baseline"/>
        <w:rPr>
          <w:rFonts w:eastAsia="Times New Roman" w:cs="Arial"/>
          <w:color w:val="000000" w:themeColor="text1"/>
          <w:szCs w:val="20"/>
        </w:rPr>
      </w:pPr>
    </w:p>
    <w:p w14:paraId="43352FA6"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Workers’ compensation programs provide benefits to workers who are injured during the scope and course of their employment. Workers’ compensation laws are enacted and administered by states. Every state, the District of Columbia, and the territories have a workers’ compensation program. Each </w:t>
      </w:r>
      <w:r w:rsidRPr="0099702B">
        <w:rPr>
          <w:rFonts w:eastAsia="Times New Roman" w:cs="Arial"/>
          <w:color w:val="000000" w:themeColor="text1"/>
          <w:szCs w:val="20"/>
        </w:rPr>
        <w:lastRenderedPageBreak/>
        <w:t>program is unique and the requirements for coverage and the types and amounts of benefits vary from state to state. Although state workers’ compensation programs cover a majority of workers, certain types of organizations or activities are exempted from coverage under workers’ compensation programs, including employees of nonprofit, charitable, or religious institutions; employees of small businesses under a specified size; and workers in hazardous occupations. Some states further exempt domestic service, agricultural employment, casual laborers, and state and local government employees. Some of these groups are provided coverage though other mechanisms such disability insurance that is provided by an employer as a full or partial benefit or negotiated through union agreements. </w:t>
      </w:r>
    </w:p>
    <w:p w14:paraId="6A71BEE8"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28B5AEB0"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Workers’ compensation is primarily an employer-funded system. Workers’ compensation laws require employers to purchase workers’ compensation insurance policies through state-sponsored or commercial insurance providers or provide coverage through self-insurance in which the employer demonstrates to the state its financial ability to cover potential liabilities. Before the advent of workers’ compensation laws, workers had to file tort claims against their employers in court to recover for injuries received on the job. The outcome of litigation was uncertain for workers, who could lose, and for employers, who could be subject to large judgments. Workers’ compensation laws were seen as a way to make the outcome of incidents more predictable for all parties: workers’ benefits would be paid without having to prove fault by the employer and the scope of potential liability for employers would be more clearly defined. State workers’ compensation systems became the exclusive remedy for injured workers. State compensation programs are administered by various regulatory bodies in different ways, including departments or divisions of labor, insurance departments or commissions, or free-standing commissions or special boards. Workers’ compensation is an important and significant source of insurance in the United States; only Social Security Disability Insurance (SSDI) and Medicare surpass state workers’ compensation programs as a source of support for disabled workers. </w:t>
      </w:r>
    </w:p>
    <w:p w14:paraId="5CFB58B2"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31869ECC"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Workers’ compensation programs have some similarities and differences from SSDI and Medicare in several respects. Generally, workers’ compensation: (1) covers medical expenses for work-related injuries immediately after an injury; (2) provides short-term or temporary disability benefits (e.g., lost wages) after a waiting period of up to one week; (3) pays permanent partial and total disability benefits; (4) provides rehabilitation and re-training benefits for persons who cannot return to their prior careers; and (5) pays survivor benefits. Workers are immediately eligible for workers’ compensation benefits from their first day of employment. </w:t>
      </w:r>
    </w:p>
    <w:p w14:paraId="1486D4CC"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139E640A"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SSDI provides benefits to workers with long-term disabilities arising from any cause, not just those that are work-related. In contrast to workers’ compensation, SSDI benefits require that workers have a substantial work history because SSDI is viewed as an earned right. SSDI benefits begin after a five-month waiting period; Medicare benefits begin twenty-nine months after the onset of a medically verified inability to work. SSDI only pays benefits when the nature of a person’s disabilities make them unable to engage in substantial paid work, although SSDI continues to pay benefits even if there is some limited self-employment or other work to transition the person back into full-time work. Like workers’ compensation, SSDI pays for rehabilitation services and survivor benefits to families of deceased workers. </w:t>
      </w:r>
    </w:p>
    <w:p w14:paraId="3E708383" w14:textId="77777777" w:rsidR="00E47795" w:rsidRDefault="00E47795" w:rsidP="00EB12E6">
      <w:pPr>
        <w:spacing w:line="360" w:lineRule="auto"/>
        <w:rPr>
          <w:rFonts w:eastAsia="Times New Roman" w:cs="Arial"/>
          <w:b/>
          <w:bCs/>
          <w:color w:val="3C3030"/>
          <w:sz w:val="24"/>
          <w:szCs w:val="24"/>
        </w:rPr>
      </w:pPr>
    </w:p>
    <w:p w14:paraId="7D72150C" w14:textId="77777777" w:rsidR="00E47795" w:rsidRPr="0099702B" w:rsidRDefault="00E47795"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Compensation Acts and Funds</w:t>
      </w:r>
    </w:p>
    <w:p w14:paraId="1C9E731C" w14:textId="77777777" w:rsidR="00E47795" w:rsidRPr="006D2E3A" w:rsidRDefault="00E47795" w:rsidP="00EB12E6">
      <w:pPr>
        <w:shd w:val="clear" w:color="auto" w:fill="FFFFFF"/>
        <w:spacing w:line="360" w:lineRule="auto"/>
        <w:textAlignment w:val="baseline"/>
        <w:rPr>
          <w:rFonts w:eastAsia="Times New Roman" w:cs="Arial"/>
          <w:color w:val="000000" w:themeColor="text1"/>
          <w:szCs w:val="20"/>
        </w:rPr>
      </w:pPr>
    </w:p>
    <w:p w14:paraId="05B2B57E" w14:textId="77777777" w:rsidR="00E47795" w:rsidRPr="0099702B" w:rsidRDefault="00E47795" w:rsidP="00EB12E6">
      <w:pPr>
        <w:shd w:val="clear" w:color="auto" w:fill="FFFFFF"/>
        <w:spacing w:after="120" w:line="360" w:lineRule="auto"/>
        <w:textAlignment w:val="baseline"/>
        <w:rPr>
          <w:rFonts w:eastAsia="Times New Roman" w:cs="Arial"/>
          <w:color w:val="000000" w:themeColor="text1"/>
          <w:szCs w:val="20"/>
        </w:rPr>
      </w:pPr>
      <w:r w:rsidRPr="0099702B">
        <w:rPr>
          <w:rFonts w:eastAsia="Times New Roman" w:cs="Arial"/>
          <w:color w:val="000000" w:themeColor="text1"/>
          <w:szCs w:val="20"/>
        </w:rPr>
        <w:t>There are federal and state laws that set up specific mechanisms or funds to compensate a specific group of persons based on occupation or involvement in a specific injurious event. Examples of such programs include:</w:t>
      </w:r>
    </w:p>
    <w:p w14:paraId="33E95EB8" w14:textId="77777777" w:rsidR="00E47795" w:rsidRPr="003422D5" w:rsidRDefault="00E47795" w:rsidP="00E47795">
      <w:pPr>
        <w:pStyle w:val="ListParagraph"/>
        <w:numPr>
          <w:ilvl w:val="0"/>
          <w:numId w:val="59"/>
        </w:numPr>
        <w:spacing w:line="360" w:lineRule="auto"/>
        <w:ind w:left="360"/>
        <w:textAlignment w:val="baseline"/>
        <w:rPr>
          <w:rFonts w:eastAsia="Times New Roman" w:cs="Arial"/>
          <w:color w:val="000000" w:themeColor="text1"/>
          <w:szCs w:val="20"/>
        </w:rPr>
      </w:pPr>
      <w:r w:rsidRPr="003422D5">
        <w:rPr>
          <w:rFonts w:eastAsia="Times New Roman" w:cs="Arial"/>
          <w:b/>
          <w:bCs/>
          <w:color w:val="000000" w:themeColor="text1"/>
          <w:szCs w:val="20"/>
          <w:bdr w:val="none" w:sz="0" w:space="0" w:color="auto" w:frame="1"/>
        </w:rPr>
        <w:t>The Federal Employees’ Compensation Act (FECA)—</w:t>
      </w:r>
      <w:r w:rsidRPr="003422D5">
        <w:rPr>
          <w:rFonts w:eastAsia="Times New Roman" w:cs="Arial"/>
          <w:color w:val="000000" w:themeColor="text1"/>
          <w:szCs w:val="20"/>
        </w:rPr>
        <w:t>FECA provides workers’ compensation to civilian federal employees who are injured or killed during the course of their duties. An injured employee, or the family of an injured employee, is entitled to coverage for medical services unless the injury was self-inflicted or occurred as a result of the employee’s own willful misconduct, including the employee’s intoxication. Volunteers who deploy under federal programs like the National Disaster Medical System are covered under FECA.</w:t>
      </w:r>
    </w:p>
    <w:p w14:paraId="1AE37850" w14:textId="77777777" w:rsidR="00E47795" w:rsidRPr="0099702B" w:rsidRDefault="00E47795" w:rsidP="00EB12E6">
      <w:pPr>
        <w:spacing w:line="360" w:lineRule="auto"/>
        <w:textAlignment w:val="baseline"/>
        <w:rPr>
          <w:rFonts w:eastAsia="Times New Roman" w:cs="Arial"/>
          <w:color w:val="000000" w:themeColor="text1"/>
          <w:szCs w:val="20"/>
        </w:rPr>
      </w:pPr>
    </w:p>
    <w:p w14:paraId="238B42C5" w14:textId="77777777" w:rsidR="00E47795" w:rsidRPr="003422D5" w:rsidRDefault="00E47795" w:rsidP="00E47795">
      <w:pPr>
        <w:pStyle w:val="ListParagraph"/>
        <w:numPr>
          <w:ilvl w:val="0"/>
          <w:numId w:val="59"/>
        </w:numPr>
        <w:spacing w:line="360" w:lineRule="auto"/>
        <w:ind w:left="360"/>
        <w:textAlignment w:val="baseline"/>
        <w:rPr>
          <w:rFonts w:eastAsia="Times New Roman" w:cs="Arial"/>
          <w:color w:val="000000" w:themeColor="text1"/>
          <w:szCs w:val="20"/>
        </w:rPr>
      </w:pPr>
      <w:r w:rsidRPr="003422D5">
        <w:rPr>
          <w:rFonts w:eastAsia="Times New Roman" w:cs="Arial"/>
          <w:b/>
          <w:bCs/>
          <w:color w:val="000000" w:themeColor="text1"/>
          <w:szCs w:val="20"/>
          <w:bdr w:val="none" w:sz="0" w:space="0" w:color="auto" w:frame="1"/>
        </w:rPr>
        <w:t>The Federal September 11th Victim Compensation Fund—</w:t>
      </w:r>
      <w:r w:rsidRPr="003422D5">
        <w:rPr>
          <w:rFonts w:eastAsia="Times New Roman" w:cs="Arial"/>
          <w:color w:val="000000" w:themeColor="text1"/>
          <w:szCs w:val="20"/>
        </w:rPr>
        <w:t>The fund, which is now closed, was provided as a no-fault alternative to tort litigation for individuals who were physically injured or killed as a result of the aircraft hijackings and crashes on September 11, 2001. The fund was designed to provide compensation for economic and noneconomic losses to individuals or relatives of deceased individuals arising from only physical injury or death; it did not cover other losses such as property loss.</w:t>
      </w:r>
    </w:p>
    <w:p w14:paraId="308D51C4" w14:textId="77777777" w:rsidR="00E47795" w:rsidRPr="0099702B" w:rsidRDefault="00E47795" w:rsidP="00EB12E6">
      <w:pPr>
        <w:spacing w:line="360" w:lineRule="auto"/>
        <w:textAlignment w:val="baseline"/>
        <w:rPr>
          <w:rFonts w:eastAsia="Times New Roman" w:cs="Arial"/>
          <w:color w:val="000000" w:themeColor="text1"/>
          <w:szCs w:val="20"/>
        </w:rPr>
      </w:pPr>
    </w:p>
    <w:p w14:paraId="388689A5" w14:textId="77777777" w:rsidR="00E47795" w:rsidRDefault="00E47795" w:rsidP="00E47795">
      <w:pPr>
        <w:pStyle w:val="ListParagraph"/>
        <w:numPr>
          <w:ilvl w:val="0"/>
          <w:numId w:val="59"/>
        </w:numPr>
        <w:spacing w:line="360" w:lineRule="auto"/>
        <w:ind w:left="360"/>
        <w:textAlignment w:val="baseline"/>
        <w:rPr>
          <w:rFonts w:eastAsia="Times New Roman" w:cs="Arial"/>
          <w:color w:val="000000" w:themeColor="text1"/>
          <w:szCs w:val="20"/>
        </w:rPr>
      </w:pPr>
      <w:r w:rsidRPr="003422D5">
        <w:rPr>
          <w:rFonts w:eastAsia="Times New Roman" w:cs="Arial"/>
          <w:b/>
          <w:bCs/>
          <w:color w:val="000000" w:themeColor="text1"/>
          <w:szCs w:val="20"/>
          <w:bdr w:val="none" w:sz="0" w:space="0" w:color="auto" w:frame="1"/>
        </w:rPr>
        <w:lastRenderedPageBreak/>
        <w:t>New York State Workers’ Compensation Board Claims for Participation in World Trade Center Rescue, Recovery, or Clean-Up Operations—</w:t>
      </w:r>
      <w:r w:rsidRPr="003422D5">
        <w:rPr>
          <w:rFonts w:eastAsia="Times New Roman" w:cs="Arial"/>
          <w:color w:val="000000" w:themeColor="text1"/>
          <w:szCs w:val="20"/>
        </w:rPr>
        <w:t>The New York state legislature enacted modifications to its workers’ compensation laws to expand the time for a participant in World Trade Center rescue, recovery, or clean-up operations who suffered, or may suffer in the future, from a qualifying condition to file a claim for workers' compensation for lost wages and medical benefits and to permit the board to reopen claims previously denied as untimely. </w:t>
      </w:r>
    </w:p>
    <w:p w14:paraId="1C5B56AF" w14:textId="77777777" w:rsidR="00E47795" w:rsidRPr="003422D5" w:rsidRDefault="00E47795" w:rsidP="00EB12E6">
      <w:pPr>
        <w:pStyle w:val="ListParagraph"/>
        <w:spacing w:line="360" w:lineRule="auto"/>
        <w:rPr>
          <w:rFonts w:eastAsia="Times New Roman" w:cs="Arial"/>
          <w:color w:val="000000" w:themeColor="text1"/>
          <w:szCs w:val="20"/>
        </w:rPr>
      </w:pPr>
    </w:p>
    <w:p w14:paraId="771945F2" w14:textId="77777777" w:rsidR="00E47795" w:rsidRPr="0099702B" w:rsidRDefault="00E47795" w:rsidP="00EB12E6">
      <w:pPr>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There are other federal workers’ compensation programs, including U.S. Department of Veterans Affairs’ programs for military veterans; the Longshore and Harbor Workers' Compensation Act; Energy Employees Occupational Illness Compensation Program Act; and the Black Lung Benefits Act for coal miners suffering from black lung disease.</w:t>
      </w:r>
    </w:p>
    <w:p w14:paraId="1F9D54F8" w14:textId="77777777" w:rsidR="00E47795" w:rsidRPr="00ED4B79" w:rsidRDefault="00E47795" w:rsidP="00EB12E6">
      <w:pPr>
        <w:spacing w:line="360" w:lineRule="auto"/>
        <w:rPr>
          <w:rFonts w:eastAsia="Times New Roman" w:cs="Arial"/>
          <w:bCs/>
          <w:color w:val="3C3030"/>
          <w:szCs w:val="24"/>
        </w:rPr>
      </w:pPr>
    </w:p>
    <w:p w14:paraId="71D171E7" w14:textId="77777777" w:rsidR="00E47795" w:rsidRPr="0099702B" w:rsidRDefault="00E47795"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Sick Leave and Disability Insurance</w:t>
      </w:r>
    </w:p>
    <w:p w14:paraId="0B0B9385" w14:textId="77777777" w:rsidR="00E47795" w:rsidRPr="00F557C7" w:rsidRDefault="00E47795" w:rsidP="00EB12E6">
      <w:pPr>
        <w:shd w:val="clear" w:color="auto" w:fill="FFFFFF"/>
        <w:spacing w:line="360" w:lineRule="auto"/>
        <w:textAlignment w:val="baseline"/>
        <w:rPr>
          <w:rFonts w:eastAsia="Times New Roman" w:cs="Arial"/>
          <w:color w:val="000000" w:themeColor="text1"/>
          <w:szCs w:val="20"/>
        </w:rPr>
      </w:pPr>
    </w:p>
    <w:p w14:paraId="56271EAC" w14:textId="77777777" w:rsidR="00E47795" w:rsidRPr="0099702B" w:rsidRDefault="00E47795" w:rsidP="00EB12E6">
      <w:pPr>
        <w:shd w:val="clear" w:color="auto" w:fill="FFFFFF"/>
        <w:spacing w:after="120" w:line="360" w:lineRule="auto"/>
        <w:textAlignment w:val="baseline"/>
        <w:rPr>
          <w:rFonts w:eastAsia="Times New Roman" w:cs="Arial"/>
          <w:color w:val="000000" w:themeColor="text1"/>
          <w:szCs w:val="20"/>
        </w:rPr>
      </w:pPr>
      <w:r w:rsidRPr="0099702B">
        <w:rPr>
          <w:rFonts w:eastAsia="Times New Roman" w:cs="Arial"/>
          <w:color w:val="000000" w:themeColor="text1"/>
          <w:szCs w:val="20"/>
        </w:rPr>
        <w:t>Some workers may have coverage for work-related or non-work-related injuries through paid sick leave, temporary disability benefits, and long-term disability insurance. Companies typically provide sick leave and disability insurance voluntarily, although it can be a negotiated benefit through union contracts; it is mandatory in only a few states. These benefits may provide an additional or alternative source of compensation for persons involved in emergency response activities whose status or activities during a response may not qualify them or fully qualify them for a state’s workers’ compensation program. The outcome in a given situation depends on the particulars of a state’s laws, the parameters of a disability policy, and the activities and role of the person while participating in the emergency response.</w:t>
      </w:r>
    </w:p>
    <w:p w14:paraId="35D07FA8" w14:textId="77777777" w:rsidR="00E47795" w:rsidRDefault="00E47795" w:rsidP="00E47795">
      <w:pPr>
        <w:pStyle w:val="ListParagraph"/>
        <w:numPr>
          <w:ilvl w:val="0"/>
          <w:numId w:val="60"/>
        </w:numPr>
        <w:spacing w:line="360" w:lineRule="auto"/>
        <w:textAlignment w:val="baseline"/>
        <w:rPr>
          <w:rFonts w:eastAsia="Times New Roman" w:cs="Arial"/>
          <w:color w:val="000000" w:themeColor="text1"/>
          <w:szCs w:val="20"/>
        </w:rPr>
      </w:pPr>
      <w:r w:rsidRPr="00F557C7">
        <w:rPr>
          <w:rFonts w:eastAsia="Times New Roman" w:cs="Arial"/>
          <w:b/>
          <w:bCs/>
          <w:color w:val="000000" w:themeColor="text1"/>
          <w:szCs w:val="20"/>
          <w:bdr w:val="none" w:sz="0" w:space="0" w:color="auto" w:frame="1"/>
        </w:rPr>
        <w:t>Sick Leave—</w:t>
      </w:r>
      <w:r w:rsidRPr="00F557C7">
        <w:rPr>
          <w:rFonts w:eastAsia="Times New Roman" w:cs="Arial"/>
          <w:color w:val="000000" w:themeColor="text1"/>
          <w:szCs w:val="20"/>
        </w:rPr>
        <w:t>If a person has employer-provided sick leave, it typically covers the total amount of their wages for a few weeks. About a third of private sector employees are not provided paid sick leave.</w:t>
      </w:r>
    </w:p>
    <w:p w14:paraId="1ABE1B56" w14:textId="77777777" w:rsidR="00E47795" w:rsidRPr="00F557C7" w:rsidRDefault="00E47795" w:rsidP="00EB12E6">
      <w:pPr>
        <w:pStyle w:val="ListParagraph"/>
        <w:spacing w:line="360" w:lineRule="auto"/>
        <w:ind w:left="360"/>
        <w:textAlignment w:val="baseline"/>
        <w:rPr>
          <w:rFonts w:eastAsia="Times New Roman" w:cs="Arial"/>
          <w:color w:val="000000" w:themeColor="text1"/>
          <w:szCs w:val="20"/>
        </w:rPr>
      </w:pPr>
    </w:p>
    <w:p w14:paraId="0A2B7AC7" w14:textId="77777777" w:rsidR="00E47795" w:rsidRDefault="00E47795" w:rsidP="00E47795">
      <w:pPr>
        <w:pStyle w:val="ListParagraph"/>
        <w:numPr>
          <w:ilvl w:val="0"/>
          <w:numId w:val="60"/>
        </w:numPr>
        <w:spacing w:line="360" w:lineRule="auto"/>
        <w:textAlignment w:val="baseline"/>
        <w:rPr>
          <w:rFonts w:eastAsia="Times New Roman" w:cs="Arial"/>
          <w:color w:val="000000" w:themeColor="text1"/>
          <w:szCs w:val="20"/>
        </w:rPr>
      </w:pPr>
      <w:r w:rsidRPr="00F557C7">
        <w:rPr>
          <w:rFonts w:eastAsia="Times New Roman" w:cs="Arial"/>
          <w:b/>
          <w:bCs/>
          <w:color w:val="000000" w:themeColor="text1"/>
          <w:szCs w:val="20"/>
          <w:bdr w:val="none" w:sz="0" w:space="0" w:color="auto" w:frame="1"/>
        </w:rPr>
        <w:t>Short-Term Disability—</w:t>
      </w:r>
      <w:r w:rsidRPr="00F557C7">
        <w:rPr>
          <w:rFonts w:eastAsia="Times New Roman" w:cs="Arial"/>
          <w:color w:val="000000" w:themeColor="text1"/>
          <w:szCs w:val="20"/>
        </w:rPr>
        <w:t>Short-term disability benefits or disability insurance provides coverage for the period after sick leave benefits are exhausted and until long-term disability becomes available, if needed. Short-term disability benefits/insurance generally covers up to at least half of a worker’s wages for up to six months. Private short-term disability insurance covers more than a third of private sector employees.</w:t>
      </w:r>
    </w:p>
    <w:p w14:paraId="4111D12D" w14:textId="77777777" w:rsidR="00E47795" w:rsidRPr="00F557C7" w:rsidRDefault="00E47795" w:rsidP="00EB12E6">
      <w:pPr>
        <w:spacing w:line="360" w:lineRule="auto"/>
        <w:textAlignment w:val="baseline"/>
        <w:rPr>
          <w:rFonts w:eastAsia="Times New Roman" w:cs="Arial"/>
          <w:color w:val="000000" w:themeColor="text1"/>
          <w:szCs w:val="20"/>
        </w:rPr>
      </w:pPr>
    </w:p>
    <w:p w14:paraId="63927D9E" w14:textId="77777777" w:rsidR="00E47795" w:rsidRDefault="00E47795" w:rsidP="00E47795">
      <w:pPr>
        <w:pStyle w:val="ListParagraph"/>
        <w:numPr>
          <w:ilvl w:val="0"/>
          <w:numId w:val="60"/>
        </w:numPr>
        <w:spacing w:line="360" w:lineRule="auto"/>
        <w:textAlignment w:val="baseline"/>
        <w:rPr>
          <w:rFonts w:eastAsia="Times New Roman" w:cs="Arial"/>
          <w:color w:val="000000" w:themeColor="text1"/>
          <w:szCs w:val="20"/>
        </w:rPr>
      </w:pPr>
      <w:r w:rsidRPr="00F557C7">
        <w:rPr>
          <w:rFonts w:eastAsia="Times New Roman" w:cs="Arial"/>
          <w:b/>
          <w:bCs/>
          <w:color w:val="000000" w:themeColor="text1"/>
          <w:szCs w:val="20"/>
          <w:bdr w:val="none" w:sz="0" w:space="0" w:color="auto" w:frame="1"/>
        </w:rPr>
        <w:lastRenderedPageBreak/>
        <w:t>Long-Term Disability—</w:t>
      </w:r>
      <w:r w:rsidRPr="00F557C7">
        <w:rPr>
          <w:rFonts w:eastAsia="Times New Roman" w:cs="Arial"/>
          <w:color w:val="000000" w:themeColor="text1"/>
          <w:szCs w:val="20"/>
        </w:rPr>
        <w:t>Long-term disability for persons deemed permanently unable to work usually begins after a waiting period of up to six months or short-term disability benefits end. Long-term disability insurance generally replaces at least half or more of a disabled worker’s wages until the person reaches retirement age. Private long-term disability insurance covers about a third of private sector employees; it is most commonly held by professional and management-level workers. The benefit an injured worker receives is generally reduced if the person receives workers’ compensation or Social Security disability benefits.</w:t>
      </w:r>
    </w:p>
    <w:p w14:paraId="05EA012D" w14:textId="77777777" w:rsidR="00E47795" w:rsidRPr="00F557C7" w:rsidRDefault="00E47795" w:rsidP="00EB12E6">
      <w:pPr>
        <w:spacing w:line="360" w:lineRule="auto"/>
        <w:textAlignment w:val="baseline"/>
        <w:rPr>
          <w:rFonts w:eastAsia="Times New Roman" w:cs="Arial"/>
          <w:color w:val="000000" w:themeColor="text1"/>
          <w:szCs w:val="20"/>
        </w:rPr>
      </w:pPr>
    </w:p>
    <w:p w14:paraId="7D3BC89A" w14:textId="77777777" w:rsidR="00E47795" w:rsidRPr="0099702B"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While sick leave and disability insurance provide another avenue for benefits if a volunteer or responder is unable to qualify for coverage under a state’s workers’ compensation program, not all persons have access to these additional resources unless an employer offers them or a person obtains an individual disability policy. The specifics of a disability policy dictate whether coverage is available for only work-related injuries or will also cover non-work-related injuries (e.g., while volunteering during an emergency event). </w:t>
      </w:r>
    </w:p>
    <w:p w14:paraId="798BB10E" w14:textId="77777777" w:rsidR="00E47795" w:rsidRDefault="00E47795" w:rsidP="00EB12E6">
      <w:pPr>
        <w:spacing w:line="360" w:lineRule="auto"/>
        <w:rPr>
          <w:rFonts w:eastAsia="Times New Roman" w:cs="Arial"/>
          <w:b/>
          <w:bCs/>
          <w:color w:val="3C3030"/>
          <w:sz w:val="24"/>
          <w:szCs w:val="24"/>
        </w:rPr>
      </w:pPr>
    </w:p>
    <w:p w14:paraId="7F1462B0" w14:textId="77777777" w:rsidR="00E47795" w:rsidRPr="0099702B" w:rsidRDefault="00E47795"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Key Issues Regarding Workers’ Compensation in Emergency Response</w:t>
      </w:r>
    </w:p>
    <w:p w14:paraId="4C1AFCD6" w14:textId="77777777" w:rsidR="00E47795" w:rsidRPr="00CA7A57" w:rsidRDefault="00E47795" w:rsidP="00EB12E6">
      <w:pPr>
        <w:shd w:val="clear" w:color="auto" w:fill="FFFFFF"/>
        <w:spacing w:line="360" w:lineRule="auto"/>
        <w:textAlignment w:val="baseline"/>
        <w:rPr>
          <w:rFonts w:eastAsia="Times New Roman" w:cs="Arial"/>
          <w:color w:val="000000" w:themeColor="text1"/>
          <w:szCs w:val="20"/>
        </w:rPr>
      </w:pPr>
    </w:p>
    <w:p w14:paraId="4262842B"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Because of the variability in state laws and other factors related to the activities and status of an individual participating in an emergency response, a single determination of eligibility for compensation is not possible. Instead, such an analysis must consider a number of factors when addressing workers’ compensation issues within the context of an emergency response scenario. </w:t>
      </w:r>
    </w:p>
    <w:p w14:paraId="58754B13"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26CDEF7F"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Which state’s law applies? </w:t>
      </w:r>
      <w:r w:rsidRPr="0099702B">
        <w:rPr>
          <w:rFonts w:eastAsia="Times New Roman" w:cs="Arial"/>
          <w:color w:val="000000" w:themeColor="text1"/>
          <w:szCs w:val="20"/>
        </w:rPr>
        <w:t>When a person responds to an emergency in another state, an issue can arise as to which state’s workers’ compensation law should apply if the responder is injured—the state receiving the aid (host state) or the injured responder’s home state. Some deployment mechanisms and mutual aid agreements determine this issue in advance. EMAC stipulates that the state providing assistance (the home state) is responsible for paying compensation and death benefits in the same manner and terms as if the injury or death were sustained in the home state. UEVHPA, discussed above, also addresses workers’ compensation issues. It provides that any volunteer health professional harmed or killed during an emergency may elect workers’ compensation protections of the host state as a payer of last resort. State emergency response and other volunteer protection statutes may require the issuance of a state or federally declared emergency before compensation coverage is available. </w:t>
      </w:r>
    </w:p>
    <w:p w14:paraId="45699B93"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7F823854"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Who is covered under a state’s workers’ compensation law?</w:t>
      </w:r>
      <w:r w:rsidRPr="0099702B">
        <w:rPr>
          <w:rFonts w:eastAsia="Times New Roman" w:cs="Arial"/>
          <w:color w:val="000000" w:themeColor="text1"/>
          <w:szCs w:val="20"/>
        </w:rPr>
        <w:t> State workers’ compensation laws can expressly exclude coverage for volunteers. In the absence of a state law extending workers’ compensation to volunteers, unpaid persons involved in an emergency response are not covered because they are not “employees.” Some state laws that address volunteer health professionals in emergencies may include compensation, but this benefit may be mitigated if coverage is optional and an employer exercises a right to opt out or if the VHP in not appropriately registered with a volunteer registration system recognized by the state. </w:t>
      </w:r>
    </w:p>
    <w:p w14:paraId="41B7FE3A"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4AA0DFE5"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Who is the employer? </w:t>
      </w:r>
      <w:r w:rsidRPr="0099702B">
        <w:rPr>
          <w:rFonts w:eastAsia="Times New Roman" w:cs="Arial"/>
          <w:color w:val="000000" w:themeColor="text1"/>
          <w:szCs w:val="20"/>
        </w:rPr>
        <w:t>Determining who the “employer” of a volunteer or other person deployed in an emergency response situation is can dictate both which state law applies (if it is an interstate deployment) and what entity, if any, is responsible for paying compensation to an injured responder. A volunteer’s regular employer is not likely to be responsible for injuries to the volunteer because the volunteer is acting outside the course of his or her employment unless the employer offers to provide coverage. The hosting employer (which may be the state or municipal government where the volunteer is deployed) or the host institution (e.g., hospital) may be responsible for paying workers’ compensation. </w:t>
      </w:r>
    </w:p>
    <w:p w14:paraId="18BA3274"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3A2E52F3"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What scope of activities are covered?</w:t>
      </w:r>
      <w:r w:rsidRPr="0099702B">
        <w:rPr>
          <w:rFonts w:eastAsia="Times New Roman" w:cs="Arial"/>
          <w:color w:val="000000" w:themeColor="text1"/>
          <w:szCs w:val="20"/>
        </w:rPr>
        <w:t> Eligibility for workers’ compensation benefits may be limited to injuries that occur within the scope of the responder’s employment. Determining what activities are within that scope, especially since the activities may occur under extreme conditions, is important in assessing eligibility for coverage. Further, it may be necessary to determine if the injury occurred when the responder was actively engaged in the task for which they were deployed (e.g., providing healthcare, assessing sanitary conditions) as opposed to some other activity incident to the deployment (e.g., meeting, loading, training, cooking). </w:t>
      </w:r>
    </w:p>
    <w:p w14:paraId="1E3100B5"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p>
    <w:p w14:paraId="58F4DDB8" w14:textId="77777777" w:rsidR="00E47795" w:rsidRDefault="00E47795" w:rsidP="00EB12E6">
      <w:pPr>
        <w:shd w:val="clear" w:color="auto" w:fill="FFFFFF"/>
        <w:spacing w:line="360" w:lineRule="auto"/>
        <w:textAlignment w:val="baseline"/>
        <w:rPr>
          <w:rFonts w:eastAsia="Times New Roman" w:cs="Arial"/>
          <w:color w:val="000000" w:themeColor="text1"/>
          <w:szCs w:val="20"/>
        </w:rPr>
      </w:pPr>
      <w:r>
        <w:rPr>
          <w:rFonts w:eastAsia="Times New Roman" w:cs="Arial"/>
          <w:color w:val="000000" w:themeColor="text1"/>
          <w:szCs w:val="20"/>
        </w:rPr>
        <w:t>____________________________________________________________________________</w:t>
      </w:r>
    </w:p>
    <w:p w14:paraId="44EABE00" w14:textId="77777777" w:rsidR="00E47795" w:rsidRDefault="00E47795" w:rsidP="00EB12E6">
      <w:pPr>
        <w:spacing w:line="360" w:lineRule="auto"/>
        <w:rPr>
          <w:rFonts w:eastAsia="Times New Roman" w:cs="Arial"/>
          <w:b/>
          <w:bCs/>
          <w:color w:val="3C3030"/>
          <w:sz w:val="24"/>
          <w:szCs w:val="24"/>
        </w:rPr>
      </w:pPr>
    </w:p>
    <w:p w14:paraId="7C87DDE3" w14:textId="77777777" w:rsidR="00E47795" w:rsidRPr="0099702B" w:rsidRDefault="00E47795"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Sources</w:t>
      </w:r>
    </w:p>
    <w:p w14:paraId="03585025" w14:textId="77777777" w:rsidR="00E47795" w:rsidRPr="00A76ED3" w:rsidRDefault="00E47795" w:rsidP="00EB12E6">
      <w:pPr>
        <w:spacing w:after="40" w:line="360" w:lineRule="auto"/>
        <w:rPr>
          <w:rFonts w:eastAsia="Times New Roman" w:cs="Arial"/>
          <w:b/>
          <w:bCs/>
          <w:color w:val="000000" w:themeColor="text1"/>
          <w:szCs w:val="20"/>
        </w:rPr>
      </w:pPr>
    </w:p>
    <w:p w14:paraId="6E074686" w14:textId="77777777" w:rsidR="00E47795" w:rsidRPr="0099702B" w:rsidRDefault="00E47795" w:rsidP="00EB12E6">
      <w:pPr>
        <w:spacing w:after="40" w:line="360" w:lineRule="auto"/>
        <w:rPr>
          <w:rFonts w:eastAsia="Times New Roman" w:cs="Arial"/>
          <w:b/>
          <w:bCs/>
          <w:color w:val="000000" w:themeColor="text1"/>
          <w:szCs w:val="20"/>
        </w:rPr>
      </w:pPr>
      <w:r w:rsidRPr="0099702B">
        <w:rPr>
          <w:rFonts w:eastAsia="Times New Roman" w:cs="Arial"/>
          <w:b/>
          <w:bCs/>
          <w:color w:val="000000" w:themeColor="text1"/>
          <w:szCs w:val="20"/>
        </w:rPr>
        <w:t>Laws and Statutes</w:t>
      </w:r>
    </w:p>
    <w:p w14:paraId="28296D87"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lastRenderedPageBreak/>
        <w:t>American with Disabilities Act, as amended, Titles II and III, Pub. L. No. 110-325. Codified at 42 U.S.C. §126.</w:t>
      </w:r>
    </w:p>
    <w:p w14:paraId="585BAEC8"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Civil Rights Act, as amended, Section 1983. Codified at 42 U.S.C. §1983.</w:t>
      </w:r>
    </w:p>
    <w:p w14:paraId="504D0739"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Emergency Management Assistance Compact, Pub. L. No. 104-321.</w:t>
      </w:r>
    </w:p>
    <w:p w14:paraId="361AE402"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Emergency Medical Treatment and Labor Act, as amended. Codified at 42 U.S.C. §1395dd.</w:t>
      </w:r>
    </w:p>
    <w:p w14:paraId="40A9F373"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Family Educational Rights and Privacy Act, as amended. Codified at 20 U.S.C. § 1232g.</w:t>
      </w:r>
    </w:p>
    <w:p w14:paraId="52ED4AA2"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Federal Employees’ Compensation Act of 1993, Pub. L. No. 103-5. Codified at 5 U.S.C. §8101 et seq.</w:t>
      </w:r>
    </w:p>
    <w:p w14:paraId="74550A1B"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Federal Tort Claims Act, as amended. Codified at 28 U.S.C. §§1346(b), 2671-2680.</w:t>
      </w:r>
    </w:p>
    <w:p w14:paraId="7D71A52A"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Health Insurance Portability and Accountability Act of 1996, Pub. L. No. 104-191. Codified at 42 U.S.C. §1320d et seq. and §300gg; and 29 U.S.C §1181 et seq.</w:t>
      </w:r>
    </w:p>
    <w:p w14:paraId="0BDA4A1A"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Pandemic and All-Hazards Preparedness Act of 2006, Pub. L. No. 109-417. Codified, in part, in the Public Health Service Act, 42 U.S.C. §201 et seq.</w:t>
      </w:r>
    </w:p>
    <w:p w14:paraId="50597513"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Public Health Service Act, Section 319. Codified at 42 U.S.C. §247d.</w:t>
      </w:r>
    </w:p>
    <w:p w14:paraId="12ED4B7F"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Public Readiness and Emergency Preparedness Act of 2005. Pub. L. No. 109-417. Codified in the Public Health Service Act at 42 U.S.C. §§247d-6d, 247d-6e.</w:t>
      </w:r>
    </w:p>
    <w:p w14:paraId="347608B3"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Social Security Act, Section 1135, as amended. Codified at 42 U.S.C. §1320b-5.</w:t>
      </w:r>
    </w:p>
    <w:p w14:paraId="2F389265"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Volunteer Protection Act of 1977, Pub. L. No. Pub. L. 105-19. Codified at 42 USC §14501 et seq.</w:t>
      </w:r>
    </w:p>
    <w:p w14:paraId="2854FE97" w14:textId="77777777" w:rsidR="00E47795" w:rsidRPr="00A76ED3" w:rsidRDefault="00E47795" w:rsidP="00F21AA2">
      <w:pPr>
        <w:spacing w:after="40" w:line="360" w:lineRule="auto"/>
        <w:rPr>
          <w:rFonts w:eastAsia="Times New Roman" w:cs="Arial"/>
          <w:b/>
          <w:bCs/>
          <w:color w:val="000000" w:themeColor="text1"/>
          <w:szCs w:val="20"/>
        </w:rPr>
      </w:pPr>
    </w:p>
    <w:p w14:paraId="5FB7AEC9" w14:textId="77777777" w:rsidR="00E47795" w:rsidRPr="00F21AA2" w:rsidRDefault="00E47795" w:rsidP="00F21AA2">
      <w:pPr>
        <w:pStyle w:val="ListParagraph"/>
        <w:numPr>
          <w:ilvl w:val="0"/>
          <w:numId w:val="64"/>
        </w:numPr>
        <w:spacing w:line="360" w:lineRule="auto"/>
        <w:ind w:left="360"/>
        <w:rPr>
          <w:rFonts w:eastAsia="Times New Roman" w:cs="Arial"/>
          <w:b/>
          <w:bCs/>
          <w:color w:val="000000" w:themeColor="text1"/>
          <w:szCs w:val="20"/>
        </w:rPr>
      </w:pPr>
      <w:r w:rsidRPr="00F21AA2">
        <w:rPr>
          <w:rFonts w:eastAsia="Times New Roman" w:cs="Arial"/>
          <w:b/>
          <w:bCs/>
          <w:color w:val="000000" w:themeColor="text1"/>
          <w:szCs w:val="20"/>
        </w:rPr>
        <w:t>Other Sources</w:t>
      </w:r>
    </w:p>
    <w:p w14:paraId="24B93D3F"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Centers for Disease Control and Prevention, Public Health Law Program. “Selected Federal Legal Authorities Pertinent to Public Health Emergencies.” September 2009. Available at </w:t>
      </w:r>
      <w:hyperlink r:id="rId126" w:tooltip="http://www2a.cdc.gov/phlp/EmergencyPrep/fedauthor.asp" w:history="1">
        <w:r w:rsidRPr="0099702B">
          <w:rPr>
            <w:rFonts w:eastAsia="Times New Roman" w:cs="Arial"/>
            <w:color w:val="0F88B8"/>
            <w:szCs w:val="20"/>
            <w:bdr w:val="none" w:sz="0" w:space="0" w:color="auto" w:frame="1"/>
          </w:rPr>
          <w:t>www.cdc.gov/phlp/docs/ph-emergencies.pdf</w:t>
        </w:r>
      </w:hyperlink>
      <w:r w:rsidRPr="0099702B">
        <w:rPr>
          <w:rFonts w:eastAsia="Times New Roman" w:cs="Arial"/>
          <w:color w:val="737373"/>
          <w:szCs w:val="20"/>
        </w:rPr>
        <w:t xml:space="preserve"> . </w:t>
      </w:r>
      <w:r w:rsidRPr="0099702B">
        <w:rPr>
          <w:rFonts w:eastAsia="Times New Roman" w:cs="Arial"/>
          <w:color w:val="000000" w:themeColor="text1"/>
          <w:szCs w:val="20"/>
        </w:rPr>
        <w:t>Accessed May 30, 2013. </w:t>
      </w:r>
    </w:p>
    <w:p w14:paraId="716F66C3"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Centers for Disease Control and Prevention, Public Health Law Program. “Federal Public Health Emergency Law: Implications for State and Local Preparedness and Response” Facilitated Teleconference. April 28, 2009. Available at </w:t>
      </w:r>
      <w:hyperlink r:id="rId127" w:history="1">
        <w:r w:rsidRPr="0099702B">
          <w:rPr>
            <w:rFonts w:eastAsia="Times New Roman" w:cs="Arial"/>
            <w:color w:val="0F88B8"/>
            <w:szCs w:val="20"/>
            <w:bdr w:val="none" w:sz="0" w:space="0" w:color="auto" w:frame="1"/>
          </w:rPr>
          <w:t>www.bt.cdc.gov/coca/ppt/Federal_PH_Emergency_Law_042809.pps</w:t>
        </w:r>
      </w:hyperlink>
      <w:r w:rsidRPr="0099702B">
        <w:rPr>
          <w:rFonts w:eastAsia="Times New Roman" w:cs="Arial"/>
          <w:color w:val="737373"/>
          <w:szCs w:val="20"/>
        </w:rPr>
        <w:t xml:space="preserve"> . </w:t>
      </w:r>
      <w:r w:rsidRPr="0099702B">
        <w:rPr>
          <w:rFonts w:eastAsia="Times New Roman" w:cs="Arial"/>
          <w:color w:val="000000" w:themeColor="text1"/>
          <w:szCs w:val="20"/>
        </w:rPr>
        <w:t>Accessed May 30, 2013.</w:t>
      </w:r>
    </w:p>
    <w:p w14:paraId="59C62E9D"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Chu V. Congressional Research Service. </w:t>
      </w:r>
      <w:r w:rsidRPr="0099702B">
        <w:rPr>
          <w:rFonts w:eastAsia="Times New Roman" w:cs="Arial"/>
          <w:i/>
          <w:iCs/>
          <w:color w:val="000000" w:themeColor="text1"/>
          <w:szCs w:val="20"/>
          <w:bdr w:val="none" w:sz="0" w:space="0" w:color="auto" w:frame="1"/>
        </w:rPr>
        <w:t>Emergency Response: Civil Liability of Volunteer Health Professionals </w:t>
      </w:r>
      <w:r w:rsidRPr="0099702B">
        <w:rPr>
          <w:rFonts w:eastAsia="Times New Roman" w:cs="Arial"/>
          <w:color w:val="000000" w:themeColor="text1"/>
          <w:szCs w:val="20"/>
        </w:rPr>
        <w:t>(R40176). January 19, 2011. Available at</w:t>
      </w:r>
      <w:r w:rsidRPr="0099702B">
        <w:rPr>
          <w:rFonts w:eastAsia="Times New Roman" w:cs="Arial"/>
          <w:color w:val="737373"/>
          <w:szCs w:val="20"/>
        </w:rPr>
        <w:t> </w:t>
      </w:r>
      <w:hyperlink r:id="rId128" w:history="1">
        <w:r w:rsidRPr="0099702B">
          <w:rPr>
            <w:rFonts w:eastAsia="Times New Roman" w:cs="Arial"/>
            <w:color w:val="0F88B8"/>
            <w:szCs w:val="20"/>
            <w:bdr w:val="none" w:sz="0" w:space="0" w:color="auto" w:frame="1"/>
          </w:rPr>
          <w:t>https://opencrs.com/document/R40176/</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22F72CE8"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proofErr w:type="spellStart"/>
      <w:r w:rsidRPr="0099702B">
        <w:rPr>
          <w:rFonts w:eastAsia="Times New Roman" w:cs="Arial"/>
          <w:color w:val="000000" w:themeColor="text1"/>
          <w:szCs w:val="20"/>
        </w:rPr>
        <w:lastRenderedPageBreak/>
        <w:t>Swendiman</w:t>
      </w:r>
      <w:proofErr w:type="spellEnd"/>
      <w:r w:rsidRPr="0099702B">
        <w:rPr>
          <w:rFonts w:eastAsia="Times New Roman" w:cs="Arial"/>
          <w:color w:val="000000" w:themeColor="text1"/>
          <w:szCs w:val="20"/>
        </w:rPr>
        <w:t xml:space="preserve"> K and Jones NL. Congressional Research Service.</w:t>
      </w:r>
      <w:r w:rsidRPr="0099702B">
        <w:rPr>
          <w:rFonts w:eastAsia="Times New Roman" w:cs="Arial"/>
          <w:i/>
          <w:iCs/>
          <w:color w:val="000000" w:themeColor="text1"/>
          <w:szCs w:val="20"/>
          <w:bdr w:val="none" w:sz="0" w:space="0" w:color="auto" w:frame="1"/>
        </w:rPr>
        <w:t> The 2009 Influenza Pandemic: Selected Legal Issues </w:t>
      </w:r>
      <w:r w:rsidRPr="0099702B">
        <w:rPr>
          <w:rFonts w:eastAsia="Times New Roman" w:cs="Arial"/>
          <w:color w:val="000000" w:themeColor="text1"/>
          <w:szCs w:val="20"/>
        </w:rPr>
        <w:t>(R40560). October 29, 2009. Available at </w:t>
      </w:r>
      <w:hyperlink r:id="rId129" w:history="1">
        <w:r w:rsidRPr="0099702B">
          <w:rPr>
            <w:rFonts w:eastAsia="Times New Roman" w:cs="Arial"/>
            <w:color w:val="0F88B8"/>
            <w:szCs w:val="20"/>
            <w:bdr w:val="none" w:sz="0" w:space="0" w:color="auto" w:frame="1"/>
          </w:rPr>
          <w:t>https://opencrs.com/document/R40560/</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7F827B05"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 xml:space="preserve">Farber DA. “Disaster Law and Inequality.” 25 Law &amp; </w:t>
      </w:r>
      <w:proofErr w:type="spellStart"/>
      <w:r w:rsidRPr="0099702B">
        <w:rPr>
          <w:rFonts w:eastAsia="Times New Roman" w:cs="Arial"/>
          <w:color w:val="000000" w:themeColor="text1"/>
          <w:szCs w:val="20"/>
        </w:rPr>
        <w:t>Ineq</w:t>
      </w:r>
      <w:proofErr w:type="spellEnd"/>
      <w:r w:rsidRPr="0099702B">
        <w:rPr>
          <w:rFonts w:eastAsia="Times New Roman" w:cs="Arial"/>
          <w:color w:val="000000" w:themeColor="text1"/>
          <w:szCs w:val="20"/>
        </w:rPr>
        <w:t>. 297 (2007).</w:t>
      </w:r>
    </w:p>
    <w:p w14:paraId="4BB67E9A"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Federal Emergency Management Agency. </w:t>
      </w:r>
      <w:r w:rsidRPr="0099702B">
        <w:rPr>
          <w:rFonts w:eastAsia="Times New Roman" w:cs="Arial"/>
          <w:i/>
          <w:iCs/>
          <w:color w:val="000000" w:themeColor="text1"/>
          <w:szCs w:val="20"/>
          <w:bdr w:val="none" w:sz="0" w:space="0" w:color="auto" w:frame="1"/>
        </w:rPr>
        <w:t>Citizen Corps Volunteer Liability Guide</w:t>
      </w:r>
      <w:r w:rsidRPr="0099702B">
        <w:rPr>
          <w:rFonts w:eastAsia="Times New Roman" w:cs="Arial"/>
          <w:color w:val="000000" w:themeColor="text1"/>
          <w:szCs w:val="20"/>
        </w:rPr>
        <w:t>. Undated. Available at</w:t>
      </w:r>
      <w:r w:rsidRPr="0099702B">
        <w:rPr>
          <w:rFonts w:eastAsia="Times New Roman" w:cs="Arial"/>
          <w:color w:val="737373"/>
          <w:szCs w:val="20"/>
        </w:rPr>
        <w:t> </w:t>
      </w:r>
      <w:hyperlink r:id="rId130" w:tooltip="www.citizencorps.gov" w:history="1">
        <w:r w:rsidRPr="0099702B">
          <w:rPr>
            <w:rFonts w:eastAsia="Times New Roman" w:cs="Arial"/>
            <w:color w:val="0F88B8"/>
            <w:szCs w:val="20"/>
            <w:bdr w:val="none" w:sz="0" w:space="0" w:color="auto" w:frame="1"/>
          </w:rPr>
          <w:t>www.citizencorps.gov</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3323C9AA"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Health Resources and Services Administration.</w:t>
      </w:r>
      <w:r w:rsidRPr="0099702B">
        <w:rPr>
          <w:rFonts w:eastAsia="Times New Roman" w:cs="Arial"/>
          <w:i/>
          <w:iCs/>
          <w:color w:val="000000" w:themeColor="text1"/>
          <w:szCs w:val="20"/>
          <w:bdr w:val="none" w:sz="0" w:space="0" w:color="auto" w:frame="1"/>
        </w:rPr>
        <w:t> Emergency System for Advance Registration of Volunteer Health Professionals (ESAR-VHP)—Legal and Regulatory Issues</w:t>
      </w:r>
      <w:r w:rsidRPr="0099702B">
        <w:rPr>
          <w:rFonts w:eastAsia="Times New Roman" w:cs="Arial"/>
          <w:color w:val="000000" w:themeColor="text1"/>
          <w:szCs w:val="20"/>
        </w:rPr>
        <w:t>. Draft Report. May 2006. Available at</w:t>
      </w:r>
      <w:r w:rsidRPr="0099702B">
        <w:rPr>
          <w:rFonts w:eastAsia="Times New Roman" w:cs="Arial"/>
          <w:color w:val="737373"/>
          <w:szCs w:val="20"/>
        </w:rPr>
        <w:t> </w:t>
      </w:r>
      <w:hyperlink r:id="rId131" w:history="1">
        <w:r w:rsidRPr="0099702B">
          <w:rPr>
            <w:rFonts w:eastAsia="Times New Roman" w:cs="Arial"/>
            <w:color w:val="0F88B8"/>
            <w:szCs w:val="20"/>
            <w:bdr w:val="none" w:sz="0" w:space="0" w:color="auto" w:frame="1"/>
          </w:rPr>
          <w:t>www.publichealthlaw.net/Projects/ESAR-VHP.php</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7EFC51ED"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Hodges JG and Arias JJ. “Liability Risks and Protections for Volunteer Health Practitioners in Emergencies.” Presentation to The Public Health Law Network-Western Region. November 2010. Available at </w:t>
      </w:r>
      <w:hyperlink r:id="rId132" w:tooltip="www.publichealthlawnetwork.org" w:history="1">
        <w:r w:rsidRPr="0099702B">
          <w:rPr>
            <w:rFonts w:eastAsia="Times New Roman" w:cs="Arial"/>
            <w:color w:val="0F88B8"/>
            <w:szCs w:val="20"/>
            <w:bdr w:val="none" w:sz="0" w:space="0" w:color="auto" w:frame="1"/>
          </w:rPr>
          <w:t>www.publichealthlawnetwork.org</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30DFE2C4"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Hoffman S. “Responders’ Responsibility: Liability and Immunity in Public Health Emergencies.” 96 Geo. L.J. 1913, 1944. 2008.</w:t>
      </w:r>
    </w:p>
    <w:p w14:paraId="180B41D0"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International Association of Industrial Accident Boards and Commissions. Available at </w:t>
      </w:r>
      <w:hyperlink r:id="rId133" w:history="1">
        <w:r w:rsidRPr="0099702B">
          <w:rPr>
            <w:rFonts w:eastAsia="Times New Roman" w:cs="Arial"/>
            <w:color w:val="000000" w:themeColor="text1"/>
            <w:szCs w:val="20"/>
            <w:bdr w:val="none" w:sz="0" w:space="0" w:color="auto" w:frame="1"/>
          </w:rPr>
          <w:t>www.iaiabc.org</w:t>
        </w:r>
      </w:hyperlink>
      <w:r w:rsidRPr="0099702B">
        <w:rPr>
          <w:rFonts w:eastAsia="Times New Roman" w:cs="Arial"/>
          <w:color w:val="000000" w:themeColor="text1"/>
          <w:szCs w:val="20"/>
        </w:rPr>
        <w:t> . Accessed May 30, 2013.</w:t>
      </w:r>
    </w:p>
    <w:p w14:paraId="02E87C6B"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Sengupta I et al. National Academy of Social Insurance. </w:t>
      </w:r>
      <w:r w:rsidRPr="0099702B">
        <w:rPr>
          <w:rFonts w:eastAsia="Times New Roman" w:cs="Arial"/>
          <w:i/>
          <w:iCs/>
          <w:color w:val="000000" w:themeColor="text1"/>
          <w:szCs w:val="20"/>
          <w:bdr w:val="none" w:sz="0" w:space="0" w:color="auto" w:frame="1"/>
        </w:rPr>
        <w:t>Workers’ Compensation: Benefits, Coverage, and Costs, 2008</w:t>
      </w:r>
      <w:r w:rsidRPr="0099702B">
        <w:rPr>
          <w:rFonts w:eastAsia="Times New Roman" w:cs="Arial"/>
          <w:color w:val="000000" w:themeColor="text1"/>
          <w:szCs w:val="20"/>
        </w:rPr>
        <w:t>. September 2010. Available at </w:t>
      </w:r>
      <w:hyperlink r:id="rId134" w:tooltip="www.nasi.org/research/workers-compensation" w:history="1">
        <w:r w:rsidRPr="0099702B">
          <w:rPr>
            <w:rFonts w:eastAsia="Times New Roman" w:cs="Arial"/>
            <w:color w:val="0F88B8"/>
            <w:szCs w:val="20"/>
            <w:bdr w:val="none" w:sz="0" w:space="0" w:color="auto" w:frame="1"/>
          </w:rPr>
          <w:t>www.nasi.org/research/workers-compensation</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2BF9BCA9"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proofErr w:type="spellStart"/>
      <w:r w:rsidRPr="0099702B">
        <w:rPr>
          <w:rFonts w:eastAsia="Times New Roman" w:cs="Arial"/>
          <w:color w:val="000000" w:themeColor="text1"/>
          <w:szCs w:val="20"/>
        </w:rPr>
        <w:t>Mashaw</w:t>
      </w:r>
      <w:proofErr w:type="spellEnd"/>
      <w:r w:rsidRPr="0099702B">
        <w:rPr>
          <w:rFonts w:eastAsia="Times New Roman" w:cs="Arial"/>
          <w:color w:val="000000" w:themeColor="text1"/>
          <w:szCs w:val="20"/>
        </w:rPr>
        <w:t xml:space="preserve"> J and Reno V, eds. National Academy of Social Insurance. </w:t>
      </w:r>
      <w:r w:rsidRPr="0099702B">
        <w:rPr>
          <w:rFonts w:eastAsia="Times New Roman" w:cs="Arial"/>
          <w:i/>
          <w:iCs/>
          <w:color w:val="000000" w:themeColor="text1"/>
          <w:szCs w:val="20"/>
          <w:bdr w:val="none" w:sz="0" w:space="0" w:color="auto" w:frame="1"/>
        </w:rPr>
        <w:t>The Environment of Disability Income Policy: Programs, People, History, and Context: Interim Report of the Disability Policy Panel</w:t>
      </w:r>
      <w:r w:rsidRPr="0099702B">
        <w:rPr>
          <w:rFonts w:eastAsia="Times New Roman" w:cs="Arial"/>
          <w:color w:val="000000" w:themeColor="text1"/>
          <w:szCs w:val="20"/>
        </w:rPr>
        <w:t>. August 1996. Available at </w:t>
      </w:r>
      <w:hyperlink r:id="rId135" w:tooltip="www.nasi.org/research/1996/environment-disability-income-policy-programs-people-history" w:history="1">
        <w:r w:rsidRPr="0099702B">
          <w:rPr>
            <w:rFonts w:eastAsia="Times New Roman" w:cs="Arial"/>
            <w:color w:val="0F88B8"/>
            <w:szCs w:val="20"/>
            <w:bdr w:val="none" w:sz="0" w:space="0" w:color="auto" w:frame="1"/>
          </w:rPr>
          <w:t>www.nasi.org/research/1996/environment-disability-income-policy-programs-people-history</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26C7642F"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National Conference of State Legislatures. “State Sovereign Immunity and Tort Liability” webpage. Available at </w:t>
      </w:r>
      <w:hyperlink r:id="rId136" w:tooltip="www.ncsl.org/default.aspx?tabid=20628" w:history="1">
        <w:r w:rsidRPr="0099702B">
          <w:rPr>
            <w:rFonts w:eastAsia="Times New Roman" w:cs="Arial"/>
            <w:color w:val="0F88B8"/>
            <w:szCs w:val="20"/>
            <w:bdr w:val="none" w:sz="0" w:space="0" w:color="auto" w:frame="1"/>
          </w:rPr>
          <w:t>www.ncsl.org/default.aspx?tabid=20628</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4A5B1FD0"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New York State, Workers' Compensation Board. “Registration of Participation in World Trade Center Rescue, Recovery, or Clean-Up Operations” Sworn Statement Form. Available at </w:t>
      </w:r>
      <w:hyperlink r:id="rId137" w:tooltip="www.wcb.ny.gov/content/main/forms/AllForms.jsp" w:history="1">
        <w:r w:rsidRPr="0099702B">
          <w:rPr>
            <w:rFonts w:eastAsia="Times New Roman" w:cs="Arial"/>
            <w:color w:val="0F88B8"/>
            <w:szCs w:val="20"/>
            <w:bdr w:val="none" w:sz="0" w:space="0" w:color="auto" w:frame="1"/>
          </w:rPr>
          <w:t>www.wcb.ny.gov/content/main/forms/AllForms.jsp</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24E04601"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Nonprofit Risk Management Center. </w:t>
      </w:r>
      <w:r w:rsidRPr="0099702B">
        <w:rPr>
          <w:rFonts w:eastAsia="Times New Roman" w:cs="Arial"/>
          <w:i/>
          <w:iCs/>
          <w:color w:val="000000" w:themeColor="text1"/>
          <w:szCs w:val="20"/>
          <w:bdr w:val="none" w:sz="0" w:space="0" w:color="auto" w:frame="1"/>
        </w:rPr>
        <w:t>State Liability Laws for Charitable Organizations and Volunteers</w:t>
      </w:r>
      <w:r w:rsidRPr="0099702B">
        <w:rPr>
          <w:rFonts w:eastAsia="Times New Roman" w:cs="Arial"/>
          <w:color w:val="000000" w:themeColor="text1"/>
          <w:szCs w:val="20"/>
        </w:rPr>
        <w:t xml:space="preserve">. Updated as of December 2009. Available </w:t>
      </w:r>
      <w:r w:rsidRPr="0099702B">
        <w:rPr>
          <w:rFonts w:eastAsia="Times New Roman" w:cs="Arial"/>
          <w:color w:val="000000" w:themeColor="text1"/>
          <w:szCs w:val="20"/>
        </w:rPr>
        <w:lastRenderedPageBreak/>
        <w:t>at</w:t>
      </w:r>
      <w:r w:rsidRPr="0099702B">
        <w:rPr>
          <w:rFonts w:eastAsia="Times New Roman" w:cs="Arial"/>
          <w:color w:val="737373"/>
          <w:szCs w:val="20"/>
        </w:rPr>
        <w:t> </w:t>
      </w:r>
      <w:hyperlink r:id="rId138" w:tooltip="www.probonopartner.org/FileLib/Documents/nonprofitriskmgmtstateliability.pdf" w:history="1">
        <w:r w:rsidRPr="0099702B">
          <w:rPr>
            <w:rFonts w:eastAsia="Times New Roman" w:cs="Arial"/>
            <w:color w:val="0F88B8"/>
            <w:szCs w:val="20"/>
            <w:bdr w:val="none" w:sz="0" w:space="0" w:color="auto" w:frame="1"/>
          </w:rPr>
          <w:t>www.probonopartner.org/FileLib/Documents/nonprofitriskmgmtstateliability.pdf</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4AEA6D3A"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Public Entity Risk Institute. Presentation by C. Reiss to CAJPA Fall Conference 2008. “Disaster Volunteer Liability Issues.” Available at </w:t>
      </w:r>
      <w:hyperlink r:id="rId139" w:tooltip="https://www.riskinstitute.org/peri/images/file/Reiss-VolunteerLiability-CAJPA08.ppt" w:history="1">
        <w:r w:rsidRPr="0099702B">
          <w:rPr>
            <w:rFonts w:eastAsia="Times New Roman" w:cs="Arial"/>
            <w:color w:val="0F88B8"/>
            <w:szCs w:val="20"/>
            <w:bdr w:val="none" w:sz="0" w:space="0" w:color="auto" w:frame="1"/>
          </w:rPr>
          <w:t>https://www.riskinstitute.org/peri/images/file/Reiss-VolunteerLiability-CAJPA08.ppt</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1E6D343F"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Public/Private Legal Preparedness Initiative. North Carolina Institute for Public Health. “Good Samaritan Entity Liability Protection Initiative” webpage. Available at</w:t>
      </w:r>
      <w:r w:rsidRPr="0099702B">
        <w:rPr>
          <w:rFonts w:eastAsia="Times New Roman" w:cs="Arial"/>
          <w:color w:val="737373"/>
          <w:szCs w:val="20"/>
        </w:rPr>
        <w:t> </w:t>
      </w:r>
      <w:hyperlink r:id="rId140" w:tooltip="http://nciph.sph.unc.edu/law/good_sam.htm" w:history="1">
        <w:r w:rsidRPr="0099702B">
          <w:rPr>
            <w:rFonts w:eastAsia="Times New Roman" w:cs="Arial"/>
            <w:color w:val="0F88B8"/>
            <w:szCs w:val="20"/>
            <w:bdr w:val="none" w:sz="0" w:space="0" w:color="auto" w:frame="1"/>
          </w:rPr>
          <w:t>http://nciph.sph.unc.edu/law/good_sam.htm</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5E7A171F"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Uniform Emergency Volunteer Health Practitioners Act (UEVHPA). Uniform Law Commission. “Emergency Volunteer Health Practitioners” website. Available at </w:t>
      </w:r>
      <w:hyperlink r:id="rId141" w:tooltip="http://uniformlaws.org/Act.aspx?title=Emergency%20Volunteer%20Health%20Practitioners" w:history="1">
        <w:r w:rsidRPr="0099702B">
          <w:rPr>
            <w:rFonts w:eastAsia="Times New Roman" w:cs="Arial"/>
            <w:color w:val="0F88B8"/>
            <w:szCs w:val="20"/>
            <w:bdr w:val="none" w:sz="0" w:space="0" w:color="auto" w:frame="1"/>
          </w:rPr>
          <w:t>http://uniformlaws.org/Act.aspx?title=Emergency%20Volunteer%20Health%20Practitioners</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0CD5EFFC"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U.S. Dept. of Justice. “The September 11th Victim Compensation Fund of 2001” webpage. Available at </w:t>
      </w:r>
      <w:hyperlink r:id="rId142" w:tooltip="www.justice.gov/archive/victimcompensation/index.html" w:history="1">
        <w:r w:rsidRPr="0099702B">
          <w:rPr>
            <w:rFonts w:eastAsia="Times New Roman" w:cs="Arial"/>
            <w:color w:val="0F88B8"/>
            <w:szCs w:val="20"/>
            <w:bdr w:val="none" w:sz="0" w:space="0" w:color="auto" w:frame="1"/>
          </w:rPr>
          <w:t>www.justice.gov/archive/victimcompensation/index.html</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0664435C" w14:textId="77777777" w:rsidR="00E47795" w:rsidRPr="0099702B" w:rsidRDefault="00E47795" w:rsidP="00F21AA2">
      <w:pPr>
        <w:numPr>
          <w:ilvl w:val="0"/>
          <w:numId w:val="64"/>
        </w:numPr>
        <w:spacing w:after="40"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U.S. Dept. of Labor. “Summary of the Major Laws of the Department of Labor” webpage. Available at </w:t>
      </w:r>
      <w:hyperlink r:id="rId143" w:tooltip="www.dol.gov/opa/aboutdol/lawsprog.htm" w:history="1">
        <w:r w:rsidRPr="0099702B">
          <w:rPr>
            <w:rFonts w:eastAsia="Times New Roman" w:cs="Arial"/>
            <w:color w:val="0F88B8"/>
            <w:szCs w:val="20"/>
            <w:bdr w:val="none" w:sz="0" w:space="0" w:color="auto" w:frame="1"/>
          </w:rPr>
          <w:t>www.dol.gov/opa/aboutdol/lawsprog.htm</w:t>
        </w:r>
      </w:hyperlink>
      <w:r w:rsidRPr="0099702B">
        <w:rPr>
          <w:rFonts w:eastAsia="Times New Roman" w:cs="Arial"/>
          <w:color w:val="000000" w:themeColor="text1"/>
          <w:szCs w:val="20"/>
        </w:rPr>
        <w:t>. Accessed May 30, 2013.</w:t>
      </w:r>
    </w:p>
    <w:p w14:paraId="4F78C55C" w14:textId="74590A2D" w:rsidR="00E47795" w:rsidRDefault="00E47795" w:rsidP="00EB12E6">
      <w:pPr>
        <w:spacing w:after="40" w:line="360" w:lineRule="auto"/>
        <w:rPr>
          <w:sz w:val="24"/>
        </w:rPr>
      </w:pPr>
    </w:p>
    <w:p w14:paraId="67FE5EBC" w14:textId="77777777" w:rsidR="00F21AA2" w:rsidRDefault="00F21AA2" w:rsidP="00F21AA2">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TOC</w:t>
        </w:r>
        <w:r w:rsidRPr="00B16B87">
          <w:rPr>
            <w:rStyle w:val="Hyperlink"/>
            <w:rFonts w:ascii="Calibri" w:hAnsi="Calibri" w:cs="Calibri"/>
            <w:sz w:val="24"/>
          </w:rPr>
          <w:t xml:space="preserve"> </w:t>
        </w:r>
        <w:r w:rsidRPr="00B16B87">
          <w:rPr>
            <w:rStyle w:val="Hyperlink"/>
            <w:rFonts w:ascii="Calibri" w:hAnsi="Calibri" w:cs="Calibri"/>
            <w:sz w:val="24"/>
          </w:rPr>
          <w:t>top</w:t>
        </w:r>
      </w:hyperlink>
      <w:r>
        <w:rPr>
          <w:rFonts w:ascii="Calibri" w:hAnsi="Calibri" w:cs="Calibri"/>
          <w:sz w:val="24"/>
        </w:rPr>
        <w:t>]</w:t>
      </w:r>
    </w:p>
    <w:p w14:paraId="16E84727" w14:textId="77777777" w:rsidR="00F21AA2" w:rsidRDefault="00F21AA2" w:rsidP="00EB12E6">
      <w:pPr>
        <w:spacing w:after="40" w:line="360" w:lineRule="auto"/>
        <w:rPr>
          <w:sz w:val="24"/>
        </w:rPr>
      </w:pPr>
    </w:p>
    <w:p w14:paraId="0CF94BB9" w14:textId="77777777" w:rsidR="008F1203" w:rsidRDefault="008F1203">
      <w:pPr>
        <w:rPr>
          <w:sz w:val="24"/>
        </w:rPr>
        <w:sectPr w:rsidR="008F1203">
          <w:footerReference w:type="default" r:id="rId144"/>
          <w:pgSz w:w="12240" w:h="15840"/>
          <w:pgMar w:top="1440" w:right="1440" w:bottom="1440" w:left="1440" w:header="720" w:footer="720" w:gutter="0"/>
          <w:cols w:space="720"/>
          <w:docGrid w:linePitch="360"/>
        </w:sectPr>
      </w:pPr>
    </w:p>
    <w:p w14:paraId="099513A6" w14:textId="77777777" w:rsidR="00E47795" w:rsidRPr="00F25F00" w:rsidRDefault="00E47795" w:rsidP="00540B61">
      <w:pPr>
        <w:spacing w:after="120"/>
        <w:jc w:val="center"/>
        <w:rPr>
          <w:rFonts w:ascii="Arial" w:hAnsi="Arial" w:cs="Arial"/>
          <w:sz w:val="24"/>
          <w:szCs w:val="24"/>
        </w:rPr>
      </w:pPr>
      <w:bookmarkStart w:id="18" w:name="EmDecs_SAG"/>
      <w:r w:rsidRPr="003E1AFB">
        <w:rPr>
          <w:rFonts w:ascii="Arial" w:hAnsi="Arial" w:cs="Arial"/>
          <w:sz w:val="24"/>
          <w:szCs w:val="24"/>
        </w:rPr>
        <w:lastRenderedPageBreak/>
        <w:t>State Analysis Guide</w:t>
      </w:r>
    </w:p>
    <w:bookmarkEnd w:id="18"/>
    <w:p w14:paraId="371F7DC7" w14:textId="77777777" w:rsidR="00E47795" w:rsidRPr="000A4FF4" w:rsidRDefault="00E47795" w:rsidP="001421B0">
      <w:pPr>
        <w:jc w:val="center"/>
        <w:rPr>
          <w:rFonts w:ascii="Arial" w:hAnsi="Arial" w:cs="Arial"/>
          <w:b/>
          <w:sz w:val="26"/>
          <w:szCs w:val="26"/>
        </w:rPr>
      </w:pPr>
      <w:r>
        <w:rPr>
          <w:rFonts w:ascii="Arial" w:hAnsi="Arial" w:cs="Arial"/>
          <w:b/>
          <w:sz w:val="26"/>
          <w:szCs w:val="26"/>
        </w:rPr>
        <w:t>Emergency Declarations and Authorities</w:t>
      </w:r>
    </w:p>
    <w:p w14:paraId="4E291728" w14:textId="77777777" w:rsidR="00E47795" w:rsidRPr="008277E5" w:rsidRDefault="00E47795" w:rsidP="001421B0">
      <w:pPr>
        <w:rPr>
          <w:rFonts w:ascii="Times New Roman" w:hAnsi="Times New Roman" w:cs="Times New Roman"/>
          <w:sz w:val="16"/>
          <w:szCs w:val="20"/>
        </w:rPr>
      </w:pPr>
    </w:p>
    <w:p w14:paraId="196A2789" w14:textId="77777777" w:rsidR="00E47795" w:rsidRPr="002A03E4" w:rsidRDefault="00E47795" w:rsidP="002A03E4">
      <w:pPr>
        <w:ind w:left="288" w:right="576"/>
        <w:jc w:val="both"/>
        <w:rPr>
          <w:rFonts w:ascii="Arial" w:hAnsi="Arial" w:cs="Arial"/>
          <w:sz w:val="18"/>
          <w:szCs w:val="20"/>
        </w:rPr>
      </w:pPr>
      <w:r w:rsidRPr="002A03E4">
        <w:rPr>
          <w:rFonts w:ascii="Arial" w:hAnsi="Arial" w:cs="Arial"/>
          <w:sz w:val="18"/>
          <w:szCs w:val="20"/>
        </w:rPr>
        <w:t xml:space="preserve">This </w:t>
      </w:r>
      <w:r w:rsidRPr="002A03E4">
        <w:rPr>
          <w:rFonts w:ascii="Arial" w:hAnsi="Arial" w:cs="Arial"/>
          <w:i/>
          <w:sz w:val="18"/>
          <w:szCs w:val="20"/>
        </w:rPr>
        <w:t>State Analysis Guide</w:t>
      </w:r>
      <w:r w:rsidRPr="002A03E4">
        <w:rPr>
          <w:rFonts w:ascii="Arial" w:hAnsi="Arial" w:cs="Arial"/>
          <w:sz w:val="18"/>
          <w:szCs w:val="20"/>
        </w:rPr>
        <w:t xml:space="preserve"> is intended to assist state health agency staff and legal counsel </w:t>
      </w:r>
      <w:r>
        <w:rPr>
          <w:rFonts w:ascii="Arial" w:hAnsi="Arial" w:cs="Arial"/>
          <w:sz w:val="18"/>
          <w:szCs w:val="20"/>
        </w:rPr>
        <w:t>with locating</w:t>
      </w:r>
      <w:r w:rsidRPr="002A03E4">
        <w:rPr>
          <w:rFonts w:ascii="Arial" w:hAnsi="Arial" w:cs="Arial"/>
          <w:sz w:val="18"/>
          <w:szCs w:val="20"/>
        </w:rPr>
        <w:t xml:space="preserve"> and analyz</w:t>
      </w:r>
      <w:r>
        <w:rPr>
          <w:rFonts w:ascii="Arial" w:hAnsi="Arial" w:cs="Arial"/>
          <w:sz w:val="18"/>
          <w:szCs w:val="20"/>
        </w:rPr>
        <w:t>ing</w:t>
      </w:r>
      <w:r w:rsidRPr="002A03E4">
        <w:rPr>
          <w:rFonts w:ascii="Arial" w:hAnsi="Arial" w:cs="Arial"/>
          <w:sz w:val="18"/>
          <w:szCs w:val="20"/>
        </w:rPr>
        <w:t xml:space="preserve"> their state’s laws, rules, policies</w:t>
      </w:r>
      <w:r>
        <w:rPr>
          <w:rFonts w:ascii="Arial" w:hAnsi="Arial" w:cs="Arial"/>
          <w:sz w:val="18"/>
          <w:szCs w:val="20"/>
        </w:rPr>
        <w:t>,</w:t>
      </w:r>
      <w:r w:rsidRPr="002A03E4">
        <w:rPr>
          <w:rFonts w:ascii="Arial" w:hAnsi="Arial" w:cs="Arial"/>
          <w:sz w:val="18"/>
          <w:szCs w:val="20"/>
        </w:rPr>
        <w:t xml:space="preserve"> and implementation plans governing the state’s ability to declare emergencies and the authorities triggered by the emergency declaration</w:t>
      </w:r>
      <w:r>
        <w:rPr>
          <w:rFonts w:ascii="Arial" w:hAnsi="Arial" w:cs="Arial"/>
          <w:sz w:val="18"/>
          <w:szCs w:val="20"/>
        </w:rPr>
        <w:t>(s)</w:t>
      </w:r>
      <w:r w:rsidRPr="002A03E4">
        <w:rPr>
          <w:rFonts w:ascii="Arial" w:hAnsi="Arial" w:cs="Arial"/>
          <w:sz w:val="18"/>
          <w:szCs w:val="20"/>
        </w:rPr>
        <w:t xml:space="preserve">. Space is provided on the document to insert references or summaries of appropriate state </w:t>
      </w:r>
      <w:r>
        <w:rPr>
          <w:rFonts w:ascii="Arial" w:hAnsi="Arial" w:cs="Arial"/>
          <w:sz w:val="18"/>
          <w:szCs w:val="20"/>
        </w:rPr>
        <w:t>or</w:t>
      </w:r>
      <w:r w:rsidRPr="002A03E4">
        <w:rPr>
          <w:rFonts w:ascii="Arial" w:hAnsi="Arial" w:cs="Arial"/>
          <w:sz w:val="18"/>
          <w:szCs w:val="20"/>
        </w:rPr>
        <w:t xml:space="preserve"> local authorities. Because each state’s law is unique, this guide may not identify all issues that arise in the course of analyzing a state’s law. </w:t>
      </w:r>
      <w:r w:rsidRPr="002A03E4">
        <w:rPr>
          <w:rFonts w:ascii="Arial" w:hAnsi="Arial" w:cs="Arial"/>
          <w:b/>
          <w:sz w:val="18"/>
          <w:szCs w:val="20"/>
        </w:rPr>
        <w:t>In all instances the language and requirements of specific state/local laws, regulations, ordinances, rules, policies, guidances</w:t>
      </w:r>
      <w:r>
        <w:rPr>
          <w:rFonts w:ascii="Arial" w:hAnsi="Arial" w:cs="Arial"/>
          <w:b/>
          <w:sz w:val="18"/>
          <w:szCs w:val="20"/>
        </w:rPr>
        <w:t>, case law,</w:t>
      </w:r>
      <w:r w:rsidRPr="002A03E4">
        <w:rPr>
          <w:rFonts w:ascii="Arial" w:hAnsi="Arial" w:cs="Arial"/>
          <w:b/>
          <w:sz w:val="18"/>
          <w:szCs w:val="20"/>
        </w:rPr>
        <w:t xml:space="preserve"> and other sources of legal authority overrule this general analysis guide.</w:t>
      </w:r>
      <w:r>
        <w:rPr>
          <w:rFonts w:ascii="Arial" w:hAnsi="Arial" w:cs="Arial"/>
          <w:b/>
          <w:sz w:val="18"/>
          <w:szCs w:val="20"/>
        </w:rPr>
        <w:t xml:space="preserve"> </w:t>
      </w:r>
      <w:r w:rsidRPr="005F0391">
        <w:rPr>
          <w:rFonts w:ascii="Arial" w:hAnsi="Arial" w:cs="Arial"/>
          <w:b/>
          <w:sz w:val="18"/>
          <w:szCs w:val="20"/>
        </w:rPr>
        <w:t>This resource is for informational purposes only and is not intended as a substitute for professional legal or other advice.</w:t>
      </w:r>
    </w:p>
    <w:p w14:paraId="187B699F" w14:textId="77777777" w:rsidR="00E47795" w:rsidRDefault="00E47795" w:rsidP="001421B0">
      <w:pPr>
        <w:rPr>
          <w:rFonts w:ascii="Times New Roman" w:hAnsi="Times New Roman" w:cs="Times New Roman"/>
          <w:sz w:val="24"/>
          <w:szCs w:val="20"/>
        </w:rPr>
      </w:pPr>
    </w:p>
    <w:tbl>
      <w:tblPr>
        <w:tblStyle w:val="TableGrid"/>
        <w:tblW w:w="0" w:type="auto"/>
        <w:tblInd w:w="108" w:type="dxa"/>
        <w:tblLook w:val="04A0" w:firstRow="1" w:lastRow="0" w:firstColumn="1" w:lastColumn="0" w:noHBand="0" w:noVBand="1"/>
      </w:tblPr>
      <w:tblGrid>
        <w:gridCol w:w="501"/>
        <w:gridCol w:w="4659"/>
        <w:gridCol w:w="7682"/>
      </w:tblGrid>
      <w:tr w:rsidR="00E47795" w:rsidRPr="00727041" w14:paraId="06CE8BF5" w14:textId="77777777" w:rsidTr="007844D4">
        <w:trPr>
          <w:cantSplit/>
          <w:trHeight w:val="317"/>
          <w:tblHeader/>
        </w:trPr>
        <w:tc>
          <w:tcPr>
            <w:tcW w:w="5677" w:type="dxa"/>
            <w:gridSpan w:val="2"/>
            <w:shd w:val="clear" w:color="auto" w:fill="BFBFBF" w:themeFill="background1" w:themeFillShade="BF"/>
            <w:tcMar>
              <w:top w:w="58" w:type="dxa"/>
              <w:left w:w="130" w:type="dxa"/>
              <w:bottom w:w="58" w:type="dxa"/>
              <w:right w:w="115" w:type="dxa"/>
            </w:tcMar>
            <w:vAlign w:val="center"/>
          </w:tcPr>
          <w:p w14:paraId="518FAABD" w14:textId="77777777" w:rsidR="00E47795" w:rsidRPr="00727041" w:rsidRDefault="00E47795" w:rsidP="00E44C7F">
            <w:pPr>
              <w:rPr>
                <w:rFonts w:ascii="Arial" w:hAnsi="Arial" w:cs="Arial"/>
                <w:b/>
                <w:sz w:val="20"/>
                <w:szCs w:val="18"/>
              </w:rPr>
            </w:pPr>
            <w:r w:rsidRPr="009B334F">
              <w:rPr>
                <w:rFonts w:ascii="Arial" w:hAnsi="Arial" w:cs="Arial"/>
                <w:b/>
                <w:sz w:val="24"/>
                <w:szCs w:val="18"/>
              </w:rPr>
              <w:t>Issues for Analysis</w:t>
            </w:r>
          </w:p>
        </w:tc>
        <w:tc>
          <w:tcPr>
            <w:tcW w:w="8633" w:type="dxa"/>
            <w:shd w:val="clear" w:color="auto" w:fill="BFBFBF" w:themeFill="background1" w:themeFillShade="BF"/>
            <w:tcMar>
              <w:top w:w="58" w:type="dxa"/>
              <w:left w:w="130" w:type="dxa"/>
              <w:bottom w:w="58" w:type="dxa"/>
              <w:right w:w="115" w:type="dxa"/>
            </w:tcMar>
            <w:vAlign w:val="center"/>
          </w:tcPr>
          <w:p w14:paraId="0F95F46C" w14:textId="77777777" w:rsidR="00E47795" w:rsidRPr="00727041" w:rsidRDefault="00E47795" w:rsidP="004E12E8">
            <w:pPr>
              <w:jc w:val="center"/>
              <w:rPr>
                <w:rFonts w:ascii="Arial" w:hAnsi="Arial" w:cs="Arial"/>
                <w:b/>
                <w:sz w:val="20"/>
                <w:szCs w:val="18"/>
              </w:rPr>
            </w:pPr>
            <w:r w:rsidRPr="009B334F">
              <w:rPr>
                <w:rFonts w:ascii="Arial" w:hAnsi="Arial" w:cs="Arial"/>
                <w:b/>
                <w:sz w:val="24"/>
                <w:szCs w:val="18"/>
              </w:rPr>
              <w:t>State/Local Information</w:t>
            </w:r>
          </w:p>
        </w:tc>
      </w:tr>
      <w:tr w:rsidR="00E47795" w:rsidRPr="00727041" w14:paraId="5E7BA41E" w14:textId="77777777" w:rsidTr="005F0391">
        <w:trPr>
          <w:cantSplit/>
          <w:trHeight w:val="403"/>
        </w:trPr>
        <w:tc>
          <w:tcPr>
            <w:tcW w:w="14310" w:type="dxa"/>
            <w:gridSpan w:val="3"/>
            <w:shd w:val="clear" w:color="auto" w:fill="F2F2F2" w:themeFill="background1" w:themeFillShade="F2"/>
            <w:tcMar>
              <w:top w:w="58" w:type="dxa"/>
              <w:left w:w="130" w:type="dxa"/>
              <w:bottom w:w="58" w:type="dxa"/>
              <w:right w:w="115" w:type="dxa"/>
            </w:tcMar>
            <w:vAlign w:val="center"/>
          </w:tcPr>
          <w:p w14:paraId="3CDBFCBD" w14:textId="77777777" w:rsidR="00E47795" w:rsidRPr="00727041" w:rsidRDefault="00E47795" w:rsidP="001421B0">
            <w:pPr>
              <w:rPr>
                <w:rFonts w:ascii="Arial" w:hAnsi="Arial" w:cs="Arial"/>
                <w:sz w:val="18"/>
                <w:szCs w:val="18"/>
              </w:rPr>
            </w:pPr>
            <w:r w:rsidRPr="005F0391">
              <w:rPr>
                <w:rFonts w:ascii="Arial" w:hAnsi="Arial" w:cs="Arial"/>
                <w:b/>
                <w:sz w:val="20"/>
                <w:szCs w:val="20"/>
              </w:rPr>
              <w:t xml:space="preserve">Existing Authorities </w:t>
            </w:r>
            <w:r>
              <w:rPr>
                <w:rFonts w:ascii="Arial" w:hAnsi="Arial" w:cs="Arial"/>
                <w:b/>
                <w:sz w:val="20"/>
                <w:szCs w:val="20"/>
                <w:u w:val="single"/>
              </w:rPr>
              <w:t>W</w:t>
            </w:r>
            <w:r w:rsidRPr="005F0391">
              <w:rPr>
                <w:rFonts w:ascii="Arial" w:hAnsi="Arial" w:cs="Arial"/>
                <w:b/>
                <w:sz w:val="20"/>
                <w:szCs w:val="20"/>
                <w:u w:val="single"/>
              </w:rPr>
              <w:t>ithout</w:t>
            </w:r>
            <w:r w:rsidRPr="005F0391">
              <w:rPr>
                <w:rFonts w:ascii="Arial" w:hAnsi="Arial" w:cs="Arial"/>
                <w:b/>
                <w:sz w:val="20"/>
                <w:szCs w:val="20"/>
              </w:rPr>
              <w:t xml:space="preserve"> an Emergency Declaration</w:t>
            </w:r>
          </w:p>
        </w:tc>
      </w:tr>
      <w:tr w:rsidR="00E47795" w:rsidRPr="00727041" w14:paraId="67269EF2" w14:textId="77777777" w:rsidTr="007844D4">
        <w:trPr>
          <w:cantSplit/>
        </w:trPr>
        <w:tc>
          <w:tcPr>
            <w:tcW w:w="5677" w:type="dxa"/>
            <w:gridSpan w:val="2"/>
            <w:tcMar>
              <w:top w:w="58" w:type="dxa"/>
              <w:left w:w="130" w:type="dxa"/>
              <w:bottom w:w="58" w:type="dxa"/>
              <w:right w:w="115" w:type="dxa"/>
            </w:tcMar>
            <w:vAlign w:val="center"/>
          </w:tcPr>
          <w:p w14:paraId="4853FB59" w14:textId="77777777" w:rsidR="00E47795" w:rsidRPr="00727041" w:rsidRDefault="00E47795" w:rsidP="009B334F">
            <w:pPr>
              <w:rPr>
                <w:rFonts w:ascii="Arial" w:hAnsi="Arial" w:cs="Arial"/>
                <w:sz w:val="18"/>
                <w:szCs w:val="18"/>
              </w:rPr>
            </w:pPr>
            <w:r>
              <w:rPr>
                <w:rFonts w:ascii="Arial" w:hAnsi="Arial" w:cs="Arial"/>
                <w:sz w:val="18"/>
                <w:szCs w:val="18"/>
              </w:rPr>
              <w:t>Identify the existing authorities of the state health officer/agency director or the state health agency to do the following and identify the official(s) who can exercise these authorities:</w:t>
            </w:r>
          </w:p>
        </w:tc>
        <w:tc>
          <w:tcPr>
            <w:tcW w:w="8633" w:type="dxa"/>
            <w:tcMar>
              <w:top w:w="58" w:type="dxa"/>
              <w:left w:w="130" w:type="dxa"/>
              <w:bottom w:w="58" w:type="dxa"/>
              <w:right w:w="115" w:type="dxa"/>
            </w:tcMar>
            <w:vAlign w:val="center"/>
          </w:tcPr>
          <w:p w14:paraId="58DE671D" w14:textId="77777777" w:rsidR="00E47795" w:rsidRPr="00727041" w:rsidRDefault="00E47795" w:rsidP="001421B0">
            <w:pPr>
              <w:rPr>
                <w:rFonts w:ascii="Arial" w:hAnsi="Arial" w:cs="Arial"/>
                <w:sz w:val="18"/>
                <w:szCs w:val="18"/>
              </w:rPr>
            </w:pPr>
          </w:p>
        </w:tc>
      </w:tr>
      <w:tr w:rsidR="00E47795" w:rsidRPr="00727041" w14:paraId="475E14D2" w14:textId="77777777" w:rsidTr="007844D4">
        <w:trPr>
          <w:cantSplit/>
        </w:trPr>
        <w:tc>
          <w:tcPr>
            <w:tcW w:w="540" w:type="dxa"/>
            <w:tcMar>
              <w:top w:w="58" w:type="dxa"/>
              <w:left w:w="130" w:type="dxa"/>
              <w:bottom w:w="58" w:type="dxa"/>
              <w:right w:w="115" w:type="dxa"/>
            </w:tcMar>
            <w:vAlign w:val="center"/>
          </w:tcPr>
          <w:p w14:paraId="4FAC9AD5"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2BBCACF4" w14:textId="77777777" w:rsidR="00E47795" w:rsidRPr="00727041" w:rsidRDefault="00E47795" w:rsidP="001421B0">
            <w:pPr>
              <w:rPr>
                <w:rFonts w:ascii="Arial" w:hAnsi="Arial" w:cs="Arial"/>
                <w:sz w:val="18"/>
                <w:szCs w:val="18"/>
              </w:rPr>
            </w:pPr>
            <w:r>
              <w:rPr>
                <w:rFonts w:ascii="Arial" w:hAnsi="Arial" w:cs="Arial"/>
                <w:sz w:val="18"/>
                <w:szCs w:val="18"/>
              </w:rPr>
              <w:t>Contain public health nuisances</w:t>
            </w:r>
          </w:p>
        </w:tc>
        <w:tc>
          <w:tcPr>
            <w:tcW w:w="8633" w:type="dxa"/>
            <w:tcMar>
              <w:top w:w="58" w:type="dxa"/>
              <w:left w:w="130" w:type="dxa"/>
              <w:bottom w:w="58" w:type="dxa"/>
              <w:right w:w="115" w:type="dxa"/>
            </w:tcMar>
            <w:vAlign w:val="center"/>
          </w:tcPr>
          <w:p w14:paraId="0043E2BD" w14:textId="77777777" w:rsidR="00E47795" w:rsidRPr="00727041" w:rsidRDefault="00E47795" w:rsidP="001421B0">
            <w:pPr>
              <w:rPr>
                <w:rFonts w:ascii="Arial" w:hAnsi="Arial" w:cs="Arial"/>
                <w:sz w:val="18"/>
                <w:szCs w:val="18"/>
              </w:rPr>
            </w:pPr>
          </w:p>
        </w:tc>
      </w:tr>
      <w:tr w:rsidR="00E47795" w:rsidRPr="00727041" w14:paraId="6CF0C260" w14:textId="77777777" w:rsidTr="007844D4">
        <w:trPr>
          <w:cantSplit/>
        </w:trPr>
        <w:tc>
          <w:tcPr>
            <w:tcW w:w="540" w:type="dxa"/>
            <w:tcMar>
              <w:top w:w="58" w:type="dxa"/>
              <w:left w:w="130" w:type="dxa"/>
              <w:bottom w:w="58" w:type="dxa"/>
              <w:right w:w="115" w:type="dxa"/>
            </w:tcMar>
            <w:vAlign w:val="center"/>
          </w:tcPr>
          <w:p w14:paraId="7F51A3EA"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7A0A383F" w14:textId="77777777" w:rsidR="00E47795" w:rsidRPr="00727041" w:rsidRDefault="00E47795" w:rsidP="001421B0">
            <w:pPr>
              <w:rPr>
                <w:rFonts w:ascii="Arial" w:hAnsi="Arial" w:cs="Arial"/>
                <w:sz w:val="18"/>
                <w:szCs w:val="18"/>
              </w:rPr>
            </w:pPr>
            <w:r>
              <w:rPr>
                <w:rFonts w:ascii="Arial" w:hAnsi="Arial" w:cs="Arial"/>
                <w:sz w:val="18"/>
                <w:szCs w:val="18"/>
              </w:rPr>
              <w:t>Control contagious diseases</w:t>
            </w:r>
          </w:p>
        </w:tc>
        <w:tc>
          <w:tcPr>
            <w:tcW w:w="8633" w:type="dxa"/>
            <w:tcMar>
              <w:top w:w="58" w:type="dxa"/>
              <w:left w:w="130" w:type="dxa"/>
              <w:bottom w:w="58" w:type="dxa"/>
              <w:right w:w="115" w:type="dxa"/>
            </w:tcMar>
            <w:vAlign w:val="center"/>
          </w:tcPr>
          <w:p w14:paraId="751CCCFB" w14:textId="77777777" w:rsidR="00E47795" w:rsidRPr="00727041" w:rsidRDefault="00E47795" w:rsidP="001421B0">
            <w:pPr>
              <w:rPr>
                <w:rFonts w:ascii="Arial" w:hAnsi="Arial" w:cs="Arial"/>
                <w:sz w:val="18"/>
                <w:szCs w:val="18"/>
              </w:rPr>
            </w:pPr>
          </w:p>
        </w:tc>
      </w:tr>
      <w:tr w:rsidR="00E47795" w:rsidRPr="00727041" w14:paraId="1E4D0BC5" w14:textId="77777777" w:rsidTr="007844D4">
        <w:trPr>
          <w:cantSplit/>
        </w:trPr>
        <w:tc>
          <w:tcPr>
            <w:tcW w:w="540" w:type="dxa"/>
            <w:tcMar>
              <w:top w:w="58" w:type="dxa"/>
              <w:left w:w="130" w:type="dxa"/>
              <w:bottom w:w="58" w:type="dxa"/>
              <w:right w:w="115" w:type="dxa"/>
            </w:tcMar>
            <w:vAlign w:val="center"/>
          </w:tcPr>
          <w:p w14:paraId="6B5DCD31"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0895B56F" w14:textId="77777777" w:rsidR="00E47795" w:rsidRPr="00727041" w:rsidRDefault="00E47795" w:rsidP="001421B0">
            <w:pPr>
              <w:rPr>
                <w:rFonts w:ascii="Arial" w:hAnsi="Arial" w:cs="Arial"/>
                <w:sz w:val="18"/>
                <w:szCs w:val="18"/>
              </w:rPr>
            </w:pPr>
            <w:r>
              <w:rPr>
                <w:rFonts w:ascii="Arial" w:hAnsi="Arial" w:cs="Arial"/>
                <w:sz w:val="18"/>
                <w:szCs w:val="18"/>
              </w:rPr>
              <w:t>Conduct surveillance and data collection</w:t>
            </w:r>
          </w:p>
        </w:tc>
        <w:tc>
          <w:tcPr>
            <w:tcW w:w="8633" w:type="dxa"/>
            <w:tcMar>
              <w:top w:w="58" w:type="dxa"/>
              <w:left w:w="130" w:type="dxa"/>
              <w:bottom w:w="58" w:type="dxa"/>
              <w:right w:w="115" w:type="dxa"/>
            </w:tcMar>
            <w:vAlign w:val="center"/>
          </w:tcPr>
          <w:p w14:paraId="725E14B3" w14:textId="77777777" w:rsidR="00E47795" w:rsidRPr="00727041" w:rsidRDefault="00E47795" w:rsidP="001421B0">
            <w:pPr>
              <w:rPr>
                <w:rFonts w:ascii="Arial" w:hAnsi="Arial" w:cs="Arial"/>
                <w:sz w:val="18"/>
                <w:szCs w:val="18"/>
              </w:rPr>
            </w:pPr>
          </w:p>
        </w:tc>
      </w:tr>
      <w:tr w:rsidR="00E47795" w:rsidRPr="00727041" w14:paraId="7EF4EBD0" w14:textId="77777777" w:rsidTr="007844D4">
        <w:trPr>
          <w:cantSplit/>
        </w:trPr>
        <w:tc>
          <w:tcPr>
            <w:tcW w:w="540" w:type="dxa"/>
            <w:tcMar>
              <w:top w:w="58" w:type="dxa"/>
              <w:left w:w="130" w:type="dxa"/>
              <w:bottom w:w="58" w:type="dxa"/>
              <w:right w:w="115" w:type="dxa"/>
            </w:tcMar>
            <w:vAlign w:val="center"/>
          </w:tcPr>
          <w:p w14:paraId="0CC9380C"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1E77CFAC" w14:textId="77777777" w:rsidR="00E47795" w:rsidRPr="00727041" w:rsidRDefault="00E47795" w:rsidP="002965C8">
            <w:pPr>
              <w:rPr>
                <w:rFonts w:ascii="Arial" w:hAnsi="Arial" w:cs="Arial"/>
                <w:sz w:val="18"/>
                <w:szCs w:val="18"/>
              </w:rPr>
            </w:pPr>
            <w:r>
              <w:rPr>
                <w:rFonts w:ascii="Arial" w:hAnsi="Arial" w:cs="Arial"/>
                <w:sz w:val="18"/>
                <w:szCs w:val="18"/>
              </w:rPr>
              <w:t>Investigate for issues of public health concern</w:t>
            </w:r>
          </w:p>
        </w:tc>
        <w:tc>
          <w:tcPr>
            <w:tcW w:w="8633" w:type="dxa"/>
            <w:tcMar>
              <w:top w:w="58" w:type="dxa"/>
              <w:left w:w="130" w:type="dxa"/>
              <w:bottom w:w="58" w:type="dxa"/>
              <w:right w:w="115" w:type="dxa"/>
            </w:tcMar>
            <w:vAlign w:val="center"/>
          </w:tcPr>
          <w:p w14:paraId="7566AC82" w14:textId="77777777" w:rsidR="00E47795" w:rsidRPr="00727041" w:rsidRDefault="00E47795" w:rsidP="001421B0">
            <w:pPr>
              <w:rPr>
                <w:rFonts w:ascii="Arial" w:hAnsi="Arial" w:cs="Arial"/>
                <w:sz w:val="18"/>
                <w:szCs w:val="18"/>
              </w:rPr>
            </w:pPr>
          </w:p>
        </w:tc>
      </w:tr>
      <w:tr w:rsidR="00E47795" w:rsidRPr="00727041" w14:paraId="35839533" w14:textId="77777777" w:rsidTr="007844D4">
        <w:trPr>
          <w:cantSplit/>
        </w:trPr>
        <w:tc>
          <w:tcPr>
            <w:tcW w:w="540" w:type="dxa"/>
            <w:tcMar>
              <w:top w:w="58" w:type="dxa"/>
              <w:left w:w="130" w:type="dxa"/>
              <w:bottom w:w="58" w:type="dxa"/>
              <w:right w:w="115" w:type="dxa"/>
            </w:tcMar>
            <w:vAlign w:val="center"/>
          </w:tcPr>
          <w:p w14:paraId="15077CAE"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5B46EB43" w14:textId="77777777" w:rsidR="00E47795" w:rsidRPr="00727041" w:rsidRDefault="00E47795" w:rsidP="001421B0">
            <w:pPr>
              <w:rPr>
                <w:rFonts w:ascii="Arial" w:hAnsi="Arial" w:cs="Arial"/>
                <w:sz w:val="18"/>
                <w:szCs w:val="18"/>
              </w:rPr>
            </w:pPr>
            <w:r>
              <w:rPr>
                <w:rFonts w:ascii="Arial" w:hAnsi="Arial" w:cs="Arial"/>
                <w:sz w:val="18"/>
                <w:szCs w:val="18"/>
              </w:rPr>
              <w:t>Inspect for issues of public health concern</w:t>
            </w:r>
          </w:p>
        </w:tc>
        <w:tc>
          <w:tcPr>
            <w:tcW w:w="8633" w:type="dxa"/>
            <w:tcMar>
              <w:top w:w="58" w:type="dxa"/>
              <w:left w:w="130" w:type="dxa"/>
              <w:bottom w:w="58" w:type="dxa"/>
              <w:right w:w="115" w:type="dxa"/>
            </w:tcMar>
            <w:vAlign w:val="center"/>
          </w:tcPr>
          <w:p w14:paraId="4ABC5131" w14:textId="77777777" w:rsidR="00E47795" w:rsidRPr="00727041" w:rsidRDefault="00E47795" w:rsidP="001421B0">
            <w:pPr>
              <w:rPr>
                <w:rFonts w:ascii="Arial" w:hAnsi="Arial" w:cs="Arial"/>
                <w:sz w:val="18"/>
                <w:szCs w:val="18"/>
              </w:rPr>
            </w:pPr>
          </w:p>
        </w:tc>
      </w:tr>
      <w:tr w:rsidR="00E47795" w:rsidRPr="00727041" w14:paraId="08F2CE19" w14:textId="77777777" w:rsidTr="007844D4">
        <w:trPr>
          <w:cantSplit/>
        </w:trPr>
        <w:tc>
          <w:tcPr>
            <w:tcW w:w="540" w:type="dxa"/>
            <w:tcMar>
              <w:top w:w="58" w:type="dxa"/>
              <w:left w:w="130" w:type="dxa"/>
              <w:bottom w:w="58" w:type="dxa"/>
              <w:right w:w="115" w:type="dxa"/>
            </w:tcMar>
            <w:vAlign w:val="center"/>
          </w:tcPr>
          <w:p w14:paraId="13FF9B8C"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4FFF116A" w14:textId="77777777" w:rsidR="00E47795" w:rsidRPr="00727041" w:rsidRDefault="00E47795" w:rsidP="001421B0">
            <w:pPr>
              <w:rPr>
                <w:rFonts w:ascii="Arial" w:hAnsi="Arial" w:cs="Arial"/>
                <w:sz w:val="18"/>
                <w:szCs w:val="18"/>
              </w:rPr>
            </w:pPr>
            <w:r>
              <w:rPr>
                <w:rFonts w:ascii="Arial" w:hAnsi="Arial" w:cs="Arial"/>
                <w:sz w:val="18"/>
                <w:szCs w:val="18"/>
              </w:rPr>
              <w:t>Issue civil orders</w:t>
            </w:r>
          </w:p>
        </w:tc>
        <w:tc>
          <w:tcPr>
            <w:tcW w:w="8633" w:type="dxa"/>
            <w:tcMar>
              <w:top w:w="58" w:type="dxa"/>
              <w:left w:w="130" w:type="dxa"/>
              <w:bottom w:w="58" w:type="dxa"/>
              <w:right w:w="115" w:type="dxa"/>
            </w:tcMar>
            <w:vAlign w:val="center"/>
          </w:tcPr>
          <w:p w14:paraId="074BFB42" w14:textId="77777777" w:rsidR="00E47795" w:rsidRPr="00727041" w:rsidRDefault="00E47795" w:rsidP="001421B0">
            <w:pPr>
              <w:rPr>
                <w:rFonts w:ascii="Arial" w:hAnsi="Arial" w:cs="Arial"/>
                <w:sz w:val="18"/>
                <w:szCs w:val="18"/>
              </w:rPr>
            </w:pPr>
          </w:p>
        </w:tc>
      </w:tr>
      <w:tr w:rsidR="00E47795" w:rsidRPr="00727041" w14:paraId="28F6CF0A" w14:textId="77777777" w:rsidTr="007844D4">
        <w:trPr>
          <w:cantSplit/>
        </w:trPr>
        <w:tc>
          <w:tcPr>
            <w:tcW w:w="540" w:type="dxa"/>
            <w:tcMar>
              <w:top w:w="58" w:type="dxa"/>
              <w:left w:w="130" w:type="dxa"/>
              <w:bottom w:w="58" w:type="dxa"/>
              <w:right w:w="115" w:type="dxa"/>
            </w:tcMar>
            <w:vAlign w:val="center"/>
          </w:tcPr>
          <w:p w14:paraId="65D9549F"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5D9032CC" w14:textId="77777777" w:rsidR="00E47795" w:rsidRPr="00727041" w:rsidRDefault="00E47795" w:rsidP="001421B0">
            <w:pPr>
              <w:rPr>
                <w:rFonts w:ascii="Arial" w:hAnsi="Arial" w:cs="Arial"/>
                <w:sz w:val="18"/>
                <w:szCs w:val="18"/>
              </w:rPr>
            </w:pPr>
            <w:r>
              <w:rPr>
                <w:rFonts w:ascii="Arial" w:hAnsi="Arial" w:cs="Arial"/>
                <w:sz w:val="18"/>
                <w:szCs w:val="18"/>
              </w:rPr>
              <w:t>Issue criminal orders/warrants</w:t>
            </w:r>
          </w:p>
        </w:tc>
        <w:tc>
          <w:tcPr>
            <w:tcW w:w="8633" w:type="dxa"/>
            <w:tcMar>
              <w:top w:w="58" w:type="dxa"/>
              <w:left w:w="130" w:type="dxa"/>
              <w:bottom w:w="58" w:type="dxa"/>
              <w:right w:w="115" w:type="dxa"/>
            </w:tcMar>
            <w:vAlign w:val="center"/>
          </w:tcPr>
          <w:p w14:paraId="7FF9B08B" w14:textId="77777777" w:rsidR="00E47795" w:rsidRPr="00727041" w:rsidRDefault="00E47795" w:rsidP="001421B0">
            <w:pPr>
              <w:rPr>
                <w:rFonts w:ascii="Arial" w:hAnsi="Arial" w:cs="Arial"/>
                <w:sz w:val="18"/>
                <w:szCs w:val="18"/>
              </w:rPr>
            </w:pPr>
          </w:p>
        </w:tc>
      </w:tr>
      <w:tr w:rsidR="00E47795" w:rsidRPr="00727041" w14:paraId="28CF52F6" w14:textId="77777777" w:rsidTr="007844D4">
        <w:trPr>
          <w:cantSplit/>
        </w:trPr>
        <w:tc>
          <w:tcPr>
            <w:tcW w:w="540" w:type="dxa"/>
            <w:tcMar>
              <w:top w:w="58" w:type="dxa"/>
              <w:left w:w="130" w:type="dxa"/>
              <w:bottom w:w="58" w:type="dxa"/>
              <w:right w:w="115" w:type="dxa"/>
            </w:tcMar>
            <w:vAlign w:val="center"/>
          </w:tcPr>
          <w:p w14:paraId="1F7186EE"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61521933" w14:textId="77777777" w:rsidR="00E47795" w:rsidRPr="00727041" w:rsidRDefault="00E47795" w:rsidP="001421B0">
            <w:pPr>
              <w:rPr>
                <w:rFonts w:ascii="Arial" w:hAnsi="Arial" w:cs="Arial"/>
                <w:sz w:val="18"/>
                <w:szCs w:val="18"/>
              </w:rPr>
            </w:pPr>
            <w:r>
              <w:rPr>
                <w:rFonts w:ascii="Arial" w:hAnsi="Arial" w:cs="Arial"/>
                <w:sz w:val="18"/>
                <w:szCs w:val="18"/>
              </w:rPr>
              <w:t>Institute quarantine measures</w:t>
            </w:r>
          </w:p>
        </w:tc>
        <w:tc>
          <w:tcPr>
            <w:tcW w:w="8633" w:type="dxa"/>
            <w:tcMar>
              <w:top w:w="58" w:type="dxa"/>
              <w:left w:w="130" w:type="dxa"/>
              <w:bottom w:w="58" w:type="dxa"/>
              <w:right w:w="115" w:type="dxa"/>
            </w:tcMar>
            <w:vAlign w:val="center"/>
          </w:tcPr>
          <w:p w14:paraId="259D90F8" w14:textId="77777777" w:rsidR="00E47795" w:rsidRPr="00727041" w:rsidRDefault="00E47795" w:rsidP="001421B0">
            <w:pPr>
              <w:rPr>
                <w:rFonts w:ascii="Arial" w:hAnsi="Arial" w:cs="Arial"/>
                <w:sz w:val="18"/>
                <w:szCs w:val="18"/>
              </w:rPr>
            </w:pPr>
          </w:p>
        </w:tc>
      </w:tr>
      <w:tr w:rsidR="00E47795" w:rsidRPr="00727041" w14:paraId="63920E05" w14:textId="77777777" w:rsidTr="007844D4">
        <w:trPr>
          <w:cantSplit/>
        </w:trPr>
        <w:tc>
          <w:tcPr>
            <w:tcW w:w="540" w:type="dxa"/>
            <w:tcMar>
              <w:top w:w="58" w:type="dxa"/>
              <w:left w:w="130" w:type="dxa"/>
              <w:bottom w:w="58" w:type="dxa"/>
              <w:right w:w="115" w:type="dxa"/>
            </w:tcMar>
            <w:vAlign w:val="center"/>
          </w:tcPr>
          <w:p w14:paraId="34AE6B2E"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225285F3" w14:textId="77777777" w:rsidR="00E47795" w:rsidRPr="00727041" w:rsidRDefault="00E47795" w:rsidP="0071014B">
            <w:pPr>
              <w:rPr>
                <w:rFonts w:ascii="Arial" w:hAnsi="Arial" w:cs="Arial"/>
                <w:sz w:val="18"/>
                <w:szCs w:val="18"/>
              </w:rPr>
            </w:pPr>
            <w:r>
              <w:rPr>
                <w:rFonts w:ascii="Arial" w:hAnsi="Arial" w:cs="Arial"/>
                <w:sz w:val="18"/>
                <w:szCs w:val="18"/>
              </w:rPr>
              <w:t>Other relevant authorities</w:t>
            </w:r>
          </w:p>
        </w:tc>
        <w:tc>
          <w:tcPr>
            <w:tcW w:w="8633" w:type="dxa"/>
            <w:tcMar>
              <w:top w:w="58" w:type="dxa"/>
              <w:left w:w="130" w:type="dxa"/>
              <w:bottom w:w="58" w:type="dxa"/>
              <w:right w:w="115" w:type="dxa"/>
            </w:tcMar>
            <w:vAlign w:val="center"/>
          </w:tcPr>
          <w:p w14:paraId="52E984A2" w14:textId="77777777" w:rsidR="00E47795" w:rsidRPr="00727041" w:rsidRDefault="00E47795" w:rsidP="001421B0">
            <w:pPr>
              <w:rPr>
                <w:rFonts w:ascii="Arial" w:hAnsi="Arial" w:cs="Arial"/>
                <w:sz w:val="18"/>
                <w:szCs w:val="18"/>
              </w:rPr>
            </w:pPr>
          </w:p>
        </w:tc>
      </w:tr>
      <w:tr w:rsidR="00E47795" w:rsidRPr="00727041" w14:paraId="1C8D0903" w14:textId="77777777" w:rsidTr="007844D4">
        <w:trPr>
          <w:cantSplit/>
        </w:trPr>
        <w:tc>
          <w:tcPr>
            <w:tcW w:w="5677" w:type="dxa"/>
            <w:gridSpan w:val="2"/>
            <w:tcMar>
              <w:top w:w="58" w:type="dxa"/>
              <w:left w:w="130" w:type="dxa"/>
              <w:bottom w:w="58" w:type="dxa"/>
              <w:right w:w="115" w:type="dxa"/>
            </w:tcMar>
            <w:vAlign w:val="center"/>
          </w:tcPr>
          <w:p w14:paraId="7530C77B" w14:textId="77777777" w:rsidR="00E47795" w:rsidRPr="00727041" w:rsidRDefault="00E47795" w:rsidP="002965C8">
            <w:pPr>
              <w:rPr>
                <w:rFonts w:ascii="Arial" w:hAnsi="Arial" w:cs="Arial"/>
                <w:sz w:val="18"/>
                <w:szCs w:val="18"/>
              </w:rPr>
            </w:pPr>
            <w:r>
              <w:rPr>
                <w:rFonts w:ascii="Arial" w:hAnsi="Arial" w:cs="Arial"/>
                <w:sz w:val="18"/>
                <w:szCs w:val="18"/>
              </w:rPr>
              <w:t>Identify other state authorities that may be used to respond to a public health event without a declared emergency and the official/agency authorized to exercise these authorities.</w:t>
            </w:r>
          </w:p>
        </w:tc>
        <w:tc>
          <w:tcPr>
            <w:tcW w:w="8633" w:type="dxa"/>
            <w:tcMar>
              <w:top w:w="58" w:type="dxa"/>
              <w:left w:w="130" w:type="dxa"/>
              <w:bottom w:w="58" w:type="dxa"/>
              <w:right w:w="115" w:type="dxa"/>
            </w:tcMar>
            <w:vAlign w:val="center"/>
          </w:tcPr>
          <w:p w14:paraId="6B61A893" w14:textId="77777777" w:rsidR="00E47795" w:rsidRPr="00727041" w:rsidRDefault="00E47795" w:rsidP="001421B0">
            <w:pPr>
              <w:rPr>
                <w:rFonts w:ascii="Arial" w:hAnsi="Arial" w:cs="Arial"/>
                <w:sz w:val="18"/>
                <w:szCs w:val="18"/>
              </w:rPr>
            </w:pPr>
          </w:p>
        </w:tc>
      </w:tr>
      <w:tr w:rsidR="00E47795" w:rsidRPr="00727041" w14:paraId="05EB79AE" w14:textId="77777777" w:rsidTr="007844D4">
        <w:trPr>
          <w:cantSplit/>
        </w:trPr>
        <w:tc>
          <w:tcPr>
            <w:tcW w:w="5677" w:type="dxa"/>
            <w:gridSpan w:val="2"/>
            <w:tcMar>
              <w:top w:w="58" w:type="dxa"/>
              <w:left w:w="130" w:type="dxa"/>
              <w:bottom w:w="58" w:type="dxa"/>
              <w:right w:w="115" w:type="dxa"/>
            </w:tcMar>
            <w:vAlign w:val="center"/>
          </w:tcPr>
          <w:p w14:paraId="699F8A6F" w14:textId="77777777" w:rsidR="00E47795" w:rsidRPr="00727041" w:rsidRDefault="00E47795" w:rsidP="004E12E8">
            <w:pPr>
              <w:rPr>
                <w:rFonts w:ascii="Arial" w:hAnsi="Arial" w:cs="Arial"/>
                <w:sz w:val="18"/>
                <w:szCs w:val="18"/>
              </w:rPr>
            </w:pPr>
            <w:r>
              <w:rPr>
                <w:rFonts w:ascii="Arial" w:hAnsi="Arial" w:cs="Arial"/>
                <w:sz w:val="18"/>
                <w:szCs w:val="18"/>
              </w:rPr>
              <w:t>Identify any existing plans or procedures in place with other agencies or officials that address response activities for public health events when there is no emergency declaration in place.</w:t>
            </w:r>
          </w:p>
        </w:tc>
        <w:tc>
          <w:tcPr>
            <w:tcW w:w="8633" w:type="dxa"/>
            <w:tcMar>
              <w:top w:w="58" w:type="dxa"/>
              <w:left w:w="130" w:type="dxa"/>
              <w:bottom w:w="58" w:type="dxa"/>
              <w:right w:w="115" w:type="dxa"/>
            </w:tcMar>
            <w:vAlign w:val="center"/>
          </w:tcPr>
          <w:p w14:paraId="288EB611" w14:textId="77777777" w:rsidR="00E47795" w:rsidRPr="00727041" w:rsidRDefault="00E47795" w:rsidP="001421B0">
            <w:pPr>
              <w:rPr>
                <w:rFonts w:ascii="Arial" w:hAnsi="Arial" w:cs="Arial"/>
                <w:sz w:val="18"/>
                <w:szCs w:val="18"/>
              </w:rPr>
            </w:pPr>
          </w:p>
        </w:tc>
      </w:tr>
      <w:tr w:rsidR="00E47795" w:rsidRPr="00727041" w14:paraId="2B12B3B3" w14:textId="77777777" w:rsidTr="007844D4">
        <w:trPr>
          <w:cantSplit/>
        </w:trPr>
        <w:tc>
          <w:tcPr>
            <w:tcW w:w="5677" w:type="dxa"/>
            <w:gridSpan w:val="2"/>
            <w:tcMar>
              <w:top w:w="58" w:type="dxa"/>
              <w:left w:w="130" w:type="dxa"/>
              <w:bottom w:w="58" w:type="dxa"/>
              <w:right w:w="115" w:type="dxa"/>
            </w:tcMar>
            <w:vAlign w:val="center"/>
          </w:tcPr>
          <w:p w14:paraId="35A7B0F9" w14:textId="77777777" w:rsidR="00E47795" w:rsidRPr="00727041" w:rsidRDefault="00E47795" w:rsidP="004E12E8">
            <w:pPr>
              <w:rPr>
                <w:rFonts w:ascii="Arial" w:hAnsi="Arial" w:cs="Arial"/>
                <w:sz w:val="18"/>
                <w:szCs w:val="18"/>
              </w:rPr>
            </w:pPr>
            <w:r>
              <w:rPr>
                <w:rFonts w:ascii="Arial" w:hAnsi="Arial" w:cs="Arial"/>
                <w:sz w:val="18"/>
                <w:szCs w:val="18"/>
              </w:rPr>
              <w:lastRenderedPageBreak/>
              <w:t xml:space="preserve">Analyze how the response to a public health event would proceed if there is no emergency declaration in place: </w:t>
            </w:r>
          </w:p>
        </w:tc>
        <w:tc>
          <w:tcPr>
            <w:tcW w:w="8633" w:type="dxa"/>
            <w:tcMar>
              <w:top w:w="58" w:type="dxa"/>
              <w:left w:w="130" w:type="dxa"/>
              <w:bottom w:w="58" w:type="dxa"/>
              <w:right w:w="115" w:type="dxa"/>
            </w:tcMar>
            <w:vAlign w:val="center"/>
          </w:tcPr>
          <w:p w14:paraId="7D3D1319" w14:textId="77777777" w:rsidR="00E47795" w:rsidRPr="00727041" w:rsidRDefault="00E47795" w:rsidP="001421B0">
            <w:pPr>
              <w:rPr>
                <w:rFonts w:ascii="Arial" w:hAnsi="Arial" w:cs="Arial"/>
                <w:sz w:val="18"/>
                <w:szCs w:val="18"/>
              </w:rPr>
            </w:pPr>
          </w:p>
        </w:tc>
      </w:tr>
      <w:tr w:rsidR="00E47795" w:rsidRPr="00727041" w14:paraId="3A24A6C0" w14:textId="77777777" w:rsidTr="007844D4">
        <w:trPr>
          <w:cantSplit/>
        </w:trPr>
        <w:tc>
          <w:tcPr>
            <w:tcW w:w="540" w:type="dxa"/>
            <w:tcMar>
              <w:top w:w="58" w:type="dxa"/>
              <w:left w:w="130" w:type="dxa"/>
              <w:bottom w:w="58" w:type="dxa"/>
              <w:right w:w="115" w:type="dxa"/>
            </w:tcMar>
            <w:vAlign w:val="center"/>
          </w:tcPr>
          <w:p w14:paraId="07849932"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04F5CB5D" w14:textId="77777777" w:rsidR="00E47795" w:rsidRPr="00727041" w:rsidRDefault="00E47795" w:rsidP="001421B0">
            <w:pPr>
              <w:rPr>
                <w:rFonts w:ascii="Arial" w:hAnsi="Arial" w:cs="Arial"/>
                <w:sz w:val="18"/>
                <w:szCs w:val="18"/>
              </w:rPr>
            </w:pPr>
            <w:r>
              <w:rPr>
                <w:rFonts w:ascii="Arial" w:hAnsi="Arial" w:cs="Arial"/>
                <w:sz w:val="18"/>
                <w:szCs w:val="18"/>
              </w:rPr>
              <w:t>List the state’s response authorities and programs that are available without a declared emergency.</w:t>
            </w:r>
          </w:p>
        </w:tc>
        <w:tc>
          <w:tcPr>
            <w:tcW w:w="8633" w:type="dxa"/>
            <w:tcMar>
              <w:top w:w="58" w:type="dxa"/>
              <w:left w:w="130" w:type="dxa"/>
              <w:bottom w:w="58" w:type="dxa"/>
              <w:right w:w="115" w:type="dxa"/>
            </w:tcMar>
            <w:vAlign w:val="center"/>
          </w:tcPr>
          <w:p w14:paraId="64876B1A" w14:textId="77777777" w:rsidR="00E47795" w:rsidRPr="00727041" w:rsidRDefault="00E47795" w:rsidP="001421B0">
            <w:pPr>
              <w:rPr>
                <w:rFonts w:ascii="Arial" w:hAnsi="Arial" w:cs="Arial"/>
                <w:sz w:val="18"/>
                <w:szCs w:val="18"/>
              </w:rPr>
            </w:pPr>
          </w:p>
        </w:tc>
      </w:tr>
      <w:tr w:rsidR="00E47795" w:rsidRPr="00727041" w14:paraId="0687F7FF" w14:textId="77777777" w:rsidTr="007844D4">
        <w:trPr>
          <w:cantSplit/>
        </w:trPr>
        <w:tc>
          <w:tcPr>
            <w:tcW w:w="540" w:type="dxa"/>
            <w:tcMar>
              <w:top w:w="58" w:type="dxa"/>
              <w:left w:w="130" w:type="dxa"/>
              <w:bottom w:w="58" w:type="dxa"/>
              <w:right w:w="115" w:type="dxa"/>
            </w:tcMar>
            <w:vAlign w:val="center"/>
          </w:tcPr>
          <w:p w14:paraId="2B1DF994"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37FC76D6" w14:textId="77777777" w:rsidR="00E47795" w:rsidRDefault="00E47795" w:rsidP="003D6B21">
            <w:pPr>
              <w:rPr>
                <w:rFonts w:ascii="Arial" w:hAnsi="Arial" w:cs="Arial"/>
                <w:sz w:val="18"/>
                <w:szCs w:val="18"/>
              </w:rPr>
            </w:pPr>
            <w:r>
              <w:rPr>
                <w:rFonts w:ascii="Arial" w:hAnsi="Arial" w:cs="Arial"/>
                <w:sz w:val="18"/>
                <w:szCs w:val="18"/>
              </w:rPr>
              <w:t>List the state’s response authorities and programs that are NOT available without a declared emergency.</w:t>
            </w:r>
          </w:p>
        </w:tc>
        <w:tc>
          <w:tcPr>
            <w:tcW w:w="8633" w:type="dxa"/>
            <w:tcMar>
              <w:top w:w="58" w:type="dxa"/>
              <w:left w:w="130" w:type="dxa"/>
              <w:bottom w:w="58" w:type="dxa"/>
              <w:right w:w="115" w:type="dxa"/>
            </w:tcMar>
            <w:vAlign w:val="center"/>
          </w:tcPr>
          <w:p w14:paraId="6B67C1F0" w14:textId="77777777" w:rsidR="00E47795" w:rsidRPr="00727041" w:rsidRDefault="00E47795" w:rsidP="001421B0">
            <w:pPr>
              <w:rPr>
                <w:rFonts w:ascii="Arial" w:hAnsi="Arial" w:cs="Arial"/>
                <w:sz w:val="18"/>
                <w:szCs w:val="18"/>
              </w:rPr>
            </w:pPr>
          </w:p>
        </w:tc>
      </w:tr>
      <w:tr w:rsidR="00E47795" w:rsidRPr="00727041" w14:paraId="633504B4" w14:textId="77777777" w:rsidTr="007844D4">
        <w:trPr>
          <w:cantSplit/>
        </w:trPr>
        <w:tc>
          <w:tcPr>
            <w:tcW w:w="5677" w:type="dxa"/>
            <w:gridSpan w:val="2"/>
            <w:tcMar>
              <w:top w:w="58" w:type="dxa"/>
              <w:left w:w="130" w:type="dxa"/>
              <w:bottom w:w="58" w:type="dxa"/>
              <w:right w:w="115" w:type="dxa"/>
            </w:tcMar>
            <w:vAlign w:val="center"/>
          </w:tcPr>
          <w:p w14:paraId="2941A304" w14:textId="77777777" w:rsidR="00E47795" w:rsidRPr="00727041" w:rsidRDefault="00E47795" w:rsidP="009B334F">
            <w:pPr>
              <w:rPr>
                <w:rFonts w:ascii="Arial" w:hAnsi="Arial" w:cs="Arial"/>
                <w:sz w:val="18"/>
                <w:szCs w:val="18"/>
              </w:rPr>
            </w:pPr>
            <w:r>
              <w:rPr>
                <w:rFonts w:ascii="Arial" w:hAnsi="Arial" w:cs="Arial"/>
                <w:sz w:val="18"/>
                <w:szCs w:val="18"/>
              </w:rPr>
              <w:t>Develop a list that identifies available response authorities and programs that can be used to address a public health event in the absence of an emergency declaration.</w:t>
            </w:r>
          </w:p>
        </w:tc>
        <w:tc>
          <w:tcPr>
            <w:tcW w:w="8633" w:type="dxa"/>
            <w:tcMar>
              <w:top w:w="58" w:type="dxa"/>
              <w:left w:w="130" w:type="dxa"/>
              <w:bottom w:w="58" w:type="dxa"/>
              <w:right w:w="115" w:type="dxa"/>
            </w:tcMar>
            <w:vAlign w:val="center"/>
          </w:tcPr>
          <w:p w14:paraId="56179ED4" w14:textId="77777777" w:rsidR="00E47795" w:rsidRPr="00727041" w:rsidRDefault="00E47795" w:rsidP="001421B0">
            <w:pPr>
              <w:rPr>
                <w:rFonts w:ascii="Arial" w:hAnsi="Arial" w:cs="Arial"/>
                <w:sz w:val="18"/>
                <w:szCs w:val="18"/>
              </w:rPr>
            </w:pPr>
          </w:p>
        </w:tc>
      </w:tr>
      <w:tr w:rsidR="00E47795" w:rsidRPr="00727041" w14:paraId="772FB3C0" w14:textId="77777777" w:rsidTr="007844D4">
        <w:trPr>
          <w:cantSplit/>
        </w:trPr>
        <w:tc>
          <w:tcPr>
            <w:tcW w:w="540" w:type="dxa"/>
            <w:tcMar>
              <w:top w:w="58" w:type="dxa"/>
              <w:left w:w="130" w:type="dxa"/>
              <w:bottom w:w="58" w:type="dxa"/>
              <w:right w:w="115" w:type="dxa"/>
            </w:tcMar>
            <w:vAlign w:val="center"/>
          </w:tcPr>
          <w:p w14:paraId="0402577E"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68E3380A" w14:textId="77777777" w:rsidR="00E47795" w:rsidRPr="00727041" w:rsidRDefault="00E47795" w:rsidP="004E12E8">
            <w:pPr>
              <w:rPr>
                <w:rFonts w:ascii="Arial" w:hAnsi="Arial" w:cs="Arial"/>
                <w:sz w:val="18"/>
                <w:szCs w:val="18"/>
              </w:rPr>
            </w:pPr>
            <w:r>
              <w:rPr>
                <w:rFonts w:ascii="Arial" w:hAnsi="Arial" w:cs="Arial"/>
                <w:sz w:val="18"/>
                <w:szCs w:val="18"/>
              </w:rPr>
              <w:t>Establish a schedule to review and update the list of response authorities and programs, as needed.</w:t>
            </w:r>
          </w:p>
        </w:tc>
        <w:tc>
          <w:tcPr>
            <w:tcW w:w="8633" w:type="dxa"/>
            <w:tcMar>
              <w:top w:w="58" w:type="dxa"/>
              <w:left w:w="130" w:type="dxa"/>
              <w:bottom w:w="58" w:type="dxa"/>
              <w:right w:w="115" w:type="dxa"/>
            </w:tcMar>
            <w:vAlign w:val="center"/>
          </w:tcPr>
          <w:p w14:paraId="6FE9CB78" w14:textId="77777777" w:rsidR="00E47795" w:rsidRPr="00727041" w:rsidRDefault="00E47795" w:rsidP="001421B0">
            <w:pPr>
              <w:rPr>
                <w:rFonts w:ascii="Arial" w:hAnsi="Arial" w:cs="Arial"/>
                <w:sz w:val="18"/>
                <w:szCs w:val="18"/>
              </w:rPr>
            </w:pPr>
          </w:p>
        </w:tc>
      </w:tr>
      <w:tr w:rsidR="00E47795" w:rsidRPr="00727041" w14:paraId="3273185D" w14:textId="77777777" w:rsidTr="00D54A62">
        <w:trPr>
          <w:cantSplit/>
        </w:trPr>
        <w:tc>
          <w:tcPr>
            <w:tcW w:w="5677" w:type="dxa"/>
            <w:gridSpan w:val="2"/>
            <w:tcMar>
              <w:top w:w="58" w:type="dxa"/>
              <w:left w:w="130" w:type="dxa"/>
              <w:bottom w:w="58" w:type="dxa"/>
              <w:right w:w="115" w:type="dxa"/>
            </w:tcMar>
            <w:vAlign w:val="center"/>
          </w:tcPr>
          <w:p w14:paraId="7C0FC202" w14:textId="77777777" w:rsidR="00E47795" w:rsidRDefault="00E47795" w:rsidP="004E12E8">
            <w:pPr>
              <w:rPr>
                <w:rFonts w:ascii="Arial" w:hAnsi="Arial" w:cs="Arial"/>
                <w:sz w:val="18"/>
                <w:szCs w:val="18"/>
              </w:rPr>
            </w:pPr>
            <w:r>
              <w:rPr>
                <w:rFonts w:ascii="Arial" w:hAnsi="Arial" w:cs="Arial"/>
                <w:sz w:val="18"/>
                <w:szCs w:val="18"/>
              </w:rPr>
              <w:t>Identify the procedures for the state to request federal assistance with:</w:t>
            </w:r>
          </w:p>
        </w:tc>
        <w:tc>
          <w:tcPr>
            <w:tcW w:w="8633" w:type="dxa"/>
            <w:tcMar>
              <w:top w:w="58" w:type="dxa"/>
              <w:left w:w="130" w:type="dxa"/>
              <w:bottom w:w="58" w:type="dxa"/>
              <w:right w:w="115" w:type="dxa"/>
            </w:tcMar>
            <w:vAlign w:val="center"/>
          </w:tcPr>
          <w:p w14:paraId="0392D146" w14:textId="77777777" w:rsidR="00E47795" w:rsidRPr="00727041" w:rsidRDefault="00E47795" w:rsidP="001421B0">
            <w:pPr>
              <w:rPr>
                <w:rFonts w:ascii="Arial" w:hAnsi="Arial" w:cs="Arial"/>
                <w:sz w:val="18"/>
                <w:szCs w:val="18"/>
              </w:rPr>
            </w:pPr>
          </w:p>
        </w:tc>
      </w:tr>
      <w:tr w:rsidR="00E47795" w:rsidRPr="00727041" w14:paraId="27D9CFCD" w14:textId="77777777" w:rsidTr="007844D4">
        <w:trPr>
          <w:cantSplit/>
        </w:trPr>
        <w:tc>
          <w:tcPr>
            <w:tcW w:w="540" w:type="dxa"/>
            <w:tcMar>
              <w:top w:w="58" w:type="dxa"/>
              <w:left w:w="130" w:type="dxa"/>
              <w:bottom w:w="58" w:type="dxa"/>
              <w:right w:w="115" w:type="dxa"/>
            </w:tcMar>
            <w:vAlign w:val="center"/>
          </w:tcPr>
          <w:p w14:paraId="047A6887"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6708B41E" w14:textId="77777777" w:rsidR="00E47795" w:rsidRDefault="00E47795" w:rsidP="00B62E9B">
            <w:pPr>
              <w:rPr>
                <w:rFonts w:ascii="Arial" w:hAnsi="Arial" w:cs="Arial"/>
                <w:sz w:val="18"/>
                <w:szCs w:val="18"/>
              </w:rPr>
            </w:pPr>
            <w:r>
              <w:rPr>
                <w:rFonts w:ascii="Arial" w:hAnsi="Arial" w:cs="Arial"/>
                <w:sz w:val="18"/>
                <w:szCs w:val="18"/>
              </w:rPr>
              <w:t>Disaster Medical Assistance Team (DMAT) or Disaster Mortuary Operational Response Team (DMORT)</w:t>
            </w:r>
          </w:p>
        </w:tc>
        <w:tc>
          <w:tcPr>
            <w:tcW w:w="8633" w:type="dxa"/>
            <w:tcMar>
              <w:top w:w="58" w:type="dxa"/>
              <w:left w:w="130" w:type="dxa"/>
              <w:bottom w:w="58" w:type="dxa"/>
              <w:right w:w="115" w:type="dxa"/>
            </w:tcMar>
            <w:vAlign w:val="center"/>
          </w:tcPr>
          <w:p w14:paraId="53F2E220" w14:textId="77777777" w:rsidR="00E47795" w:rsidRPr="00727041" w:rsidRDefault="00E47795" w:rsidP="001421B0">
            <w:pPr>
              <w:rPr>
                <w:rFonts w:ascii="Arial" w:hAnsi="Arial" w:cs="Arial"/>
                <w:sz w:val="18"/>
                <w:szCs w:val="18"/>
              </w:rPr>
            </w:pPr>
          </w:p>
        </w:tc>
      </w:tr>
      <w:tr w:rsidR="00E47795" w:rsidRPr="00727041" w14:paraId="3C79E671" w14:textId="77777777" w:rsidTr="007844D4">
        <w:trPr>
          <w:cantSplit/>
        </w:trPr>
        <w:tc>
          <w:tcPr>
            <w:tcW w:w="540" w:type="dxa"/>
            <w:tcMar>
              <w:top w:w="58" w:type="dxa"/>
              <w:left w:w="130" w:type="dxa"/>
              <w:bottom w:w="58" w:type="dxa"/>
              <w:right w:w="115" w:type="dxa"/>
            </w:tcMar>
            <w:vAlign w:val="center"/>
          </w:tcPr>
          <w:p w14:paraId="6A05ADB5"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76E5E878" w14:textId="77777777" w:rsidR="00E47795" w:rsidRDefault="00E47795" w:rsidP="004E12E8">
            <w:pPr>
              <w:rPr>
                <w:rFonts w:ascii="Arial" w:hAnsi="Arial" w:cs="Arial"/>
                <w:sz w:val="18"/>
                <w:szCs w:val="18"/>
              </w:rPr>
            </w:pPr>
            <w:r>
              <w:rPr>
                <w:rFonts w:ascii="Arial" w:hAnsi="Arial" w:cs="Arial"/>
                <w:sz w:val="18"/>
                <w:szCs w:val="18"/>
              </w:rPr>
              <w:t>Social Security Act §1135 waivers</w:t>
            </w:r>
          </w:p>
        </w:tc>
        <w:tc>
          <w:tcPr>
            <w:tcW w:w="8633" w:type="dxa"/>
            <w:tcMar>
              <w:top w:w="58" w:type="dxa"/>
              <w:left w:w="130" w:type="dxa"/>
              <w:bottom w:w="58" w:type="dxa"/>
              <w:right w:w="115" w:type="dxa"/>
            </w:tcMar>
            <w:vAlign w:val="center"/>
          </w:tcPr>
          <w:p w14:paraId="6D143D20" w14:textId="77777777" w:rsidR="00E47795" w:rsidRPr="00727041" w:rsidRDefault="00E47795" w:rsidP="001421B0">
            <w:pPr>
              <w:rPr>
                <w:rFonts w:ascii="Arial" w:hAnsi="Arial" w:cs="Arial"/>
                <w:sz w:val="18"/>
                <w:szCs w:val="18"/>
              </w:rPr>
            </w:pPr>
          </w:p>
        </w:tc>
      </w:tr>
      <w:tr w:rsidR="00E47795" w:rsidRPr="00727041" w14:paraId="00914536" w14:textId="77777777" w:rsidTr="007844D4">
        <w:trPr>
          <w:cantSplit/>
        </w:trPr>
        <w:tc>
          <w:tcPr>
            <w:tcW w:w="540" w:type="dxa"/>
            <w:tcMar>
              <w:top w:w="58" w:type="dxa"/>
              <w:left w:w="130" w:type="dxa"/>
              <w:bottom w:w="58" w:type="dxa"/>
              <w:right w:w="115" w:type="dxa"/>
            </w:tcMar>
            <w:vAlign w:val="center"/>
          </w:tcPr>
          <w:p w14:paraId="2B8A5398"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74B5C030" w14:textId="77777777" w:rsidR="00E47795" w:rsidRDefault="00E47795" w:rsidP="004E12E8">
            <w:pPr>
              <w:rPr>
                <w:rFonts w:ascii="Arial" w:hAnsi="Arial" w:cs="Arial"/>
                <w:sz w:val="18"/>
                <w:szCs w:val="18"/>
              </w:rPr>
            </w:pPr>
            <w:r>
              <w:rPr>
                <w:rFonts w:ascii="Arial" w:hAnsi="Arial" w:cs="Arial"/>
                <w:sz w:val="18"/>
                <w:szCs w:val="18"/>
              </w:rPr>
              <w:t>Strategic National Stockpile</w:t>
            </w:r>
          </w:p>
        </w:tc>
        <w:tc>
          <w:tcPr>
            <w:tcW w:w="8633" w:type="dxa"/>
            <w:tcMar>
              <w:top w:w="58" w:type="dxa"/>
              <w:left w:w="130" w:type="dxa"/>
              <w:bottom w:w="58" w:type="dxa"/>
              <w:right w:w="115" w:type="dxa"/>
            </w:tcMar>
            <w:vAlign w:val="center"/>
          </w:tcPr>
          <w:p w14:paraId="7B9AE6B2" w14:textId="77777777" w:rsidR="00E47795" w:rsidRPr="00727041" w:rsidRDefault="00E47795" w:rsidP="001421B0">
            <w:pPr>
              <w:rPr>
                <w:rFonts w:ascii="Arial" w:hAnsi="Arial" w:cs="Arial"/>
                <w:sz w:val="18"/>
                <w:szCs w:val="18"/>
              </w:rPr>
            </w:pPr>
          </w:p>
        </w:tc>
      </w:tr>
      <w:tr w:rsidR="00E47795" w:rsidRPr="00727041" w14:paraId="380CE547" w14:textId="77777777" w:rsidTr="007844D4">
        <w:trPr>
          <w:cantSplit/>
        </w:trPr>
        <w:tc>
          <w:tcPr>
            <w:tcW w:w="540" w:type="dxa"/>
            <w:tcMar>
              <w:top w:w="58" w:type="dxa"/>
              <w:left w:w="130" w:type="dxa"/>
              <w:bottom w:w="58" w:type="dxa"/>
              <w:right w:w="115" w:type="dxa"/>
            </w:tcMar>
            <w:vAlign w:val="center"/>
          </w:tcPr>
          <w:p w14:paraId="6018D68C"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33EB9FF7" w14:textId="77777777" w:rsidR="00E47795" w:rsidRDefault="00E47795" w:rsidP="004E12E8">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71648345" w14:textId="77777777" w:rsidR="00E47795" w:rsidRPr="00727041" w:rsidRDefault="00E47795" w:rsidP="001421B0">
            <w:pPr>
              <w:rPr>
                <w:rFonts w:ascii="Arial" w:hAnsi="Arial" w:cs="Arial"/>
                <w:sz w:val="18"/>
                <w:szCs w:val="18"/>
              </w:rPr>
            </w:pPr>
          </w:p>
        </w:tc>
      </w:tr>
      <w:tr w:rsidR="00E47795" w:rsidRPr="00727041" w14:paraId="5160CF0A" w14:textId="77777777" w:rsidTr="00D71C58">
        <w:trPr>
          <w:cantSplit/>
          <w:trHeight w:val="439"/>
        </w:trPr>
        <w:tc>
          <w:tcPr>
            <w:tcW w:w="14310" w:type="dxa"/>
            <w:gridSpan w:val="3"/>
            <w:shd w:val="clear" w:color="auto" w:fill="F2F2F2" w:themeFill="background1" w:themeFillShade="F2"/>
            <w:tcMar>
              <w:top w:w="58" w:type="dxa"/>
              <w:left w:w="130" w:type="dxa"/>
              <w:bottom w:w="58" w:type="dxa"/>
              <w:right w:w="115" w:type="dxa"/>
            </w:tcMar>
            <w:vAlign w:val="center"/>
          </w:tcPr>
          <w:p w14:paraId="61C4AE55" w14:textId="77777777" w:rsidR="00E47795" w:rsidRPr="00727041" w:rsidRDefault="00E47795" w:rsidP="001421B0">
            <w:pPr>
              <w:rPr>
                <w:rFonts w:ascii="Arial" w:hAnsi="Arial" w:cs="Arial"/>
                <w:sz w:val="18"/>
                <w:szCs w:val="18"/>
              </w:rPr>
            </w:pPr>
            <w:r w:rsidRPr="00D71C58">
              <w:rPr>
                <w:rFonts w:ascii="Arial" w:hAnsi="Arial" w:cs="Arial"/>
                <w:b/>
                <w:sz w:val="20"/>
                <w:szCs w:val="20"/>
              </w:rPr>
              <w:t>Emergency Declarations</w:t>
            </w:r>
          </w:p>
        </w:tc>
      </w:tr>
      <w:tr w:rsidR="00E47795" w:rsidRPr="00727041" w14:paraId="4EE6B17B" w14:textId="77777777" w:rsidTr="007844D4">
        <w:trPr>
          <w:cantSplit/>
        </w:trPr>
        <w:tc>
          <w:tcPr>
            <w:tcW w:w="5677" w:type="dxa"/>
            <w:gridSpan w:val="2"/>
            <w:tcMar>
              <w:top w:w="58" w:type="dxa"/>
              <w:left w:w="130" w:type="dxa"/>
              <w:bottom w:w="58" w:type="dxa"/>
              <w:right w:w="115" w:type="dxa"/>
            </w:tcMar>
            <w:vAlign w:val="center"/>
          </w:tcPr>
          <w:p w14:paraId="09F39C83" w14:textId="77777777" w:rsidR="00E47795" w:rsidRPr="00727041" w:rsidRDefault="00E47795" w:rsidP="009C258C">
            <w:pPr>
              <w:rPr>
                <w:rFonts w:ascii="Arial" w:hAnsi="Arial" w:cs="Arial"/>
                <w:sz w:val="18"/>
                <w:szCs w:val="18"/>
              </w:rPr>
            </w:pPr>
            <w:r>
              <w:rPr>
                <w:rFonts w:ascii="Arial" w:hAnsi="Arial" w:cs="Arial"/>
                <w:sz w:val="18"/>
                <w:szCs w:val="18"/>
              </w:rPr>
              <w:t>Identify the state's statute(s) to declare emergencies. Determine if the state defines more than one type of emergency event and the thresholds for triggering each:</w:t>
            </w:r>
          </w:p>
        </w:tc>
        <w:tc>
          <w:tcPr>
            <w:tcW w:w="8633" w:type="dxa"/>
            <w:tcMar>
              <w:top w:w="58" w:type="dxa"/>
              <w:left w:w="130" w:type="dxa"/>
              <w:bottom w:w="58" w:type="dxa"/>
              <w:right w:w="115" w:type="dxa"/>
            </w:tcMar>
            <w:vAlign w:val="center"/>
          </w:tcPr>
          <w:p w14:paraId="61C7F3F4" w14:textId="77777777" w:rsidR="00E47795" w:rsidRPr="00727041" w:rsidRDefault="00E47795" w:rsidP="001421B0">
            <w:pPr>
              <w:rPr>
                <w:rFonts w:ascii="Arial" w:hAnsi="Arial" w:cs="Arial"/>
                <w:sz w:val="18"/>
                <w:szCs w:val="18"/>
              </w:rPr>
            </w:pPr>
          </w:p>
        </w:tc>
      </w:tr>
      <w:tr w:rsidR="00E47795" w:rsidRPr="00727041" w14:paraId="50F3C831" w14:textId="77777777" w:rsidTr="007844D4">
        <w:trPr>
          <w:cantSplit/>
        </w:trPr>
        <w:tc>
          <w:tcPr>
            <w:tcW w:w="540" w:type="dxa"/>
            <w:tcMar>
              <w:top w:w="58" w:type="dxa"/>
              <w:left w:w="130" w:type="dxa"/>
              <w:bottom w:w="58" w:type="dxa"/>
              <w:right w:w="115" w:type="dxa"/>
            </w:tcMar>
            <w:vAlign w:val="center"/>
          </w:tcPr>
          <w:p w14:paraId="03338D5C"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6BC2B572" w14:textId="77777777" w:rsidR="00E47795" w:rsidRPr="00727041" w:rsidRDefault="00E47795" w:rsidP="001421B0">
            <w:pPr>
              <w:rPr>
                <w:rFonts w:ascii="Arial" w:hAnsi="Arial" w:cs="Arial"/>
                <w:sz w:val="18"/>
                <w:szCs w:val="18"/>
              </w:rPr>
            </w:pPr>
            <w:r>
              <w:rPr>
                <w:rFonts w:ascii="Arial" w:hAnsi="Arial" w:cs="Arial"/>
                <w:sz w:val="18"/>
                <w:szCs w:val="18"/>
              </w:rPr>
              <w:t>Emergency</w:t>
            </w:r>
          </w:p>
        </w:tc>
        <w:tc>
          <w:tcPr>
            <w:tcW w:w="8633" w:type="dxa"/>
            <w:tcMar>
              <w:top w:w="58" w:type="dxa"/>
              <w:left w:w="130" w:type="dxa"/>
              <w:bottom w:w="58" w:type="dxa"/>
              <w:right w:w="115" w:type="dxa"/>
            </w:tcMar>
            <w:vAlign w:val="center"/>
          </w:tcPr>
          <w:p w14:paraId="27B7CB02" w14:textId="77777777" w:rsidR="00E47795" w:rsidRPr="00727041" w:rsidRDefault="00E47795" w:rsidP="001421B0">
            <w:pPr>
              <w:rPr>
                <w:rFonts w:ascii="Arial" w:hAnsi="Arial" w:cs="Arial"/>
                <w:sz w:val="18"/>
                <w:szCs w:val="18"/>
              </w:rPr>
            </w:pPr>
          </w:p>
        </w:tc>
      </w:tr>
      <w:tr w:rsidR="00E47795" w:rsidRPr="00727041" w14:paraId="4526486E" w14:textId="77777777" w:rsidTr="007844D4">
        <w:trPr>
          <w:cantSplit/>
        </w:trPr>
        <w:tc>
          <w:tcPr>
            <w:tcW w:w="540" w:type="dxa"/>
            <w:tcMar>
              <w:top w:w="58" w:type="dxa"/>
              <w:left w:w="130" w:type="dxa"/>
              <w:bottom w:w="58" w:type="dxa"/>
              <w:right w:w="115" w:type="dxa"/>
            </w:tcMar>
            <w:vAlign w:val="center"/>
          </w:tcPr>
          <w:p w14:paraId="3353F00B"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362CB395" w14:textId="77777777" w:rsidR="00E47795" w:rsidRPr="00727041" w:rsidRDefault="00E47795" w:rsidP="001421B0">
            <w:pPr>
              <w:rPr>
                <w:rFonts w:ascii="Arial" w:hAnsi="Arial" w:cs="Arial"/>
                <w:sz w:val="18"/>
                <w:szCs w:val="18"/>
              </w:rPr>
            </w:pPr>
            <w:r>
              <w:rPr>
                <w:rFonts w:ascii="Arial" w:hAnsi="Arial" w:cs="Arial"/>
                <w:sz w:val="18"/>
                <w:szCs w:val="18"/>
              </w:rPr>
              <w:t>Disaster</w:t>
            </w:r>
          </w:p>
        </w:tc>
        <w:tc>
          <w:tcPr>
            <w:tcW w:w="8633" w:type="dxa"/>
            <w:tcMar>
              <w:top w:w="58" w:type="dxa"/>
              <w:left w:w="130" w:type="dxa"/>
              <w:bottom w:w="58" w:type="dxa"/>
              <w:right w:w="115" w:type="dxa"/>
            </w:tcMar>
            <w:vAlign w:val="center"/>
          </w:tcPr>
          <w:p w14:paraId="6BF22FF2" w14:textId="77777777" w:rsidR="00E47795" w:rsidRPr="00727041" w:rsidRDefault="00E47795" w:rsidP="001421B0">
            <w:pPr>
              <w:rPr>
                <w:rFonts w:ascii="Arial" w:hAnsi="Arial" w:cs="Arial"/>
                <w:sz w:val="18"/>
                <w:szCs w:val="18"/>
              </w:rPr>
            </w:pPr>
          </w:p>
        </w:tc>
      </w:tr>
      <w:tr w:rsidR="00E47795" w:rsidRPr="00727041" w14:paraId="3495EC12" w14:textId="77777777" w:rsidTr="007844D4">
        <w:trPr>
          <w:cantSplit/>
        </w:trPr>
        <w:tc>
          <w:tcPr>
            <w:tcW w:w="540" w:type="dxa"/>
            <w:tcMar>
              <w:top w:w="58" w:type="dxa"/>
              <w:left w:w="130" w:type="dxa"/>
              <w:bottom w:w="58" w:type="dxa"/>
              <w:right w:w="115" w:type="dxa"/>
            </w:tcMar>
            <w:vAlign w:val="center"/>
          </w:tcPr>
          <w:p w14:paraId="68B584FE"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16BBE6BB" w14:textId="77777777" w:rsidR="00E47795" w:rsidRPr="00727041" w:rsidRDefault="00E47795" w:rsidP="001421B0">
            <w:pPr>
              <w:rPr>
                <w:rFonts w:ascii="Arial" w:hAnsi="Arial" w:cs="Arial"/>
                <w:sz w:val="18"/>
                <w:szCs w:val="18"/>
              </w:rPr>
            </w:pPr>
            <w:r>
              <w:rPr>
                <w:rFonts w:ascii="Arial" w:hAnsi="Arial" w:cs="Arial"/>
                <w:sz w:val="18"/>
                <w:szCs w:val="18"/>
              </w:rPr>
              <w:t>Public health emergency</w:t>
            </w:r>
          </w:p>
        </w:tc>
        <w:tc>
          <w:tcPr>
            <w:tcW w:w="8633" w:type="dxa"/>
            <w:tcMar>
              <w:top w:w="58" w:type="dxa"/>
              <w:left w:w="130" w:type="dxa"/>
              <w:bottom w:w="58" w:type="dxa"/>
              <w:right w:w="115" w:type="dxa"/>
            </w:tcMar>
            <w:vAlign w:val="center"/>
          </w:tcPr>
          <w:p w14:paraId="418F6156" w14:textId="77777777" w:rsidR="00E47795" w:rsidRPr="00727041" w:rsidRDefault="00E47795" w:rsidP="001421B0">
            <w:pPr>
              <w:rPr>
                <w:rFonts w:ascii="Arial" w:hAnsi="Arial" w:cs="Arial"/>
                <w:sz w:val="18"/>
                <w:szCs w:val="18"/>
              </w:rPr>
            </w:pPr>
          </w:p>
        </w:tc>
      </w:tr>
      <w:tr w:rsidR="00E47795" w:rsidRPr="00727041" w14:paraId="540C5A95" w14:textId="77777777" w:rsidTr="007844D4">
        <w:trPr>
          <w:cantSplit/>
        </w:trPr>
        <w:tc>
          <w:tcPr>
            <w:tcW w:w="540" w:type="dxa"/>
            <w:tcMar>
              <w:top w:w="58" w:type="dxa"/>
              <w:left w:w="130" w:type="dxa"/>
              <w:bottom w:w="58" w:type="dxa"/>
              <w:right w:w="115" w:type="dxa"/>
            </w:tcMar>
            <w:vAlign w:val="center"/>
          </w:tcPr>
          <w:p w14:paraId="768E417B"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4A730ECF" w14:textId="77777777" w:rsidR="00E47795" w:rsidRPr="00727041" w:rsidRDefault="00E47795" w:rsidP="001421B0">
            <w:pPr>
              <w:rPr>
                <w:rFonts w:ascii="Arial" w:hAnsi="Arial" w:cs="Arial"/>
                <w:sz w:val="18"/>
                <w:szCs w:val="18"/>
              </w:rPr>
            </w:pPr>
            <w:r>
              <w:rPr>
                <w:rFonts w:ascii="Arial" w:hAnsi="Arial" w:cs="Arial"/>
                <w:sz w:val="18"/>
                <w:szCs w:val="18"/>
              </w:rPr>
              <w:t>Public health disaster</w:t>
            </w:r>
          </w:p>
        </w:tc>
        <w:tc>
          <w:tcPr>
            <w:tcW w:w="8633" w:type="dxa"/>
            <w:tcMar>
              <w:top w:w="58" w:type="dxa"/>
              <w:left w:w="130" w:type="dxa"/>
              <w:bottom w:w="58" w:type="dxa"/>
              <w:right w:w="115" w:type="dxa"/>
            </w:tcMar>
            <w:vAlign w:val="center"/>
          </w:tcPr>
          <w:p w14:paraId="3B0BF03E" w14:textId="77777777" w:rsidR="00E47795" w:rsidRPr="00727041" w:rsidRDefault="00E47795" w:rsidP="001421B0">
            <w:pPr>
              <w:rPr>
                <w:rFonts w:ascii="Arial" w:hAnsi="Arial" w:cs="Arial"/>
                <w:sz w:val="18"/>
                <w:szCs w:val="18"/>
              </w:rPr>
            </w:pPr>
          </w:p>
        </w:tc>
      </w:tr>
      <w:tr w:rsidR="00E47795" w:rsidRPr="00727041" w14:paraId="4C9C6D53" w14:textId="77777777" w:rsidTr="007844D4">
        <w:trPr>
          <w:cantSplit/>
        </w:trPr>
        <w:tc>
          <w:tcPr>
            <w:tcW w:w="540" w:type="dxa"/>
            <w:tcMar>
              <w:top w:w="58" w:type="dxa"/>
              <w:left w:w="130" w:type="dxa"/>
              <w:bottom w:w="58" w:type="dxa"/>
              <w:right w:w="115" w:type="dxa"/>
            </w:tcMar>
            <w:vAlign w:val="center"/>
          </w:tcPr>
          <w:p w14:paraId="78FBDAB8"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7102C7D1" w14:textId="77777777" w:rsidR="00E47795" w:rsidRPr="00727041" w:rsidRDefault="00E47795" w:rsidP="001421B0">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12B88A40" w14:textId="77777777" w:rsidR="00E47795" w:rsidRPr="00727041" w:rsidRDefault="00E47795" w:rsidP="001421B0">
            <w:pPr>
              <w:rPr>
                <w:rFonts w:ascii="Arial" w:hAnsi="Arial" w:cs="Arial"/>
                <w:sz w:val="18"/>
                <w:szCs w:val="18"/>
              </w:rPr>
            </w:pPr>
          </w:p>
        </w:tc>
      </w:tr>
      <w:tr w:rsidR="00E47795" w:rsidRPr="00727041" w14:paraId="79DD2CDA" w14:textId="77777777" w:rsidTr="007844D4">
        <w:trPr>
          <w:cantSplit/>
        </w:trPr>
        <w:tc>
          <w:tcPr>
            <w:tcW w:w="5677" w:type="dxa"/>
            <w:gridSpan w:val="2"/>
            <w:tcMar>
              <w:top w:w="58" w:type="dxa"/>
              <w:left w:w="130" w:type="dxa"/>
              <w:bottom w:w="58" w:type="dxa"/>
              <w:right w:w="115" w:type="dxa"/>
            </w:tcMar>
            <w:vAlign w:val="center"/>
          </w:tcPr>
          <w:p w14:paraId="281AEC36" w14:textId="77777777" w:rsidR="00E47795" w:rsidRPr="00727041" w:rsidRDefault="00E47795" w:rsidP="001421B0">
            <w:pPr>
              <w:rPr>
                <w:rFonts w:ascii="Arial" w:hAnsi="Arial" w:cs="Arial"/>
                <w:sz w:val="18"/>
                <w:szCs w:val="18"/>
              </w:rPr>
            </w:pPr>
            <w:r>
              <w:rPr>
                <w:rFonts w:ascii="Arial" w:hAnsi="Arial" w:cs="Arial"/>
                <w:sz w:val="18"/>
                <w:szCs w:val="18"/>
              </w:rPr>
              <w:lastRenderedPageBreak/>
              <w:t>For each of the above emergency types, identify the officers eligible to make a declaration, the process for making the declaration, and any required information that must be included in the text of the declaration:</w:t>
            </w:r>
          </w:p>
        </w:tc>
        <w:tc>
          <w:tcPr>
            <w:tcW w:w="8633" w:type="dxa"/>
            <w:tcMar>
              <w:top w:w="58" w:type="dxa"/>
              <w:left w:w="130" w:type="dxa"/>
              <w:bottom w:w="58" w:type="dxa"/>
              <w:right w:w="115" w:type="dxa"/>
            </w:tcMar>
            <w:vAlign w:val="center"/>
          </w:tcPr>
          <w:p w14:paraId="2BE48C0A" w14:textId="77777777" w:rsidR="00E47795" w:rsidRPr="00727041" w:rsidRDefault="00E47795" w:rsidP="001421B0">
            <w:pPr>
              <w:rPr>
                <w:rFonts w:ascii="Arial" w:hAnsi="Arial" w:cs="Arial"/>
                <w:sz w:val="18"/>
                <w:szCs w:val="18"/>
              </w:rPr>
            </w:pPr>
          </w:p>
        </w:tc>
      </w:tr>
      <w:tr w:rsidR="00E47795" w:rsidRPr="00727041" w14:paraId="56164FF0" w14:textId="77777777" w:rsidTr="007844D4">
        <w:trPr>
          <w:cantSplit/>
        </w:trPr>
        <w:tc>
          <w:tcPr>
            <w:tcW w:w="540" w:type="dxa"/>
            <w:tcMar>
              <w:top w:w="58" w:type="dxa"/>
              <w:left w:w="130" w:type="dxa"/>
              <w:bottom w:w="58" w:type="dxa"/>
              <w:right w:w="115" w:type="dxa"/>
            </w:tcMar>
            <w:vAlign w:val="center"/>
          </w:tcPr>
          <w:p w14:paraId="350EA381"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0DA34C88" w14:textId="77777777" w:rsidR="00E47795" w:rsidRPr="00727041" w:rsidRDefault="00E47795" w:rsidP="00D54A62">
            <w:pPr>
              <w:rPr>
                <w:rFonts w:ascii="Arial" w:hAnsi="Arial" w:cs="Arial"/>
                <w:sz w:val="18"/>
                <w:szCs w:val="18"/>
              </w:rPr>
            </w:pPr>
            <w:r>
              <w:rPr>
                <w:rFonts w:ascii="Arial" w:hAnsi="Arial" w:cs="Arial"/>
                <w:sz w:val="18"/>
                <w:szCs w:val="18"/>
              </w:rPr>
              <w:t>Emergency</w:t>
            </w:r>
          </w:p>
        </w:tc>
        <w:tc>
          <w:tcPr>
            <w:tcW w:w="8633" w:type="dxa"/>
            <w:tcMar>
              <w:top w:w="58" w:type="dxa"/>
              <w:left w:w="130" w:type="dxa"/>
              <w:bottom w:w="58" w:type="dxa"/>
              <w:right w:w="115" w:type="dxa"/>
            </w:tcMar>
            <w:vAlign w:val="center"/>
          </w:tcPr>
          <w:p w14:paraId="4CBBA784" w14:textId="77777777" w:rsidR="00E47795" w:rsidRPr="00727041" w:rsidRDefault="00E47795" w:rsidP="001421B0">
            <w:pPr>
              <w:rPr>
                <w:rFonts w:ascii="Arial" w:hAnsi="Arial" w:cs="Arial"/>
                <w:sz w:val="18"/>
                <w:szCs w:val="18"/>
              </w:rPr>
            </w:pPr>
          </w:p>
        </w:tc>
      </w:tr>
      <w:tr w:rsidR="00E47795" w:rsidRPr="00727041" w14:paraId="7EB202EC" w14:textId="77777777" w:rsidTr="007844D4">
        <w:trPr>
          <w:cantSplit/>
        </w:trPr>
        <w:tc>
          <w:tcPr>
            <w:tcW w:w="540" w:type="dxa"/>
            <w:tcMar>
              <w:top w:w="58" w:type="dxa"/>
              <w:left w:w="130" w:type="dxa"/>
              <w:bottom w:w="58" w:type="dxa"/>
              <w:right w:w="115" w:type="dxa"/>
            </w:tcMar>
            <w:vAlign w:val="center"/>
          </w:tcPr>
          <w:p w14:paraId="310593FD"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3E0B16AB" w14:textId="77777777" w:rsidR="00E47795" w:rsidRPr="00727041" w:rsidRDefault="00E47795" w:rsidP="00D54A62">
            <w:pPr>
              <w:rPr>
                <w:rFonts w:ascii="Arial" w:hAnsi="Arial" w:cs="Arial"/>
                <w:sz w:val="18"/>
                <w:szCs w:val="18"/>
              </w:rPr>
            </w:pPr>
            <w:r>
              <w:rPr>
                <w:rFonts w:ascii="Arial" w:hAnsi="Arial" w:cs="Arial"/>
                <w:sz w:val="18"/>
                <w:szCs w:val="18"/>
              </w:rPr>
              <w:t>Disaster</w:t>
            </w:r>
          </w:p>
        </w:tc>
        <w:tc>
          <w:tcPr>
            <w:tcW w:w="8633" w:type="dxa"/>
            <w:tcMar>
              <w:top w:w="58" w:type="dxa"/>
              <w:left w:w="130" w:type="dxa"/>
              <w:bottom w:w="58" w:type="dxa"/>
              <w:right w:w="115" w:type="dxa"/>
            </w:tcMar>
            <w:vAlign w:val="center"/>
          </w:tcPr>
          <w:p w14:paraId="4A717C15" w14:textId="77777777" w:rsidR="00E47795" w:rsidRPr="00727041" w:rsidRDefault="00E47795" w:rsidP="001421B0">
            <w:pPr>
              <w:rPr>
                <w:rFonts w:ascii="Arial" w:hAnsi="Arial" w:cs="Arial"/>
                <w:sz w:val="18"/>
                <w:szCs w:val="18"/>
              </w:rPr>
            </w:pPr>
          </w:p>
        </w:tc>
      </w:tr>
      <w:tr w:rsidR="00E47795" w:rsidRPr="00727041" w14:paraId="29AD0B9A" w14:textId="77777777" w:rsidTr="007844D4">
        <w:trPr>
          <w:cantSplit/>
        </w:trPr>
        <w:tc>
          <w:tcPr>
            <w:tcW w:w="540" w:type="dxa"/>
            <w:tcMar>
              <w:top w:w="58" w:type="dxa"/>
              <w:left w:w="130" w:type="dxa"/>
              <w:bottom w:w="58" w:type="dxa"/>
              <w:right w:w="115" w:type="dxa"/>
            </w:tcMar>
            <w:vAlign w:val="center"/>
          </w:tcPr>
          <w:p w14:paraId="0E271B03"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0D43FE8F" w14:textId="77777777" w:rsidR="00E47795" w:rsidRPr="00727041" w:rsidRDefault="00E47795" w:rsidP="00D54A62">
            <w:pPr>
              <w:rPr>
                <w:rFonts w:ascii="Arial" w:hAnsi="Arial" w:cs="Arial"/>
                <w:sz w:val="18"/>
                <w:szCs w:val="18"/>
              </w:rPr>
            </w:pPr>
            <w:r>
              <w:rPr>
                <w:rFonts w:ascii="Arial" w:hAnsi="Arial" w:cs="Arial"/>
                <w:sz w:val="18"/>
                <w:szCs w:val="18"/>
              </w:rPr>
              <w:t>Public health emergency</w:t>
            </w:r>
          </w:p>
        </w:tc>
        <w:tc>
          <w:tcPr>
            <w:tcW w:w="8633" w:type="dxa"/>
            <w:tcMar>
              <w:top w:w="58" w:type="dxa"/>
              <w:left w:w="130" w:type="dxa"/>
              <w:bottom w:w="58" w:type="dxa"/>
              <w:right w:w="115" w:type="dxa"/>
            </w:tcMar>
            <w:vAlign w:val="center"/>
          </w:tcPr>
          <w:p w14:paraId="04897DD5" w14:textId="77777777" w:rsidR="00E47795" w:rsidRPr="00727041" w:rsidRDefault="00E47795" w:rsidP="001421B0">
            <w:pPr>
              <w:rPr>
                <w:rFonts w:ascii="Arial" w:hAnsi="Arial" w:cs="Arial"/>
                <w:sz w:val="18"/>
                <w:szCs w:val="18"/>
              </w:rPr>
            </w:pPr>
          </w:p>
        </w:tc>
      </w:tr>
      <w:tr w:rsidR="00E47795" w:rsidRPr="00727041" w14:paraId="010DC5E4" w14:textId="77777777" w:rsidTr="007844D4">
        <w:trPr>
          <w:cantSplit/>
        </w:trPr>
        <w:tc>
          <w:tcPr>
            <w:tcW w:w="540" w:type="dxa"/>
            <w:tcMar>
              <w:top w:w="58" w:type="dxa"/>
              <w:left w:w="130" w:type="dxa"/>
              <w:bottom w:w="58" w:type="dxa"/>
              <w:right w:w="115" w:type="dxa"/>
            </w:tcMar>
            <w:vAlign w:val="center"/>
          </w:tcPr>
          <w:p w14:paraId="6EA2E7C3"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7AA2155A" w14:textId="77777777" w:rsidR="00E47795" w:rsidRPr="00727041" w:rsidRDefault="00E47795" w:rsidP="00D54A62">
            <w:pPr>
              <w:rPr>
                <w:rFonts w:ascii="Arial" w:hAnsi="Arial" w:cs="Arial"/>
                <w:sz w:val="18"/>
                <w:szCs w:val="18"/>
              </w:rPr>
            </w:pPr>
            <w:r>
              <w:rPr>
                <w:rFonts w:ascii="Arial" w:hAnsi="Arial" w:cs="Arial"/>
                <w:sz w:val="18"/>
                <w:szCs w:val="18"/>
              </w:rPr>
              <w:t>Public health disaster</w:t>
            </w:r>
          </w:p>
        </w:tc>
        <w:tc>
          <w:tcPr>
            <w:tcW w:w="8633" w:type="dxa"/>
            <w:tcMar>
              <w:top w:w="58" w:type="dxa"/>
              <w:left w:w="130" w:type="dxa"/>
              <w:bottom w:w="58" w:type="dxa"/>
              <w:right w:w="115" w:type="dxa"/>
            </w:tcMar>
            <w:vAlign w:val="center"/>
          </w:tcPr>
          <w:p w14:paraId="371A2517" w14:textId="77777777" w:rsidR="00E47795" w:rsidRPr="00727041" w:rsidRDefault="00E47795" w:rsidP="001421B0">
            <w:pPr>
              <w:rPr>
                <w:rFonts w:ascii="Arial" w:hAnsi="Arial" w:cs="Arial"/>
                <w:sz w:val="18"/>
                <w:szCs w:val="18"/>
              </w:rPr>
            </w:pPr>
          </w:p>
        </w:tc>
      </w:tr>
      <w:tr w:rsidR="00E47795" w:rsidRPr="00727041" w14:paraId="7585B56E" w14:textId="77777777" w:rsidTr="007844D4">
        <w:trPr>
          <w:cantSplit/>
        </w:trPr>
        <w:tc>
          <w:tcPr>
            <w:tcW w:w="540" w:type="dxa"/>
            <w:tcMar>
              <w:top w:w="58" w:type="dxa"/>
              <w:left w:w="130" w:type="dxa"/>
              <w:bottom w:w="58" w:type="dxa"/>
              <w:right w:w="115" w:type="dxa"/>
            </w:tcMar>
            <w:vAlign w:val="center"/>
          </w:tcPr>
          <w:p w14:paraId="086D69D6"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6881FE73" w14:textId="77777777" w:rsidR="00E47795" w:rsidRPr="00727041" w:rsidRDefault="00E47795" w:rsidP="00D54A62">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5E0B6099" w14:textId="77777777" w:rsidR="00E47795" w:rsidRPr="00727041" w:rsidRDefault="00E47795" w:rsidP="001421B0">
            <w:pPr>
              <w:rPr>
                <w:rFonts w:ascii="Arial" w:hAnsi="Arial" w:cs="Arial"/>
                <w:sz w:val="18"/>
                <w:szCs w:val="18"/>
              </w:rPr>
            </w:pPr>
          </w:p>
        </w:tc>
      </w:tr>
      <w:tr w:rsidR="00E47795" w:rsidRPr="00727041" w14:paraId="035B5680" w14:textId="77777777" w:rsidTr="007844D4">
        <w:trPr>
          <w:cantSplit/>
        </w:trPr>
        <w:tc>
          <w:tcPr>
            <w:tcW w:w="5677" w:type="dxa"/>
            <w:gridSpan w:val="2"/>
            <w:tcMar>
              <w:top w:w="58" w:type="dxa"/>
              <w:left w:w="130" w:type="dxa"/>
              <w:bottom w:w="58" w:type="dxa"/>
              <w:right w:w="115" w:type="dxa"/>
            </w:tcMar>
            <w:vAlign w:val="center"/>
          </w:tcPr>
          <w:p w14:paraId="258E33B9" w14:textId="77777777" w:rsidR="00E47795" w:rsidRDefault="00E47795" w:rsidP="000A5BAB">
            <w:pPr>
              <w:rPr>
                <w:rFonts w:ascii="Arial" w:hAnsi="Arial" w:cs="Arial"/>
                <w:sz w:val="18"/>
                <w:szCs w:val="18"/>
              </w:rPr>
            </w:pPr>
            <w:r>
              <w:rPr>
                <w:rFonts w:ascii="Arial" w:hAnsi="Arial" w:cs="Arial"/>
                <w:sz w:val="18"/>
                <w:szCs w:val="18"/>
              </w:rPr>
              <w:t>Determine if there are notice or approval requirements for any of the emergency declaration types. Identify to whom notice is required (e.g., state legislature) and the timing of notice (e.g., prior, simultaneous, subsequent):</w:t>
            </w:r>
          </w:p>
        </w:tc>
        <w:tc>
          <w:tcPr>
            <w:tcW w:w="8633" w:type="dxa"/>
            <w:tcMar>
              <w:top w:w="58" w:type="dxa"/>
              <w:left w:w="130" w:type="dxa"/>
              <w:bottom w:w="58" w:type="dxa"/>
              <w:right w:w="115" w:type="dxa"/>
            </w:tcMar>
            <w:vAlign w:val="center"/>
          </w:tcPr>
          <w:p w14:paraId="5B63164C" w14:textId="77777777" w:rsidR="00E47795" w:rsidRPr="00727041" w:rsidRDefault="00E47795" w:rsidP="009C258C">
            <w:pPr>
              <w:rPr>
                <w:rFonts w:ascii="Arial" w:hAnsi="Arial" w:cs="Arial"/>
                <w:sz w:val="18"/>
                <w:szCs w:val="18"/>
              </w:rPr>
            </w:pPr>
            <w:r>
              <w:rPr>
                <w:rFonts w:ascii="Arial" w:hAnsi="Arial" w:cs="Arial"/>
                <w:sz w:val="18"/>
                <w:szCs w:val="18"/>
              </w:rPr>
              <w:t xml:space="preserve"> </w:t>
            </w:r>
          </w:p>
        </w:tc>
      </w:tr>
      <w:tr w:rsidR="00E47795" w:rsidRPr="00727041" w14:paraId="5B6AD0DE" w14:textId="77777777" w:rsidTr="007844D4">
        <w:trPr>
          <w:cantSplit/>
        </w:trPr>
        <w:tc>
          <w:tcPr>
            <w:tcW w:w="540" w:type="dxa"/>
            <w:tcMar>
              <w:top w:w="58" w:type="dxa"/>
              <w:left w:w="130" w:type="dxa"/>
              <w:bottom w:w="58" w:type="dxa"/>
              <w:right w:w="115" w:type="dxa"/>
            </w:tcMar>
            <w:vAlign w:val="center"/>
          </w:tcPr>
          <w:p w14:paraId="62122DC3"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6E7273B2" w14:textId="77777777" w:rsidR="00E47795" w:rsidRPr="00727041" w:rsidRDefault="00E47795" w:rsidP="00D54A62">
            <w:pPr>
              <w:rPr>
                <w:rFonts w:ascii="Arial" w:hAnsi="Arial" w:cs="Arial"/>
                <w:sz w:val="18"/>
                <w:szCs w:val="18"/>
              </w:rPr>
            </w:pPr>
            <w:r>
              <w:rPr>
                <w:rFonts w:ascii="Arial" w:hAnsi="Arial" w:cs="Arial"/>
                <w:sz w:val="18"/>
                <w:szCs w:val="18"/>
              </w:rPr>
              <w:t>Emergency</w:t>
            </w:r>
          </w:p>
        </w:tc>
        <w:tc>
          <w:tcPr>
            <w:tcW w:w="8633" w:type="dxa"/>
            <w:tcMar>
              <w:top w:w="58" w:type="dxa"/>
              <w:left w:w="130" w:type="dxa"/>
              <w:bottom w:w="58" w:type="dxa"/>
              <w:right w:w="115" w:type="dxa"/>
            </w:tcMar>
            <w:vAlign w:val="center"/>
          </w:tcPr>
          <w:p w14:paraId="37CD560C" w14:textId="77777777" w:rsidR="00E47795" w:rsidRPr="00727041" w:rsidRDefault="00E47795" w:rsidP="001421B0">
            <w:pPr>
              <w:rPr>
                <w:rFonts w:ascii="Arial" w:hAnsi="Arial" w:cs="Arial"/>
                <w:sz w:val="18"/>
                <w:szCs w:val="18"/>
              </w:rPr>
            </w:pPr>
          </w:p>
        </w:tc>
      </w:tr>
      <w:tr w:rsidR="00E47795" w:rsidRPr="00727041" w14:paraId="7E301421" w14:textId="77777777" w:rsidTr="007844D4">
        <w:trPr>
          <w:cantSplit/>
        </w:trPr>
        <w:tc>
          <w:tcPr>
            <w:tcW w:w="540" w:type="dxa"/>
            <w:tcMar>
              <w:top w:w="58" w:type="dxa"/>
              <w:left w:w="130" w:type="dxa"/>
              <w:bottom w:w="58" w:type="dxa"/>
              <w:right w:w="115" w:type="dxa"/>
            </w:tcMar>
            <w:vAlign w:val="center"/>
          </w:tcPr>
          <w:p w14:paraId="2BDBAB91"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2551A821" w14:textId="77777777" w:rsidR="00E47795" w:rsidRPr="00727041" w:rsidRDefault="00E47795" w:rsidP="00D54A62">
            <w:pPr>
              <w:rPr>
                <w:rFonts w:ascii="Arial" w:hAnsi="Arial" w:cs="Arial"/>
                <w:sz w:val="18"/>
                <w:szCs w:val="18"/>
              </w:rPr>
            </w:pPr>
            <w:r>
              <w:rPr>
                <w:rFonts w:ascii="Arial" w:hAnsi="Arial" w:cs="Arial"/>
                <w:sz w:val="18"/>
                <w:szCs w:val="18"/>
              </w:rPr>
              <w:t>Disaster</w:t>
            </w:r>
          </w:p>
        </w:tc>
        <w:tc>
          <w:tcPr>
            <w:tcW w:w="8633" w:type="dxa"/>
            <w:tcMar>
              <w:top w:w="58" w:type="dxa"/>
              <w:left w:w="130" w:type="dxa"/>
              <w:bottom w:w="58" w:type="dxa"/>
              <w:right w:w="115" w:type="dxa"/>
            </w:tcMar>
            <w:vAlign w:val="center"/>
          </w:tcPr>
          <w:p w14:paraId="48ABB448" w14:textId="77777777" w:rsidR="00E47795" w:rsidRPr="00727041" w:rsidRDefault="00E47795" w:rsidP="001421B0">
            <w:pPr>
              <w:rPr>
                <w:rFonts w:ascii="Arial" w:hAnsi="Arial" w:cs="Arial"/>
                <w:sz w:val="18"/>
                <w:szCs w:val="18"/>
              </w:rPr>
            </w:pPr>
          </w:p>
        </w:tc>
      </w:tr>
      <w:tr w:rsidR="00E47795" w:rsidRPr="00727041" w14:paraId="11EAB8A9" w14:textId="77777777" w:rsidTr="007844D4">
        <w:trPr>
          <w:cantSplit/>
        </w:trPr>
        <w:tc>
          <w:tcPr>
            <w:tcW w:w="540" w:type="dxa"/>
            <w:tcMar>
              <w:top w:w="58" w:type="dxa"/>
              <w:left w:w="130" w:type="dxa"/>
              <w:bottom w:w="58" w:type="dxa"/>
              <w:right w:w="115" w:type="dxa"/>
            </w:tcMar>
            <w:vAlign w:val="center"/>
          </w:tcPr>
          <w:p w14:paraId="15813E5C"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1A421961" w14:textId="77777777" w:rsidR="00E47795" w:rsidRPr="00727041" w:rsidRDefault="00E47795" w:rsidP="00D54A62">
            <w:pPr>
              <w:rPr>
                <w:rFonts w:ascii="Arial" w:hAnsi="Arial" w:cs="Arial"/>
                <w:sz w:val="18"/>
                <w:szCs w:val="18"/>
              </w:rPr>
            </w:pPr>
            <w:r>
              <w:rPr>
                <w:rFonts w:ascii="Arial" w:hAnsi="Arial" w:cs="Arial"/>
                <w:sz w:val="18"/>
                <w:szCs w:val="18"/>
              </w:rPr>
              <w:t>Public health emergency</w:t>
            </w:r>
          </w:p>
        </w:tc>
        <w:tc>
          <w:tcPr>
            <w:tcW w:w="8633" w:type="dxa"/>
            <w:tcMar>
              <w:top w:w="58" w:type="dxa"/>
              <w:left w:w="130" w:type="dxa"/>
              <w:bottom w:w="58" w:type="dxa"/>
              <w:right w:w="115" w:type="dxa"/>
            </w:tcMar>
            <w:vAlign w:val="center"/>
          </w:tcPr>
          <w:p w14:paraId="74D45C6D" w14:textId="77777777" w:rsidR="00E47795" w:rsidRPr="00727041" w:rsidRDefault="00E47795" w:rsidP="001421B0">
            <w:pPr>
              <w:rPr>
                <w:rFonts w:ascii="Arial" w:hAnsi="Arial" w:cs="Arial"/>
                <w:sz w:val="18"/>
                <w:szCs w:val="18"/>
              </w:rPr>
            </w:pPr>
          </w:p>
        </w:tc>
      </w:tr>
      <w:tr w:rsidR="00E47795" w:rsidRPr="00727041" w14:paraId="67BBAF3F" w14:textId="77777777" w:rsidTr="007844D4">
        <w:trPr>
          <w:cantSplit/>
        </w:trPr>
        <w:tc>
          <w:tcPr>
            <w:tcW w:w="540" w:type="dxa"/>
            <w:tcMar>
              <w:top w:w="58" w:type="dxa"/>
              <w:left w:w="130" w:type="dxa"/>
              <w:bottom w:w="58" w:type="dxa"/>
              <w:right w:w="115" w:type="dxa"/>
            </w:tcMar>
            <w:vAlign w:val="center"/>
          </w:tcPr>
          <w:p w14:paraId="74BAF6FF"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43A2790A" w14:textId="77777777" w:rsidR="00E47795" w:rsidRPr="00727041" w:rsidRDefault="00E47795" w:rsidP="00D54A62">
            <w:pPr>
              <w:rPr>
                <w:rFonts w:ascii="Arial" w:hAnsi="Arial" w:cs="Arial"/>
                <w:sz w:val="18"/>
                <w:szCs w:val="18"/>
              </w:rPr>
            </w:pPr>
            <w:r>
              <w:rPr>
                <w:rFonts w:ascii="Arial" w:hAnsi="Arial" w:cs="Arial"/>
                <w:sz w:val="18"/>
                <w:szCs w:val="18"/>
              </w:rPr>
              <w:t>Public health disaster</w:t>
            </w:r>
          </w:p>
        </w:tc>
        <w:tc>
          <w:tcPr>
            <w:tcW w:w="8633" w:type="dxa"/>
            <w:tcMar>
              <w:top w:w="58" w:type="dxa"/>
              <w:left w:w="130" w:type="dxa"/>
              <w:bottom w:w="58" w:type="dxa"/>
              <w:right w:w="115" w:type="dxa"/>
            </w:tcMar>
            <w:vAlign w:val="center"/>
          </w:tcPr>
          <w:p w14:paraId="4B0A5DC2" w14:textId="77777777" w:rsidR="00E47795" w:rsidRPr="00727041" w:rsidRDefault="00E47795" w:rsidP="001421B0">
            <w:pPr>
              <w:rPr>
                <w:rFonts w:ascii="Arial" w:hAnsi="Arial" w:cs="Arial"/>
                <w:sz w:val="18"/>
                <w:szCs w:val="18"/>
              </w:rPr>
            </w:pPr>
          </w:p>
        </w:tc>
      </w:tr>
      <w:tr w:rsidR="00E47795" w:rsidRPr="00727041" w14:paraId="2842C7F1" w14:textId="77777777" w:rsidTr="007844D4">
        <w:trPr>
          <w:cantSplit/>
        </w:trPr>
        <w:tc>
          <w:tcPr>
            <w:tcW w:w="540" w:type="dxa"/>
            <w:tcMar>
              <w:top w:w="58" w:type="dxa"/>
              <w:left w:w="130" w:type="dxa"/>
              <w:bottom w:w="58" w:type="dxa"/>
              <w:right w:w="115" w:type="dxa"/>
            </w:tcMar>
            <w:vAlign w:val="center"/>
          </w:tcPr>
          <w:p w14:paraId="263EE093"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553A3554" w14:textId="77777777" w:rsidR="00E47795" w:rsidRPr="00727041" w:rsidRDefault="00E47795" w:rsidP="00D54A62">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351CADC2" w14:textId="77777777" w:rsidR="00E47795" w:rsidRPr="00727041" w:rsidRDefault="00E47795" w:rsidP="001421B0">
            <w:pPr>
              <w:rPr>
                <w:rFonts w:ascii="Arial" w:hAnsi="Arial" w:cs="Arial"/>
                <w:sz w:val="18"/>
                <w:szCs w:val="18"/>
              </w:rPr>
            </w:pPr>
          </w:p>
        </w:tc>
      </w:tr>
      <w:tr w:rsidR="00E47795" w:rsidRPr="00727041" w14:paraId="2AD45548" w14:textId="77777777" w:rsidTr="007844D4">
        <w:trPr>
          <w:cantSplit/>
        </w:trPr>
        <w:tc>
          <w:tcPr>
            <w:tcW w:w="5677" w:type="dxa"/>
            <w:gridSpan w:val="2"/>
            <w:tcMar>
              <w:top w:w="58" w:type="dxa"/>
              <w:left w:w="130" w:type="dxa"/>
              <w:bottom w:w="58" w:type="dxa"/>
              <w:right w:w="115" w:type="dxa"/>
            </w:tcMar>
            <w:vAlign w:val="center"/>
          </w:tcPr>
          <w:p w14:paraId="24FD2193" w14:textId="77777777" w:rsidR="00E47795" w:rsidRDefault="00E47795" w:rsidP="00D54A62">
            <w:pPr>
              <w:rPr>
                <w:rFonts w:ascii="Arial" w:hAnsi="Arial" w:cs="Arial"/>
                <w:sz w:val="18"/>
                <w:szCs w:val="18"/>
              </w:rPr>
            </w:pPr>
            <w:r>
              <w:rPr>
                <w:rFonts w:ascii="Arial" w:hAnsi="Arial" w:cs="Arial"/>
                <w:sz w:val="18"/>
                <w:szCs w:val="18"/>
              </w:rPr>
              <w:t>Identify the terms of renewal and termination for the various emergency declaration types, including processes, notices, and approvals:</w:t>
            </w:r>
          </w:p>
        </w:tc>
        <w:tc>
          <w:tcPr>
            <w:tcW w:w="8633" w:type="dxa"/>
            <w:tcMar>
              <w:top w:w="58" w:type="dxa"/>
              <w:left w:w="130" w:type="dxa"/>
              <w:bottom w:w="58" w:type="dxa"/>
              <w:right w:w="115" w:type="dxa"/>
            </w:tcMar>
            <w:vAlign w:val="center"/>
          </w:tcPr>
          <w:p w14:paraId="1DFDC0A6" w14:textId="77777777" w:rsidR="00E47795" w:rsidRPr="00727041" w:rsidRDefault="00E47795" w:rsidP="001421B0">
            <w:pPr>
              <w:rPr>
                <w:rFonts w:ascii="Arial" w:hAnsi="Arial" w:cs="Arial"/>
                <w:sz w:val="18"/>
                <w:szCs w:val="18"/>
              </w:rPr>
            </w:pPr>
          </w:p>
        </w:tc>
      </w:tr>
      <w:tr w:rsidR="00E47795" w:rsidRPr="00727041" w14:paraId="26F3005C" w14:textId="77777777" w:rsidTr="007844D4">
        <w:trPr>
          <w:cantSplit/>
        </w:trPr>
        <w:tc>
          <w:tcPr>
            <w:tcW w:w="540" w:type="dxa"/>
            <w:tcMar>
              <w:top w:w="58" w:type="dxa"/>
              <w:left w:w="130" w:type="dxa"/>
              <w:bottom w:w="58" w:type="dxa"/>
              <w:right w:w="115" w:type="dxa"/>
            </w:tcMar>
            <w:vAlign w:val="center"/>
          </w:tcPr>
          <w:p w14:paraId="2ED86EBE"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401D42B8" w14:textId="77777777" w:rsidR="00E47795" w:rsidRPr="00727041" w:rsidRDefault="00E47795" w:rsidP="00D54A62">
            <w:pPr>
              <w:rPr>
                <w:rFonts w:ascii="Arial" w:hAnsi="Arial" w:cs="Arial"/>
                <w:sz w:val="18"/>
                <w:szCs w:val="18"/>
              </w:rPr>
            </w:pPr>
            <w:r>
              <w:rPr>
                <w:rFonts w:ascii="Arial" w:hAnsi="Arial" w:cs="Arial"/>
                <w:sz w:val="18"/>
                <w:szCs w:val="18"/>
              </w:rPr>
              <w:t>Emergency</w:t>
            </w:r>
          </w:p>
        </w:tc>
        <w:tc>
          <w:tcPr>
            <w:tcW w:w="8633" w:type="dxa"/>
            <w:tcMar>
              <w:top w:w="58" w:type="dxa"/>
              <w:left w:w="130" w:type="dxa"/>
              <w:bottom w:w="58" w:type="dxa"/>
              <w:right w:w="115" w:type="dxa"/>
            </w:tcMar>
            <w:vAlign w:val="center"/>
          </w:tcPr>
          <w:p w14:paraId="3D956290" w14:textId="77777777" w:rsidR="00E47795" w:rsidRPr="00727041" w:rsidRDefault="00E47795" w:rsidP="001421B0">
            <w:pPr>
              <w:rPr>
                <w:rFonts w:ascii="Arial" w:hAnsi="Arial" w:cs="Arial"/>
                <w:sz w:val="18"/>
                <w:szCs w:val="18"/>
              </w:rPr>
            </w:pPr>
          </w:p>
        </w:tc>
      </w:tr>
      <w:tr w:rsidR="00E47795" w:rsidRPr="00727041" w14:paraId="440E292A" w14:textId="77777777" w:rsidTr="007844D4">
        <w:trPr>
          <w:cantSplit/>
        </w:trPr>
        <w:tc>
          <w:tcPr>
            <w:tcW w:w="540" w:type="dxa"/>
            <w:tcMar>
              <w:top w:w="58" w:type="dxa"/>
              <w:left w:w="130" w:type="dxa"/>
              <w:bottom w:w="58" w:type="dxa"/>
              <w:right w:w="115" w:type="dxa"/>
            </w:tcMar>
            <w:vAlign w:val="center"/>
          </w:tcPr>
          <w:p w14:paraId="53619F4A"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6328B9DD" w14:textId="77777777" w:rsidR="00E47795" w:rsidRPr="00727041" w:rsidRDefault="00E47795" w:rsidP="00D54A62">
            <w:pPr>
              <w:rPr>
                <w:rFonts w:ascii="Arial" w:hAnsi="Arial" w:cs="Arial"/>
                <w:sz w:val="18"/>
                <w:szCs w:val="18"/>
              </w:rPr>
            </w:pPr>
            <w:r>
              <w:rPr>
                <w:rFonts w:ascii="Arial" w:hAnsi="Arial" w:cs="Arial"/>
                <w:sz w:val="18"/>
                <w:szCs w:val="18"/>
              </w:rPr>
              <w:t>Disaster</w:t>
            </w:r>
          </w:p>
        </w:tc>
        <w:tc>
          <w:tcPr>
            <w:tcW w:w="8633" w:type="dxa"/>
            <w:tcMar>
              <w:top w:w="58" w:type="dxa"/>
              <w:left w:w="130" w:type="dxa"/>
              <w:bottom w:w="58" w:type="dxa"/>
              <w:right w:w="115" w:type="dxa"/>
            </w:tcMar>
            <w:vAlign w:val="center"/>
          </w:tcPr>
          <w:p w14:paraId="2C6F4747" w14:textId="77777777" w:rsidR="00E47795" w:rsidRPr="00727041" w:rsidRDefault="00E47795" w:rsidP="001421B0">
            <w:pPr>
              <w:rPr>
                <w:rFonts w:ascii="Arial" w:hAnsi="Arial" w:cs="Arial"/>
                <w:sz w:val="18"/>
                <w:szCs w:val="18"/>
              </w:rPr>
            </w:pPr>
          </w:p>
        </w:tc>
      </w:tr>
      <w:tr w:rsidR="00E47795" w:rsidRPr="00727041" w14:paraId="249851DA" w14:textId="77777777" w:rsidTr="007844D4">
        <w:trPr>
          <w:cantSplit/>
        </w:trPr>
        <w:tc>
          <w:tcPr>
            <w:tcW w:w="540" w:type="dxa"/>
            <w:tcMar>
              <w:top w:w="58" w:type="dxa"/>
              <w:left w:w="130" w:type="dxa"/>
              <w:bottom w:w="58" w:type="dxa"/>
              <w:right w:w="115" w:type="dxa"/>
            </w:tcMar>
            <w:vAlign w:val="center"/>
          </w:tcPr>
          <w:p w14:paraId="6E4DF6D6"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400373FE" w14:textId="77777777" w:rsidR="00E47795" w:rsidRPr="00727041" w:rsidRDefault="00E47795" w:rsidP="00D54A62">
            <w:pPr>
              <w:rPr>
                <w:rFonts w:ascii="Arial" w:hAnsi="Arial" w:cs="Arial"/>
                <w:sz w:val="18"/>
                <w:szCs w:val="18"/>
              </w:rPr>
            </w:pPr>
            <w:r>
              <w:rPr>
                <w:rFonts w:ascii="Arial" w:hAnsi="Arial" w:cs="Arial"/>
                <w:sz w:val="18"/>
                <w:szCs w:val="18"/>
              </w:rPr>
              <w:t>Public health emergency</w:t>
            </w:r>
          </w:p>
        </w:tc>
        <w:tc>
          <w:tcPr>
            <w:tcW w:w="8633" w:type="dxa"/>
            <w:tcMar>
              <w:top w:w="58" w:type="dxa"/>
              <w:left w:w="130" w:type="dxa"/>
              <w:bottom w:w="58" w:type="dxa"/>
              <w:right w:w="115" w:type="dxa"/>
            </w:tcMar>
            <w:vAlign w:val="center"/>
          </w:tcPr>
          <w:p w14:paraId="5F85A1AD" w14:textId="77777777" w:rsidR="00E47795" w:rsidRPr="00727041" w:rsidRDefault="00E47795" w:rsidP="001421B0">
            <w:pPr>
              <w:rPr>
                <w:rFonts w:ascii="Arial" w:hAnsi="Arial" w:cs="Arial"/>
                <w:sz w:val="18"/>
                <w:szCs w:val="18"/>
              </w:rPr>
            </w:pPr>
          </w:p>
        </w:tc>
      </w:tr>
      <w:tr w:rsidR="00E47795" w:rsidRPr="00727041" w14:paraId="769E7920" w14:textId="77777777" w:rsidTr="007844D4">
        <w:trPr>
          <w:cantSplit/>
        </w:trPr>
        <w:tc>
          <w:tcPr>
            <w:tcW w:w="540" w:type="dxa"/>
            <w:tcMar>
              <w:top w:w="58" w:type="dxa"/>
              <w:left w:w="130" w:type="dxa"/>
              <w:bottom w:w="58" w:type="dxa"/>
              <w:right w:w="115" w:type="dxa"/>
            </w:tcMar>
            <w:vAlign w:val="center"/>
          </w:tcPr>
          <w:p w14:paraId="0288D02C"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55A6CF65" w14:textId="77777777" w:rsidR="00E47795" w:rsidRPr="00727041" w:rsidRDefault="00E47795" w:rsidP="00D54A62">
            <w:pPr>
              <w:rPr>
                <w:rFonts w:ascii="Arial" w:hAnsi="Arial" w:cs="Arial"/>
                <w:sz w:val="18"/>
                <w:szCs w:val="18"/>
              </w:rPr>
            </w:pPr>
            <w:r>
              <w:rPr>
                <w:rFonts w:ascii="Arial" w:hAnsi="Arial" w:cs="Arial"/>
                <w:sz w:val="18"/>
                <w:szCs w:val="18"/>
              </w:rPr>
              <w:t>Public health disaster</w:t>
            </w:r>
          </w:p>
        </w:tc>
        <w:tc>
          <w:tcPr>
            <w:tcW w:w="8633" w:type="dxa"/>
            <w:tcMar>
              <w:top w:w="58" w:type="dxa"/>
              <w:left w:w="130" w:type="dxa"/>
              <w:bottom w:w="58" w:type="dxa"/>
              <w:right w:w="115" w:type="dxa"/>
            </w:tcMar>
            <w:vAlign w:val="center"/>
          </w:tcPr>
          <w:p w14:paraId="7B6F445C" w14:textId="77777777" w:rsidR="00E47795" w:rsidRPr="00727041" w:rsidRDefault="00E47795" w:rsidP="001421B0">
            <w:pPr>
              <w:rPr>
                <w:rFonts w:ascii="Arial" w:hAnsi="Arial" w:cs="Arial"/>
                <w:sz w:val="18"/>
                <w:szCs w:val="18"/>
              </w:rPr>
            </w:pPr>
          </w:p>
        </w:tc>
      </w:tr>
      <w:tr w:rsidR="00E47795" w:rsidRPr="00727041" w14:paraId="24247E6E" w14:textId="77777777" w:rsidTr="007844D4">
        <w:trPr>
          <w:cantSplit/>
        </w:trPr>
        <w:tc>
          <w:tcPr>
            <w:tcW w:w="540" w:type="dxa"/>
            <w:tcMar>
              <w:top w:w="58" w:type="dxa"/>
              <w:left w:w="130" w:type="dxa"/>
              <w:bottom w:w="58" w:type="dxa"/>
              <w:right w:w="115" w:type="dxa"/>
            </w:tcMar>
            <w:vAlign w:val="center"/>
          </w:tcPr>
          <w:p w14:paraId="3899BCA2"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7CE65E00" w14:textId="77777777" w:rsidR="00E47795" w:rsidRPr="00727041" w:rsidRDefault="00E47795" w:rsidP="00D54A62">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2CB12D52" w14:textId="77777777" w:rsidR="00E47795" w:rsidRPr="00727041" w:rsidRDefault="00E47795" w:rsidP="001421B0">
            <w:pPr>
              <w:rPr>
                <w:rFonts w:ascii="Arial" w:hAnsi="Arial" w:cs="Arial"/>
                <w:sz w:val="18"/>
                <w:szCs w:val="18"/>
              </w:rPr>
            </w:pPr>
          </w:p>
        </w:tc>
      </w:tr>
      <w:tr w:rsidR="00E47795" w:rsidRPr="00727041" w14:paraId="1E3631AA" w14:textId="77777777" w:rsidTr="00D71C58">
        <w:trPr>
          <w:cantSplit/>
          <w:trHeight w:val="484"/>
        </w:trPr>
        <w:tc>
          <w:tcPr>
            <w:tcW w:w="14310" w:type="dxa"/>
            <w:gridSpan w:val="3"/>
            <w:shd w:val="clear" w:color="auto" w:fill="F2F2F2" w:themeFill="background1" w:themeFillShade="F2"/>
            <w:tcMar>
              <w:top w:w="58" w:type="dxa"/>
              <w:left w:w="130" w:type="dxa"/>
              <w:bottom w:w="58" w:type="dxa"/>
              <w:right w:w="115" w:type="dxa"/>
            </w:tcMar>
            <w:vAlign w:val="center"/>
          </w:tcPr>
          <w:p w14:paraId="2712FB0F" w14:textId="77777777" w:rsidR="00E47795" w:rsidRPr="00727041" w:rsidRDefault="00E47795" w:rsidP="001421B0">
            <w:pPr>
              <w:rPr>
                <w:rFonts w:ascii="Arial" w:hAnsi="Arial" w:cs="Arial"/>
                <w:sz w:val="18"/>
                <w:szCs w:val="18"/>
              </w:rPr>
            </w:pPr>
            <w:r w:rsidRPr="00D71C58">
              <w:rPr>
                <w:rFonts w:ascii="Arial" w:hAnsi="Arial" w:cs="Arial"/>
                <w:b/>
                <w:sz w:val="20"/>
                <w:szCs w:val="20"/>
              </w:rPr>
              <w:t xml:space="preserve">Emergency Authorities </w:t>
            </w:r>
            <w:r w:rsidRPr="00D71C58">
              <w:rPr>
                <w:rFonts w:ascii="Arial" w:hAnsi="Arial" w:cs="Arial"/>
                <w:b/>
                <w:sz w:val="20"/>
                <w:szCs w:val="20"/>
                <w:u w:val="single"/>
              </w:rPr>
              <w:t>with</w:t>
            </w:r>
            <w:r w:rsidRPr="00D71C58">
              <w:rPr>
                <w:rFonts w:ascii="Arial" w:hAnsi="Arial" w:cs="Arial"/>
                <w:b/>
                <w:sz w:val="20"/>
                <w:szCs w:val="20"/>
              </w:rPr>
              <w:t xml:space="preserve"> an Emergency Declaration</w:t>
            </w:r>
          </w:p>
        </w:tc>
      </w:tr>
      <w:tr w:rsidR="00E47795" w:rsidRPr="00727041" w14:paraId="7EADD7CE" w14:textId="77777777" w:rsidTr="007844D4">
        <w:trPr>
          <w:cantSplit/>
        </w:trPr>
        <w:tc>
          <w:tcPr>
            <w:tcW w:w="5677" w:type="dxa"/>
            <w:gridSpan w:val="2"/>
            <w:tcMar>
              <w:top w:w="58" w:type="dxa"/>
              <w:left w:w="130" w:type="dxa"/>
              <w:bottom w:w="58" w:type="dxa"/>
              <w:right w:w="115" w:type="dxa"/>
            </w:tcMar>
            <w:vAlign w:val="center"/>
          </w:tcPr>
          <w:p w14:paraId="201BF79D" w14:textId="77777777" w:rsidR="00E47795" w:rsidRPr="00727041" w:rsidRDefault="00E47795" w:rsidP="000D7A7E">
            <w:pPr>
              <w:rPr>
                <w:rFonts w:ascii="Arial" w:hAnsi="Arial" w:cs="Arial"/>
                <w:sz w:val="18"/>
                <w:szCs w:val="18"/>
              </w:rPr>
            </w:pPr>
            <w:r>
              <w:rPr>
                <w:rFonts w:ascii="Arial" w:hAnsi="Arial" w:cs="Arial"/>
                <w:sz w:val="18"/>
                <w:szCs w:val="18"/>
              </w:rPr>
              <w:lastRenderedPageBreak/>
              <w:t>Identify the authorities granted to the state health official/agency director or the state health agency if an emergency is declared:</w:t>
            </w:r>
          </w:p>
        </w:tc>
        <w:tc>
          <w:tcPr>
            <w:tcW w:w="8633" w:type="dxa"/>
            <w:tcMar>
              <w:top w:w="58" w:type="dxa"/>
              <w:left w:w="130" w:type="dxa"/>
              <w:bottom w:w="58" w:type="dxa"/>
              <w:right w:w="115" w:type="dxa"/>
            </w:tcMar>
            <w:vAlign w:val="center"/>
          </w:tcPr>
          <w:p w14:paraId="6BF705FE" w14:textId="77777777" w:rsidR="00E47795" w:rsidRPr="00727041" w:rsidRDefault="00E47795" w:rsidP="001421B0">
            <w:pPr>
              <w:rPr>
                <w:rFonts w:ascii="Arial" w:hAnsi="Arial" w:cs="Arial"/>
                <w:sz w:val="18"/>
                <w:szCs w:val="18"/>
              </w:rPr>
            </w:pPr>
          </w:p>
        </w:tc>
      </w:tr>
      <w:tr w:rsidR="00E47795" w:rsidRPr="00727041" w14:paraId="7C16DCDD" w14:textId="77777777" w:rsidTr="007844D4">
        <w:trPr>
          <w:cantSplit/>
        </w:trPr>
        <w:tc>
          <w:tcPr>
            <w:tcW w:w="540" w:type="dxa"/>
            <w:tcMar>
              <w:top w:w="58" w:type="dxa"/>
              <w:left w:w="130" w:type="dxa"/>
              <w:bottom w:w="58" w:type="dxa"/>
              <w:right w:w="115" w:type="dxa"/>
            </w:tcMar>
            <w:vAlign w:val="center"/>
          </w:tcPr>
          <w:p w14:paraId="6E3D07D3"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36620B96" w14:textId="77777777" w:rsidR="00E47795" w:rsidRPr="00727041" w:rsidRDefault="00E47795" w:rsidP="00267905">
            <w:pPr>
              <w:rPr>
                <w:rFonts w:ascii="Arial" w:hAnsi="Arial" w:cs="Arial"/>
                <w:sz w:val="18"/>
                <w:szCs w:val="18"/>
              </w:rPr>
            </w:pPr>
            <w:r>
              <w:rPr>
                <w:rFonts w:ascii="Arial" w:hAnsi="Arial" w:cs="Arial"/>
                <w:sz w:val="18"/>
                <w:szCs w:val="18"/>
              </w:rPr>
              <w:t>Identify any new authorities granted.</w:t>
            </w:r>
          </w:p>
        </w:tc>
        <w:tc>
          <w:tcPr>
            <w:tcW w:w="8633" w:type="dxa"/>
            <w:tcMar>
              <w:top w:w="58" w:type="dxa"/>
              <w:left w:w="130" w:type="dxa"/>
              <w:bottom w:w="58" w:type="dxa"/>
              <w:right w:w="115" w:type="dxa"/>
            </w:tcMar>
            <w:vAlign w:val="center"/>
          </w:tcPr>
          <w:p w14:paraId="6A633C8D" w14:textId="77777777" w:rsidR="00E47795" w:rsidRPr="00727041" w:rsidRDefault="00E47795" w:rsidP="001421B0">
            <w:pPr>
              <w:rPr>
                <w:rFonts w:ascii="Arial" w:hAnsi="Arial" w:cs="Arial"/>
                <w:sz w:val="18"/>
                <w:szCs w:val="18"/>
              </w:rPr>
            </w:pPr>
          </w:p>
        </w:tc>
      </w:tr>
      <w:tr w:rsidR="00E47795" w:rsidRPr="00727041" w14:paraId="7A1F7D07" w14:textId="77777777" w:rsidTr="007844D4">
        <w:trPr>
          <w:cantSplit/>
        </w:trPr>
        <w:tc>
          <w:tcPr>
            <w:tcW w:w="540" w:type="dxa"/>
            <w:tcMar>
              <w:top w:w="58" w:type="dxa"/>
              <w:left w:w="130" w:type="dxa"/>
              <w:bottom w:w="58" w:type="dxa"/>
              <w:right w:w="115" w:type="dxa"/>
            </w:tcMar>
            <w:vAlign w:val="center"/>
          </w:tcPr>
          <w:p w14:paraId="1423FCDB"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43A806B2" w14:textId="77777777" w:rsidR="00E47795" w:rsidRPr="00727041" w:rsidRDefault="00E47795" w:rsidP="000D7A7E">
            <w:pPr>
              <w:rPr>
                <w:rFonts w:ascii="Arial" w:hAnsi="Arial" w:cs="Arial"/>
                <w:sz w:val="18"/>
                <w:szCs w:val="18"/>
              </w:rPr>
            </w:pPr>
            <w:r>
              <w:rPr>
                <w:rFonts w:ascii="Arial" w:hAnsi="Arial" w:cs="Arial"/>
                <w:sz w:val="18"/>
                <w:szCs w:val="18"/>
              </w:rPr>
              <w:t>Identify any existing authorities that are modified and how they differ from non-emergency authorities.</w:t>
            </w:r>
          </w:p>
        </w:tc>
        <w:tc>
          <w:tcPr>
            <w:tcW w:w="8633" w:type="dxa"/>
            <w:tcMar>
              <w:top w:w="58" w:type="dxa"/>
              <w:left w:w="130" w:type="dxa"/>
              <w:bottom w:w="58" w:type="dxa"/>
              <w:right w:w="115" w:type="dxa"/>
            </w:tcMar>
            <w:vAlign w:val="center"/>
          </w:tcPr>
          <w:p w14:paraId="2015A9CA" w14:textId="77777777" w:rsidR="00E47795" w:rsidRPr="00727041" w:rsidRDefault="00E47795" w:rsidP="001421B0">
            <w:pPr>
              <w:rPr>
                <w:rFonts w:ascii="Arial" w:hAnsi="Arial" w:cs="Arial"/>
                <w:sz w:val="18"/>
                <w:szCs w:val="18"/>
              </w:rPr>
            </w:pPr>
          </w:p>
        </w:tc>
      </w:tr>
      <w:tr w:rsidR="00E47795" w:rsidRPr="00727041" w14:paraId="5E1E4097" w14:textId="77777777" w:rsidTr="007844D4">
        <w:trPr>
          <w:cantSplit/>
        </w:trPr>
        <w:tc>
          <w:tcPr>
            <w:tcW w:w="540" w:type="dxa"/>
            <w:tcMar>
              <w:top w:w="58" w:type="dxa"/>
              <w:left w:w="130" w:type="dxa"/>
              <w:bottom w:w="58" w:type="dxa"/>
              <w:right w:w="115" w:type="dxa"/>
            </w:tcMar>
            <w:vAlign w:val="center"/>
          </w:tcPr>
          <w:p w14:paraId="250C5CCC"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6650BD46" w14:textId="77777777" w:rsidR="00E47795" w:rsidRDefault="00E47795" w:rsidP="00267905">
            <w:pPr>
              <w:rPr>
                <w:rFonts w:ascii="Arial" w:hAnsi="Arial" w:cs="Arial"/>
                <w:sz w:val="18"/>
                <w:szCs w:val="18"/>
              </w:rPr>
            </w:pPr>
            <w:r>
              <w:rPr>
                <w:rFonts w:ascii="Arial" w:hAnsi="Arial" w:cs="Arial"/>
                <w:sz w:val="18"/>
                <w:szCs w:val="18"/>
              </w:rPr>
              <w:t>Understand how the emergency authorities are operationalized in the state's emergency response plan(s).</w:t>
            </w:r>
          </w:p>
        </w:tc>
        <w:tc>
          <w:tcPr>
            <w:tcW w:w="8633" w:type="dxa"/>
            <w:tcMar>
              <w:top w:w="58" w:type="dxa"/>
              <w:left w:w="130" w:type="dxa"/>
              <w:bottom w:w="58" w:type="dxa"/>
              <w:right w:w="115" w:type="dxa"/>
            </w:tcMar>
            <w:vAlign w:val="center"/>
          </w:tcPr>
          <w:p w14:paraId="427A04FD" w14:textId="77777777" w:rsidR="00E47795" w:rsidRPr="00727041" w:rsidRDefault="00E47795" w:rsidP="001421B0">
            <w:pPr>
              <w:rPr>
                <w:rFonts w:ascii="Arial" w:hAnsi="Arial" w:cs="Arial"/>
                <w:sz w:val="18"/>
                <w:szCs w:val="18"/>
              </w:rPr>
            </w:pPr>
          </w:p>
        </w:tc>
      </w:tr>
      <w:tr w:rsidR="00E47795" w:rsidRPr="00727041" w14:paraId="40BF4A47" w14:textId="77777777" w:rsidTr="007844D4">
        <w:trPr>
          <w:cantSplit/>
        </w:trPr>
        <w:tc>
          <w:tcPr>
            <w:tcW w:w="5677" w:type="dxa"/>
            <w:gridSpan w:val="2"/>
            <w:tcMar>
              <w:top w:w="58" w:type="dxa"/>
              <w:left w:w="130" w:type="dxa"/>
              <w:bottom w:w="58" w:type="dxa"/>
              <w:right w:w="115" w:type="dxa"/>
            </w:tcMar>
            <w:vAlign w:val="center"/>
          </w:tcPr>
          <w:p w14:paraId="49A0C329" w14:textId="77777777" w:rsidR="00E47795" w:rsidRPr="00727041" w:rsidRDefault="00E47795" w:rsidP="009B334F">
            <w:pPr>
              <w:rPr>
                <w:rFonts w:ascii="Arial" w:hAnsi="Arial" w:cs="Arial"/>
                <w:sz w:val="18"/>
                <w:szCs w:val="18"/>
              </w:rPr>
            </w:pPr>
            <w:r>
              <w:rPr>
                <w:rFonts w:ascii="Arial" w:hAnsi="Arial" w:cs="Arial"/>
                <w:sz w:val="18"/>
                <w:szCs w:val="18"/>
              </w:rPr>
              <w:t>Identify other state authorities that become available if an emergency is declared and the officials or agencies authorized to exercise these authorities.</w:t>
            </w:r>
          </w:p>
        </w:tc>
        <w:tc>
          <w:tcPr>
            <w:tcW w:w="8633" w:type="dxa"/>
            <w:tcMar>
              <w:top w:w="58" w:type="dxa"/>
              <w:left w:w="130" w:type="dxa"/>
              <w:bottom w:w="58" w:type="dxa"/>
              <w:right w:w="115" w:type="dxa"/>
            </w:tcMar>
            <w:vAlign w:val="center"/>
          </w:tcPr>
          <w:p w14:paraId="376BE1B9" w14:textId="77777777" w:rsidR="00E47795" w:rsidRPr="00727041" w:rsidRDefault="00E47795" w:rsidP="001421B0">
            <w:pPr>
              <w:rPr>
                <w:rFonts w:ascii="Arial" w:hAnsi="Arial" w:cs="Arial"/>
                <w:sz w:val="18"/>
                <w:szCs w:val="18"/>
              </w:rPr>
            </w:pPr>
          </w:p>
        </w:tc>
      </w:tr>
      <w:tr w:rsidR="00E47795" w:rsidRPr="00727041" w14:paraId="1C630C39" w14:textId="77777777" w:rsidTr="007844D4">
        <w:trPr>
          <w:cantSplit/>
        </w:trPr>
        <w:tc>
          <w:tcPr>
            <w:tcW w:w="5677" w:type="dxa"/>
            <w:gridSpan w:val="2"/>
            <w:tcMar>
              <w:top w:w="58" w:type="dxa"/>
              <w:left w:w="130" w:type="dxa"/>
              <w:bottom w:w="58" w:type="dxa"/>
              <w:right w:w="115" w:type="dxa"/>
            </w:tcMar>
            <w:vAlign w:val="center"/>
          </w:tcPr>
          <w:p w14:paraId="059157FE" w14:textId="77777777" w:rsidR="00E47795" w:rsidRPr="00727041" w:rsidRDefault="00E47795" w:rsidP="001421B0">
            <w:pPr>
              <w:rPr>
                <w:rFonts w:ascii="Arial" w:hAnsi="Arial" w:cs="Arial"/>
                <w:sz w:val="18"/>
                <w:szCs w:val="18"/>
              </w:rPr>
            </w:pPr>
            <w:r>
              <w:rPr>
                <w:rFonts w:ascii="Arial" w:hAnsi="Arial" w:cs="Arial"/>
                <w:sz w:val="18"/>
                <w:szCs w:val="18"/>
              </w:rPr>
              <w:t>Identify state systems that are triggered as a result of the emergency declaration:</w:t>
            </w:r>
          </w:p>
        </w:tc>
        <w:tc>
          <w:tcPr>
            <w:tcW w:w="8633" w:type="dxa"/>
            <w:tcMar>
              <w:top w:w="58" w:type="dxa"/>
              <w:left w:w="130" w:type="dxa"/>
              <w:bottom w:w="58" w:type="dxa"/>
              <w:right w:w="115" w:type="dxa"/>
            </w:tcMar>
            <w:vAlign w:val="center"/>
          </w:tcPr>
          <w:p w14:paraId="33E968B7" w14:textId="77777777" w:rsidR="00E47795" w:rsidRPr="00727041" w:rsidRDefault="00E47795" w:rsidP="001421B0">
            <w:pPr>
              <w:rPr>
                <w:rFonts w:ascii="Arial" w:hAnsi="Arial" w:cs="Arial"/>
                <w:sz w:val="18"/>
                <w:szCs w:val="18"/>
              </w:rPr>
            </w:pPr>
          </w:p>
        </w:tc>
      </w:tr>
      <w:tr w:rsidR="00E47795" w:rsidRPr="00727041" w14:paraId="119E6F50" w14:textId="77777777" w:rsidTr="007844D4">
        <w:trPr>
          <w:cantSplit/>
        </w:trPr>
        <w:tc>
          <w:tcPr>
            <w:tcW w:w="540" w:type="dxa"/>
            <w:tcMar>
              <w:top w:w="58" w:type="dxa"/>
              <w:left w:w="130" w:type="dxa"/>
              <w:bottom w:w="58" w:type="dxa"/>
              <w:right w:w="115" w:type="dxa"/>
            </w:tcMar>
            <w:vAlign w:val="center"/>
          </w:tcPr>
          <w:p w14:paraId="1ED8B516"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7AA7C051" w14:textId="77777777" w:rsidR="00E47795" w:rsidRPr="00727041" w:rsidRDefault="00E47795" w:rsidP="001421B0">
            <w:pPr>
              <w:rPr>
                <w:rFonts w:ascii="Arial" w:hAnsi="Arial" w:cs="Arial"/>
                <w:sz w:val="18"/>
                <w:szCs w:val="18"/>
              </w:rPr>
            </w:pPr>
            <w:r>
              <w:rPr>
                <w:rFonts w:ascii="Arial" w:hAnsi="Arial" w:cs="Arial"/>
                <w:sz w:val="18"/>
                <w:szCs w:val="18"/>
              </w:rPr>
              <w:t>Emergency operations center</w:t>
            </w:r>
          </w:p>
        </w:tc>
        <w:tc>
          <w:tcPr>
            <w:tcW w:w="8633" w:type="dxa"/>
            <w:tcMar>
              <w:top w:w="58" w:type="dxa"/>
              <w:left w:w="130" w:type="dxa"/>
              <w:bottom w:w="58" w:type="dxa"/>
              <w:right w:w="115" w:type="dxa"/>
            </w:tcMar>
            <w:vAlign w:val="center"/>
          </w:tcPr>
          <w:p w14:paraId="1089CD87" w14:textId="77777777" w:rsidR="00E47795" w:rsidRPr="00727041" w:rsidRDefault="00E47795" w:rsidP="001421B0">
            <w:pPr>
              <w:rPr>
                <w:rFonts w:ascii="Arial" w:hAnsi="Arial" w:cs="Arial"/>
                <w:sz w:val="18"/>
                <w:szCs w:val="18"/>
              </w:rPr>
            </w:pPr>
          </w:p>
        </w:tc>
      </w:tr>
      <w:tr w:rsidR="00E47795" w:rsidRPr="00727041" w14:paraId="1AC4D3A8" w14:textId="77777777" w:rsidTr="007844D4">
        <w:trPr>
          <w:cantSplit/>
        </w:trPr>
        <w:tc>
          <w:tcPr>
            <w:tcW w:w="540" w:type="dxa"/>
            <w:tcMar>
              <w:top w:w="58" w:type="dxa"/>
              <w:left w:w="130" w:type="dxa"/>
              <w:bottom w:w="58" w:type="dxa"/>
              <w:right w:w="115" w:type="dxa"/>
            </w:tcMar>
            <w:vAlign w:val="center"/>
          </w:tcPr>
          <w:p w14:paraId="06211D8B"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3F7709EE" w14:textId="77777777" w:rsidR="00E47795" w:rsidRPr="00727041" w:rsidRDefault="00E47795" w:rsidP="000D7A7E">
            <w:pPr>
              <w:rPr>
                <w:rFonts w:ascii="Arial" w:hAnsi="Arial" w:cs="Arial"/>
                <w:sz w:val="18"/>
                <w:szCs w:val="18"/>
              </w:rPr>
            </w:pPr>
            <w:r>
              <w:rPr>
                <w:rFonts w:ascii="Arial" w:hAnsi="Arial" w:cs="Arial"/>
                <w:sz w:val="18"/>
                <w:szCs w:val="18"/>
              </w:rPr>
              <w:t>Incident command system</w:t>
            </w:r>
          </w:p>
        </w:tc>
        <w:tc>
          <w:tcPr>
            <w:tcW w:w="8633" w:type="dxa"/>
            <w:tcMar>
              <w:top w:w="58" w:type="dxa"/>
              <w:left w:w="130" w:type="dxa"/>
              <w:bottom w:w="58" w:type="dxa"/>
              <w:right w:w="115" w:type="dxa"/>
            </w:tcMar>
            <w:vAlign w:val="center"/>
          </w:tcPr>
          <w:p w14:paraId="54C4BE49" w14:textId="77777777" w:rsidR="00E47795" w:rsidRPr="00727041" w:rsidRDefault="00E47795" w:rsidP="001421B0">
            <w:pPr>
              <w:rPr>
                <w:rFonts w:ascii="Arial" w:hAnsi="Arial" w:cs="Arial"/>
                <w:sz w:val="18"/>
                <w:szCs w:val="18"/>
              </w:rPr>
            </w:pPr>
          </w:p>
        </w:tc>
      </w:tr>
      <w:tr w:rsidR="00E47795" w:rsidRPr="00727041" w14:paraId="27FC720B" w14:textId="77777777" w:rsidTr="007844D4">
        <w:trPr>
          <w:cantSplit/>
        </w:trPr>
        <w:tc>
          <w:tcPr>
            <w:tcW w:w="540" w:type="dxa"/>
            <w:tcMar>
              <w:top w:w="58" w:type="dxa"/>
              <w:left w:w="130" w:type="dxa"/>
              <w:bottom w:w="58" w:type="dxa"/>
              <w:right w:w="115" w:type="dxa"/>
            </w:tcMar>
            <w:vAlign w:val="center"/>
          </w:tcPr>
          <w:p w14:paraId="0BF8A568"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5CEE444C" w14:textId="77777777" w:rsidR="00E47795" w:rsidRPr="00727041" w:rsidRDefault="00E47795" w:rsidP="001421B0">
            <w:pPr>
              <w:rPr>
                <w:rFonts w:ascii="Arial" w:hAnsi="Arial" w:cs="Arial"/>
                <w:sz w:val="18"/>
                <w:szCs w:val="18"/>
              </w:rPr>
            </w:pPr>
            <w:r>
              <w:rPr>
                <w:rFonts w:ascii="Arial" w:hAnsi="Arial" w:cs="Arial"/>
                <w:sz w:val="18"/>
                <w:szCs w:val="18"/>
              </w:rPr>
              <w:t>Communications command center</w:t>
            </w:r>
          </w:p>
        </w:tc>
        <w:tc>
          <w:tcPr>
            <w:tcW w:w="8633" w:type="dxa"/>
            <w:tcMar>
              <w:top w:w="58" w:type="dxa"/>
              <w:left w:w="130" w:type="dxa"/>
              <w:bottom w:w="58" w:type="dxa"/>
              <w:right w:w="115" w:type="dxa"/>
            </w:tcMar>
            <w:vAlign w:val="center"/>
          </w:tcPr>
          <w:p w14:paraId="3BBEF652" w14:textId="77777777" w:rsidR="00E47795" w:rsidRPr="00727041" w:rsidRDefault="00E47795" w:rsidP="001421B0">
            <w:pPr>
              <w:rPr>
                <w:rFonts w:ascii="Arial" w:hAnsi="Arial" w:cs="Arial"/>
                <w:sz w:val="18"/>
                <w:szCs w:val="18"/>
              </w:rPr>
            </w:pPr>
          </w:p>
        </w:tc>
      </w:tr>
      <w:tr w:rsidR="00E47795" w:rsidRPr="00727041" w14:paraId="1792ED64" w14:textId="77777777" w:rsidTr="007844D4">
        <w:trPr>
          <w:cantSplit/>
        </w:trPr>
        <w:tc>
          <w:tcPr>
            <w:tcW w:w="540" w:type="dxa"/>
            <w:tcMar>
              <w:top w:w="58" w:type="dxa"/>
              <w:left w:w="130" w:type="dxa"/>
              <w:bottom w:w="58" w:type="dxa"/>
              <w:right w:w="115" w:type="dxa"/>
            </w:tcMar>
            <w:vAlign w:val="center"/>
          </w:tcPr>
          <w:p w14:paraId="1AAFEA10"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69B32806" w14:textId="77777777" w:rsidR="00E47795" w:rsidRDefault="00E47795" w:rsidP="001421B0">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19136192" w14:textId="77777777" w:rsidR="00E47795" w:rsidRPr="00727041" w:rsidRDefault="00E47795" w:rsidP="001421B0">
            <w:pPr>
              <w:rPr>
                <w:rFonts w:ascii="Arial" w:hAnsi="Arial" w:cs="Arial"/>
                <w:sz w:val="18"/>
                <w:szCs w:val="18"/>
              </w:rPr>
            </w:pPr>
          </w:p>
        </w:tc>
      </w:tr>
      <w:tr w:rsidR="00E47795" w:rsidRPr="00727041" w14:paraId="2A6AFEAF" w14:textId="77777777" w:rsidTr="007844D4">
        <w:trPr>
          <w:cantSplit/>
        </w:trPr>
        <w:tc>
          <w:tcPr>
            <w:tcW w:w="5677" w:type="dxa"/>
            <w:gridSpan w:val="2"/>
            <w:tcMar>
              <w:top w:w="58" w:type="dxa"/>
              <w:left w:w="130" w:type="dxa"/>
              <w:bottom w:w="58" w:type="dxa"/>
              <w:right w:w="115" w:type="dxa"/>
            </w:tcMar>
            <w:vAlign w:val="center"/>
          </w:tcPr>
          <w:p w14:paraId="7AA9D683" w14:textId="77777777" w:rsidR="00E47795" w:rsidRPr="00727041" w:rsidRDefault="00E47795" w:rsidP="001421B0">
            <w:pPr>
              <w:rPr>
                <w:rFonts w:ascii="Arial" w:hAnsi="Arial" w:cs="Arial"/>
                <w:sz w:val="18"/>
                <w:szCs w:val="18"/>
              </w:rPr>
            </w:pPr>
            <w:r>
              <w:rPr>
                <w:rFonts w:ascii="Arial" w:hAnsi="Arial" w:cs="Arial"/>
                <w:sz w:val="18"/>
                <w:szCs w:val="18"/>
              </w:rPr>
              <w:t>Identify legal requirements that will or should be suspended or modified during a declared emergency:</w:t>
            </w:r>
          </w:p>
        </w:tc>
        <w:tc>
          <w:tcPr>
            <w:tcW w:w="8633" w:type="dxa"/>
            <w:tcMar>
              <w:top w:w="58" w:type="dxa"/>
              <w:left w:w="130" w:type="dxa"/>
              <w:bottom w:w="58" w:type="dxa"/>
              <w:right w:w="115" w:type="dxa"/>
            </w:tcMar>
            <w:vAlign w:val="center"/>
          </w:tcPr>
          <w:p w14:paraId="609760D7" w14:textId="77777777" w:rsidR="00E47795" w:rsidRPr="00727041" w:rsidRDefault="00E47795" w:rsidP="001421B0">
            <w:pPr>
              <w:rPr>
                <w:rFonts w:ascii="Arial" w:hAnsi="Arial" w:cs="Arial"/>
                <w:sz w:val="18"/>
                <w:szCs w:val="18"/>
              </w:rPr>
            </w:pPr>
          </w:p>
        </w:tc>
      </w:tr>
      <w:tr w:rsidR="00E47795" w:rsidRPr="00727041" w14:paraId="170B3800" w14:textId="77777777" w:rsidTr="007844D4">
        <w:trPr>
          <w:cantSplit/>
        </w:trPr>
        <w:tc>
          <w:tcPr>
            <w:tcW w:w="540" w:type="dxa"/>
            <w:tcMar>
              <w:top w:w="58" w:type="dxa"/>
              <w:left w:w="130" w:type="dxa"/>
              <w:bottom w:w="58" w:type="dxa"/>
              <w:right w:w="115" w:type="dxa"/>
            </w:tcMar>
            <w:vAlign w:val="center"/>
          </w:tcPr>
          <w:p w14:paraId="65B94C99"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10BC7F4C" w14:textId="77777777" w:rsidR="00E47795" w:rsidRPr="00727041" w:rsidRDefault="00E47795" w:rsidP="001421B0">
            <w:pPr>
              <w:rPr>
                <w:rFonts w:ascii="Arial" w:hAnsi="Arial" w:cs="Arial"/>
                <w:sz w:val="18"/>
                <w:szCs w:val="18"/>
              </w:rPr>
            </w:pPr>
            <w:r>
              <w:rPr>
                <w:rFonts w:ascii="Arial" w:hAnsi="Arial" w:cs="Arial"/>
                <w:sz w:val="18"/>
                <w:szCs w:val="18"/>
              </w:rPr>
              <w:t>Statutory requirements</w:t>
            </w:r>
          </w:p>
        </w:tc>
        <w:tc>
          <w:tcPr>
            <w:tcW w:w="8633" w:type="dxa"/>
            <w:tcMar>
              <w:top w:w="58" w:type="dxa"/>
              <w:left w:w="130" w:type="dxa"/>
              <w:bottom w:w="58" w:type="dxa"/>
              <w:right w:w="115" w:type="dxa"/>
            </w:tcMar>
            <w:vAlign w:val="center"/>
          </w:tcPr>
          <w:p w14:paraId="2A6C47CC" w14:textId="77777777" w:rsidR="00E47795" w:rsidRPr="00727041" w:rsidRDefault="00E47795" w:rsidP="001421B0">
            <w:pPr>
              <w:rPr>
                <w:rFonts w:ascii="Arial" w:hAnsi="Arial" w:cs="Arial"/>
                <w:sz w:val="18"/>
                <w:szCs w:val="18"/>
              </w:rPr>
            </w:pPr>
          </w:p>
        </w:tc>
      </w:tr>
      <w:tr w:rsidR="00E47795" w:rsidRPr="00727041" w14:paraId="7043B766" w14:textId="77777777" w:rsidTr="007844D4">
        <w:trPr>
          <w:cantSplit/>
        </w:trPr>
        <w:tc>
          <w:tcPr>
            <w:tcW w:w="540" w:type="dxa"/>
            <w:tcMar>
              <w:top w:w="58" w:type="dxa"/>
              <w:left w:w="130" w:type="dxa"/>
              <w:bottom w:w="58" w:type="dxa"/>
              <w:right w:w="115" w:type="dxa"/>
            </w:tcMar>
            <w:vAlign w:val="center"/>
          </w:tcPr>
          <w:p w14:paraId="24701824"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7B5AE322" w14:textId="77777777" w:rsidR="00E47795" w:rsidRPr="00727041" w:rsidRDefault="00E47795" w:rsidP="001421B0">
            <w:pPr>
              <w:rPr>
                <w:rFonts w:ascii="Arial" w:hAnsi="Arial" w:cs="Arial"/>
                <w:sz w:val="18"/>
                <w:szCs w:val="18"/>
              </w:rPr>
            </w:pPr>
            <w:r>
              <w:rPr>
                <w:rFonts w:ascii="Arial" w:hAnsi="Arial" w:cs="Arial"/>
                <w:sz w:val="18"/>
                <w:szCs w:val="18"/>
              </w:rPr>
              <w:t>Regulatory requirements</w:t>
            </w:r>
          </w:p>
        </w:tc>
        <w:tc>
          <w:tcPr>
            <w:tcW w:w="8633" w:type="dxa"/>
            <w:tcMar>
              <w:top w:w="58" w:type="dxa"/>
              <w:left w:w="130" w:type="dxa"/>
              <w:bottom w:w="58" w:type="dxa"/>
              <w:right w:w="115" w:type="dxa"/>
            </w:tcMar>
            <w:vAlign w:val="center"/>
          </w:tcPr>
          <w:p w14:paraId="68C8892F" w14:textId="77777777" w:rsidR="00E47795" w:rsidRPr="00727041" w:rsidRDefault="00E47795" w:rsidP="001421B0">
            <w:pPr>
              <w:rPr>
                <w:rFonts w:ascii="Arial" w:hAnsi="Arial" w:cs="Arial"/>
                <w:sz w:val="18"/>
                <w:szCs w:val="18"/>
              </w:rPr>
            </w:pPr>
          </w:p>
        </w:tc>
      </w:tr>
      <w:tr w:rsidR="00E47795" w:rsidRPr="00727041" w14:paraId="28D64ECF" w14:textId="77777777" w:rsidTr="007844D4">
        <w:trPr>
          <w:cantSplit/>
        </w:trPr>
        <w:tc>
          <w:tcPr>
            <w:tcW w:w="540" w:type="dxa"/>
            <w:tcMar>
              <w:top w:w="58" w:type="dxa"/>
              <w:left w:w="130" w:type="dxa"/>
              <w:bottom w:w="58" w:type="dxa"/>
              <w:right w:w="115" w:type="dxa"/>
            </w:tcMar>
            <w:vAlign w:val="center"/>
          </w:tcPr>
          <w:p w14:paraId="70DFB066"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507F2C12" w14:textId="77777777" w:rsidR="00E47795" w:rsidRPr="00727041" w:rsidRDefault="00E47795" w:rsidP="001421B0">
            <w:pPr>
              <w:rPr>
                <w:rFonts w:ascii="Arial" w:hAnsi="Arial" w:cs="Arial"/>
                <w:sz w:val="18"/>
                <w:szCs w:val="18"/>
              </w:rPr>
            </w:pPr>
            <w:r>
              <w:rPr>
                <w:rFonts w:ascii="Arial" w:hAnsi="Arial" w:cs="Arial"/>
                <w:sz w:val="18"/>
                <w:szCs w:val="18"/>
              </w:rPr>
              <w:t>State administrative procedures</w:t>
            </w:r>
          </w:p>
        </w:tc>
        <w:tc>
          <w:tcPr>
            <w:tcW w:w="8633" w:type="dxa"/>
            <w:tcMar>
              <w:top w:w="58" w:type="dxa"/>
              <w:left w:w="130" w:type="dxa"/>
              <w:bottom w:w="58" w:type="dxa"/>
              <w:right w:w="115" w:type="dxa"/>
            </w:tcMar>
            <w:vAlign w:val="center"/>
          </w:tcPr>
          <w:p w14:paraId="39CA817C" w14:textId="77777777" w:rsidR="00E47795" w:rsidRPr="00727041" w:rsidRDefault="00E47795" w:rsidP="001421B0">
            <w:pPr>
              <w:rPr>
                <w:rFonts w:ascii="Arial" w:hAnsi="Arial" w:cs="Arial"/>
                <w:sz w:val="18"/>
                <w:szCs w:val="18"/>
              </w:rPr>
            </w:pPr>
          </w:p>
        </w:tc>
      </w:tr>
      <w:tr w:rsidR="00E47795" w:rsidRPr="00727041" w14:paraId="6831677C" w14:textId="77777777" w:rsidTr="007844D4">
        <w:trPr>
          <w:cantSplit/>
        </w:trPr>
        <w:tc>
          <w:tcPr>
            <w:tcW w:w="540" w:type="dxa"/>
            <w:tcMar>
              <w:top w:w="58" w:type="dxa"/>
              <w:left w:w="130" w:type="dxa"/>
              <w:bottom w:w="58" w:type="dxa"/>
              <w:right w:w="115" w:type="dxa"/>
            </w:tcMar>
            <w:vAlign w:val="center"/>
          </w:tcPr>
          <w:p w14:paraId="409A3018"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7633DAD6" w14:textId="77777777" w:rsidR="00E47795" w:rsidRDefault="00E47795" w:rsidP="001421B0">
            <w:pPr>
              <w:rPr>
                <w:rFonts w:ascii="Arial" w:hAnsi="Arial" w:cs="Arial"/>
                <w:sz w:val="18"/>
                <w:szCs w:val="18"/>
              </w:rPr>
            </w:pPr>
            <w:r>
              <w:rPr>
                <w:rFonts w:ascii="Arial" w:hAnsi="Arial" w:cs="Arial"/>
                <w:sz w:val="18"/>
                <w:szCs w:val="18"/>
              </w:rPr>
              <w:t>Other requirements</w:t>
            </w:r>
          </w:p>
        </w:tc>
        <w:tc>
          <w:tcPr>
            <w:tcW w:w="8633" w:type="dxa"/>
            <w:tcMar>
              <w:top w:w="58" w:type="dxa"/>
              <w:left w:w="130" w:type="dxa"/>
              <w:bottom w:w="58" w:type="dxa"/>
              <w:right w:w="115" w:type="dxa"/>
            </w:tcMar>
            <w:vAlign w:val="center"/>
          </w:tcPr>
          <w:p w14:paraId="3E5F46F1" w14:textId="77777777" w:rsidR="00E47795" w:rsidRPr="00727041" w:rsidRDefault="00E47795" w:rsidP="001421B0">
            <w:pPr>
              <w:rPr>
                <w:rFonts w:ascii="Arial" w:hAnsi="Arial" w:cs="Arial"/>
                <w:sz w:val="18"/>
                <w:szCs w:val="18"/>
              </w:rPr>
            </w:pPr>
          </w:p>
        </w:tc>
      </w:tr>
      <w:tr w:rsidR="00E47795" w:rsidRPr="00727041" w14:paraId="141F1C3C" w14:textId="77777777" w:rsidTr="007844D4">
        <w:trPr>
          <w:cantSplit/>
        </w:trPr>
        <w:tc>
          <w:tcPr>
            <w:tcW w:w="5677" w:type="dxa"/>
            <w:gridSpan w:val="2"/>
            <w:tcMar>
              <w:top w:w="58" w:type="dxa"/>
              <w:left w:w="130" w:type="dxa"/>
              <w:bottom w:w="58" w:type="dxa"/>
              <w:right w:w="115" w:type="dxa"/>
            </w:tcMar>
            <w:vAlign w:val="center"/>
          </w:tcPr>
          <w:p w14:paraId="4A5BFB61" w14:textId="77777777" w:rsidR="00E47795" w:rsidRDefault="00E47795" w:rsidP="00412AED">
            <w:pPr>
              <w:rPr>
                <w:rFonts w:ascii="Arial" w:hAnsi="Arial" w:cs="Arial"/>
                <w:sz w:val="18"/>
                <w:szCs w:val="18"/>
              </w:rPr>
            </w:pPr>
            <w:r>
              <w:rPr>
                <w:rFonts w:ascii="Arial" w:hAnsi="Arial" w:cs="Arial"/>
                <w:sz w:val="18"/>
                <w:szCs w:val="18"/>
              </w:rPr>
              <w:t>Identify how federal emergency declarations and waivers will affect authorities, programs, and stakeholders in your state:</w:t>
            </w:r>
          </w:p>
        </w:tc>
        <w:tc>
          <w:tcPr>
            <w:tcW w:w="8633" w:type="dxa"/>
            <w:tcMar>
              <w:top w:w="58" w:type="dxa"/>
              <w:left w:w="130" w:type="dxa"/>
              <w:bottom w:w="58" w:type="dxa"/>
              <w:right w:w="115" w:type="dxa"/>
            </w:tcMar>
            <w:vAlign w:val="center"/>
          </w:tcPr>
          <w:p w14:paraId="45C79154" w14:textId="77777777" w:rsidR="00E47795" w:rsidRPr="00727041" w:rsidRDefault="00E47795" w:rsidP="001421B0">
            <w:pPr>
              <w:rPr>
                <w:rFonts w:ascii="Arial" w:hAnsi="Arial" w:cs="Arial"/>
                <w:sz w:val="18"/>
                <w:szCs w:val="18"/>
              </w:rPr>
            </w:pPr>
          </w:p>
        </w:tc>
      </w:tr>
      <w:tr w:rsidR="00E47795" w:rsidRPr="00727041" w14:paraId="0FFE4476" w14:textId="77777777" w:rsidTr="007844D4">
        <w:trPr>
          <w:cantSplit/>
        </w:trPr>
        <w:tc>
          <w:tcPr>
            <w:tcW w:w="540" w:type="dxa"/>
            <w:tcMar>
              <w:top w:w="58" w:type="dxa"/>
              <w:left w:w="130" w:type="dxa"/>
              <w:bottom w:w="58" w:type="dxa"/>
              <w:right w:w="115" w:type="dxa"/>
            </w:tcMar>
            <w:vAlign w:val="center"/>
          </w:tcPr>
          <w:p w14:paraId="088ADFAD"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52B393F6" w14:textId="77777777" w:rsidR="00E47795" w:rsidRDefault="00E47795" w:rsidP="001421B0">
            <w:pPr>
              <w:rPr>
                <w:rFonts w:ascii="Arial" w:hAnsi="Arial" w:cs="Arial"/>
                <w:sz w:val="18"/>
                <w:szCs w:val="18"/>
              </w:rPr>
            </w:pPr>
            <w:r>
              <w:rPr>
                <w:rFonts w:ascii="Arial" w:hAnsi="Arial" w:cs="Arial"/>
                <w:sz w:val="18"/>
                <w:szCs w:val="18"/>
              </w:rPr>
              <w:t>National Emergencies Act declarations</w:t>
            </w:r>
          </w:p>
        </w:tc>
        <w:tc>
          <w:tcPr>
            <w:tcW w:w="8633" w:type="dxa"/>
            <w:tcMar>
              <w:top w:w="58" w:type="dxa"/>
              <w:left w:w="130" w:type="dxa"/>
              <w:bottom w:w="58" w:type="dxa"/>
              <w:right w:w="115" w:type="dxa"/>
            </w:tcMar>
            <w:vAlign w:val="center"/>
          </w:tcPr>
          <w:p w14:paraId="4E403356" w14:textId="77777777" w:rsidR="00E47795" w:rsidRPr="00727041" w:rsidRDefault="00E47795" w:rsidP="001421B0">
            <w:pPr>
              <w:rPr>
                <w:rFonts w:ascii="Arial" w:hAnsi="Arial" w:cs="Arial"/>
                <w:sz w:val="18"/>
                <w:szCs w:val="18"/>
              </w:rPr>
            </w:pPr>
          </w:p>
        </w:tc>
      </w:tr>
      <w:tr w:rsidR="00E47795" w:rsidRPr="00727041" w14:paraId="22928BC4" w14:textId="77777777" w:rsidTr="007844D4">
        <w:trPr>
          <w:cantSplit/>
        </w:trPr>
        <w:tc>
          <w:tcPr>
            <w:tcW w:w="540" w:type="dxa"/>
            <w:tcMar>
              <w:top w:w="58" w:type="dxa"/>
              <w:left w:w="130" w:type="dxa"/>
              <w:bottom w:w="58" w:type="dxa"/>
              <w:right w:w="115" w:type="dxa"/>
            </w:tcMar>
            <w:vAlign w:val="center"/>
          </w:tcPr>
          <w:p w14:paraId="28950AA8"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78C693D0" w14:textId="77777777" w:rsidR="00E47795" w:rsidRDefault="00E47795" w:rsidP="001421B0">
            <w:pPr>
              <w:rPr>
                <w:rFonts w:ascii="Arial" w:hAnsi="Arial" w:cs="Arial"/>
                <w:sz w:val="18"/>
                <w:szCs w:val="18"/>
              </w:rPr>
            </w:pPr>
            <w:r>
              <w:rPr>
                <w:rFonts w:ascii="Arial" w:hAnsi="Arial" w:cs="Arial"/>
                <w:sz w:val="18"/>
                <w:szCs w:val="18"/>
              </w:rPr>
              <w:t>Public Health Service Act §318 public health emergency determinations</w:t>
            </w:r>
          </w:p>
        </w:tc>
        <w:tc>
          <w:tcPr>
            <w:tcW w:w="8633" w:type="dxa"/>
            <w:tcMar>
              <w:top w:w="58" w:type="dxa"/>
              <w:left w:w="130" w:type="dxa"/>
              <w:bottom w:w="58" w:type="dxa"/>
              <w:right w:w="115" w:type="dxa"/>
            </w:tcMar>
            <w:vAlign w:val="center"/>
          </w:tcPr>
          <w:p w14:paraId="75218905" w14:textId="77777777" w:rsidR="00E47795" w:rsidRPr="00727041" w:rsidRDefault="00E47795" w:rsidP="001421B0">
            <w:pPr>
              <w:rPr>
                <w:rFonts w:ascii="Arial" w:hAnsi="Arial" w:cs="Arial"/>
                <w:sz w:val="18"/>
                <w:szCs w:val="18"/>
              </w:rPr>
            </w:pPr>
          </w:p>
        </w:tc>
      </w:tr>
      <w:tr w:rsidR="00E47795" w:rsidRPr="00727041" w14:paraId="406FF231" w14:textId="77777777" w:rsidTr="007844D4">
        <w:trPr>
          <w:cantSplit/>
        </w:trPr>
        <w:tc>
          <w:tcPr>
            <w:tcW w:w="540" w:type="dxa"/>
            <w:tcMar>
              <w:top w:w="58" w:type="dxa"/>
              <w:left w:w="130" w:type="dxa"/>
              <w:bottom w:w="58" w:type="dxa"/>
              <w:right w:w="115" w:type="dxa"/>
            </w:tcMar>
            <w:vAlign w:val="center"/>
          </w:tcPr>
          <w:p w14:paraId="6B0896EC"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4392C8D4" w14:textId="77777777" w:rsidR="00E47795" w:rsidRDefault="00E47795" w:rsidP="001421B0">
            <w:pPr>
              <w:rPr>
                <w:rFonts w:ascii="Arial" w:hAnsi="Arial" w:cs="Arial"/>
                <w:sz w:val="18"/>
                <w:szCs w:val="18"/>
              </w:rPr>
            </w:pPr>
            <w:r>
              <w:rPr>
                <w:rFonts w:ascii="Arial" w:hAnsi="Arial" w:cs="Arial"/>
                <w:sz w:val="18"/>
                <w:szCs w:val="18"/>
              </w:rPr>
              <w:t>Public Readiness and Emergency Preparedness (PREP) Act declarations</w:t>
            </w:r>
          </w:p>
        </w:tc>
        <w:tc>
          <w:tcPr>
            <w:tcW w:w="8633" w:type="dxa"/>
            <w:tcMar>
              <w:top w:w="58" w:type="dxa"/>
              <w:left w:w="130" w:type="dxa"/>
              <w:bottom w:w="58" w:type="dxa"/>
              <w:right w:w="115" w:type="dxa"/>
            </w:tcMar>
            <w:vAlign w:val="center"/>
          </w:tcPr>
          <w:p w14:paraId="712F58D6" w14:textId="77777777" w:rsidR="00E47795" w:rsidRPr="00727041" w:rsidRDefault="00E47795" w:rsidP="001421B0">
            <w:pPr>
              <w:rPr>
                <w:rFonts w:ascii="Arial" w:hAnsi="Arial" w:cs="Arial"/>
                <w:sz w:val="18"/>
                <w:szCs w:val="18"/>
              </w:rPr>
            </w:pPr>
          </w:p>
        </w:tc>
      </w:tr>
      <w:tr w:rsidR="00E47795" w:rsidRPr="00727041" w14:paraId="087ABBB5" w14:textId="77777777" w:rsidTr="007844D4">
        <w:trPr>
          <w:cantSplit/>
        </w:trPr>
        <w:tc>
          <w:tcPr>
            <w:tcW w:w="540" w:type="dxa"/>
            <w:tcMar>
              <w:top w:w="58" w:type="dxa"/>
              <w:left w:w="130" w:type="dxa"/>
              <w:bottom w:w="58" w:type="dxa"/>
              <w:right w:w="115" w:type="dxa"/>
            </w:tcMar>
            <w:vAlign w:val="center"/>
          </w:tcPr>
          <w:p w14:paraId="21AB23BC"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3D86A649" w14:textId="77777777" w:rsidR="00E47795" w:rsidRDefault="00E47795" w:rsidP="001421B0">
            <w:pPr>
              <w:rPr>
                <w:rFonts w:ascii="Arial" w:hAnsi="Arial" w:cs="Arial"/>
                <w:sz w:val="18"/>
                <w:szCs w:val="18"/>
              </w:rPr>
            </w:pPr>
            <w:r>
              <w:rPr>
                <w:rFonts w:ascii="Arial" w:hAnsi="Arial" w:cs="Arial"/>
                <w:sz w:val="18"/>
                <w:szCs w:val="18"/>
              </w:rPr>
              <w:t>Stafford Act declarations</w:t>
            </w:r>
          </w:p>
        </w:tc>
        <w:tc>
          <w:tcPr>
            <w:tcW w:w="8633" w:type="dxa"/>
            <w:tcMar>
              <w:top w:w="58" w:type="dxa"/>
              <w:left w:w="130" w:type="dxa"/>
              <w:bottom w:w="58" w:type="dxa"/>
              <w:right w:w="115" w:type="dxa"/>
            </w:tcMar>
            <w:vAlign w:val="center"/>
          </w:tcPr>
          <w:p w14:paraId="71A600D4" w14:textId="77777777" w:rsidR="00E47795" w:rsidRPr="00727041" w:rsidRDefault="00E47795" w:rsidP="001421B0">
            <w:pPr>
              <w:rPr>
                <w:rFonts w:ascii="Arial" w:hAnsi="Arial" w:cs="Arial"/>
                <w:sz w:val="18"/>
                <w:szCs w:val="18"/>
              </w:rPr>
            </w:pPr>
          </w:p>
        </w:tc>
      </w:tr>
      <w:tr w:rsidR="00E47795" w:rsidRPr="00727041" w14:paraId="2B1E018E" w14:textId="77777777" w:rsidTr="007844D4">
        <w:trPr>
          <w:cantSplit/>
        </w:trPr>
        <w:tc>
          <w:tcPr>
            <w:tcW w:w="540" w:type="dxa"/>
            <w:tcMar>
              <w:top w:w="58" w:type="dxa"/>
              <w:left w:w="130" w:type="dxa"/>
              <w:bottom w:w="58" w:type="dxa"/>
              <w:right w:w="115" w:type="dxa"/>
            </w:tcMar>
            <w:vAlign w:val="center"/>
          </w:tcPr>
          <w:p w14:paraId="677FB770"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29AD35BB" w14:textId="77777777" w:rsidR="00E47795" w:rsidRDefault="00E47795" w:rsidP="00D54A62">
            <w:pPr>
              <w:rPr>
                <w:rFonts w:ascii="Arial" w:hAnsi="Arial" w:cs="Arial"/>
                <w:sz w:val="18"/>
                <w:szCs w:val="18"/>
              </w:rPr>
            </w:pPr>
            <w:r>
              <w:rPr>
                <w:rFonts w:ascii="Arial" w:hAnsi="Arial" w:cs="Arial"/>
                <w:sz w:val="18"/>
                <w:szCs w:val="18"/>
              </w:rPr>
              <w:t>Social Security Act §1135 waivers</w:t>
            </w:r>
          </w:p>
        </w:tc>
        <w:tc>
          <w:tcPr>
            <w:tcW w:w="8633" w:type="dxa"/>
            <w:tcMar>
              <w:top w:w="58" w:type="dxa"/>
              <w:left w:w="130" w:type="dxa"/>
              <w:bottom w:w="58" w:type="dxa"/>
              <w:right w:w="115" w:type="dxa"/>
            </w:tcMar>
            <w:vAlign w:val="center"/>
          </w:tcPr>
          <w:p w14:paraId="74F30BF1" w14:textId="77777777" w:rsidR="00E47795" w:rsidRPr="00727041" w:rsidRDefault="00E47795" w:rsidP="001421B0">
            <w:pPr>
              <w:rPr>
                <w:rFonts w:ascii="Arial" w:hAnsi="Arial" w:cs="Arial"/>
                <w:sz w:val="18"/>
                <w:szCs w:val="18"/>
              </w:rPr>
            </w:pPr>
          </w:p>
        </w:tc>
      </w:tr>
      <w:tr w:rsidR="00E47795" w:rsidRPr="00727041" w14:paraId="1C0A0C52" w14:textId="77777777" w:rsidTr="007844D4">
        <w:trPr>
          <w:cantSplit/>
        </w:trPr>
        <w:tc>
          <w:tcPr>
            <w:tcW w:w="540" w:type="dxa"/>
            <w:tcMar>
              <w:top w:w="58" w:type="dxa"/>
              <w:left w:w="130" w:type="dxa"/>
              <w:bottom w:w="58" w:type="dxa"/>
              <w:right w:w="115" w:type="dxa"/>
            </w:tcMar>
            <w:vAlign w:val="center"/>
          </w:tcPr>
          <w:p w14:paraId="392E78BB"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46DA7719" w14:textId="77777777" w:rsidR="00E47795" w:rsidRDefault="00E47795" w:rsidP="001421B0">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4617D9C4" w14:textId="77777777" w:rsidR="00E47795" w:rsidRPr="00727041" w:rsidRDefault="00E47795" w:rsidP="001421B0">
            <w:pPr>
              <w:rPr>
                <w:rFonts w:ascii="Arial" w:hAnsi="Arial" w:cs="Arial"/>
                <w:sz w:val="18"/>
                <w:szCs w:val="18"/>
              </w:rPr>
            </w:pPr>
          </w:p>
        </w:tc>
      </w:tr>
      <w:tr w:rsidR="00E47795" w:rsidRPr="00727041" w14:paraId="088DE528" w14:textId="77777777" w:rsidTr="007844D4">
        <w:trPr>
          <w:cantSplit/>
        </w:trPr>
        <w:tc>
          <w:tcPr>
            <w:tcW w:w="5677" w:type="dxa"/>
            <w:gridSpan w:val="2"/>
            <w:tcMar>
              <w:top w:w="58" w:type="dxa"/>
              <w:left w:w="130" w:type="dxa"/>
              <w:bottom w:w="58" w:type="dxa"/>
              <w:right w:w="115" w:type="dxa"/>
            </w:tcMar>
            <w:vAlign w:val="center"/>
          </w:tcPr>
          <w:p w14:paraId="488770A4" w14:textId="77777777" w:rsidR="00E47795" w:rsidRDefault="00E47795" w:rsidP="001421B0">
            <w:pPr>
              <w:rPr>
                <w:rFonts w:ascii="Arial" w:hAnsi="Arial" w:cs="Arial"/>
                <w:sz w:val="18"/>
                <w:szCs w:val="18"/>
              </w:rPr>
            </w:pPr>
            <w:r>
              <w:rPr>
                <w:rFonts w:ascii="Arial" w:hAnsi="Arial" w:cs="Arial"/>
                <w:sz w:val="18"/>
                <w:szCs w:val="18"/>
              </w:rPr>
              <w:t>Identify and list the state’s obligations under mutual aid agreements the state may participate in:</w:t>
            </w:r>
          </w:p>
        </w:tc>
        <w:tc>
          <w:tcPr>
            <w:tcW w:w="8633" w:type="dxa"/>
            <w:tcMar>
              <w:top w:w="58" w:type="dxa"/>
              <w:left w:w="130" w:type="dxa"/>
              <w:bottom w:w="58" w:type="dxa"/>
              <w:right w:w="115" w:type="dxa"/>
            </w:tcMar>
            <w:vAlign w:val="center"/>
          </w:tcPr>
          <w:p w14:paraId="0EF92F07" w14:textId="77777777" w:rsidR="00E47795" w:rsidRPr="00727041" w:rsidRDefault="00E47795" w:rsidP="001421B0">
            <w:pPr>
              <w:rPr>
                <w:rFonts w:ascii="Arial" w:hAnsi="Arial" w:cs="Arial"/>
                <w:sz w:val="18"/>
                <w:szCs w:val="18"/>
              </w:rPr>
            </w:pPr>
          </w:p>
        </w:tc>
      </w:tr>
      <w:tr w:rsidR="00E47795" w:rsidRPr="00727041" w14:paraId="4B303014" w14:textId="77777777" w:rsidTr="007844D4">
        <w:trPr>
          <w:cantSplit/>
        </w:trPr>
        <w:tc>
          <w:tcPr>
            <w:tcW w:w="540" w:type="dxa"/>
            <w:tcMar>
              <w:top w:w="58" w:type="dxa"/>
              <w:left w:w="130" w:type="dxa"/>
              <w:bottom w:w="58" w:type="dxa"/>
              <w:right w:w="115" w:type="dxa"/>
            </w:tcMar>
            <w:vAlign w:val="center"/>
          </w:tcPr>
          <w:p w14:paraId="469CD931"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0A450658" w14:textId="77777777" w:rsidR="00E47795" w:rsidRDefault="00E47795" w:rsidP="001421B0">
            <w:pPr>
              <w:rPr>
                <w:rFonts w:ascii="Arial" w:hAnsi="Arial" w:cs="Arial"/>
                <w:sz w:val="18"/>
                <w:szCs w:val="18"/>
              </w:rPr>
            </w:pPr>
            <w:r>
              <w:rPr>
                <w:rFonts w:ascii="Arial" w:hAnsi="Arial" w:cs="Arial"/>
                <w:sz w:val="18"/>
                <w:szCs w:val="18"/>
              </w:rPr>
              <w:t>Emergency Management Assistance Compact (EMAC)</w:t>
            </w:r>
          </w:p>
        </w:tc>
        <w:tc>
          <w:tcPr>
            <w:tcW w:w="8633" w:type="dxa"/>
            <w:tcMar>
              <w:top w:w="58" w:type="dxa"/>
              <w:left w:w="130" w:type="dxa"/>
              <w:bottom w:w="58" w:type="dxa"/>
              <w:right w:w="115" w:type="dxa"/>
            </w:tcMar>
            <w:vAlign w:val="center"/>
          </w:tcPr>
          <w:p w14:paraId="151113C5" w14:textId="77777777" w:rsidR="00E47795" w:rsidRPr="00727041" w:rsidRDefault="00E47795" w:rsidP="001421B0">
            <w:pPr>
              <w:rPr>
                <w:rFonts w:ascii="Arial" w:hAnsi="Arial" w:cs="Arial"/>
                <w:sz w:val="18"/>
                <w:szCs w:val="18"/>
              </w:rPr>
            </w:pPr>
          </w:p>
        </w:tc>
      </w:tr>
      <w:tr w:rsidR="00E47795" w:rsidRPr="00727041" w14:paraId="78D6EDA4" w14:textId="77777777" w:rsidTr="007844D4">
        <w:trPr>
          <w:cantSplit/>
        </w:trPr>
        <w:tc>
          <w:tcPr>
            <w:tcW w:w="540" w:type="dxa"/>
            <w:tcMar>
              <w:top w:w="58" w:type="dxa"/>
              <w:left w:w="130" w:type="dxa"/>
              <w:bottom w:w="58" w:type="dxa"/>
              <w:right w:w="115" w:type="dxa"/>
            </w:tcMar>
            <w:vAlign w:val="center"/>
          </w:tcPr>
          <w:p w14:paraId="12B13BFF"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3457591D" w14:textId="77777777" w:rsidR="00E47795" w:rsidRDefault="00E47795" w:rsidP="001421B0">
            <w:pPr>
              <w:rPr>
                <w:rFonts w:ascii="Arial" w:hAnsi="Arial" w:cs="Arial"/>
                <w:sz w:val="18"/>
                <w:szCs w:val="18"/>
              </w:rPr>
            </w:pPr>
            <w:r>
              <w:rPr>
                <w:rFonts w:ascii="Arial" w:hAnsi="Arial" w:cs="Arial"/>
                <w:sz w:val="18"/>
                <w:szCs w:val="18"/>
              </w:rPr>
              <w:t>Other interstate agreements</w:t>
            </w:r>
          </w:p>
        </w:tc>
        <w:tc>
          <w:tcPr>
            <w:tcW w:w="8633" w:type="dxa"/>
            <w:tcMar>
              <w:top w:w="58" w:type="dxa"/>
              <w:left w:w="130" w:type="dxa"/>
              <w:bottom w:w="58" w:type="dxa"/>
              <w:right w:w="115" w:type="dxa"/>
            </w:tcMar>
            <w:vAlign w:val="center"/>
          </w:tcPr>
          <w:p w14:paraId="16027F36" w14:textId="77777777" w:rsidR="00E47795" w:rsidRPr="00727041" w:rsidRDefault="00E47795" w:rsidP="001421B0">
            <w:pPr>
              <w:rPr>
                <w:rFonts w:ascii="Arial" w:hAnsi="Arial" w:cs="Arial"/>
                <w:sz w:val="18"/>
                <w:szCs w:val="18"/>
              </w:rPr>
            </w:pPr>
          </w:p>
        </w:tc>
      </w:tr>
      <w:tr w:rsidR="00E47795" w:rsidRPr="00727041" w14:paraId="28D34C14" w14:textId="77777777" w:rsidTr="007844D4">
        <w:trPr>
          <w:cantSplit/>
        </w:trPr>
        <w:tc>
          <w:tcPr>
            <w:tcW w:w="540" w:type="dxa"/>
            <w:tcMar>
              <w:top w:w="58" w:type="dxa"/>
              <w:left w:w="130" w:type="dxa"/>
              <w:bottom w:w="58" w:type="dxa"/>
              <w:right w:w="115" w:type="dxa"/>
            </w:tcMar>
            <w:vAlign w:val="center"/>
          </w:tcPr>
          <w:p w14:paraId="6867A12A"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6A9EBA5F" w14:textId="77777777" w:rsidR="00E47795" w:rsidRDefault="00E47795" w:rsidP="00CB329B">
            <w:pPr>
              <w:rPr>
                <w:rFonts w:ascii="Arial" w:hAnsi="Arial" w:cs="Arial"/>
                <w:sz w:val="18"/>
                <w:szCs w:val="18"/>
              </w:rPr>
            </w:pPr>
            <w:r>
              <w:rPr>
                <w:rFonts w:ascii="Arial" w:hAnsi="Arial" w:cs="Arial"/>
                <w:sz w:val="18"/>
                <w:szCs w:val="18"/>
              </w:rPr>
              <w:t>Intrastate agreements</w:t>
            </w:r>
          </w:p>
        </w:tc>
        <w:tc>
          <w:tcPr>
            <w:tcW w:w="8633" w:type="dxa"/>
            <w:tcMar>
              <w:top w:w="58" w:type="dxa"/>
              <w:left w:w="130" w:type="dxa"/>
              <w:bottom w:w="58" w:type="dxa"/>
              <w:right w:w="115" w:type="dxa"/>
            </w:tcMar>
            <w:vAlign w:val="center"/>
          </w:tcPr>
          <w:p w14:paraId="6660C0DA" w14:textId="77777777" w:rsidR="00E47795" w:rsidRPr="00727041" w:rsidRDefault="00E47795" w:rsidP="001421B0">
            <w:pPr>
              <w:rPr>
                <w:rFonts w:ascii="Arial" w:hAnsi="Arial" w:cs="Arial"/>
                <w:sz w:val="18"/>
                <w:szCs w:val="18"/>
              </w:rPr>
            </w:pPr>
          </w:p>
        </w:tc>
      </w:tr>
      <w:tr w:rsidR="00E47795" w:rsidRPr="00727041" w14:paraId="62455EBB" w14:textId="77777777" w:rsidTr="007844D4">
        <w:trPr>
          <w:cantSplit/>
        </w:trPr>
        <w:tc>
          <w:tcPr>
            <w:tcW w:w="540" w:type="dxa"/>
            <w:tcMar>
              <w:top w:w="58" w:type="dxa"/>
              <w:left w:w="130" w:type="dxa"/>
              <w:bottom w:w="58" w:type="dxa"/>
              <w:right w:w="115" w:type="dxa"/>
            </w:tcMar>
            <w:vAlign w:val="center"/>
          </w:tcPr>
          <w:p w14:paraId="4D1A6FC9"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0A3F47AB" w14:textId="77777777" w:rsidR="00E47795" w:rsidRDefault="00E47795" w:rsidP="001421B0">
            <w:pPr>
              <w:rPr>
                <w:rFonts w:ascii="Arial" w:hAnsi="Arial" w:cs="Arial"/>
                <w:sz w:val="18"/>
                <w:szCs w:val="18"/>
              </w:rPr>
            </w:pPr>
            <w:r>
              <w:rPr>
                <w:rFonts w:ascii="Arial" w:hAnsi="Arial" w:cs="Arial"/>
                <w:sz w:val="18"/>
                <w:szCs w:val="18"/>
              </w:rPr>
              <w:t>International agreements</w:t>
            </w:r>
          </w:p>
        </w:tc>
        <w:tc>
          <w:tcPr>
            <w:tcW w:w="8633" w:type="dxa"/>
            <w:tcMar>
              <w:top w:w="58" w:type="dxa"/>
              <w:left w:w="130" w:type="dxa"/>
              <w:bottom w:w="58" w:type="dxa"/>
              <w:right w:w="115" w:type="dxa"/>
            </w:tcMar>
            <w:vAlign w:val="center"/>
          </w:tcPr>
          <w:p w14:paraId="38AD0FD6" w14:textId="77777777" w:rsidR="00E47795" w:rsidRPr="00727041" w:rsidRDefault="00E47795" w:rsidP="001421B0">
            <w:pPr>
              <w:rPr>
                <w:rFonts w:ascii="Arial" w:hAnsi="Arial" w:cs="Arial"/>
                <w:sz w:val="18"/>
                <w:szCs w:val="18"/>
              </w:rPr>
            </w:pPr>
          </w:p>
        </w:tc>
      </w:tr>
      <w:tr w:rsidR="00E47795" w:rsidRPr="00727041" w14:paraId="66662814" w14:textId="77777777" w:rsidTr="007844D4">
        <w:trPr>
          <w:cantSplit/>
        </w:trPr>
        <w:tc>
          <w:tcPr>
            <w:tcW w:w="540" w:type="dxa"/>
            <w:tcMar>
              <w:top w:w="58" w:type="dxa"/>
              <w:left w:w="130" w:type="dxa"/>
              <w:bottom w:w="58" w:type="dxa"/>
              <w:right w:w="115" w:type="dxa"/>
            </w:tcMar>
            <w:vAlign w:val="center"/>
          </w:tcPr>
          <w:p w14:paraId="1A500B8B" w14:textId="77777777" w:rsidR="00E47795" w:rsidRPr="00727041" w:rsidRDefault="00E47795" w:rsidP="001421B0">
            <w:pPr>
              <w:rPr>
                <w:rFonts w:ascii="Arial" w:hAnsi="Arial" w:cs="Arial"/>
                <w:sz w:val="18"/>
                <w:szCs w:val="18"/>
              </w:rPr>
            </w:pPr>
          </w:p>
        </w:tc>
        <w:tc>
          <w:tcPr>
            <w:tcW w:w="5137" w:type="dxa"/>
            <w:tcMar>
              <w:top w:w="58" w:type="dxa"/>
              <w:left w:w="130" w:type="dxa"/>
              <w:bottom w:w="58" w:type="dxa"/>
              <w:right w:w="115" w:type="dxa"/>
            </w:tcMar>
            <w:vAlign w:val="center"/>
          </w:tcPr>
          <w:p w14:paraId="0BD7A4A6" w14:textId="77777777" w:rsidR="00E47795" w:rsidRDefault="00E47795" w:rsidP="001421B0">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6AD41CEA" w14:textId="77777777" w:rsidR="00E47795" w:rsidRPr="00727041" w:rsidRDefault="00E47795" w:rsidP="001421B0">
            <w:pPr>
              <w:rPr>
                <w:rFonts w:ascii="Arial" w:hAnsi="Arial" w:cs="Arial"/>
                <w:sz w:val="18"/>
                <w:szCs w:val="18"/>
              </w:rPr>
            </w:pPr>
          </w:p>
        </w:tc>
      </w:tr>
      <w:tr w:rsidR="00E47795" w:rsidRPr="00727041" w14:paraId="7DB6AE5D" w14:textId="77777777" w:rsidTr="007844D4">
        <w:trPr>
          <w:cantSplit/>
        </w:trPr>
        <w:tc>
          <w:tcPr>
            <w:tcW w:w="5677" w:type="dxa"/>
            <w:gridSpan w:val="2"/>
            <w:tcMar>
              <w:top w:w="58" w:type="dxa"/>
              <w:left w:w="130" w:type="dxa"/>
              <w:bottom w:w="58" w:type="dxa"/>
              <w:right w:w="115" w:type="dxa"/>
            </w:tcMar>
            <w:vAlign w:val="center"/>
          </w:tcPr>
          <w:p w14:paraId="781C76D5" w14:textId="77777777" w:rsidR="00E47795" w:rsidRDefault="00E47795" w:rsidP="00CB329B">
            <w:pPr>
              <w:rPr>
                <w:rFonts w:ascii="Arial" w:hAnsi="Arial" w:cs="Arial"/>
                <w:sz w:val="18"/>
                <w:szCs w:val="18"/>
              </w:rPr>
            </w:pPr>
            <w:r>
              <w:rPr>
                <w:rFonts w:ascii="Arial" w:hAnsi="Arial" w:cs="Arial"/>
                <w:sz w:val="18"/>
                <w:szCs w:val="18"/>
              </w:rPr>
              <w:t>Identify any communication and outreach plans/materials to inform stakeholders about anticipated effects of operating under an emergency declaration.</w:t>
            </w:r>
          </w:p>
        </w:tc>
        <w:tc>
          <w:tcPr>
            <w:tcW w:w="8633" w:type="dxa"/>
            <w:tcMar>
              <w:top w:w="58" w:type="dxa"/>
              <w:left w:w="130" w:type="dxa"/>
              <w:bottom w:w="58" w:type="dxa"/>
              <w:right w:w="115" w:type="dxa"/>
            </w:tcMar>
            <w:vAlign w:val="center"/>
          </w:tcPr>
          <w:p w14:paraId="7707B4F9" w14:textId="77777777" w:rsidR="00E47795" w:rsidRPr="00727041" w:rsidRDefault="00E47795" w:rsidP="001421B0">
            <w:pPr>
              <w:rPr>
                <w:rFonts w:ascii="Arial" w:hAnsi="Arial" w:cs="Arial"/>
                <w:sz w:val="18"/>
                <w:szCs w:val="18"/>
              </w:rPr>
            </w:pPr>
          </w:p>
        </w:tc>
      </w:tr>
    </w:tbl>
    <w:p w14:paraId="644C1401" w14:textId="6790F3DB" w:rsidR="00E47795" w:rsidRDefault="00E47795" w:rsidP="001421B0">
      <w:pPr>
        <w:rPr>
          <w:rFonts w:ascii="Times New Roman" w:hAnsi="Times New Roman" w:cs="Times New Roman"/>
          <w:sz w:val="24"/>
          <w:szCs w:val="20"/>
        </w:rPr>
      </w:pPr>
    </w:p>
    <w:p w14:paraId="666A20C6" w14:textId="77777777" w:rsidR="003E27F6" w:rsidRDefault="003E27F6" w:rsidP="003E27F6">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 xml:space="preserve">TOC </w:t>
        </w:r>
        <w:r w:rsidRPr="00B16B87">
          <w:rPr>
            <w:rStyle w:val="Hyperlink"/>
            <w:rFonts w:ascii="Calibri" w:hAnsi="Calibri" w:cs="Calibri"/>
            <w:sz w:val="24"/>
          </w:rPr>
          <w:t>t</w:t>
        </w:r>
        <w:r w:rsidRPr="00B16B87">
          <w:rPr>
            <w:rStyle w:val="Hyperlink"/>
            <w:rFonts w:ascii="Calibri" w:hAnsi="Calibri" w:cs="Calibri"/>
            <w:sz w:val="24"/>
          </w:rPr>
          <w:t>op</w:t>
        </w:r>
      </w:hyperlink>
      <w:r>
        <w:rPr>
          <w:rFonts w:ascii="Calibri" w:hAnsi="Calibri" w:cs="Calibri"/>
          <w:sz w:val="24"/>
        </w:rPr>
        <w:t>]</w:t>
      </w:r>
    </w:p>
    <w:p w14:paraId="3EE8073A" w14:textId="77777777" w:rsidR="003E27F6" w:rsidRPr="001421B0" w:rsidRDefault="003E27F6" w:rsidP="001421B0">
      <w:pPr>
        <w:rPr>
          <w:rFonts w:ascii="Times New Roman" w:hAnsi="Times New Roman" w:cs="Times New Roman"/>
          <w:sz w:val="24"/>
          <w:szCs w:val="20"/>
        </w:rPr>
      </w:pPr>
    </w:p>
    <w:p w14:paraId="520F0CB3" w14:textId="603810E8" w:rsidR="007263DD" w:rsidRDefault="007263DD">
      <w:pPr>
        <w:rPr>
          <w:rFonts w:cstheme="minorHAnsi"/>
        </w:rPr>
      </w:pPr>
      <w:r>
        <w:rPr>
          <w:rFonts w:cstheme="minorHAnsi"/>
        </w:rPr>
        <w:br w:type="page"/>
      </w:r>
    </w:p>
    <w:p w14:paraId="6BB40A50" w14:textId="77777777" w:rsidR="007263DD" w:rsidRPr="00FA7219" w:rsidRDefault="007263DD" w:rsidP="00540B61">
      <w:pPr>
        <w:spacing w:after="120"/>
        <w:jc w:val="center"/>
        <w:rPr>
          <w:rFonts w:ascii="Arial" w:hAnsi="Arial" w:cs="Arial"/>
          <w:sz w:val="24"/>
          <w:szCs w:val="24"/>
        </w:rPr>
      </w:pPr>
      <w:r w:rsidRPr="00E2041C">
        <w:rPr>
          <w:rFonts w:ascii="Arial" w:hAnsi="Arial" w:cs="Arial"/>
          <w:sz w:val="24"/>
          <w:szCs w:val="24"/>
        </w:rPr>
        <w:lastRenderedPageBreak/>
        <w:t xml:space="preserve">State Analysis Guide </w:t>
      </w:r>
    </w:p>
    <w:p w14:paraId="74FC814A" w14:textId="77777777" w:rsidR="007263DD" w:rsidRPr="000A4FF4" w:rsidRDefault="007263DD" w:rsidP="001421B0">
      <w:pPr>
        <w:jc w:val="center"/>
        <w:rPr>
          <w:rFonts w:ascii="Arial" w:hAnsi="Arial" w:cs="Arial"/>
          <w:b/>
          <w:sz w:val="26"/>
          <w:szCs w:val="26"/>
        </w:rPr>
      </w:pPr>
      <w:bookmarkStart w:id="19" w:name="LiaImmWC_SAG"/>
      <w:r>
        <w:rPr>
          <w:rFonts w:ascii="Arial" w:hAnsi="Arial" w:cs="Arial"/>
          <w:b/>
          <w:sz w:val="26"/>
          <w:szCs w:val="26"/>
        </w:rPr>
        <w:t>Liability, Immunity, and Workers’ Compensation Issues</w:t>
      </w:r>
      <w:bookmarkEnd w:id="19"/>
    </w:p>
    <w:p w14:paraId="15F8F92F" w14:textId="77777777" w:rsidR="007263DD" w:rsidRPr="008277E5" w:rsidRDefault="007263DD" w:rsidP="001421B0">
      <w:pPr>
        <w:rPr>
          <w:rFonts w:ascii="Times New Roman" w:hAnsi="Times New Roman" w:cs="Times New Roman"/>
          <w:sz w:val="16"/>
          <w:szCs w:val="20"/>
        </w:rPr>
      </w:pPr>
    </w:p>
    <w:p w14:paraId="0B7C38F3" w14:textId="77777777" w:rsidR="007263DD" w:rsidRPr="002A03E4" w:rsidRDefault="007263DD" w:rsidP="00784D71">
      <w:pPr>
        <w:ind w:left="288" w:right="576"/>
        <w:jc w:val="both"/>
        <w:rPr>
          <w:rFonts w:ascii="Arial" w:hAnsi="Arial" w:cs="Arial"/>
          <w:sz w:val="18"/>
          <w:szCs w:val="20"/>
        </w:rPr>
      </w:pPr>
      <w:r w:rsidRPr="0024601A">
        <w:rPr>
          <w:rFonts w:ascii="Arial" w:hAnsi="Arial" w:cs="Arial"/>
          <w:sz w:val="18"/>
          <w:szCs w:val="20"/>
        </w:rPr>
        <w:t xml:space="preserve">This </w:t>
      </w:r>
      <w:r w:rsidRPr="0024601A">
        <w:rPr>
          <w:rFonts w:ascii="Arial" w:hAnsi="Arial" w:cs="Arial"/>
          <w:i/>
          <w:sz w:val="18"/>
          <w:szCs w:val="20"/>
        </w:rPr>
        <w:t>State Analysis Guide</w:t>
      </w:r>
      <w:r w:rsidRPr="0024601A">
        <w:rPr>
          <w:rFonts w:ascii="Arial" w:hAnsi="Arial" w:cs="Arial"/>
          <w:sz w:val="18"/>
          <w:szCs w:val="20"/>
        </w:rPr>
        <w:t xml:space="preserve"> is intended to assist state health agency staff and legal counsel </w:t>
      </w:r>
      <w:r>
        <w:rPr>
          <w:rFonts w:ascii="Arial" w:hAnsi="Arial" w:cs="Arial"/>
          <w:sz w:val="18"/>
          <w:szCs w:val="20"/>
        </w:rPr>
        <w:t>with locating</w:t>
      </w:r>
      <w:r w:rsidRPr="0024601A">
        <w:rPr>
          <w:rFonts w:ascii="Arial" w:hAnsi="Arial" w:cs="Arial"/>
          <w:sz w:val="18"/>
          <w:szCs w:val="20"/>
        </w:rPr>
        <w:t xml:space="preserve"> and analyz</w:t>
      </w:r>
      <w:r>
        <w:rPr>
          <w:rFonts w:ascii="Arial" w:hAnsi="Arial" w:cs="Arial"/>
          <w:sz w:val="18"/>
          <w:szCs w:val="20"/>
        </w:rPr>
        <w:t>ing</w:t>
      </w:r>
      <w:r w:rsidRPr="0024601A">
        <w:rPr>
          <w:rFonts w:ascii="Arial" w:hAnsi="Arial" w:cs="Arial"/>
          <w:sz w:val="18"/>
          <w:szCs w:val="20"/>
        </w:rPr>
        <w:t xml:space="preserve"> their state’s laws, rules, policies</w:t>
      </w:r>
      <w:r>
        <w:rPr>
          <w:rFonts w:ascii="Arial" w:hAnsi="Arial" w:cs="Arial"/>
          <w:sz w:val="18"/>
          <w:szCs w:val="20"/>
        </w:rPr>
        <w:t>,</w:t>
      </w:r>
      <w:r w:rsidRPr="0024601A">
        <w:rPr>
          <w:rFonts w:ascii="Arial" w:hAnsi="Arial" w:cs="Arial"/>
          <w:sz w:val="18"/>
          <w:szCs w:val="20"/>
        </w:rPr>
        <w:t xml:space="preserve"> and implementation plans with </w:t>
      </w:r>
      <w:r>
        <w:rPr>
          <w:rFonts w:ascii="Arial" w:hAnsi="Arial" w:cs="Arial"/>
          <w:sz w:val="18"/>
          <w:szCs w:val="20"/>
        </w:rPr>
        <w:t xml:space="preserve">regard to </w:t>
      </w:r>
      <w:r w:rsidRPr="0024601A">
        <w:rPr>
          <w:rFonts w:ascii="Arial" w:hAnsi="Arial" w:cs="Arial"/>
          <w:sz w:val="18"/>
          <w:szCs w:val="20"/>
        </w:rPr>
        <w:t>liability, immunity</w:t>
      </w:r>
      <w:r>
        <w:rPr>
          <w:rFonts w:ascii="Arial" w:hAnsi="Arial" w:cs="Arial"/>
          <w:sz w:val="18"/>
          <w:szCs w:val="20"/>
        </w:rPr>
        <w:t>,</w:t>
      </w:r>
      <w:r w:rsidRPr="0024601A">
        <w:rPr>
          <w:rFonts w:ascii="Arial" w:hAnsi="Arial" w:cs="Arial"/>
          <w:sz w:val="18"/>
          <w:szCs w:val="20"/>
        </w:rPr>
        <w:t xml:space="preserve"> and workers’ compensation issues. Space is provided on the document to insert references or summaries of appropriate state </w:t>
      </w:r>
      <w:r>
        <w:rPr>
          <w:rFonts w:ascii="Arial" w:hAnsi="Arial" w:cs="Arial"/>
          <w:sz w:val="18"/>
          <w:szCs w:val="20"/>
        </w:rPr>
        <w:t>or</w:t>
      </w:r>
      <w:r w:rsidRPr="0024601A">
        <w:rPr>
          <w:rFonts w:ascii="Arial" w:hAnsi="Arial" w:cs="Arial"/>
          <w:sz w:val="18"/>
          <w:szCs w:val="20"/>
        </w:rPr>
        <w:t xml:space="preserve"> local authorities. Because each state’s law is unique, this guide may not identify all issues that arise in the course of analyzing a state’s law. </w:t>
      </w:r>
      <w:r w:rsidRPr="0024601A">
        <w:rPr>
          <w:rFonts w:ascii="Arial" w:hAnsi="Arial" w:cs="Arial"/>
          <w:b/>
          <w:sz w:val="18"/>
          <w:szCs w:val="20"/>
        </w:rPr>
        <w:t>In all instances the language and requirements of specific state/local laws, regulations, ordinances, rules, policies, guidances, case law, and other sources of legal authority overrule this general analysis guide.</w:t>
      </w:r>
      <w:r>
        <w:rPr>
          <w:rFonts w:ascii="Arial" w:hAnsi="Arial" w:cs="Arial"/>
          <w:b/>
          <w:sz w:val="18"/>
          <w:szCs w:val="20"/>
        </w:rPr>
        <w:t xml:space="preserve"> </w:t>
      </w:r>
      <w:r w:rsidRPr="005F0391">
        <w:rPr>
          <w:rFonts w:ascii="Arial" w:hAnsi="Arial" w:cs="Arial"/>
          <w:b/>
          <w:sz w:val="18"/>
          <w:szCs w:val="20"/>
        </w:rPr>
        <w:t>This resource is for informational purposes only and is not intended as a substitute for professional legal or other advice.</w:t>
      </w:r>
    </w:p>
    <w:p w14:paraId="37A17095" w14:textId="77777777" w:rsidR="007263DD" w:rsidRDefault="007263DD" w:rsidP="001421B0">
      <w:pPr>
        <w:rPr>
          <w:rFonts w:ascii="Times New Roman" w:hAnsi="Times New Roman" w:cs="Times New Roman"/>
          <w:sz w:val="24"/>
          <w:szCs w:val="20"/>
        </w:rPr>
      </w:pPr>
    </w:p>
    <w:tbl>
      <w:tblPr>
        <w:tblStyle w:val="TableGrid"/>
        <w:tblW w:w="0" w:type="auto"/>
        <w:tblInd w:w="108" w:type="dxa"/>
        <w:tblLook w:val="04A0" w:firstRow="1" w:lastRow="0" w:firstColumn="1" w:lastColumn="0" w:noHBand="0" w:noVBand="1"/>
      </w:tblPr>
      <w:tblGrid>
        <w:gridCol w:w="442"/>
        <w:gridCol w:w="59"/>
        <w:gridCol w:w="4670"/>
        <w:gridCol w:w="7671"/>
      </w:tblGrid>
      <w:tr w:rsidR="007263DD" w:rsidRPr="00727041" w14:paraId="46D4B261" w14:textId="77777777" w:rsidTr="008D69BD">
        <w:trPr>
          <w:cantSplit/>
          <w:trHeight w:val="317"/>
          <w:tblHeader/>
        </w:trPr>
        <w:tc>
          <w:tcPr>
            <w:tcW w:w="5677" w:type="dxa"/>
            <w:gridSpan w:val="3"/>
            <w:shd w:val="clear" w:color="auto" w:fill="BFBFBF" w:themeFill="background1" w:themeFillShade="BF"/>
            <w:tcMar>
              <w:top w:w="58" w:type="dxa"/>
              <w:left w:w="130" w:type="dxa"/>
              <w:bottom w:w="58" w:type="dxa"/>
              <w:right w:w="115" w:type="dxa"/>
            </w:tcMar>
            <w:vAlign w:val="center"/>
          </w:tcPr>
          <w:p w14:paraId="4768E7B5" w14:textId="77777777" w:rsidR="007263DD" w:rsidRPr="0024601A" w:rsidRDefault="007263DD" w:rsidP="00E44C7F">
            <w:pPr>
              <w:rPr>
                <w:rFonts w:ascii="Arial" w:hAnsi="Arial" w:cs="Arial"/>
                <w:b/>
                <w:sz w:val="24"/>
                <w:szCs w:val="18"/>
              </w:rPr>
            </w:pPr>
            <w:r w:rsidRPr="0024601A">
              <w:rPr>
                <w:rFonts w:ascii="Arial" w:hAnsi="Arial" w:cs="Arial"/>
                <w:b/>
                <w:sz w:val="24"/>
                <w:szCs w:val="18"/>
              </w:rPr>
              <w:t>Issues for Analysis</w:t>
            </w:r>
          </w:p>
        </w:tc>
        <w:tc>
          <w:tcPr>
            <w:tcW w:w="8633" w:type="dxa"/>
            <w:shd w:val="clear" w:color="auto" w:fill="BFBFBF" w:themeFill="background1" w:themeFillShade="BF"/>
            <w:tcMar>
              <w:top w:w="58" w:type="dxa"/>
              <w:left w:w="130" w:type="dxa"/>
              <w:bottom w:w="58" w:type="dxa"/>
              <w:right w:w="115" w:type="dxa"/>
            </w:tcMar>
            <w:vAlign w:val="center"/>
          </w:tcPr>
          <w:p w14:paraId="1E8DF3F5" w14:textId="77777777" w:rsidR="007263DD" w:rsidRPr="0024601A" w:rsidRDefault="007263DD" w:rsidP="004E12E8">
            <w:pPr>
              <w:jc w:val="center"/>
              <w:rPr>
                <w:rFonts w:ascii="Arial" w:hAnsi="Arial" w:cs="Arial"/>
                <w:b/>
                <w:sz w:val="24"/>
                <w:szCs w:val="18"/>
              </w:rPr>
            </w:pPr>
            <w:r w:rsidRPr="0024601A">
              <w:rPr>
                <w:rFonts w:ascii="Arial" w:hAnsi="Arial" w:cs="Arial"/>
                <w:b/>
                <w:sz w:val="24"/>
                <w:szCs w:val="18"/>
              </w:rPr>
              <w:t>State/Local Information</w:t>
            </w:r>
          </w:p>
        </w:tc>
      </w:tr>
      <w:tr w:rsidR="007263DD" w:rsidRPr="00727041" w14:paraId="76EDAC22" w14:textId="77777777" w:rsidTr="001A1974">
        <w:trPr>
          <w:cantSplit/>
          <w:trHeight w:val="493"/>
        </w:trPr>
        <w:tc>
          <w:tcPr>
            <w:tcW w:w="14310" w:type="dxa"/>
            <w:gridSpan w:val="4"/>
            <w:shd w:val="clear" w:color="auto" w:fill="F2F2F2" w:themeFill="background1" w:themeFillShade="F2"/>
            <w:tcMar>
              <w:top w:w="58" w:type="dxa"/>
              <w:left w:w="130" w:type="dxa"/>
              <w:bottom w:w="58" w:type="dxa"/>
              <w:right w:w="115" w:type="dxa"/>
            </w:tcMar>
            <w:vAlign w:val="center"/>
          </w:tcPr>
          <w:p w14:paraId="68CC0BCD" w14:textId="77777777" w:rsidR="007263DD" w:rsidRPr="0024601A" w:rsidRDefault="007263DD" w:rsidP="001421B0">
            <w:pPr>
              <w:rPr>
                <w:rFonts w:ascii="Arial" w:hAnsi="Arial" w:cs="Arial"/>
                <w:b/>
                <w:sz w:val="18"/>
                <w:szCs w:val="18"/>
              </w:rPr>
            </w:pPr>
            <w:r w:rsidRPr="001A1974">
              <w:rPr>
                <w:rFonts w:ascii="Arial" w:hAnsi="Arial" w:cs="Arial"/>
                <w:b/>
                <w:sz w:val="20"/>
                <w:szCs w:val="18"/>
              </w:rPr>
              <w:t>Liability Issues</w:t>
            </w:r>
          </w:p>
        </w:tc>
      </w:tr>
      <w:tr w:rsidR="007263DD" w:rsidRPr="00727041" w14:paraId="63FFBAC0" w14:textId="77777777" w:rsidTr="008D69BD">
        <w:trPr>
          <w:cantSplit/>
        </w:trPr>
        <w:tc>
          <w:tcPr>
            <w:tcW w:w="5677" w:type="dxa"/>
            <w:gridSpan w:val="3"/>
            <w:tcMar>
              <w:top w:w="58" w:type="dxa"/>
              <w:left w:w="130" w:type="dxa"/>
              <w:bottom w:w="58" w:type="dxa"/>
              <w:right w:w="115" w:type="dxa"/>
            </w:tcMar>
            <w:vAlign w:val="center"/>
          </w:tcPr>
          <w:p w14:paraId="16F18D70" w14:textId="77777777" w:rsidR="007263DD" w:rsidRPr="00727041" w:rsidRDefault="007263DD" w:rsidP="002965C8">
            <w:pPr>
              <w:rPr>
                <w:rFonts w:ascii="Arial" w:hAnsi="Arial" w:cs="Arial"/>
                <w:sz w:val="18"/>
                <w:szCs w:val="18"/>
              </w:rPr>
            </w:pPr>
            <w:r>
              <w:rPr>
                <w:rFonts w:ascii="Arial" w:hAnsi="Arial" w:cs="Arial"/>
                <w:sz w:val="18"/>
                <w:szCs w:val="18"/>
              </w:rPr>
              <w:t>Identify scenarios in which liability issues can arise in the context of a public health emergency response and the potential types of liability that could occur in each:</w:t>
            </w:r>
          </w:p>
        </w:tc>
        <w:tc>
          <w:tcPr>
            <w:tcW w:w="8633" w:type="dxa"/>
            <w:tcMar>
              <w:top w:w="58" w:type="dxa"/>
              <w:left w:w="130" w:type="dxa"/>
              <w:bottom w:w="58" w:type="dxa"/>
              <w:right w:w="115" w:type="dxa"/>
            </w:tcMar>
            <w:vAlign w:val="center"/>
          </w:tcPr>
          <w:p w14:paraId="4BCBC98B" w14:textId="77777777" w:rsidR="007263DD" w:rsidRPr="00727041" w:rsidRDefault="007263DD" w:rsidP="001421B0">
            <w:pPr>
              <w:rPr>
                <w:rFonts w:ascii="Arial" w:hAnsi="Arial" w:cs="Arial"/>
                <w:sz w:val="18"/>
                <w:szCs w:val="18"/>
              </w:rPr>
            </w:pPr>
          </w:p>
        </w:tc>
      </w:tr>
      <w:tr w:rsidR="007263DD" w:rsidRPr="00727041" w14:paraId="5B309B70" w14:textId="77777777" w:rsidTr="008D69BD">
        <w:trPr>
          <w:cantSplit/>
        </w:trPr>
        <w:tc>
          <w:tcPr>
            <w:tcW w:w="540" w:type="dxa"/>
            <w:gridSpan w:val="2"/>
            <w:tcMar>
              <w:top w:w="58" w:type="dxa"/>
              <w:left w:w="130" w:type="dxa"/>
              <w:bottom w:w="58" w:type="dxa"/>
              <w:right w:w="115" w:type="dxa"/>
            </w:tcMar>
            <w:vAlign w:val="center"/>
          </w:tcPr>
          <w:p w14:paraId="64AC4F1C"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4163CC93" w14:textId="77777777" w:rsidR="007263DD" w:rsidRPr="00727041" w:rsidRDefault="007263DD" w:rsidP="001421B0">
            <w:pPr>
              <w:rPr>
                <w:rFonts w:ascii="Arial" w:hAnsi="Arial" w:cs="Arial"/>
                <w:sz w:val="18"/>
                <w:szCs w:val="18"/>
              </w:rPr>
            </w:pPr>
            <w:r>
              <w:rPr>
                <w:rFonts w:ascii="Arial" w:hAnsi="Arial" w:cs="Arial"/>
                <w:sz w:val="18"/>
                <w:szCs w:val="18"/>
              </w:rPr>
              <w:t>Deployment of state personnel</w:t>
            </w:r>
          </w:p>
        </w:tc>
        <w:tc>
          <w:tcPr>
            <w:tcW w:w="8633" w:type="dxa"/>
            <w:tcMar>
              <w:top w:w="58" w:type="dxa"/>
              <w:left w:w="130" w:type="dxa"/>
              <w:bottom w:w="58" w:type="dxa"/>
              <w:right w:w="115" w:type="dxa"/>
            </w:tcMar>
            <w:vAlign w:val="center"/>
          </w:tcPr>
          <w:p w14:paraId="2CABF05B" w14:textId="77777777" w:rsidR="007263DD" w:rsidRPr="00727041" w:rsidRDefault="007263DD" w:rsidP="001421B0">
            <w:pPr>
              <w:rPr>
                <w:rFonts w:ascii="Arial" w:hAnsi="Arial" w:cs="Arial"/>
                <w:sz w:val="18"/>
                <w:szCs w:val="18"/>
              </w:rPr>
            </w:pPr>
          </w:p>
        </w:tc>
      </w:tr>
      <w:tr w:rsidR="007263DD" w:rsidRPr="00727041" w14:paraId="3FFDFB92" w14:textId="77777777" w:rsidTr="008D69BD">
        <w:trPr>
          <w:cantSplit/>
        </w:trPr>
        <w:tc>
          <w:tcPr>
            <w:tcW w:w="540" w:type="dxa"/>
            <w:gridSpan w:val="2"/>
            <w:tcMar>
              <w:top w:w="58" w:type="dxa"/>
              <w:left w:w="130" w:type="dxa"/>
              <w:bottom w:w="58" w:type="dxa"/>
              <w:right w:w="115" w:type="dxa"/>
            </w:tcMar>
            <w:vAlign w:val="center"/>
          </w:tcPr>
          <w:p w14:paraId="72C8035B"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7E35BAEF" w14:textId="77777777" w:rsidR="007263DD" w:rsidRPr="00727041" w:rsidRDefault="007263DD" w:rsidP="001421B0">
            <w:pPr>
              <w:rPr>
                <w:rFonts w:ascii="Arial" w:hAnsi="Arial" w:cs="Arial"/>
                <w:sz w:val="18"/>
                <w:szCs w:val="18"/>
              </w:rPr>
            </w:pPr>
            <w:r>
              <w:rPr>
                <w:rFonts w:ascii="Arial" w:hAnsi="Arial" w:cs="Arial"/>
                <w:sz w:val="18"/>
                <w:szCs w:val="18"/>
              </w:rPr>
              <w:t>Deployment of volunteers or other nongovernmental personnel</w:t>
            </w:r>
          </w:p>
        </w:tc>
        <w:tc>
          <w:tcPr>
            <w:tcW w:w="8633" w:type="dxa"/>
            <w:tcMar>
              <w:top w:w="58" w:type="dxa"/>
              <w:left w:w="130" w:type="dxa"/>
              <w:bottom w:w="58" w:type="dxa"/>
              <w:right w:w="115" w:type="dxa"/>
            </w:tcMar>
            <w:vAlign w:val="center"/>
          </w:tcPr>
          <w:p w14:paraId="6E514CD8" w14:textId="77777777" w:rsidR="007263DD" w:rsidRPr="00727041" w:rsidRDefault="007263DD" w:rsidP="001421B0">
            <w:pPr>
              <w:rPr>
                <w:rFonts w:ascii="Arial" w:hAnsi="Arial" w:cs="Arial"/>
                <w:sz w:val="18"/>
                <w:szCs w:val="18"/>
              </w:rPr>
            </w:pPr>
          </w:p>
        </w:tc>
      </w:tr>
      <w:tr w:rsidR="007263DD" w:rsidRPr="00727041" w14:paraId="2CDF91C0" w14:textId="77777777" w:rsidTr="008D69BD">
        <w:trPr>
          <w:cantSplit/>
        </w:trPr>
        <w:tc>
          <w:tcPr>
            <w:tcW w:w="540" w:type="dxa"/>
            <w:gridSpan w:val="2"/>
            <w:tcMar>
              <w:top w:w="58" w:type="dxa"/>
              <w:left w:w="130" w:type="dxa"/>
              <w:bottom w:w="58" w:type="dxa"/>
              <w:right w:w="115" w:type="dxa"/>
            </w:tcMar>
            <w:vAlign w:val="center"/>
          </w:tcPr>
          <w:p w14:paraId="0DA8E8AF"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23F3307B" w14:textId="77777777" w:rsidR="007263DD" w:rsidRPr="00727041" w:rsidRDefault="007263DD" w:rsidP="001421B0">
            <w:pPr>
              <w:rPr>
                <w:rFonts w:ascii="Arial" w:hAnsi="Arial" w:cs="Arial"/>
                <w:sz w:val="18"/>
                <w:szCs w:val="18"/>
              </w:rPr>
            </w:pPr>
            <w:r>
              <w:rPr>
                <w:rFonts w:ascii="Arial" w:hAnsi="Arial" w:cs="Arial"/>
                <w:sz w:val="18"/>
                <w:szCs w:val="18"/>
              </w:rPr>
              <w:t>Distribution of countermeasures (vaccines, drugs, equipment) and other supplies at public facilities and at private facilities</w:t>
            </w:r>
          </w:p>
        </w:tc>
        <w:tc>
          <w:tcPr>
            <w:tcW w:w="8633" w:type="dxa"/>
            <w:tcMar>
              <w:top w:w="58" w:type="dxa"/>
              <w:left w:w="130" w:type="dxa"/>
              <w:bottom w:w="58" w:type="dxa"/>
              <w:right w:w="115" w:type="dxa"/>
            </w:tcMar>
            <w:vAlign w:val="center"/>
          </w:tcPr>
          <w:p w14:paraId="4397AD49" w14:textId="77777777" w:rsidR="007263DD" w:rsidRPr="00727041" w:rsidRDefault="007263DD" w:rsidP="001421B0">
            <w:pPr>
              <w:rPr>
                <w:rFonts w:ascii="Arial" w:hAnsi="Arial" w:cs="Arial"/>
                <w:sz w:val="18"/>
                <w:szCs w:val="18"/>
              </w:rPr>
            </w:pPr>
          </w:p>
        </w:tc>
      </w:tr>
      <w:tr w:rsidR="007263DD" w:rsidRPr="00727041" w14:paraId="617CFD17" w14:textId="77777777" w:rsidTr="008D69BD">
        <w:trPr>
          <w:cantSplit/>
        </w:trPr>
        <w:tc>
          <w:tcPr>
            <w:tcW w:w="540" w:type="dxa"/>
            <w:gridSpan w:val="2"/>
            <w:tcMar>
              <w:top w:w="58" w:type="dxa"/>
              <w:left w:w="130" w:type="dxa"/>
              <w:bottom w:w="58" w:type="dxa"/>
              <w:right w:w="115" w:type="dxa"/>
            </w:tcMar>
            <w:vAlign w:val="center"/>
          </w:tcPr>
          <w:p w14:paraId="17E7507D"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200787CE" w14:textId="77777777" w:rsidR="007263DD" w:rsidRPr="00727041" w:rsidRDefault="007263DD" w:rsidP="002965C8">
            <w:pPr>
              <w:rPr>
                <w:rFonts w:ascii="Arial" w:hAnsi="Arial" w:cs="Arial"/>
                <w:sz w:val="18"/>
                <w:szCs w:val="18"/>
              </w:rPr>
            </w:pPr>
            <w:r>
              <w:rPr>
                <w:rFonts w:ascii="Arial" w:hAnsi="Arial" w:cs="Arial"/>
                <w:sz w:val="18"/>
                <w:szCs w:val="18"/>
              </w:rPr>
              <w:t>Administration of countermeasures (vaccines, drugs, equipment) and other supplies by governmental personnel and by volunteers and other nongovernmental personnel</w:t>
            </w:r>
          </w:p>
        </w:tc>
        <w:tc>
          <w:tcPr>
            <w:tcW w:w="8633" w:type="dxa"/>
            <w:tcMar>
              <w:top w:w="58" w:type="dxa"/>
              <w:left w:w="130" w:type="dxa"/>
              <w:bottom w:w="58" w:type="dxa"/>
              <w:right w:w="115" w:type="dxa"/>
            </w:tcMar>
            <w:vAlign w:val="center"/>
          </w:tcPr>
          <w:p w14:paraId="5BF1ACBF" w14:textId="77777777" w:rsidR="007263DD" w:rsidRPr="00727041" w:rsidRDefault="007263DD" w:rsidP="001421B0">
            <w:pPr>
              <w:rPr>
                <w:rFonts w:ascii="Arial" w:hAnsi="Arial" w:cs="Arial"/>
                <w:sz w:val="18"/>
                <w:szCs w:val="18"/>
              </w:rPr>
            </w:pPr>
          </w:p>
        </w:tc>
      </w:tr>
      <w:tr w:rsidR="007263DD" w:rsidRPr="00727041" w14:paraId="6A3B2EDE" w14:textId="77777777" w:rsidTr="008D69BD">
        <w:trPr>
          <w:cantSplit/>
        </w:trPr>
        <w:tc>
          <w:tcPr>
            <w:tcW w:w="540" w:type="dxa"/>
            <w:gridSpan w:val="2"/>
            <w:tcMar>
              <w:top w:w="58" w:type="dxa"/>
              <w:left w:w="130" w:type="dxa"/>
              <w:bottom w:w="58" w:type="dxa"/>
              <w:right w:w="115" w:type="dxa"/>
            </w:tcMar>
            <w:vAlign w:val="center"/>
          </w:tcPr>
          <w:p w14:paraId="1306562A"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752457EE" w14:textId="77777777" w:rsidR="007263DD" w:rsidRPr="00727041" w:rsidRDefault="007263DD" w:rsidP="00B83E46">
            <w:pPr>
              <w:rPr>
                <w:rFonts w:ascii="Arial" w:hAnsi="Arial" w:cs="Arial"/>
                <w:sz w:val="18"/>
                <w:szCs w:val="18"/>
              </w:rPr>
            </w:pPr>
            <w:r>
              <w:rPr>
                <w:rFonts w:ascii="Arial" w:hAnsi="Arial" w:cs="Arial"/>
                <w:sz w:val="18"/>
                <w:szCs w:val="18"/>
              </w:rPr>
              <w:t>Surveillance and data collection activities; data disclosure</w:t>
            </w:r>
          </w:p>
        </w:tc>
        <w:tc>
          <w:tcPr>
            <w:tcW w:w="8633" w:type="dxa"/>
            <w:tcMar>
              <w:top w:w="58" w:type="dxa"/>
              <w:left w:w="130" w:type="dxa"/>
              <w:bottom w:w="58" w:type="dxa"/>
              <w:right w:w="115" w:type="dxa"/>
            </w:tcMar>
            <w:vAlign w:val="center"/>
          </w:tcPr>
          <w:p w14:paraId="0E4E3B07" w14:textId="77777777" w:rsidR="007263DD" w:rsidRPr="00727041" w:rsidRDefault="007263DD" w:rsidP="001421B0">
            <w:pPr>
              <w:rPr>
                <w:rFonts w:ascii="Arial" w:hAnsi="Arial" w:cs="Arial"/>
                <w:sz w:val="18"/>
                <w:szCs w:val="18"/>
              </w:rPr>
            </w:pPr>
          </w:p>
        </w:tc>
      </w:tr>
      <w:tr w:rsidR="007263DD" w:rsidRPr="00727041" w14:paraId="7871E5E9" w14:textId="77777777" w:rsidTr="008D69BD">
        <w:trPr>
          <w:cantSplit/>
        </w:trPr>
        <w:tc>
          <w:tcPr>
            <w:tcW w:w="540" w:type="dxa"/>
            <w:gridSpan w:val="2"/>
            <w:tcMar>
              <w:top w:w="58" w:type="dxa"/>
              <w:left w:w="130" w:type="dxa"/>
              <w:bottom w:w="58" w:type="dxa"/>
              <w:right w:w="115" w:type="dxa"/>
            </w:tcMar>
            <w:vAlign w:val="center"/>
          </w:tcPr>
          <w:p w14:paraId="7B81E4BE"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41315505" w14:textId="77777777" w:rsidR="007263DD" w:rsidRPr="00727041" w:rsidRDefault="007263DD" w:rsidP="0024601A">
            <w:pPr>
              <w:rPr>
                <w:rFonts w:ascii="Arial" w:hAnsi="Arial" w:cs="Arial"/>
                <w:sz w:val="18"/>
                <w:szCs w:val="18"/>
              </w:rPr>
            </w:pPr>
            <w:r>
              <w:rPr>
                <w:rFonts w:ascii="Arial" w:hAnsi="Arial" w:cs="Arial"/>
                <w:sz w:val="18"/>
                <w:szCs w:val="18"/>
              </w:rPr>
              <w:t>Imposition of quarantine and other social distancing measures</w:t>
            </w:r>
          </w:p>
        </w:tc>
        <w:tc>
          <w:tcPr>
            <w:tcW w:w="8633" w:type="dxa"/>
            <w:tcMar>
              <w:top w:w="58" w:type="dxa"/>
              <w:left w:w="130" w:type="dxa"/>
              <w:bottom w:w="58" w:type="dxa"/>
              <w:right w:w="115" w:type="dxa"/>
            </w:tcMar>
            <w:vAlign w:val="center"/>
          </w:tcPr>
          <w:p w14:paraId="1C976E5F" w14:textId="77777777" w:rsidR="007263DD" w:rsidRPr="00727041" w:rsidRDefault="007263DD" w:rsidP="001421B0">
            <w:pPr>
              <w:rPr>
                <w:rFonts w:ascii="Arial" w:hAnsi="Arial" w:cs="Arial"/>
                <w:sz w:val="18"/>
                <w:szCs w:val="18"/>
              </w:rPr>
            </w:pPr>
          </w:p>
        </w:tc>
      </w:tr>
      <w:tr w:rsidR="007263DD" w:rsidRPr="00727041" w14:paraId="269F6FC6" w14:textId="77777777" w:rsidTr="008D69BD">
        <w:trPr>
          <w:cantSplit/>
        </w:trPr>
        <w:tc>
          <w:tcPr>
            <w:tcW w:w="540" w:type="dxa"/>
            <w:gridSpan w:val="2"/>
            <w:tcMar>
              <w:top w:w="58" w:type="dxa"/>
              <w:left w:w="130" w:type="dxa"/>
              <w:bottom w:w="58" w:type="dxa"/>
              <w:right w:w="115" w:type="dxa"/>
            </w:tcMar>
            <w:vAlign w:val="center"/>
          </w:tcPr>
          <w:p w14:paraId="448E0CB6"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188A7FB5" w14:textId="77777777" w:rsidR="007263DD" w:rsidRPr="00727041" w:rsidRDefault="007263DD" w:rsidP="001421B0">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1451F136" w14:textId="77777777" w:rsidR="007263DD" w:rsidRPr="00727041" w:rsidRDefault="007263DD" w:rsidP="001421B0">
            <w:pPr>
              <w:rPr>
                <w:rFonts w:ascii="Arial" w:hAnsi="Arial" w:cs="Arial"/>
                <w:sz w:val="18"/>
                <w:szCs w:val="18"/>
              </w:rPr>
            </w:pPr>
          </w:p>
        </w:tc>
      </w:tr>
      <w:tr w:rsidR="007263DD" w:rsidRPr="00727041" w14:paraId="6217B424" w14:textId="77777777" w:rsidTr="008D69BD">
        <w:trPr>
          <w:cantSplit/>
        </w:trPr>
        <w:tc>
          <w:tcPr>
            <w:tcW w:w="5677" w:type="dxa"/>
            <w:gridSpan w:val="3"/>
            <w:tcMar>
              <w:top w:w="58" w:type="dxa"/>
              <w:left w:w="130" w:type="dxa"/>
              <w:bottom w:w="58" w:type="dxa"/>
              <w:right w:w="115" w:type="dxa"/>
            </w:tcMar>
            <w:vAlign w:val="center"/>
          </w:tcPr>
          <w:p w14:paraId="4D8FB986" w14:textId="77777777" w:rsidR="007263DD" w:rsidRPr="00727041" w:rsidRDefault="007263DD" w:rsidP="0024601A">
            <w:pPr>
              <w:rPr>
                <w:rFonts w:ascii="Arial" w:hAnsi="Arial" w:cs="Arial"/>
                <w:sz w:val="18"/>
                <w:szCs w:val="18"/>
              </w:rPr>
            </w:pPr>
            <w:r>
              <w:rPr>
                <w:rFonts w:ascii="Arial" w:hAnsi="Arial" w:cs="Arial"/>
                <w:sz w:val="18"/>
                <w:szCs w:val="18"/>
              </w:rPr>
              <w:t>Identify the elements for the following torts and other potential theories of liability under your state's laws:</w:t>
            </w:r>
          </w:p>
        </w:tc>
        <w:tc>
          <w:tcPr>
            <w:tcW w:w="8633" w:type="dxa"/>
            <w:tcMar>
              <w:top w:w="58" w:type="dxa"/>
              <w:left w:w="130" w:type="dxa"/>
              <w:bottom w:w="58" w:type="dxa"/>
              <w:right w:w="115" w:type="dxa"/>
            </w:tcMar>
            <w:vAlign w:val="center"/>
          </w:tcPr>
          <w:p w14:paraId="1DCD252B" w14:textId="77777777" w:rsidR="007263DD" w:rsidRPr="00727041" w:rsidRDefault="007263DD" w:rsidP="001421B0">
            <w:pPr>
              <w:rPr>
                <w:rFonts w:ascii="Arial" w:hAnsi="Arial" w:cs="Arial"/>
                <w:sz w:val="18"/>
                <w:szCs w:val="18"/>
              </w:rPr>
            </w:pPr>
          </w:p>
        </w:tc>
      </w:tr>
      <w:tr w:rsidR="007263DD" w:rsidRPr="00727041" w14:paraId="3C8B4327" w14:textId="77777777" w:rsidTr="008D69BD">
        <w:trPr>
          <w:cantSplit/>
        </w:trPr>
        <w:tc>
          <w:tcPr>
            <w:tcW w:w="540" w:type="dxa"/>
            <w:gridSpan w:val="2"/>
            <w:tcMar>
              <w:top w:w="58" w:type="dxa"/>
              <w:left w:w="130" w:type="dxa"/>
              <w:bottom w:w="58" w:type="dxa"/>
              <w:right w:w="115" w:type="dxa"/>
            </w:tcMar>
            <w:vAlign w:val="center"/>
          </w:tcPr>
          <w:p w14:paraId="4266BAE5"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7A1CB9A8" w14:textId="77777777" w:rsidR="007263DD" w:rsidRPr="00727041" w:rsidRDefault="007263DD" w:rsidP="001421B0">
            <w:pPr>
              <w:rPr>
                <w:rFonts w:ascii="Arial" w:hAnsi="Arial" w:cs="Arial"/>
                <w:sz w:val="18"/>
                <w:szCs w:val="18"/>
              </w:rPr>
            </w:pPr>
            <w:r>
              <w:rPr>
                <w:rFonts w:ascii="Arial" w:hAnsi="Arial" w:cs="Arial"/>
                <w:sz w:val="18"/>
                <w:szCs w:val="18"/>
              </w:rPr>
              <w:t>Intentional torts</w:t>
            </w:r>
          </w:p>
        </w:tc>
        <w:tc>
          <w:tcPr>
            <w:tcW w:w="8633" w:type="dxa"/>
            <w:tcMar>
              <w:top w:w="58" w:type="dxa"/>
              <w:left w:w="130" w:type="dxa"/>
              <w:bottom w:w="58" w:type="dxa"/>
              <w:right w:w="115" w:type="dxa"/>
            </w:tcMar>
            <w:vAlign w:val="center"/>
          </w:tcPr>
          <w:p w14:paraId="3B0B5366" w14:textId="77777777" w:rsidR="007263DD" w:rsidRPr="00727041" w:rsidRDefault="007263DD" w:rsidP="001421B0">
            <w:pPr>
              <w:rPr>
                <w:rFonts w:ascii="Arial" w:hAnsi="Arial" w:cs="Arial"/>
                <w:sz w:val="18"/>
                <w:szCs w:val="18"/>
              </w:rPr>
            </w:pPr>
          </w:p>
        </w:tc>
      </w:tr>
      <w:tr w:rsidR="007263DD" w:rsidRPr="00727041" w14:paraId="6B5B0E71" w14:textId="77777777" w:rsidTr="008D69BD">
        <w:trPr>
          <w:cantSplit/>
        </w:trPr>
        <w:tc>
          <w:tcPr>
            <w:tcW w:w="540" w:type="dxa"/>
            <w:gridSpan w:val="2"/>
            <w:tcMar>
              <w:top w:w="58" w:type="dxa"/>
              <w:left w:w="130" w:type="dxa"/>
              <w:bottom w:w="58" w:type="dxa"/>
              <w:right w:w="115" w:type="dxa"/>
            </w:tcMar>
            <w:vAlign w:val="center"/>
          </w:tcPr>
          <w:p w14:paraId="459BF381"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0AD96885" w14:textId="77777777" w:rsidR="007263DD" w:rsidRDefault="007263DD" w:rsidP="00EC490B">
            <w:pPr>
              <w:rPr>
                <w:rFonts w:ascii="Arial" w:hAnsi="Arial" w:cs="Arial"/>
                <w:sz w:val="18"/>
                <w:szCs w:val="18"/>
              </w:rPr>
            </w:pPr>
            <w:r>
              <w:rPr>
                <w:rFonts w:ascii="Arial" w:hAnsi="Arial" w:cs="Arial"/>
                <w:sz w:val="18"/>
                <w:szCs w:val="18"/>
              </w:rPr>
              <w:t>Negligence—general</w:t>
            </w:r>
          </w:p>
        </w:tc>
        <w:tc>
          <w:tcPr>
            <w:tcW w:w="8633" w:type="dxa"/>
            <w:tcMar>
              <w:top w:w="58" w:type="dxa"/>
              <w:left w:w="130" w:type="dxa"/>
              <w:bottom w:w="58" w:type="dxa"/>
              <w:right w:w="115" w:type="dxa"/>
            </w:tcMar>
            <w:vAlign w:val="center"/>
          </w:tcPr>
          <w:p w14:paraId="518B62D3" w14:textId="77777777" w:rsidR="007263DD" w:rsidRPr="00727041" w:rsidRDefault="007263DD" w:rsidP="001421B0">
            <w:pPr>
              <w:rPr>
                <w:rFonts w:ascii="Arial" w:hAnsi="Arial" w:cs="Arial"/>
                <w:sz w:val="18"/>
                <w:szCs w:val="18"/>
              </w:rPr>
            </w:pPr>
          </w:p>
        </w:tc>
      </w:tr>
      <w:tr w:rsidR="007263DD" w:rsidRPr="00727041" w14:paraId="62F1ABA3" w14:textId="77777777" w:rsidTr="008D69BD">
        <w:trPr>
          <w:cantSplit/>
        </w:trPr>
        <w:tc>
          <w:tcPr>
            <w:tcW w:w="540" w:type="dxa"/>
            <w:gridSpan w:val="2"/>
            <w:tcMar>
              <w:top w:w="58" w:type="dxa"/>
              <w:left w:w="130" w:type="dxa"/>
              <w:bottom w:w="58" w:type="dxa"/>
              <w:right w:w="115" w:type="dxa"/>
            </w:tcMar>
            <w:vAlign w:val="center"/>
          </w:tcPr>
          <w:p w14:paraId="1F46046E"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5C24C1B5" w14:textId="77777777" w:rsidR="007263DD" w:rsidRDefault="007263DD" w:rsidP="003D6B21">
            <w:pPr>
              <w:rPr>
                <w:rFonts w:ascii="Arial" w:hAnsi="Arial" w:cs="Arial"/>
                <w:sz w:val="18"/>
                <w:szCs w:val="18"/>
              </w:rPr>
            </w:pPr>
            <w:r>
              <w:rPr>
                <w:rFonts w:ascii="Arial" w:hAnsi="Arial" w:cs="Arial"/>
                <w:sz w:val="18"/>
                <w:szCs w:val="18"/>
              </w:rPr>
              <w:t>Medical malpractice</w:t>
            </w:r>
          </w:p>
        </w:tc>
        <w:tc>
          <w:tcPr>
            <w:tcW w:w="8633" w:type="dxa"/>
            <w:tcMar>
              <w:top w:w="58" w:type="dxa"/>
              <w:left w:w="130" w:type="dxa"/>
              <w:bottom w:w="58" w:type="dxa"/>
              <w:right w:w="115" w:type="dxa"/>
            </w:tcMar>
            <w:vAlign w:val="center"/>
          </w:tcPr>
          <w:p w14:paraId="09281D1E" w14:textId="77777777" w:rsidR="007263DD" w:rsidRPr="00727041" w:rsidRDefault="007263DD" w:rsidP="001421B0">
            <w:pPr>
              <w:rPr>
                <w:rFonts w:ascii="Arial" w:hAnsi="Arial" w:cs="Arial"/>
                <w:sz w:val="18"/>
                <w:szCs w:val="18"/>
              </w:rPr>
            </w:pPr>
          </w:p>
        </w:tc>
      </w:tr>
      <w:tr w:rsidR="007263DD" w:rsidRPr="00727041" w14:paraId="56241C74" w14:textId="77777777" w:rsidTr="008D69BD">
        <w:trPr>
          <w:cantSplit/>
        </w:trPr>
        <w:tc>
          <w:tcPr>
            <w:tcW w:w="540" w:type="dxa"/>
            <w:gridSpan w:val="2"/>
            <w:tcMar>
              <w:top w:w="58" w:type="dxa"/>
              <w:left w:w="130" w:type="dxa"/>
              <w:bottom w:w="58" w:type="dxa"/>
              <w:right w:w="115" w:type="dxa"/>
            </w:tcMar>
            <w:vAlign w:val="center"/>
          </w:tcPr>
          <w:p w14:paraId="6C527EB4"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33D3AE36" w14:textId="77777777" w:rsidR="007263DD" w:rsidRDefault="007263DD" w:rsidP="003D6B21">
            <w:pPr>
              <w:rPr>
                <w:rFonts w:ascii="Arial" w:hAnsi="Arial" w:cs="Arial"/>
                <w:sz w:val="18"/>
                <w:szCs w:val="18"/>
              </w:rPr>
            </w:pPr>
            <w:r>
              <w:rPr>
                <w:rFonts w:ascii="Arial" w:hAnsi="Arial" w:cs="Arial"/>
                <w:sz w:val="18"/>
                <w:szCs w:val="18"/>
              </w:rPr>
              <w:t>Exceeding scope of practice</w:t>
            </w:r>
          </w:p>
        </w:tc>
        <w:tc>
          <w:tcPr>
            <w:tcW w:w="8633" w:type="dxa"/>
            <w:tcMar>
              <w:top w:w="58" w:type="dxa"/>
              <w:left w:w="130" w:type="dxa"/>
              <w:bottom w:w="58" w:type="dxa"/>
              <w:right w:w="115" w:type="dxa"/>
            </w:tcMar>
            <w:vAlign w:val="center"/>
          </w:tcPr>
          <w:p w14:paraId="5ACF19F8" w14:textId="77777777" w:rsidR="007263DD" w:rsidRPr="00727041" w:rsidRDefault="007263DD" w:rsidP="001421B0">
            <w:pPr>
              <w:rPr>
                <w:rFonts w:ascii="Arial" w:hAnsi="Arial" w:cs="Arial"/>
                <w:sz w:val="18"/>
                <w:szCs w:val="18"/>
              </w:rPr>
            </w:pPr>
          </w:p>
        </w:tc>
      </w:tr>
      <w:tr w:rsidR="007263DD" w:rsidRPr="00727041" w14:paraId="2EBC5D2A" w14:textId="77777777" w:rsidTr="008D69BD">
        <w:trPr>
          <w:cantSplit/>
        </w:trPr>
        <w:tc>
          <w:tcPr>
            <w:tcW w:w="540" w:type="dxa"/>
            <w:gridSpan w:val="2"/>
            <w:tcMar>
              <w:top w:w="58" w:type="dxa"/>
              <w:left w:w="130" w:type="dxa"/>
              <w:bottom w:w="58" w:type="dxa"/>
              <w:right w:w="115" w:type="dxa"/>
            </w:tcMar>
            <w:vAlign w:val="center"/>
          </w:tcPr>
          <w:p w14:paraId="4264746B"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22D30464" w14:textId="77777777" w:rsidR="007263DD" w:rsidRDefault="007263DD" w:rsidP="003D6B21">
            <w:pPr>
              <w:rPr>
                <w:rFonts w:ascii="Arial" w:hAnsi="Arial" w:cs="Arial"/>
                <w:sz w:val="18"/>
                <w:szCs w:val="18"/>
              </w:rPr>
            </w:pPr>
            <w:r>
              <w:rPr>
                <w:rFonts w:ascii="Arial" w:hAnsi="Arial" w:cs="Arial"/>
                <w:sz w:val="18"/>
                <w:szCs w:val="18"/>
              </w:rPr>
              <w:t>Breach of privacy and confidentiality</w:t>
            </w:r>
          </w:p>
        </w:tc>
        <w:tc>
          <w:tcPr>
            <w:tcW w:w="8633" w:type="dxa"/>
            <w:tcMar>
              <w:top w:w="58" w:type="dxa"/>
              <w:left w:w="130" w:type="dxa"/>
              <w:bottom w:w="58" w:type="dxa"/>
              <w:right w:w="115" w:type="dxa"/>
            </w:tcMar>
            <w:vAlign w:val="center"/>
          </w:tcPr>
          <w:p w14:paraId="145C29CD" w14:textId="77777777" w:rsidR="007263DD" w:rsidRPr="00727041" w:rsidRDefault="007263DD" w:rsidP="001421B0">
            <w:pPr>
              <w:rPr>
                <w:rFonts w:ascii="Arial" w:hAnsi="Arial" w:cs="Arial"/>
                <w:sz w:val="18"/>
                <w:szCs w:val="18"/>
              </w:rPr>
            </w:pPr>
          </w:p>
        </w:tc>
      </w:tr>
      <w:tr w:rsidR="007263DD" w:rsidRPr="00727041" w14:paraId="24ED4B3C" w14:textId="77777777" w:rsidTr="008D69BD">
        <w:trPr>
          <w:cantSplit/>
        </w:trPr>
        <w:tc>
          <w:tcPr>
            <w:tcW w:w="540" w:type="dxa"/>
            <w:gridSpan w:val="2"/>
            <w:tcMar>
              <w:top w:w="58" w:type="dxa"/>
              <w:left w:w="130" w:type="dxa"/>
              <w:bottom w:w="58" w:type="dxa"/>
              <w:right w:w="115" w:type="dxa"/>
            </w:tcMar>
            <w:vAlign w:val="center"/>
          </w:tcPr>
          <w:p w14:paraId="0B4ED6DF"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6A95EED8" w14:textId="77777777" w:rsidR="007263DD" w:rsidRDefault="007263DD" w:rsidP="003D6B21">
            <w:pPr>
              <w:rPr>
                <w:rFonts w:ascii="Arial" w:hAnsi="Arial" w:cs="Arial"/>
                <w:sz w:val="18"/>
                <w:szCs w:val="18"/>
              </w:rPr>
            </w:pPr>
            <w:r>
              <w:rPr>
                <w:rFonts w:ascii="Arial" w:hAnsi="Arial" w:cs="Arial"/>
                <w:sz w:val="18"/>
                <w:szCs w:val="18"/>
              </w:rPr>
              <w:t>Premises liability</w:t>
            </w:r>
          </w:p>
        </w:tc>
        <w:tc>
          <w:tcPr>
            <w:tcW w:w="8633" w:type="dxa"/>
            <w:tcMar>
              <w:top w:w="58" w:type="dxa"/>
              <w:left w:w="130" w:type="dxa"/>
              <w:bottom w:w="58" w:type="dxa"/>
              <w:right w:w="115" w:type="dxa"/>
            </w:tcMar>
            <w:vAlign w:val="center"/>
          </w:tcPr>
          <w:p w14:paraId="14F8B966" w14:textId="77777777" w:rsidR="007263DD" w:rsidRPr="00727041" w:rsidRDefault="007263DD" w:rsidP="001421B0">
            <w:pPr>
              <w:rPr>
                <w:rFonts w:ascii="Arial" w:hAnsi="Arial" w:cs="Arial"/>
                <w:sz w:val="18"/>
                <w:szCs w:val="18"/>
              </w:rPr>
            </w:pPr>
          </w:p>
        </w:tc>
      </w:tr>
      <w:tr w:rsidR="007263DD" w:rsidRPr="00727041" w14:paraId="4B68064B" w14:textId="77777777" w:rsidTr="008D69BD">
        <w:trPr>
          <w:cantSplit/>
        </w:trPr>
        <w:tc>
          <w:tcPr>
            <w:tcW w:w="540" w:type="dxa"/>
            <w:gridSpan w:val="2"/>
            <w:tcMar>
              <w:top w:w="58" w:type="dxa"/>
              <w:left w:w="130" w:type="dxa"/>
              <w:bottom w:w="58" w:type="dxa"/>
              <w:right w:w="115" w:type="dxa"/>
            </w:tcMar>
            <w:vAlign w:val="center"/>
          </w:tcPr>
          <w:p w14:paraId="3E6BF3B8"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4E71B927" w14:textId="77777777" w:rsidR="007263DD" w:rsidRDefault="007263DD" w:rsidP="003D6B21">
            <w:pPr>
              <w:rPr>
                <w:rFonts w:ascii="Arial" w:hAnsi="Arial" w:cs="Arial"/>
                <w:sz w:val="18"/>
                <w:szCs w:val="18"/>
              </w:rPr>
            </w:pPr>
            <w:r>
              <w:rPr>
                <w:rFonts w:ascii="Arial" w:hAnsi="Arial" w:cs="Arial"/>
                <w:sz w:val="18"/>
                <w:szCs w:val="18"/>
              </w:rPr>
              <w:t>Gross negligence</w:t>
            </w:r>
          </w:p>
        </w:tc>
        <w:tc>
          <w:tcPr>
            <w:tcW w:w="8633" w:type="dxa"/>
            <w:tcMar>
              <w:top w:w="58" w:type="dxa"/>
              <w:left w:w="130" w:type="dxa"/>
              <w:bottom w:w="58" w:type="dxa"/>
              <w:right w:w="115" w:type="dxa"/>
            </w:tcMar>
            <w:vAlign w:val="center"/>
          </w:tcPr>
          <w:p w14:paraId="7BD8E8CD" w14:textId="77777777" w:rsidR="007263DD" w:rsidRPr="00727041" w:rsidRDefault="007263DD" w:rsidP="001421B0">
            <w:pPr>
              <w:rPr>
                <w:rFonts w:ascii="Arial" w:hAnsi="Arial" w:cs="Arial"/>
                <w:sz w:val="18"/>
                <w:szCs w:val="18"/>
              </w:rPr>
            </w:pPr>
          </w:p>
        </w:tc>
      </w:tr>
      <w:tr w:rsidR="007263DD" w:rsidRPr="00727041" w14:paraId="245FEFC2" w14:textId="77777777" w:rsidTr="008D69BD">
        <w:trPr>
          <w:cantSplit/>
        </w:trPr>
        <w:tc>
          <w:tcPr>
            <w:tcW w:w="540" w:type="dxa"/>
            <w:gridSpan w:val="2"/>
            <w:tcMar>
              <w:top w:w="58" w:type="dxa"/>
              <w:left w:w="130" w:type="dxa"/>
              <w:bottom w:w="58" w:type="dxa"/>
              <w:right w:w="115" w:type="dxa"/>
            </w:tcMar>
            <w:vAlign w:val="center"/>
          </w:tcPr>
          <w:p w14:paraId="70C654F8"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03B69340" w14:textId="77777777" w:rsidR="007263DD" w:rsidRDefault="007263DD" w:rsidP="003D6B21">
            <w:pPr>
              <w:rPr>
                <w:rFonts w:ascii="Arial" w:hAnsi="Arial" w:cs="Arial"/>
                <w:sz w:val="18"/>
                <w:szCs w:val="18"/>
              </w:rPr>
            </w:pPr>
            <w:r>
              <w:rPr>
                <w:rFonts w:ascii="Arial" w:hAnsi="Arial" w:cs="Arial"/>
                <w:sz w:val="18"/>
                <w:szCs w:val="18"/>
              </w:rPr>
              <w:t>Strict liability</w:t>
            </w:r>
          </w:p>
        </w:tc>
        <w:tc>
          <w:tcPr>
            <w:tcW w:w="8633" w:type="dxa"/>
            <w:tcMar>
              <w:top w:w="58" w:type="dxa"/>
              <w:left w:w="130" w:type="dxa"/>
              <w:bottom w:w="58" w:type="dxa"/>
              <w:right w:w="115" w:type="dxa"/>
            </w:tcMar>
            <w:vAlign w:val="center"/>
          </w:tcPr>
          <w:p w14:paraId="0E3BBA1F" w14:textId="77777777" w:rsidR="007263DD" w:rsidRPr="00727041" w:rsidRDefault="007263DD" w:rsidP="001421B0">
            <w:pPr>
              <w:rPr>
                <w:rFonts w:ascii="Arial" w:hAnsi="Arial" w:cs="Arial"/>
                <w:sz w:val="18"/>
                <w:szCs w:val="18"/>
              </w:rPr>
            </w:pPr>
          </w:p>
        </w:tc>
      </w:tr>
      <w:tr w:rsidR="007263DD" w:rsidRPr="00727041" w14:paraId="144D5BB9" w14:textId="77777777" w:rsidTr="008D69BD">
        <w:trPr>
          <w:cantSplit/>
        </w:trPr>
        <w:tc>
          <w:tcPr>
            <w:tcW w:w="540" w:type="dxa"/>
            <w:gridSpan w:val="2"/>
            <w:tcMar>
              <w:top w:w="58" w:type="dxa"/>
              <w:left w:w="130" w:type="dxa"/>
              <w:bottom w:w="58" w:type="dxa"/>
              <w:right w:w="115" w:type="dxa"/>
            </w:tcMar>
            <w:vAlign w:val="center"/>
          </w:tcPr>
          <w:p w14:paraId="0F7DBDAC"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65E21AF1" w14:textId="77777777" w:rsidR="007263DD" w:rsidRDefault="007263DD" w:rsidP="003D6B21">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2E3076E1" w14:textId="77777777" w:rsidR="007263DD" w:rsidRPr="00727041" w:rsidRDefault="007263DD" w:rsidP="001421B0">
            <w:pPr>
              <w:rPr>
                <w:rFonts w:ascii="Arial" w:hAnsi="Arial" w:cs="Arial"/>
                <w:sz w:val="18"/>
                <w:szCs w:val="18"/>
              </w:rPr>
            </w:pPr>
          </w:p>
        </w:tc>
      </w:tr>
      <w:tr w:rsidR="007263DD" w:rsidRPr="00727041" w14:paraId="37D903C2" w14:textId="77777777" w:rsidTr="008D69BD">
        <w:trPr>
          <w:cantSplit/>
        </w:trPr>
        <w:tc>
          <w:tcPr>
            <w:tcW w:w="5677" w:type="dxa"/>
            <w:gridSpan w:val="3"/>
            <w:tcMar>
              <w:top w:w="58" w:type="dxa"/>
              <w:left w:w="130" w:type="dxa"/>
              <w:bottom w:w="58" w:type="dxa"/>
              <w:right w:w="115" w:type="dxa"/>
            </w:tcMar>
            <w:vAlign w:val="center"/>
          </w:tcPr>
          <w:p w14:paraId="76C494B5" w14:textId="77777777" w:rsidR="007263DD" w:rsidRPr="00727041" w:rsidRDefault="007263DD" w:rsidP="001421B0">
            <w:pPr>
              <w:rPr>
                <w:rFonts w:ascii="Arial" w:hAnsi="Arial" w:cs="Arial"/>
                <w:sz w:val="18"/>
                <w:szCs w:val="18"/>
              </w:rPr>
            </w:pPr>
            <w:r>
              <w:rPr>
                <w:rFonts w:ascii="Arial" w:hAnsi="Arial" w:cs="Arial"/>
                <w:sz w:val="18"/>
                <w:szCs w:val="18"/>
              </w:rPr>
              <w:t>Identify potential sources of statutory and regulatory violations that could be used to find liability for persons involved in emergency response activities:</w:t>
            </w:r>
          </w:p>
        </w:tc>
        <w:tc>
          <w:tcPr>
            <w:tcW w:w="8633" w:type="dxa"/>
            <w:tcMar>
              <w:top w:w="58" w:type="dxa"/>
              <w:left w:w="130" w:type="dxa"/>
              <w:bottom w:w="58" w:type="dxa"/>
              <w:right w:w="115" w:type="dxa"/>
            </w:tcMar>
            <w:vAlign w:val="center"/>
          </w:tcPr>
          <w:p w14:paraId="6E89CF0C" w14:textId="77777777" w:rsidR="007263DD" w:rsidRPr="00727041" w:rsidRDefault="007263DD" w:rsidP="001421B0">
            <w:pPr>
              <w:rPr>
                <w:rFonts w:ascii="Arial" w:hAnsi="Arial" w:cs="Arial"/>
                <w:sz w:val="18"/>
                <w:szCs w:val="18"/>
              </w:rPr>
            </w:pPr>
          </w:p>
        </w:tc>
      </w:tr>
      <w:tr w:rsidR="007263DD" w:rsidRPr="00727041" w14:paraId="37CB5034" w14:textId="77777777" w:rsidTr="008D69BD">
        <w:trPr>
          <w:cantSplit/>
        </w:trPr>
        <w:tc>
          <w:tcPr>
            <w:tcW w:w="540" w:type="dxa"/>
            <w:gridSpan w:val="2"/>
            <w:tcMar>
              <w:top w:w="58" w:type="dxa"/>
              <w:left w:w="130" w:type="dxa"/>
              <w:bottom w:w="58" w:type="dxa"/>
              <w:right w:w="115" w:type="dxa"/>
            </w:tcMar>
            <w:vAlign w:val="center"/>
          </w:tcPr>
          <w:p w14:paraId="1B7201D2"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7FBC8EAE" w14:textId="77777777" w:rsidR="007263DD" w:rsidRPr="00727041" w:rsidRDefault="007263DD" w:rsidP="004E12E8">
            <w:pPr>
              <w:rPr>
                <w:rFonts w:ascii="Arial" w:hAnsi="Arial" w:cs="Arial"/>
                <w:sz w:val="18"/>
                <w:szCs w:val="18"/>
              </w:rPr>
            </w:pPr>
            <w:r>
              <w:rPr>
                <w:rFonts w:ascii="Arial" w:hAnsi="Arial" w:cs="Arial"/>
                <w:sz w:val="18"/>
                <w:szCs w:val="18"/>
              </w:rPr>
              <w:t>Federal</w:t>
            </w:r>
          </w:p>
        </w:tc>
        <w:tc>
          <w:tcPr>
            <w:tcW w:w="8633" w:type="dxa"/>
            <w:tcMar>
              <w:top w:w="58" w:type="dxa"/>
              <w:left w:w="130" w:type="dxa"/>
              <w:bottom w:w="58" w:type="dxa"/>
              <w:right w:w="115" w:type="dxa"/>
            </w:tcMar>
            <w:vAlign w:val="center"/>
          </w:tcPr>
          <w:p w14:paraId="7FBAAEA8" w14:textId="77777777" w:rsidR="007263DD" w:rsidRPr="00727041" w:rsidRDefault="007263DD" w:rsidP="001421B0">
            <w:pPr>
              <w:rPr>
                <w:rFonts w:ascii="Arial" w:hAnsi="Arial" w:cs="Arial"/>
                <w:sz w:val="18"/>
                <w:szCs w:val="18"/>
              </w:rPr>
            </w:pPr>
          </w:p>
        </w:tc>
      </w:tr>
      <w:tr w:rsidR="007263DD" w:rsidRPr="00727041" w14:paraId="1784172A" w14:textId="77777777" w:rsidTr="008D69BD">
        <w:trPr>
          <w:cantSplit/>
        </w:trPr>
        <w:tc>
          <w:tcPr>
            <w:tcW w:w="540" w:type="dxa"/>
            <w:gridSpan w:val="2"/>
            <w:tcMar>
              <w:top w:w="58" w:type="dxa"/>
              <w:left w:w="130" w:type="dxa"/>
              <w:bottom w:w="58" w:type="dxa"/>
              <w:right w:w="115" w:type="dxa"/>
            </w:tcMar>
            <w:vAlign w:val="center"/>
          </w:tcPr>
          <w:p w14:paraId="0DD0A765"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18B292A1" w14:textId="77777777" w:rsidR="007263DD" w:rsidRPr="00727041" w:rsidRDefault="007263DD" w:rsidP="004E12E8">
            <w:pPr>
              <w:rPr>
                <w:rFonts w:ascii="Arial" w:hAnsi="Arial" w:cs="Arial"/>
                <w:sz w:val="18"/>
                <w:szCs w:val="18"/>
              </w:rPr>
            </w:pPr>
            <w:r>
              <w:rPr>
                <w:rFonts w:ascii="Arial" w:hAnsi="Arial" w:cs="Arial"/>
                <w:sz w:val="18"/>
                <w:szCs w:val="18"/>
              </w:rPr>
              <w:t>State</w:t>
            </w:r>
          </w:p>
        </w:tc>
        <w:tc>
          <w:tcPr>
            <w:tcW w:w="8633" w:type="dxa"/>
            <w:tcMar>
              <w:top w:w="58" w:type="dxa"/>
              <w:left w:w="130" w:type="dxa"/>
              <w:bottom w:w="58" w:type="dxa"/>
              <w:right w:w="115" w:type="dxa"/>
            </w:tcMar>
            <w:vAlign w:val="center"/>
          </w:tcPr>
          <w:p w14:paraId="15AFE22A" w14:textId="77777777" w:rsidR="007263DD" w:rsidRPr="00727041" w:rsidRDefault="007263DD" w:rsidP="001421B0">
            <w:pPr>
              <w:rPr>
                <w:rFonts w:ascii="Arial" w:hAnsi="Arial" w:cs="Arial"/>
                <w:sz w:val="18"/>
                <w:szCs w:val="18"/>
              </w:rPr>
            </w:pPr>
          </w:p>
        </w:tc>
      </w:tr>
      <w:tr w:rsidR="007263DD" w:rsidRPr="00727041" w14:paraId="036E7970" w14:textId="77777777" w:rsidTr="008D69BD">
        <w:trPr>
          <w:cantSplit/>
        </w:trPr>
        <w:tc>
          <w:tcPr>
            <w:tcW w:w="540" w:type="dxa"/>
            <w:gridSpan w:val="2"/>
            <w:tcMar>
              <w:top w:w="58" w:type="dxa"/>
              <w:left w:w="130" w:type="dxa"/>
              <w:bottom w:w="58" w:type="dxa"/>
              <w:right w:w="115" w:type="dxa"/>
            </w:tcMar>
            <w:vAlign w:val="center"/>
          </w:tcPr>
          <w:p w14:paraId="417958AF"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674C14C7" w14:textId="77777777" w:rsidR="007263DD" w:rsidRPr="00727041" w:rsidRDefault="007263DD" w:rsidP="004E12E8">
            <w:pPr>
              <w:rPr>
                <w:rFonts w:ascii="Arial" w:hAnsi="Arial" w:cs="Arial"/>
                <w:sz w:val="18"/>
                <w:szCs w:val="18"/>
              </w:rPr>
            </w:pPr>
            <w:r>
              <w:rPr>
                <w:rFonts w:ascii="Arial" w:hAnsi="Arial" w:cs="Arial"/>
                <w:sz w:val="18"/>
                <w:szCs w:val="18"/>
              </w:rPr>
              <w:t>Local</w:t>
            </w:r>
          </w:p>
        </w:tc>
        <w:tc>
          <w:tcPr>
            <w:tcW w:w="8633" w:type="dxa"/>
            <w:tcMar>
              <w:top w:w="58" w:type="dxa"/>
              <w:left w:w="130" w:type="dxa"/>
              <w:bottom w:w="58" w:type="dxa"/>
              <w:right w:w="115" w:type="dxa"/>
            </w:tcMar>
            <w:vAlign w:val="center"/>
          </w:tcPr>
          <w:p w14:paraId="6CC60303" w14:textId="77777777" w:rsidR="007263DD" w:rsidRPr="00727041" w:rsidRDefault="007263DD" w:rsidP="001421B0">
            <w:pPr>
              <w:rPr>
                <w:rFonts w:ascii="Arial" w:hAnsi="Arial" w:cs="Arial"/>
                <w:sz w:val="18"/>
                <w:szCs w:val="18"/>
              </w:rPr>
            </w:pPr>
          </w:p>
        </w:tc>
      </w:tr>
      <w:tr w:rsidR="007263DD" w:rsidRPr="00727041" w14:paraId="1152B950" w14:textId="77777777" w:rsidTr="008D69BD">
        <w:trPr>
          <w:cantSplit/>
        </w:trPr>
        <w:tc>
          <w:tcPr>
            <w:tcW w:w="540" w:type="dxa"/>
            <w:gridSpan w:val="2"/>
            <w:tcMar>
              <w:top w:w="58" w:type="dxa"/>
              <w:left w:w="130" w:type="dxa"/>
              <w:bottom w:w="58" w:type="dxa"/>
              <w:right w:w="115" w:type="dxa"/>
            </w:tcMar>
            <w:vAlign w:val="center"/>
          </w:tcPr>
          <w:p w14:paraId="40356E2B"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5CD02F1A" w14:textId="77777777" w:rsidR="007263DD" w:rsidRPr="00727041" w:rsidRDefault="007263DD" w:rsidP="004E12E8">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39ABDD39" w14:textId="77777777" w:rsidR="007263DD" w:rsidRPr="00727041" w:rsidRDefault="007263DD" w:rsidP="001421B0">
            <w:pPr>
              <w:rPr>
                <w:rFonts w:ascii="Arial" w:hAnsi="Arial" w:cs="Arial"/>
                <w:sz w:val="18"/>
                <w:szCs w:val="18"/>
              </w:rPr>
            </w:pPr>
          </w:p>
        </w:tc>
      </w:tr>
      <w:tr w:rsidR="007263DD" w:rsidRPr="00727041" w14:paraId="64912F2B" w14:textId="77777777" w:rsidTr="008D69BD">
        <w:trPr>
          <w:cantSplit/>
        </w:trPr>
        <w:tc>
          <w:tcPr>
            <w:tcW w:w="5677" w:type="dxa"/>
            <w:gridSpan w:val="3"/>
            <w:tcMar>
              <w:top w:w="58" w:type="dxa"/>
              <w:left w:w="130" w:type="dxa"/>
              <w:bottom w:w="58" w:type="dxa"/>
              <w:right w:w="115" w:type="dxa"/>
            </w:tcMar>
            <w:vAlign w:val="center"/>
          </w:tcPr>
          <w:p w14:paraId="2D9BF13A" w14:textId="77777777" w:rsidR="007263DD" w:rsidRDefault="007263DD" w:rsidP="004E12E8">
            <w:pPr>
              <w:rPr>
                <w:rFonts w:ascii="Arial" w:hAnsi="Arial" w:cs="Arial"/>
                <w:sz w:val="18"/>
                <w:szCs w:val="18"/>
              </w:rPr>
            </w:pPr>
            <w:r>
              <w:rPr>
                <w:rFonts w:ascii="Arial" w:hAnsi="Arial" w:cs="Arial"/>
                <w:sz w:val="18"/>
                <w:szCs w:val="18"/>
              </w:rPr>
              <w:t>Identify potential constitutional bases for liability:</w:t>
            </w:r>
          </w:p>
        </w:tc>
        <w:tc>
          <w:tcPr>
            <w:tcW w:w="8633" w:type="dxa"/>
            <w:tcMar>
              <w:top w:w="58" w:type="dxa"/>
              <w:left w:w="130" w:type="dxa"/>
              <w:bottom w:w="58" w:type="dxa"/>
              <w:right w:w="115" w:type="dxa"/>
            </w:tcMar>
            <w:vAlign w:val="center"/>
          </w:tcPr>
          <w:p w14:paraId="52821CA1" w14:textId="77777777" w:rsidR="007263DD" w:rsidRPr="00727041" w:rsidRDefault="007263DD" w:rsidP="001421B0">
            <w:pPr>
              <w:rPr>
                <w:rFonts w:ascii="Arial" w:hAnsi="Arial" w:cs="Arial"/>
                <w:sz w:val="18"/>
                <w:szCs w:val="18"/>
              </w:rPr>
            </w:pPr>
          </w:p>
        </w:tc>
      </w:tr>
      <w:tr w:rsidR="007263DD" w:rsidRPr="00727041" w14:paraId="03E3AAD2" w14:textId="77777777" w:rsidTr="008D69BD">
        <w:trPr>
          <w:cantSplit/>
        </w:trPr>
        <w:tc>
          <w:tcPr>
            <w:tcW w:w="540" w:type="dxa"/>
            <w:gridSpan w:val="2"/>
            <w:tcMar>
              <w:top w:w="58" w:type="dxa"/>
              <w:left w:w="130" w:type="dxa"/>
              <w:bottom w:w="58" w:type="dxa"/>
              <w:right w:w="115" w:type="dxa"/>
            </w:tcMar>
            <w:vAlign w:val="center"/>
          </w:tcPr>
          <w:p w14:paraId="30CB66EE"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063877EE" w14:textId="77777777" w:rsidR="007263DD" w:rsidRDefault="007263DD" w:rsidP="004E12E8">
            <w:pPr>
              <w:rPr>
                <w:rFonts w:ascii="Arial" w:hAnsi="Arial" w:cs="Arial"/>
                <w:sz w:val="18"/>
                <w:szCs w:val="18"/>
              </w:rPr>
            </w:pPr>
            <w:r>
              <w:rPr>
                <w:rFonts w:ascii="Arial" w:hAnsi="Arial" w:cs="Arial"/>
                <w:sz w:val="18"/>
                <w:szCs w:val="18"/>
              </w:rPr>
              <w:t>Federal</w:t>
            </w:r>
          </w:p>
        </w:tc>
        <w:tc>
          <w:tcPr>
            <w:tcW w:w="8633" w:type="dxa"/>
            <w:tcMar>
              <w:top w:w="58" w:type="dxa"/>
              <w:left w:w="130" w:type="dxa"/>
              <w:bottom w:w="58" w:type="dxa"/>
              <w:right w:w="115" w:type="dxa"/>
            </w:tcMar>
            <w:vAlign w:val="center"/>
          </w:tcPr>
          <w:p w14:paraId="3F5D932B" w14:textId="77777777" w:rsidR="007263DD" w:rsidRPr="00727041" w:rsidRDefault="007263DD" w:rsidP="001421B0">
            <w:pPr>
              <w:rPr>
                <w:rFonts w:ascii="Arial" w:hAnsi="Arial" w:cs="Arial"/>
                <w:sz w:val="18"/>
                <w:szCs w:val="18"/>
              </w:rPr>
            </w:pPr>
          </w:p>
        </w:tc>
      </w:tr>
      <w:tr w:rsidR="007263DD" w:rsidRPr="00727041" w14:paraId="5FB0AB66" w14:textId="77777777" w:rsidTr="008D69BD">
        <w:trPr>
          <w:cantSplit/>
        </w:trPr>
        <w:tc>
          <w:tcPr>
            <w:tcW w:w="540" w:type="dxa"/>
            <w:gridSpan w:val="2"/>
            <w:tcMar>
              <w:top w:w="58" w:type="dxa"/>
              <w:left w:w="130" w:type="dxa"/>
              <w:bottom w:w="58" w:type="dxa"/>
              <w:right w:w="115" w:type="dxa"/>
            </w:tcMar>
            <w:vAlign w:val="center"/>
          </w:tcPr>
          <w:p w14:paraId="501CF7BB"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025898AE" w14:textId="77777777" w:rsidR="007263DD" w:rsidRDefault="007263DD" w:rsidP="004E12E8">
            <w:pPr>
              <w:rPr>
                <w:rFonts w:ascii="Arial" w:hAnsi="Arial" w:cs="Arial"/>
                <w:sz w:val="18"/>
                <w:szCs w:val="18"/>
              </w:rPr>
            </w:pPr>
            <w:r>
              <w:rPr>
                <w:rFonts w:ascii="Arial" w:hAnsi="Arial" w:cs="Arial"/>
                <w:sz w:val="18"/>
                <w:szCs w:val="18"/>
              </w:rPr>
              <w:t>State</w:t>
            </w:r>
          </w:p>
        </w:tc>
        <w:tc>
          <w:tcPr>
            <w:tcW w:w="8633" w:type="dxa"/>
            <w:tcMar>
              <w:top w:w="58" w:type="dxa"/>
              <w:left w:w="130" w:type="dxa"/>
              <w:bottom w:w="58" w:type="dxa"/>
              <w:right w:w="115" w:type="dxa"/>
            </w:tcMar>
            <w:vAlign w:val="center"/>
          </w:tcPr>
          <w:p w14:paraId="1BE5F33A" w14:textId="77777777" w:rsidR="007263DD" w:rsidRPr="00727041" w:rsidRDefault="007263DD" w:rsidP="001421B0">
            <w:pPr>
              <w:rPr>
                <w:rFonts w:ascii="Arial" w:hAnsi="Arial" w:cs="Arial"/>
                <w:sz w:val="18"/>
                <w:szCs w:val="18"/>
              </w:rPr>
            </w:pPr>
          </w:p>
        </w:tc>
      </w:tr>
      <w:tr w:rsidR="007263DD" w:rsidRPr="00727041" w14:paraId="66E2515C" w14:textId="77777777" w:rsidTr="008D69BD">
        <w:trPr>
          <w:cantSplit/>
        </w:trPr>
        <w:tc>
          <w:tcPr>
            <w:tcW w:w="5677" w:type="dxa"/>
            <w:gridSpan w:val="3"/>
            <w:tcMar>
              <w:top w:w="58" w:type="dxa"/>
              <w:left w:w="130" w:type="dxa"/>
              <w:bottom w:w="58" w:type="dxa"/>
              <w:right w:w="115" w:type="dxa"/>
            </w:tcMar>
            <w:vAlign w:val="center"/>
          </w:tcPr>
          <w:p w14:paraId="17AC42CC" w14:textId="77777777" w:rsidR="007263DD" w:rsidRDefault="007263DD" w:rsidP="00B83AD5">
            <w:pPr>
              <w:rPr>
                <w:rFonts w:ascii="Arial" w:hAnsi="Arial" w:cs="Arial"/>
                <w:sz w:val="18"/>
                <w:szCs w:val="18"/>
              </w:rPr>
            </w:pPr>
            <w:r>
              <w:rPr>
                <w:rFonts w:ascii="Arial" w:hAnsi="Arial" w:cs="Arial"/>
                <w:sz w:val="18"/>
                <w:szCs w:val="18"/>
              </w:rPr>
              <w:t>Identify potential criminal bases for liability that could occur within the context of a state emergency response.</w:t>
            </w:r>
          </w:p>
        </w:tc>
        <w:tc>
          <w:tcPr>
            <w:tcW w:w="8633" w:type="dxa"/>
            <w:tcMar>
              <w:top w:w="58" w:type="dxa"/>
              <w:left w:w="130" w:type="dxa"/>
              <w:bottom w:w="58" w:type="dxa"/>
              <w:right w:w="115" w:type="dxa"/>
            </w:tcMar>
            <w:vAlign w:val="center"/>
          </w:tcPr>
          <w:p w14:paraId="468B3E50" w14:textId="77777777" w:rsidR="007263DD" w:rsidRPr="00727041" w:rsidRDefault="007263DD" w:rsidP="001421B0">
            <w:pPr>
              <w:rPr>
                <w:rFonts w:ascii="Arial" w:hAnsi="Arial" w:cs="Arial"/>
                <w:sz w:val="18"/>
                <w:szCs w:val="18"/>
              </w:rPr>
            </w:pPr>
          </w:p>
        </w:tc>
      </w:tr>
      <w:tr w:rsidR="007263DD" w:rsidRPr="00727041" w14:paraId="6E218976" w14:textId="77777777" w:rsidTr="008D69BD">
        <w:trPr>
          <w:cantSplit/>
        </w:trPr>
        <w:tc>
          <w:tcPr>
            <w:tcW w:w="540" w:type="dxa"/>
            <w:gridSpan w:val="2"/>
            <w:tcMar>
              <w:top w:w="58" w:type="dxa"/>
              <w:left w:w="130" w:type="dxa"/>
              <w:bottom w:w="58" w:type="dxa"/>
              <w:right w:w="115" w:type="dxa"/>
            </w:tcMar>
            <w:vAlign w:val="center"/>
          </w:tcPr>
          <w:p w14:paraId="13582F82" w14:textId="77777777" w:rsidR="007263DD" w:rsidRDefault="007263DD" w:rsidP="00B83AD5">
            <w:pPr>
              <w:rPr>
                <w:rFonts w:ascii="Arial" w:hAnsi="Arial" w:cs="Arial"/>
                <w:sz w:val="18"/>
                <w:szCs w:val="18"/>
              </w:rPr>
            </w:pPr>
          </w:p>
        </w:tc>
        <w:tc>
          <w:tcPr>
            <w:tcW w:w="5137" w:type="dxa"/>
            <w:vAlign w:val="center"/>
          </w:tcPr>
          <w:p w14:paraId="39235615" w14:textId="77777777" w:rsidR="007263DD" w:rsidRPr="00727041" w:rsidRDefault="007263DD" w:rsidP="00EC490B">
            <w:pPr>
              <w:rPr>
                <w:rFonts w:ascii="Arial" w:hAnsi="Arial" w:cs="Arial"/>
                <w:sz w:val="18"/>
                <w:szCs w:val="18"/>
              </w:rPr>
            </w:pPr>
            <w:r>
              <w:rPr>
                <w:rFonts w:ascii="Arial" w:hAnsi="Arial" w:cs="Arial"/>
                <w:sz w:val="18"/>
                <w:szCs w:val="18"/>
              </w:rPr>
              <w:t>Federal</w:t>
            </w:r>
          </w:p>
        </w:tc>
        <w:tc>
          <w:tcPr>
            <w:tcW w:w="8633" w:type="dxa"/>
            <w:tcMar>
              <w:top w:w="58" w:type="dxa"/>
              <w:left w:w="130" w:type="dxa"/>
              <w:bottom w:w="58" w:type="dxa"/>
              <w:right w:w="115" w:type="dxa"/>
            </w:tcMar>
            <w:vAlign w:val="center"/>
          </w:tcPr>
          <w:p w14:paraId="1BAA44E3" w14:textId="77777777" w:rsidR="007263DD" w:rsidRPr="00727041" w:rsidRDefault="007263DD" w:rsidP="001421B0">
            <w:pPr>
              <w:rPr>
                <w:rFonts w:ascii="Arial" w:hAnsi="Arial" w:cs="Arial"/>
                <w:sz w:val="18"/>
                <w:szCs w:val="18"/>
              </w:rPr>
            </w:pPr>
          </w:p>
        </w:tc>
      </w:tr>
      <w:tr w:rsidR="007263DD" w:rsidRPr="00727041" w14:paraId="3E36DCFC" w14:textId="77777777" w:rsidTr="008D69BD">
        <w:trPr>
          <w:cantSplit/>
        </w:trPr>
        <w:tc>
          <w:tcPr>
            <w:tcW w:w="540" w:type="dxa"/>
            <w:gridSpan w:val="2"/>
            <w:tcMar>
              <w:top w:w="58" w:type="dxa"/>
              <w:left w:w="130" w:type="dxa"/>
              <w:bottom w:w="58" w:type="dxa"/>
              <w:right w:w="115" w:type="dxa"/>
            </w:tcMar>
            <w:vAlign w:val="center"/>
          </w:tcPr>
          <w:p w14:paraId="17A35B45" w14:textId="77777777" w:rsidR="007263DD" w:rsidRDefault="007263DD" w:rsidP="00B83AD5">
            <w:pPr>
              <w:rPr>
                <w:rFonts w:ascii="Arial" w:hAnsi="Arial" w:cs="Arial"/>
                <w:sz w:val="18"/>
                <w:szCs w:val="18"/>
              </w:rPr>
            </w:pPr>
          </w:p>
        </w:tc>
        <w:tc>
          <w:tcPr>
            <w:tcW w:w="5137" w:type="dxa"/>
            <w:vAlign w:val="center"/>
          </w:tcPr>
          <w:p w14:paraId="70F13304" w14:textId="77777777" w:rsidR="007263DD" w:rsidRPr="00727041" w:rsidRDefault="007263DD" w:rsidP="00EC490B">
            <w:pPr>
              <w:rPr>
                <w:rFonts w:ascii="Arial" w:hAnsi="Arial" w:cs="Arial"/>
                <w:sz w:val="18"/>
                <w:szCs w:val="18"/>
              </w:rPr>
            </w:pPr>
            <w:r>
              <w:rPr>
                <w:rFonts w:ascii="Arial" w:hAnsi="Arial" w:cs="Arial"/>
                <w:sz w:val="18"/>
                <w:szCs w:val="18"/>
              </w:rPr>
              <w:t>State</w:t>
            </w:r>
          </w:p>
        </w:tc>
        <w:tc>
          <w:tcPr>
            <w:tcW w:w="8633" w:type="dxa"/>
            <w:tcMar>
              <w:top w:w="58" w:type="dxa"/>
              <w:left w:w="130" w:type="dxa"/>
              <w:bottom w:w="58" w:type="dxa"/>
              <w:right w:w="115" w:type="dxa"/>
            </w:tcMar>
            <w:vAlign w:val="center"/>
          </w:tcPr>
          <w:p w14:paraId="703F0F32" w14:textId="77777777" w:rsidR="007263DD" w:rsidRPr="00727041" w:rsidRDefault="007263DD" w:rsidP="001421B0">
            <w:pPr>
              <w:rPr>
                <w:rFonts w:ascii="Arial" w:hAnsi="Arial" w:cs="Arial"/>
                <w:sz w:val="18"/>
                <w:szCs w:val="18"/>
              </w:rPr>
            </w:pPr>
          </w:p>
        </w:tc>
      </w:tr>
      <w:tr w:rsidR="007263DD" w:rsidRPr="00727041" w14:paraId="2973AA5A" w14:textId="77777777" w:rsidTr="008D69BD">
        <w:trPr>
          <w:cantSplit/>
        </w:trPr>
        <w:tc>
          <w:tcPr>
            <w:tcW w:w="540" w:type="dxa"/>
            <w:gridSpan w:val="2"/>
            <w:tcMar>
              <w:top w:w="58" w:type="dxa"/>
              <w:left w:w="130" w:type="dxa"/>
              <w:bottom w:w="58" w:type="dxa"/>
              <w:right w:w="115" w:type="dxa"/>
            </w:tcMar>
            <w:vAlign w:val="center"/>
          </w:tcPr>
          <w:p w14:paraId="59C89812" w14:textId="77777777" w:rsidR="007263DD" w:rsidRDefault="007263DD" w:rsidP="00B83AD5">
            <w:pPr>
              <w:rPr>
                <w:rFonts w:ascii="Arial" w:hAnsi="Arial" w:cs="Arial"/>
                <w:sz w:val="18"/>
                <w:szCs w:val="18"/>
              </w:rPr>
            </w:pPr>
          </w:p>
        </w:tc>
        <w:tc>
          <w:tcPr>
            <w:tcW w:w="5137" w:type="dxa"/>
            <w:vAlign w:val="center"/>
          </w:tcPr>
          <w:p w14:paraId="7F7ED349" w14:textId="77777777" w:rsidR="007263DD" w:rsidRPr="00727041" w:rsidRDefault="007263DD" w:rsidP="00EC490B">
            <w:pPr>
              <w:rPr>
                <w:rFonts w:ascii="Arial" w:hAnsi="Arial" w:cs="Arial"/>
                <w:sz w:val="18"/>
                <w:szCs w:val="18"/>
              </w:rPr>
            </w:pPr>
            <w:r>
              <w:rPr>
                <w:rFonts w:ascii="Arial" w:hAnsi="Arial" w:cs="Arial"/>
                <w:sz w:val="18"/>
                <w:szCs w:val="18"/>
              </w:rPr>
              <w:t>Local</w:t>
            </w:r>
          </w:p>
        </w:tc>
        <w:tc>
          <w:tcPr>
            <w:tcW w:w="8633" w:type="dxa"/>
            <w:tcMar>
              <w:top w:w="58" w:type="dxa"/>
              <w:left w:w="130" w:type="dxa"/>
              <w:bottom w:w="58" w:type="dxa"/>
              <w:right w:w="115" w:type="dxa"/>
            </w:tcMar>
            <w:vAlign w:val="center"/>
          </w:tcPr>
          <w:p w14:paraId="3F7C952D" w14:textId="77777777" w:rsidR="007263DD" w:rsidRPr="00727041" w:rsidRDefault="007263DD" w:rsidP="001421B0">
            <w:pPr>
              <w:rPr>
                <w:rFonts w:ascii="Arial" w:hAnsi="Arial" w:cs="Arial"/>
                <w:sz w:val="18"/>
                <w:szCs w:val="18"/>
              </w:rPr>
            </w:pPr>
          </w:p>
        </w:tc>
      </w:tr>
      <w:tr w:rsidR="007263DD" w:rsidRPr="00727041" w14:paraId="24EA3BD3" w14:textId="77777777" w:rsidTr="008D69BD">
        <w:trPr>
          <w:cantSplit/>
        </w:trPr>
        <w:tc>
          <w:tcPr>
            <w:tcW w:w="540" w:type="dxa"/>
            <w:gridSpan w:val="2"/>
            <w:tcMar>
              <w:top w:w="58" w:type="dxa"/>
              <w:left w:w="130" w:type="dxa"/>
              <w:bottom w:w="58" w:type="dxa"/>
              <w:right w:w="115" w:type="dxa"/>
            </w:tcMar>
            <w:vAlign w:val="center"/>
          </w:tcPr>
          <w:p w14:paraId="555B11B7" w14:textId="77777777" w:rsidR="007263DD" w:rsidRDefault="007263DD" w:rsidP="00B83AD5">
            <w:pPr>
              <w:rPr>
                <w:rFonts w:ascii="Arial" w:hAnsi="Arial" w:cs="Arial"/>
                <w:sz w:val="18"/>
                <w:szCs w:val="18"/>
              </w:rPr>
            </w:pPr>
          </w:p>
        </w:tc>
        <w:tc>
          <w:tcPr>
            <w:tcW w:w="5137" w:type="dxa"/>
            <w:vAlign w:val="center"/>
          </w:tcPr>
          <w:p w14:paraId="21C37D36" w14:textId="77777777" w:rsidR="007263DD" w:rsidRPr="00727041" w:rsidRDefault="007263DD" w:rsidP="00EC490B">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63A75163" w14:textId="77777777" w:rsidR="007263DD" w:rsidRPr="00727041" w:rsidRDefault="007263DD" w:rsidP="001421B0">
            <w:pPr>
              <w:rPr>
                <w:rFonts w:ascii="Arial" w:hAnsi="Arial" w:cs="Arial"/>
                <w:sz w:val="18"/>
                <w:szCs w:val="18"/>
              </w:rPr>
            </w:pPr>
          </w:p>
        </w:tc>
      </w:tr>
      <w:tr w:rsidR="007263DD" w:rsidRPr="00727041" w14:paraId="027A7F5B" w14:textId="77777777" w:rsidTr="001A1974">
        <w:trPr>
          <w:cantSplit/>
          <w:trHeight w:val="430"/>
        </w:trPr>
        <w:tc>
          <w:tcPr>
            <w:tcW w:w="14310" w:type="dxa"/>
            <w:gridSpan w:val="4"/>
            <w:shd w:val="clear" w:color="auto" w:fill="F2F2F2" w:themeFill="background1" w:themeFillShade="F2"/>
            <w:tcMar>
              <w:top w:w="58" w:type="dxa"/>
              <w:left w:w="130" w:type="dxa"/>
              <w:bottom w:w="58" w:type="dxa"/>
              <w:right w:w="115" w:type="dxa"/>
            </w:tcMar>
            <w:vAlign w:val="center"/>
          </w:tcPr>
          <w:p w14:paraId="4905E6F7" w14:textId="77777777" w:rsidR="007263DD" w:rsidRPr="0024601A" w:rsidRDefault="007263DD" w:rsidP="001421B0">
            <w:pPr>
              <w:rPr>
                <w:rFonts w:ascii="Arial" w:hAnsi="Arial" w:cs="Arial"/>
                <w:b/>
                <w:sz w:val="18"/>
                <w:szCs w:val="18"/>
              </w:rPr>
            </w:pPr>
            <w:r w:rsidRPr="001A1974">
              <w:rPr>
                <w:rFonts w:ascii="Arial" w:hAnsi="Arial" w:cs="Arial"/>
                <w:b/>
                <w:sz w:val="20"/>
                <w:szCs w:val="18"/>
              </w:rPr>
              <w:t>Immunity Issues</w:t>
            </w:r>
          </w:p>
        </w:tc>
      </w:tr>
      <w:tr w:rsidR="007263DD" w:rsidRPr="00727041" w14:paraId="6EA431FC" w14:textId="77777777" w:rsidTr="008D69BD">
        <w:trPr>
          <w:cantSplit/>
        </w:trPr>
        <w:tc>
          <w:tcPr>
            <w:tcW w:w="5677" w:type="dxa"/>
            <w:gridSpan w:val="3"/>
            <w:tcMar>
              <w:top w:w="58" w:type="dxa"/>
              <w:left w:w="130" w:type="dxa"/>
              <w:bottom w:w="58" w:type="dxa"/>
              <w:right w:w="115" w:type="dxa"/>
            </w:tcMar>
            <w:vAlign w:val="center"/>
          </w:tcPr>
          <w:p w14:paraId="30746F92" w14:textId="77777777" w:rsidR="007263DD" w:rsidRDefault="007263DD" w:rsidP="0024601A">
            <w:pPr>
              <w:rPr>
                <w:rFonts w:ascii="Arial" w:hAnsi="Arial" w:cs="Arial"/>
                <w:sz w:val="18"/>
                <w:szCs w:val="18"/>
              </w:rPr>
            </w:pPr>
            <w:r>
              <w:rPr>
                <w:rFonts w:ascii="Arial" w:hAnsi="Arial" w:cs="Arial"/>
                <w:sz w:val="18"/>
                <w:szCs w:val="18"/>
              </w:rPr>
              <w:lastRenderedPageBreak/>
              <w:t>Identify immunities, liability protections, and other defenses potentially available to the following persons or activities previously analyzed in the section above:</w:t>
            </w:r>
          </w:p>
        </w:tc>
        <w:tc>
          <w:tcPr>
            <w:tcW w:w="8633" w:type="dxa"/>
            <w:tcMar>
              <w:top w:w="58" w:type="dxa"/>
              <w:left w:w="130" w:type="dxa"/>
              <w:bottom w:w="58" w:type="dxa"/>
              <w:right w:w="115" w:type="dxa"/>
            </w:tcMar>
            <w:vAlign w:val="center"/>
          </w:tcPr>
          <w:p w14:paraId="7DE8FFA4" w14:textId="77777777" w:rsidR="007263DD" w:rsidRPr="00727041" w:rsidRDefault="007263DD" w:rsidP="00EC490B">
            <w:pPr>
              <w:rPr>
                <w:rFonts w:ascii="Arial" w:hAnsi="Arial" w:cs="Arial"/>
                <w:sz w:val="18"/>
                <w:szCs w:val="18"/>
              </w:rPr>
            </w:pPr>
          </w:p>
        </w:tc>
      </w:tr>
      <w:tr w:rsidR="007263DD" w:rsidRPr="00727041" w14:paraId="4CCC6275" w14:textId="77777777" w:rsidTr="008D69BD">
        <w:trPr>
          <w:cantSplit/>
        </w:trPr>
        <w:tc>
          <w:tcPr>
            <w:tcW w:w="472" w:type="dxa"/>
            <w:tcMar>
              <w:top w:w="58" w:type="dxa"/>
              <w:left w:w="130" w:type="dxa"/>
              <w:bottom w:w="58" w:type="dxa"/>
              <w:right w:w="115" w:type="dxa"/>
            </w:tcMar>
            <w:vAlign w:val="center"/>
          </w:tcPr>
          <w:p w14:paraId="2C1E70AE" w14:textId="77777777" w:rsidR="007263DD" w:rsidRDefault="007263DD" w:rsidP="00CF7E4C">
            <w:pPr>
              <w:rPr>
                <w:rFonts w:ascii="Arial" w:hAnsi="Arial" w:cs="Arial"/>
                <w:sz w:val="18"/>
                <w:szCs w:val="18"/>
              </w:rPr>
            </w:pPr>
          </w:p>
        </w:tc>
        <w:tc>
          <w:tcPr>
            <w:tcW w:w="5205" w:type="dxa"/>
            <w:gridSpan w:val="2"/>
            <w:vAlign w:val="center"/>
          </w:tcPr>
          <w:p w14:paraId="26D59EDA" w14:textId="77777777" w:rsidR="007263DD" w:rsidRPr="00727041" w:rsidRDefault="007263DD" w:rsidP="00EC490B">
            <w:pPr>
              <w:rPr>
                <w:rFonts w:ascii="Arial" w:hAnsi="Arial" w:cs="Arial"/>
                <w:sz w:val="18"/>
                <w:szCs w:val="18"/>
              </w:rPr>
            </w:pPr>
            <w:r>
              <w:rPr>
                <w:rFonts w:ascii="Arial" w:hAnsi="Arial" w:cs="Arial"/>
                <w:sz w:val="18"/>
                <w:szCs w:val="18"/>
              </w:rPr>
              <w:t>Deployment of state personnel</w:t>
            </w:r>
          </w:p>
        </w:tc>
        <w:tc>
          <w:tcPr>
            <w:tcW w:w="8633" w:type="dxa"/>
            <w:tcMar>
              <w:top w:w="58" w:type="dxa"/>
              <w:left w:w="130" w:type="dxa"/>
              <w:bottom w:w="58" w:type="dxa"/>
              <w:right w:w="115" w:type="dxa"/>
            </w:tcMar>
            <w:vAlign w:val="center"/>
          </w:tcPr>
          <w:p w14:paraId="6C3BCA4A" w14:textId="77777777" w:rsidR="007263DD" w:rsidRPr="00727041" w:rsidRDefault="007263DD" w:rsidP="001421B0">
            <w:pPr>
              <w:rPr>
                <w:rFonts w:ascii="Arial" w:hAnsi="Arial" w:cs="Arial"/>
                <w:sz w:val="18"/>
                <w:szCs w:val="18"/>
              </w:rPr>
            </w:pPr>
          </w:p>
        </w:tc>
      </w:tr>
      <w:tr w:rsidR="007263DD" w:rsidRPr="00727041" w14:paraId="0749426E" w14:textId="77777777" w:rsidTr="008D69BD">
        <w:trPr>
          <w:cantSplit/>
        </w:trPr>
        <w:tc>
          <w:tcPr>
            <w:tcW w:w="472" w:type="dxa"/>
            <w:tcMar>
              <w:top w:w="58" w:type="dxa"/>
              <w:left w:w="130" w:type="dxa"/>
              <w:bottom w:w="58" w:type="dxa"/>
              <w:right w:w="115" w:type="dxa"/>
            </w:tcMar>
            <w:vAlign w:val="center"/>
          </w:tcPr>
          <w:p w14:paraId="57E9F9CB" w14:textId="77777777" w:rsidR="007263DD" w:rsidRDefault="007263DD" w:rsidP="00CF7E4C">
            <w:pPr>
              <w:rPr>
                <w:rFonts w:ascii="Arial" w:hAnsi="Arial" w:cs="Arial"/>
                <w:sz w:val="18"/>
                <w:szCs w:val="18"/>
              </w:rPr>
            </w:pPr>
          </w:p>
        </w:tc>
        <w:tc>
          <w:tcPr>
            <w:tcW w:w="5205" w:type="dxa"/>
            <w:gridSpan w:val="2"/>
            <w:vAlign w:val="center"/>
          </w:tcPr>
          <w:p w14:paraId="4620D20A" w14:textId="77777777" w:rsidR="007263DD" w:rsidRPr="00727041" w:rsidRDefault="007263DD" w:rsidP="00EC490B">
            <w:pPr>
              <w:rPr>
                <w:rFonts w:ascii="Arial" w:hAnsi="Arial" w:cs="Arial"/>
                <w:sz w:val="18"/>
                <w:szCs w:val="18"/>
              </w:rPr>
            </w:pPr>
            <w:r>
              <w:rPr>
                <w:rFonts w:ascii="Arial" w:hAnsi="Arial" w:cs="Arial"/>
                <w:sz w:val="18"/>
                <w:szCs w:val="18"/>
              </w:rPr>
              <w:t>Deployment of volunteers or other nongovernmental personnel</w:t>
            </w:r>
          </w:p>
        </w:tc>
        <w:tc>
          <w:tcPr>
            <w:tcW w:w="8633" w:type="dxa"/>
            <w:tcMar>
              <w:top w:w="58" w:type="dxa"/>
              <w:left w:w="130" w:type="dxa"/>
              <w:bottom w:w="58" w:type="dxa"/>
              <w:right w:w="115" w:type="dxa"/>
            </w:tcMar>
            <w:vAlign w:val="center"/>
          </w:tcPr>
          <w:p w14:paraId="742695AF" w14:textId="77777777" w:rsidR="007263DD" w:rsidRPr="00727041" w:rsidRDefault="007263DD" w:rsidP="001421B0">
            <w:pPr>
              <w:rPr>
                <w:rFonts w:ascii="Arial" w:hAnsi="Arial" w:cs="Arial"/>
                <w:sz w:val="18"/>
                <w:szCs w:val="18"/>
              </w:rPr>
            </w:pPr>
          </w:p>
        </w:tc>
      </w:tr>
      <w:tr w:rsidR="007263DD" w:rsidRPr="00727041" w14:paraId="1784B1A6" w14:textId="77777777" w:rsidTr="008D69BD">
        <w:trPr>
          <w:cantSplit/>
        </w:trPr>
        <w:tc>
          <w:tcPr>
            <w:tcW w:w="472" w:type="dxa"/>
            <w:tcMar>
              <w:top w:w="58" w:type="dxa"/>
              <w:left w:w="130" w:type="dxa"/>
              <w:bottom w:w="58" w:type="dxa"/>
              <w:right w:w="115" w:type="dxa"/>
            </w:tcMar>
            <w:vAlign w:val="center"/>
          </w:tcPr>
          <w:p w14:paraId="20862026" w14:textId="77777777" w:rsidR="007263DD" w:rsidRDefault="007263DD" w:rsidP="00CF7E4C">
            <w:pPr>
              <w:rPr>
                <w:rFonts w:ascii="Arial" w:hAnsi="Arial" w:cs="Arial"/>
                <w:sz w:val="18"/>
                <w:szCs w:val="18"/>
              </w:rPr>
            </w:pPr>
          </w:p>
        </w:tc>
        <w:tc>
          <w:tcPr>
            <w:tcW w:w="5205" w:type="dxa"/>
            <w:gridSpan w:val="2"/>
            <w:vAlign w:val="center"/>
          </w:tcPr>
          <w:p w14:paraId="548C0F65" w14:textId="77777777" w:rsidR="007263DD" w:rsidRPr="00727041" w:rsidRDefault="007263DD" w:rsidP="00EC490B">
            <w:pPr>
              <w:rPr>
                <w:rFonts w:ascii="Arial" w:hAnsi="Arial" w:cs="Arial"/>
                <w:sz w:val="18"/>
                <w:szCs w:val="18"/>
              </w:rPr>
            </w:pPr>
            <w:r>
              <w:rPr>
                <w:rFonts w:ascii="Arial" w:hAnsi="Arial" w:cs="Arial"/>
                <w:sz w:val="18"/>
                <w:szCs w:val="18"/>
              </w:rPr>
              <w:t>Distribution of countermeasures (vaccines, drugs, equipment) and other supplies at public facilities and at private facilities</w:t>
            </w:r>
          </w:p>
        </w:tc>
        <w:tc>
          <w:tcPr>
            <w:tcW w:w="8633" w:type="dxa"/>
            <w:tcMar>
              <w:top w:w="58" w:type="dxa"/>
              <w:left w:w="130" w:type="dxa"/>
              <w:bottom w:w="58" w:type="dxa"/>
              <w:right w:w="115" w:type="dxa"/>
            </w:tcMar>
            <w:vAlign w:val="center"/>
          </w:tcPr>
          <w:p w14:paraId="1C377B5F" w14:textId="77777777" w:rsidR="007263DD" w:rsidRPr="00727041" w:rsidRDefault="007263DD" w:rsidP="001421B0">
            <w:pPr>
              <w:rPr>
                <w:rFonts w:ascii="Arial" w:hAnsi="Arial" w:cs="Arial"/>
                <w:sz w:val="18"/>
                <w:szCs w:val="18"/>
              </w:rPr>
            </w:pPr>
          </w:p>
        </w:tc>
      </w:tr>
      <w:tr w:rsidR="007263DD" w:rsidRPr="00727041" w14:paraId="38236121" w14:textId="77777777" w:rsidTr="008D69BD">
        <w:trPr>
          <w:cantSplit/>
        </w:trPr>
        <w:tc>
          <w:tcPr>
            <w:tcW w:w="472" w:type="dxa"/>
            <w:tcMar>
              <w:top w:w="58" w:type="dxa"/>
              <w:left w:w="130" w:type="dxa"/>
              <w:bottom w:w="58" w:type="dxa"/>
              <w:right w:w="115" w:type="dxa"/>
            </w:tcMar>
            <w:vAlign w:val="center"/>
          </w:tcPr>
          <w:p w14:paraId="589FE161" w14:textId="77777777" w:rsidR="007263DD" w:rsidRDefault="007263DD" w:rsidP="00CF7E4C">
            <w:pPr>
              <w:rPr>
                <w:rFonts w:ascii="Arial" w:hAnsi="Arial" w:cs="Arial"/>
                <w:sz w:val="18"/>
                <w:szCs w:val="18"/>
              </w:rPr>
            </w:pPr>
          </w:p>
        </w:tc>
        <w:tc>
          <w:tcPr>
            <w:tcW w:w="5205" w:type="dxa"/>
            <w:gridSpan w:val="2"/>
            <w:vAlign w:val="center"/>
          </w:tcPr>
          <w:p w14:paraId="0896294C" w14:textId="77777777" w:rsidR="007263DD" w:rsidRPr="00727041" w:rsidRDefault="007263DD" w:rsidP="00EC490B">
            <w:pPr>
              <w:rPr>
                <w:rFonts w:ascii="Arial" w:hAnsi="Arial" w:cs="Arial"/>
                <w:sz w:val="18"/>
                <w:szCs w:val="18"/>
              </w:rPr>
            </w:pPr>
            <w:r>
              <w:rPr>
                <w:rFonts w:ascii="Arial" w:hAnsi="Arial" w:cs="Arial"/>
                <w:sz w:val="18"/>
                <w:szCs w:val="18"/>
              </w:rPr>
              <w:t>Administration of countermeasures (vaccines, drugs, equipment) and other supplies by governmental personnel and by volunteers and other nongovernmental personnel</w:t>
            </w:r>
          </w:p>
        </w:tc>
        <w:tc>
          <w:tcPr>
            <w:tcW w:w="8633" w:type="dxa"/>
            <w:tcMar>
              <w:top w:w="58" w:type="dxa"/>
              <w:left w:w="130" w:type="dxa"/>
              <w:bottom w:w="58" w:type="dxa"/>
              <w:right w:w="115" w:type="dxa"/>
            </w:tcMar>
            <w:vAlign w:val="center"/>
          </w:tcPr>
          <w:p w14:paraId="03BB0109" w14:textId="77777777" w:rsidR="007263DD" w:rsidRPr="00727041" w:rsidRDefault="007263DD" w:rsidP="001421B0">
            <w:pPr>
              <w:rPr>
                <w:rFonts w:ascii="Arial" w:hAnsi="Arial" w:cs="Arial"/>
                <w:sz w:val="18"/>
                <w:szCs w:val="18"/>
              </w:rPr>
            </w:pPr>
          </w:p>
        </w:tc>
      </w:tr>
      <w:tr w:rsidR="007263DD" w:rsidRPr="00727041" w14:paraId="39E8BD33" w14:textId="77777777" w:rsidTr="008D69BD">
        <w:trPr>
          <w:cantSplit/>
        </w:trPr>
        <w:tc>
          <w:tcPr>
            <w:tcW w:w="472" w:type="dxa"/>
            <w:tcMar>
              <w:top w:w="58" w:type="dxa"/>
              <w:left w:w="130" w:type="dxa"/>
              <w:bottom w:w="58" w:type="dxa"/>
              <w:right w:w="115" w:type="dxa"/>
            </w:tcMar>
            <w:vAlign w:val="center"/>
          </w:tcPr>
          <w:p w14:paraId="405204EE" w14:textId="77777777" w:rsidR="007263DD" w:rsidRDefault="007263DD" w:rsidP="00CF7E4C">
            <w:pPr>
              <w:rPr>
                <w:rFonts w:ascii="Arial" w:hAnsi="Arial" w:cs="Arial"/>
                <w:sz w:val="18"/>
                <w:szCs w:val="18"/>
              </w:rPr>
            </w:pPr>
          </w:p>
        </w:tc>
        <w:tc>
          <w:tcPr>
            <w:tcW w:w="5205" w:type="dxa"/>
            <w:gridSpan w:val="2"/>
            <w:vAlign w:val="center"/>
          </w:tcPr>
          <w:p w14:paraId="2594056A" w14:textId="77777777" w:rsidR="007263DD" w:rsidRPr="00727041" w:rsidRDefault="007263DD" w:rsidP="00EC490B">
            <w:pPr>
              <w:rPr>
                <w:rFonts w:ascii="Arial" w:hAnsi="Arial" w:cs="Arial"/>
                <w:sz w:val="18"/>
                <w:szCs w:val="18"/>
              </w:rPr>
            </w:pPr>
            <w:r>
              <w:rPr>
                <w:rFonts w:ascii="Arial" w:hAnsi="Arial" w:cs="Arial"/>
                <w:sz w:val="18"/>
                <w:szCs w:val="18"/>
              </w:rPr>
              <w:t>Surveillance and data collection activities; data disclosure</w:t>
            </w:r>
          </w:p>
        </w:tc>
        <w:tc>
          <w:tcPr>
            <w:tcW w:w="8633" w:type="dxa"/>
            <w:tcMar>
              <w:top w:w="58" w:type="dxa"/>
              <w:left w:w="130" w:type="dxa"/>
              <w:bottom w:w="58" w:type="dxa"/>
              <w:right w:w="115" w:type="dxa"/>
            </w:tcMar>
            <w:vAlign w:val="center"/>
          </w:tcPr>
          <w:p w14:paraId="3AA07D03" w14:textId="77777777" w:rsidR="007263DD" w:rsidRPr="00727041" w:rsidRDefault="007263DD" w:rsidP="001421B0">
            <w:pPr>
              <w:rPr>
                <w:rFonts w:ascii="Arial" w:hAnsi="Arial" w:cs="Arial"/>
                <w:sz w:val="18"/>
                <w:szCs w:val="18"/>
              </w:rPr>
            </w:pPr>
          </w:p>
        </w:tc>
      </w:tr>
      <w:tr w:rsidR="007263DD" w:rsidRPr="00727041" w14:paraId="103532CC" w14:textId="77777777" w:rsidTr="008D69BD">
        <w:trPr>
          <w:cantSplit/>
        </w:trPr>
        <w:tc>
          <w:tcPr>
            <w:tcW w:w="472" w:type="dxa"/>
            <w:tcMar>
              <w:top w:w="58" w:type="dxa"/>
              <w:left w:w="130" w:type="dxa"/>
              <w:bottom w:w="58" w:type="dxa"/>
              <w:right w:w="115" w:type="dxa"/>
            </w:tcMar>
            <w:vAlign w:val="center"/>
          </w:tcPr>
          <w:p w14:paraId="30AF1097" w14:textId="77777777" w:rsidR="007263DD" w:rsidRDefault="007263DD" w:rsidP="00CF7E4C">
            <w:pPr>
              <w:rPr>
                <w:rFonts w:ascii="Arial" w:hAnsi="Arial" w:cs="Arial"/>
                <w:sz w:val="18"/>
                <w:szCs w:val="18"/>
              </w:rPr>
            </w:pPr>
          </w:p>
        </w:tc>
        <w:tc>
          <w:tcPr>
            <w:tcW w:w="5205" w:type="dxa"/>
            <w:gridSpan w:val="2"/>
            <w:vAlign w:val="center"/>
          </w:tcPr>
          <w:p w14:paraId="471C3A23" w14:textId="77777777" w:rsidR="007263DD" w:rsidRPr="00727041" w:rsidRDefault="007263DD" w:rsidP="00EC490B">
            <w:pPr>
              <w:rPr>
                <w:rFonts w:ascii="Arial" w:hAnsi="Arial" w:cs="Arial"/>
                <w:sz w:val="18"/>
                <w:szCs w:val="18"/>
              </w:rPr>
            </w:pPr>
            <w:r>
              <w:rPr>
                <w:rFonts w:ascii="Arial" w:hAnsi="Arial" w:cs="Arial"/>
                <w:sz w:val="18"/>
                <w:szCs w:val="18"/>
              </w:rPr>
              <w:t>Imposition of quarantine and other social distancing measures</w:t>
            </w:r>
          </w:p>
        </w:tc>
        <w:tc>
          <w:tcPr>
            <w:tcW w:w="8633" w:type="dxa"/>
            <w:tcMar>
              <w:top w:w="58" w:type="dxa"/>
              <w:left w:w="130" w:type="dxa"/>
              <w:bottom w:w="58" w:type="dxa"/>
              <w:right w:w="115" w:type="dxa"/>
            </w:tcMar>
            <w:vAlign w:val="center"/>
          </w:tcPr>
          <w:p w14:paraId="20EF1CEB" w14:textId="77777777" w:rsidR="007263DD" w:rsidRPr="00727041" w:rsidRDefault="007263DD" w:rsidP="001421B0">
            <w:pPr>
              <w:rPr>
                <w:rFonts w:ascii="Arial" w:hAnsi="Arial" w:cs="Arial"/>
                <w:sz w:val="18"/>
                <w:szCs w:val="18"/>
              </w:rPr>
            </w:pPr>
          </w:p>
        </w:tc>
      </w:tr>
      <w:tr w:rsidR="007263DD" w:rsidRPr="00727041" w14:paraId="7FD7117D" w14:textId="77777777" w:rsidTr="008D69BD">
        <w:trPr>
          <w:cantSplit/>
        </w:trPr>
        <w:tc>
          <w:tcPr>
            <w:tcW w:w="472" w:type="dxa"/>
            <w:tcMar>
              <w:top w:w="58" w:type="dxa"/>
              <w:left w:w="130" w:type="dxa"/>
              <w:bottom w:w="58" w:type="dxa"/>
              <w:right w:w="115" w:type="dxa"/>
            </w:tcMar>
            <w:vAlign w:val="center"/>
          </w:tcPr>
          <w:p w14:paraId="63EA8443" w14:textId="77777777" w:rsidR="007263DD" w:rsidRDefault="007263DD" w:rsidP="00CF7E4C">
            <w:pPr>
              <w:rPr>
                <w:rFonts w:ascii="Arial" w:hAnsi="Arial" w:cs="Arial"/>
                <w:sz w:val="18"/>
                <w:szCs w:val="18"/>
              </w:rPr>
            </w:pPr>
          </w:p>
        </w:tc>
        <w:tc>
          <w:tcPr>
            <w:tcW w:w="5205" w:type="dxa"/>
            <w:gridSpan w:val="2"/>
            <w:vAlign w:val="center"/>
          </w:tcPr>
          <w:p w14:paraId="36E0FB79" w14:textId="77777777" w:rsidR="007263DD" w:rsidRPr="00727041" w:rsidRDefault="007263DD" w:rsidP="00EC490B">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701C1178" w14:textId="77777777" w:rsidR="007263DD" w:rsidRPr="00727041" w:rsidRDefault="007263DD" w:rsidP="001421B0">
            <w:pPr>
              <w:rPr>
                <w:rFonts w:ascii="Arial" w:hAnsi="Arial" w:cs="Arial"/>
                <w:sz w:val="18"/>
                <w:szCs w:val="18"/>
              </w:rPr>
            </w:pPr>
          </w:p>
        </w:tc>
      </w:tr>
      <w:tr w:rsidR="007263DD" w:rsidRPr="00727041" w14:paraId="1BB1D879" w14:textId="77777777" w:rsidTr="008D69BD">
        <w:trPr>
          <w:cantSplit/>
        </w:trPr>
        <w:tc>
          <w:tcPr>
            <w:tcW w:w="5677" w:type="dxa"/>
            <w:gridSpan w:val="3"/>
            <w:tcMar>
              <w:top w:w="58" w:type="dxa"/>
              <w:left w:w="130" w:type="dxa"/>
              <w:bottom w:w="58" w:type="dxa"/>
              <w:right w:w="115" w:type="dxa"/>
            </w:tcMar>
            <w:vAlign w:val="center"/>
          </w:tcPr>
          <w:p w14:paraId="78C6F400" w14:textId="77777777" w:rsidR="007263DD" w:rsidRPr="00727041" w:rsidRDefault="007263DD" w:rsidP="00AA223E">
            <w:pPr>
              <w:rPr>
                <w:rFonts w:ascii="Arial" w:hAnsi="Arial" w:cs="Arial"/>
                <w:sz w:val="18"/>
                <w:szCs w:val="18"/>
              </w:rPr>
            </w:pPr>
            <w:r>
              <w:rPr>
                <w:rFonts w:ascii="Arial" w:hAnsi="Arial" w:cs="Arial"/>
                <w:sz w:val="18"/>
                <w:szCs w:val="18"/>
              </w:rPr>
              <w:t>Identify laws granting governmental immunity; analyze the circumstances in which immunity attaches or is waived and the persons entitled to immunity (government employees, contractors, volunteers, etc.):</w:t>
            </w:r>
          </w:p>
        </w:tc>
        <w:tc>
          <w:tcPr>
            <w:tcW w:w="8633" w:type="dxa"/>
            <w:tcMar>
              <w:top w:w="58" w:type="dxa"/>
              <w:left w:w="130" w:type="dxa"/>
              <w:bottom w:w="58" w:type="dxa"/>
              <w:right w:w="115" w:type="dxa"/>
            </w:tcMar>
            <w:vAlign w:val="center"/>
          </w:tcPr>
          <w:p w14:paraId="038B8D21" w14:textId="77777777" w:rsidR="007263DD" w:rsidRPr="00727041" w:rsidRDefault="007263DD" w:rsidP="001421B0">
            <w:pPr>
              <w:rPr>
                <w:rFonts w:ascii="Arial" w:hAnsi="Arial" w:cs="Arial"/>
                <w:sz w:val="18"/>
                <w:szCs w:val="18"/>
              </w:rPr>
            </w:pPr>
          </w:p>
        </w:tc>
      </w:tr>
      <w:tr w:rsidR="007263DD" w:rsidRPr="00727041" w14:paraId="6D298154" w14:textId="77777777" w:rsidTr="008D69BD">
        <w:trPr>
          <w:cantSplit/>
        </w:trPr>
        <w:tc>
          <w:tcPr>
            <w:tcW w:w="540" w:type="dxa"/>
            <w:gridSpan w:val="2"/>
            <w:tcMar>
              <w:top w:w="58" w:type="dxa"/>
              <w:left w:w="130" w:type="dxa"/>
              <w:bottom w:w="58" w:type="dxa"/>
              <w:right w:w="115" w:type="dxa"/>
            </w:tcMar>
            <w:vAlign w:val="center"/>
          </w:tcPr>
          <w:p w14:paraId="10CA5740"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3D81FC0E" w14:textId="77777777" w:rsidR="007263DD" w:rsidRPr="00727041" w:rsidRDefault="007263DD" w:rsidP="001421B0">
            <w:pPr>
              <w:rPr>
                <w:rFonts w:ascii="Arial" w:hAnsi="Arial" w:cs="Arial"/>
                <w:sz w:val="18"/>
                <w:szCs w:val="18"/>
              </w:rPr>
            </w:pPr>
            <w:r>
              <w:rPr>
                <w:rFonts w:ascii="Arial" w:hAnsi="Arial" w:cs="Arial"/>
                <w:sz w:val="18"/>
                <w:szCs w:val="18"/>
              </w:rPr>
              <w:t>Federal</w:t>
            </w:r>
          </w:p>
        </w:tc>
        <w:tc>
          <w:tcPr>
            <w:tcW w:w="8633" w:type="dxa"/>
            <w:tcMar>
              <w:top w:w="58" w:type="dxa"/>
              <w:left w:w="130" w:type="dxa"/>
              <w:bottom w:w="58" w:type="dxa"/>
              <w:right w:w="115" w:type="dxa"/>
            </w:tcMar>
            <w:vAlign w:val="center"/>
          </w:tcPr>
          <w:p w14:paraId="3EAF7BB4" w14:textId="77777777" w:rsidR="007263DD" w:rsidRPr="00727041" w:rsidRDefault="007263DD" w:rsidP="001421B0">
            <w:pPr>
              <w:rPr>
                <w:rFonts w:ascii="Arial" w:hAnsi="Arial" w:cs="Arial"/>
                <w:sz w:val="18"/>
                <w:szCs w:val="18"/>
              </w:rPr>
            </w:pPr>
          </w:p>
        </w:tc>
      </w:tr>
      <w:tr w:rsidR="007263DD" w:rsidRPr="00727041" w14:paraId="6C82F916" w14:textId="77777777" w:rsidTr="008D69BD">
        <w:trPr>
          <w:cantSplit/>
        </w:trPr>
        <w:tc>
          <w:tcPr>
            <w:tcW w:w="540" w:type="dxa"/>
            <w:gridSpan w:val="2"/>
            <w:tcMar>
              <w:top w:w="58" w:type="dxa"/>
              <w:left w:w="130" w:type="dxa"/>
              <w:bottom w:w="58" w:type="dxa"/>
              <w:right w:w="115" w:type="dxa"/>
            </w:tcMar>
            <w:vAlign w:val="center"/>
          </w:tcPr>
          <w:p w14:paraId="6C5364A8"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564965A9" w14:textId="77777777" w:rsidR="007263DD" w:rsidRPr="00727041" w:rsidRDefault="007263DD" w:rsidP="001421B0">
            <w:pPr>
              <w:rPr>
                <w:rFonts w:ascii="Arial" w:hAnsi="Arial" w:cs="Arial"/>
                <w:sz w:val="18"/>
                <w:szCs w:val="18"/>
              </w:rPr>
            </w:pPr>
            <w:r>
              <w:rPr>
                <w:rFonts w:ascii="Arial" w:hAnsi="Arial" w:cs="Arial"/>
                <w:sz w:val="18"/>
                <w:szCs w:val="18"/>
              </w:rPr>
              <w:t>State</w:t>
            </w:r>
          </w:p>
        </w:tc>
        <w:tc>
          <w:tcPr>
            <w:tcW w:w="8633" w:type="dxa"/>
            <w:tcMar>
              <w:top w:w="58" w:type="dxa"/>
              <w:left w:w="130" w:type="dxa"/>
              <w:bottom w:w="58" w:type="dxa"/>
              <w:right w:w="115" w:type="dxa"/>
            </w:tcMar>
            <w:vAlign w:val="center"/>
          </w:tcPr>
          <w:p w14:paraId="58CDDC22" w14:textId="77777777" w:rsidR="007263DD" w:rsidRPr="00727041" w:rsidRDefault="007263DD" w:rsidP="001421B0">
            <w:pPr>
              <w:rPr>
                <w:rFonts w:ascii="Arial" w:hAnsi="Arial" w:cs="Arial"/>
                <w:sz w:val="18"/>
                <w:szCs w:val="18"/>
              </w:rPr>
            </w:pPr>
          </w:p>
        </w:tc>
      </w:tr>
      <w:tr w:rsidR="007263DD" w:rsidRPr="00727041" w14:paraId="0F08BAF0" w14:textId="77777777" w:rsidTr="008D69BD">
        <w:trPr>
          <w:cantSplit/>
        </w:trPr>
        <w:tc>
          <w:tcPr>
            <w:tcW w:w="540" w:type="dxa"/>
            <w:gridSpan w:val="2"/>
            <w:tcMar>
              <w:top w:w="58" w:type="dxa"/>
              <w:left w:w="130" w:type="dxa"/>
              <w:bottom w:w="58" w:type="dxa"/>
              <w:right w:w="115" w:type="dxa"/>
            </w:tcMar>
            <w:vAlign w:val="center"/>
          </w:tcPr>
          <w:p w14:paraId="779AC10B"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06ECAD2C" w14:textId="77777777" w:rsidR="007263DD" w:rsidRPr="00727041" w:rsidRDefault="007263DD" w:rsidP="001421B0">
            <w:pPr>
              <w:rPr>
                <w:rFonts w:ascii="Arial" w:hAnsi="Arial" w:cs="Arial"/>
                <w:sz w:val="18"/>
                <w:szCs w:val="18"/>
              </w:rPr>
            </w:pPr>
            <w:r>
              <w:rPr>
                <w:rFonts w:ascii="Arial" w:hAnsi="Arial" w:cs="Arial"/>
                <w:sz w:val="18"/>
                <w:szCs w:val="18"/>
              </w:rPr>
              <w:t>Local</w:t>
            </w:r>
          </w:p>
        </w:tc>
        <w:tc>
          <w:tcPr>
            <w:tcW w:w="8633" w:type="dxa"/>
            <w:tcMar>
              <w:top w:w="58" w:type="dxa"/>
              <w:left w:w="130" w:type="dxa"/>
              <w:bottom w:w="58" w:type="dxa"/>
              <w:right w:w="115" w:type="dxa"/>
            </w:tcMar>
            <w:vAlign w:val="center"/>
          </w:tcPr>
          <w:p w14:paraId="40BC334C" w14:textId="77777777" w:rsidR="007263DD" w:rsidRPr="00727041" w:rsidRDefault="007263DD" w:rsidP="001421B0">
            <w:pPr>
              <w:rPr>
                <w:rFonts w:ascii="Arial" w:hAnsi="Arial" w:cs="Arial"/>
                <w:sz w:val="18"/>
                <w:szCs w:val="18"/>
              </w:rPr>
            </w:pPr>
          </w:p>
        </w:tc>
      </w:tr>
      <w:tr w:rsidR="007263DD" w:rsidRPr="00727041" w14:paraId="339C1DB9" w14:textId="77777777" w:rsidTr="008D69BD">
        <w:trPr>
          <w:cantSplit/>
        </w:trPr>
        <w:tc>
          <w:tcPr>
            <w:tcW w:w="540" w:type="dxa"/>
            <w:gridSpan w:val="2"/>
            <w:tcMar>
              <w:top w:w="58" w:type="dxa"/>
              <w:left w:w="130" w:type="dxa"/>
              <w:bottom w:w="58" w:type="dxa"/>
              <w:right w:w="115" w:type="dxa"/>
            </w:tcMar>
            <w:vAlign w:val="center"/>
          </w:tcPr>
          <w:p w14:paraId="5CF831DF"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389E2A0E" w14:textId="77777777" w:rsidR="007263DD" w:rsidRDefault="007263DD" w:rsidP="001421B0">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26C02019" w14:textId="77777777" w:rsidR="007263DD" w:rsidRPr="00727041" w:rsidRDefault="007263DD" w:rsidP="001421B0">
            <w:pPr>
              <w:rPr>
                <w:rFonts w:ascii="Arial" w:hAnsi="Arial" w:cs="Arial"/>
                <w:sz w:val="18"/>
                <w:szCs w:val="18"/>
              </w:rPr>
            </w:pPr>
          </w:p>
        </w:tc>
      </w:tr>
      <w:tr w:rsidR="007263DD" w:rsidRPr="00727041" w14:paraId="3200FE9B" w14:textId="77777777" w:rsidTr="008D69BD">
        <w:trPr>
          <w:cantSplit/>
        </w:trPr>
        <w:tc>
          <w:tcPr>
            <w:tcW w:w="5677" w:type="dxa"/>
            <w:gridSpan w:val="3"/>
            <w:tcMar>
              <w:top w:w="58" w:type="dxa"/>
              <w:left w:w="130" w:type="dxa"/>
              <w:bottom w:w="58" w:type="dxa"/>
              <w:right w:w="115" w:type="dxa"/>
            </w:tcMar>
            <w:vAlign w:val="center"/>
          </w:tcPr>
          <w:p w14:paraId="072D165B" w14:textId="77777777" w:rsidR="007263DD" w:rsidRPr="00727041" w:rsidRDefault="007263DD" w:rsidP="009E6C95">
            <w:pPr>
              <w:rPr>
                <w:rFonts w:ascii="Arial" w:hAnsi="Arial" w:cs="Arial"/>
                <w:sz w:val="18"/>
                <w:szCs w:val="18"/>
              </w:rPr>
            </w:pPr>
            <w:r>
              <w:rPr>
                <w:rFonts w:ascii="Arial" w:hAnsi="Arial" w:cs="Arial"/>
                <w:sz w:val="18"/>
                <w:szCs w:val="18"/>
              </w:rPr>
              <w:t>Identify other laws that expressly provide immunity or other liability protections for persons or entities involved in emergency response activities and other laws that could be used to provide liability protections. For each, identify the circumstances in which the protection attaches or is waived, and the persons entitled to protection (government employees, contractors, volunteers, etc.):</w:t>
            </w:r>
          </w:p>
        </w:tc>
        <w:tc>
          <w:tcPr>
            <w:tcW w:w="8633" w:type="dxa"/>
            <w:tcMar>
              <w:top w:w="58" w:type="dxa"/>
              <w:left w:w="130" w:type="dxa"/>
              <w:bottom w:w="58" w:type="dxa"/>
              <w:right w:w="115" w:type="dxa"/>
            </w:tcMar>
            <w:vAlign w:val="center"/>
          </w:tcPr>
          <w:p w14:paraId="67BF53DC" w14:textId="77777777" w:rsidR="007263DD" w:rsidRPr="00727041" w:rsidRDefault="007263DD" w:rsidP="001421B0">
            <w:pPr>
              <w:rPr>
                <w:rFonts w:ascii="Arial" w:hAnsi="Arial" w:cs="Arial"/>
                <w:sz w:val="18"/>
                <w:szCs w:val="18"/>
              </w:rPr>
            </w:pPr>
          </w:p>
        </w:tc>
      </w:tr>
      <w:tr w:rsidR="007263DD" w:rsidRPr="00727041" w14:paraId="1E1A598D" w14:textId="77777777" w:rsidTr="008D69BD">
        <w:trPr>
          <w:cantSplit/>
        </w:trPr>
        <w:tc>
          <w:tcPr>
            <w:tcW w:w="540" w:type="dxa"/>
            <w:gridSpan w:val="2"/>
            <w:tcMar>
              <w:top w:w="58" w:type="dxa"/>
              <w:left w:w="130" w:type="dxa"/>
              <w:bottom w:w="58" w:type="dxa"/>
              <w:right w:w="115" w:type="dxa"/>
            </w:tcMar>
            <w:vAlign w:val="center"/>
          </w:tcPr>
          <w:p w14:paraId="6B34586C"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52311873" w14:textId="77777777" w:rsidR="007263DD" w:rsidRPr="00727041" w:rsidRDefault="007263DD" w:rsidP="009E6C95">
            <w:pPr>
              <w:rPr>
                <w:rFonts w:ascii="Arial" w:hAnsi="Arial" w:cs="Arial"/>
                <w:sz w:val="18"/>
                <w:szCs w:val="18"/>
              </w:rPr>
            </w:pPr>
            <w:r>
              <w:rPr>
                <w:rFonts w:ascii="Arial" w:hAnsi="Arial" w:cs="Arial"/>
                <w:sz w:val="18"/>
                <w:szCs w:val="18"/>
              </w:rPr>
              <w:t>State or federal emergency authorities/powers laws</w:t>
            </w:r>
          </w:p>
        </w:tc>
        <w:tc>
          <w:tcPr>
            <w:tcW w:w="8633" w:type="dxa"/>
            <w:tcMar>
              <w:top w:w="58" w:type="dxa"/>
              <w:left w:w="130" w:type="dxa"/>
              <w:bottom w:w="58" w:type="dxa"/>
              <w:right w:w="115" w:type="dxa"/>
            </w:tcMar>
            <w:vAlign w:val="center"/>
          </w:tcPr>
          <w:p w14:paraId="4083DF4D" w14:textId="77777777" w:rsidR="007263DD" w:rsidRPr="00727041" w:rsidRDefault="007263DD" w:rsidP="001421B0">
            <w:pPr>
              <w:rPr>
                <w:rFonts w:ascii="Arial" w:hAnsi="Arial" w:cs="Arial"/>
                <w:sz w:val="18"/>
                <w:szCs w:val="18"/>
              </w:rPr>
            </w:pPr>
          </w:p>
        </w:tc>
      </w:tr>
      <w:tr w:rsidR="007263DD" w:rsidRPr="00727041" w14:paraId="000B0647" w14:textId="77777777" w:rsidTr="008D69BD">
        <w:trPr>
          <w:cantSplit/>
        </w:trPr>
        <w:tc>
          <w:tcPr>
            <w:tcW w:w="540" w:type="dxa"/>
            <w:gridSpan w:val="2"/>
            <w:tcMar>
              <w:top w:w="58" w:type="dxa"/>
              <w:left w:w="130" w:type="dxa"/>
              <w:bottom w:w="58" w:type="dxa"/>
              <w:right w:w="115" w:type="dxa"/>
            </w:tcMar>
            <w:vAlign w:val="center"/>
          </w:tcPr>
          <w:p w14:paraId="73EA421F"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7CF79F89" w14:textId="77777777" w:rsidR="007263DD" w:rsidRPr="00727041" w:rsidRDefault="007263DD" w:rsidP="00EC490B">
            <w:pPr>
              <w:rPr>
                <w:rFonts w:ascii="Arial" w:hAnsi="Arial" w:cs="Arial"/>
                <w:sz w:val="18"/>
                <w:szCs w:val="18"/>
              </w:rPr>
            </w:pPr>
            <w:r>
              <w:rPr>
                <w:rFonts w:ascii="Arial" w:hAnsi="Arial" w:cs="Arial"/>
                <w:sz w:val="18"/>
                <w:szCs w:val="18"/>
              </w:rPr>
              <w:t>State or federal general volunteer protection laws</w:t>
            </w:r>
          </w:p>
        </w:tc>
        <w:tc>
          <w:tcPr>
            <w:tcW w:w="8633" w:type="dxa"/>
            <w:tcMar>
              <w:top w:w="58" w:type="dxa"/>
              <w:left w:w="130" w:type="dxa"/>
              <w:bottom w:w="58" w:type="dxa"/>
              <w:right w:w="115" w:type="dxa"/>
            </w:tcMar>
            <w:vAlign w:val="center"/>
          </w:tcPr>
          <w:p w14:paraId="42B049C6" w14:textId="77777777" w:rsidR="007263DD" w:rsidRPr="00727041" w:rsidRDefault="007263DD" w:rsidP="001421B0">
            <w:pPr>
              <w:rPr>
                <w:rFonts w:ascii="Arial" w:hAnsi="Arial" w:cs="Arial"/>
                <w:sz w:val="18"/>
                <w:szCs w:val="18"/>
              </w:rPr>
            </w:pPr>
          </w:p>
        </w:tc>
      </w:tr>
      <w:tr w:rsidR="007263DD" w:rsidRPr="00727041" w14:paraId="42260ADA" w14:textId="77777777" w:rsidTr="008D69BD">
        <w:trPr>
          <w:cantSplit/>
        </w:trPr>
        <w:tc>
          <w:tcPr>
            <w:tcW w:w="540" w:type="dxa"/>
            <w:gridSpan w:val="2"/>
            <w:tcMar>
              <w:top w:w="58" w:type="dxa"/>
              <w:left w:w="130" w:type="dxa"/>
              <w:bottom w:w="58" w:type="dxa"/>
              <w:right w:w="115" w:type="dxa"/>
            </w:tcMar>
            <w:vAlign w:val="center"/>
          </w:tcPr>
          <w:p w14:paraId="41FC80FF"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0EEDA11D" w14:textId="77777777" w:rsidR="007263DD" w:rsidRPr="00727041" w:rsidRDefault="007263DD" w:rsidP="00EC490B">
            <w:pPr>
              <w:rPr>
                <w:rFonts w:ascii="Arial" w:hAnsi="Arial" w:cs="Arial"/>
                <w:sz w:val="18"/>
                <w:szCs w:val="18"/>
              </w:rPr>
            </w:pPr>
            <w:r>
              <w:rPr>
                <w:rFonts w:ascii="Arial" w:hAnsi="Arial" w:cs="Arial"/>
                <w:sz w:val="18"/>
                <w:szCs w:val="18"/>
              </w:rPr>
              <w:t>State or federal healthcare volunteer protection laws</w:t>
            </w:r>
          </w:p>
        </w:tc>
        <w:tc>
          <w:tcPr>
            <w:tcW w:w="8633" w:type="dxa"/>
            <w:tcMar>
              <w:top w:w="58" w:type="dxa"/>
              <w:left w:w="130" w:type="dxa"/>
              <w:bottom w:w="58" w:type="dxa"/>
              <w:right w:w="115" w:type="dxa"/>
            </w:tcMar>
            <w:vAlign w:val="center"/>
          </w:tcPr>
          <w:p w14:paraId="4D4A9AEB" w14:textId="77777777" w:rsidR="007263DD" w:rsidRPr="00727041" w:rsidRDefault="007263DD" w:rsidP="001421B0">
            <w:pPr>
              <w:rPr>
                <w:rFonts w:ascii="Arial" w:hAnsi="Arial" w:cs="Arial"/>
                <w:sz w:val="18"/>
                <w:szCs w:val="18"/>
              </w:rPr>
            </w:pPr>
          </w:p>
        </w:tc>
      </w:tr>
      <w:tr w:rsidR="007263DD" w:rsidRPr="00727041" w14:paraId="227D776C" w14:textId="77777777" w:rsidTr="008D69BD">
        <w:trPr>
          <w:cantSplit/>
        </w:trPr>
        <w:tc>
          <w:tcPr>
            <w:tcW w:w="540" w:type="dxa"/>
            <w:gridSpan w:val="2"/>
            <w:tcMar>
              <w:top w:w="58" w:type="dxa"/>
              <w:left w:w="130" w:type="dxa"/>
              <w:bottom w:w="58" w:type="dxa"/>
              <w:right w:w="115" w:type="dxa"/>
            </w:tcMar>
            <w:vAlign w:val="center"/>
          </w:tcPr>
          <w:p w14:paraId="487B3319"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3964211F" w14:textId="77777777" w:rsidR="007263DD" w:rsidRPr="00727041" w:rsidRDefault="007263DD" w:rsidP="0024601A">
            <w:pPr>
              <w:rPr>
                <w:rFonts w:ascii="Arial" w:hAnsi="Arial" w:cs="Arial"/>
                <w:sz w:val="18"/>
                <w:szCs w:val="18"/>
              </w:rPr>
            </w:pPr>
            <w:r>
              <w:rPr>
                <w:rFonts w:ascii="Arial" w:hAnsi="Arial" w:cs="Arial"/>
                <w:sz w:val="18"/>
                <w:szCs w:val="18"/>
              </w:rPr>
              <w:t>State Good Samaritan laws</w:t>
            </w:r>
          </w:p>
        </w:tc>
        <w:tc>
          <w:tcPr>
            <w:tcW w:w="8633" w:type="dxa"/>
            <w:tcMar>
              <w:top w:w="58" w:type="dxa"/>
              <w:left w:w="130" w:type="dxa"/>
              <w:bottom w:w="58" w:type="dxa"/>
              <w:right w:w="115" w:type="dxa"/>
            </w:tcMar>
            <w:vAlign w:val="center"/>
          </w:tcPr>
          <w:p w14:paraId="51577056" w14:textId="77777777" w:rsidR="007263DD" w:rsidRPr="00727041" w:rsidRDefault="007263DD" w:rsidP="001421B0">
            <w:pPr>
              <w:rPr>
                <w:rFonts w:ascii="Arial" w:hAnsi="Arial" w:cs="Arial"/>
                <w:sz w:val="18"/>
                <w:szCs w:val="18"/>
              </w:rPr>
            </w:pPr>
          </w:p>
        </w:tc>
      </w:tr>
      <w:tr w:rsidR="007263DD" w:rsidRPr="00727041" w14:paraId="7771E8C3" w14:textId="77777777" w:rsidTr="008D69BD">
        <w:trPr>
          <w:cantSplit/>
        </w:trPr>
        <w:tc>
          <w:tcPr>
            <w:tcW w:w="540" w:type="dxa"/>
            <w:gridSpan w:val="2"/>
            <w:tcMar>
              <w:top w:w="58" w:type="dxa"/>
              <w:left w:w="130" w:type="dxa"/>
              <w:bottom w:w="58" w:type="dxa"/>
              <w:right w:w="115" w:type="dxa"/>
            </w:tcMar>
            <w:vAlign w:val="center"/>
          </w:tcPr>
          <w:p w14:paraId="425B3E74"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4177C846" w14:textId="77777777" w:rsidR="007263DD" w:rsidRPr="00727041" w:rsidRDefault="007263DD" w:rsidP="00EC490B">
            <w:pPr>
              <w:rPr>
                <w:rFonts w:ascii="Arial" w:hAnsi="Arial" w:cs="Arial"/>
                <w:sz w:val="18"/>
                <w:szCs w:val="18"/>
              </w:rPr>
            </w:pPr>
            <w:r>
              <w:rPr>
                <w:rFonts w:ascii="Arial" w:hAnsi="Arial" w:cs="Arial"/>
                <w:sz w:val="18"/>
                <w:szCs w:val="18"/>
              </w:rPr>
              <w:t>State entity liability protection laws</w:t>
            </w:r>
          </w:p>
        </w:tc>
        <w:tc>
          <w:tcPr>
            <w:tcW w:w="8633" w:type="dxa"/>
            <w:tcMar>
              <w:top w:w="58" w:type="dxa"/>
              <w:left w:w="130" w:type="dxa"/>
              <w:bottom w:w="58" w:type="dxa"/>
              <w:right w:w="115" w:type="dxa"/>
            </w:tcMar>
            <w:vAlign w:val="center"/>
          </w:tcPr>
          <w:p w14:paraId="2B4B00FE" w14:textId="77777777" w:rsidR="007263DD" w:rsidRPr="00727041" w:rsidRDefault="007263DD" w:rsidP="001421B0">
            <w:pPr>
              <w:rPr>
                <w:rFonts w:ascii="Arial" w:hAnsi="Arial" w:cs="Arial"/>
                <w:sz w:val="18"/>
                <w:szCs w:val="18"/>
              </w:rPr>
            </w:pPr>
          </w:p>
        </w:tc>
      </w:tr>
      <w:tr w:rsidR="007263DD" w:rsidRPr="00727041" w14:paraId="0C56F6BC" w14:textId="77777777" w:rsidTr="008D69BD">
        <w:trPr>
          <w:cantSplit/>
        </w:trPr>
        <w:tc>
          <w:tcPr>
            <w:tcW w:w="540" w:type="dxa"/>
            <w:gridSpan w:val="2"/>
            <w:tcMar>
              <w:top w:w="58" w:type="dxa"/>
              <w:left w:w="130" w:type="dxa"/>
              <w:bottom w:w="58" w:type="dxa"/>
              <w:right w:w="115" w:type="dxa"/>
            </w:tcMar>
            <w:vAlign w:val="center"/>
          </w:tcPr>
          <w:p w14:paraId="67FB6E88"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33CC549D" w14:textId="77777777" w:rsidR="007263DD" w:rsidRDefault="007263DD" w:rsidP="00EC490B">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40D6D284" w14:textId="77777777" w:rsidR="007263DD" w:rsidRPr="00727041" w:rsidRDefault="007263DD" w:rsidP="001421B0">
            <w:pPr>
              <w:rPr>
                <w:rFonts w:ascii="Arial" w:hAnsi="Arial" w:cs="Arial"/>
                <w:sz w:val="18"/>
                <w:szCs w:val="18"/>
              </w:rPr>
            </w:pPr>
          </w:p>
        </w:tc>
      </w:tr>
      <w:tr w:rsidR="007263DD" w:rsidRPr="00727041" w14:paraId="39ED2C3F" w14:textId="77777777" w:rsidTr="008D69BD">
        <w:trPr>
          <w:cantSplit/>
        </w:trPr>
        <w:tc>
          <w:tcPr>
            <w:tcW w:w="5677" w:type="dxa"/>
            <w:gridSpan w:val="3"/>
            <w:tcMar>
              <w:top w:w="58" w:type="dxa"/>
              <w:left w:w="130" w:type="dxa"/>
              <w:bottom w:w="58" w:type="dxa"/>
              <w:right w:w="115" w:type="dxa"/>
            </w:tcMar>
            <w:vAlign w:val="center"/>
          </w:tcPr>
          <w:p w14:paraId="7F444988" w14:textId="77777777" w:rsidR="007263DD" w:rsidRDefault="007263DD" w:rsidP="00AA223E">
            <w:pPr>
              <w:rPr>
                <w:rFonts w:ascii="Arial" w:hAnsi="Arial" w:cs="Arial"/>
                <w:sz w:val="18"/>
                <w:szCs w:val="18"/>
              </w:rPr>
            </w:pPr>
            <w:r>
              <w:rPr>
                <w:rFonts w:ascii="Arial" w:hAnsi="Arial" w:cs="Arial"/>
                <w:sz w:val="18"/>
                <w:szCs w:val="18"/>
              </w:rPr>
              <w:t>Identify any immunities and liability protections provided under mutual aid agreements. For each, identify the circumstances in which protections attach or are waived and the persons entitled to protection:</w:t>
            </w:r>
          </w:p>
        </w:tc>
        <w:tc>
          <w:tcPr>
            <w:tcW w:w="8633" w:type="dxa"/>
            <w:tcMar>
              <w:top w:w="58" w:type="dxa"/>
              <w:left w:w="130" w:type="dxa"/>
              <w:bottom w:w="58" w:type="dxa"/>
              <w:right w:w="115" w:type="dxa"/>
            </w:tcMar>
            <w:vAlign w:val="center"/>
          </w:tcPr>
          <w:p w14:paraId="79C5F24B" w14:textId="77777777" w:rsidR="007263DD" w:rsidRPr="00727041" w:rsidRDefault="007263DD" w:rsidP="009C258C">
            <w:pPr>
              <w:rPr>
                <w:rFonts w:ascii="Arial" w:hAnsi="Arial" w:cs="Arial"/>
                <w:sz w:val="18"/>
                <w:szCs w:val="18"/>
              </w:rPr>
            </w:pPr>
            <w:r>
              <w:rPr>
                <w:rFonts w:ascii="Arial" w:hAnsi="Arial" w:cs="Arial"/>
                <w:sz w:val="18"/>
                <w:szCs w:val="18"/>
              </w:rPr>
              <w:t xml:space="preserve"> </w:t>
            </w:r>
          </w:p>
        </w:tc>
      </w:tr>
      <w:tr w:rsidR="007263DD" w:rsidRPr="00727041" w14:paraId="7132F066" w14:textId="77777777" w:rsidTr="008D69BD">
        <w:trPr>
          <w:cantSplit/>
        </w:trPr>
        <w:tc>
          <w:tcPr>
            <w:tcW w:w="540" w:type="dxa"/>
            <w:gridSpan w:val="2"/>
            <w:tcMar>
              <w:top w:w="58" w:type="dxa"/>
              <w:left w:w="130" w:type="dxa"/>
              <w:bottom w:w="58" w:type="dxa"/>
              <w:right w:w="115" w:type="dxa"/>
            </w:tcMar>
            <w:vAlign w:val="center"/>
          </w:tcPr>
          <w:p w14:paraId="5AC7303F"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2692C60B" w14:textId="77777777" w:rsidR="007263DD" w:rsidRPr="00727041" w:rsidRDefault="007263DD" w:rsidP="00EC490B">
            <w:pPr>
              <w:rPr>
                <w:rFonts w:ascii="Arial" w:hAnsi="Arial" w:cs="Arial"/>
                <w:sz w:val="18"/>
                <w:szCs w:val="18"/>
              </w:rPr>
            </w:pPr>
            <w:r>
              <w:rPr>
                <w:rFonts w:ascii="Arial" w:hAnsi="Arial" w:cs="Arial"/>
                <w:sz w:val="18"/>
                <w:szCs w:val="18"/>
              </w:rPr>
              <w:t>Emergency Management Assistance Compact (EMAC)</w:t>
            </w:r>
          </w:p>
        </w:tc>
        <w:tc>
          <w:tcPr>
            <w:tcW w:w="8633" w:type="dxa"/>
            <w:tcMar>
              <w:top w:w="58" w:type="dxa"/>
              <w:left w:w="130" w:type="dxa"/>
              <w:bottom w:w="58" w:type="dxa"/>
              <w:right w:w="115" w:type="dxa"/>
            </w:tcMar>
            <w:vAlign w:val="center"/>
          </w:tcPr>
          <w:p w14:paraId="67C44FB6" w14:textId="77777777" w:rsidR="007263DD" w:rsidRPr="00727041" w:rsidRDefault="007263DD" w:rsidP="001421B0">
            <w:pPr>
              <w:rPr>
                <w:rFonts w:ascii="Arial" w:hAnsi="Arial" w:cs="Arial"/>
                <w:sz w:val="18"/>
                <w:szCs w:val="18"/>
              </w:rPr>
            </w:pPr>
          </w:p>
        </w:tc>
      </w:tr>
      <w:tr w:rsidR="007263DD" w:rsidRPr="00727041" w14:paraId="6A04259F" w14:textId="77777777" w:rsidTr="008D69BD">
        <w:trPr>
          <w:cantSplit/>
        </w:trPr>
        <w:tc>
          <w:tcPr>
            <w:tcW w:w="540" w:type="dxa"/>
            <w:gridSpan w:val="2"/>
            <w:tcMar>
              <w:top w:w="58" w:type="dxa"/>
              <w:left w:w="130" w:type="dxa"/>
              <w:bottom w:w="58" w:type="dxa"/>
              <w:right w:w="115" w:type="dxa"/>
            </w:tcMar>
            <w:vAlign w:val="center"/>
          </w:tcPr>
          <w:p w14:paraId="4A3D7FDA"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345E9F58" w14:textId="77777777" w:rsidR="007263DD" w:rsidRPr="00727041" w:rsidRDefault="007263DD" w:rsidP="00EC490B">
            <w:pPr>
              <w:rPr>
                <w:rFonts w:ascii="Arial" w:hAnsi="Arial" w:cs="Arial"/>
                <w:sz w:val="18"/>
                <w:szCs w:val="18"/>
              </w:rPr>
            </w:pPr>
            <w:r>
              <w:rPr>
                <w:rFonts w:ascii="Arial" w:hAnsi="Arial" w:cs="Arial"/>
                <w:sz w:val="18"/>
                <w:szCs w:val="18"/>
              </w:rPr>
              <w:t>Other interstate agreements</w:t>
            </w:r>
          </w:p>
        </w:tc>
        <w:tc>
          <w:tcPr>
            <w:tcW w:w="8633" w:type="dxa"/>
            <w:tcMar>
              <w:top w:w="58" w:type="dxa"/>
              <w:left w:w="130" w:type="dxa"/>
              <w:bottom w:w="58" w:type="dxa"/>
              <w:right w:w="115" w:type="dxa"/>
            </w:tcMar>
            <w:vAlign w:val="center"/>
          </w:tcPr>
          <w:p w14:paraId="2D13C1F2" w14:textId="77777777" w:rsidR="007263DD" w:rsidRPr="00727041" w:rsidRDefault="007263DD" w:rsidP="001421B0">
            <w:pPr>
              <w:rPr>
                <w:rFonts w:ascii="Arial" w:hAnsi="Arial" w:cs="Arial"/>
                <w:sz w:val="18"/>
                <w:szCs w:val="18"/>
              </w:rPr>
            </w:pPr>
          </w:p>
        </w:tc>
      </w:tr>
      <w:tr w:rsidR="007263DD" w:rsidRPr="00727041" w14:paraId="64DEAF35" w14:textId="77777777" w:rsidTr="008D69BD">
        <w:trPr>
          <w:cantSplit/>
        </w:trPr>
        <w:tc>
          <w:tcPr>
            <w:tcW w:w="540" w:type="dxa"/>
            <w:gridSpan w:val="2"/>
            <w:tcMar>
              <w:top w:w="58" w:type="dxa"/>
              <w:left w:w="130" w:type="dxa"/>
              <w:bottom w:w="58" w:type="dxa"/>
              <w:right w:w="115" w:type="dxa"/>
            </w:tcMar>
            <w:vAlign w:val="center"/>
          </w:tcPr>
          <w:p w14:paraId="3C243441"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53F5863E" w14:textId="77777777" w:rsidR="007263DD" w:rsidRPr="00727041" w:rsidRDefault="007263DD" w:rsidP="000F2761">
            <w:pPr>
              <w:rPr>
                <w:rFonts w:ascii="Arial" w:hAnsi="Arial" w:cs="Arial"/>
                <w:sz w:val="18"/>
                <w:szCs w:val="18"/>
              </w:rPr>
            </w:pPr>
            <w:r>
              <w:rPr>
                <w:rFonts w:ascii="Arial" w:hAnsi="Arial" w:cs="Arial"/>
                <w:sz w:val="18"/>
                <w:szCs w:val="18"/>
              </w:rPr>
              <w:t>Other intrastate agreements</w:t>
            </w:r>
          </w:p>
        </w:tc>
        <w:tc>
          <w:tcPr>
            <w:tcW w:w="8633" w:type="dxa"/>
            <w:tcMar>
              <w:top w:w="58" w:type="dxa"/>
              <w:left w:w="130" w:type="dxa"/>
              <w:bottom w:w="58" w:type="dxa"/>
              <w:right w:w="115" w:type="dxa"/>
            </w:tcMar>
            <w:vAlign w:val="center"/>
          </w:tcPr>
          <w:p w14:paraId="0D2BD031" w14:textId="77777777" w:rsidR="007263DD" w:rsidRPr="00727041" w:rsidRDefault="007263DD" w:rsidP="001421B0">
            <w:pPr>
              <w:rPr>
                <w:rFonts w:ascii="Arial" w:hAnsi="Arial" w:cs="Arial"/>
                <w:sz w:val="18"/>
                <w:szCs w:val="18"/>
              </w:rPr>
            </w:pPr>
          </w:p>
        </w:tc>
      </w:tr>
      <w:tr w:rsidR="007263DD" w:rsidRPr="00727041" w14:paraId="220A6CD1" w14:textId="77777777" w:rsidTr="008D69BD">
        <w:trPr>
          <w:cantSplit/>
        </w:trPr>
        <w:tc>
          <w:tcPr>
            <w:tcW w:w="540" w:type="dxa"/>
            <w:gridSpan w:val="2"/>
            <w:tcMar>
              <w:top w:w="58" w:type="dxa"/>
              <w:left w:w="130" w:type="dxa"/>
              <w:bottom w:w="58" w:type="dxa"/>
              <w:right w:w="115" w:type="dxa"/>
            </w:tcMar>
            <w:vAlign w:val="center"/>
          </w:tcPr>
          <w:p w14:paraId="4DF46210"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3362E98A" w14:textId="77777777" w:rsidR="007263DD" w:rsidRPr="00727041" w:rsidRDefault="007263DD" w:rsidP="00EC490B">
            <w:pPr>
              <w:rPr>
                <w:rFonts w:ascii="Arial" w:hAnsi="Arial" w:cs="Arial"/>
                <w:sz w:val="18"/>
                <w:szCs w:val="18"/>
              </w:rPr>
            </w:pPr>
            <w:r>
              <w:rPr>
                <w:rFonts w:ascii="Arial" w:hAnsi="Arial" w:cs="Arial"/>
                <w:sz w:val="18"/>
                <w:szCs w:val="18"/>
              </w:rPr>
              <w:t>International agreements</w:t>
            </w:r>
          </w:p>
        </w:tc>
        <w:tc>
          <w:tcPr>
            <w:tcW w:w="8633" w:type="dxa"/>
            <w:tcMar>
              <w:top w:w="58" w:type="dxa"/>
              <w:left w:w="130" w:type="dxa"/>
              <w:bottom w:w="58" w:type="dxa"/>
              <w:right w:w="115" w:type="dxa"/>
            </w:tcMar>
            <w:vAlign w:val="center"/>
          </w:tcPr>
          <w:p w14:paraId="74A611EB" w14:textId="77777777" w:rsidR="007263DD" w:rsidRPr="00727041" w:rsidRDefault="007263DD" w:rsidP="001421B0">
            <w:pPr>
              <w:rPr>
                <w:rFonts w:ascii="Arial" w:hAnsi="Arial" w:cs="Arial"/>
                <w:sz w:val="18"/>
                <w:szCs w:val="18"/>
              </w:rPr>
            </w:pPr>
          </w:p>
        </w:tc>
      </w:tr>
      <w:tr w:rsidR="007263DD" w:rsidRPr="00727041" w14:paraId="19906A81" w14:textId="77777777" w:rsidTr="008D69BD">
        <w:trPr>
          <w:cantSplit/>
        </w:trPr>
        <w:tc>
          <w:tcPr>
            <w:tcW w:w="540" w:type="dxa"/>
            <w:gridSpan w:val="2"/>
            <w:tcMar>
              <w:top w:w="58" w:type="dxa"/>
              <w:left w:w="130" w:type="dxa"/>
              <w:bottom w:w="58" w:type="dxa"/>
              <w:right w:w="115" w:type="dxa"/>
            </w:tcMar>
            <w:vAlign w:val="center"/>
          </w:tcPr>
          <w:p w14:paraId="04FD5EED"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072F6B24" w14:textId="77777777" w:rsidR="007263DD" w:rsidRPr="00727041" w:rsidRDefault="007263DD" w:rsidP="00EC490B">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412DEAAB" w14:textId="77777777" w:rsidR="007263DD" w:rsidRPr="00727041" w:rsidRDefault="007263DD" w:rsidP="001421B0">
            <w:pPr>
              <w:rPr>
                <w:rFonts w:ascii="Arial" w:hAnsi="Arial" w:cs="Arial"/>
                <w:sz w:val="18"/>
                <w:szCs w:val="18"/>
              </w:rPr>
            </w:pPr>
          </w:p>
        </w:tc>
      </w:tr>
      <w:tr w:rsidR="007263DD" w:rsidRPr="00727041" w14:paraId="6A24D828" w14:textId="77777777" w:rsidTr="008D69BD">
        <w:trPr>
          <w:cantSplit/>
        </w:trPr>
        <w:tc>
          <w:tcPr>
            <w:tcW w:w="5677" w:type="dxa"/>
            <w:gridSpan w:val="3"/>
            <w:tcMar>
              <w:top w:w="58" w:type="dxa"/>
              <w:left w:w="130" w:type="dxa"/>
              <w:bottom w:w="58" w:type="dxa"/>
              <w:right w:w="115" w:type="dxa"/>
            </w:tcMar>
            <w:vAlign w:val="center"/>
          </w:tcPr>
          <w:p w14:paraId="54529C2C" w14:textId="77777777" w:rsidR="007263DD" w:rsidRDefault="007263DD" w:rsidP="00056830">
            <w:pPr>
              <w:rPr>
                <w:rFonts w:ascii="Arial" w:hAnsi="Arial" w:cs="Arial"/>
                <w:sz w:val="18"/>
                <w:szCs w:val="18"/>
              </w:rPr>
            </w:pPr>
            <w:r>
              <w:rPr>
                <w:rFonts w:ascii="Arial" w:hAnsi="Arial" w:cs="Arial"/>
                <w:sz w:val="18"/>
                <w:szCs w:val="18"/>
              </w:rPr>
              <w:t>For the following torts and other potential theories of liability identified above, identify potential immunities, liability protections, and other defenses. For each, identify the circumstances in which protections attach or are waived and the persons entitled to protection:</w:t>
            </w:r>
          </w:p>
        </w:tc>
        <w:tc>
          <w:tcPr>
            <w:tcW w:w="8633" w:type="dxa"/>
            <w:tcMar>
              <w:top w:w="58" w:type="dxa"/>
              <w:left w:w="130" w:type="dxa"/>
              <w:bottom w:w="58" w:type="dxa"/>
              <w:right w:w="115" w:type="dxa"/>
            </w:tcMar>
            <w:vAlign w:val="center"/>
          </w:tcPr>
          <w:p w14:paraId="003E1E81" w14:textId="77777777" w:rsidR="007263DD" w:rsidRPr="00727041" w:rsidRDefault="007263DD" w:rsidP="001421B0">
            <w:pPr>
              <w:rPr>
                <w:rFonts w:ascii="Arial" w:hAnsi="Arial" w:cs="Arial"/>
                <w:sz w:val="18"/>
                <w:szCs w:val="18"/>
              </w:rPr>
            </w:pPr>
          </w:p>
        </w:tc>
      </w:tr>
      <w:tr w:rsidR="007263DD" w:rsidRPr="00727041" w14:paraId="4D964A82" w14:textId="77777777" w:rsidTr="008D69BD">
        <w:trPr>
          <w:cantSplit/>
        </w:trPr>
        <w:tc>
          <w:tcPr>
            <w:tcW w:w="540" w:type="dxa"/>
            <w:gridSpan w:val="2"/>
            <w:tcMar>
              <w:top w:w="58" w:type="dxa"/>
              <w:left w:w="130" w:type="dxa"/>
              <w:bottom w:w="58" w:type="dxa"/>
              <w:right w:w="115" w:type="dxa"/>
            </w:tcMar>
            <w:vAlign w:val="center"/>
          </w:tcPr>
          <w:p w14:paraId="22857790"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754888EE" w14:textId="77777777" w:rsidR="007263DD" w:rsidRPr="00727041" w:rsidRDefault="007263DD" w:rsidP="00EC490B">
            <w:pPr>
              <w:rPr>
                <w:rFonts w:ascii="Arial" w:hAnsi="Arial" w:cs="Arial"/>
                <w:sz w:val="18"/>
                <w:szCs w:val="18"/>
              </w:rPr>
            </w:pPr>
            <w:r>
              <w:rPr>
                <w:rFonts w:ascii="Arial" w:hAnsi="Arial" w:cs="Arial"/>
                <w:sz w:val="18"/>
                <w:szCs w:val="18"/>
              </w:rPr>
              <w:t>Intentional torts</w:t>
            </w:r>
          </w:p>
        </w:tc>
        <w:tc>
          <w:tcPr>
            <w:tcW w:w="8633" w:type="dxa"/>
            <w:tcMar>
              <w:top w:w="58" w:type="dxa"/>
              <w:left w:w="130" w:type="dxa"/>
              <w:bottom w:w="58" w:type="dxa"/>
              <w:right w:w="115" w:type="dxa"/>
            </w:tcMar>
            <w:vAlign w:val="center"/>
          </w:tcPr>
          <w:p w14:paraId="7ABA0672" w14:textId="77777777" w:rsidR="007263DD" w:rsidRPr="00727041" w:rsidRDefault="007263DD" w:rsidP="001421B0">
            <w:pPr>
              <w:rPr>
                <w:rFonts w:ascii="Arial" w:hAnsi="Arial" w:cs="Arial"/>
                <w:sz w:val="18"/>
                <w:szCs w:val="18"/>
              </w:rPr>
            </w:pPr>
          </w:p>
        </w:tc>
      </w:tr>
      <w:tr w:rsidR="007263DD" w:rsidRPr="00727041" w14:paraId="650FCAD7" w14:textId="77777777" w:rsidTr="008D69BD">
        <w:trPr>
          <w:cantSplit/>
        </w:trPr>
        <w:tc>
          <w:tcPr>
            <w:tcW w:w="540" w:type="dxa"/>
            <w:gridSpan w:val="2"/>
            <w:tcMar>
              <w:top w:w="58" w:type="dxa"/>
              <w:left w:w="130" w:type="dxa"/>
              <w:bottom w:w="58" w:type="dxa"/>
              <w:right w:w="115" w:type="dxa"/>
            </w:tcMar>
            <w:vAlign w:val="center"/>
          </w:tcPr>
          <w:p w14:paraId="19B54A40"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5AEE37BD" w14:textId="77777777" w:rsidR="007263DD" w:rsidRDefault="007263DD" w:rsidP="00E44CD1">
            <w:pPr>
              <w:rPr>
                <w:rFonts w:ascii="Arial" w:hAnsi="Arial" w:cs="Arial"/>
                <w:sz w:val="18"/>
                <w:szCs w:val="18"/>
              </w:rPr>
            </w:pPr>
            <w:r>
              <w:rPr>
                <w:rFonts w:ascii="Arial" w:hAnsi="Arial" w:cs="Arial"/>
                <w:sz w:val="18"/>
                <w:szCs w:val="18"/>
              </w:rPr>
              <w:t>Negligence—general</w:t>
            </w:r>
          </w:p>
        </w:tc>
        <w:tc>
          <w:tcPr>
            <w:tcW w:w="8633" w:type="dxa"/>
            <w:tcMar>
              <w:top w:w="58" w:type="dxa"/>
              <w:left w:w="130" w:type="dxa"/>
              <w:bottom w:w="58" w:type="dxa"/>
              <w:right w:w="115" w:type="dxa"/>
            </w:tcMar>
            <w:vAlign w:val="center"/>
          </w:tcPr>
          <w:p w14:paraId="7FDD3A3A" w14:textId="77777777" w:rsidR="007263DD" w:rsidRPr="00727041" w:rsidRDefault="007263DD" w:rsidP="001421B0">
            <w:pPr>
              <w:rPr>
                <w:rFonts w:ascii="Arial" w:hAnsi="Arial" w:cs="Arial"/>
                <w:sz w:val="18"/>
                <w:szCs w:val="18"/>
              </w:rPr>
            </w:pPr>
          </w:p>
        </w:tc>
      </w:tr>
      <w:tr w:rsidR="007263DD" w:rsidRPr="00727041" w14:paraId="32F8DD1E" w14:textId="77777777" w:rsidTr="008D69BD">
        <w:trPr>
          <w:cantSplit/>
        </w:trPr>
        <w:tc>
          <w:tcPr>
            <w:tcW w:w="540" w:type="dxa"/>
            <w:gridSpan w:val="2"/>
            <w:tcMar>
              <w:top w:w="58" w:type="dxa"/>
              <w:left w:w="130" w:type="dxa"/>
              <w:bottom w:w="58" w:type="dxa"/>
              <w:right w:w="115" w:type="dxa"/>
            </w:tcMar>
            <w:vAlign w:val="center"/>
          </w:tcPr>
          <w:p w14:paraId="29E5790B"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636153CA" w14:textId="77777777" w:rsidR="007263DD" w:rsidRDefault="007263DD" w:rsidP="00EC490B">
            <w:pPr>
              <w:rPr>
                <w:rFonts w:ascii="Arial" w:hAnsi="Arial" w:cs="Arial"/>
                <w:sz w:val="18"/>
                <w:szCs w:val="18"/>
              </w:rPr>
            </w:pPr>
            <w:r>
              <w:rPr>
                <w:rFonts w:ascii="Arial" w:hAnsi="Arial" w:cs="Arial"/>
                <w:sz w:val="18"/>
                <w:szCs w:val="18"/>
              </w:rPr>
              <w:t>Medical malpractice</w:t>
            </w:r>
          </w:p>
        </w:tc>
        <w:tc>
          <w:tcPr>
            <w:tcW w:w="8633" w:type="dxa"/>
            <w:tcMar>
              <w:top w:w="58" w:type="dxa"/>
              <w:left w:w="130" w:type="dxa"/>
              <w:bottom w:w="58" w:type="dxa"/>
              <w:right w:w="115" w:type="dxa"/>
            </w:tcMar>
            <w:vAlign w:val="center"/>
          </w:tcPr>
          <w:p w14:paraId="27D86073" w14:textId="77777777" w:rsidR="007263DD" w:rsidRPr="00727041" w:rsidRDefault="007263DD" w:rsidP="001421B0">
            <w:pPr>
              <w:rPr>
                <w:rFonts w:ascii="Arial" w:hAnsi="Arial" w:cs="Arial"/>
                <w:sz w:val="18"/>
                <w:szCs w:val="18"/>
              </w:rPr>
            </w:pPr>
          </w:p>
        </w:tc>
      </w:tr>
      <w:tr w:rsidR="007263DD" w:rsidRPr="00727041" w14:paraId="43B44D07" w14:textId="77777777" w:rsidTr="008D69BD">
        <w:trPr>
          <w:cantSplit/>
        </w:trPr>
        <w:tc>
          <w:tcPr>
            <w:tcW w:w="540" w:type="dxa"/>
            <w:gridSpan w:val="2"/>
            <w:tcMar>
              <w:top w:w="58" w:type="dxa"/>
              <w:left w:w="130" w:type="dxa"/>
              <w:bottom w:w="58" w:type="dxa"/>
              <w:right w:w="115" w:type="dxa"/>
            </w:tcMar>
            <w:vAlign w:val="center"/>
          </w:tcPr>
          <w:p w14:paraId="10478A5D"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2393C9AF" w14:textId="77777777" w:rsidR="007263DD" w:rsidRDefault="007263DD" w:rsidP="00EC490B">
            <w:pPr>
              <w:rPr>
                <w:rFonts w:ascii="Arial" w:hAnsi="Arial" w:cs="Arial"/>
                <w:sz w:val="18"/>
                <w:szCs w:val="18"/>
              </w:rPr>
            </w:pPr>
            <w:r>
              <w:rPr>
                <w:rFonts w:ascii="Arial" w:hAnsi="Arial" w:cs="Arial"/>
                <w:sz w:val="18"/>
                <w:szCs w:val="18"/>
              </w:rPr>
              <w:t>Exceeding scope of practice</w:t>
            </w:r>
          </w:p>
        </w:tc>
        <w:tc>
          <w:tcPr>
            <w:tcW w:w="8633" w:type="dxa"/>
            <w:tcMar>
              <w:top w:w="58" w:type="dxa"/>
              <w:left w:w="130" w:type="dxa"/>
              <w:bottom w:w="58" w:type="dxa"/>
              <w:right w:w="115" w:type="dxa"/>
            </w:tcMar>
            <w:vAlign w:val="center"/>
          </w:tcPr>
          <w:p w14:paraId="77AD0561" w14:textId="77777777" w:rsidR="007263DD" w:rsidRPr="00727041" w:rsidRDefault="007263DD" w:rsidP="001421B0">
            <w:pPr>
              <w:rPr>
                <w:rFonts w:ascii="Arial" w:hAnsi="Arial" w:cs="Arial"/>
                <w:sz w:val="18"/>
                <w:szCs w:val="18"/>
              </w:rPr>
            </w:pPr>
          </w:p>
        </w:tc>
      </w:tr>
      <w:tr w:rsidR="007263DD" w:rsidRPr="00727041" w14:paraId="7324C4A4" w14:textId="77777777" w:rsidTr="008D69BD">
        <w:trPr>
          <w:cantSplit/>
        </w:trPr>
        <w:tc>
          <w:tcPr>
            <w:tcW w:w="540" w:type="dxa"/>
            <w:gridSpan w:val="2"/>
            <w:tcMar>
              <w:top w:w="58" w:type="dxa"/>
              <w:left w:w="130" w:type="dxa"/>
              <w:bottom w:w="58" w:type="dxa"/>
              <w:right w:w="115" w:type="dxa"/>
            </w:tcMar>
            <w:vAlign w:val="center"/>
          </w:tcPr>
          <w:p w14:paraId="76FBE9DE"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3947F22B" w14:textId="77777777" w:rsidR="007263DD" w:rsidRDefault="007263DD" w:rsidP="00EC490B">
            <w:pPr>
              <w:rPr>
                <w:rFonts w:ascii="Arial" w:hAnsi="Arial" w:cs="Arial"/>
                <w:sz w:val="18"/>
                <w:szCs w:val="18"/>
              </w:rPr>
            </w:pPr>
            <w:r>
              <w:rPr>
                <w:rFonts w:ascii="Arial" w:hAnsi="Arial" w:cs="Arial"/>
                <w:sz w:val="18"/>
                <w:szCs w:val="18"/>
              </w:rPr>
              <w:t>Breach of privacy and confidentiality</w:t>
            </w:r>
          </w:p>
        </w:tc>
        <w:tc>
          <w:tcPr>
            <w:tcW w:w="8633" w:type="dxa"/>
            <w:tcMar>
              <w:top w:w="58" w:type="dxa"/>
              <w:left w:w="130" w:type="dxa"/>
              <w:bottom w:w="58" w:type="dxa"/>
              <w:right w:w="115" w:type="dxa"/>
            </w:tcMar>
            <w:vAlign w:val="center"/>
          </w:tcPr>
          <w:p w14:paraId="182233AA" w14:textId="77777777" w:rsidR="007263DD" w:rsidRPr="00727041" w:rsidRDefault="007263DD" w:rsidP="001421B0">
            <w:pPr>
              <w:rPr>
                <w:rFonts w:ascii="Arial" w:hAnsi="Arial" w:cs="Arial"/>
                <w:sz w:val="18"/>
                <w:szCs w:val="18"/>
              </w:rPr>
            </w:pPr>
          </w:p>
        </w:tc>
      </w:tr>
      <w:tr w:rsidR="007263DD" w:rsidRPr="00727041" w14:paraId="452E3F62" w14:textId="77777777" w:rsidTr="008D69BD">
        <w:trPr>
          <w:cantSplit/>
        </w:trPr>
        <w:tc>
          <w:tcPr>
            <w:tcW w:w="540" w:type="dxa"/>
            <w:gridSpan w:val="2"/>
            <w:tcMar>
              <w:top w:w="58" w:type="dxa"/>
              <w:left w:w="130" w:type="dxa"/>
              <w:bottom w:w="58" w:type="dxa"/>
              <w:right w:w="115" w:type="dxa"/>
            </w:tcMar>
            <w:vAlign w:val="center"/>
          </w:tcPr>
          <w:p w14:paraId="6498B725"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51B6F21D" w14:textId="77777777" w:rsidR="007263DD" w:rsidRDefault="007263DD" w:rsidP="00EC490B">
            <w:pPr>
              <w:rPr>
                <w:rFonts w:ascii="Arial" w:hAnsi="Arial" w:cs="Arial"/>
                <w:sz w:val="18"/>
                <w:szCs w:val="18"/>
              </w:rPr>
            </w:pPr>
            <w:r>
              <w:rPr>
                <w:rFonts w:ascii="Arial" w:hAnsi="Arial" w:cs="Arial"/>
                <w:sz w:val="18"/>
                <w:szCs w:val="18"/>
              </w:rPr>
              <w:t>Premises liability</w:t>
            </w:r>
          </w:p>
        </w:tc>
        <w:tc>
          <w:tcPr>
            <w:tcW w:w="8633" w:type="dxa"/>
            <w:tcMar>
              <w:top w:w="58" w:type="dxa"/>
              <w:left w:w="130" w:type="dxa"/>
              <w:bottom w:w="58" w:type="dxa"/>
              <w:right w:w="115" w:type="dxa"/>
            </w:tcMar>
            <w:vAlign w:val="center"/>
          </w:tcPr>
          <w:p w14:paraId="72731D0C" w14:textId="77777777" w:rsidR="007263DD" w:rsidRPr="00727041" w:rsidRDefault="007263DD" w:rsidP="001421B0">
            <w:pPr>
              <w:rPr>
                <w:rFonts w:ascii="Arial" w:hAnsi="Arial" w:cs="Arial"/>
                <w:sz w:val="18"/>
                <w:szCs w:val="18"/>
              </w:rPr>
            </w:pPr>
          </w:p>
        </w:tc>
      </w:tr>
      <w:tr w:rsidR="007263DD" w:rsidRPr="00727041" w14:paraId="12E8643F" w14:textId="77777777" w:rsidTr="008D69BD">
        <w:trPr>
          <w:cantSplit/>
        </w:trPr>
        <w:tc>
          <w:tcPr>
            <w:tcW w:w="540" w:type="dxa"/>
            <w:gridSpan w:val="2"/>
            <w:tcMar>
              <w:top w:w="58" w:type="dxa"/>
              <w:left w:w="130" w:type="dxa"/>
              <w:bottom w:w="58" w:type="dxa"/>
              <w:right w:w="115" w:type="dxa"/>
            </w:tcMar>
            <w:vAlign w:val="center"/>
          </w:tcPr>
          <w:p w14:paraId="1A426D58"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01697B2D" w14:textId="77777777" w:rsidR="007263DD" w:rsidRDefault="007263DD" w:rsidP="00EC490B">
            <w:pPr>
              <w:rPr>
                <w:rFonts w:ascii="Arial" w:hAnsi="Arial" w:cs="Arial"/>
                <w:sz w:val="18"/>
                <w:szCs w:val="18"/>
              </w:rPr>
            </w:pPr>
            <w:r>
              <w:rPr>
                <w:rFonts w:ascii="Arial" w:hAnsi="Arial" w:cs="Arial"/>
                <w:sz w:val="18"/>
                <w:szCs w:val="18"/>
              </w:rPr>
              <w:t>Gross negligence</w:t>
            </w:r>
          </w:p>
        </w:tc>
        <w:tc>
          <w:tcPr>
            <w:tcW w:w="8633" w:type="dxa"/>
            <w:tcMar>
              <w:top w:w="58" w:type="dxa"/>
              <w:left w:w="130" w:type="dxa"/>
              <w:bottom w:w="58" w:type="dxa"/>
              <w:right w:w="115" w:type="dxa"/>
            </w:tcMar>
            <w:vAlign w:val="center"/>
          </w:tcPr>
          <w:p w14:paraId="46A71549" w14:textId="77777777" w:rsidR="007263DD" w:rsidRPr="00727041" w:rsidRDefault="007263DD" w:rsidP="001421B0">
            <w:pPr>
              <w:rPr>
                <w:rFonts w:ascii="Arial" w:hAnsi="Arial" w:cs="Arial"/>
                <w:sz w:val="18"/>
                <w:szCs w:val="18"/>
              </w:rPr>
            </w:pPr>
          </w:p>
        </w:tc>
      </w:tr>
      <w:tr w:rsidR="007263DD" w:rsidRPr="00727041" w14:paraId="4FB4DBA5" w14:textId="77777777" w:rsidTr="008D69BD">
        <w:trPr>
          <w:cantSplit/>
        </w:trPr>
        <w:tc>
          <w:tcPr>
            <w:tcW w:w="540" w:type="dxa"/>
            <w:gridSpan w:val="2"/>
            <w:tcMar>
              <w:top w:w="58" w:type="dxa"/>
              <w:left w:w="130" w:type="dxa"/>
              <w:bottom w:w="58" w:type="dxa"/>
              <w:right w:w="115" w:type="dxa"/>
            </w:tcMar>
            <w:vAlign w:val="center"/>
          </w:tcPr>
          <w:p w14:paraId="785A71D7"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40CE44B5" w14:textId="77777777" w:rsidR="007263DD" w:rsidRDefault="007263DD" w:rsidP="00EC490B">
            <w:pPr>
              <w:rPr>
                <w:rFonts w:ascii="Arial" w:hAnsi="Arial" w:cs="Arial"/>
                <w:sz w:val="18"/>
                <w:szCs w:val="18"/>
              </w:rPr>
            </w:pPr>
            <w:r>
              <w:rPr>
                <w:rFonts w:ascii="Arial" w:hAnsi="Arial" w:cs="Arial"/>
                <w:sz w:val="18"/>
                <w:szCs w:val="18"/>
              </w:rPr>
              <w:t>Strict liability</w:t>
            </w:r>
          </w:p>
        </w:tc>
        <w:tc>
          <w:tcPr>
            <w:tcW w:w="8633" w:type="dxa"/>
            <w:tcMar>
              <w:top w:w="58" w:type="dxa"/>
              <w:left w:w="130" w:type="dxa"/>
              <w:bottom w:w="58" w:type="dxa"/>
              <w:right w:w="115" w:type="dxa"/>
            </w:tcMar>
            <w:vAlign w:val="center"/>
          </w:tcPr>
          <w:p w14:paraId="442EBA7B" w14:textId="77777777" w:rsidR="007263DD" w:rsidRPr="00727041" w:rsidRDefault="007263DD" w:rsidP="001421B0">
            <w:pPr>
              <w:rPr>
                <w:rFonts w:ascii="Arial" w:hAnsi="Arial" w:cs="Arial"/>
                <w:sz w:val="18"/>
                <w:szCs w:val="18"/>
              </w:rPr>
            </w:pPr>
          </w:p>
        </w:tc>
      </w:tr>
      <w:tr w:rsidR="007263DD" w:rsidRPr="00727041" w14:paraId="7E133EA1" w14:textId="77777777" w:rsidTr="008D69BD">
        <w:trPr>
          <w:cantSplit/>
        </w:trPr>
        <w:tc>
          <w:tcPr>
            <w:tcW w:w="540" w:type="dxa"/>
            <w:gridSpan w:val="2"/>
            <w:tcMar>
              <w:top w:w="58" w:type="dxa"/>
              <w:left w:w="130" w:type="dxa"/>
              <w:bottom w:w="58" w:type="dxa"/>
              <w:right w:w="115" w:type="dxa"/>
            </w:tcMar>
            <w:vAlign w:val="center"/>
          </w:tcPr>
          <w:p w14:paraId="685B3669"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0E434273" w14:textId="77777777" w:rsidR="007263DD" w:rsidRDefault="007263DD" w:rsidP="00EC490B">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4558E342" w14:textId="77777777" w:rsidR="007263DD" w:rsidRPr="00727041" w:rsidRDefault="007263DD" w:rsidP="001421B0">
            <w:pPr>
              <w:rPr>
                <w:rFonts w:ascii="Arial" w:hAnsi="Arial" w:cs="Arial"/>
                <w:sz w:val="18"/>
                <w:szCs w:val="18"/>
              </w:rPr>
            </w:pPr>
          </w:p>
        </w:tc>
      </w:tr>
      <w:tr w:rsidR="007263DD" w:rsidRPr="00727041" w14:paraId="5223761D" w14:textId="77777777" w:rsidTr="008D69BD">
        <w:trPr>
          <w:cantSplit/>
        </w:trPr>
        <w:tc>
          <w:tcPr>
            <w:tcW w:w="5677" w:type="dxa"/>
            <w:gridSpan w:val="3"/>
            <w:tcMar>
              <w:top w:w="58" w:type="dxa"/>
              <w:left w:w="130" w:type="dxa"/>
              <w:bottom w:w="58" w:type="dxa"/>
              <w:right w:w="115" w:type="dxa"/>
            </w:tcMar>
            <w:vAlign w:val="center"/>
          </w:tcPr>
          <w:p w14:paraId="435696A8" w14:textId="77777777" w:rsidR="007263DD" w:rsidRPr="00727041" w:rsidRDefault="007263DD" w:rsidP="00056830">
            <w:pPr>
              <w:rPr>
                <w:rFonts w:ascii="Arial" w:hAnsi="Arial" w:cs="Arial"/>
                <w:sz w:val="18"/>
                <w:szCs w:val="18"/>
              </w:rPr>
            </w:pPr>
            <w:r>
              <w:rPr>
                <w:rFonts w:ascii="Arial" w:hAnsi="Arial" w:cs="Arial"/>
                <w:sz w:val="18"/>
                <w:szCs w:val="18"/>
              </w:rPr>
              <w:lastRenderedPageBreak/>
              <w:t>Identify immunities, liability protections, and defenses that can be used to address potential sources of statutory and regulatory violations identified above:</w:t>
            </w:r>
          </w:p>
        </w:tc>
        <w:tc>
          <w:tcPr>
            <w:tcW w:w="8633" w:type="dxa"/>
            <w:tcMar>
              <w:top w:w="58" w:type="dxa"/>
              <w:left w:w="130" w:type="dxa"/>
              <w:bottom w:w="58" w:type="dxa"/>
              <w:right w:w="115" w:type="dxa"/>
            </w:tcMar>
            <w:vAlign w:val="center"/>
          </w:tcPr>
          <w:p w14:paraId="6BDE81B9" w14:textId="77777777" w:rsidR="007263DD" w:rsidRPr="00727041" w:rsidRDefault="007263DD" w:rsidP="001421B0">
            <w:pPr>
              <w:rPr>
                <w:rFonts w:ascii="Arial" w:hAnsi="Arial" w:cs="Arial"/>
                <w:sz w:val="18"/>
                <w:szCs w:val="18"/>
              </w:rPr>
            </w:pPr>
          </w:p>
        </w:tc>
      </w:tr>
      <w:tr w:rsidR="007263DD" w:rsidRPr="00727041" w14:paraId="31BBC162" w14:textId="77777777" w:rsidTr="008D69BD">
        <w:trPr>
          <w:cantSplit/>
        </w:trPr>
        <w:tc>
          <w:tcPr>
            <w:tcW w:w="540" w:type="dxa"/>
            <w:gridSpan w:val="2"/>
            <w:tcMar>
              <w:top w:w="58" w:type="dxa"/>
              <w:left w:w="130" w:type="dxa"/>
              <w:bottom w:w="58" w:type="dxa"/>
              <w:right w:w="115" w:type="dxa"/>
            </w:tcMar>
            <w:vAlign w:val="center"/>
          </w:tcPr>
          <w:p w14:paraId="3577238F" w14:textId="77777777" w:rsidR="007263DD" w:rsidRPr="00727041" w:rsidRDefault="007263DD" w:rsidP="00EC490B">
            <w:pPr>
              <w:rPr>
                <w:rFonts w:ascii="Arial" w:hAnsi="Arial" w:cs="Arial"/>
                <w:sz w:val="18"/>
                <w:szCs w:val="18"/>
              </w:rPr>
            </w:pPr>
          </w:p>
        </w:tc>
        <w:tc>
          <w:tcPr>
            <w:tcW w:w="5137" w:type="dxa"/>
            <w:tcMar>
              <w:top w:w="58" w:type="dxa"/>
              <w:left w:w="130" w:type="dxa"/>
              <w:bottom w:w="58" w:type="dxa"/>
              <w:right w:w="115" w:type="dxa"/>
            </w:tcMar>
            <w:vAlign w:val="center"/>
          </w:tcPr>
          <w:p w14:paraId="369BE371" w14:textId="77777777" w:rsidR="007263DD" w:rsidRPr="00727041" w:rsidRDefault="007263DD" w:rsidP="00EC490B">
            <w:pPr>
              <w:rPr>
                <w:rFonts w:ascii="Arial" w:hAnsi="Arial" w:cs="Arial"/>
                <w:sz w:val="18"/>
                <w:szCs w:val="18"/>
              </w:rPr>
            </w:pPr>
            <w:r>
              <w:rPr>
                <w:rFonts w:ascii="Arial" w:hAnsi="Arial" w:cs="Arial"/>
                <w:sz w:val="18"/>
                <w:szCs w:val="18"/>
              </w:rPr>
              <w:t>Federal</w:t>
            </w:r>
          </w:p>
        </w:tc>
        <w:tc>
          <w:tcPr>
            <w:tcW w:w="8633" w:type="dxa"/>
            <w:tcMar>
              <w:top w:w="58" w:type="dxa"/>
              <w:left w:w="130" w:type="dxa"/>
              <w:bottom w:w="58" w:type="dxa"/>
              <w:right w:w="115" w:type="dxa"/>
            </w:tcMar>
            <w:vAlign w:val="center"/>
          </w:tcPr>
          <w:p w14:paraId="15712C43" w14:textId="77777777" w:rsidR="007263DD" w:rsidRPr="00727041" w:rsidRDefault="007263DD" w:rsidP="001421B0">
            <w:pPr>
              <w:rPr>
                <w:rFonts w:ascii="Arial" w:hAnsi="Arial" w:cs="Arial"/>
                <w:sz w:val="18"/>
                <w:szCs w:val="18"/>
              </w:rPr>
            </w:pPr>
          </w:p>
        </w:tc>
      </w:tr>
      <w:tr w:rsidR="007263DD" w:rsidRPr="00727041" w14:paraId="1A6F1199" w14:textId="77777777" w:rsidTr="008D69BD">
        <w:trPr>
          <w:cantSplit/>
        </w:trPr>
        <w:tc>
          <w:tcPr>
            <w:tcW w:w="540" w:type="dxa"/>
            <w:gridSpan w:val="2"/>
            <w:tcMar>
              <w:top w:w="58" w:type="dxa"/>
              <w:left w:w="130" w:type="dxa"/>
              <w:bottom w:w="58" w:type="dxa"/>
              <w:right w:w="115" w:type="dxa"/>
            </w:tcMar>
            <w:vAlign w:val="center"/>
          </w:tcPr>
          <w:p w14:paraId="0AF6AB8A" w14:textId="77777777" w:rsidR="007263DD" w:rsidRPr="00727041" w:rsidRDefault="007263DD" w:rsidP="00EC490B">
            <w:pPr>
              <w:rPr>
                <w:rFonts w:ascii="Arial" w:hAnsi="Arial" w:cs="Arial"/>
                <w:sz w:val="18"/>
                <w:szCs w:val="18"/>
              </w:rPr>
            </w:pPr>
          </w:p>
        </w:tc>
        <w:tc>
          <w:tcPr>
            <w:tcW w:w="5137" w:type="dxa"/>
            <w:tcMar>
              <w:top w:w="58" w:type="dxa"/>
              <w:left w:w="130" w:type="dxa"/>
              <w:bottom w:w="58" w:type="dxa"/>
              <w:right w:w="115" w:type="dxa"/>
            </w:tcMar>
            <w:vAlign w:val="center"/>
          </w:tcPr>
          <w:p w14:paraId="341F85EE" w14:textId="77777777" w:rsidR="007263DD" w:rsidRPr="00727041" w:rsidRDefault="007263DD" w:rsidP="00EC490B">
            <w:pPr>
              <w:rPr>
                <w:rFonts w:ascii="Arial" w:hAnsi="Arial" w:cs="Arial"/>
                <w:sz w:val="18"/>
                <w:szCs w:val="18"/>
              </w:rPr>
            </w:pPr>
            <w:r>
              <w:rPr>
                <w:rFonts w:ascii="Arial" w:hAnsi="Arial" w:cs="Arial"/>
                <w:sz w:val="18"/>
                <w:szCs w:val="18"/>
              </w:rPr>
              <w:t>State</w:t>
            </w:r>
          </w:p>
        </w:tc>
        <w:tc>
          <w:tcPr>
            <w:tcW w:w="8633" w:type="dxa"/>
            <w:tcMar>
              <w:top w:w="58" w:type="dxa"/>
              <w:left w:w="130" w:type="dxa"/>
              <w:bottom w:w="58" w:type="dxa"/>
              <w:right w:w="115" w:type="dxa"/>
            </w:tcMar>
            <w:vAlign w:val="center"/>
          </w:tcPr>
          <w:p w14:paraId="3861C92A" w14:textId="77777777" w:rsidR="007263DD" w:rsidRPr="00727041" w:rsidRDefault="007263DD" w:rsidP="001421B0">
            <w:pPr>
              <w:rPr>
                <w:rFonts w:ascii="Arial" w:hAnsi="Arial" w:cs="Arial"/>
                <w:sz w:val="18"/>
                <w:szCs w:val="18"/>
              </w:rPr>
            </w:pPr>
          </w:p>
        </w:tc>
      </w:tr>
      <w:tr w:rsidR="007263DD" w:rsidRPr="00727041" w14:paraId="1F32A273" w14:textId="77777777" w:rsidTr="008D69BD">
        <w:trPr>
          <w:cantSplit/>
        </w:trPr>
        <w:tc>
          <w:tcPr>
            <w:tcW w:w="540" w:type="dxa"/>
            <w:gridSpan w:val="2"/>
            <w:tcMar>
              <w:top w:w="58" w:type="dxa"/>
              <w:left w:w="130" w:type="dxa"/>
              <w:bottom w:w="58" w:type="dxa"/>
              <w:right w:w="115" w:type="dxa"/>
            </w:tcMar>
            <w:vAlign w:val="center"/>
          </w:tcPr>
          <w:p w14:paraId="3202DD0B" w14:textId="77777777" w:rsidR="007263DD" w:rsidRPr="00727041" w:rsidRDefault="007263DD" w:rsidP="00EC490B">
            <w:pPr>
              <w:rPr>
                <w:rFonts w:ascii="Arial" w:hAnsi="Arial" w:cs="Arial"/>
                <w:sz w:val="18"/>
                <w:szCs w:val="18"/>
              </w:rPr>
            </w:pPr>
          </w:p>
        </w:tc>
        <w:tc>
          <w:tcPr>
            <w:tcW w:w="5137" w:type="dxa"/>
            <w:tcMar>
              <w:top w:w="58" w:type="dxa"/>
              <w:left w:w="130" w:type="dxa"/>
              <w:bottom w:w="58" w:type="dxa"/>
              <w:right w:w="115" w:type="dxa"/>
            </w:tcMar>
            <w:vAlign w:val="center"/>
          </w:tcPr>
          <w:p w14:paraId="32E6CD42" w14:textId="77777777" w:rsidR="007263DD" w:rsidRPr="00727041" w:rsidRDefault="007263DD" w:rsidP="00EC490B">
            <w:pPr>
              <w:rPr>
                <w:rFonts w:ascii="Arial" w:hAnsi="Arial" w:cs="Arial"/>
                <w:sz w:val="18"/>
                <w:szCs w:val="18"/>
              </w:rPr>
            </w:pPr>
            <w:r>
              <w:rPr>
                <w:rFonts w:ascii="Arial" w:hAnsi="Arial" w:cs="Arial"/>
                <w:sz w:val="18"/>
                <w:szCs w:val="18"/>
              </w:rPr>
              <w:t>Local</w:t>
            </w:r>
          </w:p>
        </w:tc>
        <w:tc>
          <w:tcPr>
            <w:tcW w:w="8633" w:type="dxa"/>
            <w:tcMar>
              <w:top w:w="58" w:type="dxa"/>
              <w:left w:w="130" w:type="dxa"/>
              <w:bottom w:w="58" w:type="dxa"/>
              <w:right w:w="115" w:type="dxa"/>
            </w:tcMar>
            <w:vAlign w:val="center"/>
          </w:tcPr>
          <w:p w14:paraId="5B5D23C8" w14:textId="77777777" w:rsidR="007263DD" w:rsidRPr="00727041" w:rsidRDefault="007263DD" w:rsidP="001421B0">
            <w:pPr>
              <w:rPr>
                <w:rFonts w:ascii="Arial" w:hAnsi="Arial" w:cs="Arial"/>
                <w:sz w:val="18"/>
                <w:szCs w:val="18"/>
              </w:rPr>
            </w:pPr>
          </w:p>
        </w:tc>
      </w:tr>
      <w:tr w:rsidR="007263DD" w:rsidRPr="00727041" w14:paraId="64868DFF" w14:textId="77777777" w:rsidTr="008D69BD">
        <w:trPr>
          <w:cantSplit/>
        </w:trPr>
        <w:tc>
          <w:tcPr>
            <w:tcW w:w="540" w:type="dxa"/>
            <w:gridSpan w:val="2"/>
            <w:tcMar>
              <w:top w:w="58" w:type="dxa"/>
              <w:left w:w="130" w:type="dxa"/>
              <w:bottom w:w="58" w:type="dxa"/>
              <w:right w:w="115" w:type="dxa"/>
            </w:tcMar>
            <w:vAlign w:val="center"/>
          </w:tcPr>
          <w:p w14:paraId="748ED3BD" w14:textId="77777777" w:rsidR="007263DD" w:rsidRPr="00727041" w:rsidRDefault="007263DD" w:rsidP="00EC490B">
            <w:pPr>
              <w:rPr>
                <w:rFonts w:ascii="Arial" w:hAnsi="Arial" w:cs="Arial"/>
                <w:sz w:val="18"/>
                <w:szCs w:val="18"/>
              </w:rPr>
            </w:pPr>
          </w:p>
        </w:tc>
        <w:tc>
          <w:tcPr>
            <w:tcW w:w="5137" w:type="dxa"/>
            <w:tcMar>
              <w:top w:w="58" w:type="dxa"/>
              <w:left w:w="130" w:type="dxa"/>
              <w:bottom w:w="58" w:type="dxa"/>
              <w:right w:w="115" w:type="dxa"/>
            </w:tcMar>
            <w:vAlign w:val="center"/>
          </w:tcPr>
          <w:p w14:paraId="265E022E" w14:textId="77777777" w:rsidR="007263DD" w:rsidRPr="00727041" w:rsidRDefault="007263DD" w:rsidP="00EC490B">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7F8676C0" w14:textId="77777777" w:rsidR="007263DD" w:rsidRPr="00727041" w:rsidRDefault="007263DD" w:rsidP="001421B0">
            <w:pPr>
              <w:rPr>
                <w:rFonts w:ascii="Arial" w:hAnsi="Arial" w:cs="Arial"/>
                <w:sz w:val="18"/>
                <w:szCs w:val="18"/>
              </w:rPr>
            </w:pPr>
          </w:p>
        </w:tc>
      </w:tr>
      <w:tr w:rsidR="007263DD" w:rsidRPr="00727041" w14:paraId="253617BD" w14:textId="77777777" w:rsidTr="008D69BD">
        <w:trPr>
          <w:cantSplit/>
        </w:trPr>
        <w:tc>
          <w:tcPr>
            <w:tcW w:w="5677" w:type="dxa"/>
            <w:gridSpan w:val="3"/>
            <w:tcMar>
              <w:top w:w="58" w:type="dxa"/>
              <w:left w:w="130" w:type="dxa"/>
              <w:bottom w:w="58" w:type="dxa"/>
              <w:right w:w="115" w:type="dxa"/>
            </w:tcMar>
            <w:vAlign w:val="center"/>
          </w:tcPr>
          <w:p w14:paraId="19025F5C" w14:textId="77777777" w:rsidR="007263DD" w:rsidRDefault="007263DD" w:rsidP="0010289F">
            <w:pPr>
              <w:rPr>
                <w:rFonts w:ascii="Arial" w:hAnsi="Arial" w:cs="Arial"/>
                <w:sz w:val="18"/>
                <w:szCs w:val="18"/>
              </w:rPr>
            </w:pPr>
            <w:r>
              <w:rPr>
                <w:rFonts w:ascii="Arial" w:hAnsi="Arial" w:cs="Arial"/>
                <w:sz w:val="18"/>
                <w:szCs w:val="18"/>
              </w:rPr>
              <w:t>Identify potential immunities, liability protections, and defenses for the potential constitutional bases for liability identified above:</w:t>
            </w:r>
          </w:p>
        </w:tc>
        <w:tc>
          <w:tcPr>
            <w:tcW w:w="8633" w:type="dxa"/>
            <w:tcMar>
              <w:top w:w="58" w:type="dxa"/>
              <w:left w:w="130" w:type="dxa"/>
              <w:bottom w:w="58" w:type="dxa"/>
              <w:right w:w="115" w:type="dxa"/>
            </w:tcMar>
            <w:vAlign w:val="center"/>
          </w:tcPr>
          <w:p w14:paraId="0B10F93C" w14:textId="77777777" w:rsidR="007263DD" w:rsidRPr="00727041" w:rsidRDefault="007263DD" w:rsidP="001421B0">
            <w:pPr>
              <w:rPr>
                <w:rFonts w:ascii="Arial" w:hAnsi="Arial" w:cs="Arial"/>
                <w:sz w:val="18"/>
                <w:szCs w:val="18"/>
              </w:rPr>
            </w:pPr>
          </w:p>
        </w:tc>
      </w:tr>
      <w:tr w:rsidR="007263DD" w:rsidRPr="00727041" w14:paraId="40CC8243" w14:textId="77777777" w:rsidTr="008D69BD">
        <w:trPr>
          <w:cantSplit/>
        </w:trPr>
        <w:tc>
          <w:tcPr>
            <w:tcW w:w="540" w:type="dxa"/>
            <w:gridSpan w:val="2"/>
            <w:tcMar>
              <w:top w:w="58" w:type="dxa"/>
              <w:left w:w="130" w:type="dxa"/>
              <w:bottom w:w="58" w:type="dxa"/>
              <w:right w:w="115" w:type="dxa"/>
            </w:tcMar>
            <w:vAlign w:val="center"/>
          </w:tcPr>
          <w:p w14:paraId="27397631" w14:textId="77777777" w:rsidR="007263DD" w:rsidRPr="00727041" w:rsidRDefault="007263DD" w:rsidP="00EC490B">
            <w:pPr>
              <w:rPr>
                <w:rFonts w:ascii="Arial" w:hAnsi="Arial" w:cs="Arial"/>
                <w:sz w:val="18"/>
                <w:szCs w:val="18"/>
              </w:rPr>
            </w:pPr>
          </w:p>
        </w:tc>
        <w:tc>
          <w:tcPr>
            <w:tcW w:w="5137" w:type="dxa"/>
            <w:tcMar>
              <w:top w:w="58" w:type="dxa"/>
              <w:left w:w="130" w:type="dxa"/>
              <w:bottom w:w="58" w:type="dxa"/>
              <w:right w:w="115" w:type="dxa"/>
            </w:tcMar>
            <w:vAlign w:val="center"/>
          </w:tcPr>
          <w:p w14:paraId="6278090B" w14:textId="77777777" w:rsidR="007263DD" w:rsidRDefault="007263DD" w:rsidP="00EC490B">
            <w:pPr>
              <w:rPr>
                <w:rFonts w:ascii="Arial" w:hAnsi="Arial" w:cs="Arial"/>
                <w:sz w:val="18"/>
                <w:szCs w:val="18"/>
              </w:rPr>
            </w:pPr>
            <w:r>
              <w:rPr>
                <w:rFonts w:ascii="Arial" w:hAnsi="Arial" w:cs="Arial"/>
                <w:sz w:val="18"/>
                <w:szCs w:val="18"/>
              </w:rPr>
              <w:t>Federal</w:t>
            </w:r>
          </w:p>
        </w:tc>
        <w:tc>
          <w:tcPr>
            <w:tcW w:w="8633" w:type="dxa"/>
            <w:tcMar>
              <w:top w:w="58" w:type="dxa"/>
              <w:left w:w="130" w:type="dxa"/>
              <w:bottom w:w="58" w:type="dxa"/>
              <w:right w:w="115" w:type="dxa"/>
            </w:tcMar>
            <w:vAlign w:val="center"/>
          </w:tcPr>
          <w:p w14:paraId="31FFE3A2" w14:textId="77777777" w:rsidR="007263DD" w:rsidRPr="00727041" w:rsidRDefault="007263DD" w:rsidP="001421B0">
            <w:pPr>
              <w:rPr>
                <w:rFonts w:ascii="Arial" w:hAnsi="Arial" w:cs="Arial"/>
                <w:sz w:val="18"/>
                <w:szCs w:val="18"/>
              </w:rPr>
            </w:pPr>
          </w:p>
        </w:tc>
      </w:tr>
      <w:tr w:rsidR="007263DD" w:rsidRPr="00727041" w14:paraId="5753CD2B" w14:textId="77777777" w:rsidTr="008D69BD">
        <w:trPr>
          <w:cantSplit/>
        </w:trPr>
        <w:tc>
          <w:tcPr>
            <w:tcW w:w="540" w:type="dxa"/>
            <w:gridSpan w:val="2"/>
            <w:tcMar>
              <w:top w:w="58" w:type="dxa"/>
              <w:left w:w="130" w:type="dxa"/>
              <w:bottom w:w="58" w:type="dxa"/>
              <w:right w:w="115" w:type="dxa"/>
            </w:tcMar>
            <w:vAlign w:val="center"/>
          </w:tcPr>
          <w:p w14:paraId="00AE17F7" w14:textId="77777777" w:rsidR="007263DD" w:rsidRPr="00727041" w:rsidRDefault="007263DD" w:rsidP="00EC490B">
            <w:pPr>
              <w:rPr>
                <w:rFonts w:ascii="Arial" w:hAnsi="Arial" w:cs="Arial"/>
                <w:sz w:val="18"/>
                <w:szCs w:val="18"/>
              </w:rPr>
            </w:pPr>
          </w:p>
        </w:tc>
        <w:tc>
          <w:tcPr>
            <w:tcW w:w="5137" w:type="dxa"/>
            <w:tcMar>
              <w:top w:w="58" w:type="dxa"/>
              <w:left w:w="130" w:type="dxa"/>
              <w:bottom w:w="58" w:type="dxa"/>
              <w:right w:w="115" w:type="dxa"/>
            </w:tcMar>
            <w:vAlign w:val="center"/>
          </w:tcPr>
          <w:p w14:paraId="31DA071E" w14:textId="77777777" w:rsidR="007263DD" w:rsidRDefault="007263DD" w:rsidP="00EC490B">
            <w:pPr>
              <w:rPr>
                <w:rFonts w:ascii="Arial" w:hAnsi="Arial" w:cs="Arial"/>
                <w:sz w:val="18"/>
                <w:szCs w:val="18"/>
              </w:rPr>
            </w:pPr>
            <w:r>
              <w:rPr>
                <w:rFonts w:ascii="Arial" w:hAnsi="Arial" w:cs="Arial"/>
                <w:sz w:val="18"/>
                <w:szCs w:val="18"/>
              </w:rPr>
              <w:t>State</w:t>
            </w:r>
          </w:p>
        </w:tc>
        <w:tc>
          <w:tcPr>
            <w:tcW w:w="8633" w:type="dxa"/>
            <w:tcMar>
              <w:top w:w="58" w:type="dxa"/>
              <w:left w:w="130" w:type="dxa"/>
              <w:bottom w:w="58" w:type="dxa"/>
              <w:right w:w="115" w:type="dxa"/>
            </w:tcMar>
            <w:vAlign w:val="center"/>
          </w:tcPr>
          <w:p w14:paraId="144FE012" w14:textId="77777777" w:rsidR="007263DD" w:rsidRPr="00727041" w:rsidRDefault="007263DD" w:rsidP="001421B0">
            <w:pPr>
              <w:rPr>
                <w:rFonts w:ascii="Arial" w:hAnsi="Arial" w:cs="Arial"/>
                <w:sz w:val="18"/>
                <w:szCs w:val="18"/>
              </w:rPr>
            </w:pPr>
          </w:p>
        </w:tc>
      </w:tr>
      <w:tr w:rsidR="007263DD" w:rsidRPr="00727041" w14:paraId="5DC5B51B" w14:textId="77777777" w:rsidTr="008D69BD">
        <w:trPr>
          <w:cantSplit/>
        </w:trPr>
        <w:tc>
          <w:tcPr>
            <w:tcW w:w="5677" w:type="dxa"/>
            <w:gridSpan w:val="3"/>
            <w:tcMar>
              <w:top w:w="58" w:type="dxa"/>
              <w:left w:w="130" w:type="dxa"/>
              <w:bottom w:w="58" w:type="dxa"/>
              <w:right w:w="115" w:type="dxa"/>
            </w:tcMar>
            <w:vAlign w:val="center"/>
          </w:tcPr>
          <w:p w14:paraId="44F2DCC6" w14:textId="77777777" w:rsidR="007263DD" w:rsidRPr="00727041" w:rsidRDefault="007263DD" w:rsidP="00EC490B">
            <w:pPr>
              <w:rPr>
                <w:rFonts w:ascii="Arial" w:hAnsi="Arial" w:cs="Arial"/>
                <w:sz w:val="18"/>
                <w:szCs w:val="18"/>
              </w:rPr>
            </w:pPr>
            <w:r>
              <w:rPr>
                <w:rFonts w:ascii="Arial" w:hAnsi="Arial" w:cs="Arial"/>
                <w:sz w:val="18"/>
                <w:szCs w:val="18"/>
              </w:rPr>
              <w:t>Identify potential immunities, liability protections, and defenses for the potential criminal bases for liability identified above:</w:t>
            </w:r>
          </w:p>
        </w:tc>
        <w:tc>
          <w:tcPr>
            <w:tcW w:w="8633" w:type="dxa"/>
            <w:tcMar>
              <w:top w:w="58" w:type="dxa"/>
              <w:left w:w="130" w:type="dxa"/>
              <w:bottom w:w="58" w:type="dxa"/>
              <w:right w:w="115" w:type="dxa"/>
            </w:tcMar>
            <w:vAlign w:val="center"/>
          </w:tcPr>
          <w:p w14:paraId="340C7A89" w14:textId="77777777" w:rsidR="007263DD" w:rsidRPr="00727041" w:rsidRDefault="007263DD" w:rsidP="001421B0">
            <w:pPr>
              <w:rPr>
                <w:rFonts w:ascii="Arial" w:hAnsi="Arial" w:cs="Arial"/>
                <w:sz w:val="18"/>
                <w:szCs w:val="18"/>
              </w:rPr>
            </w:pPr>
          </w:p>
        </w:tc>
      </w:tr>
      <w:tr w:rsidR="007263DD" w:rsidRPr="00727041" w14:paraId="20108870" w14:textId="77777777" w:rsidTr="008D69BD">
        <w:trPr>
          <w:cantSplit/>
        </w:trPr>
        <w:tc>
          <w:tcPr>
            <w:tcW w:w="540" w:type="dxa"/>
            <w:gridSpan w:val="2"/>
            <w:tcMar>
              <w:top w:w="58" w:type="dxa"/>
              <w:left w:w="130" w:type="dxa"/>
              <w:bottom w:w="58" w:type="dxa"/>
              <w:right w:w="115" w:type="dxa"/>
            </w:tcMar>
            <w:vAlign w:val="center"/>
          </w:tcPr>
          <w:p w14:paraId="04C1B6C3" w14:textId="77777777" w:rsidR="007263DD" w:rsidRDefault="007263DD" w:rsidP="0010289F">
            <w:pPr>
              <w:rPr>
                <w:rFonts w:ascii="Arial" w:hAnsi="Arial" w:cs="Arial"/>
                <w:sz w:val="18"/>
                <w:szCs w:val="18"/>
              </w:rPr>
            </w:pPr>
          </w:p>
        </w:tc>
        <w:tc>
          <w:tcPr>
            <w:tcW w:w="5137" w:type="dxa"/>
            <w:vAlign w:val="center"/>
          </w:tcPr>
          <w:p w14:paraId="168D042D" w14:textId="77777777" w:rsidR="007263DD" w:rsidRPr="00727041" w:rsidRDefault="007263DD" w:rsidP="00EC490B">
            <w:pPr>
              <w:rPr>
                <w:rFonts w:ascii="Arial" w:hAnsi="Arial" w:cs="Arial"/>
                <w:sz w:val="18"/>
                <w:szCs w:val="18"/>
              </w:rPr>
            </w:pPr>
            <w:r>
              <w:rPr>
                <w:rFonts w:ascii="Arial" w:hAnsi="Arial" w:cs="Arial"/>
                <w:sz w:val="18"/>
                <w:szCs w:val="18"/>
              </w:rPr>
              <w:t>Federal</w:t>
            </w:r>
          </w:p>
        </w:tc>
        <w:tc>
          <w:tcPr>
            <w:tcW w:w="8633" w:type="dxa"/>
            <w:tcMar>
              <w:top w:w="58" w:type="dxa"/>
              <w:left w:w="130" w:type="dxa"/>
              <w:bottom w:w="58" w:type="dxa"/>
              <w:right w:w="115" w:type="dxa"/>
            </w:tcMar>
            <w:vAlign w:val="center"/>
          </w:tcPr>
          <w:p w14:paraId="3AE5E1B4" w14:textId="77777777" w:rsidR="007263DD" w:rsidRPr="00727041" w:rsidRDefault="007263DD" w:rsidP="001421B0">
            <w:pPr>
              <w:rPr>
                <w:rFonts w:ascii="Arial" w:hAnsi="Arial" w:cs="Arial"/>
                <w:sz w:val="18"/>
                <w:szCs w:val="18"/>
              </w:rPr>
            </w:pPr>
          </w:p>
        </w:tc>
      </w:tr>
      <w:tr w:rsidR="007263DD" w:rsidRPr="00727041" w14:paraId="736A4D7D" w14:textId="77777777" w:rsidTr="008D69BD">
        <w:trPr>
          <w:cantSplit/>
        </w:trPr>
        <w:tc>
          <w:tcPr>
            <w:tcW w:w="540" w:type="dxa"/>
            <w:gridSpan w:val="2"/>
            <w:tcMar>
              <w:top w:w="58" w:type="dxa"/>
              <w:left w:w="130" w:type="dxa"/>
              <w:bottom w:w="58" w:type="dxa"/>
              <w:right w:w="115" w:type="dxa"/>
            </w:tcMar>
            <w:vAlign w:val="center"/>
          </w:tcPr>
          <w:p w14:paraId="354F068E" w14:textId="77777777" w:rsidR="007263DD" w:rsidRDefault="007263DD" w:rsidP="0010289F">
            <w:pPr>
              <w:rPr>
                <w:rFonts w:ascii="Arial" w:hAnsi="Arial" w:cs="Arial"/>
                <w:sz w:val="18"/>
                <w:szCs w:val="18"/>
              </w:rPr>
            </w:pPr>
          </w:p>
        </w:tc>
        <w:tc>
          <w:tcPr>
            <w:tcW w:w="5137" w:type="dxa"/>
            <w:vAlign w:val="center"/>
          </w:tcPr>
          <w:p w14:paraId="33BB5592" w14:textId="77777777" w:rsidR="007263DD" w:rsidRPr="00727041" w:rsidRDefault="007263DD" w:rsidP="00EC490B">
            <w:pPr>
              <w:rPr>
                <w:rFonts w:ascii="Arial" w:hAnsi="Arial" w:cs="Arial"/>
                <w:sz w:val="18"/>
                <w:szCs w:val="18"/>
              </w:rPr>
            </w:pPr>
            <w:r>
              <w:rPr>
                <w:rFonts w:ascii="Arial" w:hAnsi="Arial" w:cs="Arial"/>
                <w:sz w:val="18"/>
                <w:szCs w:val="18"/>
              </w:rPr>
              <w:t>State</w:t>
            </w:r>
          </w:p>
        </w:tc>
        <w:tc>
          <w:tcPr>
            <w:tcW w:w="8633" w:type="dxa"/>
            <w:tcMar>
              <w:top w:w="58" w:type="dxa"/>
              <w:left w:w="130" w:type="dxa"/>
              <w:bottom w:w="58" w:type="dxa"/>
              <w:right w:w="115" w:type="dxa"/>
            </w:tcMar>
            <w:vAlign w:val="center"/>
          </w:tcPr>
          <w:p w14:paraId="34CE8FAA" w14:textId="77777777" w:rsidR="007263DD" w:rsidRPr="00727041" w:rsidRDefault="007263DD" w:rsidP="001421B0">
            <w:pPr>
              <w:rPr>
                <w:rFonts w:ascii="Arial" w:hAnsi="Arial" w:cs="Arial"/>
                <w:sz w:val="18"/>
                <w:szCs w:val="18"/>
              </w:rPr>
            </w:pPr>
          </w:p>
        </w:tc>
      </w:tr>
      <w:tr w:rsidR="007263DD" w:rsidRPr="00727041" w14:paraId="5279BA56" w14:textId="77777777" w:rsidTr="008D69BD">
        <w:trPr>
          <w:cantSplit/>
        </w:trPr>
        <w:tc>
          <w:tcPr>
            <w:tcW w:w="540" w:type="dxa"/>
            <w:gridSpan w:val="2"/>
            <w:tcMar>
              <w:top w:w="58" w:type="dxa"/>
              <w:left w:w="130" w:type="dxa"/>
              <w:bottom w:w="58" w:type="dxa"/>
              <w:right w:w="115" w:type="dxa"/>
            </w:tcMar>
            <w:vAlign w:val="center"/>
          </w:tcPr>
          <w:p w14:paraId="502BA15B" w14:textId="77777777" w:rsidR="007263DD" w:rsidRDefault="007263DD" w:rsidP="0010289F">
            <w:pPr>
              <w:rPr>
                <w:rFonts w:ascii="Arial" w:hAnsi="Arial" w:cs="Arial"/>
                <w:sz w:val="18"/>
                <w:szCs w:val="18"/>
              </w:rPr>
            </w:pPr>
          </w:p>
        </w:tc>
        <w:tc>
          <w:tcPr>
            <w:tcW w:w="5137" w:type="dxa"/>
            <w:vAlign w:val="center"/>
          </w:tcPr>
          <w:p w14:paraId="34D9FE18" w14:textId="77777777" w:rsidR="007263DD" w:rsidRPr="00727041" w:rsidRDefault="007263DD" w:rsidP="00EC490B">
            <w:pPr>
              <w:rPr>
                <w:rFonts w:ascii="Arial" w:hAnsi="Arial" w:cs="Arial"/>
                <w:sz w:val="18"/>
                <w:szCs w:val="18"/>
              </w:rPr>
            </w:pPr>
            <w:r>
              <w:rPr>
                <w:rFonts w:ascii="Arial" w:hAnsi="Arial" w:cs="Arial"/>
                <w:sz w:val="18"/>
                <w:szCs w:val="18"/>
              </w:rPr>
              <w:t>Local</w:t>
            </w:r>
          </w:p>
        </w:tc>
        <w:tc>
          <w:tcPr>
            <w:tcW w:w="8633" w:type="dxa"/>
            <w:tcMar>
              <w:top w:w="58" w:type="dxa"/>
              <w:left w:w="130" w:type="dxa"/>
              <w:bottom w:w="58" w:type="dxa"/>
              <w:right w:w="115" w:type="dxa"/>
            </w:tcMar>
            <w:vAlign w:val="center"/>
          </w:tcPr>
          <w:p w14:paraId="29F5B6FC" w14:textId="77777777" w:rsidR="007263DD" w:rsidRPr="00727041" w:rsidRDefault="007263DD" w:rsidP="001421B0">
            <w:pPr>
              <w:rPr>
                <w:rFonts w:ascii="Arial" w:hAnsi="Arial" w:cs="Arial"/>
                <w:sz w:val="18"/>
                <w:szCs w:val="18"/>
              </w:rPr>
            </w:pPr>
          </w:p>
        </w:tc>
      </w:tr>
      <w:tr w:rsidR="007263DD" w:rsidRPr="00727041" w14:paraId="792F585A" w14:textId="77777777" w:rsidTr="008D69BD">
        <w:trPr>
          <w:cantSplit/>
        </w:trPr>
        <w:tc>
          <w:tcPr>
            <w:tcW w:w="540" w:type="dxa"/>
            <w:gridSpan w:val="2"/>
            <w:tcMar>
              <w:top w:w="58" w:type="dxa"/>
              <w:left w:w="130" w:type="dxa"/>
              <w:bottom w:w="58" w:type="dxa"/>
              <w:right w:w="115" w:type="dxa"/>
            </w:tcMar>
            <w:vAlign w:val="center"/>
          </w:tcPr>
          <w:p w14:paraId="22EE5873" w14:textId="77777777" w:rsidR="007263DD" w:rsidRDefault="007263DD" w:rsidP="0010289F">
            <w:pPr>
              <w:rPr>
                <w:rFonts w:ascii="Arial" w:hAnsi="Arial" w:cs="Arial"/>
                <w:sz w:val="18"/>
                <w:szCs w:val="18"/>
              </w:rPr>
            </w:pPr>
          </w:p>
        </w:tc>
        <w:tc>
          <w:tcPr>
            <w:tcW w:w="5137" w:type="dxa"/>
            <w:vAlign w:val="center"/>
          </w:tcPr>
          <w:p w14:paraId="2CC3FA23" w14:textId="77777777" w:rsidR="007263DD" w:rsidRPr="00727041" w:rsidRDefault="007263DD" w:rsidP="00EC490B">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755FD9B1" w14:textId="77777777" w:rsidR="007263DD" w:rsidRPr="00727041" w:rsidRDefault="007263DD" w:rsidP="001421B0">
            <w:pPr>
              <w:rPr>
                <w:rFonts w:ascii="Arial" w:hAnsi="Arial" w:cs="Arial"/>
                <w:sz w:val="18"/>
                <w:szCs w:val="18"/>
              </w:rPr>
            </w:pPr>
          </w:p>
        </w:tc>
      </w:tr>
      <w:tr w:rsidR="007263DD" w:rsidRPr="00727041" w14:paraId="254622B3" w14:textId="77777777" w:rsidTr="001A1974">
        <w:trPr>
          <w:cantSplit/>
          <w:trHeight w:val="439"/>
        </w:trPr>
        <w:tc>
          <w:tcPr>
            <w:tcW w:w="14310" w:type="dxa"/>
            <w:gridSpan w:val="4"/>
            <w:shd w:val="clear" w:color="auto" w:fill="F2F2F2" w:themeFill="background1" w:themeFillShade="F2"/>
            <w:tcMar>
              <w:top w:w="58" w:type="dxa"/>
              <w:left w:w="130" w:type="dxa"/>
              <w:bottom w:w="58" w:type="dxa"/>
              <w:right w:w="115" w:type="dxa"/>
            </w:tcMar>
            <w:vAlign w:val="center"/>
          </w:tcPr>
          <w:p w14:paraId="285D7B0B" w14:textId="77777777" w:rsidR="007263DD" w:rsidRPr="0069626C" w:rsidRDefault="007263DD" w:rsidP="001A1974">
            <w:pPr>
              <w:rPr>
                <w:rFonts w:ascii="Arial" w:hAnsi="Arial" w:cs="Arial"/>
                <w:b/>
                <w:sz w:val="18"/>
                <w:szCs w:val="18"/>
              </w:rPr>
            </w:pPr>
            <w:r w:rsidRPr="001A1974">
              <w:rPr>
                <w:rFonts w:ascii="Arial" w:hAnsi="Arial" w:cs="Arial"/>
                <w:b/>
                <w:sz w:val="20"/>
                <w:szCs w:val="18"/>
              </w:rPr>
              <w:t>Workers</w:t>
            </w:r>
            <w:r>
              <w:rPr>
                <w:rFonts w:ascii="Arial" w:hAnsi="Arial" w:cs="Arial"/>
                <w:b/>
                <w:sz w:val="20"/>
                <w:szCs w:val="18"/>
              </w:rPr>
              <w:t>’</w:t>
            </w:r>
            <w:r w:rsidRPr="001A1974">
              <w:rPr>
                <w:rFonts w:ascii="Arial" w:hAnsi="Arial" w:cs="Arial"/>
                <w:b/>
                <w:sz w:val="20"/>
                <w:szCs w:val="18"/>
              </w:rPr>
              <w:t xml:space="preserve"> Compensation Issues</w:t>
            </w:r>
          </w:p>
        </w:tc>
      </w:tr>
      <w:tr w:rsidR="007263DD" w:rsidRPr="00727041" w14:paraId="713A94EE" w14:textId="77777777" w:rsidTr="008D69BD">
        <w:trPr>
          <w:cantSplit/>
        </w:trPr>
        <w:tc>
          <w:tcPr>
            <w:tcW w:w="5677" w:type="dxa"/>
            <w:gridSpan w:val="3"/>
            <w:tcMar>
              <w:top w:w="58" w:type="dxa"/>
              <w:left w:w="130" w:type="dxa"/>
              <w:bottom w:w="58" w:type="dxa"/>
              <w:right w:w="115" w:type="dxa"/>
            </w:tcMar>
            <w:vAlign w:val="center"/>
          </w:tcPr>
          <w:p w14:paraId="0EADEE5E" w14:textId="77777777" w:rsidR="007263DD" w:rsidRPr="00727041" w:rsidRDefault="007263DD" w:rsidP="000D7A7E">
            <w:pPr>
              <w:rPr>
                <w:rFonts w:ascii="Arial" w:hAnsi="Arial" w:cs="Arial"/>
                <w:sz w:val="18"/>
                <w:szCs w:val="18"/>
              </w:rPr>
            </w:pPr>
            <w:r>
              <w:rPr>
                <w:rFonts w:ascii="Arial" w:hAnsi="Arial" w:cs="Arial"/>
                <w:sz w:val="18"/>
                <w:szCs w:val="18"/>
              </w:rPr>
              <w:t>Identify your state's workers’ compensation laws and analyze for the following:</w:t>
            </w:r>
          </w:p>
        </w:tc>
        <w:tc>
          <w:tcPr>
            <w:tcW w:w="8633" w:type="dxa"/>
            <w:tcMar>
              <w:top w:w="58" w:type="dxa"/>
              <w:left w:w="130" w:type="dxa"/>
              <w:bottom w:w="58" w:type="dxa"/>
              <w:right w:w="115" w:type="dxa"/>
            </w:tcMar>
            <w:vAlign w:val="center"/>
          </w:tcPr>
          <w:p w14:paraId="419E4E9C" w14:textId="77777777" w:rsidR="007263DD" w:rsidRPr="00727041" w:rsidRDefault="007263DD" w:rsidP="001421B0">
            <w:pPr>
              <w:rPr>
                <w:rFonts w:ascii="Arial" w:hAnsi="Arial" w:cs="Arial"/>
                <w:sz w:val="18"/>
                <w:szCs w:val="18"/>
              </w:rPr>
            </w:pPr>
          </w:p>
        </w:tc>
      </w:tr>
      <w:tr w:rsidR="007263DD" w:rsidRPr="00727041" w14:paraId="3083EB2E" w14:textId="77777777" w:rsidTr="008D69BD">
        <w:trPr>
          <w:cantSplit/>
        </w:trPr>
        <w:tc>
          <w:tcPr>
            <w:tcW w:w="540" w:type="dxa"/>
            <w:gridSpan w:val="2"/>
            <w:tcMar>
              <w:top w:w="58" w:type="dxa"/>
              <w:left w:w="130" w:type="dxa"/>
              <w:bottom w:w="58" w:type="dxa"/>
              <w:right w:w="115" w:type="dxa"/>
            </w:tcMar>
            <w:vAlign w:val="center"/>
          </w:tcPr>
          <w:p w14:paraId="6F705BA1"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4478225A" w14:textId="77777777" w:rsidR="007263DD" w:rsidRPr="00727041" w:rsidRDefault="007263DD" w:rsidP="0069626C">
            <w:pPr>
              <w:rPr>
                <w:rFonts w:ascii="Arial" w:hAnsi="Arial" w:cs="Arial"/>
                <w:sz w:val="18"/>
                <w:szCs w:val="18"/>
              </w:rPr>
            </w:pPr>
            <w:r>
              <w:rPr>
                <w:rFonts w:ascii="Arial" w:hAnsi="Arial" w:cs="Arial"/>
                <w:sz w:val="18"/>
                <w:szCs w:val="18"/>
              </w:rPr>
              <w:t>Persons eligible for coverage (employees, volunteers and other non-employees, etc.)</w:t>
            </w:r>
          </w:p>
        </w:tc>
        <w:tc>
          <w:tcPr>
            <w:tcW w:w="8633" w:type="dxa"/>
            <w:tcMar>
              <w:top w:w="58" w:type="dxa"/>
              <w:left w:w="130" w:type="dxa"/>
              <w:bottom w:w="58" w:type="dxa"/>
              <w:right w:w="115" w:type="dxa"/>
            </w:tcMar>
            <w:vAlign w:val="center"/>
          </w:tcPr>
          <w:p w14:paraId="4FCAC211" w14:textId="77777777" w:rsidR="007263DD" w:rsidRPr="00727041" w:rsidRDefault="007263DD" w:rsidP="001421B0">
            <w:pPr>
              <w:rPr>
                <w:rFonts w:ascii="Arial" w:hAnsi="Arial" w:cs="Arial"/>
                <w:sz w:val="18"/>
                <w:szCs w:val="18"/>
              </w:rPr>
            </w:pPr>
          </w:p>
        </w:tc>
      </w:tr>
      <w:tr w:rsidR="007263DD" w:rsidRPr="00727041" w14:paraId="093D27F3" w14:textId="77777777" w:rsidTr="008D69BD">
        <w:trPr>
          <w:cantSplit/>
        </w:trPr>
        <w:tc>
          <w:tcPr>
            <w:tcW w:w="540" w:type="dxa"/>
            <w:gridSpan w:val="2"/>
            <w:tcMar>
              <w:top w:w="58" w:type="dxa"/>
              <w:left w:w="130" w:type="dxa"/>
              <w:bottom w:w="58" w:type="dxa"/>
              <w:right w:w="115" w:type="dxa"/>
            </w:tcMar>
            <w:vAlign w:val="center"/>
          </w:tcPr>
          <w:p w14:paraId="4FE217DB"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2FBA05B9" w14:textId="77777777" w:rsidR="007263DD" w:rsidRPr="00727041" w:rsidRDefault="007263DD" w:rsidP="000D7A7E">
            <w:pPr>
              <w:rPr>
                <w:rFonts w:ascii="Arial" w:hAnsi="Arial" w:cs="Arial"/>
                <w:sz w:val="18"/>
                <w:szCs w:val="18"/>
              </w:rPr>
            </w:pPr>
            <w:r>
              <w:rPr>
                <w:rFonts w:ascii="Arial" w:hAnsi="Arial" w:cs="Arial"/>
                <w:sz w:val="18"/>
                <w:szCs w:val="18"/>
              </w:rPr>
              <w:t>Definitions for employee</w:t>
            </w:r>
          </w:p>
        </w:tc>
        <w:tc>
          <w:tcPr>
            <w:tcW w:w="8633" w:type="dxa"/>
            <w:tcMar>
              <w:top w:w="58" w:type="dxa"/>
              <w:left w:w="130" w:type="dxa"/>
              <w:bottom w:w="58" w:type="dxa"/>
              <w:right w:w="115" w:type="dxa"/>
            </w:tcMar>
            <w:vAlign w:val="center"/>
          </w:tcPr>
          <w:p w14:paraId="0E7A69E5" w14:textId="77777777" w:rsidR="007263DD" w:rsidRPr="00727041" w:rsidRDefault="007263DD" w:rsidP="001421B0">
            <w:pPr>
              <w:rPr>
                <w:rFonts w:ascii="Arial" w:hAnsi="Arial" w:cs="Arial"/>
                <w:sz w:val="18"/>
                <w:szCs w:val="18"/>
              </w:rPr>
            </w:pPr>
          </w:p>
        </w:tc>
      </w:tr>
      <w:tr w:rsidR="007263DD" w:rsidRPr="00727041" w14:paraId="4173C6D1" w14:textId="77777777" w:rsidTr="008D69BD">
        <w:trPr>
          <w:cantSplit/>
        </w:trPr>
        <w:tc>
          <w:tcPr>
            <w:tcW w:w="540" w:type="dxa"/>
            <w:gridSpan w:val="2"/>
            <w:tcMar>
              <w:top w:w="58" w:type="dxa"/>
              <w:left w:w="130" w:type="dxa"/>
              <w:bottom w:w="58" w:type="dxa"/>
              <w:right w:w="115" w:type="dxa"/>
            </w:tcMar>
            <w:vAlign w:val="center"/>
          </w:tcPr>
          <w:p w14:paraId="0A3239C5"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43DEFFA6" w14:textId="77777777" w:rsidR="007263DD" w:rsidRDefault="007263DD" w:rsidP="00267905">
            <w:pPr>
              <w:rPr>
                <w:rFonts w:ascii="Arial" w:hAnsi="Arial" w:cs="Arial"/>
                <w:sz w:val="18"/>
                <w:szCs w:val="18"/>
              </w:rPr>
            </w:pPr>
            <w:r>
              <w:rPr>
                <w:rFonts w:ascii="Arial" w:hAnsi="Arial" w:cs="Arial"/>
                <w:sz w:val="18"/>
                <w:szCs w:val="18"/>
              </w:rPr>
              <w:t>Employers or activities specifically excluded from coverage</w:t>
            </w:r>
          </w:p>
        </w:tc>
        <w:tc>
          <w:tcPr>
            <w:tcW w:w="8633" w:type="dxa"/>
            <w:tcMar>
              <w:top w:w="58" w:type="dxa"/>
              <w:left w:w="130" w:type="dxa"/>
              <w:bottom w:w="58" w:type="dxa"/>
              <w:right w:w="115" w:type="dxa"/>
            </w:tcMar>
            <w:vAlign w:val="center"/>
          </w:tcPr>
          <w:p w14:paraId="5D026F46" w14:textId="77777777" w:rsidR="007263DD" w:rsidRPr="00727041" w:rsidRDefault="007263DD" w:rsidP="001421B0">
            <w:pPr>
              <w:rPr>
                <w:rFonts w:ascii="Arial" w:hAnsi="Arial" w:cs="Arial"/>
                <w:sz w:val="18"/>
                <w:szCs w:val="18"/>
              </w:rPr>
            </w:pPr>
          </w:p>
        </w:tc>
      </w:tr>
      <w:tr w:rsidR="007263DD" w:rsidRPr="00727041" w14:paraId="59C49B9E" w14:textId="77777777" w:rsidTr="008D69BD">
        <w:trPr>
          <w:cantSplit/>
        </w:trPr>
        <w:tc>
          <w:tcPr>
            <w:tcW w:w="540" w:type="dxa"/>
            <w:gridSpan w:val="2"/>
            <w:tcMar>
              <w:top w:w="58" w:type="dxa"/>
              <w:left w:w="130" w:type="dxa"/>
              <w:bottom w:w="58" w:type="dxa"/>
              <w:right w:w="115" w:type="dxa"/>
            </w:tcMar>
            <w:vAlign w:val="center"/>
          </w:tcPr>
          <w:p w14:paraId="119F1978"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1FA0C665" w14:textId="77777777" w:rsidR="007263DD" w:rsidRDefault="007263DD" w:rsidP="00200F44">
            <w:pPr>
              <w:rPr>
                <w:rFonts w:ascii="Arial" w:hAnsi="Arial" w:cs="Arial"/>
                <w:sz w:val="18"/>
                <w:szCs w:val="18"/>
              </w:rPr>
            </w:pPr>
            <w:r>
              <w:rPr>
                <w:rFonts w:ascii="Arial" w:hAnsi="Arial" w:cs="Arial"/>
                <w:sz w:val="18"/>
                <w:szCs w:val="18"/>
              </w:rPr>
              <w:t>Other requirements or restrictions that may impact persons or entities involved in emergency response activities</w:t>
            </w:r>
          </w:p>
        </w:tc>
        <w:tc>
          <w:tcPr>
            <w:tcW w:w="8633" w:type="dxa"/>
            <w:tcMar>
              <w:top w:w="58" w:type="dxa"/>
              <w:left w:w="130" w:type="dxa"/>
              <w:bottom w:w="58" w:type="dxa"/>
              <w:right w:w="115" w:type="dxa"/>
            </w:tcMar>
            <w:vAlign w:val="center"/>
          </w:tcPr>
          <w:p w14:paraId="75E7D433" w14:textId="77777777" w:rsidR="007263DD" w:rsidRPr="00727041" w:rsidRDefault="007263DD" w:rsidP="001421B0">
            <w:pPr>
              <w:rPr>
                <w:rFonts w:ascii="Arial" w:hAnsi="Arial" w:cs="Arial"/>
                <w:sz w:val="18"/>
                <w:szCs w:val="18"/>
              </w:rPr>
            </w:pPr>
          </w:p>
        </w:tc>
      </w:tr>
      <w:tr w:rsidR="007263DD" w:rsidRPr="00727041" w14:paraId="4FCCCBC5" w14:textId="77777777" w:rsidTr="008D69BD">
        <w:trPr>
          <w:cantSplit/>
        </w:trPr>
        <w:tc>
          <w:tcPr>
            <w:tcW w:w="5677" w:type="dxa"/>
            <w:gridSpan w:val="3"/>
            <w:tcMar>
              <w:top w:w="58" w:type="dxa"/>
              <w:left w:w="130" w:type="dxa"/>
              <w:bottom w:w="58" w:type="dxa"/>
              <w:right w:w="115" w:type="dxa"/>
            </w:tcMar>
            <w:vAlign w:val="center"/>
          </w:tcPr>
          <w:p w14:paraId="6692D63C" w14:textId="77777777" w:rsidR="007263DD" w:rsidRPr="00727041" w:rsidRDefault="007263DD" w:rsidP="00E44CD1">
            <w:pPr>
              <w:rPr>
                <w:rFonts w:ascii="Arial" w:hAnsi="Arial" w:cs="Arial"/>
                <w:sz w:val="18"/>
                <w:szCs w:val="18"/>
              </w:rPr>
            </w:pPr>
            <w:r>
              <w:rPr>
                <w:rFonts w:ascii="Arial" w:hAnsi="Arial" w:cs="Arial"/>
                <w:sz w:val="18"/>
                <w:szCs w:val="18"/>
              </w:rPr>
              <w:lastRenderedPageBreak/>
              <w:t>Identify any compensation acts or special funds for specific populations based on occupation, participation in a specific event, or other bases:</w:t>
            </w:r>
          </w:p>
        </w:tc>
        <w:tc>
          <w:tcPr>
            <w:tcW w:w="8633" w:type="dxa"/>
            <w:tcMar>
              <w:top w:w="58" w:type="dxa"/>
              <w:left w:w="130" w:type="dxa"/>
              <w:bottom w:w="58" w:type="dxa"/>
              <w:right w:w="115" w:type="dxa"/>
            </w:tcMar>
            <w:vAlign w:val="center"/>
          </w:tcPr>
          <w:p w14:paraId="2A31B3D5" w14:textId="77777777" w:rsidR="007263DD" w:rsidRPr="00727041" w:rsidRDefault="007263DD" w:rsidP="001421B0">
            <w:pPr>
              <w:rPr>
                <w:rFonts w:ascii="Arial" w:hAnsi="Arial" w:cs="Arial"/>
                <w:sz w:val="18"/>
                <w:szCs w:val="18"/>
              </w:rPr>
            </w:pPr>
          </w:p>
        </w:tc>
      </w:tr>
      <w:tr w:rsidR="007263DD" w:rsidRPr="00727041" w14:paraId="67EF6412" w14:textId="77777777" w:rsidTr="008D69BD">
        <w:trPr>
          <w:cantSplit/>
        </w:trPr>
        <w:tc>
          <w:tcPr>
            <w:tcW w:w="540" w:type="dxa"/>
            <w:gridSpan w:val="2"/>
            <w:tcMar>
              <w:top w:w="58" w:type="dxa"/>
              <w:left w:w="130" w:type="dxa"/>
              <w:bottom w:w="58" w:type="dxa"/>
              <w:right w:w="115" w:type="dxa"/>
            </w:tcMar>
            <w:vAlign w:val="center"/>
          </w:tcPr>
          <w:p w14:paraId="7EB212CA"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1087C180" w14:textId="77777777" w:rsidR="007263DD" w:rsidRPr="00727041" w:rsidRDefault="007263DD" w:rsidP="001421B0">
            <w:pPr>
              <w:rPr>
                <w:rFonts w:ascii="Arial" w:hAnsi="Arial" w:cs="Arial"/>
                <w:sz w:val="18"/>
                <w:szCs w:val="18"/>
              </w:rPr>
            </w:pPr>
            <w:r>
              <w:rPr>
                <w:rFonts w:ascii="Arial" w:hAnsi="Arial" w:cs="Arial"/>
                <w:sz w:val="18"/>
                <w:szCs w:val="18"/>
              </w:rPr>
              <w:t>Federal</w:t>
            </w:r>
          </w:p>
        </w:tc>
        <w:tc>
          <w:tcPr>
            <w:tcW w:w="8633" w:type="dxa"/>
            <w:tcMar>
              <w:top w:w="58" w:type="dxa"/>
              <w:left w:w="130" w:type="dxa"/>
              <w:bottom w:w="58" w:type="dxa"/>
              <w:right w:w="115" w:type="dxa"/>
            </w:tcMar>
            <w:vAlign w:val="center"/>
          </w:tcPr>
          <w:p w14:paraId="4317178D" w14:textId="77777777" w:rsidR="007263DD" w:rsidRPr="00727041" w:rsidRDefault="007263DD" w:rsidP="001421B0">
            <w:pPr>
              <w:rPr>
                <w:rFonts w:ascii="Arial" w:hAnsi="Arial" w:cs="Arial"/>
                <w:sz w:val="18"/>
                <w:szCs w:val="18"/>
              </w:rPr>
            </w:pPr>
          </w:p>
        </w:tc>
      </w:tr>
      <w:tr w:rsidR="007263DD" w:rsidRPr="00727041" w14:paraId="67D753C3" w14:textId="77777777" w:rsidTr="008D69BD">
        <w:trPr>
          <w:cantSplit/>
        </w:trPr>
        <w:tc>
          <w:tcPr>
            <w:tcW w:w="540" w:type="dxa"/>
            <w:gridSpan w:val="2"/>
            <w:tcMar>
              <w:top w:w="58" w:type="dxa"/>
              <w:left w:w="130" w:type="dxa"/>
              <w:bottom w:w="58" w:type="dxa"/>
              <w:right w:w="115" w:type="dxa"/>
            </w:tcMar>
            <w:vAlign w:val="center"/>
          </w:tcPr>
          <w:p w14:paraId="65DEFD4C"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36A848FE" w14:textId="77777777" w:rsidR="007263DD" w:rsidRPr="00727041" w:rsidRDefault="007263DD" w:rsidP="000D7A7E">
            <w:pPr>
              <w:rPr>
                <w:rFonts w:ascii="Arial" w:hAnsi="Arial" w:cs="Arial"/>
                <w:sz w:val="18"/>
                <w:szCs w:val="18"/>
              </w:rPr>
            </w:pPr>
            <w:r>
              <w:rPr>
                <w:rFonts w:ascii="Arial" w:hAnsi="Arial" w:cs="Arial"/>
                <w:sz w:val="18"/>
                <w:szCs w:val="18"/>
              </w:rPr>
              <w:t>State</w:t>
            </w:r>
          </w:p>
        </w:tc>
        <w:tc>
          <w:tcPr>
            <w:tcW w:w="8633" w:type="dxa"/>
            <w:tcMar>
              <w:top w:w="58" w:type="dxa"/>
              <w:left w:w="130" w:type="dxa"/>
              <w:bottom w:w="58" w:type="dxa"/>
              <w:right w:w="115" w:type="dxa"/>
            </w:tcMar>
            <w:vAlign w:val="center"/>
          </w:tcPr>
          <w:p w14:paraId="7104FFD4" w14:textId="77777777" w:rsidR="007263DD" w:rsidRPr="00727041" w:rsidRDefault="007263DD" w:rsidP="001421B0">
            <w:pPr>
              <w:rPr>
                <w:rFonts w:ascii="Arial" w:hAnsi="Arial" w:cs="Arial"/>
                <w:sz w:val="18"/>
                <w:szCs w:val="18"/>
              </w:rPr>
            </w:pPr>
          </w:p>
        </w:tc>
      </w:tr>
      <w:tr w:rsidR="007263DD" w:rsidRPr="00727041" w14:paraId="6A31E116" w14:textId="77777777" w:rsidTr="008D69BD">
        <w:trPr>
          <w:cantSplit/>
        </w:trPr>
        <w:tc>
          <w:tcPr>
            <w:tcW w:w="540" w:type="dxa"/>
            <w:gridSpan w:val="2"/>
            <w:tcMar>
              <w:top w:w="58" w:type="dxa"/>
              <w:left w:w="130" w:type="dxa"/>
              <w:bottom w:w="58" w:type="dxa"/>
              <w:right w:w="115" w:type="dxa"/>
            </w:tcMar>
            <w:vAlign w:val="center"/>
          </w:tcPr>
          <w:p w14:paraId="4AB54179"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269D8C6F" w14:textId="77777777" w:rsidR="007263DD" w:rsidRPr="00727041" w:rsidRDefault="007263DD" w:rsidP="001421B0">
            <w:pPr>
              <w:rPr>
                <w:rFonts w:ascii="Arial" w:hAnsi="Arial" w:cs="Arial"/>
                <w:sz w:val="18"/>
                <w:szCs w:val="18"/>
              </w:rPr>
            </w:pPr>
            <w:r>
              <w:rPr>
                <w:rFonts w:ascii="Arial" w:hAnsi="Arial" w:cs="Arial"/>
                <w:sz w:val="18"/>
                <w:szCs w:val="18"/>
              </w:rPr>
              <w:t>Local</w:t>
            </w:r>
          </w:p>
        </w:tc>
        <w:tc>
          <w:tcPr>
            <w:tcW w:w="8633" w:type="dxa"/>
            <w:tcMar>
              <w:top w:w="58" w:type="dxa"/>
              <w:left w:w="130" w:type="dxa"/>
              <w:bottom w:w="58" w:type="dxa"/>
              <w:right w:w="115" w:type="dxa"/>
            </w:tcMar>
            <w:vAlign w:val="center"/>
          </w:tcPr>
          <w:p w14:paraId="05215120" w14:textId="77777777" w:rsidR="007263DD" w:rsidRPr="00727041" w:rsidRDefault="007263DD" w:rsidP="001421B0">
            <w:pPr>
              <w:rPr>
                <w:rFonts w:ascii="Arial" w:hAnsi="Arial" w:cs="Arial"/>
                <w:sz w:val="18"/>
                <w:szCs w:val="18"/>
              </w:rPr>
            </w:pPr>
          </w:p>
        </w:tc>
      </w:tr>
      <w:tr w:rsidR="007263DD" w:rsidRPr="00727041" w14:paraId="1AF8DAAF" w14:textId="77777777" w:rsidTr="008D69BD">
        <w:trPr>
          <w:cantSplit/>
        </w:trPr>
        <w:tc>
          <w:tcPr>
            <w:tcW w:w="540" w:type="dxa"/>
            <w:gridSpan w:val="2"/>
            <w:tcMar>
              <w:top w:w="58" w:type="dxa"/>
              <w:left w:w="130" w:type="dxa"/>
              <w:bottom w:w="58" w:type="dxa"/>
              <w:right w:w="115" w:type="dxa"/>
            </w:tcMar>
            <w:vAlign w:val="center"/>
          </w:tcPr>
          <w:p w14:paraId="1694E622"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694D515C" w14:textId="77777777" w:rsidR="007263DD" w:rsidRPr="00727041" w:rsidRDefault="007263DD" w:rsidP="001421B0">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56371A4D" w14:textId="77777777" w:rsidR="007263DD" w:rsidRPr="00727041" w:rsidRDefault="007263DD" w:rsidP="001421B0">
            <w:pPr>
              <w:rPr>
                <w:rFonts w:ascii="Arial" w:hAnsi="Arial" w:cs="Arial"/>
                <w:sz w:val="18"/>
                <w:szCs w:val="18"/>
              </w:rPr>
            </w:pPr>
          </w:p>
        </w:tc>
      </w:tr>
      <w:tr w:rsidR="007263DD" w:rsidRPr="00727041" w14:paraId="14E445D8" w14:textId="77777777" w:rsidTr="008D69BD">
        <w:trPr>
          <w:cantSplit/>
        </w:trPr>
        <w:tc>
          <w:tcPr>
            <w:tcW w:w="5677" w:type="dxa"/>
            <w:gridSpan w:val="3"/>
            <w:tcMar>
              <w:top w:w="58" w:type="dxa"/>
              <w:left w:w="130" w:type="dxa"/>
              <w:bottom w:w="58" w:type="dxa"/>
              <w:right w:w="115" w:type="dxa"/>
            </w:tcMar>
            <w:vAlign w:val="center"/>
          </w:tcPr>
          <w:p w14:paraId="57EA35D4" w14:textId="77777777" w:rsidR="007263DD" w:rsidRDefault="007263DD" w:rsidP="0069626C">
            <w:pPr>
              <w:rPr>
                <w:rFonts w:ascii="Arial" w:hAnsi="Arial" w:cs="Arial"/>
                <w:sz w:val="18"/>
                <w:szCs w:val="18"/>
              </w:rPr>
            </w:pPr>
            <w:r>
              <w:rPr>
                <w:rFonts w:ascii="Arial" w:hAnsi="Arial" w:cs="Arial"/>
                <w:sz w:val="18"/>
                <w:szCs w:val="18"/>
              </w:rPr>
              <w:t>Identify if the state mandates that employers provide any of the following benefits; note if benefits must be provided in full, partially, or not at all:</w:t>
            </w:r>
          </w:p>
        </w:tc>
        <w:tc>
          <w:tcPr>
            <w:tcW w:w="8633" w:type="dxa"/>
            <w:tcMar>
              <w:top w:w="58" w:type="dxa"/>
              <w:left w:w="130" w:type="dxa"/>
              <w:bottom w:w="58" w:type="dxa"/>
              <w:right w:w="115" w:type="dxa"/>
            </w:tcMar>
            <w:vAlign w:val="center"/>
          </w:tcPr>
          <w:p w14:paraId="4F1FE014" w14:textId="77777777" w:rsidR="007263DD" w:rsidRPr="00727041" w:rsidRDefault="007263DD" w:rsidP="001421B0">
            <w:pPr>
              <w:rPr>
                <w:rFonts w:ascii="Arial" w:hAnsi="Arial" w:cs="Arial"/>
                <w:sz w:val="18"/>
                <w:szCs w:val="18"/>
              </w:rPr>
            </w:pPr>
          </w:p>
        </w:tc>
      </w:tr>
      <w:tr w:rsidR="007263DD" w:rsidRPr="00727041" w14:paraId="214FCF79" w14:textId="77777777" w:rsidTr="008D69BD">
        <w:trPr>
          <w:cantSplit/>
        </w:trPr>
        <w:tc>
          <w:tcPr>
            <w:tcW w:w="540" w:type="dxa"/>
            <w:gridSpan w:val="2"/>
            <w:tcMar>
              <w:top w:w="58" w:type="dxa"/>
              <w:left w:w="130" w:type="dxa"/>
              <w:bottom w:w="58" w:type="dxa"/>
              <w:right w:w="115" w:type="dxa"/>
            </w:tcMar>
            <w:vAlign w:val="center"/>
          </w:tcPr>
          <w:p w14:paraId="14583C7F"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1815A37D" w14:textId="77777777" w:rsidR="007263DD" w:rsidRDefault="007263DD" w:rsidP="001421B0">
            <w:pPr>
              <w:rPr>
                <w:rFonts w:ascii="Arial" w:hAnsi="Arial" w:cs="Arial"/>
                <w:sz w:val="18"/>
                <w:szCs w:val="18"/>
              </w:rPr>
            </w:pPr>
            <w:r>
              <w:rPr>
                <w:rFonts w:ascii="Arial" w:hAnsi="Arial" w:cs="Arial"/>
                <w:sz w:val="18"/>
                <w:szCs w:val="18"/>
              </w:rPr>
              <w:t>Paid sick leave</w:t>
            </w:r>
          </w:p>
        </w:tc>
        <w:tc>
          <w:tcPr>
            <w:tcW w:w="8633" w:type="dxa"/>
            <w:tcMar>
              <w:top w:w="58" w:type="dxa"/>
              <w:left w:w="130" w:type="dxa"/>
              <w:bottom w:w="58" w:type="dxa"/>
              <w:right w:w="115" w:type="dxa"/>
            </w:tcMar>
            <w:vAlign w:val="center"/>
          </w:tcPr>
          <w:p w14:paraId="112DB39A" w14:textId="77777777" w:rsidR="007263DD" w:rsidRPr="00727041" w:rsidRDefault="007263DD" w:rsidP="001421B0">
            <w:pPr>
              <w:rPr>
                <w:rFonts w:ascii="Arial" w:hAnsi="Arial" w:cs="Arial"/>
                <w:sz w:val="18"/>
                <w:szCs w:val="18"/>
              </w:rPr>
            </w:pPr>
          </w:p>
        </w:tc>
      </w:tr>
      <w:tr w:rsidR="007263DD" w:rsidRPr="00727041" w14:paraId="6ED51008" w14:textId="77777777" w:rsidTr="008D69BD">
        <w:trPr>
          <w:cantSplit/>
        </w:trPr>
        <w:tc>
          <w:tcPr>
            <w:tcW w:w="540" w:type="dxa"/>
            <w:gridSpan w:val="2"/>
            <w:tcMar>
              <w:top w:w="58" w:type="dxa"/>
              <w:left w:w="130" w:type="dxa"/>
              <w:bottom w:w="58" w:type="dxa"/>
              <w:right w:w="115" w:type="dxa"/>
            </w:tcMar>
            <w:vAlign w:val="center"/>
          </w:tcPr>
          <w:p w14:paraId="0DD71519"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0F512625" w14:textId="77777777" w:rsidR="007263DD" w:rsidRDefault="007263DD" w:rsidP="001421B0">
            <w:pPr>
              <w:rPr>
                <w:rFonts w:ascii="Arial" w:hAnsi="Arial" w:cs="Arial"/>
                <w:sz w:val="18"/>
                <w:szCs w:val="18"/>
              </w:rPr>
            </w:pPr>
            <w:r>
              <w:rPr>
                <w:rFonts w:ascii="Arial" w:hAnsi="Arial" w:cs="Arial"/>
                <w:sz w:val="18"/>
                <w:szCs w:val="18"/>
              </w:rPr>
              <w:t>Short-term disability</w:t>
            </w:r>
          </w:p>
        </w:tc>
        <w:tc>
          <w:tcPr>
            <w:tcW w:w="8633" w:type="dxa"/>
            <w:tcMar>
              <w:top w:w="58" w:type="dxa"/>
              <w:left w:w="130" w:type="dxa"/>
              <w:bottom w:w="58" w:type="dxa"/>
              <w:right w:w="115" w:type="dxa"/>
            </w:tcMar>
            <w:vAlign w:val="center"/>
          </w:tcPr>
          <w:p w14:paraId="3731068D" w14:textId="77777777" w:rsidR="007263DD" w:rsidRPr="00727041" w:rsidRDefault="007263DD" w:rsidP="001421B0">
            <w:pPr>
              <w:rPr>
                <w:rFonts w:ascii="Arial" w:hAnsi="Arial" w:cs="Arial"/>
                <w:sz w:val="18"/>
                <w:szCs w:val="18"/>
              </w:rPr>
            </w:pPr>
          </w:p>
        </w:tc>
      </w:tr>
      <w:tr w:rsidR="007263DD" w:rsidRPr="00727041" w14:paraId="640A2762" w14:textId="77777777" w:rsidTr="008D69BD">
        <w:trPr>
          <w:cantSplit/>
        </w:trPr>
        <w:tc>
          <w:tcPr>
            <w:tcW w:w="540" w:type="dxa"/>
            <w:gridSpan w:val="2"/>
            <w:tcMar>
              <w:top w:w="58" w:type="dxa"/>
              <w:left w:w="130" w:type="dxa"/>
              <w:bottom w:w="58" w:type="dxa"/>
              <w:right w:w="115" w:type="dxa"/>
            </w:tcMar>
            <w:vAlign w:val="center"/>
          </w:tcPr>
          <w:p w14:paraId="7ED507AD"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4D9472F4" w14:textId="77777777" w:rsidR="007263DD" w:rsidRDefault="007263DD" w:rsidP="001421B0">
            <w:pPr>
              <w:rPr>
                <w:rFonts w:ascii="Arial" w:hAnsi="Arial" w:cs="Arial"/>
                <w:sz w:val="18"/>
                <w:szCs w:val="18"/>
              </w:rPr>
            </w:pPr>
            <w:r>
              <w:rPr>
                <w:rFonts w:ascii="Arial" w:hAnsi="Arial" w:cs="Arial"/>
                <w:sz w:val="18"/>
                <w:szCs w:val="18"/>
              </w:rPr>
              <w:t>Long-term disability</w:t>
            </w:r>
          </w:p>
        </w:tc>
        <w:tc>
          <w:tcPr>
            <w:tcW w:w="8633" w:type="dxa"/>
            <w:tcMar>
              <w:top w:w="58" w:type="dxa"/>
              <w:left w:w="130" w:type="dxa"/>
              <w:bottom w:w="58" w:type="dxa"/>
              <w:right w:w="115" w:type="dxa"/>
            </w:tcMar>
            <w:vAlign w:val="center"/>
          </w:tcPr>
          <w:p w14:paraId="530AE543" w14:textId="77777777" w:rsidR="007263DD" w:rsidRPr="00727041" w:rsidRDefault="007263DD" w:rsidP="001421B0">
            <w:pPr>
              <w:rPr>
                <w:rFonts w:ascii="Arial" w:hAnsi="Arial" w:cs="Arial"/>
                <w:sz w:val="18"/>
                <w:szCs w:val="18"/>
              </w:rPr>
            </w:pPr>
          </w:p>
        </w:tc>
      </w:tr>
      <w:tr w:rsidR="007263DD" w:rsidRPr="00727041" w14:paraId="328189EB" w14:textId="77777777" w:rsidTr="008D69BD">
        <w:trPr>
          <w:cantSplit/>
        </w:trPr>
        <w:tc>
          <w:tcPr>
            <w:tcW w:w="540" w:type="dxa"/>
            <w:gridSpan w:val="2"/>
            <w:tcMar>
              <w:top w:w="58" w:type="dxa"/>
              <w:left w:w="130" w:type="dxa"/>
              <w:bottom w:w="58" w:type="dxa"/>
              <w:right w:w="115" w:type="dxa"/>
            </w:tcMar>
            <w:vAlign w:val="center"/>
          </w:tcPr>
          <w:p w14:paraId="7495D7F4" w14:textId="77777777" w:rsidR="007263DD" w:rsidRPr="00727041" w:rsidRDefault="007263DD" w:rsidP="001421B0">
            <w:pPr>
              <w:rPr>
                <w:rFonts w:ascii="Arial" w:hAnsi="Arial" w:cs="Arial"/>
                <w:sz w:val="18"/>
                <w:szCs w:val="18"/>
              </w:rPr>
            </w:pPr>
          </w:p>
        </w:tc>
        <w:tc>
          <w:tcPr>
            <w:tcW w:w="5137" w:type="dxa"/>
            <w:tcMar>
              <w:top w:w="58" w:type="dxa"/>
              <w:left w:w="130" w:type="dxa"/>
              <w:bottom w:w="58" w:type="dxa"/>
              <w:right w:w="115" w:type="dxa"/>
            </w:tcMar>
            <w:vAlign w:val="center"/>
          </w:tcPr>
          <w:p w14:paraId="338AA76C" w14:textId="77777777" w:rsidR="007263DD" w:rsidRDefault="007263DD" w:rsidP="001421B0">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14:paraId="6945B6C5" w14:textId="77777777" w:rsidR="007263DD" w:rsidRPr="00727041" w:rsidRDefault="007263DD" w:rsidP="001421B0">
            <w:pPr>
              <w:rPr>
                <w:rFonts w:ascii="Arial" w:hAnsi="Arial" w:cs="Arial"/>
                <w:sz w:val="18"/>
                <w:szCs w:val="18"/>
              </w:rPr>
            </w:pPr>
          </w:p>
        </w:tc>
      </w:tr>
    </w:tbl>
    <w:p w14:paraId="2E94DADB" w14:textId="10A21E8E" w:rsidR="007263DD" w:rsidRDefault="007263DD" w:rsidP="001421B0">
      <w:pPr>
        <w:rPr>
          <w:rFonts w:ascii="Times New Roman" w:hAnsi="Times New Roman" w:cs="Times New Roman"/>
          <w:sz w:val="24"/>
          <w:szCs w:val="20"/>
        </w:rPr>
      </w:pPr>
    </w:p>
    <w:p w14:paraId="4A142292" w14:textId="77777777" w:rsidR="003E27F6" w:rsidRDefault="003E27F6" w:rsidP="003E27F6">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TOC t</w:t>
        </w:r>
        <w:r w:rsidRPr="00B16B87">
          <w:rPr>
            <w:rStyle w:val="Hyperlink"/>
            <w:rFonts w:ascii="Calibri" w:hAnsi="Calibri" w:cs="Calibri"/>
            <w:sz w:val="24"/>
          </w:rPr>
          <w:t>o</w:t>
        </w:r>
        <w:r w:rsidRPr="00B16B87">
          <w:rPr>
            <w:rStyle w:val="Hyperlink"/>
            <w:rFonts w:ascii="Calibri" w:hAnsi="Calibri" w:cs="Calibri"/>
            <w:sz w:val="24"/>
          </w:rPr>
          <w:t>p</w:t>
        </w:r>
      </w:hyperlink>
      <w:r>
        <w:rPr>
          <w:rFonts w:ascii="Calibri" w:hAnsi="Calibri" w:cs="Calibri"/>
          <w:sz w:val="24"/>
        </w:rPr>
        <w:t>]</w:t>
      </w:r>
    </w:p>
    <w:p w14:paraId="367AED80" w14:textId="24F61F05" w:rsidR="003E27F6" w:rsidRDefault="003E27F6" w:rsidP="001421B0">
      <w:pPr>
        <w:rPr>
          <w:rFonts w:ascii="Times New Roman" w:hAnsi="Times New Roman" w:cs="Times New Roman"/>
          <w:sz w:val="24"/>
          <w:szCs w:val="20"/>
        </w:rPr>
      </w:pPr>
    </w:p>
    <w:p w14:paraId="1110BC4A" w14:textId="77777777" w:rsidR="003E27F6" w:rsidRDefault="003E27F6" w:rsidP="001421B0">
      <w:pPr>
        <w:rPr>
          <w:rFonts w:ascii="Times New Roman" w:hAnsi="Times New Roman" w:cs="Times New Roman"/>
          <w:sz w:val="24"/>
          <w:szCs w:val="20"/>
        </w:rPr>
      </w:pPr>
    </w:p>
    <w:p w14:paraId="73A3A229" w14:textId="77777777" w:rsidR="003E27F6" w:rsidRDefault="003E27F6" w:rsidP="001421B0">
      <w:pPr>
        <w:rPr>
          <w:rFonts w:ascii="Times New Roman" w:hAnsi="Times New Roman" w:cs="Times New Roman"/>
          <w:sz w:val="24"/>
          <w:szCs w:val="20"/>
        </w:rPr>
        <w:sectPr w:rsidR="003E27F6" w:rsidSect="003E27F6">
          <w:pgSz w:w="15840" w:h="12240" w:orient="landscape"/>
          <w:pgMar w:top="1440" w:right="1440" w:bottom="1440" w:left="1440" w:header="720" w:footer="720" w:gutter="0"/>
          <w:cols w:space="720"/>
          <w:docGrid w:linePitch="360"/>
        </w:sectPr>
      </w:pPr>
    </w:p>
    <w:p w14:paraId="02C32CB5" w14:textId="4B78C829" w:rsidR="008F1203" w:rsidRPr="001421B0" w:rsidRDefault="008F1203" w:rsidP="001421B0">
      <w:pPr>
        <w:rPr>
          <w:rFonts w:ascii="Times New Roman" w:hAnsi="Times New Roman" w:cs="Times New Roman"/>
          <w:sz w:val="24"/>
          <w:szCs w:val="20"/>
        </w:rPr>
      </w:pPr>
    </w:p>
    <w:p w14:paraId="327B6852" w14:textId="77777777" w:rsidR="007263DD" w:rsidRDefault="007263DD" w:rsidP="00AF7D2C">
      <w:pPr>
        <w:rPr>
          <w:rFonts w:ascii="Arial" w:hAnsi="Arial" w:cs="Arial"/>
          <w:b/>
          <w:color w:val="C00000"/>
          <w:sz w:val="24"/>
        </w:rPr>
      </w:pPr>
      <w:r>
        <w:rPr>
          <w:rFonts w:ascii="Arial" w:hAnsi="Arial" w:cs="Arial"/>
          <w:b/>
          <w:color w:val="C00000"/>
          <w:sz w:val="24"/>
        </w:rPr>
        <w:t>[</w:t>
      </w:r>
      <w:r>
        <w:rPr>
          <w:rFonts w:ascii="Arial" w:hAnsi="Arial" w:cs="Arial"/>
          <w:b/>
          <w:i/>
          <w:color w:val="C00000"/>
          <w:sz w:val="24"/>
        </w:rPr>
        <w:t>4/2019 PE Note:</w:t>
      </w:r>
      <w:r>
        <w:rPr>
          <w:rFonts w:ascii="Arial" w:hAnsi="Arial" w:cs="Arial"/>
          <w:b/>
          <w:color w:val="C00000"/>
          <w:sz w:val="24"/>
        </w:rPr>
        <w:t xml:space="preserve"> Do not plan on updating these documents; please note any comments you may have about content or formatting generally]</w:t>
      </w:r>
    </w:p>
    <w:p w14:paraId="435DD2AD" w14:textId="77777777" w:rsidR="007263DD" w:rsidRDefault="007263DD"/>
    <w:p w14:paraId="01681C3B" w14:textId="77777777" w:rsidR="007263DD" w:rsidRPr="00AF7D2C" w:rsidRDefault="007263DD" w:rsidP="00AF7D2C">
      <w:pPr>
        <w:shd w:val="clear" w:color="auto" w:fill="FFFFFF"/>
        <w:spacing w:after="225"/>
        <w:textAlignment w:val="baseline"/>
        <w:outlineLvl w:val="0"/>
        <w:rPr>
          <w:rFonts w:ascii="Helvetica" w:eastAsia="Times New Roman" w:hAnsi="Helvetica" w:cs="Helvetica"/>
          <w:b/>
          <w:bCs/>
          <w:color w:val="333333"/>
          <w:spacing w:val="15"/>
          <w:kern w:val="36"/>
          <w:sz w:val="36"/>
          <w:szCs w:val="36"/>
        </w:rPr>
      </w:pPr>
      <w:bookmarkStart w:id="20" w:name="Wint12_CIU"/>
      <w:r w:rsidRPr="00AF7D2C">
        <w:rPr>
          <w:rFonts w:ascii="Helvetica" w:eastAsia="Times New Roman" w:hAnsi="Helvetica" w:cs="Helvetica"/>
          <w:b/>
          <w:bCs/>
          <w:color w:val="333333"/>
          <w:spacing w:val="15"/>
          <w:kern w:val="36"/>
          <w:sz w:val="36"/>
          <w:szCs w:val="36"/>
        </w:rPr>
        <w:t>Current Issues and Updates</w:t>
      </w:r>
    </w:p>
    <w:bookmarkEnd w:id="20"/>
    <w:p w14:paraId="120FADB2" w14:textId="77777777" w:rsidR="007263DD" w:rsidRPr="00AF7D2C" w:rsidRDefault="007263DD" w:rsidP="00AF7D2C">
      <w:pPr>
        <w:shd w:val="clear" w:color="auto" w:fill="FFFFFF"/>
        <w:spacing w:after="225" w:line="240" w:lineRule="atLeast"/>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 </w:t>
      </w:r>
    </w:p>
    <w:p w14:paraId="7E874A39" w14:textId="77777777" w:rsidR="007263DD" w:rsidRPr="00AF7D2C" w:rsidRDefault="007263DD" w:rsidP="00AF7D2C">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AF7D2C">
        <w:rPr>
          <w:rFonts w:ascii="Arial" w:eastAsia="Times New Roman" w:hAnsi="Arial" w:cs="Arial"/>
          <w:b/>
          <w:bCs/>
          <w:color w:val="3C3030"/>
          <w:sz w:val="24"/>
          <w:szCs w:val="24"/>
        </w:rPr>
        <w:t>Winter 2012</w:t>
      </w:r>
    </w:p>
    <w:p w14:paraId="273759C4" w14:textId="01A2C074" w:rsidR="007263DD" w:rsidRPr="00AF7D2C" w:rsidRDefault="007263DD" w:rsidP="00AF7D2C">
      <w:pPr>
        <w:shd w:val="clear" w:color="auto" w:fill="FFFFFF"/>
        <w:spacing w:line="240" w:lineRule="atLeast"/>
        <w:textAlignment w:val="baseline"/>
        <w:rPr>
          <w:rFonts w:ascii="Arial" w:eastAsia="Times New Roman" w:hAnsi="Arial" w:cs="Arial"/>
          <w:color w:val="737373"/>
          <w:sz w:val="20"/>
          <w:szCs w:val="20"/>
        </w:rPr>
      </w:pPr>
      <w:r w:rsidRPr="00AF7D2C">
        <w:rPr>
          <w:rFonts w:ascii="Arial" w:eastAsia="Times New Roman" w:hAnsi="Arial" w:cs="Arial"/>
          <w:i/>
          <w:iCs/>
          <w:color w:val="737373"/>
          <w:sz w:val="20"/>
          <w:szCs w:val="20"/>
          <w:bdr w:val="none" w:sz="0" w:space="0" w:color="auto" w:frame="1"/>
        </w:rPr>
        <w:t>Current Issues and Updates provides periodic updates on new and evolving issues related to the topics covered in the ASTHO Emergency Authority and Immunity Toolkit. </w:t>
      </w:r>
      <w:r w:rsidR="003E27F6" w:rsidRPr="00AF7D2C">
        <w:rPr>
          <w:rFonts w:ascii="Arial" w:eastAsia="Times New Roman" w:hAnsi="Arial" w:cs="Arial"/>
          <w:color w:val="737373"/>
          <w:sz w:val="20"/>
          <w:szCs w:val="20"/>
        </w:rPr>
        <w:t xml:space="preserve"> </w:t>
      </w:r>
      <w:r w:rsidRPr="00AF7D2C">
        <w:rPr>
          <w:rFonts w:ascii="Arial" w:eastAsia="Times New Roman" w:hAnsi="Arial" w:cs="Arial"/>
          <w:color w:val="737373"/>
          <w:sz w:val="20"/>
          <w:szCs w:val="20"/>
        </w:rPr>
        <w:br/>
        <w:t> </w:t>
      </w:r>
    </w:p>
    <w:p w14:paraId="117B8966" w14:textId="77777777" w:rsidR="007263DD" w:rsidRPr="00AF7D2C" w:rsidRDefault="007263DD" w:rsidP="00AF7D2C">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AF7D2C">
        <w:rPr>
          <w:rFonts w:ascii="Arial" w:eastAsia="Times New Roman" w:hAnsi="Arial" w:cs="Arial"/>
          <w:b/>
          <w:bCs/>
          <w:color w:val="3C3030"/>
          <w:sz w:val="24"/>
          <w:szCs w:val="24"/>
        </w:rPr>
        <w:t>Pandemic and All-Hazards Preparedness Act Reauthorization</w:t>
      </w:r>
    </w:p>
    <w:p w14:paraId="4B52D5B0" w14:textId="77777777" w:rsidR="007263DD" w:rsidRPr="00AF7D2C" w:rsidRDefault="007263DD" w:rsidP="00AF7D2C">
      <w:pPr>
        <w:shd w:val="clear" w:color="auto" w:fill="FFFFFF"/>
        <w:spacing w:after="225" w:line="240" w:lineRule="atLeast"/>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Congress is continuing the process of reauthorizing the Pandemic and All-Hazards Preparedness Act (PAHPA), which was scheduled for reauthorization in 2011. As of March 2012, both the House and Senate have passed their own versions of the reauthorizing legislation. While there are many similarities between the two bills, Congress is likely to convene a conference committee to reconcile the differences between them. Once passed, the programs and authorities in PAHPA will be reauthorized for another five years. </w:t>
      </w:r>
      <w:r w:rsidRPr="00AF7D2C">
        <w:rPr>
          <w:rFonts w:ascii="Arial" w:eastAsia="Times New Roman" w:hAnsi="Arial" w:cs="Arial"/>
          <w:color w:val="737373"/>
          <w:sz w:val="20"/>
          <w:szCs w:val="20"/>
        </w:rPr>
        <w:br/>
      </w:r>
    </w:p>
    <w:p w14:paraId="43DC8D4A" w14:textId="77777777" w:rsidR="007263DD" w:rsidRPr="00AF7D2C" w:rsidRDefault="007263DD" w:rsidP="00AF7D2C">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AF7D2C">
        <w:rPr>
          <w:rFonts w:ascii="Arial" w:eastAsia="Times New Roman" w:hAnsi="Arial" w:cs="Arial"/>
          <w:b/>
          <w:bCs/>
          <w:color w:val="3C3030"/>
          <w:sz w:val="24"/>
          <w:szCs w:val="24"/>
        </w:rPr>
        <w:t>What PAHPA Currently Addresses</w:t>
      </w:r>
    </w:p>
    <w:p w14:paraId="7F252D3D" w14:textId="77777777" w:rsidR="007263DD" w:rsidRPr="00AF7D2C" w:rsidRDefault="007263DD" w:rsidP="00AF7D2C">
      <w:pPr>
        <w:shd w:val="clear" w:color="auto" w:fill="FFFFFF"/>
        <w:spacing w:after="120" w:line="240" w:lineRule="atLeast"/>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PAHPA was first enacted in 2006 to improve the nation’s public health and medical preparedness and response capabilities for natural and manmade disasters. Specifically, PAHPA amended the Public Health Service Act to address the organization of public health emergency preparedness and response activities and authorized new programs and initiatives concerning medical surge capacity, the development of countermeasures to biological threats, and the capacity of states and localities to prepare for and respond to public health emergencies. </w:t>
      </w:r>
      <w:r w:rsidRPr="00AF7D2C">
        <w:rPr>
          <w:rFonts w:ascii="Arial" w:eastAsia="Times New Roman" w:hAnsi="Arial" w:cs="Arial"/>
          <w:color w:val="737373"/>
          <w:sz w:val="20"/>
          <w:szCs w:val="20"/>
        </w:rPr>
        <w:br/>
      </w:r>
      <w:r w:rsidRPr="00AF7D2C">
        <w:rPr>
          <w:rFonts w:ascii="Arial" w:eastAsia="Times New Roman" w:hAnsi="Arial" w:cs="Arial"/>
          <w:color w:val="737373"/>
          <w:sz w:val="20"/>
          <w:szCs w:val="20"/>
        </w:rPr>
        <w:br/>
        <w:t>PAHPA impacts the states through the organizational structures and programs it established within the Department of Health and Human Services (HHS). Many of the offices and programs within HHS that state public health preparedness programs interact with on a daily basis were developed or refined through PAHPA, including:</w:t>
      </w:r>
    </w:p>
    <w:p w14:paraId="504589CD" w14:textId="77777777" w:rsidR="007263DD" w:rsidRPr="00AF7D2C" w:rsidRDefault="007263DD" w:rsidP="007263DD">
      <w:pPr>
        <w:numPr>
          <w:ilvl w:val="0"/>
          <w:numId w:val="61"/>
        </w:numPr>
        <w:spacing w:after="120" w:line="255" w:lineRule="atLeast"/>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The Office of the Assistant Secretary for Preparedness and Response.</w:t>
      </w:r>
    </w:p>
    <w:p w14:paraId="16C45511" w14:textId="77777777" w:rsidR="007263DD" w:rsidRPr="00AF7D2C" w:rsidRDefault="007263DD" w:rsidP="007263DD">
      <w:pPr>
        <w:numPr>
          <w:ilvl w:val="0"/>
          <w:numId w:val="61"/>
        </w:numPr>
        <w:spacing w:after="120" w:line="255" w:lineRule="atLeast"/>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Grant programs such as the Public Health Emergency Preparedness Program, Hospital Preparedness Program, and Healthcare Facility Partnership Program.</w:t>
      </w:r>
    </w:p>
    <w:p w14:paraId="05002D9E" w14:textId="77777777" w:rsidR="007263DD" w:rsidRPr="00AF7D2C" w:rsidRDefault="007263DD" w:rsidP="007263DD">
      <w:pPr>
        <w:numPr>
          <w:ilvl w:val="0"/>
          <w:numId w:val="61"/>
        </w:numPr>
        <w:spacing w:after="120" w:line="255" w:lineRule="atLeast"/>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Guidance regarding at-risk populations.</w:t>
      </w:r>
    </w:p>
    <w:p w14:paraId="72E2C1F7" w14:textId="77777777" w:rsidR="007263DD" w:rsidRPr="00AF7D2C" w:rsidRDefault="007263DD" w:rsidP="007263DD">
      <w:pPr>
        <w:numPr>
          <w:ilvl w:val="0"/>
          <w:numId w:val="61"/>
        </w:numPr>
        <w:spacing w:after="120" w:line="255" w:lineRule="atLeast"/>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Registration of volunteer health professionals into databases that comply with the HHS ESAR-VHP system (Emergency System for the Advance Registration of Volunteer Health Professionals).</w:t>
      </w:r>
    </w:p>
    <w:p w14:paraId="00380A15" w14:textId="77777777" w:rsidR="007263DD" w:rsidRPr="00AF7D2C" w:rsidRDefault="007263DD" w:rsidP="007263DD">
      <w:pPr>
        <w:pStyle w:val="ListParagraph"/>
        <w:numPr>
          <w:ilvl w:val="0"/>
          <w:numId w:val="61"/>
        </w:numPr>
        <w:shd w:val="clear" w:color="auto" w:fill="FFFFFF"/>
        <w:spacing w:after="120" w:line="240" w:lineRule="atLeast"/>
        <w:contextualSpacing w:val="0"/>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PAHPA also established the Biodefense Advanced Research and Development Authority (BARDA) within HHS to foster the rapid development of drugs and vaccines (countermeasures) against highly infectious pathogens. The act established the Biodefense Medical Countermeasure Development Fund to pay for development contracts with the makers of the countermeasures. </w:t>
      </w:r>
      <w:r w:rsidRPr="00AF7D2C">
        <w:rPr>
          <w:rFonts w:ascii="Arial" w:eastAsia="Times New Roman" w:hAnsi="Arial" w:cs="Arial"/>
          <w:color w:val="737373"/>
          <w:sz w:val="20"/>
          <w:szCs w:val="20"/>
        </w:rPr>
        <w:br/>
      </w:r>
      <w:r w:rsidRPr="00AF7D2C">
        <w:rPr>
          <w:rFonts w:ascii="Arial" w:eastAsia="Times New Roman" w:hAnsi="Arial" w:cs="Arial"/>
          <w:color w:val="737373"/>
          <w:sz w:val="20"/>
          <w:szCs w:val="20"/>
        </w:rPr>
        <w:lastRenderedPageBreak/>
        <w:br/>
        <w:t> </w:t>
      </w:r>
    </w:p>
    <w:p w14:paraId="00E78A18" w14:textId="77777777" w:rsidR="007263DD" w:rsidRPr="00AF7D2C" w:rsidRDefault="007263DD" w:rsidP="00AF7D2C">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AF7D2C">
        <w:rPr>
          <w:rFonts w:ascii="Arial" w:eastAsia="Times New Roman" w:hAnsi="Arial" w:cs="Arial"/>
          <w:b/>
          <w:bCs/>
          <w:color w:val="3C3030"/>
          <w:sz w:val="24"/>
          <w:szCs w:val="24"/>
        </w:rPr>
        <w:t>What PAHPA Reauthorization Addresses</w:t>
      </w:r>
    </w:p>
    <w:p w14:paraId="4DA9729E" w14:textId="77777777" w:rsidR="007263DD" w:rsidRPr="00AF7D2C" w:rsidRDefault="007263DD" w:rsidP="00AF7D2C">
      <w:pPr>
        <w:shd w:val="clear" w:color="auto" w:fill="FFFFFF"/>
        <w:spacing w:after="120" w:line="240" w:lineRule="atLeast"/>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The House passed the “Pandemic and All-Hazards Preparedness Reauthorization Act of 2011” (HR 2405) on December 11, 2011. The Senate passed its version of the legislation, S 1855, on March 7, 2012. The text of HR 2405 and S 1855 are available through the Library of Congress’ Thomas website at </w:t>
      </w:r>
      <w:hyperlink r:id="rId145" w:history="1">
        <w:r w:rsidRPr="00AF7D2C">
          <w:rPr>
            <w:rFonts w:ascii="Arial" w:eastAsia="Times New Roman" w:hAnsi="Arial" w:cs="Arial"/>
            <w:color w:val="0F88B8"/>
            <w:sz w:val="20"/>
            <w:szCs w:val="20"/>
            <w:u w:val="single"/>
            <w:bdr w:val="none" w:sz="0" w:space="0" w:color="auto" w:frame="1"/>
          </w:rPr>
          <w:t>www.thomas.gov</w:t>
        </w:r>
      </w:hyperlink>
      <w:r w:rsidRPr="00AF7D2C">
        <w:rPr>
          <w:rFonts w:ascii="Arial" w:eastAsia="Times New Roman" w:hAnsi="Arial" w:cs="Arial"/>
          <w:color w:val="737373"/>
          <w:sz w:val="20"/>
          <w:szCs w:val="20"/>
        </w:rPr>
        <w:t>.  </w:t>
      </w:r>
      <w:r w:rsidRPr="00AF7D2C">
        <w:rPr>
          <w:rFonts w:ascii="Arial" w:eastAsia="Times New Roman" w:hAnsi="Arial" w:cs="Arial"/>
          <w:color w:val="737373"/>
          <w:sz w:val="20"/>
          <w:szCs w:val="20"/>
        </w:rPr>
        <w:br/>
      </w:r>
      <w:r w:rsidRPr="00AF7D2C">
        <w:rPr>
          <w:rFonts w:ascii="Arial" w:eastAsia="Times New Roman" w:hAnsi="Arial" w:cs="Arial"/>
          <w:color w:val="737373"/>
          <w:sz w:val="20"/>
          <w:szCs w:val="20"/>
        </w:rPr>
        <w:br/>
        <w:t>Overall, the House and Senate versions have similar provisions and funding levels, but the Senate version adds a number of provisions that are not in the House version. Both bills do not include any major reworking of existing programs authorized by the 2006 PAHPA; rather, the reauthorization bills increases responsibilities for HHS, clarifies legal authorities and requirements, and reauthorizes and funds key public health preparedness programs. The following list highlights some of the key provisions of the reauthorization bills relevant to public health but is not a comprehensive analysis of the House and Senate bills. Please refer to the actual text of the reauthorization bills.</w:t>
      </w:r>
    </w:p>
    <w:p w14:paraId="789EEC93" w14:textId="77777777" w:rsidR="007263DD" w:rsidRPr="00AF7D2C" w:rsidRDefault="007263DD" w:rsidP="007263DD">
      <w:pPr>
        <w:pStyle w:val="ListParagraph"/>
        <w:numPr>
          <w:ilvl w:val="0"/>
          <w:numId w:val="62"/>
        </w:numPr>
        <w:spacing w:after="120" w:line="255" w:lineRule="atLeast"/>
        <w:contextualSpacing w:val="0"/>
        <w:textAlignment w:val="baseline"/>
        <w:rPr>
          <w:rFonts w:ascii="Arial" w:eastAsia="Times New Roman" w:hAnsi="Arial" w:cs="Arial"/>
          <w:color w:val="737373"/>
          <w:sz w:val="20"/>
          <w:szCs w:val="20"/>
        </w:rPr>
      </w:pPr>
      <w:r w:rsidRPr="00AF7D2C">
        <w:rPr>
          <w:rFonts w:ascii="Arial" w:eastAsia="Times New Roman" w:hAnsi="Arial" w:cs="Arial"/>
          <w:b/>
          <w:bCs/>
          <w:color w:val="737373"/>
          <w:sz w:val="20"/>
          <w:szCs w:val="20"/>
          <w:bdr w:val="none" w:sz="0" w:space="0" w:color="auto" w:frame="1"/>
        </w:rPr>
        <w:t>Reauthorizes key public health preparedness programs—</w:t>
      </w:r>
      <w:r w:rsidRPr="00AF7D2C">
        <w:rPr>
          <w:rFonts w:ascii="Arial" w:eastAsia="Times New Roman" w:hAnsi="Arial" w:cs="Arial"/>
          <w:color w:val="737373"/>
          <w:sz w:val="20"/>
          <w:szCs w:val="20"/>
        </w:rPr>
        <w:t>Both the House and Senate bills reauthorize the Public Health Preparedness Cooperative Agreement Program, the Hospital Preparedness Program, influenza pandemic vaccine tracking and distribution program, ESAR-VHP, the Medical Reserve Corps, and the Strategic National Stockpile.</w:t>
      </w:r>
    </w:p>
    <w:p w14:paraId="03E6CC60" w14:textId="77777777" w:rsidR="007263DD" w:rsidRPr="00AF7D2C" w:rsidRDefault="007263DD" w:rsidP="007263DD">
      <w:pPr>
        <w:pStyle w:val="ListParagraph"/>
        <w:numPr>
          <w:ilvl w:val="0"/>
          <w:numId w:val="62"/>
        </w:numPr>
        <w:spacing w:after="120" w:line="255" w:lineRule="atLeast"/>
        <w:contextualSpacing w:val="0"/>
        <w:textAlignment w:val="baseline"/>
        <w:rPr>
          <w:rFonts w:ascii="Arial" w:eastAsia="Times New Roman" w:hAnsi="Arial" w:cs="Arial"/>
          <w:color w:val="737373"/>
          <w:sz w:val="20"/>
          <w:szCs w:val="20"/>
        </w:rPr>
      </w:pPr>
      <w:r w:rsidRPr="00AF7D2C">
        <w:rPr>
          <w:rFonts w:ascii="Arial" w:eastAsia="Times New Roman" w:hAnsi="Arial" w:cs="Arial"/>
          <w:b/>
          <w:bCs/>
          <w:color w:val="737373"/>
          <w:sz w:val="20"/>
          <w:szCs w:val="20"/>
          <w:bdr w:val="none" w:sz="0" w:space="0" w:color="auto" w:frame="1"/>
        </w:rPr>
        <w:t>Funds public health preparedness and medical countermeasures activities—</w:t>
      </w:r>
      <w:r w:rsidRPr="00AF7D2C">
        <w:rPr>
          <w:rFonts w:ascii="Arial" w:eastAsia="Times New Roman" w:hAnsi="Arial" w:cs="Arial"/>
          <w:color w:val="737373"/>
          <w:sz w:val="20"/>
          <w:szCs w:val="20"/>
        </w:rPr>
        <w:t>Both bills contain the same funding levels; however, the Senate version provides $522 million per year from FY 2012 to FY 2016 for the Strategic National Stockpile.</w:t>
      </w:r>
    </w:p>
    <w:p w14:paraId="483B33D9" w14:textId="77777777" w:rsidR="007263DD" w:rsidRDefault="007263DD" w:rsidP="007263DD">
      <w:pPr>
        <w:pStyle w:val="ListParagraph"/>
        <w:numPr>
          <w:ilvl w:val="0"/>
          <w:numId w:val="62"/>
        </w:numPr>
        <w:spacing w:line="255" w:lineRule="atLeast"/>
        <w:textAlignment w:val="baseline"/>
        <w:rPr>
          <w:rFonts w:ascii="Arial" w:eastAsia="Times New Roman" w:hAnsi="Arial" w:cs="Arial"/>
          <w:color w:val="737373"/>
          <w:sz w:val="20"/>
          <w:szCs w:val="20"/>
        </w:rPr>
      </w:pPr>
      <w:r w:rsidRPr="00AF7D2C">
        <w:rPr>
          <w:rFonts w:ascii="Arial" w:eastAsia="Times New Roman" w:hAnsi="Arial" w:cs="Arial"/>
          <w:b/>
          <w:bCs/>
          <w:color w:val="737373"/>
          <w:sz w:val="20"/>
          <w:szCs w:val="20"/>
          <w:bdr w:val="none" w:sz="0" w:space="0" w:color="auto" w:frame="1"/>
        </w:rPr>
        <w:t>Provides increased flexibility and authority for emergency use of medical products in emergencies—</w:t>
      </w:r>
      <w:r w:rsidRPr="00AF7D2C">
        <w:rPr>
          <w:rFonts w:ascii="Arial" w:eastAsia="Times New Roman" w:hAnsi="Arial" w:cs="Arial"/>
          <w:color w:val="737373"/>
          <w:sz w:val="20"/>
          <w:szCs w:val="20"/>
        </w:rPr>
        <w:t>Both versions of the bill provide greater flexibility for HHS and the FDA to approve the use of medical products in emergencies but differ in some of their specific provisions. One or both of the bills address key emergency use issues including but not limited to: permitting the FDA to waive or limit current good manufacturing practice (CGMP) requirements for emergency use of a medical product, extending the expiration dates of stockpiled medical products (e.g., drugs) without issuing an Emergency Use Authorization (EUA), authorizing the mass dispensing of medical products without individual prescriptions for FDA-approved products, and authorizing the FDA to issue EUAs before an emergency is declared.</w:t>
      </w:r>
    </w:p>
    <w:p w14:paraId="2240F5C8" w14:textId="77777777" w:rsidR="007263DD" w:rsidRPr="00AF7D2C" w:rsidRDefault="007263DD" w:rsidP="00AF7D2C">
      <w:pPr>
        <w:pStyle w:val="ListParagraph"/>
        <w:spacing w:line="255" w:lineRule="atLeast"/>
        <w:ind w:left="360"/>
        <w:textAlignment w:val="baseline"/>
        <w:rPr>
          <w:rFonts w:ascii="Arial" w:eastAsia="Times New Roman" w:hAnsi="Arial" w:cs="Arial"/>
          <w:color w:val="737373"/>
          <w:sz w:val="20"/>
          <w:szCs w:val="20"/>
        </w:rPr>
      </w:pPr>
    </w:p>
    <w:p w14:paraId="14E74635" w14:textId="77777777" w:rsidR="003E27F6" w:rsidRDefault="007263DD" w:rsidP="00AF7D2C">
      <w:pPr>
        <w:shd w:val="clear" w:color="auto" w:fill="FFFFFF"/>
        <w:spacing w:line="240" w:lineRule="atLeast"/>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More information about PAHPA is available in the ASTHO fact sheet </w:t>
      </w:r>
      <w:hyperlink r:id="rId146" w:tooltip="Pandemic and All-Hazards Preparedness Act" w:history="1">
        <w:r w:rsidRPr="00AF7D2C">
          <w:rPr>
            <w:rFonts w:ascii="Arial" w:eastAsia="Times New Roman" w:hAnsi="Arial" w:cs="Arial"/>
            <w:color w:val="0F88B8"/>
            <w:sz w:val="20"/>
            <w:szCs w:val="20"/>
            <w:u w:val="single"/>
            <w:bdr w:val="none" w:sz="0" w:space="0" w:color="auto" w:frame="1"/>
          </w:rPr>
          <w:t>Pandemic and All-Hazards Preparedness Act</w:t>
        </w:r>
      </w:hyperlink>
      <w:r w:rsidRPr="00AF7D2C">
        <w:rPr>
          <w:rFonts w:ascii="Arial" w:eastAsia="Times New Roman" w:hAnsi="Arial" w:cs="Arial"/>
          <w:color w:val="737373"/>
          <w:sz w:val="20"/>
          <w:szCs w:val="20"/>
        </w:rPr>
        <w:t>. </w:t>
      </w:r>
      <w:r w:rsidRPr="00AF7D2C">
        <w:rPr>
          <w:rFonts w:ascii="Arial" w:eastAsia="Times New Roman" w:hAnsi="Arial" w:cs="Arial"/>
          <w:color w:val="737373"/>
          <w:sz w:val="20"/>
          <w:szCs w:val="20"/>
        </w:rPr>
        <w:br/>
      </w:r>
      <w:r w:rsidRPr="00AF7D2C">
        <w:rPr>
          <w:rFonts w:ascii="Arial" w:eastAsia="Times New Roman" w:hAnsi="Arial" w:cs="Arial"/>
          <w:color w:val="737373"/>
          <w:sz w:val="20"/>
          <w:szCs w:val="20"/>
        </w:rPr>
        <w:br/>
        <w:t>Information about ongoing PAHPA implementation at HHS is available on the Office of the Assistant Secretary for Preparedness and Response website at </w:t>
      </w:r>
      <w:hyperlink r:id="rId147" w:tooltip="www.phe.gov" w:history="1">
        <w:r w:rsidRPr="00AF7D2C">
          <w:rPr>
            <w:rFonts w:ascii="Arial" w:eastAsia="Times New Roman" w:hAnsi="Arial" w:cs="Arial"/>
            <w:color w:val="0F88B8"/>
            <w:sz w:val="20"/>
            <w:szCs w:val="20"/>
            <w:u w:val="single"/>
            <w:bdr w:val="none" w:sz="0" w:space="0" w:color="auto" w:frame="1"/>
          </w:rPr>
          <w:t>www.phe.gov</w:t>
        </w:r>
      </w:hyperlink>
      <w:r w:rsidRPr="00AF7D2C">
        <w:rPr>
          <w:rFonts w:ascii="Arial" w:eastAsia="Times New Roman" w:hAnsi="Arial" w:cs="Arial"/>
          <w:color w:val="737373"/>
          <w:sz w:val="20"/>
          <w:szCs w:val="20"/>
        </w:rPr>
        <w:t>.</w:t>
      </w:r>
      <w:r w:rsidRPr="00AF7D2C">
        <w:rPr>
          <w:rFonts w:ascii="Arial" w:eastAsia="Times New Roman" w:hAnsi="Arial" w:cs="Arial"/>
          <w:color w:val="737373"/>
          <w:sz w:val="20"/>
          <w:szCs w:val="20"/>
        </w:rPr>
        <w:br/>
      </w:r>
    </w:p>
    <w:p w14:paraId="077D11C2" w14:textId="77777777" w:rsidR="003E27F6" w:rsidRDefault="003E27F6" w:rsidP="003E27F6">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TOC t</w:t>
        </w:r>
        <w:r w:rsidRPr="00B16B87">
          <w:rPr>
            <w:rStyle w:val="Hyperlink"/>
            <w:rFonts w:ascii="Calibri" w:hAnsi="Calibri" w:cs="Calibri"/>
            <w:sz w:val="24"/>
          </w:rPr>
          <w:t>o</w:t>
        </w:r>
        <w:r w:rsidRPr="00B16B87">
          <w:rPr>
            <w:rStyle w:val="Hyperlink"/>
            <w:rFonts w:ascii="Calibri" w:hAnsi="Calibri" w:cs="Calibri"/>
            <w:sz w:val="24"/>
          </w:rPr>
          <w:t>p</w:t>
        </w:r>
      </w:hyperlink>
      <w:r>
        <w:rPr>
          <w:rFonts w:ascii="Calibri" w:hAnsi="Calibri" w:cs="Calibri"/>
          <w:sz w:val="24"/>
        </w:rPr>
        <w:t>]</w:t>
      </w:r>
    </w:p>
    <w:p w14:paraId="3121CD5A" w14:textId="420D579F" w:rsidR="007263DD" w:rsidRDefault="007263DD" w:rsidP="00AF7D2C">
      <w:pPr>
        <w:shd w:val="clear" w:color="auto" w:fill="FFFFFF"/>
        <w:spacing w:line="240" w:lineRule="atLeast"/>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 </w:t>
      </w:r>
    </w:p>
    <w:p w14:paraId="1E4B4DF8" w14:textId="49FAE016" w:rsidR="003E27F6" w:rsidRDefault="003E27F6">
      <w:pPr>
        <w:rPr>
          <w:rFonts w:ascii="Arial" w:eastAsia="Times New Roman" w:hAnsi="Arial" w:cs="Arial"/>
          <w:color w:val="737373"/>
          <w:sz w:val="20"/>
          <w:szCs w:val="20"/>
        </w:rPr>
      </w:pPr>
      <w:r>
        <w:rPr>
          <w:rFonts w:ascii="Arial" w:eastAsia="Times New Roman" w:hAnsi="Arial" w:cs="Arial"/>
          <w:color w:val="737373"/>
          <w:sz w:val="20"/>
          <w:szCs w:val="20"/>
        </w:rPr>
        <w:br w:type="page"/>
      </w:r>
    </w:p>
    <w:p w14:paraId="78CFCB69" w14:textId="77777777" w:rsidR="007263DD" w:rsidRDefault="007263DD"/>
    <w:p w14:paraId="2CBD8C29" w14:textId="77777777" w:rsidR="007263DD" w:rsidRDefault="007263DD" w:rsidP="008E0074">
      <w:pPr>
        <w:rPr>
          <w:rFonts w:ascii="Arial" w:hAnsi="Arial" w:cs="Arial"/>
          <w:b/>
          <w:color w:val="C00000"/>
          <w:sz w:val="24"/>
        </w:rPr>
      </w:pPr>
      <w:r>
        <w:rPr>
          <w:rFonts w:ascii="Arial" w:hAnsi="Arial" w:cs="Arial"/>
          <w:b/>
          <w:color w:val="C00000"/>
          <w:sz w:val="24"/>
        </w:rPr>
        <w:t>[</w:t>
      </w:r>
      <w:r>
        <w:rPr>
          <w:rFonts w:ascii="Arial" w:hAnsi="Arial" w:cs="Arial"/>
          <w:b/>
          <w:i/>
          <w:color w:val="C00000"/>
          <w:sz w:val="24"/>
        </w:rPr>
        <w:t>4/2019 PE Note:</w:t>
      </w:r>
      <w:r>
        <w:rPr>
          <w:rFonts w:ascii="Arial" w:hAnsi="Arial" w:cs="Arial"/>
          <w:b/>
          <w:color w:val="C00000"/>
          <w:sz w:val="24"/>
        </w:rPr>
        <w:t xml:space="preserve"> Do not plan on updating these documents; please note any comments you may have about content or formatting generally]</w:t>
      </w:r>
    </w:p>
    <w:p w14:paraId="7EB6CBAB" w14:textId="77777777" w:rsidR="007263DD" w:rsidRDefault="007263DD"/>
    <w:p w14:paraId="45B069F7" w14:textId="77777777" w:rsidR="007263DD" w:rsidRPr="008E0074" w:rsidRDefault="007263DD" w:rsidP="008E0074">
      <w:pPr>
        <w:shd w:val="clear" w:color="auto" w:fill="FFFFFF"/>
        <w:spacing w:after="225"/>
        <w:textAlignment w:val="baseline"/>
        <w:outlineLvl w:val="0"/>
        <w:rPr>
          <w:rFonts w:ascii="Helvetica" w:eastAsia="Times New Roman" w:hAnsi="Helvetica" w:cs="Helvetica"/>
          <w:b/>
          <w:bCs/>
          <w:color w:val="333333"/>
          <w:spacing w:val="15"/>
          <w:kern w:val="36"/>
          <w:sz w:val="36"/>
          <w:szCs w:val="36"/>
        </w:rPr>
      </w:pPr>
      <w:bookmarkStart w:id="21" w:name="Summ11_CIU"/>
      <w:r w:rsidRPr="008E0074">
        <w:rPr>
          <w:rFonts w:ascii="Helvetica" w:eastAsia="Times New Roman" w:hAnsi="Helvetica" w:cs="Helvetica"/>
          <w:b/>
          <w:bCs/>
          <w:color w:val="333333"/>
          <w:spacing w:val="15"/>
          <w:kern w:val="36"/>
          <w:sz w:val="36"/>
          <w:szCs w:val="36"/>
        </w:rPr>
        <w:t>Current Issues and Updates</w:t>
      </w:r>
      <w:bookmarkEnd w:id="21"/>
    </w:p>
    <w:p w14:paraId="1BDDF28A" w14:textId="77777777" w:rsidR="007263DD" w:rsidRPr="008E0074" w:rsidRDefault="007263DD" w:rsidP="008E0074">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8E0074">
        <w:rPr>
          <w:rFonts w:ascii="Arial" w:eastAsia="Times New Roman" w:hAnsi="Arial" w:cs="Arial"/>
          <w:b/>
          <w:bCs/>
          <w:color w:val="3C3030"/>
          <w:sz w:val="24"/>
          <w:szCs w:val="24"/>
        </w:rPr>
        <w:t>Summer 2011</w:t>
      </w:r>
    </w:p>
    <w:p w14:paraId="2CAE4863" w14:textId="055B0A94" w:rsidR="007263DD" w:rsidRPr="008E0074" w:rsidRDefault="007263DD" w:rsidP="008E0074">
      <w:pPr>
        <w:shd w:val="clear" w:color="auto" w:fill="FFFFFF"/>
        <w:spacing w:line="240" w:lineRule="atLeast"/>
        <w:textAlignment w:val="baseline"/>
        <w:rPr>
          <w:rFonts w:ascii="Arial" w:eastAsia="Times New Roman" w:hAnsi="Arial" w:cs="Arial"/>
          <w:color w:val="737373"/>
          <w:sz w:val="20"/>
          <w:szCs w:val="20"/>
        </w:rPr>
      </w:pPr>
      <w:r w:rsidRPr="008E0074">
        <w:rPr>
          <w:rFonts w:ascii="Arial" w:eastAsia="Times New Roman" w:hAnsi="Arial" w:cs="Arial"/>
          <w:i/>
          <w:iCs/>
          <w:color w:val="737373"/>
          <w:sz w:val="20"/>
          <w:szCs w:val="20"/>
          <w:bdr w:val="none" w:sz="0" w:space="0" w:color="auto" w:frame="1"/>
        </w:rPr>
        <w:t>Current Issues and Updates provides periodic updates on new and evolving issues related to the topics covered in the ASTHO Emergency Authority and Immunity Toolkit.</w:t>
      </w:r>
      <w:r w:rsidRPr="008E0074">
        <w:rPr>
          <w:rFonts w:ascii="Arial" w:eastAsia="Times New Roman" w:hAnsi="Arial" w:cs="Arial"/>
          <w:color w:val="737373"/>
          <w:sz w:val="20"/>
          <w:szCs w:val="20"/>
        </w:rPr>
        <w:t> </w:t>
      </w:r>
      <w:r w:rsidRPr="008E0074">
        <w:rPr>
          <w:rFonts w:ascii="Arial" w:eastAsia="Times New Roman" w:hAnsi="Arial" w:cs="Arial"/>
          <w:color w:val="737373"/>
          <w:sz w:val="20"/>
          <w:szCs w:val="20"/>
        </w:rPr>
        <w:br/>
        <w:t> </w:t>
      </w:r>
    </w:p>
    <w:p w14:paraId="351BD6E8" w14:textId="77777777" w:rsidR="007263DD" w:rsidRPr="008E0074" w:rsidRDefault="007263DD" w:rsidP="008E0074">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8E0074">
        <w:rPr>
          <w:rFonts w:ascii="Arial" w:eastAsia="Times New Roman" w:hAnsi="Arial" w:cs="Arial"/>
          <w:b/>
          <w:bCs/>
          <w:color w:val="3C3030"/>
          <w:sz w:val="24"/>
          <w:szCs w:val="24"/>
        </w:rPr>
        <w:t>New Presidential Policy Directive Replaces HSPD-8</w:t>
      </w:r>
    </w:p>
    <w:p w14:paraId="08104D10" w14:textId="77777777" w:rsidR="007263DD" w:rsidRPr="008E0074" w:rsidRDefault="007263DD" w:rsidP="008E0074">
      <w:pPr>
        <w:shd w:val="clear" w:color="auto" w:fill="FFFFFF"/>
        <w:spacing w:line="240" w:lineRule="atLeast"/>
        <w:textAlignment w:val="baseline"/>
        <w:rPr>
          <w:rFonts w:ascii="Arial" w:eastAsia="Times New Roman" w:hAnsi="Arial" w:cs="Arial"/>
          <w:color w:val="737373"/>
          <w:sz w:val="20"/>
          <w:szCs w:val="20"/>
        </w:rPr>
      </w:pPr>
      <w:r w:rsidRPr="008E0074">
        <w:rPr>
          <w:rFonts w:ascii="Arial" w:eastAsia="Times New Roman" w:hAnsi="Arial" w:cs="Arial"/>
          <w:color w:val="737373"/>
          <w:sz w:val="20"/>
          <w:szCs w:val="20"/>
        </w:rPr>
        <w:t xml:space="preserve">On March 30, 2011, President Obama issued Presidential Policy Directive-8 (PPD-8) on national preparedness, which replaces the prior Homeland Security Policy Directive 8 (HSPD-8, “National Preparedness”). The new national preparedness directive retains an all-hazards, risk-based approach to national preparedness, while establishing four categories of hazards for attention: terrorism, catastrophic natural disasters, </w:t>
      </w:r>
      <w:proofErr w:type="spellStart"/>
      <w:r w:rsidRPr="008E0074">
        <w:rPr>
          <w:rFonts w:ascii="Arial" w:eastAsia="Times New Roman" w:hAnsi="Arial" w:cs="Arial"/>
          <w:color w:val="737373"/>
          <w:sz w:val="20"/>
          <w:szCs w:val="20"/>
        </w:rPr>
        <w:t>cyber attacks</w:t>
      </w:r>
      <w:proofErr w:type="spellEnd"/>
      <w:r w:rsidRPr="008E0074">
        <w:rPr>
          <w:rFonts w:ascii="Arial" w:eastAsia="Times New Roman" w:hAnsi="Arial" w:cs="Arial"/>
          <w:color w:val="737373"/>
          <w:sz w:val="20"/>
          <w:szCs w:val="20"/>
        </w:rPr>
        <w:t>, and pandemics. HSPD-8 was originally issued in 2003 and was followed by Annex 1 to HSPD-8 in 2007. HSPD-8 was issued as a companion directive to HSPD-5 (“Management of Domestic Incidents”) to establish policies strengthening U.S. preparedness to prevent and respond to domestic terrorist attacks, major disasters, and other emergencies. </w:t>
      </w:r>
      <w:r w:rsidRPr="008E0074">
        <w:rPr>
          <w:rFonts w:ascii="Arial" w:eastAsia="Times New Roman" w:hAnsi="Arial" w:cs="Arial"/>
          <w:color w:val="737373"/>
          <w:sz w:val="20"/>
          <w:szCs w:val="20"/>
        </w:rPr>
        <w:br/>
      </w:r>
      <w:r w:rsidRPr="008E0074">
        <w:rPr>
          <w:rFonts w:ascii="Arial" w:eastAsia="Times New Roman" w:hAnsi="Arial" w:cs="Arial"/>
          <w:color w:val="737373"/>
          <w:sz w:val="20"/>
          <w:szCs w:val="20"/>
        </w:rPr>
        <w:br/>
        <w:t>Presidential directives are orders by the president that are issued under the president’s constitutional or other statutory powers. Presidential directives explain how executive branch agencies implement presidential authority. There are different directive types, such as executive orders and policy directives. The naming and usage of various directive types can change from administration to administration. Homeland Security Presidential Directives were created during the Bush administration in 2001 and are presidential directives that pertain to homeland security issues. The Obama administration uses Presidential Policy Directives for homeland security issues. Like executive orders, presidential directives remain in effect upon a change in administration, unless otherwise specified in the document or until subsequent presidential action is taken. </w:t>
      </w:r>
      <w:r w:rsidRPr="008E0074">
        <w:rPr>
          <w:rFonts w:ascii="Arial" w:eastAsia="Times New Roman" w:hAnsi="Arial" w:cs="Arial"/>
          <w:color w:val="737373"/>
          <w:sz w:val="20"/>
          <w:szCs w:val="20"/>
        </w:rPr>
        <w:br/>
      </w:r>
      <w:r w:rsidRPr="008E0074">
        <w:rPr>
          <w:rFonts w:ascii="Arial" w:eastAsia="Times New Roman" w:hAnsi="Arial" w:cs="Arial"/>
          <w:color w:val="737373"/>
          <w:sz w:val="20"/>
          <w:szCs w:val="20"/>
        </w:rPr>
        <w:br/>
        <w:t>PPD-8 replaces HSPD-8 and HSPD-8 Annex 1, with the exception of paragraph 44 in Annex 1. PPD-8 requires the secretary of Homeland Security to develop and submit a National Preparedness Goal that considers the risk of specific threats and vulnerabilities—taking into account regional variations—and includes measurable and prioritized objectives to mitigate risk. The National Preparedness Goal will also define core capabilities in five areas necessary to prepare for specific incidents that pose the greatest security risk to the nation: prevention, protection, mitigation, response, and recovery. The National Preparedness Goal should also reflect the policy direction outlined in the National Security Strategy. </w:t>
      </w:r>
      <w:r w:rsidRPr="008E0074">
        <w:rPr>
          <w:rFonts w:ascii="Arial" w:eastAsia="Times New Roman" w:hAnsi="Arial" w:cs="Arial"/>
          <w:color w:val="737373"/>
          <w:sz w:val="20"/>
          <w:szCs w:val="20"/>
        </w:rPr>
        <w:br/>
      </w:r>
      <w:r w:rsidRPr="008E0074">
        <w:rPr>
          <w:rFonts w:ascii="Arial" w:eastAsia="Times New Roman" w:hAnsi="Arial" w:cs="Arial"/>
          <w:color w:val="737373"/>
          <w:sz w:val="20"/>
          <w:szCs w:val="20"/>
        </w:rPr>
        <w:br/>
        <w:t>PPD-8 further calls for the establishment of a National Preparedness System to help guide domestic efforts at all levels of government and in all sectors to build and sustain the capabilities outlined in the National Preparedness Goal. PPD-8 emphasizes an “all-of-nation” preparedness approach that relies on the integration of effort and resources of “[f]</w:t>
      </w:r>
      <w:proofErr w:type="spellStart"/>
      <w:r w:rsidRPr="008E0074">
        <w:rPr>
          <w:rFonts w:ascii="Arial" w:eastAsia="Times New Roman" w:hAnsi="Arial" w:cs="Arial"/>
          <w:color w:val="737373"/>
          <w:sz w:val="20"/>
          <w:szCs w:val="20"/>
        </w:rPr>
        <w:t>ederal</w:t>
      </w:r>
      <w:proofErr w:type="spellEnd"/>
      <w:r w:rsidRPr="008E0074">
        <w:rPr>
          <w:rFonts w:ascii="Arial" w:eastAsia="Times New Roman" w:hAnsi="Arial" w:cs="Arial"/>
          <w:color w:val="737373"/>
          <w:sz w:val="20"/>
          <w:szCs w:val="20"/>
        </w:rPr>
        <w:t>, state, local, tribal and territorial governments, the private and nonprofit sectors, and the public.” </w:t>
      </w:r>
      <w:r w:rsidRPr="008E0074">
        <w:rPr>
          <w:rFonts w:ascii="Arial" w:eastAsia="Times New Roman" w:hAnsi="Arial" w:cs="Arial"/>
          <w:color w:val="737373"/>
          <w:sz w:val="20"/>
          <w:szCs w:val="20"/>
        </w:rPr>
        <w:br/>
      </w:r>
      <w:r w:rsidRPr="008E0074">
        <w:rPr>
          <w:rFonts w:ascii="Arial" w:eastAsia="Times New Roman" w:hAnsi="Arial" w:cs="Arial"/>
          <w:color w:val="737373"/>
          <w:sz w:val="20"/>
          <w:szCs w:val="20"/>
        </w:rPr>
        <w:br/>
        <w:t>PPD-8 and other HSPDs are available through the Department of Homeland Security’s website at </w:t>
      </w:r>
      <w:hyperlink r:id="rId148" w:tooltip="www.dhs.gov/xlibrary/assets/presidential-policy-directive-8-national-preparedness.pdf" w:history="1">
        <w:r w:rsidRPr="008E0074">
          <w:rPr>
            <w:rFonts w:ascii="Arial" w:eastAsia="Times New Roman" w:hAnsi="Arial" w:cs="Arial"/>
            <w:color w:val="0F88B8"/>
            <w:sz w:val="20"/>
            <w:szCs w:val="20"/>
            <w:u w:val="single"/>
            <w:bdr w:val="none" w:sz="0" w:space="0" w:color="auto" w:frame="1"/>
          </w:rPr>
          <w:t>www.dhs.gov/xlibrary/assets/presidential-policy-directive-8-national-preparedness.pdf</w:t>
        </w:r>
      </w:hyperlink>
      <w:r w:rsidRPr="008E0074">
        <w:rPr>
          <w:rFonts w:ascii="Arial" w:eastAsia="Times New Roman" w:hAnsi="Arial" w:cs="Arial"/>
          <w:color w:val="737373"/>
          <w:sz w:val="20"/>
          <w:szCs w:val="20"/>
        </w:rPr>
        <w:t>. </w:t>
      </w:r>
      <w:r w:rsidRPr="008E0074">
        <w:rPr>
          <w:rFonts w:ascii="Arial" w:eastAsia="Times New Roman" w:hAnsi="Arial" w:cs="Arial"/>
          <w:color w:val="737373"/>
          <w:sz w:val="20"/>
          <w:szCs w:val="20"/>
        </w:rPr>
        <w:br/>
      </w:r>
      <w:r w:rsidRPr="008E0074">
        <w:rPr>
          <w:rFonts w:ascii="Arial" w:eastAsia="Times New Roman" w:hAnsi="Arial" w:cs="Arial"/>
          <w:color w:val="737373"/>
          <w:sz w:val="20"/>
          <w:szCs w:val="20"/>
        </w:rPr>
        <w:br/>
        <w:t xml:space="preserve">The text of a White House fact sheet about PPD-8 is available through the Public Health Law Network’s </w:t>
      </w:r>
      <w:r w:rsidRPr="008E0074">
        <w:rPr>
          <w:rFonts w:ascii="Arial" w:eastAsia="Times New Roman" w:hAnsi="Arial" w:cs="Arial"/>
          <w:color w:val="737373"/>
          <w:sz w:val="20"/>
          <w:szCs w:val="20"/>
        </w:rPr>
        <w:lastRenderedPageBreak/>
        <w:t xml:space="preserve">website </w:t>
      </w:r>
      <w:r>
        <w:rPr>
          <w:rFonts w:ascii="Arial" w:eastAsia="Times New Roman" w:hAnsi="Arial" w:cs="Arial"/>
          <w:color w:val="737373"/>
          <w:sz w:val="20"/>
          <w:szCs w:val="20"/>
        </w:rPr>
        <w:t>a</w:t>
      </w:r>
      <w:r w:rsidRPr="008E0074">
        <w:rPr>
          <w:rFonts w:ascii="Arial" w:eastAsia="Times New Roman" w:hAnsi="Arial" w:cs="Arial"/>
          <w:color w:val="737373"/>
          <w:sz w:val="20"/>
          <w:szCs w:val="20"/>
        </w:rPr>
        <w:t>t </w:t>
      </w:r>
      <w:hyperlink r:id="rId149" w:tooltip="www.networkforphl.org/network_resources/archived_external_resources/new_presidential_policy_directive_on_national_preparedness/" w:history="1">
        <w:r w:rsidRPr="008E0074">
          <w:rPr>
            <w:rFonts w:ascii="Arial" w:eastAsia="Times New Roman" w:hAnsi="Arial" w:cs="Arial"/>
            <w:color w:val="0F88B8"/>
            <w:sz w:val="20"/>
            <w:szCs w:val="20"/>
            <w:u w:val="single"/>
            <w:bdr w:val="none" w:sz="0" w:space="0" w:color="auto" w:frame="1"/>
          </w:rPr>
          <w:t>www.networkforphl.org/network_resources/archived_external_resources/new_presidential_policy_directive_on_national_preparedness/</w:t>
        </w:r>
      </w:hyperlink>
      <w:r w:rsidRPr="008E0074">
        <w:rPr>
          <w:rFonts w:ascii="Arial" w:eastAsia="Times New Roman" w:hAnsi="Arial" w:cs="Arial"/>
          <w:color w:val="737373"/>
          <w:sz w:val="20"/>
          <w:szCs w:val="20"/>
        </w:rPr>
        <w:t>. </w:t>
      </w:r>
      <w:r w:rsidRPr="008E0074">
        <w:rPr>
          <w:rFonts w:ascii="Arial" w:eastAsia="Times New Roman" w:hAnsi="Arial" w:cs="Arial"/>
          <w:color w:val="737373"/>
          <w:sz w:val="20"/>
          <w:szCs w:val="20"/>
        </w:rPr>
        <w:br/>
      </w:r>
      <w:r w:rsidRPr="008E0074">
        <w:rPr>
          <w:rFonts w:ascii="Arial" w:eastAsia="Times New Roman" w:hAnsi="Arial" w:cs="Arial"/>
          <w:color w:val="737373"/>
          <w:sz w:val="20"/>
          <w:szCs w:val="20"/>
        </w:rPr>
        <w:br/>
        <w:t>For more information about presidential directives, see the ASTHO fact sheet </w:t>
      </w:r>
      <w:hyperlink r:id="rId150" w:tooltip="Federal Emergency Directives and Systems" w:history="1">
        <w:r w:rsidRPr="008E0074">
          <w:rPr>
            <w:rFonts w:ascii="Arial" w:eastAsia="Times New Roman" w:hAnsi="Arial" w:cs="Arial"/>
            <w:color w:val="0F88B8"/>
            <w:sz w:val="20"/>
            <w:szCs w:val="20"/>
            <w:u w:val="single"/>
            <w:bdr w:val="none" w:sz="0" w:space="0" w:color="auto" w:frame="1"/>
          </w:rPr>
          <w:t>Federal Emergency Directives and Systems</w:t>
        </w:r>
      </w:hyperlink>
      <w:r w:rsidRPr="008E0074">
        <w:rPr>
          <w:rFonts w:ascii="Arial" w:eastAsia="Times New Roman" w:hAnsi="Arial" w:cs="Arial"/>
          <w:color w:val="737373"/>
          <w:sz w:val="20"/>
          <w:szCs w:val="20"/>
        </w:rPr>
        <w:t>. </w:t>
      </w:r>
      <w:r w:rsidRPr="008E0074">
        <w:rPr>
          <w:rFonts w:ascii="Arial" w:eastAsia="Times New Roman" w:hAnsi="Arial" w:cs="Arial"/>
          <w:color w:val="737373"/>
          <w:sz w:val="20"/>
          <w:szCs w:val="20"/>
        </w:rPr>
        <w:br/>
      </w:r>
      <w:r w:rsidRPr="008E0074">
        <w:rPr>
          <w:rFonts w:ascii="Arial" w:eastAsia="Times New Roman" w:hAnsi="Arial" w:cs="Arial"/>
          <w:color w:val="737373"/>
          <w:sz w:val="20"/>
          <w:szCs w:val="20"/>
        </w:rPr>
        <w:br/>
        <w:t>The National Security Strategy document is available on the White House website at </w:t>
      </w:r>
      <w:hyperlink r:id="rId151" w:tooltip="www.whitehouse.gov/sites/default/files/rss_viewer/national_security_strategy.pdf" w:history="1">
        <w:r w:rsidRPr="008E0074">
          <w:rPr>
            <w:rFonts w:ascii="Arial" w:eastAsia="Times New Roman" w:hAnsi="Arial" w:cs="Arial"/>
            <w:color w:val="0F88B8"/>
            <w:sz w:val="20"/>
            <w:szCs w:val="20"/>
            <w:u w:val="single"/>
            <w:bdr w:val="none" w:sz="0" w:space="0" w:color="auto" w:frame="1"/>
          </w:rPr>
          <w:t>www.whitehouse.gov/sites/default/files/rss_viewer/national_security_strategy.pdf</w:t>
        </w:r>
      </w:hyperlink>
      <w:r w:rsidRPr="008E0074">
        <w:rPr>
          <w:rFonts w:ascii="Arial" w:eastAsia="Times New Roman" w:hAnsi="Arial" w:cs="Arial"/>
          <w:color w:val="737373"/>
          <w:sz w:val="20"/>
          <w:szCs w:val="20"/>
        </w:rPr>
        <w:t>. </w:t>
      </w:r>
      <w:r w:rsidRPr="008E0074">
        <w:rPr>
          <w:rFonts w:ascii="Arial" w:eastAsia="Times New Roman" w:hAnsi="Arial" w:cs="Arial"/>
          <w:color w:val="737373"/>
          <w:sz w:val="20"/>
          <w:szCs w:val="20"/>
        </w:rPr>
        <w:br/>
      </w:r>
      <w:r w:rsidRPr="008E0074">
        <w:rPr>
          <w:rFonts w:ascii="Arial" w:eastAsia="Times New Roman" w:hAnsi="Arial" w:cs="Arial"/>
          <w:color w:val="737373"/>
          <w:sz w:val="20"/>
          <w:szCs w:val="20"/>
        </w:rPr>
        <w:br/>
        <w:t>The National Health Security Strategy document is available on the HHS Office of the Assistant Secretary for Preparedness and Response website at </w:t>
      </w:r>
      <w:hyperlink r:id="rId152" w:tooltip="www.phe.gov/preparedness/planning/authority/nhss/Pages/default.aspx" w:history="1">
        <w:r w:rsidRPr="008E0074">
          <w:rPr>
            <w:rFonts w:ascii="Arial" w:eastAsia="Times New Roman" w:hAnsi="Arial" w:cs="Arial"/>
            <w:color w:val="0F88B8"/>
            <w:sz w:val="20"/>
            <w:szCs w:val="20"/>
            <w:u w:val="single"/>
            <w:bdr w:val="none" w:sz="0" w:space="0" w:color="auto" w:frame="1"/>
          </w:rPr>
          <w:t>www.phe.gov/preparedness/planning/authority/nhss/Pages/default.aspx</w:t>
        </w:r>
      </w:hyperlink>
      <w:r w:rsidRPr="008E0074">
        <w:rPr>
          <w:rFonts w:ascii="Arial" w:eastAsia="Times New Roman" w:hAnsi="Arial" w:cs="Arial"/>
          <w:color w:val="737373"/>
          <w:sz w:val="20"/>
          <w:szCs w:val="20"/>
        </w:rPr>
        <w:t>. </w:t>
      </w:r>
      <w:r w:rsidRPr="008E0074">
        <w:rPr>
          <w:rFonts w:ascii="Arial" w:eastAsia="Times New Roman" w:hAnsi="Arial" w:cs="Arial"/>
          <w:color w:val="737373"/>
          <w:sz w:val="20"/>
          <w:szCs w:val="20"/>
        </w:rPr>
        <w:br/>
        <w:t> </w:t>
      </w:r>
    </w:p>
    <w:p w14:paraId="47BB7002" w14:textId="77777777" w:rsidR="003E27F6" w:rsidRDefault="003E27F6" w:rsidP="003E27F6">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TOC t</w:t>
        </w:r>
        <w:r w:rsidRPr="00B16B87">
          <w:rPr>
            <w:rStyle w:val="Hyperlink"/>
            <w:rFonts w:ascii="Calibri" w:hAnsi="Calibri" w:cs="Calibri"/>
            <w:sz w:val="24"/>
          </w:rPr>
          <w:t>o</w:t>
        </w:r>
        <w:r w:rsidRPr="00B16B87">
          <w:rPr>
            <w:rStyle w:val="Hyperlink"/>
            <w:rFonts w:ascii="Calibri" w:hAnsi="Calibri" w:cs="Calibri"/>
            <w:sz w:val="24"/>
          </w:rPr>
          <w:t>p</w:t>
        </w:r>
      </w:hyperlink>
      <w:r>
        <w:rPr>
          <w:rFonts w:ascii="Calibri" w:hAnsi="Calibri" w:cs="Calibri"/>
          <w:sz w:val="24"/>
        </w:rPr>
        <w:t>]</w:t>
      </w:r>
    </w:p>
    <w:p w14:paraId="74691CED" w14:textId="0A374BF0" w:rsidR="007263DD" w:rsidRDefault="007263DD"/>
    <w:p w14:paraId="0668FA14" w14:textId="044E741C" w:rsidR="003E27F6" w:rsidRDefault="003E27F6">
      <w:r>
        <w:br w:type="page"/>
      </w:r>
    </w:p>
    <w:p w14:paraId="379A0F7F" w14:textId="77777777" w:rsidR="007263DD" w:rsidRPr="002C6FA0" w:rsidRDefault="007263DD" w:rsidP="00E03C10">
      <w:pPr>
        <w:rPr>
          <w:rFonts w:ascii="Calibri" w:eastAsia="Times New Roman" w:hAnsi="Calibri" w:cs="Helvetica"/>
          <w:b/>
          <w:bCs/>
          <w:color w:val="333333"/>
          <w:spacing w:val="15"/>
          <w:kern w:val="36"/>
          <w:sz w:val="36"/>
          <w:szCs w:val="36"/>
        </w:rPr>
      </w:pPr>
      <w:bookmarkStart w:id="22" w:name="SuppMats"/>
      <w:r w:rsidRPr="002C6FA0">
        <w:rPr>
          <w:rFonts w:ascii="Calibri" w:eastAsia="Times New Roman" w:hAnsi="Calibri" w:cs="Helvetica"/>
          <w:b/>
          <w:bCs/>
          <w:color w:val="333333"/>
          <w:spacing w:val="15"/>
          <w:kern w:val="36"/>
          <w:sz w:val="36"/>
          <w:szCs w:val="36"/>
        </w:rPr>
        <w:lastRenderedPageBreak/>
        <w:t>Supplemental Materials</w:t>
      </w:r>
      <w:bookmarkEnd w:id="22"/>
    </w:p>
    <w:p w14:paraId="2C514EE8" w14:textId="77777777" w:rsidR="007263DD" w:rsidRPr="002C6FA0" w:rsidRDefault="007263DD" w:rsidP="00663E93">
      <w:pPr>
        <w:shd w:val="clear" w:color="auto" w:fill="FFFFFF"/>
        <w:spacing w:line="240" w:lineRule="atLeast"/>
        <w:textAlignment w:val="baseline"/>
        <w:rPr>
          <w:rFonts w:ascii="Calibri" w:eastAsia="Times New Roman" w:hAnsi="Calibri" w:cs="Arial"/>
          <w:color w:val="000000" w:themeColor="text1"/>
          <w:szCs w:val="20"/>
        </w:rPr>
      </w:pPr>
      <w:r w:rsidRPr="002C6FA0">
        <w:rPr>
          <w:rFonts w:ascii="Calibri" w:eastAsia="Times New Roman" w:hAnsi="Calibri" w:cs="Arial"/>
          <w:color w:val="000000" w:themeColor="text1"/>
          <w:szCs w:val="20"/>
        </w:rPr>
        <w:t>The Supplemental Materials compilation lists key documents and additional resources related to the issues raised in the Emergency Authority &amp; Immunity Toolkit. The documents listed are for reference purposes only and are not a complete listing of resources available on the issue. Individual users are responsible for researching the current text of laws, statutes, regulations, and other materials. The document lists bibliographical information and, where available, online links to the resources. All links are current as of May 30, 2013. Please report broken links to ASTHO at </w:t>
      </w:r>
      <w:hyperlink r:id="rId153" w:history="1">
        <w:r w:rsidRPr="002C6FA0">
          <w:rPr>
            <w:rFonts w:ascii="Calibri" w:eastAsia="Times New Roman" w:hAnsi="Calibri" w:cs="Arial"/>
            <w:color w:val="000000" w:themeColor="text1"/>
            <w:szCs w:val="20"/>
            <w:u w:val="single"/>
            <w:bdr w:val="none" w:sz="0" w:space="0" w:color="auto" w:frame="1"/>
          </w:rPr>
          <w:t>communications@astho.org</w:t>
        </w:r>
      </w:hyperlink>
      <w:r w:rsidRPr="002C6FA0">
        <w:rPr>
          <w:rFonts w:ascii="Calibri" w:eastAsia="Times New Roman" w:hAnsi="Calibri" w:cs="Arial"/>
          <w:color w:val="000000" w:themeColor="text1"/>
          <w:szCs w:val="20"/>
        </w:rPr>
        <w:t>.</w:t>
      </w:r>
    </w:p>
    <w:p w14:paraId="464CF6F8" w14:textId="77777777" w:rsidR="007263DD" w:rsidRPr="002C6FA0" w:rsidRDefault="007263DD" w:rsidP="00E03C10">
      <w:pPr>
        <w:rPr>
          <w:rFonts w:ascii="Calibri" w:eastAsia="Times New Roman" w:hAnsi="Calibri" w:cs="Arial"/>
          <w:b/>
          <w:bCs/>
          <w:color w:val="000000" w:themeColor="text1"/>
          <w:sz w:val="28"/>
          <w:szCs w:val="24"/>
        </w:rPr>
      </w:pPr>
    </w:p>
    <w:p w14:paraId="11AB5606" w14:textId="77777777" w:rsidR="007263DD" w:rsidRPr="002C6FA0" w:rsidRDefault="007263DD" w:rsidP="00E03C10">
      <w:pPr>
        <w:rPr>
          <w:rFonts w:ascii="Calibri" w:eastAsia="Times New Roman" w:hAnsi="Calibri" w:cs="Arial"/>
          <w:b/>
          <w:bCs/>
          <w:color w:val="3C3030"/>
          <w:sz w:val="24"/>
          <w:szCs w:val="24"/>
        </w:rPr>
      </w:pPr>
      <w:r w:rsidRPr="002C6FA0">
        <w:rPr>
          <w:rFonts w:ascii="Calibri" w:eastAsia="Times New Roman" w:hAnsi="Calibri" w:cs="Arial"/>
          <w:b/>
          <w:bCs/>
          <w:color w:val="3C3030"/>
          <w:sz w:val="24"/>
          <w:szCs w:val="24"/>
        </w:rPr>
        <w:t>Index</w:t>
      </w:r>
    </w:p>
    <w:p w14:paraId="750FD40E" w14:textId="77777777" w:rsidR="007263DD" w:rsidRPr="002C6FA0" w:rsidRDefault="007263DD" w:rsidP="00E03C10">
      <w:pPr>
        <w:rPr>
          <w:rFonts w:ascii="Calibri" w:eastAsia="Times New Roman" w:hAnsi="Calibri" w:cs="Arial"/>
          <w:b/>
          <w:bCs/>
          <w:color w:val="000000" w:themeColor="text1"/>
        </w:rPr>
      </w:pPr>
    </w:p>
    <w:p w14:paraId="7B471FE8" w14:textId="77777777" w:rsidR="007263DD" w:rsidRPr="002C6FA0" w:rsidRDefault="007263DD"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General Resources and Compilations</w:t>
      </w:r>
    </w:p>
    <w:p w14:paraId="72A00D2D" w14:textId="77777777" w:rsidR="007263DD" w:rsidRPr="002C6FA0" w:rsidRDefault="007263DD" w:rsidP="002C6FA0">
      <w:pPr>
        <w:shd w:val="clear" w:color="auto" w:fill="FFFFFF"/>
        <w:spacing w:after="240" w:line="240" w:lineRule="atLeast"/>
        <w:textAlignment w:val="baseline"/>
        <w:rPr>
          <w:rFonts w:ascii="Calibri" w:eastAsia="Times New Roman" w:hAnsi="Calibri" w:cs="Arial"/>
          <w:b/>
          <w:bCs/>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A—E </w:t>
      </w:r>
      <w:r w:rsidRPr="002C6FA0">
        <w:rPr>
          <w:rFonts w:ascii="Calibri" w:eastAsia="Times New Roman" w:hAnsi="Calibri" w:cs="Arial"/>
          <w:b/>
          <w:bCs/>
          <w:color w:val="000000" w:themeColor="text1"/>
          <w:bdr w:val="none" w:sz="0" w:space="0" w:color="auto" w:frame="1"/>
        </w:rPr>
        <w:br/>
      </w:r>
      <w:hyperlink r:id="rId154" w:anchor="At-Risk" w:history="1">
        <w:r w:rsidRPr="002C6FA0">
          <w:rPr>
            <w:rFonts w:ascii="Calibri" w:eastAsia="Times New Roman" w:hAnsi="Calibri" w:cs="Arial"/>
            <w:color w:val="0F88B8"/>
            <w:u w:val="single"/>
            <w:bdr w:val="none" w:sz="0" w:space="0" w:color="auto" w:frame="1"/>
          </w:rPr>
          <w:t>At-Risk Individuals and Communities</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55" w:anchor="Americans-with" w:history="1">
        <w:r w:rsidRPr="002C6FA0">
          <w:rPr>
            <w:rFonts w:ascii="Calibri" w:eastAsia="Times New Roman" w:hAnsi="Calibri" w:cs="Arial"/>
            <w:color w:val="0F88B8"/>
            <w:u w:val="single"/>
            <w:bdr w:val="none" w:sz="0" w:space="0" w:color="auto" w:frame="1"/>
          </w:rPr>
          <w:t>Americans with Disabilities Act (ADA)</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56" w:anchor="Biomedical-Advanced" w:history="1">
        <w:r w:rsidRPr="002C6FA0">
          <w:rPr>
            <w:rFonts w:ascii="Calibri" w:eastAsia="Times New Roman" w:hAnsi="Calibri" w:cs="Arial"/>
            <w:color w:val="0F88B8"/>
            <w:u w:val="single"/>
            <w:bdr w:val="none" w:sz="0" w:space="0" w:color="auto" w:frame="1"/>
          </w:rPr>
          <w:t>Biomedical Advanced Research and Development Authority (BARDA)</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57" w:anchor="Civil-Rights" w:history="1">
        <w:r w:rsidRPr="002C6FA0">
          <w:rPr>
            <w:rFonts w:ascii="Calibri" w:eastAsia="Times New Roman" w:hAnsi="Calibri" w:cs="Arial"/>
            <w:color w:val="0F88B8"/>
            <w:u w:val="single"/>
            <w:bdr w:val="none" w:sz="0" w:space="0" w:color="auto" w:frame="1"/>
          </w:rPr>
          <w:t>Civil Rights Act, Section 1983</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58" w:anchor="Countermeasures-Injury" w:history="1">
        <w:r w:rsidRPr="002C6FA0">
          <w:rPr>
            <w:rFonts w:ascii="Calibri" w:eastAsia="Times New Roman" w:hAnsi="Calibri" w:cs="Arial"/>
            <w:color w:val="0F88B8"/>
            <w:u w:val="single"/>
            <w:bdr w:val="none" w:sz="0" w:space="0" w:color="auto" w:frame="1"/>
          </w:rPr>
          <w:t>Countermeasures Injury Compensation Program (CICP)</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59" w:anchor="Emergency-Management" w:history="1">
        <w:r w:rsidRPr="002C6FA0">
          <w:rPr>
            <w:rFonts w:ascii="Calibri" w:eastAsia="Times New Roman" w:hAnsi="Calibri" w:cs="Arial"/>
            <w:color w:val="0F88B8"/>
            <w:u w:val="single"/>
            <w:bdr w:val="none" w:sz="0" w:space="0" w:color="auto" w:frame="1"/>
          </w:rPr>
          <w:t>Emergency Management Assistance Compact (EMAC)</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60" w:anchor="Emergency-Medical" w:history="1">
        <w:r w:rsidRPr="002C6FA0">
          <w:rPr>
            <w:rFonts w:ascii="Calibri" w:eastAsia="Times New Roman" w:hAnsi="Calibri" w:cs="Arial"/>
            <w:color w:val="0F88B8"/>
            <w:u w:val="single"/>
            <w:bdr w:val="none" w:sz="0" w:space="0" w:color="auto" w:frame="1"/>
          </w:rPr>
          <w:t>Emergency Medical Treatment and Labor Act (EMTALA)</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61" w:anchor="Emergency-Support-Function-(ESF)" w:history="1">
        <w:r w:rsidRPr="002C6FA0">
          <w:rPr>
            <w:rFonts w:ascii="Calibri" w:eastAsia="Times New Roman" w:hAnsi="Calibri" w:cs="Arial"/>
            <w:color w:val="0F88B8"/>
            <w:u w:val="single"/>
            <w:bdr w:val="none" w:sz="0" w:space="0" w:color="auto" w:frame="1"/>
          </w:rPr>
          <w:t>Emergency Support Function (ESF)</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62" w:anchor="Emergency-System" w:history="1">
        <w:r w:rsidRPr="002C6FA0">
          <w:rPr>
            <w:rFonts w:ascii="Calibri" w:eastAsia="Times New Roman" w:hAnsi="Calibri" w:cs="Arial"/>
            <w:color w:val="0F88B8"/>
            <w:u w:val="single"/>
            <w:bdr w:val="none" w:sz="0" w:space="0" w:color="auto" w:frame="1"/>
          </w:rPr>
          <w:t>Emergency System for Advance Registration of Volunteer Health Professionals (ESAR-VHP)</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63" w:anchor="Emergency-Use-Authorization-(EUA)" w:history="1">
        <w:r w:rsidRPr="002C6FA0">
          <w:rPr>
            <w:rFonts w:ascii="Calibri" w:eastAsia="Times New Roman" w:hAnsi="Calibri" w:cs="Arial"/>
            <w:color w:val="0F88B8"/>
            <w:u w:val="single"/>
            <w:bdr w:val="none" w:sz="0" w:space="0" w:color="auto" w:frame="1"/>
          </w:rPr>
          <w:t>Emergency Use Authorization (EUA)</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64" w:anchor="Entity-Liability" w:history="1">
        <w:r w:rsidRPr="002C6FA0">
          <w:rPr>
            <w:rFonts w:ascii="Calibri" w:eastAsia="Times New Roman" w:hAnsi="Calibri" w:cs="Arial"/>
            <w:color w:val="0F88B8"/>
            <w:u w:val="single"/>
            <w:bdr w:val="none" w:sz="0" w:space="0" w:color="auto" w:frame="1"/>
          </w:rPr>
          <w:t>Entity Liability</w:t>
        </w:r>
      </w:hyperlink>
      <w:r w:rsidRPr="002C6FA0">
        <w:rPr>
          <w:rFonts w:ascii="Calibri" w:eastAsia="Times New Roman" w:hAnsi="Calibri" w:cs="Arial"/>
          <w:color w:val="737373"/>
        </w:rPr>
        <w:t> </w:t>
      </w:r>
      <w:r w:rsidRPr="002C6FA0">
        <w:rPr>
          <w:rFonts w:ascii="Calibri" w:eastAsia="Times New Roman" w:hAnsi="Calibri" w:cs="Arial"/>
          <w:color w:val="737373"/>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F—J </w:t>
      </w:r>
      <w:r w:rsidRPr="002C6FA0">
        <w:rPr>
          <w:rFonts w:ascii="Calibri" w:eastAsia="Times New Roman" w:hAnsi="Calibri" w:cs="Arial"/>
          <w:b/>
          <w:bCs/>
          <w:color w:val="000000" w:themeColor="text1"/>
          <w:bdr w:val="none" w:sz="0" w:space="0" w:color="auto" w:frame="1"/>
        </w:rPr>
        <w:br/>
      </w:r>
      <w:hyperlink r:id="rId165" w:anchor="Family-Educational-Rights-and-Privacy-Act-(FERPA)" w:history="1">
        <w:r w:rsidRPr="002C6FA0">
          <w:rPr>
            <w:rFonts w:ascii="Calibri" w:eastAsia="Times New Roman" w:hAnsi="Calibri" w:cs="Arial"/>
            <w:color w:val="0F88B8"/>
            <w:u w:val="single"/>
            <w:bdr w:val="none" w:sz="0" w:space="0" w:color="auto" w:frame="1"/>
          </w:rPr>
          <w:t>Family Educational Rights and Privacy Act (FERPA)</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66" w:anchor="Federal-Employees-Compensation-Act-(FECA)" w:history="1">
        <w:r w:rsidRPr="002C6FA0">
          <w:rPr>
            <w:rFonts w:ascii="Calibri" w:eastAsia="Times New Roman" w:hAnsi="Calibri" w:cs="Arial"/>
            <w:color w:val="0F88B8"/>
            <w:u w:val="single"/>
            <w:bdr w:val="none" w:sz="0" w:space="0" w:color="auto" w:frame="1"/>
          </w:rPr>
          <w:t>Federal Employees Compensation Act (FECA)</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67" w:anchor="Federal-Tort-Claims-Act-(FTCA)" w:history="1">
        <w:r w:rsidRPr="002C6FA0">
          <w:rPr>
            <w:rFonts w:ascii="Calibri" w:eastAsia="Times New Roman" w:hAnsi="Calibri" w:cs="Arial"/>
            <w:color w:val="0F88B8"/>
            <w:u w:val="single"/>
            <w:bdr w:val="none" w:sz="0" w:space="0" w:color="auto" w:frame="1"/>
          </w:rPr>
          <w:t>Federal Tort Claims Act (FTCA)</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68" w:anchor="HHS-Office-of-the-Assistant-Secretary-for-Preparedness-and-Response-(ASPR)" w:history="1">
        <w:r w:rsidRPr="002C6FA0">
          <w:rPr>
            <w:rFonts w:ascii="Calibri" w:eastAsia="Times New Roman" w:hAnsi="Calibri" w:cs="Arial"/>
            <w:color w:val="0F88B8"/>
            <w:u w:val="single"/>
            <w:bdr w:val="none" w:sz="0" w:space="0" w:color="auto" w:frame="1"/>
          </w:rPr>
          <w:t>HHS Office of the Assistant Secretary for Preparedness and Response (ASPR)</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69" w:anchor="Health-Insurance-Portability-and-Accountability-Act-(HIPAA)" w:history="1">
        <w:r w:rsidRPr="002C6FA0">
          <w:rPr>
            <w:rFonts w:ascii="Calibri" w:eastAsia="Times New Roman" w:hAnsi="Calibri" w:cs="Arial"/>
            <w:color w:val="0F88B8"/>
            <w:u w:val="single"/>
            <w:bdr w:val="none" w:sz="0" w:space="0" w:color="auto" w:frame="1"/>
          </w:rPr>
          <w:t>Health Insurance Portability and Accountability Act (HIPAA)</w:t>
        </w:r>
      </w:hyperlink>
      <w:r w:rsidRPr="002C6FA0">
        <w:rPr>
          <w:rFonts w:ascii="Calibri" w:eastAsia="Times New Roman" w:hAnsi="Calibri" w:cs="Arial"/>
          <w:color w:val="737373"/>
        </w:rPr>
        <w:br/>
      </w:r>
      <w:hyperlink r:id="rId170" w:anchor="Homeland-Security-Policy-Directives-(HSPD)" w:history="1">
        <w:r w:rsidRPr="002C6FA0">
          <w:rPr>
            <w:rFonts w:ascii="Calibri" w:eastAsia="Times New Roman" w:hAnsi="Calibri" w:cs="Arial"/>
            <w:color w:val="0F88B8"/>
            <w:u w:val="single"/>
            <w:bdr w:val="none" w:sz="0" w:space="0" w:color="auto" w:frame="1"/>
          </w:rPr>
          <w:t>Homeland Security Policy Directives (HSPD)</w:t>
        </w:r>
      </w:hyperlink>
      <w:r w:rsidRPr="002C6FA0">
        <w:rPr>
          <w:rFonts w:ascii="Calibri" w:eastAsia="Times New Roman" w:hAnsi="Calibri" w:cs="Arial"/>
          <w:color w:val="737373"/>
        </w:rPr>
        <w:t> </w:t>
      </w:r>
      <w:r w:rsidRPr="002C6FA0">
        <w:rPr>
          <w:rFonts w:ascii="Calibri" w:eastAsia="Times New Roman" w:hAnsi="Calibri" w:cs="Arial"/>
          <w:color w:val="737373"/>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K—O </w:t>
      </w:r>
      <w:r w:rsidRPr="002C6FA0">
        <w:rPr>
          <w:rFonts w:ascii="Calibri" w:eastAsia="Times New Roman" w:hAnsi="Calibri" w:cs="Arial"/>
          <w:b/>
          <w:bCs/>
          <w:color w:val="000000" w:themeColor="text1"/>
          <w:bdr w:val="none" w:sz="0" w:space="0" w:color="auto" w:frame="1"/>
        </w:rPr>
        <w:br/>
      </w:r>
      <w:hyperlink r:id="rId171" w:anchor="Medical-Reserve-Corps-(MRC)" w:history="1">
        <w:r w:rsidRPr="002C6FA0">
          <w:rPr>
            <w:rFonts w:ascii="Calibri" w:eastAsia="Times New Roman" w:hAnsi="Calibri" w:cs="Arial"/>
            <w:color w:val="0F88B8"/>
            <w:u w:val="single"/>
            <w:bdr w:val="none" w:sz="0" w:space="0" w:color="auto" w:frame="1"/>
          </w:rPr>
          <w:t>Medical Reserve Corps (MRC)</w:t>
        </w:r>
      </w:hyperlink>
      <w:r w:rsidRPr="002C6FA0">
        <w:rPr>
          <w:rFonts w:ascii="Calibri" w:eastAsia="Times New Roman" w:hAnsi="Calibri" w:cs="Arial"/>
          <w:color w:val="737373"/>
        </w:rPr>
        <w:br/>
      </w:r>
      <w:hyperlink r:id="rId172" w:anchor="Mutual-Aid-Agreements-(MAA)" w:history="1">
        <w:r w:rsidRPr="002C6FA0">
          <w:rPr>
            <w:rFonts w:ascii="Calibri" w:eastAsia="Times New Roman" w:hAnsi="Calibri" w:cs="Arial"/>
            <w:color w:val="0F88B8"/>
            <w:u w:val="single"/>
            <w:bdr w:val="none" w:sz="0" w:space="0" w:color="auto" w:frame="1"/>
          </w:rPr>
          <w:t>Mutual Aid Agreements (MAA)</w:t>
        </w:r>
      </w:hyperlink>
      <w:r w:rsidRPr="002C6FA0">
        <w:rPr>
          <w:rFonts w:ascii="Calibri" w:eastAsia="Times New Roman" w:hAnsi="Calibri" w:cs="Arial"/>
          <w:color w:val="737373"/>
        </w:rPr>
        <w:br/>
      </w:r>
      <w:hyperlink r:id="rId173" w:anchor="National-Disaster-Medical-System-(NDMS)" w:history="1">
        <w:r w:rsidRPr="002C6FA0">
          <w:rPr>
            <w:rFonts w:ascii="Calibri" w:eastAsia="Times New Roman" w:hAnsi="Calibri" w:cs="Arial"/>
            <w:color w:val="0F88B8"/>
            <w:u w:val="single"/>
            <w:bdr w:val="none" w:sz="0" w:space="0" w:color="auto" w:frame="1"/>
          </w:rPr>
          <w:t>National Disaster Medical System (NDMS)</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74" w:anchor="National-Emergencies-Act-(NEA),-Section-201-and-301" w:history="1">
        <w:r w:rsidRPr="002C6FA0">
          <w:rPr>
            <w:rFonts w:ascii="Calibri" w:eastAsia="Times New Roman" w:hAnsi="Calibri" w:cs="Arial"/>
            <w:color w:val="0F88B8"/>
            <w:u w:val="single"/>
            <w:bdr w:val="none" w:sz="0" w:space="0" w:color="auto" w:frame="1"/>
          </w:rPr>
          <w:t>National Emergencies Act (NEA), Section 201 and 301</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75" w:anchor="National-Health-Security-Strategy" w:history="1">
        <w:r w:rsidRPr="002C6FA0">
          <w:rPr>
            <w:rFonts w:ascii="Calibri" w:eastAsia="Times New Roman" w:hAnsi="Calibri" w:cs="Arial"/>
            <w:color w:val="0F88B8"/>
            <w:u w:val="single"/>
            <w:bdr w:val="none" w:sz="0" w:space="0" w:color="auto" w:frame="1"/>
          </w:rPr>
          <w:t>National Health Security Strategy</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76" w:anchor="National-Strategy-for-Homeland-Security" w:history="1">
        <w:r w:rsidRPr="002C6FA0">
          <w:rPr>
            <w:rFonts w:ascii="Calibri" w:eastAsia="Times New Roman" w:hAnsi="Calibri" w:cs="Arial"/>
            <w:color w:val="0F88B8"/>
            <w:u w:val="single"/>
            <w:bdr w:val="none" w:sz="0" w:space="0" w:color="auto" w:frame="1"/>
          </w:rPr>
          <w:t>National Strategy for Homeland Security</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77" w:anchor="National-Strategy-for-Pandemic-Influenza" w:history="1">
        <w:r w:rsidRPr="002C6FA0">
          <w:rPr>
            <w:rFonts w:ascii="Calibri" w:eastAsia="Times New Roman" w:hAnsi="Calibri" w:cs="Arial"/>
            <w:color w:val="0F88B8"/>
            <w:u w:val="single"/>
            <w:bdr w:val="none" w:sz="0" w:space="0" w:color="auto" w:frame="1"/>
          </w:rPr>
          <w:t>National Strategy for Pandemic Influenza</w:t>
        </w:r>
      </w:hyperlink>
      <w:r w:rsidRPr="002C6FA0">
        <w:rPr>
          <w:rFonts w:ascii="Calibri" w:eastAsia="Times New Roman" w:hAnsi="Calibri" w:cs="Arial"/>
          <w:color w:val="737373"/>
        </w:rPr>
        <w:br/>
      </w:r>
      <w:hyperlink r:id="rId178" w:anchor="National-Incident-Management-System-(NIMS)" w:history="1">
        <w:r w:rsidRPr="002C6FA0">
          <w:rPr>
            <w:rFonts w:ascii="Calibri" w:eastAsia="Times New Roman" w:hAnsi="Calibri" w:cs="Arial"/>
            <w:color w:val="0F88B8"/>
            <w:u w:val="single"/>
            <w:bdr w:val="none" w:sz="0" w:space="0" w:color="auto" w:frame="1"/>
          </w:rPr>
          <w:t>National Incident Management System (NIMS)</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79" w:anchor="National-Response-Framework-(NRF)" w:history="1">
        <w:r w:rsidRPr="002C6FA0">
          <w:rPr>
            <w:rFonts w:ascii="Calibri" w:eastAsia="Times New Roman" w:hAnsi="Calibri" w:cs="Arial"/>
            <w:color w:val="0F88B8"/>
            <w:u w:val="single"/>
            <w:bdr w:val="none" w:sz="0" w:space="0" w:color="auto" w:frame="1"/>
          </w:rPr>
          <w:t>National Response Framework (NRF)</w:t>
        </w:r>
      </w:hyperlink>
      <w:r w:rsidRPr="002C6FA0">
        <w:rPr>
          <w:rFonts w:ascii="Calibri" w:eastAsia="Times New Roman" w:hAnsi="Calibri" w:cs="Arial"/>
          <w:color w:val="737373"/>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P—T </w:t>
      </w:r>
      <w:r w:rsidRPr="002C6FA0">
        <w:rPr>
          <w:rFonts w:ascii="Calibri" w:eastAsia="Times New Roman" w:hAnsi="Calibri" w:cs="Arial"/>
          <w:b/>
          <w:bCs/>
          <w:color w:val="000000" w:themeColor="text1"/>
          <w:bdr w:val="none" w:sz="0" w:space="0" w:color="auto" w:frame="1"/>
        </w:rPr>
        <w:br/>
      </w:r>
      <w:hyperlink r:id="rId180" w:anchor="Pandemic-and-All-Hazards-Preparedness-Act-(PAHPA)" w:history="1">
        <w:r w:rsidRPr="002C6FA0">
          <w:rPr>
            <w:rFonts w:ascii="Calibri" w:eastAsia="Times New Roman" w:hAnsi="Calibri" w:cs="Arial"/>
            <w:color w:val="0F88B8"/>
            <w:u w:val="single"/>
            <w:bdr w:val="none" w:sz="0" w:space="0" w:color="auto" w:frame="1"/>
          </w:rPr>
          <w:t>Pandemic and All-Hazards Preparedness Act (PAHPA)</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81" w:anchor="Pandemic-Strategies-and-Plans" w:history="1">
        <w:r w:rsidRPr="002C6FA0">
          <w:rPr>
            <w:rFonts w:ascii="Calibri" w:eastAsia="Times New Roman" w:hAnsi="Calibri" w:cs="Arial"/>
            <w:color w:val="0F88B8"/>
            <w:u w:val="single"/>
            <w:bdr w:val="none" w:sz="0" w:space="0" w:color="auto" w:frame="1"/>
          </w:rPr>
          <w:t>Pandemic Strategies and Plans</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82" w:anchor="Presidential-Directives" w:history="1">
        <w:r w:rsidRPr="002C6FA0">
          <w:rPr>
            <w:rFonts w:ascii="Calibri" w:eastAsia="Times New Roman" w:hAnsi="Calibri" w:cs="Arial"/>
            <w:color w:val="0F88B8"/>
            <w:u w:val="single"/>
            <w:bdr w:val="none" w:sz="0" w:space="0" w:color="auto" w:frame="1"/>
          </w:rPr>
          <w:t>Presidential Directives</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83" w:anchor="Presidential-Policy-Directives-(PPD)" w:history="1">
        <w:r w:rsidRPr="002C6FA0">
          <w:rPr>
            <w:rFonts w:ascii="Calibri" w:eastAsia="Times New Roman" w:hAnsi="Calibri" w:cs="Arial"/>
            <w:color w:val="0F88B8"/>
            <w:u w:val="single"/>
            <w:bdr w:val="none" w:sz="0" w:space="0" w:color="auto" w:frame="1"/>
          </w:rPr>
          <w:t>Presidential Policy Directives (PPD)</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84" w:anchor="Public-Health-Service-Act,-Section-319" w:history="1">
        <w:r w:rsidRPr="002C6FA0">
          <w:rPr>
            <w:rFonts w:ascii="Calibri" w:eastAsia="Times New Roman" w:hAnsi="Calibri" w:cs="Arial"/>
            <w:color w:val="0F88B8"/>
            <w:u w:val="single"/>
            <w:bdr w:val="none" w:sz="0" w:space="0" w:color="auto" w:frame="1"/>
          </w:rPr>
          <w:t>Public Health Service Act, Section 319—Authorities Related to Public Health Emergencies</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85" w:anchor="Public-Readiness-and-Emergency-Preparedness-Act" w:history="1">
        <w:r w:rsidRPr="002C6FA0">
          <w:rPr>
            <w:rFonts w:ascii="Calibri" w:eastAsia="Times New Roman" w:hAnsi="Calibri" w:cs="Arial"/>
            <w:color w:val="0F88B8"/>
            <w:u w:val="single"/>
            <w:bdr w:val="none" w:sz="0" w:space="0" w:color="auto" w:frame="1"/>
          </w:rPr>
          <w:t>Public Readiness and Emergency Preparedness Act (PREP Act)</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86" w:anchor="Social-Security-Act,-Section-1135" w:history="1">
        <w:r w:rsidRPr="002C6FA0">
          <w:rPr>
            <w:rFonts w:ascii="Calibri" w:eastAsia="Times New Roman" w:hAnsi="Calibri" w:cs="Arial"/>
            <w:color w:val="0F88B8"/>
            <w:u w:val="single"/>
            <w:bdr w:val="none" w:sz="0" w:space="0" w:color="auto" w:frame="1"/>
          </w:rPr>
          <w:t>Social Security Act, Section 1135</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87" w:anchor="Stafford-Act" w:history="1">
        <w:r w:rsidRPr="002C6FA0">
          <w:rPr>
            <w:rFonts w:ascii="Calibri" w:eastAsia="Times New Roman" w:hAnsi="Calibri" w:cs="Arial"/>
            <w:color w:val="0F88B8"/>
            <w:u w:val="single"/>
            <w:bdr w:val="none" w:sz="0" w:space="0" w:color="auto" w:frame="1"/>
          </w:rPr>
          <w:t>Stafford Act</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88" w:anchor="Strategic-National-Stockpile" w:history="1">
        <w:r w:rsidRPr="002C6FA0">
          <w:rPr>
            <w:rFonts w:ascii="Calibri" w:eastAsia="Times New Roman" w:hAnsi="Calibri" w:cs="Arial"/>
            <w:color w:val="0F88B8"/>
            <w:u w:val="single"/>
            <w:bdr w:val="none" w:sz="0" w:space="0" w:color="auto" w:frame="1"/>
          </w:rPr>
          <w:t>Strategic National Stockpile (SNS)</w:t>
        </w:r>
      </w:hyperlink>
      <w:r w:rsidRPr="002C6FA0">
        <w:rPr>
          <w:rFonts w:ascii="Calibri" w:eastAsia="Times New Roman" w:hAnsi="Calibri" w:cs="Arial"/>
          <w:color w:val="737373"/>
        </w:rPr>
        <w:t> </w:t>
      </w:r>
      <w:r w:rsidRPr="002C6FA0">
        <w:rPr>
          <w:rFonts w:ascii="Calibri" w:eastAsia="Times New Roman" w:hAnsi="Calibri" w:cs="Arial"/>
          <w:color w:val="737373"/>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U—Z </w:t>
      </w:r>
      <w:r w:rsidRPr="002C6FA0">
        <w:rPr>
          <w:rFonts w:ascii="Calibri" w:eastAsia="Times New Roman" w:hAnsi="Calibri" w:cs="Arial"/>
          <w:b/>
          <w:bCs/>
          <w:color w:val="000000" w:themeColor="text1"/>
          <w:bdr w:val="none" w:sz="0" w:space="0" w:color="auto" w:frame="1"/>
        </w:rPr>
        <w:br/>
      </w:r>
      <w:hyperlink r:id="rId189" w:anchor="Uniform-Emergency-Volunteer-Health-Practitioners-Act" w:history="1">
        <w:r w:rsidRPr="002C6FA0">
          <w:rPr>
            <w:rFonts w:ascii="Calibri" w:eastAsia="Times New Roman" w:hAnsi="Calibri" w:cs="Arial"/>
            <w:color w:val="0F88B8"/>
            <w:u w:val="single"/>
            <w:bdr w:val="none" w:sz="0" w:space="0" w:color="auto" w:frame="1"/>
          </w:rPr>
          <w:t>Uniform Emergency Volunteer Health Practitioners Act (UEVHPA)</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90" w:anchor="Vaccine-Injury-Compensation-Program" w:history="1">
        <w:r w:rsidRPr="002C6FA0">
          <w:rPr>
            <w:rFonts w:ascii="Calibri" w:eastAsia="Times New Roman" w:hAnsi="Calibri" w:cs="Arial"/>
            <w:color w:val="0F88B8"/>
            <w:u w:val="single"/>
            <w:bdr w:val="none" w:sz="0" w:space="0" w:color="auto" w:frame="1"/>
          </w:rPr>
          <w:t>Vaccine Injury Compensation Program (VICP)</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91" w:anchor="Volunteer-Protection-Act" w:history="1">
        <w:r w:rsidRPr="002C6FA0">
          <w:rPr>
            <w:rFonts w:ascii="Calibri" w:eastAsia="Times New Roman" w:hAnsi="Calibri" w:cs="Arial"/>
            <w:color w:val="0F88B8"/>
            <w:u w:val="single"/>
            <w:bdr w:val="none" w:sz="0" w:space="0" w:color="auto" w:frame="1"/>
          </w:rPr>
          <w:t>Volunteer Protection Act (VPA)</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92" w:anchor="Workers%E2%80%99-Compensation-and-Disability" w:history="1">
        <w:r w:rsidRPr="002C6FA0">
          <w:rPr>
            <w:rFonts w:ascii="Calibri" w:eastAsia="Times New Roman" w:hAnsi="Calibri" w:cs="Arial"/>
            <w:color w:val="0F88B8"/>
            <w:u w:val="single"/>
            <w:bdr w:val="none" w:sz="0" w:space="0" w:color="auto" w:frame="1"/>
          </w:rPr>
          <w:t>Workers’ Compensation and Disability</w:t>
        </w:r>
      </w:hyperlink>
      <w:r w:rsidRPr="002C6FA0">
        <w:rPr>
          <w:rFonts w:ascii="Calibri" w:eastAsia="Times New Roman" w:hAnsi="Calibri" w:cs="Arial"/>
          <w:color w:val="737373"/>
        </w:rPr>
        <w:t> </w:t>
      </w:r>
      <w:r w:rsidRPr="002C6FA0">
        <w:rPr>
          <w:rFonts w:ascii="Calibri" w:eastAsia="Times New Roman" w:hAnsi="Calibri" w:cs="Arial"/>
          <w:color w:val="737373"/>
        </w:rPr>
        <w:br/>
      </w:r>
      <w:r w:rsidRPr="002C6FA0">
        <w:rPr>
          <w:rFonts w:ascii="Calibri" w:eastAsia="Times New Roman" w:hAnsi="Calibri" w:cs="Arial"/>
          <w:color w:val="000000" w:themeColor="text1"/>
        </w:rPr>
        <w:br/>
        <w:t>_____________________________________________________________________________________</w:t>
      </w:r>
      <w:r w:rsidRPr="002C6FA0">
        <w:rPr>
          <w:rFonts w:ascii="Calibri" w:eastAsia="Times New Roman" w:hAnsi="Calibri" w:cs="Arial"/>
          <w:b/>
          <w:bCs/>
          <w:color w:val="000000" w:themeColor="text1"/>
        </w:rPr>
        <w:t>General Resources and Compilations</w:t>
      </w:r>
    </w:p>
    <w:p w14:paraId="012667F8" w14:textId="77777777" w:rsidR="007263DD" w:rsidRPr="002C6FA0" w:rsidRDefault="007263DD"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b/>
          <w:bCs/>
          <w:color w:val="000000" w:themeColor="text1"/>
          <w:bdr w:val="none" w:sz="0" w:space="0" w:color="auto" w:frame="1"/>
        </w:rPr>
        <w:t>Governmental </w:t>
      </w:r>
      <w:r w:rsidRPr="002C6FA0">
        <w:rPr>
          <w:rFonts w:ascii="Calibri" w:eastAsia="Times New Roman" w:hAnsi="Calibri" w:cs="Arial"/>
          <w:color w:val="000000" w:themeColor="text1"/>
        </w:rPr>
        <w:br/>
        <w:t>Centers for Disease Control and Prevention. Public Health Law Program. “Federal Public Health Emergency Law: Implications for State and Local Preparedness and Response.” Facilitated Teleconference. April 28, 2009. Available at </w:t>
      </w:r>
      <w:hyperlink r:id="rId193" w:tgtFrame="_blank" w:tooltip="http://www2a.cdc.gov/phlp/webinar_04_29_2009.asp" w:history="1">
        <w:r w:rsidRPr="002C6FA0">
          <w:rPr>
            <w:rFonts w:ascii="Calibri" w:eastAsia="Times New Roman" w:hAnsi="Calibri" w:cs="Arial"/>
            <w:color w:val="000000" w:themeColor="text1"/>
            <w:u w:val="single"/>
            <w:bdr w:val="none" w:sz="0" w:space="0" w:color="auto" w:frame="1"/>
          </w:rPr>
          <w:t>http://www2a.cdc.gov/phlp/webinar_04_29_2009.asp</w:t>
        </w:r>
      </w:hyperlink>
      <w:r w:rsidRPr="002C6FA0">
        <w:rPr>
          <w:rFonts w:ascii="Calibri" w:eastAsia="Times New Roman" w:hAnsi="Calibri" w:cs="Arial"/>
          <w:color w:val="000000" w:themeColor="text1"/>
        </w:rPr>
        <w:t>.</w:t>
      </w:r>
    </w:p>
    <w:p w14:paraId="396F48DF" w14:textId="77777777" w:rsidR="007263DD" w:rsidRDefault="007263DD" w:rsidP="00663E93">
      <w:pPr>
        <w:shd w:val="clear" w:color="auto" w:fill="FFFFFF"/>
        <w:spacing w:line="240" w:lineRule="atLeast"/>
        <w:textAlignment w:val="baseline"/>
        <w:rPr>
          <w:rFonts w:ascii="Calibri" w:eastAsia="Times New Roman" w:hAnsi="Calibri" w:cs="Arial"/>
          <w:color w:val="000000" w:themeColor="text1"/>
        </w:rPr>
      </w:pPr>
    </w:p>
    <w:p w14:paraId="7D4B5A31" w14:textId="77777777" w:rsidR="007263DD" w:rsidRPr="002C6FA0" w:rsidRDefault="007263DD"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Centers for Disease Control and Prevention. Public Health Law Program. “Selected Federal Legal Authorities Pertinent to Public Health Emergencies.” September 2009. Available at </w:t>
      </w:r>
      <w:hyperlink r:id="rId194" w:tgtFrame="_blank" w:tooltip="http://www.cdc.gov/phlp/docs/ph-emergencies.pdf" w:history="1">
        <w:r w:rsidRPr="002C6FA0">
          <w:rPr>
            <w:rFonts w:ascii="Calibri" w:eastAsia="Times New Roman" w:hAnsi="Calibri" w:cs="Arial"/>
            <w:color w:val="000000" w:themeColor="text1"/>
            <w:u w:val="single"/>
            <w:bdr w:val="none" w:sz="0" w:space="0" w:color="auto" w:frame="1"/>
          </w:rPr>
          <w:t>http://www.cdc.gov/phlp/docs/ph-emergencies.pdf</w:t>
        </w:r>
      </w:hyperlink>
    </w:p>
    <w:p w14:paraId="4ED00488"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t>HHS Office of the Assistant Secretary for Preparedness and Response. “Legal Authority and Related Guidance” webpage. Available at </w:t>
      </w:r>
      <w:hyperlink r:id="rId195" w:tgtFrame="_blank" w:tooltip="http://www.phe.gov/Preparedness/planning/authority/Pages/default.aspx" w:history="1">
        <w:r w:rsidRPr="002C6FA0">
          <w:rPr>
            <w:rFonts w:ascii="Calibri" w:eastAsia="Times New Roman" w:hAnsi="Calibri" w:cs="Arial"/>
            <w:color w:val="000000" w:themeColor="text1"/>
            <w:u w:val="single"/>
            <w:bdr w:val="none" w:sz="0" w:space="0" w:color="auto" w:frame="1"/>
          </w:rPr>
          <w:t>http://www.phe.gov/Preparedness/planning/authority/Pages/default.aspx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HHS Office of the Assistant Secretary for Preparedness and Response. “Legal Authority of the Secretary” webpage. Available at </w:t>
      </w:r>
      <w:hyperlink r:id="rId196" w:tgtFrame="_blank" w:tooltip="http://www.phe.gov/preparedness/support/secauthority/Pages/default.aspx" w:history="1">
        <w:r w:rsidRPr="002C6FA0">
          <w:rPr>
            <w:rFonts w:ascii="Calibri" w:eastAsia="Times New Roman" w:hAnsi="Calibri" w:cs="Arial"/>
            <w:color w:val="000000" w:themeColor="text1"/>
            <w:u w:val="single"/>
            <w:bdr w:val="none" w:sz="0" w:space="0" w:color="auto" w:frame="1"/>
          </w:rPr>
          <w:t>http://www.phe.gov/preparedness/support/secauthority/Pages/default.aspx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Lister SA. Congressional Research Service. </w:t>
      </w:r>
      <w:r w:rsidRPr="002C6FA0">
        <w:rPr>
          <w:rFonts w:ascii="Calibri" w:eastAsia="Times New Roman" w:hAnsi="Calibri" w:cs="Arial"/>
          <w:i/>
          <w:iCs/>
          <w:color w:val="000000" w:themeColor="text1"/>
          <w:bdr w:val="none" w:sz="0" w:space="0" w:color="auto" w:frame="1"/>
        </w:rPr>
        <w:t>The Public Health and Medical Response to Disasters: Federal Authority and Funding</w:t>
      </w:r>
      <w:r w:rsidRPr="002C6FA0">
        <w:rPr>
          <w:rFonts w:ascii="Calibri" w:eastAsia="Times New Roman" w:hAnsi="Calibri" w:cs="Arial"/>
          <w:color w:val="000000" w:themeColor="text1"/>
        </w:rPr>
        <w:t> (RL33579). August 1, 2008. Available at </w:t>
      </w:r>
      <w:hyperlink r:id="rId197" w:tgtFrame="_blank" w:tooltip="http://digital.library.unt.edu/ark:/67531/metacrs9495/m1/1/high_res_d/RL33579_2006Jul28.pdf" w:history="1">
        <w:r w:rsidRPr="002C6FA0">
          <w:rPr>
            <w:rFonts w:ascii="Calibri" w:eastAsia="Times New Roman" w:hAnsi="Calibri" w:cs="Arial"/>
            <w:color w:val="000000" w:themeColor="text1"/>
            <w:u w:val="single"/>
            <w:bdr w:val="none" w:sz="0" w:space="0" w:color="auto" w:frame="1"/>
          </w:rPr>
          <w:t>http://digital.library.unt.edu/ark:/67531/metacrs9495/m1/1/high_res_d/RL33579_2006Jul28.pdf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proofErr w:type="spellStart"/>
      <w:r w:rsidRPr="002C6FA0">
        <w:rPr>
          <w:rFonts w:ascii="Calibri" w:eastAsia="Times New Roman" w:hAnsi="Calibri" w:cs="Arial"/>
          <w:color w:val="000000" w:themeColor="text1"/>
        </w:rPr>
        <w:t>Swendiman</w:t>
      </w:r>
      <w:proofErr w:type="spellEnd"/>
      <w:r w:rsidRPr="002C6FA0">
        <w:rPr>
          <w:rFonts w:ascii="Calibri" w:eastAsia="Times New Roman" w:hAnsi="Calibri" w:cs="Arial"/>
          <w:color w:val="000000" w:themeColor="text1"/>
        </w:rPr>
        <w:t xml:space="preserve"> KS and Jones NL. Congressional Research Service. </w:t>
      </w:r>
      <w:r w:rsidRPr="002C6FA0">
        <w:rPr>
          <w:rFonts w:ascii="Calibri" w:eastAsia="Times New Roman" w:hAnsi="Calibri" w:cs="Arial"/>
          <w:i/>
          <w:iCs/>
          <w:color w:val="000000" w:themeColor="text1"/>
          <w:bdr w:val="none" w:sz="0" w:space="0" w:color="auto" w:frame="1"/>
        </w:rPr>
        <w:t>The 2009 Influenza Pandemic: Selected Legal Issues</w:t>
      </w:r>
      <w:r w:rsidRPr="002C6FA0">
        <w:rPr>
          <w:rFonts w:ascii="Calibri" w:eastAsia="Times New Roman" w:hAnsi="Calibri" w:cs="Arial"/>
          <w:color w:val="000000" w:themeColor="text1"/>
        </w:rPr>
        <w:t> (R40560). June 15, 2009. Available at </w:t>
      </w:r>
      <w:hyperlink r:id="rId198" w:tgtFrame="_blank" w:tooltip="http://digital.library.unt.edu/ark:/67531/metadc26152/m1/1/high_res_d/R40560_2009Jun15.pdf" w:history="1">
        <w:r w:rsidRPr="002C6FA0">
          <w:rPr>
            <w:rFonts w:ascii="Calibri" w:eastAsia="Times New Roman" w:hAnsi="Calibri" w:cs="Arial"/>
            <w:color w:val="000000" w:themeColor="text1"/>
            <w:u w:val="single"/>
            <w:bdr w:val="none" w:sz="0" w:space="0" w:color="auto" w:frame="1"/>
          </w:rPr>
          <w:t>http://digital.library.unt.edu/ark:/67531/metadc26152/m1/1/high_res_d/R40560_2009Jun15.pdf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Sources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American Health Lawyers Association. </w:t>
      </w:r>
      <w:r w:rsidRPr="002C6FA0">
        <w:rPr>
          <w:rFonts w:ascii="Calibri" w:eastAsia="Times New Roman" w:hAnsi="Calibri" w:cs="Arial"/>
          <w:i/>
          <w:iCs/>
          <w:color w:val="000000" w:themeColor="text1"/>
          <w:bdr w:val="none" w:sz="0" w:space="0" w:color="auto" w:frame="1"/>
        </w:rPr>
        <w:t>Emergency Preparedness Toolkit</w:t>
      </w:r>
      <w:r w:rsidRPr="002C6FA0">
        <w:rPr>
          <w:rFonts w:ascii="Calibri" w:eastAsia="Times New Roman" w:hAnsi="Calibri" w:cs="Arial"/>
          <w:color w:val="000000" w:themeColor="text1"/>
        </w:rPr>
        <w:t>. May 4, 2010. Available at </w:t>
      </w:r>
      <w:hyperlink r:id="rId199" w:tgtFrame="_blank" w:tooltip="http://www.healthlawyers.org/Members/PracticeGroups/THAMC/EmergencyPreparednessToolkit/Pages/default.aspx" w:history="1">
        <w:r w:rsidRPr="002C6FA0">
          <w:rPr>
            <w:rFonts w:ascii="Calibri" w:eastAsia="Times New Roman" w:hAnsi="Calibri" w:cs="Arial"/>
            <w:color w:val="000000" w:themeColor="text1"/>
            <w:u w:val="single"/>
            <w:bdr w:val="none" w:sz="0" w:space="0" w:color="auto" w:frame="1"/>
          </w:rPr>
          <w:t>http://www.healthlawyers.org/Members/PracticeGroups/THAMC/EmergencyPreparednessToolkit/Pages/default.aspx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p>
    <w:p w14:paraId="1D4AC3A1" w14:textId="77777777" w:rsidR="007263DD" w:rsidRPr="002C6FA0" w:rsidRDefault="007263DD"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lastRenderedPageBreak/>
        <w:t>At-Risk Individuals and Communities</w:t>
      </w:r>
    </w:p>
    <w:p w14:paraId="583FB261"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w:t>
      </w:r>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t>HHS Office of the Assistant Secretary for Preparedness and Response. “At Risk Individuals, Behavioral Health, and Human Services Coordination” webpage. Available at </w:t>
      </w:r>
      <w:hyperlink r:id="rId200" w:tgtFrame="_blank" w:tooltip="http://www.phe.gov/Preparedness/planning/abc/Pages/default.aspx" w:history="1">
        <w:r w:rsidRPr="002C6FA0">
          <w:rPr>
            <w:rFonts w:ascii="Calibri" w:eastAsia="Times New Roman" w:hAnsi="Calibri" w:cs="Arial"/>
            <w:color w:val="000000" w:themeColor="text1"/>
            <w:u w:val="single"/>
            <w:bdr w:val="none" w:sz="0" w:space="0" w:color="auto" w:frame="1"/>
          </w:rPr>
          <w:t>http://www.phe.gov/Preparedness/planning/abc/Pages/default.aspx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Resources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Association of State and Territorial Health Officials. “At Risk Populations Project” webpage. Available at </w:t>
      </w:r>
      <w:hyperlink r:id="rId201" w:tgtFrame="_blank" w:tooltip="http://www.astho.org/Programs/Infectious-Disease/At-Risk-Populations/" w:history="1">
        <w:r w:rsidRPr="002C6FA0">
          <w:rPr>
            <w:rFonts w:ascii="Calibri" w:eastAsia="Times New Roman" w:hAnsi="Calibri" w:cs="Arial"/>
            <w:color w:val="000000" w:themeColor="text1"/>
            <w:u w:val="single"/>
            <w:bdr w:val="none" w:sz="0" w:space="0" w:color="auto" w:frame="1"/>
          </w:rPr>
          <w:t>http://www.astho.org/Programs/Infectious-Disease/At-Risk-Populations/t-Risk-Populations/</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1EAB2A9A" w14:textId="77777777" w:rsidR="007263DD" w:rsidRPr="002C6FA0" w:rsidRDefault="007263DD"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Americans with Disabilities Act</w:t>
      </w:r>
    </w:p>
    <w:p w14:paraId="278E16FC" w14:textId="77777777" w:rsidR="007263DD" w:rsidRDefault="007263DD" w:rsidP="00663E93">
      <w:pPr>
        <w:shd w:val="clear" w:color="auto" w:fill="FFFFFF"/>
        <w:spacing w:after="240" w:line="240" w:lineRule="atLeast"/>
        <w:textAlignment w:val="baseline"/>
        <w:rPr>
          <w:rFonts w:ascii="Calibri" w:eastAsia="Times New Roman" w:hAnsi="Calibri" w:cs="Arial"/>
          <w:b/>
          <w:bCs/>
          <w:color w:val="000000" w:themeColor="text1"/>
          <w:bdr w:val="none" w:sz="0" w:space="0" w:color="auto" w:frame="1"/>
        </w:rPr>
      </w:pPr>
    </w:p>
    <w:p w14:paraId="11148E80"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American with Disabilities Act, as amended. Titles II and III, Pub. L. No. 110-325. Codified at 42 U.S.C. §126. Available at </w:t>
      </w:r>
      <w:hyperlink r:id="rId202" w:tgtFrame="_blank" w:tooltip="http://www.gpo.gov/fdsys/pkg/USCODE-2005-title42/pdf/USCODE-2005-title42-chap126.pdf" w:history="1">
        <w:r w:rsidRPr="002C6FA0">
          <w:rPr>
            <w:rFonts w:ascii="Calibri" w:eastAsia="Times New Roman" w:hAnsi="Calibri" w:cs="Arial"/>
            <w:color w:val="000000" w:themeColor="text1"/>
            <w:u w:val="single"/>
            <w:bdr w:val="none" w:sz="0" w:space="0" w:color="auto" w:frame="1"/>
          </w:rPr>
          <w:t>http://www.gpo.gov/fdsys/pkg/USCODE-2005-title42/pdf/USCODE-2005-title42-chap126.pdf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w:t>
      </w:r>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t>U.S. Department of Justice. Americans with Disabilities Act. “ADA Home Page” webpage. Available at </w:t>
      </w:r>
      <w:hyperlink r:id="rId203" w:tgtFrame="_blank" w:tooltip="http://www.ada.gov" w:history="1">
        <w:r w:rsidRPr="002C6FA0">
          <w:rPr>
            <w:rFonts w:ascii="Calibri" w:eastAsia="Times New Roman" w:hAnsi="Calibri" w:cs="Arial"/>
            <w:color w:val="000000" w:themeColor="text1"/>
            <w:u w:val="single"/>
            <w:bdr w:val="none" w:sz="0" w:space="0" w:color="auto" w:frame="1"/>
          </w:rPr>
          <w:t>http://www.ada.gov</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5CAB8CE1" w14:textId="77777777" w:rsidR="007263DD" w:rsidRPr="002C6FA0" w:rsidRDefault="007263DD"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Biomedical Advanced Research and Development Authority (BARDA)</w:t>
      </w:r>
    </w:p>
    <w:p w14:paraId="3C487F69"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i/>
          <w:iCs/>
          <w:color w:val="000000" w:themeColor="text1"/>
          <w:bdr w:val="none" w:sz="0" w:space="0" w:color="auto" w:frame="1"/>
        </w:rPr>
        <w:t>See also </w:t>
      </w:r>
      <w:hyperlink r:id="rId204" w:anchor="Countermeasures-Injury" w:history="1">
        <w:r w:rsidRPr="002C6FA0">
          <w:rPr>
            <w:rFonts w:ascii="Calibri" w:eastAsia="Times New Roman" w:hAnsi="Calibri" w:cs="Arial"/>
            <w:i/>
            <w:iCs/>
            <w:color w:val="000000" w:themeColor="text1"/>
            <w:u w:val="single"/>
            <w:bdr w:val="none" w:sz="0" w:space="0" w:color="auto" w:frame="1"/>
          </w:rPr>
          <w:t>“Countermeasures Injury Compensation Program”</w:t>
        </w:r>
      </w:hyperlink>
      <w:r w:rsidRPr="002C6FA0">
        <w:rPr>
          <w:rFonts w:ascii="Calibri" w:eastAsia="Times New Roman" w:hAnsi="Calibri" w:cs="Arial"/>
          <w:i/>
          <w:iCs/>
          <w:color w:val="000000" w:themeColor="text1"/>
          <w:bdr w:val="none" w:sz="0" w:space="0" w:color="auto" w:frame="1"/>
        </w:rPr>
        <w:t> </w:t>
      </w:r>
      <w:r w:rsidRPr="002C6FA0">
        <w:rPr>
          <w:rFonts w:ascii="Calibri" w:eastAsia="Times New Roman" w:hAnsi="Calibri" w:cs="Arial"/>
          <w:i/>
          <w:iCs/>
          <w:color w:val="000000" w:themeColor="text1"/>
          <w:bdr w:val="none" w:sz="0" w:space="0" w:color="auto" w:frame="1"/>
        </w:rPr>
        <w:br/>
      </w:r>
      <w:r w:rsidRPr="002C6FA0">
        <w:rPr>
          <w:rFonts w:ascii="Calibri" w:eastAsia="Times New Roman" w:hAnsi="Calibri" w:cs="Arial"/>
          <w:i/>
          <w:iCs/>
          <w:color w:val="000000" w:themeColor="text1"/>
          <w:bdr w:val="none" w:sz="0" w:space="0" w:color="auto" w:frame="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HHS Office of the Assistant Secretary for Preparedness and Response. “Biomedical Advanced Research and Development Authority (BARDA)” webpage. Available at </w:t>
      </w:r>
      <w:hyperlink r:id="rId205" w:tgtFrame="_blank" w:tooltip="http://www.phe.gov/about/barda/Pages/default.aspxx" w:history="1">
        <w:r w:rsidRPr="002C6FA0">
          <w:rPr>
            <w:rFonts w:ascii="Calibri" w:eastAsia="Times New Roman" w:hAnsi="Calibri" w:cs="Arial"/>
            <w:color w:val="000000" w:themeColor="text1"/>
            <w:u w:val="single"/>
            <w:bdr w:val="none" w:sz="0" w:space="0" w:color="auto" w:frame="1"/>
          </w:rPr>
          <w:t>http://www.phe.gov/about/barda/Pages/default.aspx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HHS MedicalCountermeasures.gov webpage. Available at </w:t>
      </w:r>
      <w:hyperlink r:id="rId206" w:tgtFrame="_blank" w:tooltip="http://www.medicalcountermeasures.gov/default.aspx" w:history="1">
        <w:r w:rsidRPr="002C6FA0">
          <w:rPr>
            <w:rFonts w:ascii="Calibri" w:eastAsia="Times New Roman" w:hAnsi="Calibri" w:cs="Arial"/>
            <w:color w:val="000000" w:themeColor="text1"/>
            <w:u w:val="single"/>
            <w:bdr w:val="none" w:sz="0" w:space="0" w:color="auto" w:frame="1"/>
          </w:rPr>
          <w:t>http://www.medicalcountermeasures.gov/default.aspx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Resources </w:t>
      </w:r>
      <w:r w:rsidRPr="002C6FA0">
        <w:rPr>
          <w:rFonts w:ascii="Calibri" w:eastAsia="Times New Roman" w:hAnsi="Calibri" w:cs="Arial"/>
          <w:b/>
          <w:bCs/>
          <w:color w:val="000000" w:themeColor="text1"/>
          <w:bdr w:val="none" w:sz="0" w:space="0" w:color="auto" w:frame="1"/>
        </w:rPr>
        <w:br/>
      </w:r>
      <w:proofErr w:type="spellStart"/>
      <w:r w:rsidRPr="002C6FA0">
        <w:rPr>
          <w:rFonts w:ascii="Calibri" w:eastAsia="Times New Roman" w:hAnsi="Calibri" w:cs="Arial"/>
          <w:color w:val="000000" w:themeColor="text1"/>
        </w:rPr>
        <w:t>Gottron</w:t>
      </w:r>
      <w:proofErr w:type="spellEnd"/>
      <w:r w:rsidRPr="002C6FA0">
        <w:rPr>
          <w:rFonts w:ascii="Calibri" w:eastAsia="Times New Roman" w:hAnsi="Calibri" w:cs="Arial"/>
          <w:color w:val="000000" w:themeColor="text1"/>
        </w:rPr>
        <w:t xml:space="preserve"> F. Congressional Research Service. </w:t>
      </w:r>
      <w:r w:rsidRPr="002C6FA0">
        <w:rPr>
          <w:rFonts w:ascii="Calibri" w:eastAsia="Times New Roman" w:hAnsi="Calibri" w:cs="Arial"/>
          <w:i/>
          <w:iCs/>
          <w:color w:val="000000" w:themeColor="text1"/>
          <w:bdr w:val="none" w:sz="0" w:space="0" w:color="auto" w:frame="1"/>
        </w:rPr>
        <w:t xml:space="preserve">Project </w:t>
      </w:r>
      <w:proofErr w:type="spellStart"/>
      <w:r w:rsidRPr="002C6FA0">
        <w:rPr>
          <w:rFonts w:ascii="Calibri" w:eastAsia="Times New Roman" w:hAnsi="Calibri" w:cs="Arial"/>
          <w:i/>
          <w:iCs/>
          <w:color w:val="000000" w:themeColor="text1"/>
          <w:bdr w:val="none" w:sz="0" w:space="0" w:color="auto" w:frame="1"/>
        </w:rPr>
        <w:t>BioShield</w:t>
      </w:r>
      <w:proofErr w:type="spellEnd"/>
      <w:r w:rsidRPr="002C6FA0">
        <w:rPr>
          <w:rFonts w:ascii="Calibri" w:eastAsia="Times New Roman" w:hAnsi="Calibri" w:cs="Arial"/>
          <w:i/>
          <w:iCs/>
          <w:color w:val="000000" w:themeColor="text1"/>
          <w:bdr w:val="none" w:sz="0" w:space="0" w:color="auto" w:frame="1"/>
        </w:rPr>
        <w:t>: Authorities, Appropriations, Acquisitions, and Issues for Congress</w:t>
      </w:r>
      <w:r w:rsidRPr="002C6FA0">
        <w:rPr>
          <w:rFonts w:ascii="Calibri" w:eastAsia="Times New Roman" w:hAnsi="Calibri" w:cs="Arial"/>
          <w:color w:val="000000" w:themeColor="text1"/>
        </w:rPr>
        <w:t> (R41033). March 3, 2011. Available at </w:t>
      </w:r>
      <w:hyperlink r:id="rId207" w:tgtFrame="_blank" w:tooltip="http://assets.opencrs.com/rpts/R41033_20110303.pdf" w:history="1">
        <w:r w:rsidRPr="002C6FA0">
          <w:rPr>
            <w:rFonts w:ascii="Calibri" w:eastAsia="Times New Roman" w:hAnsi="Calibri" w:cs="Arial"/>
            <w:color w:val="000000" w:themeColor="text1"/>
            <w:u w:val="single"/>
            <w:bdr w:val="none" w:sz="0" w:space="0" w:color="auto" w:frame="1"/>
          </w:rPr>
          <w:t>http://assets.opencrs.com/rpts/R41033_20110303.pdf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444CB9A8" w14:textId="77777777" w:rsidR="007263DD" w:rsidRPr="002C6FA0" w:rsidRDefault="007263DD"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Civil Rights Act, Section 1983</w:t>
      </w:r>
    </w:p>
    <w:p w14:paraId="4E7B4C0E"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Civil Rights Act, as amended, Section 1983. Codified at 42 U.S.C. §1983. Available at </w:t>
      </w:r>
      <w:hyperlink r:id="rId208" w:tgtFrame="_blank" w:tooltip="https://www.law.cornell.edu/uscode/text/42/1983" w:history="1">
        <w:r w:rsidRPr="002C6FA0">
          <w:rPr>
            <w:rFonts w:ascii="Calibri" w:eastAsia="Times New Roman" w:hAnsi="Calibri" w:cs="Arial"/>
            <w:color w:val="000000" w:themeColor="text1"/>
            <w:u w:val="single"/>
            <w:bdr w:val="none" w:sz="0" w:space="0" w:color="auto" w:frame="1"/>
          </w:rPr>
          <w:t>https://www.law.cornell.edu/uscode/text/42/1983</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6B218FBF" w14:textId="77777777" w:rsidR="007263DD" w:rsidRPr="002C6FA0" w:rsidRDefault="007263DD"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lastRenderedPageBreak/>
        <w:t>Countermeasures Injury Compensation Program (CICP)</w:t>
      </w:r>
    </w:p>
    <w:p w14:paraId="01948A5A"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HRSA. “Countermeasures Injury Compensation Program” webpage. Available at </w:t>
      </w:r>
      <w:hyperlink r:id="rId209" w:tgtFrame="_blank" w:tooltip="http://www.hrsa.gov/cicp/" w:history="1">
        <w:r w:rsidRPr="002C6FA0">
          <w:rPr>
            <w:rFonts w:ascii="Calibri" w:eastAsia="Times New Roman" w:hAnsi="Calibri" w:cs="Arial"/>
            <w:color w:val="000000" w:themeColor="text1"/>
            <w:u w:val="single"/>
            <w:bdr w:val="none" w:sz="0" w:space="0" w:color="auto" w:frame="1"/>
          </w:rPr>
          <w:t>http://www.hrsa.gov/cicp/</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Rules and Regulations </w:t>
      </w:r>
      <w:r w:rsidRPr="002C6FA0">
        <w:rPr>
          <w:rFonts w:ascii="Calibri" w:eastAsia="Times New Roman" w:hAnsi="Calibri" w:cs="Arial"/>
          <w:b/>
          <w:bCs/>
          <w:color w:val="000000" w:themeColor="text1"/>
          <w:bdr w:val="none" w:sz="0" w:space="0" w:color="auto" w:frame="1"/>
        </w:rPr>
        <w:br/>
        <w:t>CICP Administrative Rules </w:t>
      </w:r>
      <w:r w:rsidRPr="002C6FA0">
        <w:rPr>
          <w:rFonts w:ascii="Calibri" w:eastAsia="Times New Roman" w:hAnsi="Calibri" w:cs="Arial"/>
          <w:color w:val="000000" w:themeColor="text1"/>
        </w:rPr>
        <w:br/>
        <w:t>A correction to the Interim Final Rules was published on Thursday, October 21, 2010. Available at </w:t>
      </w:r>
      <w:hyperlink r:id="rId210" w:tgtFrame="_blank" w:tooltip="http://www.hrsa.gov/gethealthcare/conditions/countermeasurescomp/cicp_final_rule_correction.pdf" w:history="1">
        <w:r w:rsidRPr="002C6FA0">
          <w:rPr>
            <w:rFonts w:ascii="Calibri" w:eastAsia="Times New Roman" w:hAnsi="Calibri" w:cs="Arial"/>
            <w:color w:val="000000" w:themeColor="text1"/>
            <w:u w:val="single"/>
            <w:bdr w:val="none" w:sz="0" w:space="0" w:color="auto" w:frame="1"/>
          </w:rPr>
          <w:t>http://www.hrsa.gov/gethealthcare/conditions/countermeasurescomp/cicp_final_rule_correction.pdf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The CICP Administrative Implementation Interim Final Rule was published in the </w:t>
      </w:r>
      <w:r w:rsidRPr="002C6FA0">
        <w:rPr>
          <w:rFonts w:ascii="Calibri" w:eastAsia="Times New Roman" w:hAnsi="Calibri" w:cs="Arial"/>
          <w:i/>
          <w:iCs/>
          <w:color w:val="000000" w:themeColor="text1"/>
          <w:bdr w:val="none" w:sz="0" w:space="0" w:color="auto" w:frame="1"/>
        </w:rPr>
        <w:t>Federal Register</w:t>
      </w:r>
      <w:r w:rsidRPr="002C6FA0">
        <w:rPr>
          <w:rFonts w:ascii="Calibri" w:eastAsia="Times New Roman" w:hAnsi="Calibri" w:cs="Arial"/>
          <w:color w:val="000000" w:themeColor="text1"/>
        </w:rPr>
        <w:t> on Friday, October 15, 2010. Available at </w:t>
      </w:r>
      <w:hyperlink r:id="rId211" w:tgtFrame="_blank" w:tooltip="http://www.hrsa.gov/gethealthcare/conditions/countermeasurescomp/cicp_admin_final_rule.pdf" w:history="1">
        <w:r w:rsidRPr="002C6FA0">
          <w:rPr>
            <w:rFonts w:ascii="Calibri" w:eastAsia="Times New Roman" w:hAnsi="Calibri" w:cs="Arial"/>
            <w:color w:val="000000" w:themeColor="text1"/>
            <w:u w:val="single"/>
            <w:bdr w:val="none" w:sz="0" w:space="0" w:color="auto" w:frame="1"/>
          </w:rPr>
          <w:t>http://www.hrsa.gov/gethealthcare/conditions/countermeasurescomp/cicp_admin_final_rule.pdf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3A8C4AD4" w14:textId="77777777" w:rsidR="007263DD" w:rsidRPr="002C6FA0" w:rsidRDefault="007263DD"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Emergency Management Assistance Compact (EMAC)</w:t>
      </w:r>
    </w:p>
    <w:p w14:paraId="331F8055"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color w:val="000000" w:themeColor="text1"/>
        </w:rPr>
        <w:br/>
        <w:t>Emergency Management Assistance Compact. Pub. L. No. 104-321. Available at </w:t>
      </w:r>
      <w:hyperlink r:id="rId212" w:tgtFrame="_blank" w:tooltip="http://www.gpo.gov/fdsys/pkg/PLAW-104publ321/pdf/PLAW-104publ321.pdf" w:history="1">
        <w:r w:rsidRPr="002C6FA0">
          <w:rPr>
            <w:rFonts w:ascii="Calibri" w:eastAsia="Times New Roman" w:hAnsi="Calibri" w:cs="Arial"/>
            <w:color w:val="000000" w:themeColor="text1"/>
            <w:u w:val="single"/>
            <w:bdr w:val="none" w:sz="0" w:space="0" w:color="auto" w:frame="1"/>
          </w:rPr>
          <w:t>http://www.gpo.gov/fdsys/pkg/PLAW-104publ321/pdf/PLAW-104publ321.pdf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Key Documents </w:t>
      </w:r>
      <w:r w:rsidRPr="002C6FA0">
        <w:rPr>
          <w:rFonts w:ascii="Calibri" w:eastAsia="Times New Roman" w:hAnsi="Calibri" w:cs="Arial"/>
          <w:color w:val="000000" w:themeColor="text1"/>
        </w:rPr>
        <w:br/>
        <w:t>Emergency Management Assistance Compact. Articles of Agreement. Available at </w:t>
      </w:r>
      <w:hyperlink r:id="rId213" w:tgtFrame="_blank" w:tooltip="http://www.emacweb.org" w:history="1">
        <w:r w:rsidRPr="002C6FA0">
          <w:rPr>
            <w:rFonts w:ascii="Calibri" w:eastAsia="Times New Roman" w:hAnsi="Calibri" w:cs="Arial"/>
            <w:color w:val="000000" w:themeColor="text1"/>
            <w:u w:val="single"/>
            <w:bdr w:val="none" w:sz="0" w:space="0" w:color="auto" w:frame="1"/>
          </w:rPr>
          <w:t>http://www.emacweb.org</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Summaries of Law, Statute, and Regulations</w:t>
      </w:r>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t>Government Accountability Office. </w:t>
      </w:r>
      <w:r w:rsidRPr="002C6FA0">
        <w:rPr>
          <w:rFonts w:ascii="Calibri" w:eastAsia="Times New Roman" w:hAnsi="Calibri" w:cs="Arial"/>
          <w:i/>
          <w:iCs/>
          <w:color w:val="000000" w:themeColor="text1"/>
          <w:bdr w:val="none" w:sz="0" w:space="0" w:color="auto" w:frame="1"/>
        </w:rPr>
        <w:t>Emergency Management Assistance Compact: Enhancing EMAC's Collaborative and Administrative Capacity Should Improve National Disaster Response</w:t>
      </w:r>
      <w:r w:rsidRPr="002C6FA0">
        <w:rPr>
          <w:rFonts w:ascii="Calibri" w:eastAsia="Times New Roman" w:hAnsi="Calibri" w:cs="Arial"/>
          <w:color w:val="000000" w:themeColor="text1"/>
        </w:rPr>
        <w:t> (GAO-07-854). June 2007. Available at </w:t>
      </w:r>
      <w:hyperlink r:id="rId214" w:tgtFrame="_blank" w:tooltip="http://www.gao.gov/new.items/d07854.pdf" w:history="1">
        <w:r w:rsidRPr="002C6FA0">
          <w:rPr>
            <w:rFonts w:ascii="Calibri" w:eastAsia="Times New Roman" w:hAnsi="Calibri" w:cs="Arial"/>
            <w:color w:val="000000" w:themeColor="text1"/>
            <w:u w:val="single"/>
            <w:bdr w:val="none" w:sz="0" w:space="0" w:color="auto" w:frame="1"/>
          </w:rPr>
          <w:t>http://www.gao.gov/new.items/d07854.pdf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Lindsay B. Congressional Research Service. </w:t>
      </w:r>
      <w:r w:rsidRPr="002C6FA0">
        <w:rPr>
          <w:rFonts w:ascii="Calibri" w:eastAsia="Times New Roman" w:hAnsi="Calibri" w:cs="Arial"/>
          <w:i/>
          <w:iCs/>
          <w:color w:val="000000" w:themeColor="text1"/>
          <w:bdr w:val="none" w:sz="0" w:space="0" w:color="auto" w:frame="1"/>
        </w:rPr>
        <w:t>The Emergency Management Assistance Compact (EMAC): An Overview</w:t>
      </w:r>
      <w:r w:rsidRPr="002C6FA0">
        <w:rPr>
          <w:rFonts w:ascii="Calibri" w:eastAsia="Times New Roman" w:hAnsi="Calibri" w:cs="Arial"/>
          <w:color w:val="000000" w:themeColor="text1"/>
        </w:rPr>
        <w:t> (RL34585). July 21, 2008. Available at </w:t>
      </w:r>
      <w:hyperlink r:id="rId215" w:tgtFrame="_blank" w:tooltip="http://www.policyarchive.org/handle/10207/bitstreams/20206.pdf" w:history="1">
        <w:r w:rsidRPr="002C6FA0">
          <w:rPr>
            <w:rFonts w:ascii="Calibri" w:eastAsia="Times New Roman" w:hAnsi="Calibri" w:cs="Arial"/>
            <w:color w:val="000000" w:themeColor="text1"/>
            <w:u w:val="single"/>
            <w:bdr w:val="none" w:sz="0" w:space="0" w:color="auto" w:frame="1"/>
          </w:rPr>
          <w:t>http://www.policyarchive.org/handle/10207/bitstreams/20206.pdf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Emergency Management Assistance Compact website. Available at </w:t>
      </w:r>
      <w:hyperlink r:id="rId216" w:tgtFrame="_blank" w:tooltip="http://www.emacweb.org" w:history="1">
        <w:r w:rsidRPr="002C6FA0">
          <w:rPr>
            <w:rFonts w:ascii="Calibri" w:eastAsia="Times New Roman" w:hAnsi="Calibri" w:cs="Arial"/>
            <w:color w:val="000000" w:themeColor="text1"/>
            <w:u w:val="single"/>
            <w:bdr w:val="none" w:sz="0" w:space="0" w:color="auto" w:frame="1"/>
          </w:rPr>
          <w:t>http://www.emacweb.org</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Resources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CDC Public Health Law Program. “Mutual Aid” webpage. Available at </w:t>
      </w:r>
      <w:hyperlink r:id="rId217" w:tgtFrame="_blank" w:tooltip="http://www.cdc.gov/phlp/publications/topic/mutual_aid.html" w:history="1">
        <w:r w:rsidRPr="002C6FA0">
          <w:rPr>
            <w:rFonts w:ascii="Calibri" w:eastAsia="Times New Roman" w:hAnsi="Calibri" w:cs="Arial"/>
            <w:color w:val="000000" w:themeColor="text1"/>
            <w:u w:val="single"/>
            <w:bdr w:val="none" w:sz="0" w:space="0" w:color="auto" w:frame="1"/>
          </w:rPr>
          <w:t>http://www.cdc.gov/phlp/publications/topic/mutual_aid.html</w:t>
        </w:r>
      </w:hyperlink>
      <w:r w:rsidRPr="002C6FA0">
        <w:rPr>
          <w:rFonts w:ascii="Calibri" w:eastAsia="Times New Roman" w:hAnsi="Calibri" w:cs="Arial"/>
          <w:color w:val="000000" w:themeColor="text1"/>
        </w:rPr>
        <w:t> .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Emergency Management Assistance Compact. Model Intrastate Mutual Aid Legislation (March 2004). Available at </w:t>
      </w:r>
      <w:hyperlink r:id="rId218" w:tgtFrame="_blank" w:tooltip="http://www.emacweb.org" w:history="1">
        <w:r w:rsidRPr="002C6FA0">
          <w:rPr>
            <w:rFonts w:ascii="Calibri" w:eastAsia="Times New Roman" w:hAnsi="Calibri" w:cs="Arial"/>
            <w:color w:val="000000" w:themeColor="text1"/>
            <w:u w:val="single"/>
            <w:bdr w:val="none" w:sz="0" w:space="0" w:color="auto" w:frame="1"/>
          </w:rPr>
          <w:t>http://www.emacweb.org</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 xml:space="preserve">Federal Emergency Management Agency. “Mutual Aid Agreements for Public Assistance and Fire Management Assistance” (Disaster Assistance Policy 9523.6). August 13, 2007. Available </w:t>
      </w:r>
      <w:r w:rsidRPr="002C6FA0">
        <w:rPr>
          <w:rFonts w:ascii="Calibri" w:eastAsia="Times New Roman" w:hAnsi="Calibri" w:cs="Arial"/>
          <w:color w:val="000000" w:themeColor="text1"/>
        </w:rPr>
        <w:lastRenderedPageBreak/>
        <w:t>at </w:t>
      </w:r>
      <w:hyperlink r:id="rId219" w:tgtFrame="_blank" w:tooltip="http://www.fema.gov/9500-series-policy-publications/95236-mutual-aid-agreements-public-assistance-fire-management" w:history="1">
        <w:r w:rsidRPr="002C6FA0">
          <w:rPr>
            <w:rFonts w:ascii="Calibri" w:eastAsia="Times New Roman" w:hAnsi="Calibri" w:cs="Arial"/>
            <w:color w:val="000000" w:themeColor="text1"/>
            <w:u w:val="single"/>
            <w:bdr w:val="none" w:sz="0" w:space="0" w:color="auto" w:frame="1"/>
          </w:rPr>
          <w:t>http://www.fema.gov/9500-series-policy-publications/95236-mutual-aid-agreements-public-assistance-fire-management</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Hodge J et al. Model Memorandum of Understanding Between Hospitals During Declared Emergencies. June 15, 2009. Available at </w:t>
      </w:r>
      <w:hyperlink r:id="rId220" w:tgtFrame="_blank" w:tooltip="http://www.bt.cdc.gov/planning/emac/pdf/PACER_Model_MOU.pdf" w:history="1">
        <w:r w:rsidRPr="002C6FA0">
          <w:rPr>
            <w:rFonts w:ascii="Calibri" w:eastAsia="Times New Roman" w:hAnsi="Calibri" w:cs="Arial"/>
            <w:color w:val="000000" w:themeColor="text1"/>
            <w:u w:val="single"/>
            <w:bdr w:val="none" w:sz="0" w:space="0" w:color="auto" w:frame="1"/>
          </w:rPr>
          <w:t>http://www.bt.cdc.gov/planning/emac/pdf/PACER_Model_MOU.pdf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U.S. EPA. “Mutual Aid and Assistance” webpage. Available at </w:t>
      </w:r>
      <w:hyperlink r:id="rId221" w:tgtFrame="_blank" w:tooltip="http://water.epa.gov/infrastructure/watersecurity/mutualaid/index.cfm" w:history="1">
        <w:r w:rsidRPr="002C6FA0">
          <w:rPr>
            <w:rFonts w:ascii="Calibri" w:eastAsia="Times New Roman" w:hAnsi="Calibri" w:cs="Arial"/>
            <w:color w:val="000000" w:themeColor="text1"/>
            <w:u w:val="single"/>
            <w:bdr w:val="none" w:sz="0" w:space="0" w:color="auto" w:frame="1"/>
          </w:rPr>
          <w:t>http://water.epa.gov/infrastructure/watersecurity/mutualaid/index.cfm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5A8B0F99" w14:textId="77777777" w:rsidR="007263DD" w:rsidRPr="002C6FA0" w:rsidRDefault="007263DD"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Emergency Medical Treatment and Active Labor Act (EMTALA)</w:t>
      </w:r>
    </w:p>
    <w:p w14:paraId="23E24ECE"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Emergency Medical Treatment and Active Labor Act, as amended. Codified at 42 U.S.C. §1395dd. Available at </w:t>
      </w:r>
      <w:hyperlink r:id="rId222" w:tgtFrame="_blank" w:tooltip="http://www.gpo.gov/fdsys/pkg/USCODE-2008-title42/pdf/USCODE-2008-title42-chap7-subchapXVIII-partE-sec1395dd.pdf" w:history="1">
        <w:r w:rsidRPr="002C6FA0">
          <w:rPr>
            <w:rFonts w:ascii="Calibri" w:eastAsia="Times New Roman" w:hAnsi="Calibri" w:cs="Arial"/>
            <w:color w:val="000000" w:themeColor="text1"/>
            <w:u w:val="single"/>
            <w:bdr w:val="none" w:sz="0" w:space="0" w:color="auto" w:frame="1"/>
          </w:rPr>
          <w:t>http://www.gpo.gov/fdsys/pkg/USCODE-2008-title42/pdf/USCODE-2008-title42-chap7-subchapXVIII-partE-sec1395dd.pdf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3BF5EFBB" w14:textId="77777777" w:rsidR="007263DD" w:rsidRPr="002C6FA0" w:rsidRDefault="007263DD"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Emergency Support Function (ESF)</w:t>
      </w:r>
    </w:p>
    <w:p w14:paraId="64FAA9EE"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i/>
          <w:iCs/>
          <w:color w:val="000000" w:themeColor="text1"/>
          <w:bdr w:val="none" w:sz="0" w:space="0" w:color="auto" w:frame="1"/>
        </w:rPr>
        <w:t>See </w:t>
      </w:r>
      <w:hyperlink r:id="rId223" w:anchor="National-Response-Framework-(NRF)" w:history="1">
        <w:r w:rsidRPr="002C6FA0">
          <w:rPr>
            <w:rFonts w:ascii="Calibri" w:eastAsia="Times New Roman" w:hAnsi="Calibri" w:cs="Arial"/>
            <w:i/>
            <w:iCs/>
            <w:color w:val="000000" w:themeColor="text1"/>
            <w:u w:val="single"/>
            <w:bdr w:val="none" w:sz="0" w:space="0" w:color="auto" w:frame="1"/>
          </w:rPr>
          <w:t>"National Response Framework"</w:t>
        </w:r>
      </w:hyperlink>
      <w:r w:rsidRPr="002C6FA0">
        <w:rPr>
          <w:rFonts w:ascii="Calibri" w:eastAsia="Times New Roman" w:hAnsi="Calibri" w:cs="Arial"/>
          <w:i/>
          <w:iCs/>
          <w:color w:val="000000" w:themeColor="text1"/>
          <w:bdr w:val="none" w:sz="0" w:space="0" w:color="auto" w:frame="1"/>
        </w:rPr>
        <w:t> </w:t>
      </w:r>
      <w:r w:rsidRPr="002C6FA0">
        <w:rPr>
          <w:rFonts w:ascii="Calibri" w:eastAsia="Times New Roman" w:hAnsi="Calibri" w:cs="Arial"/>
          <w:i/>
          <w:iCs/>
          <w:color w:val="000000" w:themeColor="text1"/>
          <w:bdr w:val="none" w:sz="0" w:space="0" w:color="auto" w:frame="1"/>
        </w:rPr>
        <w:br/>
      </w:r>
    </w:p>
    <w:p w14:paraId="7F55F6DC" w14:textId="77777777" w:rsidR="007263DD" w:rsidRPr="002C6FA0" w:rsidRDefault="007263DD"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Emergency System for Advance Registration of Volunteer Health Professionals (ESAR-VHP)</w:t>
      </w:r>
    </w:p>
    <w:p w14:paraId="1FEC493D"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HHS Office of the Assistant Secretary for Preparedness and Response. “About ESAR-VHP” webpage. Available at </w:t>
      </w:r>
      <w:hyperlink r:id="rId224" w:tgtFrame="_blank" w:tooltip="http://www.phe.gov/esarvhp/pages/about.aspx" w:history="1">
        <w:r w:rsidRPr="002C6FA0">
          <w:rPr>
            <w:rFonts w:ascii="Calibri" w:eastAsia="Times New Roman" w:hAnsi="Calibri" w:cs="Arial"/>
            <w:color w:val="000000" w:themeColor="text1"/>
            <w:u w:val="single"/>
            <w:bdr w:val="none" w:sz="0" w:space="0" w:color="auto" w:frame="1"/>
          </w:rPr>
          <w:t>http://www.phe.gov/esarvhp/pages/about.aspx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Health Resources and Services Administration. </w:t>
      </w:r>
      <w:r w:rsidRPr="002C6FA0">
        <w:rPr>
          <w:rFonts w:ascii="Calibri" w:eastAsia="Times New Roman" w:hAnsi="Calibri" w:cs="Arial"/>
          <w:i/>
          <w:iCs/>
          <w:color w:val="000000" w:themeColor="text1"/>
          <w:bdr w:val="none" w:sz="0" w:space="0" w:color="auto" w:frame="1"/>
        </w:rPr>
        <w:t>Emergency System for Advance Registration of Volunteer Health Professionals (ESAR-VHP)—Legal and Regulatory Issues</w:t>
      </w:r>
      <w:r w:rsidRPr="002C6FA0">
        <w:rPr>
          <w:rFonts w:ascii="Calibri" w:eastAsia="Times New Roman" w:hAnsi="Calibri" w:cs="Arial"/>
          <w:color w:val="000000" w:themeColor="text1"/>
        </w:rPr>
        <w:t>. Draft Report—May 2006. Available at </w:t>
      </w:r>
      <w:hyperlink r:id="rId225" w:tgtFrame="_blank" w:tooltip="http://www.publichealthlaw.net/Research/PDF/ESAR%20VHP%20Report.pdf" w:history="1">
        <w:r w:rsidRPr="002C6FA0">
          <w:rPr>
            <w:rFonts w:ascii="Calibri" w:eastAsia="Times New Roman" w:hAnsi="Calibri" w:cs="Arial"/>
            <w:color w:val="000000" w:themeColor="text1"/>
            <w:u w:val="single"/>
            <w:bdr w:val="none" w:sz="0" w:space="0" w:color="auto" w:frame="1"/>
          </w:rPr>
          <w:t>http://www.publichealthlaw.net/Research/PDF/ESAR%20VHP%20Report.pdf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Resources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Hodges JG and Arias JJ. “Liability Risks and Protections for Volunteer Health Practitioners in Emergencies.” Presentation to the Public Health Law Network-Western Region. November 2010. Available at </w:t>
      </w:r>
      <w:hyperlink r:id="rId226" w:tgtFrame="_blank" w:tooltip="https://www.networkforphl.org/_asset/5ywvc8/Western-Region---VHP-Liability-Webinar-12-2.pdf" w:history="1">
        <w:r w:rsidRPr="002C6FA0">
          <w:rPr>
            <w:rFonts w:ascii="Calibri" w:eastAsia="Times New Roman" w:hAnsi="Calibri" w:cs="Arial"/>
            <w:color w:val="000000" w:themeColor="text1"/>
            <w:u w:val="single"/>
            <w:bdr w:val="none" w:sz="0" w:space="0" w:color="auto" w:frame="1"/>
          </w:rPr>
          <w:t>https://www.networkforphl.org/_asset/5ywvc8/Western-Region---VHP-Liability-Webinar-12-2.pdf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46C2719E" w14:textId="77777777" w:rsidR="007263DD" w:rsidRPr="002C6FA0" w:rsidRDefault="007263DD"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Emergency Use Authorization (EUA)</w:t>
      </w:r>
    </w:p>
    <w:p w14:paraId="2C8D86AD" w14:textId="77777777" w:rsidR="007263DD" w:rsidRPr="002C6FA0" w:rsidRDefault="007263DD"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i/>
          <w:iCs/>
          <w:color w:val="000000" w:themeColor="text1"/>
          <w:bdr w:val="none" w:sz="0" w:space="0" w:color="auto" w:frame="1"/>
        </w:rPr>
        <w:t>See also </w:t>
      </w:r>
      <w:hyperlink r:id="rId227" w:history="1">
        <w:r w:rsidRPr="002C6FA0">
          <w:rPr>
            <w:rFonts w:ascii="Calibri" w:eastAsia="Times New Roman" w:hAnsi="Calibri" w:cs="Arial"/>
            <w:i/>
            <w:iCs/>
            <w:color w:val="000000" w:themeColor="text1"/>
            <w:u w:val="single"/>
            <w:bdr w:val="none" w:sz="0" w:space="0" w:color="auto" w:frame="1"/>
          </w:rPr>
          <w:t>“ASTHO Emergency Use Authorization Toolkit”</w:t>
        </w:r>
      </w:hyperlink>
      <w:r w:rsidRPr="002C6FA0">
        <w:rPr>
          <w:rFonts w:ascii="Calibri" w:eastAsia="Times New Roman" w:hAnsi="Calibri" w:cs="Arial"/>
          <w:i/>
          <w:iCs/>
          <w:color w:val="000000" w:themeColor="text1"/>
          <w:bdr w:val="none" w:sz="0" w:space="0" w:color="auto" w:frame="1"/>
        </w:rPr>
        <w:t> </w:t>
      </w:r>
    </w:p>
    <w:p w14:paraId="4C74713D" w14:textId="77777777" w:rsidR="007263DD" w:rsidRPr="002C6FA0" w:rsidRDefault="007263DD" w:rsidP="00663E93">
      <w:pPr>
        <w:shd w:val="clear" w:color="auto" w:fill="FFFFFF"/>
        <w:spacing w:after="225"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Federal Food, Drug, and Cosmetic Act 564, as amended. Codified at 21 U.S.C. 564.</w:t>
      </w:r>
    </w:p>
    <w:p w14:paraId="2A291B8F" w14:textId="77777777" w:rsidR="007263DD" w:rsidRPr="002C6FA0" w:rsidRDefault="007263DD"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Pandemic and All-Hazards Preparedness Reauthorization Act of 2013. Pub. L. No. 113-5. (127 STAT. 161). Available at  </w:t>
      </w:r>
      <w:hyperlink r:id="rId228" w:tgtFrame="_blank" w:tooltip="http://www.gpo.gov/fdsys/pkg/BILLS-113hr307enr/pdf/BILLS-113hr307enr.pdf" w:history="1">
        <w:r w:rsidRPr="002C6FA0">
          <w:rPr>
            <w:rFonts w:ascii="Calibri" w:eastAsia="Times New Roman" w:hAnsi="Calibri" w:cs="Arial"/>
            <w:color w:val="000000" w:themeColor="text1"/>
            <w:u w:val="single"/>
            <w:bdr w:val="none" w:sz="0" w:space="0" w:color="auto" w:frame="1"/>
          </w:rPr>
          <w:t>http://www.gpo.gov/fdsys/pkg/BILLS-113hr307enr/pdf/BILLS-113hr307enr.pdf</w:t>
        </w:r>
      </w:hyperlink>
      <w:r w:rsidRPr="002C6FA0">
        <w:rPr>
          <w:rFonts w:ascii="Calibri" w:eastAsia="Times New Roman" w:hAnsi="Calibri" w:cs="Arial"/>
          <w:color w:val="000000" w:themeColor="text1"/>
        </w:rPr>
        <w:t>  </w:t>
      </w:r>
    </w:p>
    <w:p w14:paraId="06131418" w14:textId="77777777" w:rsidR="007263DD" w:rsidRDefault="007263DD" w:rsidP="00663E93">
      <w:pPr>
        <w:shd w:val="clear" w:color="auto" w:fill="FFFFFF"/>
        <w:spacing w:line="240" w:lineRule="atLeast"/>
        <w:textAlignment w:val="baseline"/>
        <w:rPr>
          <w:rFonts w:ascii="Calibri" w:eastAsia="Times New Roman" w:hAnsi="Calibri" w:cs="Arial"/>
          <w:color w:val="000000" w:themeColor="text1"/>
        </w:rPr>
      </w:pPr>
    </w:p>
    <w:p w14:paraId="24F699B6" w14:textId="77777777" w:rsidR="007263DD" w:rsidRDefault="007263DD" w:rsidP="00663E93">
      <w:pPr>
        <w:shd w:val="clear" w:color="auto" w:fill="FFFFFF"/>
        <w:spacing w:line="240" w:lineRule="atLeast"/>
        <w:textAlignment w:val="baseline"/>
        <w:rPr>
          <w:rFonts w:ascii="Calibri" w:eastAsia="Times New Roman" w:hAnsi="Calibri" w:cs="Arial"/>
          <w:color w:val="000000" w:themeColor="text1"/>
          <w:u w:val="single"/>
          <w:bdr w:val="none" w:sz="0" w:space="0" w:color="auto" w:frame="1"/>
        </w:rPr>
      </w:pPr>
      <w:r w:rsidRPr="002C6FA0">
        <w:rPr>
          <w:rFonts w:ascii="Calibri" w:eastAsia="Times New Roman" w:hAnsi="Calibri" w:cs="Arial"/>
          <w:color w:val="000000" w:themeColor="text1"/>
        </w:rPr>
        <w:lastRenderedPageBreak/>
        <w:t>U.S. Food and Drug Administration. Emergency Use Authorization of Medical Products Guidance. July 2007. Available at </w:t>
      </w:r>
      <w:hyperlink r:id="rId229" w:tgtFrame="_blank" w:tooltip="http://www.fda.gov/RegulatoryInformation/Guidances/ucm125127.htm" w:history="1">
        <w:r w:rsidRPr="002C6FA0">
          <w:rPr>
            <w:rFonts w:ascii="Calibri" w:eastAsia="Times New Roman" w:hAnsi="Calibri" w:cs="Arial"/>
            <w:color w:val="000000" w:themeColor="text1"/>
            <w:u w:val="single"/>
            <w:bdr w:val="none" w:sz="0" w:space="0" w:color="auto" w:frame="1"/>
          </w:rPr>
          <w:t>http://www.fda.gov/RegulatoryInformation/Guidances/ucm125127.htm</w:t>
        </w:r>
      </w:hyperlink>
    </w:p>
    <w:p w14:paraId="2373AF6A" w14:textId="77777777" w:rsidR="007263DD" w:rsidRPr="002C6FA0" w:rsidRDefault="007263DD" w:rsidP="00663E93">
      <w:pPr>
        <w:shd w:val="clear" w:color="auto" w:fill="FFFFFF"/>
        <w:spacing w:line="240" w:lineRule="atLeast"/>
        <w:textAlignment w:val="baseline"/>
        <w:rPr>
          <w:rFonts w:ascii="Calibri" w:eastAsia="Times New Roman" w:hAnsi="Calibri" w:cs="Arial"/>
          <w:color w:val="000000" w:themeColor="text1"/>
        </w:rPr>
      </w:pPr>
    </w:p>
    <w:p w14:paraId="281D363F" w14:textId="77777777" w:rsidR="007263DD" w:rsidRPr="002C6FA0" w:rsidRDefault="007263DD"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U.S. Food and Drug Administration. "Emergency Use Authorization" webpage. Available at </w:t>
      </w:r>
      <w:hyperlink r:id="rId230" w:tgtFrame="_blank" w:tooltip="http://www.fda.gov/emergencypreparedness/counterterrorism/ucm182568.htm" w:history="1">
        <w:r w:rsidRPr="002C6FA0">
          <w:rPr>
            <w:rFonts w:ascii="Calibri" w:eastAsia="Times New Roman" w:hAnsi="Calibri" w:cs="Arial"/>
            <w:color w:val="000000" w:themeColor="text1"/>
            <w:u w:val="single"/>
            <w:bdr w:val="none" w:sz="0" w:space="0" w:color="auto" w:frame="1"/>
          </w:rPr>
          <w:t>http://www.fda.gov/emergencypreparedness/counterterrorism/ucm182568.htm</w:t>
        </w:r>
      </w:hyperlink>
    </w:p>
    <w:p w14:paraId="03B6E655" w14:textId="77777777" w:rsidR="007263DD" w:rsidRDefault="007263DD" w:rsidP="00663E93">
      <w:pPr>
        <w:shd w:val="clear" w:color="auto" w:fill="FFFFFF"/>
        <w:spacing w:line="240" w:lineRule="atLeast"/>
        <w:textAlignment w:val="baseline"/>
        <w:rPr>
          <w:rFonts w:ascii="Calibri" w:eastAsia="Times New Roman" w:hAnsi="Calibri" w:cs="Arial"/>
          <w:color w:val="000000" w:themeColor="text1"/>
        </w:rPr>
      </w:pPr>
    </w:p>
    <w:p w14:paraId="1AAEFD62" w14:textId="77777777" w:rsidR="007263DD" w:rsidRPr="002C6FA0" w:rsidRDefault="007263DD"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U.S. Food and Drug Administration. "Pandemic and All Hazards Preparedness Reauthorization Act of 2013. (PAHPRA FDA Medical Countermeasure Authorities)" webpage. Available at </w:t>
      </w:r>
      <w:hyperlink r:id="rId231" w:tgtFrame="_blank" w:tooltip="http://www.fda.gov/EmergencyPreparedness/Counterterrorism/MedicalCountermeasures/MCMLegalRegulatoryandPolicyFramework/ucm359581.htm" w:history="1">
        <w:r w:rsidRPr="002C6FA0">
          <w:rPr>
            <w:rFonts w:ascii="Calibri" w:eastAsia="Times New Roman" w:hAnsi="Calibri" w:cs="Arial"/>
            <w:color w:val="000000" w:themeColor="text1"/>
            <w:u w:val="single"/>
            <w:bdr w:val="none" w:sz="0" w:space="0" w:color="auto" w:frame="1"/>
          </w:rPr>
          <w:t>http://www.fda.gov/EmergencyPreparedness/Counterterrorism/MedicalCountermeasures/MCMLegalRegulatoryandPolicyFramework/ucm359581.htm</w:t>
        </w:r>
      </w:hyperlink>
      <w:r w:rsidRPr="002C6FA0">
        <w:rPr>
          <w:rFonts w:ascii="Calibri" w:eastAsia="Times New Roman" w:hAnsi="Calibri" w:cs="Arial"/>
          <w:color w:val="000000" w:themeColor="text1"/>
        </w:rPr>
        <w:t>.</w:t>
      </w:r>
    </w:p>
    <w:p w14:paraId="463B5C69" w14:textId="77777777" w:rsidR="007263DD" w:rsidRDefault="007263DD" w:rsidP="00663E93">
      <w:pPr>
        <w:shd w:val="clear" w:color="auto" w:fill="FFFFFF"/>
        <w:spacing w:line="240" w:lineRule="atLeast"/>
        <w:textAlignment w:val="baseline"/>
        <w:rPr>
          <w:rFonts w:ascii="Calibri" w:eastAsia="Times New Roman" w:hAnsi="Calibri" w:cs="Arial"/>
          <w:color w:val="000000" w:themeColor="text1"/>
        </w:rPr>
      </w:pPr>
    </w:p>
    <w:p w14:paraId="6E5510BE" w14:textId="77777777" w:rsidR="007263DD" w:rsidRPr="002C6FA0" w:rsidRDefault="007263DD"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U.S. Food and Drug Administration and the U.S. Centers for Disease Control and Prevention. "Emergency Use Authorization" online course. Available at </w:t>
      </w:r>
      <w:hyperlink r:id="rId232" w:tgtFrame="_blank" w:tooltip="http://www.bt.cdc.gov/training/eua/index.html" w:history="1">
        <w:r w:rsidRPr="002C6FA0">
          <w:rPr>
            <w:rFonts w:ascii="Calibri" w:eastAsia="Times New Roman" w:hAnsi="Calibri" w:cs="Arial"/>
            <w:color w:val="000000" w:themeColor="text1"/>
            <w:u w:val="single"/>
            <w:bdr w:val="none" w:sz="0" w:space="0" w:color="auto" w:frame="1"/>
          </w:rPr>
          <w:t>http://www.bt.cdc.gov/training/eua/index.html</w:t>
        </w:r>
      </w:hyperlink>
    </w:p>
    <w:p w14:paraId="507038BE" w14:textId="77777777" w:rsidR="007263DD" w:rsidRDefault="007263DD" w:rsidP="00663E93">
      <w:pPr>
        <w:shd w:val="clear" w:color="auto" w:fill="FFFFFF"/>
        <w:spacing w:line="240" w:lineRule="atLeast"/>
        <w:textAlignment w:val="baseline"/>
        <w:rPr>
          <w:rFonts w:ascii="Calibri" w:eastAsia="Times New Roman" w:hAnsi="Calibri" w:cs="Arial"/>
          <w:color w:val="000000" w:themeColor="text1"/>
        </w:rPr>
      </w:pPr>
    </w:p>
    <w:p w14:paraId="7C3DA444" w14:textId="77777777" w:rsidR="007263DD" w:rsidRPr="002C6FA0" w:rsidRDefault="007263DD"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Sherman S. Department of Health and Human Services. "Public Health Emergencies Authorities: Determinations and Declarations." Presentation at Federal, State, and Local Public Health Preparedness meeting. Baltimore, Maryland. December 14-15, 2010. Available at </w:t>
      </w:r>
      <w:hyperlink r:id="rId233" w:tgtFrame="_blank" w:tooltip="http://www.fda.gov/emergencypreparedness/counterterrorism/ucm247676.htm" w:history="1">
        <w:r w:rsidRPr="002C6FA0">
          <w:rPr>
            <w:rFonts w:ascii="Calibri" w:eastAsia="Times New Roman" w:hAnsi="Calibri" w:cs="Arial"/>
            <w:color w:val="000000" w:themeColor="text1"/>
            <w:u w:val="single"/>
            <w:bdr w:val="none" w:sz="0" w:space="0" w:color="auto" w:frame="1"/>
          </w:rPr>
          <w:t>http://www.fda.gov/emergencypreparedness/counterterrorism/ucm247676.htm</w:t>
        </w:r>
      </w:hyperlink>
    </w:p>
    <w:p w14:paraId="63D3BD56" w14:textId="77777777" w:rsidR="007263DD" w:rsidRDefault="007263DD" w:rsidP="00663E93">
      <w:pPr>
        <w:shd w:val="clear" w:color="auto" w:fill="FFFFFF"/>
        <w:spacing w:line="240" w:lineRule="atLeast"/>
        <w:textAlignment w:val="baseline"/>
        <w:rPr>
          <w:rFonts w:ascii="Calibri" w:eastAsia="Times New Roman" w:hAnsi="Calibri" w:cs="Arial"/>
          <w:color w:val="000000" w:themeColor="text1"/>
        </w:rPr>
      </w:pPr>
    </w:p>
    <w:p w14:paraId="4D13772A" w14:textId="77777777" w:rsidR="007263DD" w:rsidRPr="002C6FA0" w:rsidRDefault="007263DD"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Medical Countermeasures Dispensing: Emergency Use Authorization and the Postal Model. Workshop Summary. Institute of Medicine (US). Forum on Medical and Public Health Preparedness for Catastrophic Events. Washington (DC). National Academies Press (US). 2010. Available at </w:t>
      </w:r>
      <w:hyperlink r:id="rId234" w:tgtFrame="_blank" w:tooltip="http://books.nap.edu/openbook.php?record_id=12952" w:history="1">
        <w:r w:rsidRPr="002C6FA0">
          <w:rPr>
            <w:rFonts w:ascii="Calibri" w:eastAsia="Times New Roman" w:hAnsi="Calibri" w:cs="Arial"/>
            <w:color w:val="000000" w:themeColor="text1"/>
            <w:u w:val="single"/>
            <w:bdr w:val="none" w:sz="0" w:space="0" w:color="auto" w:frame="1"/>
          </w:rPr>
          <w:t>http://books.nap.edu/openbook.php?record_id=12952</w:t>
        </w:r>
      </w:hyperlink>
      <w:r w:rsidRPr="002C6FA0">
        <w:rPr>
          <w:rFonts w:ascii="Calibri" w:eastAsia="Times New Roman" w:hAnsi="Calibri" w:cs="Arial"/>
          <w:color w:val="000000" w:themeColor="text1"/>
        </w:rPr>
        <w:t>.</w:t>
      </w:r>
    </w:p>
    <w:p w14:paraId="7ECF67D0" w14:textId="77777777" w:rsidR="007263DD" w:rsidRPr="002C6FA0" w:rsidRDefault="007263DD" w:rsidP="00663E93">
      <w:pPr>
        <w:shd w:val="clear" w:color="auto" w:fill="FFFFFF"/>
        <w:spacing w:after="225"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 </w:t>
      </w:r>
    </w:p>
    <w:p w14:paraId="75CE836E" w14:textId="77777777" w:rsidR="007263DD" w:rsidRPr="002C6FA0" w:rsidRDefault="007263DD"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Entity Liability</w:t>
      </w:r>
    </w:p>
    <w:p w14:paraId="0E951052"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Key Documents</w:t>
      </w:r>
      <w:r w:rsidRPr="002C6FA0">
        <w:rPr>
          <w:rFonts w:ascii="Calibri" w:eastAsia="Times New Roman" w:hAnsi="Calibri" w:cs="Arial"/>
          <w:color w:val="000000" w:themeColor="text1"/>
        </w:rPr>
        <w:br/>
        <w:t>Public/Private Legal Preparedness Initiative. North Carolina Institute for Public Health. “Good Samaritan Entity Liability Protection Initiative” webpage. Available at </w:t>
      </w:r>
      <w:hyperlink r:id="rId235" w:tooltip="http://nciph.sph.unc.edu/law/good_sam.htm" w:history="1">
        <w:r w:rsidRPr="002C6FA0">
          <w:rPr>
            <w:rFonts w:ascii="Calibri" w:eastAsia="Times New Roman" w:hAnsi="Calibri" w:cs="Arial"/>
            <w:color w:val="000000" w:themeColor="text1"/>
            <w:u w:val="single"/>
            <w:bdr w:val="none" w:sz="0" w:space="0" w:color="auto" w:frame="1"/>
          </w:rPr>
          <w:t>http://nciph.sph.unc.edu/law/good_sam.htm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Resources</w:t>
      </w:r>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t>Nonprofit Risk Management Center. </w:t>
      </w:r>
      <w:r w:rsidRPr="002C6FA0">
        <w:rPr>
          <w:rFonts w:ascii="Calibri" w:eastAsia="Times New Roman" w:hAnsi="Calibri" w:cs="Arial"/>
          <w:i/>
          <w:iCs/>
          <w:color w:val="000000" w:themeColor="text1"/>
          <w:bdr w:val="none" w:sz="0" w:space="0" w:color="auto" w:frame="1"/>
        </w:rPr>
        <w:t>State Liability Laws for Charitable Organizations and Volunteers</w:t>
      </w:r>
      <w:r w:rsidRPr="002C6FA0">
        <w:rPr>
          <w:rFonts w:ascii="Calibri" w:eastAsia="Times New Roman" w:hAnsi="Calibri" w:cs="Arial"/>
          <w:color w:val="000000" w:themeColor="text1"/>
        </w:rPr>
        <w:t>. Updated as of December 2009. Available at </w:t>
      </w:r>
      <w:hyperlink r:id="rId236" w:history="1">
        <w:r w:rsidRPr="002C6FA0">
          <w:rPr>
            <w:rFonts w:ascii="Calibri" w:eastAsia="Times New Roman" w:hAnsi="Calibri" w:cs="Arial"/>
            <w:color w:val="000000" w:themeColor="text1"/>
            <w:u w:val="single"/>
            <w:bdr w:val="none" w:sz="0" w:space="0" w:color="auto" w:frame="1"/>
          </w:rPr>
          <w:t>www.probonopartner.org/FileLib/Documents/nonprofitriskmgmtstateliability.pdf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Uniform Emergency Volunteer Health Practitioners Act (UEVHPA). Uniform Law Commission. “Emergency Volunteer Health Practitioners” website. Available at </w:t>
      </w:r>
      <w:hyperlink r:id="rId237" w:tooltip="http://uniformlaws.org/Act.aspx?title=Emergency%20Volunteer%20Health%20Practitioners" w:history="1">
        <w:r w:rsidRPr="002C6FA0">
          <w:rPr>
            <w:rFonts w:ascii="Calibri" w:eastAsia="Times New Roman" w:hAnsi="Calibri" w:cs="Arial"/>
            <w:color w:val="000000" w:themeColor="text1"/>
            <w:u w:val="single"/>
            <w:bdr w:val="none" w:sz="0" w:space="0" w:color="auto" w:frame="1"/>
          </w:rPr>
          <w:t>http://uniformlaws.org/Act.aspx?title=Emergency%20Volunteer%20Health%20Practitioners</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079FC8EC"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Family Educational Rights and Privacy Act (FERPA)</w:t>
      </w:r>
    </w:p>
    <w:p w14:paraId="17EBC2E1"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Family Educational Rights and Privacy Act, as amended. Codified at 20 U.S.C. § 1232g. Available at </w:t>
      </w:r>
      <w:hyperlink r:id="rId238" w:history="1">
        <w:r w:rsidRPr="002C6FA0">
          <w:rPr>
            <w:rFonts w:ascii="Calibri" w:eastAsia="Times New Roman" w:hAnsi="Calibri" w:cs="Arial"/>
            <w:color w:val="000000" w:themeColor="text1"/>
            <w:u w:val="single"/>
            <w:bdr w:val="none" w:sz="0" w:space="0" w:color="auto" w:frame="1"/>
          </w:rPr>
          <w:t>www.gpo.gov/fdsys/pkg/USCODE-2009-title20/pdf/USCODE-2009-title20-chap31-subchapIII-part4-sec1232g.pdf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lastRenderedPageBreak/>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U.S. Department of Education. “Family Educational Rights and Privacy Act (FERPA)” website. Available at </w:t>
      </w:r>
      <w:hyperlink r:id="rId239" w:history="1">
        <w:r w:rsidRPr="002C6FA0">
          <w:rPr>
            <w:rFonts w:ascii="Calibri" w:eastAsia="Times New Roman" w:hAnsi="Calibri" w:cs="Arial"/>
            <w:color w:val="000000" w:themeColor="text1"/>
            <w:u w:val="single"/>
            <w:bdr w:val="none" w:sz="0" w:space="0" w:color="auto" w:frame="1"/>
          </w:rPr>
          <w:t>www.ed.gov/policy/gen/guid/fpco/ferpa/index.html</w:t>
        </w:r>
      </w:hyperlink>
      <w:r w:rsidRPr="002C6FA0">
        <w:rPr>
          <w:rFonts w:ascii="Calibri" w:eastAsia="Times New Roman" w:hAnsi="Calibri" w:cs="Arial"/>
          <w:color w:val="000000" w:themeColor="text1"/>
        </w:rPr>
        <w:t> . </w:t>
      </w:r>
      <w:r w:rsidRPr="002C6FA0">
        <w:rPr>
          <w:rFonts w:ascii="Calibri" w:eastAsia="Times New Roman" w:hAnsi="Calibri" w:cs="Arial"/>
          <w:color w:val="000000" w:themeColor="text1"/>
        </w:rPr>
        <w:br/>
      </w:r>
    </w:p>
    <w:p w14:paraId="4A9FED9B"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Federal Employees Compensation Act (FECA)</w:t>
      </w:r>
    </w:p>
    <w:p w14:paraId="746B322A"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b/>
          <w:bCs/>
          <w:color w:val="000000" w:themeColor="text1"/>
          <w:bdr w:val="none" w:sz="0" w:space="0" w:color="auto" w:frame="1"/>
        </w:rPr>
        <w:t>Public Law, Statute, and Regulations</w:t>
      </w:r>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t>Federal Employees Compensation Act of 1993. Pub. L. No. 103-5. Codified at 5 U.S.C. 8101 et seq. Available at </w:t>
      </w:r>
      <w:hyperlink r:id="rId240" w:tgtFrame="_blank" w:tooltip="http://www.dol.gov/compliance/laws/comp-feca.htm" w:history="1">
        <w:r w:rsidRPr="002C6FA0">
          <w:rPr>
            <w:rFonts w:ascii="Calibri" w:eastAsia="Times New Roman" w:hAnsi="Calibri" w:cs="Arial"/>
            <w:color w:val="000000" w:themeColor="text1"/>
            <w:u w:val="single"/>
            <w:bdr w:val="none" w:sz="0" w:space="0" w:color="auto" w:frame="1"/>
          </w:rPr>
          <w:t>http://www.dol.gov/compliance/laws/comp-feca.htm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4F7073D0"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Federal Tort Claims Act (FTCA)</w:t>
      </w:r>
    </w:p>
    <w:p w14:paraId="2817C476"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w:t>
      </w:r>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t>Federal Tort Claims Act, as amended. Codified at 28 U.S.C. §§1346(b), 2671-2680. Available at </w:t>
      </w:r>
      <w:hyperlink r:id="rId241" w:tgtFrame="_blank" w:tooltip="http://origin.www.gpo.gov/fdsys/pkg/USCODE-2009-title28/pdf/USCODE-2009-title28-partIV-chap85-sec1346.pdf" w:history="1">
        <w:r w:rsidRPr="002C6FA0">
          <w:rPr>
            <w:rFonts w:ascii="Calibri" w:eastAsia="Times New Roman" w:hAnsi="Calibri" w:cs="Arial"/>
            <w:color w:val="000000" w:themeColor="text1"/>
            <w:u w:val="single"/>
            <w:bdr w:val="none" w:sz="0" w:space="0" w:color="auto" w:frame="1"/>
          </w:rPr>
          <w:t>http://origin.www.gpo.gov/fdsys/pkg/USCODE-2009-title28/pdf/USCODE-2009-title28-partIV-chap85-sec1346.pdf</w:t>
        </w:r>
      </w:hyperlink>
      <w:r w:rsidRPr="002C6FA0">
        <w:rPr>
          <w:rFonts w:ascii="Calibri" w:eastAsia="Times New Roman" w:hAnsi="Calibri" w:cs="Arial"/>
          <w:color w:val="000000" w:themeColor="text1"/>
        </w:rPr>
        <w:t> and </w:t>
      </w:r>
      <w:hyperlink r:id="rId242" w:tgtFrame="_blank" w:tooltip="http://uscode.house.gov/download/pls/28C171.txt" w:history="1">
        <w:r w:rsidRPr="002C6FA0">
          <w:rPr>
            <w:rFonts w:ascii="Calibri" w:eastAsia="Times New Roman" w:hAnsi="Calibri" w:cs="Arial"/>
            <w:color w:val="000000" w:themeColor="text1"/>
            <w:u w:val="single"/>
            <w:bdr w:val="none" w:sz="0" w:space="0" w:color="auto" w:frame="1"/>
          </w:rPr>
          <w:t>http://uscode.house.gov/download/pls/28C171.txt</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32D8AACD"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HHS Office of the Assistant Secretary for Preparedness and Response (ASPR)</w:t>
      </w:r>
    </w:p>
    <w:p w14:paraId="3D1D3C56"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w:t>
      </w:r>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t>HHS Office of the Assistant Secretary for Preparedness and Response website. Available at </w:t>
      </w:r>
      <w:hyperlink r:id="rId243" w:tgtFrame="_blank" w:tooltip="www.phe.gov/preparedness/support/secauthority/Pages/default.aspx" w:history="1">
        <w:r w:rsidRPr="002C6FA0">
          <w:rPr>
            <w:rFonts w:ascii="Calibri" w:eastAsia="Times New Roman" w:hAnsi="Calibri" w:cs="Arial"/>
            <w:color w:val="000000" w:themeColor="text1"/>
            <w:u w:val="single"/>
            <w:bdr w:val="none" w:sz="0" w:space="0" w:color="auto" w:frame="1"/>
          </w:rPr>
          <w:t>www.phe.gov/preparedness/support/secauthority/Pages/default.aspx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25A07C1F"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Health Insurance Portability and Accountability Act (HIPAA)</w:t>
      </w:r>
    </w:p>
    <w:p w14:paraId="18C672AD"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color w:val="000000" w:themeColor="text1"/>
        </w:rPr>
        <w:br/>
        <w:t>Health Insurance Portability and Accountability Act of 1996. Pub. L. No. 104-191. Codified at 42 U.S.C. §1320d et seq. and §300gg; and 29 U.S.C §1181 et seq. Available at </w:t>
      </w:r>
      <w:hyperlink r:id="rId244" w:tgtFrame="_blank" w:tooltip="http://frwebgate.access.gpo.gov/cgi-bin/getdoc.cgi?dbname=104_cong_public_laws&amp;amp;docid=f:publ191.104" w:history="1">
        <w:r w:rsidRPr="002C6FA0">
          <w:rPr>
            <w:rFonts w:ascii="Calibri" w:eastAsia="Times New Roman" w:hAnsi="Calibri" w:cs="Arial"/>
            <w:color w:val="000000" w:themeColor="text1"/>
            <w:u w:val="single"/>
            <w:bdr w:val="none" w:sz="0" w:space="0" w:color="auto" w:frame="1"/>
          </w:rPr>
          <w:t>http://frwebgate.access.gpo.gov/cgi-bin/getdoc.cgi?dbname=104_cong_public_laws&amp;docid=f:publ191.104</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HHS Office of Civil Rights. “Understanding Health Information Privacy” website. Available at </w:t>
      </w:r>
      <w:hyperlink r:id="rId245" w:tgtFrame="_blank" w:tooltip="www.hhs.gov/ocr/privacy/hipaa/understanding/index.html" w:history="1">
        <w:r w:rsidRPr="002C6FA0">
          <w:rPr>
            <w:rFonts w:ascii="Calibri" w:eastAsia="Times New Roman" w:hAnsi="Calibri" w:cs="Arial"/>
            <w:color w:val="000000" w:themeColor="text1"/>
            <w:u w:val="single"/>
            <w:bdr w:val="none" w:sz="0" w:space="0" w:color="auto" w:frame="1"/>
          </w:rPr>
          <w:t>www.hhs.gov/ocr/privacy/hipaa/understanding/index.html</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102A2048"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Homeland Security Policy Directives (HSPD)</w:t>
      </w:r>
    </w:p>
    <w:p w14:paraId="3B251DEF" w14:textId="77777777" w:rsidR="007263DD" w:rsidRPr="002C6FA0" w:rsidRDefault="007263DD" w:rsidP="00B31683">
      <w:pPr>
        <w:shd w:val="clear" w:color="auto" w:fill="FFFFFF"/>
        <w:spacing w:after="240" w:line="240" w:lineRule="atLeast"/>
        <w:textAlignment w:val="baseline"/>
        <w:rPr>
          <w:rFonts w:ascii="Calibri" w:eastAsia="Times New Roman" w:hAnsi="Calibri" w:cs="Arial"/>
          <w:b/>
          <w:bCs/>
          <w:color w:val="000000" w:themeColor="text1"/>
        </w:rPr>
      </w:pPr>
      <w:r w:rsidRPr="002C6FA0">
        <w:rPr>
          <w:rFonts w:ascii="Calibri" w:eastAsia="Times New Roman" w:hAnsi="Calibri" w:cs="Arial"/>
          <w:i/>
          <w:iCs/>
          <w:color w:val="000000" w:themeColor="text1"/>
          <w:bdr w:val="none" w:sz="0" w:space="0" w:color="auto" w:frame="1"/>
        </w:rPr>
        <w:t>See </w:t>
      </w:r>
      <w:hyperlink r:id="rId246" w:anchor="Presidential-Directives" w:history="1">
        <w:r w:rsidRPr="002C6FA0">
          <w:rPr>
            <w:rFonts w:ascii="Calibri" w:eastAsia="Times New Roman" w:hAnsi="Calibri" w:cs="Arial"/>
            <w:i/>
            <w:iCs/>
            <w:color w:val="000000" w:themeColor="text1"/>
            <w:u w:val="single"/>
            <w:bdr w:val="none" w:sz="0" w:space="0" w:color="auto" w:frame="1"/>
          </w:rPr>
          <w:t>“Presidential Directives”</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rPr>
        <w:t>Medical Reserve Corps (MRC)</w:t>
      </w:r>
    </w:p>
    <w:p w14:paraId="19FA2102"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Medical Reserve Corps webpage. Available at </w:t>
      </w:r>
      <w:hyperlink r:id="rId247" w:tgtFrame="_blank" w:tooltip="http://www.medicalreservecorps.gov/HomePage" w:history="1">
        <w:r w:rsidRPr="002C6FA0">
          <w:rPr>
            <w:rFonts w:ascii="Calibri" w:eastAsia="Times New Roman" w:hAnsi="Calibri" w:cs="Arial"/>
            <w:color w:val="000000" w:themeColor="text1"/>
            <w:u w:val="single"/>
            <w:bdr w:val="none" w:sz="0" w:space="0" w:color="auto" w:frame="1"/>
          </w:rPr>
          <w:t>http://www.medicalreservecorps.gov/HomePage</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2BD112A2"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lastRenderedPageBreak/>
        <w:t>Mutual Aid Agreements (MAA)</w:t>
      </w:r>
    </w:p>
    <w:p w14:paraId="0EC4A094" w14:textId="77777777" w:rsidR="007263DD" w:rsidRPr="002C6FA0" w:rsidRDefault="007263DD"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i/>
          <w:iCs/>
          <w:color w:val="000000" w:themeColor="text1"/>
          <w:bdr w:val="none" w:sz="0" w:space="0" w:color="auto" w:frame="1"/>
        </w:rPr>
        <w:t>See also </w:t>
      </w:r>
      <w:hyperlink r:id="rId248" w:anchor="Emergency-Management" w:history="1">
        <w:r w:rsidRPr="002C6FA0">
          <w:rPr>
            <w:rFonts w:ascii="Calibri" w:eastAsia="Times New Roman" w:hAnsi="Calibri" w:cs="Arial"/>
            <w:i/>
            <w:iCs/>
            <w:color w:val="000000" w:themeColor="text1"/>
            <w:u w:val="single"/>
            <w:bdr w:val="none" w:sz="0" w:space="0" w:color="auto" w:frame="1"/>
          </w:rPr>
          <w:t>“Emergency Management Assistance Compact”</w:t>
        </w:r>
      </w:hyperlink>
      <w:r w:rsidRPr="002C6FA0">
        <w:rPr>
          <w:rFonts w:ascii="Calibri" w:eastAsia="Times New Roman" w:hAnsi="Calibri" w:cs="Arial"/>
          <w:i/>
          <w:iCs/>
          <w:color w:val="000000" w:themeColor="text1"/>
          <w:bdr w:val="none" w:sz="0" w:space="0" w:color="auto" w:frame="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Resources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CDC Public Health Law Program. “Mutual Aid” webpage. Available at </w:t>
      </w:r>
      <w:hyperlink r:id="rId249" w:tgtFrame="_blank" w:tooltip="http://www.cdc.gov/phlp/publications/topic/mutual_aid.html" w:history="1">
        <w:r w:rsidRPr="002C6FA0">
          <w:rPr>
            <w:rFonts w:ascii="Calibri" w:eastAsia="Times New Roman" w:hAnsi="Calibri" w:cs="Arial"/>
            <w:color w:val="000000" w:themeColor="text1"/>
            <w:u w:val="single"/>
            <w:bdr w:val="none" w:sz="0" w:space="0" w:color="auto" w:frame="1"/>
          </w:rPr>
          <w:t>http://www.cdc.gov/phlp/publications/topic/mutual_aid.html</w:t>
        </w:r>
      </w:hyperlink>
      <w:r w:rsidRPr="002C6FA0">
        <w:rPr>
          <w:rFonts w:ascii="Calibri" w:eastAsia="Times New Roman" w:hAnsi="Calibri" w:cs="Arial"/>
          <w:color w:val="000000" w:themeColor="text1"/>
        </w:rPr>
        <w:t> .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Emergency Management Assistance Compact. Model Intrastate Mutual Aid Legislation. March 2004. Available at </w:t>
      </w:r>
      <w:hyperlink r:id="rId250" w:tgtFrame="_blank" w:tooltip="http://www.emacweb.org" w:history="1">
        <w:r w:rsidRPr="002C6FA0">
          <w:rPr>
            <w:rFonts w:ascii="Calibri" w:eastAsia="Times New Roman" w:hAnsi="Calibri" w:cs="Arial"/>
            <w:color w:val="000000" w:themeColor="text1"/>
            <w:u w:val="single"/>
            <w:bdr w:val="none" w:sz="0" w:space="0" w:color="auto" w:frame="1"/>
          </w:rPr>
          <w:t>http://www.emacweb.org</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Federal Emergency Management Agency. “Mutual Aid Agreements for Public Assistance and Fire Management Assistance” (Disaster Assistance Policy 9523.6). August 13, 2007. Available at </w:t>
      </w:r>
      <w:hyperlink r:id="rId251" w:tgtFrame="_blank" w:tooltip="http://www.fema.gov/9500-series-policy-publications/95236-mutual-aid-agreements-public-assistance-fire-management" w:history="1">
        <w:r w:rsidRPr="002C6FA0">
          <w:rPr>
            <w:rFonts w:ascii="Calibri" w:eastAsia="Times New Roman" w:hAnsi="Calibri" w:cs="Arial"/>
            <w:color w:val="000000" w:themeColor="text1"/>
            <w:u w:val="single"/>
            <w:bdr w:val="none" w:sz="0" w:space="0" w:color="auto" w:frame="1"/>
          </w:rPr>
          <w:t>http://www.fema.gov/9500-series-policy-publications/95236-mutual-aid-agreements-public-assistance-fire-management</w:t>
        </w:r>
      </w:hyperlink>
      <w:r w:rsidRPr="002C6FA0">
        <w:rPr>
          <w:rFonts w:ascii="Calibri" w:eastAsia="Times New Roman" w:hAnsi="Calibri" w:cs="Arial"/>
          <w:color w:val="000000" w:themeColor="text1"/>
        </w:rPr>
        <w:t> .</w:t>
      </w:r>
    </w:p>
    <w:p w14:paraId="28510B6F" w14:textId="77777777" w:rsidR="007263DD" w:rsidRDefault="007263DD" w:rsidP="00663E93">
      <w:pPr>
        <w:shd w:val="clear" w:color="auto" w:fill="FFFFFF"/>
        <w:spacing w:after="240" w:line="240" w:lineRule="atLeast"/>
        <w:textAlignment w:val="baseline"/>
        <w:rPr>
          <w:rFonts w:ascii="Calibri" w:eastAsia="Times New Roman" w:hAnsi="Calibri" w:cs="Arial"/>
          <w:color w:val="000000" w:themeColor="text1"/>
        </w:rPr>
      </w:pPr>
    </w:p>
    <w:p w14:paraId="4830679B"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Hodge J et al. Model Memorandum of Understanding Between Hospitals During Declared Emergencies. June 15, 2009). Available at </w:t>
      </w:r>
      <w:hyperlink r:id="rId252" w:tgtFrame="_blank" w:tooltip="http://www.bt.cdc.gov/planning/emac/pdf/PACER_Model_MOU.pdf" w:history="1">
        <w:r w:rsidRPr="002C6FA0">
          <w:rPr>
            <w:rFonts w:ascii="Calibri" w:eastAsia="Times New Roman" w:hAnsi="Calibri" w:cs="Arial"/>
            <w:color w:val="000000" w:themeColor="text1"/>
            <w:u w:val="single"/>
            <w:bdr w:val="none" w:sz="0" w:space="0" w:color="auto" w:frame="1"/>
          </w:rPr>
          <w:t>http://www.bt.cdc.gov/planning/emac/pdf/PACER_Model_MOU.pdf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U.S. EPA. “Mutual Aid and Assistance” webpage. Available at </w:t>
      </w:r>
      <w:hyperlink r:id="rId253" w:tgtFrame="_blank" w:tooltip="http://water.epa.gov/infrastructure/watersecurity/mutualaid/index.cfm" w:history="1">
        <w:r w:rsidRPr="002C6FA0">
          <w:rPr>
            <w:rFonts w:ascii="Calibri" w:eastAsia="Times New Roman" w:hAnsi="Calibri" w:cs="Arial"/>
            <w:color w:val="000000" w:themeColor="text1"/>
            <w:u w:val="single"/>
            <w:bdr w:val="none" w:sz="0" w:space="0" w:color="auto" w:frame="1"/>
          </w:rPr>
          <w:t>http://water.epa.gov/infrastructure/watersecurity/mutualaid/index.cfm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04038DB0"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National Disaster Medical System (NDMS)</w:t>
      </w:r>
    </w:p>
    <w:p w14:paraId="175F4D64"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color w:val="000000" w:themeColor="text1"/>
        </w:rPr>
        <w:br/>
        <w:t>HHS Office of the Assistant Secretary for Preparedness and Response, “National Disaster Medical System” webpage. Available at </w:t>
      </w:r>
      <w:hyperlink r:id="rId254" w:tgtFrame="_blank" w:tooltip="http://www.phe.gov/preparedness/responders/ndms/Pages/default.aspx" w:history="1">
        <w:r w:rsidRPr="002C6FA0">
          <w:rPr>
            <w:rFonts w:ascii="Calibri" w:eastAsia="Times New Roman" w:hAnsi="Calibri" w:cs="Arial"/>
            <w:color w:val="000000" w:themeColor="text1"/>
            <w:u w:val="single"/>
            <w:bdr w:val="none" w:sz="0" w:space="0" w:color="auto" w:frame="1"/>
          </w:rPr>
          <w:t>http://www.phe.gov/preparedness/responders/ndms/Pages/default.aspx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3E28AE80"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National Emergencies Act (NEA), Section 201 and 301</w:t>
      </w:r>
    </w:p>
    <w:p w14:paraId="39BB2EAE"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National Emergencies Act. Pub. L. No. 94-412. Codified at 50 U.S.C. §§ 1621, 1631. Available at </w:t>
      </w:r>
      <w:hyperlink r:id="rId255" w:tgtFrame="_blank" w:tooltip="http://www.gpo.gov/fdsys/pkg/USCODE-2009-title50/html/USCODE-2009-title50-chap34.htm" w:history="1">
        <w:r w:rsidRPr="002C6FA0">
          <w:rPr>
            <w:rFonts w:ascii="Calibri" w:eastAsia="Times New Roman" w:hAnsi="Calibri" w:cs="Arial"/>
            <w:color w:val="000000" w:themeColor="text1"/>
            <w:u w:val="single"/>
            <w:bdr w:val="none" w:sz="0" w:space="0" w:color="auto" w:frame="1"/>
          </w:rPr>
          <w:t>http://www.gpo.gov/fdsys/pkg/USCODE-2009-title50/html/USCODE-2009-title50-chap34.htm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Presidential Declaration of National Emergency for H1N1. October 24, 2009. Available at </w:t>
      </w:r>
      <w:hyperlink r:id="rId256" w:tgtFrame="_blank" w:tooltip="http://www.whitehouse.gov/the-press-office/declaration-a-national-emergency-with-respect-2009-h1n1-influenza-pandemic-0" w:history="1">
        <w:r w:rsidRPr="002C6FA0">
          <w:rPr>
            <w:rFonts w:ascii="Calibri" w:eastAsia="Times New Roman" w:hAnsi="Calibri" w:cs="Arial"/>
            <w:color w:val="000000" w:themeColor="text1"/>
            <w:u w:val="single"/>
            <w:bdr w:val="none" w:sz="0" w:space="0" w:color="auto" w:frame="1"/>
          </w:rPr>
          <w:t>http://www.whitehouse.gov/the-press-office/declaration-a-national-emergency-with-respect-2009-h1n1-influenza-pandemic-0</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Resources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Relyea HC. Congressional Research Service. National Emergency Powers (98-505). August 30, 2007. Available at </w:t>
      </w:r>
      <w:hyperlink r:id="rId257" w:tgtFrame="_blank" w:tooltip="http://www.fas.org/sgp/crs/natsec/98-505.pdf" w:history="1">
        <w:r w:rsidRPr="002C6FA0">
          <w:rPr>
            <w:rFonts w:ascii="Calibri" w:eastAsia="Times New Roman" w:hAnsi="Calibri" w:cs="Arial"/>
            <w:color w:val="000000" w:themeColor="text1"/>
            <w:u w:val="single"/>
            <w:bdr w:val="none" w:sz="0" w:space="0" w:color="auto" w:frame="1"/>
          </w:rPr>
          <w:t>http://www.fas.org/sgp/crs/natsec/98-505.pdf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5CFA9C4E" w14:textId="77777777" w:rsidR="007263DD" w:rsidRPr="002C6FA0" w:rsidRDefault="007263DD" w:rsidP="00B31683">
      <w:pPr>
        <w:keepNext/>
        <w:rPr>
          <w:rFonts w:ascii="Calibri" w:eastAsia="Times New Roman" w:hAnsi="Calibri" w:cs="Arial"/>
          <w:b/>
          <w:bCs/>
          <w:color w:val="000000" w:themeColor="text1"/>
        </w:rPr>
      </w:pPr>
      <w:r w:rsidRPr="002C6FA0">
        <w:rPr>
          <w:rFonts w:ascii="Calibri" w:eastAsia="Times New Roman" w:hAnsi="Calibri" w:cs="Arial"/>
          <w:b/>
          <w:bCs/>
          <w:color w:val="000000" w:themeColor="text1"/>
        </w:rPr>
        <w:lastRenderedPageBreak/>
        <w:t>National Health Security Strategy</w:t>
      </w:r>
    </w:p>
    <w:p w14:paraId="154B4709"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Strategy Documents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U.S. Department of Health and Human Services. National Health Security Strategy of the United States of America. December 2009. Available at </w:t>
      </w:r>
      <w:hyperlink r:id="rId258" w:tgtFrame="_blank" w:tooltip="http://www.phe.gov/Preparedness/planning/authority/nhss/strategy/Documents/nhss-final.pdf" w:history="1">
        <w:r w:rsidRPr="002C6FA0">
          <w:rPr>
            <w:rFonts w:ascii="Calibri" w:eastAsia="Times New Roman" w:hAnsi="Calibri" w:cs="Arial"/>
            <w:color w:val="000000" w:themeColor="text1"/>
            <w:u w:val="single"/>
            <w:bdr w:val="none" w:sz="0" w:space="0" w:color="auto" w:frame="1"/>
          </w:rPr>
          <w:t>http://www.phe.gov/Preparedness/planning/authority/nhss/strategy/Documents/nhss-final.pdf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HHS Office of the Assistant Secretary for Preparedness and Response. “National Health Security Strategy” webpage. Available at </w:t>
      </w:r>
      <w:hyperlink r:id="rId259" w:tgtFrame="_blank" w:tooltip="http://www.phe.gov/Preparedness/planning/authority/nhss/Pages/default.aspx" w:history="1">
        <w:r w:rsidRPr="002C6FA0">
          <w:rPr>
            <w:rFonts w:ascii="Calibri" w:eastAsia="Times New Roman" w:hAnsi="Calibri" w:cs="Arial"/>
            <w:color w:val="000000" w:themeColor="text1"/>
            <w:u w:val="single"/>
            <w:bdr w:val="none" w:sz="0" w:space="0" w:color="auto" w:frame="1"/>
          </w:rPr>
          <w:t>http://www.phe.gov/Preparedness/planning/authority/nhss/Pages/default.aspx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03F0F0ED"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National Strategy for Homeland Security</w:t>
      </w:r>
    </w:p>
    <w:p w14:paraId="4D57609B"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Strategy Documents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U.S. Homeland Security Council. “National Strategy for Homeland Security.” October 2007. Available at </w:t>
      </w:r>
      <w:hyperlink r:id="rId260" w:tgtFrame="_blank" w:tooltip="http://www.hsdl.org/?view&amp;did=479633" w:history="1">
        <w:r w:rsidRPr="002C6FA0">
          <w:rPr>
            <w:rFonts w:ascii="Calibri" w:eastAsia="Times New Roman" w:hAnsi="Calibri" w:cs="Arial"/>
            <w:color w:val="000000" w:themeColor="text1"/>
            <w:u w:val="single"/>
            <w:bdr w:val="none" w:sz="0" w:space="0" w:color="auto" w:frame="1"/>
          </w:rPr>
          <w:t>http://www.hsdl.org/?view&amp;did=479633</w:t>
        </w:r>
      </w:hyperlink>
      <w:r w:rsidRPr="002C6FA0">
        <w:rPr>
          <w:rFonts w:ascii="Calibri" w:eastAsia="Times New Roman" w:hAnsi="Calibri" w:cs="Arial"/>
          <w:color w:val="000000" w:themeColor="text1"/>
        </w:rPr>
        <w:t> .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U.S. Office of Homeland Security. “National Strategy for Homeland Security.” July 2002. Available at </w:t>
      </w:r>
      <w:hyperlink r:id="rId261" w:tgtFrame="_blank" w:tooltip="http://www.dhs.gov/sites/default/files/publications/nat-strat-hls-2002.pdf" w:history="1">
        <w:r w:rsidRPr="002C6FA0">
          <w:rPr>
            <w:rFonts w:ascii="Calibri" w:eastAsia="Times New Roman" w:hAnsi="Calibri" w:cs="Arial"/>
            <w:color w:val="000000" w:themeColor="text1"/>
            <w:u w:val="single"/>
            <w:bdr w:val="none" w:sz="0" w:space="0" w:color="auto" w:frame="1"/>
          </w:rPr>
          <w:t>http://www.dhs.gov/sites/default/files/publications/nat-strat-hls-2002.pdf.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2C21F01A"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National Strategy for Pandemic Influenza</w:t>
      </w:r>
    </w:p>
    <w:p w14:paraId="2D04EE76"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i/>
          <w:iCs/>
          <w:color w:val="000000" w:themeColor="text1"/>
          <w:bdr w:val="none" w:sz="0" w:space="0" w:color="auto" w:frame="1"/>
        </w:rPr>
        <w:t>See </w:t>
      </w:r>
      <w:hyperlink r:id="rId262" w:anchor="Pandemic-Strategies-and-Plans" w:history="1">
        <w:r w:rsidRPr="002C6FA0">
          <w:rPr>
            <w:rFonts w:ascii="Calibri" w:eastAsia="Times New Roman" w:hAnsi="Calibri" w:cs="Arial"/>
            <w:i/>
            <w:iCs/>
            <w:color w:val="000000" w:themeColor="text1"/>
            <w:u w:val="single"/>
            <w:bdr w:val="none" w:sz="0" w:space="0" w:color="auto" w:frame="1"/>
          </w:rPr>
          <w:t>“Pandemic Strategies”</w:t>
        </w:r>
      </w:hyperlink>
      <w:r w:rsidRPr="002C6FA0">
        <w:rPr>
          <w:rFonts w:ascii="Calibri" w:eastAsia="Times New Roman" w:hAnsi="Calibri" w:cs="Arial"/>
          <w:i/>
          <w:iCs/>
          <w:color w:val="000000" w:themeColor="text1"/>
          <w:bdr w:val="none" w:sz="0" w:space="0" w:color="auto" w:frame="1"/>
        </w:rPr>
        <w:t> </w:t>
      </w:r>
      <w:r w:rsidRPr="002C6FA0">
        <w:rPr>
          <w:rFonts w:ascii="Calibri" w:eastAsia="Times New Roman" w:hAnsi="Calibri" w:cs="Arial"/>
          <w:i/>
          <w:iCs/>
          <w:color w:val="000000" w:themeColor="text1"/>
          <w:bdr w:val="none" w:sz="0" w:space="0" w:color="auto" w:frame="1"/>
        </w:rPr>
        <w:br/>
      </w:r>
    </w:p>
    <w:p w14:paraId="313CF69D"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National Incident Management System (NIMS)</w:t>
      </w:r>
    </w:p>
    <w:p w14:paraId="0ACDC566"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b/>
          <w:bCs/>
          <w:color w:val="000000" w:themeColor="text1"/>
          <w:bdr w:val="none" w:sz="0" w:space="0" w:color="auto" w:frame="1"/>
        </w:rPr>
        <w:t>Key Documents </w:t>
      </w:r>
      <w:r w:rsidRPr="002C6FA0">
        <w:rPr>
          <w:rFonts w:ascii="Calibri" w:eastAsia="Times New Roman" w:hAnsi="Calibri" w:cs="Arial"/>
          <w:color w:val="000000" w:themeColor="text1"/>
        </w:rPr>
        <w:br/>
        <w:t>Department of Homeland Security. National Incident Management System. December 2008. Available at </w:t>
      </w:r>
      <w:hyperlink r:id="rId263" w:tgtFrame="_blank" w:tooltip="http://www.fema.gov/pdf/emergency/nims/NIMS_core.pdf" w:history="1">
        <w:r w:rsidRPr="002C6FA0">
          <w:rPr>
            <w:rFonts w:ascii="Calibri" w:eastAsia="Times New Roman" w:hAnsi="Calibri" w:cs="Arial"/>
            <w:color w:val="000000" w:themeColor="text1"/>
            <w:u w:val="single"/>
            <w:bdr w:val="none" w:sz="0" w:space="0" w:color="auto" w:frame="1"/>
          </w:rPr>
          <w:t>http://www.fema.gov/pdf/emergency/nims/NIMS_core.pdf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Department of Homeland Security. “NIMS Resource Center” webpage. Available at </w:t>
      </w:r>
      <w:hyperlink r:id="rId264" w:tgtFrame="_blank" w:tooltip="http://www.fema.gov/national-incident-management-system" w:history="1">
        <w:r w:rsidRPr="002C6FA0">
          <w:rPr>
            <w:rFonts w:ascii="Calibri" w:eastAsia="Times New Roman" w:hAnsi="Calibri" w:cs="Arial"/>
            <w:color w:val="000000" w:themeColor="text1"/>
            <w:u w:val="single"/>
            <w:bdr w:val="none" w:sz="0" w:space="0" w:color="auto" w:frame="1"/>
          </w:rPr>
          <w:t>http://www.fema.gov/national-incident-management-system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131A7DCC"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National Response Framework (NRF)</w:t>
      </w:r>
    </w:p>
    <w:p w14:paraId="7A58C73C" w14:textId="77777777" w:rsidR="007263DD" w:rsidRPr="002C6FA0" w:rsidRDefault="007263DD"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i/>
          <w:iCs/>
          <w:color w:val="000000" w:themeColor="text1"/>
          <w:bdr w:val="none" w:sz="0" w:space="0" w:color="auto" w:frame="1"/>
        </w:rPr>
        <w:t>(formerly National Response Plan) </w:t>
      </w:r>
      <w:r w:rsidRPr="002C6FA0">
        <w:rPr>
          <w:rFonts w:ascii="Calibri" w:eastAsia="Times New Roman" w:hAnsi="Calibri" w:cs="Arial"/>
          <w:i/>
          <w:iCs/>
          <w:color w:val="000000" w:themeColor="text1"/>
          <w:bdr w:val="none" w:sz="0" w:space="0" w:color="auto" w:frame="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Key Documents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Department of Homeland Security. National Response Framework. January 2008. Available at </w:t>
      </w:r>
      <w:hyperlink r:id="rId265" w:history="1">
        <w:r w:rsidRPr="002C6FA0">
          <w:rPr>
            <w:rFonts w:ascii="Calibri" w:eastAsia="Times New Roman" w:hAnsi="Calibri" w:cs="Arial"/>
            <w:color w:val="000000" w:themeColor="text1"/>
            <w:u w:val="single"/>
            <w:bdr w:val="none" w:sz="0" w:space="0" w:color="auto" w:frame="1"/>
          </w:rPr>
          <w:t>www.fema.gov/pdf/emergency/nrf/nrf-core.pdf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Federal Emergency Management Agency. Emergency Support Function #8—Public Health and Medical Services Annex. May 2013. Available at </w:t>
      </w:r>
      <w:hyperlink r:id="rId266" w:history="1">
        <w:r w:rsidRPr="002C6FA0">
          <w:rPr>
            <w:rFonts w:ascii="Calibri" w:eastAsia="Times New Roman" w:hAnsi="Calibri" w:cs="Arial"/>
            <w:color w:val="000000" w:themeColor="text1"/>
            <w:u w:val="single"/>
            <w:bdr w:val="none" w:sz="0" w:space="0" w:color="auto" w:frame="1"/>
          </w:rPr>
          <w:t>www.fema.gov/library/viewrecord.do?id=7359.</w:t>
        </w:r>
      </w:hyperlink>
      <w:r w:rsidRPr="002C6FA0">
        <w:rPr>
          <w:rFonts w:ascii="Calibri" w:eastAsia="Times New Roman" w:hAnsi="Calibri" w:cs="Arial"/>
          <w:color w:val="000000" w:themeColor="text1"/>
        </w:rPr>
        <w:t>  </w:t>
      </w:r>
    </w:p>
    <w:p w14:paraId="3AE0379E" w14:textId="77777777" w:rsidR="007263DD" w:rsidRPr="002C6FA0" w:rsidRDefault="007263DD"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t xml:space="preserve">Federal Emergency Management Agency. Emergency Support Function #6—Mass Care, Emergency </w:t>
      </w:r>
      <w:r w:rsidRPr="002C6FA0">
        <w:rPr>
          <w:rFonts w:ascii="Calibri" w:eastAsia="Times New Roman" w:hAnsi="Calibri" w:cs="Arial"/>
          <w:color w:val="000000" w:themeColor="text1"/>
        </w:rPr>
        <w:lastRenderedPageBreak/>
        <w:t>Assistance, Housing, and Human Services. May 2013. Available at </w:t>
      </w:r>
      <w:hyperlink r:id="rId267" w:history="1">
        <w:r w:rsidRPr="002C6FA0">
          <w:rPr>
            <w:rFonts w:ascii="Calibri" w:eastAsia="Times New Roman" w:hAnsi="Calibri" w:cs="Arial"/>
            <w:color w:val="000000" w:themeColor="text1"/>
            <w:u w:val="single"/>
            <w:bdr w:val="none" w:sz="0" w:space="0" w:color="auto" w:frame="1"/>
          </w:rPr>
          <w:t>www.fema.gov/library/viewrecord.do?id=7355</w:t>
        </w:r>
      </w:hyperlink>
      <w:r w:rsidRPr="002C6FA0">
        <w:rPr>
          <w:rFonts w:ascii="Calibri" w:eastAsia="Times New Roman" w:hAnsi="Calibri" w:cs="Arial"/>
          <w:color w:val="000000" w:themeColor="text1"/>
        </w:rPr>
        <w:t> .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Resources </w:t>
      </w:r>
    </w:p>
    <w:p w14:paraId="46C274C0" w14:textId="77777777" w:rsidR="007263DD" w:rsidRPr="002C6FA0" w:rsidRDefault="007263DD"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Federal Emergency Management Agency. "National Planning Frameworks" webpage. Available at </w:t>
      </w:r>
      <w:hyperlink r:id="rId268" w:tgtFrame="_blank" w:tooltip="http://www.fema.gov/national-planning-frameworks" w:history="1">
        <w:r w:rsidRPr="002C6FA0">
          <w:rPr>
            <w:rFonts w:ascii="Calibri" w:eastAsia="Times New Roman" w:hAnsi="Calibri" w:cs="Arial"/>
            <w:color w:val="000000" w:themeColor="text1"/>
            <w:u w:val="single"/>
            <w:bdr w:val="none" w:sz="0" w:space="0" w:color="auto" w:frame="1"/>
          </w:rPr>
          <w:t>http://www.fema.gov/national-planning-frameworks</w:t>
        </w:r>
      </w:hyperlink>
      <w:r w:rsidRPr="002C6FA0">
        <w:rPr>
          <w:rFonts w:ascii="Calibri" w:eastAsia="Times New Roman" w:hAnsi="Calibri" w:cs="Arial"/>
          <w:color w:val="000000" w:themeColor="text1"/>
        </w:rPr>
        <w:t>.</w:t>
      </w:r>
    </w:p>
    <w:p w14:paraId="2D05C71D" w14:textId="77777777" w:rsidR="007263DD" w:rsidRDefault="007263DD" w:rsidP="00663E93">
      <w:pPr>
        <w:shd w:val="clear" w:color="auto" w:fill="FFFFFF"/>
        <w:spacing w:after="240" w:line="240" w:lineRule="atLeast"/>
        <w:textAlignment w:val="baseline"/>
        <w:rPr>
          <w:rFonts w:ascii="Calibri" w:eastAsia="Times New Roman" w:hAnsi="Calibri" w:cs="Arial"/>
          <w:color w:val="000000" w:themeColor="text1"/>
        </w:rPr>
      </w:pPr>
    </w:p>
    <w:p w14:paraId="51B46373"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Lister SA. Congressional Research Service. </w:t>
      </w:r>
      <w:r w:rsidRPr="002C6FA0">
        <w:rPr>
          <w:rFonts w:ascii="Calibri" w:eastAsia="Times New Roman" w:hAnsi="Calibri" w:cs="Arial"/>
          <w:i/>
          <w:iCs/>
          <w:color w:val="000000" w:themeColor="text1"/>
          <w:bdr w:val="none" w:sz="0" w:space="0" w:color="auto" w:frame="1"/>
        </w:rPr>
        <w:t>The Public Health and Medical Response to Disasters: Federal Authority and Funding</w:t>
      </w:r>
      <w:r w:rsidRPr="002C6FA0">
        <w:rPr>
          <w:rFonts w:ascii="Calibri" w:eastAsia="Times New Roman" w:hAnsi="Calibri" w:cs="Arial"/>
          <w:color w:val="000000" w:themeColor="text1"/>
        </w:rPr>
        <w:t> (RL33579). August 1, 2008. Available at </w:t>
      </w:r>
      <w:hyperlink r:id="rId269" w:tgtFrame="_blank" w:tooltip="https://www.fas.org/sgp/crs/misc/RL33579.pdf" w:history="1">
        <w:r w:rsidRPr="002C6FA0">
          <w:rPr>
            <w:rFonts w:ascii="Calibri" w:eastAsia="Times New Roman" w:hAnsi="Calibri" w:cs="Arial"/>
            <w:color w:val="000000" w:themeColor="text1"/>
            <w:u w:val="single"/>
            <w:bdr w:val="none" w:sz="0" w:space="0" w:color="auto" w:frame="1"/>
          </w:rPr>
          <w:t>https://www.fas.org/sgp/crs/misc/RL33579.pdf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10580A4C"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Pandemic and All-Hazards Preparedness Act (PAHPA)</w:t>
      </w:r>
    </w:p>
    <w:p w14:paraId="1C8FBF15" w14:textId="77777777" w:rsidR="007263DD" w:rsidRPr="002C6FA0" w:rsidRDefault="007263DD"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Pandemic and All-Hazards Preparedness Act of 2006. Pub. L. No. 109-417. (120 STAT. 2831). Available at </w:t>
      </w:r>
      <w:hyperlink r:id="rId270" w:tgtFrame="_blank" w:tooltip="http://www.gpo.gov/fdsys/pkg/PLAW-109publ417/pdf/PLAW-109publ417.pdf" w:history="1">
        <w:r w:rsidRPr="002C6FA0">
          <w:rPr>
            <w:rFonts w:ascii="Calibri" w:eastAsia="Times New Roman" w:hAnsi="Calibri" w:cs="Arial"/>
            <w:color w:val="000000" w:themeColor="text1"/>
            <w:u w:val="single"/>
            <w:bdr w:val="none" w:sz="0" w:space="0" w:color="auto" w:frame="1"/>
          </w:rPr>
          <w:t>http://www.gpo.gov/fdsys/pkg/PLAW-109publ417/pdf/PLAW-109publ417.pdf</w:t>
        </w:r>
      </w:hyperlink>
      <w:r w:rsidRPr="002C6FA0">
        <w:rPr>
          <w:rFonts w:ascii="Calibri" w:eastAsia="Times New Roman" w:hAnsi="Calibri" w:cs="Arial"/>
          <w:color w:val="000000" w:themeColor="text1"/>
        </w:rPr>
        <w:t>.</w:t>
      </w:r>
    </w:p>
    <w:p w14:paraId="51A24851" w14:textId="77777777" w:rsidR="007263DD" w:rsidRDefault="007263DD" w:rsidP="00663E93">
      <w:pPr>
        <w:shd w:val="clear" w:color="auto" w:fill="FFFFFF"/>
        <w:spacing w:line="240" w:lineRule="atLeast"/>
        <w:textAlignment w:val="baseline"/>
        <w:rPr>
          <w:rFonts w:ascii="Calibri" w:eastAsia="Times New Roman" w:hAnsi="Calibri" w:cs="Arial"/>
          <w:color w:val="000000" w:themeColor="text1"/>
        </w:rPr>
      </w:pPr>
    </w:p>
    <w:p w14:paraId="59BD3466" w14:textId="77777777" w:rsidR="007263DD" w:rsidRPr="002C6FA0" w:rsidRDefault="007263DD"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Pandemic and All-Hazards Preparedness Reauthorization Act of 2013. Pub. L. No. 113-5. (127 STAT. 161). Available at </w:t>
      </w:r>
      <w:hyperlink r:id="rId271" w:tgtFrame="_blank" w:tooltip="http://www.gpo.gov/fdsys/pkg/BILLS-113hr307enr/pdf/BILLS-113hr307enr.pdf" w:history="1">
        <w:r w:rsidRPr="002C6FA0">
          <w:rPr>
            <w:rFonts w:ascii="Calibri" w:eastAsia="Times New Roman" w:hAnsi="Calibri" w:cs="Arial"/>
            <w:color w:val="000000" w:themeColor="text1"/>
            <w:u w:val="single"/>
            <w:bdr w:val="none" w:sz="0" w:space="0" w:color="auto" w:frame="1"/>
          </w:rPr>
          <w:t>http://www.gpo.gov/fdsys/pkg/BILLS-113hr307enr/pdf/BILLS-113hr307enr.pdf</w:t>
        </w:r>
      </w:hyperlink>
      <w:r w:rsidRPr="002C6FA0">
        <w:rPr>
          <w:rFonts w:ascii="Calibri" w:eastAsia="Times New Roman" w:hAnsi="Calibri" w:cs="Arial"/>
          <w:color w:val="000000" w:themeColor="text1"/>
        </w:rPr>
        <w:t>.</w:t>
      </w:r>
    </w:p>
    <w:p w14:paraId="4A901940" w14:textId="77777777" w:rsidR="007263DD" w:rsidRDefault="007263DD" w:rsidP="00663E93">
      <w:pPr>
        <w:shd w:val="clear" w:color="auto" w:fill="FFFFFF"/>
        <w:spacing w:line="240" w:lineRule="atLeast"/>
        <w:textAlignment w:val="baseline"/>
        <w:rPr>
          <w:rFonts w:ascii="Calibri" w:eastAsia="Times New Roman" w:hAnsi="Calibri" w:cs="Arial"/>
          <w:color w:val="000000" w:themeColor="text1"/>
        </w:rPr>
      </w:pPr>
    </w:p>
    <w:p w14:paraId="1525912E" w14:textId="77777777" w:rsidR="007263DD" w:rsidRPr="002C6FA0" w:rsidRDefault="007263DD"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Codified, in part, in the Public Health Service Act. 42 U.S.C. 201 et seq. Available at </w:t>
      </w:r>
      <w:hyperlink r:id="rId272" w:tgtFrame="_blank" w:tooltip="http://www.gpo.gov/fdsys/pkg/USCODE-2009-title42/pdf/USCODE-2009-title42-chap6A.pdf" w:history="1">
        <w:r w:rsidRPr="002C6FA0">
          <w:rPr>
            <w:rFonts w:ascii="Calibri" w:eastAsia="Times New Roman" w:hAnsi="Calibri" w:cs="Arial"/>
            <w:color w:val="000000" w:themeColor="text1"/>
            <w:u w:val="single"/>
            <w:bdr w:val="none" w:sz="0" w:space="0" w:color="auto" w:frame="1"/>
          </w:rPr>
          <w:t>http://www.gpo.gov/fdsys/pkg/USCODE-2009-title42/pdf/USCODE-2009-title42-chap6A.pdf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Summaries of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Department of Health and Human Services. “Pandemic and All Hazards Preparedness Act” webpage. Available at </w:t>
      </w:r>
      <w:hyperlink r:id="rId273" w:tgtFrame="_blank" w:tooltip="http://www.phe.gov/Preparedness/legal/pahpa/Pages/default.aspx" w:history="1">
        <w:r w:rsidRPr="002C6FA0">
          <w:rPr>
            <w:rFonts w:ascii="Calibri" w:eastAsia="Times New Roman" w:hAnsi="Calibri" w:cs="Arial"/>
            <w:color w:val="000000" w:themeColor="text1"/>
            <w:u w:val="single"/>
            <w:bdr w:val="none" w:sz="0" w:space="0" w:color="auto" w:frame="1"/>
          </w:rPr>
          <w:t>http://www.phe.gov/Preparedness/legal/pahpa/Pages/default.aspx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 xml:space="preserve">Lister SA and </w:t>
      </w:r>
      <w:proofErr w:type="spellStart"/>
      <w:r w:rsidRPr="002C6FA0">
        <w:rPr>
          <w:rFonts w:ascii="Calibri" w:eastAsia="Times New Roman" w:hAnsi="Calibri" w:cs="Arial"/>
          <w:color w:val="000000" w:themeColor="text1"/>
        </w:rPr>
        <w:t>Gottron</w:t>
      </w:r>
      <w:proofErr w:type="spellEnd"/>
      <w:r w:rsidRPr="002C6FA0">
        <w:rPr>
          <w:rFonts w:ascii="Calibri" w:eastAsia="Times New Roman" w:hAnsi="Calibri" w:cs="Arial"/>
          <w:color w:val="000000" w:themeColor="text1"/>
        </w:rPr>
        <w:t xml:space="preserve"> F. Congressional Research Service. </w:t>
      </w:r>
      <w:r w:rsidRPr="002C6FA0">
        <w:rPr>
          <w:rFonts w:ascii="Calibri" w:eastAsia="Times New Roman" w:hAnsi="Calibri" w:cs="Arial"/>
          <w:i/>
          <w:iCs/>
          <w:color w:val="000000" w:themeColor="text1"/>
          <w:bdr w:val="none" w:sz="0" w:space="0" w:color="auto" w:frame="1"/>
        </w:rPr>
        <w:t>The Pandemic and All-Hazards Preparedness Act (P.L. 109-417): Provisions and Changes to Preexisting Law</w:t>
      </w:r>
      <w:r w:rsidRPr="002C6FA0">
        <w:rPr>
          <w:rFonts w:ascii="Calibri" w:eastAsia="Times New Roman" w:hAnsi="Calibri" w:cs="Arial"/>
          <w:color w:val="000000" w:themeColor="text1"/>
        </w:rPr>
        <w:t> (RL33589). March 12, 2007. Available at </w:t>
      </w:r>
      <w:hyperlink r:id="rId274" w:tgtFrame="_blank" w:tooltip="http://www.fas.org/programs/bio/resource/documents/CRS%20-%20PAHPA%203-07.pdf" w:history="1">
        <w:r w:rsidRPr="002C6FA0">
          <w:rPr>
            <w:rFonts w:ascii="Calibri" w:eastAsia="Times New Roman" w:hAnsi="Calibri" w:cs="Arial"/>
            <w:color w:val="000000" w:themeColor="text1"/>
            <w:u w:val="single"/>
            <w:bdr w:val="none" w:sz="0" w:space="0" w:color="auto" w:frame="1"/>
          </w:rPr>
          <w:t>http://www.fas.org/programs/bio/resource/documents/CRS%20-%20PAHPA%203-07.pdf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HHS Assistant Secretary for Preparedness and Response website. Available at </w:t>
      </w:r>
      <w:hyperlink r:id="rId275" w:tgtFrame="_blank" w:tooltip="http://www.phe.gov/preparedness/pages/default.aspx" w:history="1">
        <w:r w:rsidRPr="002C6FA0">
          <w:rPr>
            <w:rFonts w:ascii="Calibri" w:eastAsia="Times New Roman" w:hAnsi="Calibri" w:cs="Arial"/>
            <w:color w:val="000000" w:themeColor="text1"/>
            <w:u w:val="single"/>
            <w:bdr w:val="none" w:sz="0" w:space="0" w:color="auto" w:frame="1"/>
          </w:rPr>
          <w:t>http://www.phe.gov/preparedness/pages/default.aspx</w:t>
        </w:r>
      </w:hyperlink>
      <w:r w:rsidRPr="002C6FA0">
        <w:rPr>
          <w:rFonts w:ascii="Calibri" w:eastAsia="Times New Roman" w:hAnsi="Calibri" w:cs="Arial"/>
          <w:color w:val="000000" w:themeColor="text1"/>
        </w:rPr>
        <w:t>.</w:t>
      </w:r>
    </w:p>
    <w:p w14:paraId="5D3F5EE3" w14:textId="77777777" w:rsidR="007263DD" w:rsidRDefault="007263DD" w:rsidP="00663E93">
      <w:pPr>
        <w:shd w:val="clear" w:color="auto" w:fill="FFFFFF"/>
        <w:spacing w:after="240" w:line="240" w:lineRule="atLeast"/>
        <w:textAlignment w:val="baseline"/>
        <w:rPr>
          <w:rFonts w:ascii="Calibri" w:eastAsia="Times New Roman" w:hAnsi="Calibri" w:cs="Arial"/>
          <w:color w:val="000000" w:themeColor="text1"/>
        </w:rPr>
      </w:pPr>
    </w:p>
    <w:p w14:paraId="632807C0"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U.S. Food and Drug Administration.  "Pandemic and All Hazards Preparedness Reauthorization Act of 2013.  (PAHPRA FDA Medical Countermeasure Authorities)" webpage. Available at </w:t>
      </w:r>
      <w:hyperlink r:id="rId276" w:tgtFrame="_blank" w:tooltip="http://www.fda.gov/EmergencyPreparedness/Counterterrorism/MedicalCountermeasures/MCMLegalRegulatoryandPolicyFramework/ucm359581.htm" w:history="1">
        <w:r w:rsidRPr="002C6FA0">
          <w:rPr>
            <w:rFonts w:ascii="Calibri" w:eastAsia="Times New Roman" w:hAnsi="Calibri" w:cs="Arial"/>
            <w:color w:val="000000" w:themeColor="text1"/>
            <w:u w:val="single"/>
            <w:bdr w:val="none" w:sz="0" w:space="0" w:color="auto" w:frame="1"/>
          </w:rPr>
          <w:t>http://www.fda.gov/EmergencyPreparedness/Counterterrorism/MedicalCountermeasures/MCMLegalRegulatoryandPolicyFramework/ucm359581.htm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HHS Status Reports on PAHPA Implementation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HHS Assistant Secretary for Preparedness and Response.</w:t>
      </w:r>
      <w:r w:rsidRPr="002C6FA0">
        <w:rPr>
          <w:rFonts w:ascii="Calibri" w:eastAsia="Times New Roman" w:hAnsi="Calibri" w:cs="Arial"/>
          <w:i/>
          <w:iCs/>
          <w:color w:val="000000" w:themeColor="text1"/>
          <w:bdr w:val="none" w:sz="0" w:space="0" w:color="auto" w:frame="1"/>
        </w:rPr>
        <w:t> Pandemic and All-Hazards Preparedness Act Public Law 109-417 Progress Report</w:t>
      </w:r>
      <w:r w:rsidRPr="002C6FA0">
        <w:rPr>
          <w:rFonts w:ascii="Calibri" w:eastAsia="Times New Roman" w:hAnsi="Calibri" w:cs="Arial"/>
          <w:color w:val="000000" w:themeColor="text1"/>
        </w:rPr>
        <w:t>. November 2007. Available at </w:t>
      </w:r>
      <w:hyperlink r:id="rId277" w:tgtFrame="_blank" w:tooltip="http://healthyamericans.org/reports/bioterror07/PAHPAProgressReport.pdf" w:history="1">
        <w:r w:rsidRPr="002C6FA0">
          <w:rPr>
            <w:rFonts w:ascii="Calibri" w:eastAsia="Times New Roman" w:hAnsi="Calibri" w:cs="Arial"/>
            <w:color w:val="000000" w:themeColor="text1"/>
            <w:u w:val="single"/>
            <w:bdr w:val="none" w:sz="0" w:space="0" w:color="auto" w:frame="1"/>
          </w:rPr>
          <w:t>http://healthyamericans.org/reports/bioterror07/PAHPAProgressReport.pdf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lastRenderedPageBreak/>
        <w:t>HHS Assistant Secretary for Preparedness and Response. </w:t>
      </w:r>
      <w:r w:rsidRPr="002C6FA0">
        <w:rPr>
          <w:rFonts w:ascii="Calibri" w:eastAsia="Times New Roman" w:hAnsi="Calibri" w:cs="Arial"/>
          <w:i/>
          <w:iCs/>
          <w:color w:val="000000" w:themeColor="text1"/>
          <w:bdr w:val="none" w:sz="0" w:space="0" w:color="auto" w:frame="1"/>
        </w:rPr>
        <w:t>Progress Report on the Implementation of Provisions Addressing At-Risk Individuals. </w:t>
      </w:r>
      <w:r w:rsidRPr="002C6FA0">
        <w:rPr>
          <w:rFonts w:ascii="Calibri" w:eastAsia="Times New Roman" w:hAnsi="Calibri" w:cs="Arial"/>
          <w:color w:val="000000" w:themeColor="text1"/>
        </w:rPr>
        <w:t>August 2008. Available at </w:t>
      </w:r>
      <w:hyperlink r:id="rId278" w:tgtFrame="_blank" w:tooltip="http://www.phe.gov/Preparedness/legal/pahpa/Documents/pahpa-at-risk-report0901.pdf" w:history="1">
        <w:r w:rsidRPr="002C6FA0">
          <w:rPr>
            <w:rFonts w:ascii="Calibri" w:eastAsia="Times New Roman" w:hAnsi="Calibri" w:cs="Arial"/>
            <w:color w:val="000000" w:themeColor="text1"/>
            <w:u w:val="single"/>
            <w:bdr w:val="none" w:sz="0" w:space="0" w:color="auto" w:frame="1"/>
          </w:rPr>
          <w:t>http://www.phe.gov/Preparedness/legal/pahpa/Documents/pahpa-at-risk-report0901.pdf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HHS Assistant Secretary for Preparedness and Response. </w:t>
      </w:r>
      <w:r w:rsidRPr="002C6FA0">
        <w:rPr>
          <w:rFonts w:ascii="Calibri" w:eastAsia="Times New Roman" w:hAnsi="Calibri" w:cs="Arial"/>
          <w:i/>
          <w:iCs/>
          <w:color w:val="000000" w:themeColor="text1"/>
          <w:bdr w:val="none" w:sz="0" w:space="0" w:color="auto" w:frame="1"/>
        </w:rPr>
        <w:t>Telehealth Report to Congress</w:t>
      </w:r>
      <w:r w:rsidRPr="002C6FA0">
        <w:rPr>
          <w:rFonts w:ascii="Calibri" w:eastAsia="Times New Roman" w:hAnsi="Calibri" w:cs="Arial"/>
          <w:color w:val="000000" w:themeColor="text1"/>
        </w:rPr>
        <w:t>. January 2009. Available at </w:t>
      </w:r>
      <w:hyperlink r:id="rId279" w:tgtFrame="_blank" w:tooltip="http://www.phe.gov/Preparedness/legal/pahpa/Documents/telehealthrtc-091207.pdf" w:history="1">
        <w:r w:rsidRPr="002C6FA0">
          <w:rPr>
            <w:rFonts w:ascii="Calibri" w:eastAsia="Times New Roman" w:hAnsi="Calibri" w:cs="Arial"/>
            <w:color w:val="000000" w:themeColor="text1"/>
            <w:u w:val="single"/>
            <w:bdr w:val="none" w:sz="0" w:space="0" w:color="auto" w:frame="1"/>
          </w:rPr>
          <w:t>http://www.phe.gov/Preparedness/legal/pahpa/Documents/telehealthrtc-091207.pdf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11BE3010"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Pandemic Strategies and Plans</w:t>
      </w:r>
    </w:p>
    <w:p w14:paraId="48468B16" w14:textId="77777777" w:rsidR="007263DD" w:rsidRPr="002C6FA0" w:rsidRDefault="007263DD" w:rsidP="00663E93">
      <w:pPr>
        <w:rPr>
          <w:rFonts w:ascii="Calibri" w:eastAsia="Times New Roman" w:hAnsi="Calibri" w:cs="Times New Roman"/>
          <w:color w:val="000000" w:themeColor="text1"/>
        </w:rPr>
      </w:pPr>
    </w:p>
    <w:p w14:paraId="5552AA73"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b/>
          <w:bCs/>
          <w:color w:val="000000" w:themeColor="text1"/>
          <w:bdr w:val="none" w:sz="0" w:space="0" w:color="auto" w:frame="1"/>
        </w:rPr>
        <w:t>Key Documents</w:t>
      </w:r>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t>Homeland Security Council. </w:t>
      </w:r>
      <w:r w:rsidRPr="002C6FA0">
        <w:rPr>
          <w:rFonts w:ascii="Calibri" w:eastAsia="Times New Roman" w:hAnsi="Calibri" w:cs="Arial"/>
          <w:i/>
          <w:iCs/>
          <w:color w:val="000000" w:themeColor="text1"/>
          <w:bdr w:val="none" w:sz="0" w:space="0" w:color="auto" w:frame="1"/>
        </w:rPr>
        <w:t xml:space="preserve">The National Strategy for Pandemic </w:t>
      </w:r>
      <w:proofErr w:type="spellStart"/>
      <w:r w:rsidRPr="002C6FA0">
        <w:rPr>
          <w:rFonts w:ascii="Calibri" w:eastAsia="Times New Roman" w:hAnsi="Calibri" w:cs="Arial"/>
          <w:i/>
          <w:iCs/>
          <w:color w:val="000000" w:themeColor="text1"/>
          <w:bdr w:val="none" w:sz="0" w:space="0" w:color="auto" w:frame="1"/>
        </w:rPr>
        <w:t>Influenza.</w:t>
      </w:r>
      <w:r w:rsidRPr="002C6FA0">
        <w:rPr>
          <w:rFonts w:ascii="Calibri" w:eastAsia="Times New Roman" w:hAnsi="Calibri" w:cs="Arial"/>
          <w:color w:val="000000" w:themeColor="text1"/>
        </w:rPr>
        <w:t>November</w:t>
      </w:r>
      <w:proofErr w:type="spellEnd"/>
      <w:r w:rsidRPr="002C6FA0">
        <w:rPr>
          <w:rFonts w:ascii="Calibri" w:eastAsia="Times New Roman" w:hAnsi="Calibri" w:cs="Arial"/>
          <w:color w:val="000000" w:themeColor="text1"/>
        </w:rPr>
        <w:t xml:space="preserve"> 2005. Available at </w:t>
      </w:r>
      <w:hyperlink r:id="rId280" w:tgtFrame="_blank" w:tooltip="http://www.flu.gov/professional/federal/pandemic-influenza.pdf" w:history="1">
        <w:r w:rsidRPr="002C6FA0">
          <w:rPr>
            <w:rFonts w:ascii="Calibri" w:eastAsia="Times New Roman" w:hAnsi="Calibri" w:cs="Arial"/>
            <w:color w:val="000000" w:themeColor="text1"/>
            <w:u w:val="single"/>
            <w:bdr w:val="none" w:sz="0" w:space="0" w:color="auto" w:frame="1"/>
          </w:rPr>
          <w:t>http://www.flu.gov/professional/federal/pandemic-influenza.pdf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Homeland Security Council.</w:t>
      </w:r>
      <w:r w:rsidRPr="002C6FA0">
        <w:rPr>
          <w:rFonts w:ascii="Calibri" w:eastAsia="Times New Roman" w:hAnsi="Calibri" w:cs="Arial"/>
          <w:i/>
          <w:iCs/>
          <w:color w:val="000000" w:themeColor="text1"/>
          <w:bdr w:val="none" w:sz="0" w:space="0" w:color="auto" w:frame="1"/>
        </w:rPr>
        <w:t> National Strategy for Pandemic Influenza: Implementation Plan.</w:t>
      </w:r>
      <w:r w:rsidRPr="002C6FA0">
        <w:rPr>
          <w:rFonts w:ascii="Calibri" w:eastAsia="Times New Roman" w:hAnsi="Calibri" w:cs="Arial"/>
          <w:color w:val="000000" w:themeColor="text1"/>
        </w:rPr>
        <w:t> May 2006. Available at </w:t>
      </w:r>
      <w:hyperlink r:id="rId281" w:tgtFrame="_blank" w:tooltip="http://www.flu.gov/professional/federal/pandemic-influenza-implementation.pdf" w:history="1">
        <w:r w:rsidRPr="002C6FA0">
          <w:rPr>
            <w:rFonts w:ascii="Calibri" w:eastAsia="Times New Roman" w:hAnsi="Calibri" w:cs="Arial"/>
            <w:color w:val="000000" w:themeColor="text1"/>
            <w:u w:val="single"/>
            <w:bdr w:val="none" w:sz="0" w:space="0" w:color="auto" w:frame="1"/>
          </w:rPr>
          <w:t>http://www.flu.gov/professional/federal/pandemic-influenza-implementation.pdf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HHS. </w:t>
      </w:r>
      <w:r w:rsidRPr="002C6FA0">
        <w:rPr>
          <w:rFonts w:ascii="Calibri" w:eastAsia="Times New Roman" w:hAnsi="Calibri" w:cs="Arial"/>
          <w:i/>
          <w:iCs/>
          <w:color w:val="000000" w:themeColor="text1"/>
          <w:bdr w:val="none" w:sz="0" w:space="0" w:color="auto" w:frame="1"/>
        </w:rPr>
        <w:t>HHS Pandemic Influenza Plan.</w:t>
      </w:r>
      <w:r w:rsidRPr="002C6FA0">
        <w:rPr>
          <w:rFonts w:ascii="Calibri" w:eastAsia="Times New Roman" w:hAnsi="Calibri" w:cs="Arial"/>
          <w:color w:val="000000" w:themeColor="text1"/>
        </w:rPr>
        <w:t> November 2005. Available at </w:t>
      </w:r>
      <w:hyperlink r:id="rId282" w:tgtFrame="_blank" w:tooltip="http://www.flu.gov/planning-preparedness/federal/hhspandemicinfluenzaplan.pdf" w:history="1">
        <w:r w:rsidRPr="002C6FA0">
          <w:rPr>
            <w:rFonts w:ascii="Calibri" w:eastAsia="Times New Roman" w:hAnsi="Calibri" w:cs="Arial"/>
            <w:color w:val="000000" w:themeColor="text1"/>
            <w:u w:val="single"/>
            <w:bdr w:val="none" w:sz="0" w:space="0" w:color="auto" w:frame="1"/>
          </w:rPr>
          <w:t>http://www.flu.gov/planning-preparedness/federal/hhspandemicinfluenzaplan.pdf</w:t>
        </w:r>
      </w:hyperlink>
      <w:r w:rsidRPr="002C6FA0">
        <w:rPr>
          <w:rFonts w:ascii="Calibri" w:eastAsia="Times New Roman" w:hAnsi="Calibri" w:cs="Arial"/>
          <w:color w:val="000000" w:themeColor="text1"/>
        </w:rPr>
        <w:t>  .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Department of Homeland Security. </w:t>
      </w:r>
      <w:r w:rsidRPr="002C6FA0">
        <w:rPr>
          <w:rFonts w:ascii="Calibri" w:eastAsia="Times New Roman" w:hAnsi="Calibri" w:cs="Arial"/>
          <w:i/>
          <w:iCs/>
          <w:color w:val="000000" w:themeColor="text1"/>
          <w:bdr w:val="none" w:sz="0" w:space="0" w:color="auto" w:frame="1"/>
        </w:rPr>
        <w:t>Pandemic Influenza Preparedness, Response, and Recovery Guide for Critical Infrastructure and Key Resources</w:t>
      </w:r>
      <w:r w:rsidRPr="002C6FA0">
        <w:rPr>
          <w:rFonts w:ascii="Calibri" w:eastAsia="Times New Roman" w:hAnsi="Calibri" w:cs="Arial"/>
          <w:color w:val="000000" w:themeColor="text1"/>
        </w:rPr>
        <w:t>. September 2006. Available at </w:t>
      </w:r>
      <w:hyperlink r:id="rId283" w:tgtFrame="_blank" w:tooltip="http://www.flu.gov/professional/pdf/cikrpandemicinfluenzaguide.pdf" w:history="1">
        <w:r w:rsidRPr="002C6FA0">
          <w:rPr>
            <w:rFonts w:ascii="Calibri" w:eastAsia="Times New Roman" w:hAnsi="Calibri" w:cs="Arial"/>
            <w:color w:val="000000" w:themeColor="text1"/>
            <w:u w:val="single"/>
            <w:bdr w:val="none" w:sz="0" w:space="0" w:color="auto" w:frame="1"/>
          </w:rPr>
          <w:t>http://www.flu.gov/professional/pdf/cikrpandemicinfluenzaguide.pdf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CDC. </w:t>
      </w:r>
      <w:r w:rsidRPr="002C6FA0">
        <w:rPr>
          <w:rFonts w:ascii="Calibri" w:eastAsia="Times New Roman" w:hAnsi="Calibri" w:cs="Arial"/>
          <w:i/>
          <w:iCs/>
          <w:color w:val="000000" w:themeColor="text1"/>
          <w:bdr w:val="none" w:sz="0" w:space="0" w:color="auto" w:frame="1"/>
        </w:rPr>
        <w:t xml:space="preserve">National </w:t>
      </w:r>
      <w:proofErr w:type="spellStart"/>
      <w:r w:rsidRPr="002C6FA0">
        <w:rPr>
          <w:rFonts w:ascii="Calibri" w:eastAsia="Times New Roman" w:hAnsi="Calibri" w:cs="Arial"/>
          <w:i/>
          <w:iCs/>
          <w:color w:val="000000" w:themeColor="text1"/>
          <w:bdr w:val="none" w:sz="0" w:space="0" w:color="auto" w:frame="1"/>
        </w:rPr>
        <w:t>Biosurveillance</w:t>
      </w:r>
      <w:proofErr w:type="spellEnd"/>
      <w:r w:rsidRPr="002C6FA0">
        <w:rPr>
          <w:rFonts w:ascii="Calibri" w:eastAsia="Times New Roman" w:hAnsi="Calibri" w:cs="Arial"/>
          <w:i/>
          <w:iCs/>
          <w:color w:val="000000" w:themeColor="text1"/>
          <w:bdr w:val="none" w:sz="0" w:space="0" w:color="auto" w:frame="1"/>
        </w:rPr>
        <w:t xml:space="preserve"> Strategy for Human Health (NBSHH).</w:t>
      </w:r>
      <w:r w:rsidRPr="002C6FA0">
        <w:rPr>
          <w:rFonts w:ascii="Calibri" w:eastAsia="Times New Roman" w:hAnsi="Calibri" w:cs="Arial"/>
          <w:color w:val="000000" w:themeColor="text1"/>
        </w:rPr>
        <w:t> July 2012. Available at </w:t>
      </w:r>
      <w:hyperlink r:id="rId284" w:tgtFrame="_blank" w:tooltip="https://www.whitehouse.gov/sites/default/files/National_Strategy_for_Biosurveillance_July_2012.pdf" w:history="1">
        <w:r w:rsidRPr="002C6FA0">
          <w:rPr>
            <w:rFonts w:ascii="Calibri" w:eastAsia="Times New Roman" w:hAnsi="Calibri" w:cs="Arial"/>
            <w:color w:val="000000" w:themeColor="text1"/>
            <w:u w:val="single"/>
            <w:bdr w:val="none" w:sz="0" w:space="0" w:color="auto" w:frame="1"/>
          </w:rPr>
          <w:t>https://www.whitehouse.gov/sites/default/files/National_Strategy_for_Biosurveillance_July_2012.pdf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Flu.gov. Available at </w:t>
      </w:r>
      <w:hyperlink r:id="rId285" w:tgtFrame="_blank" w:tooltip="http://www.flu.gov" w:history="1">
        <w:r w:rsidRPr="002C6FA0">
          <w:rPr>
            <w:rFonts w:ascii="Calibri" w:eastAsia="Times New Roman" w:hAnsi="Calibri" w:cs="Arial"/>
            <w:color w:val="000000" w:themeColor="text1"/>
            <w:u w:val="single"/>
            <w:bdr w:val="none" w:sz="0" w:space="0" w:color="auto" w:frame="1"/>
          </w:rPr>
          <w:t>http://www.flu.gov</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5F61E75A"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Presidential Directives</w:t>
      </w:r>
    </w:p>
    <w:p w14:paraId="49F53EE9" w14:textId="77777777" w:rsidR="007263DD" w:rsidRPr="002C6FA0" w:rsidRDefault="007263DD"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Key Documents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Department of Homeland Security. Homeland Security Presidential Directive 5: Management of Domestic Incidents. February 28, 2003. Available at </w:t>
      </w:r>
      <w:hyperlink r:id="rId286" w:tgtFrame="_blank" w:tooltip="http://training.fema.gov/EMIweb/is/icsresource/assets/HSPD-5.pdf" w:history="1">
        <w:r w:rsidRPr="002C6FA0">
          <w:rPr>
            <w:rFonts w:ascii="Calibri" w:eastAsia="Times New Roman" w:hAnsi="Calibri" w:cs="Arial"/>
            <w:color w:val="000000" w:themeColor="text1"/>
            <w:u w:val="single"/>
            <w:bdr w:val="none" w:sz="0" w:space="0" w:color="auto" w:frame="1"/>
          </w:rPr>
          <w:t>http://training.fema.gov/EMIweb/is/icsresource/assets/HSPD-5.pdf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Department of Homeland Security. Presidential Policy Directive/PPD-8: National Preparedness. March 30, 2011. Available at </w:t>
      </w:r>
      <w:hyperlink r:id="rId287" w:tgtFrame="_blank" w:tooltip="http://www.dhs.gov/xabout/laws/gc_1215444247124.shtm" w:history="1">
        <w:r w:rsidRPr="002C6FA0">
          <w:rPr>
            <w:rFonts w:ascii="Calibri" w:eastAsia="Times New Roman" w:hAnsi="Calibri" w:cs="Arial"/>
            <w:color w:val="000000" w:themeColor="text1"/>
            <w:u w:val="single"/>
            <w:bdr w:val="none" w:sz="0" w:space="0" w:color="auto" w:frame="1"/>
          </w:rPr>
          <w:t>http://www.dhs.gov/xabout/laws/gc_1215444247124.shtm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Department of Homeland Security. Homeland Security Presidential Directive 21: Public Health and Medical Preparedness. October 18, 2007. Available at </w:t>
      </w:r>
      <w:hyperlink r:id="rId288" w:tgtFrame="_blank" w:tooltip="http://fas.org/irp/offdocs/nspd/hspd-21.htm" w:history="1">
        <w:r w:rsidRPr="002C6FA0">
          <w:rPr>
            <w:rFonts w:ascii="Calibri" w:eastAsia="Times New Roman" w:hAnsi="Calibri" w:cs="Arial"/>
            <w:color w:val="000000" w:themeColor="text1"/>
            <w:u w:val="single"/>
            <w:bdr w:val="none" w:sz="0" w:space="0" w:color="auto" w:frame="1"/>
          </w:rPr>
          <w:t>http://fas.org/irp/offdocs/nspd/hspd-21.htm</w:t>
        </w:r>
      </w:hyperlink>
      <w:r w:rsidRPr="002C6FA0">
        <w:rPr>
          <w:rFonts w:ascii="Calibri" w:eastAsia="Times New Roman" w:hAnsi="Calibri" w:cs="Arial"/>
          <w:color w:val="000000" w:themeColor="text1"/>
        </w:rPr>
        <w:t>.</w:t>
      </w:r>
    </w:p>
    <w:p w14:paraId="607B5AF7" w14:textId="77777777" w:rsidR="007263DD" w:rsidRDefault="007263DD" w:rsidP="00663E93">
      <w:pPr>
        <w:shd w:val="clear" w:color="auto" w:fill="FFFFFF"/>
        <w:spacing w:after="240" w:line="240" w:lineRule="atLeast"/>
        <w:textAlignment w:val="baseline"/>
        <w:rPr>
          <w:rFonts w:ascii="Calibri" w:eastAsia="Times New Roman" w:hAnsi="Calibri" w:cs="Arial"/>
          <w:b/>
          <w:bCs/>
          <w:color w:val="000000" w:themeColor="text1"/>
          <w:bdr w:val="none" w:sz="0" w:space="0" w:color="auto" w:frame="1"/>
        </w:rPr>
      </w:pPr>
    </w:p>
    <w:p w14:paraId="775DAC44"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b/>
          <w:bCs/>
          <w:color w:val="000000" w:themeColor="text1"/>
          <w:bdr w:val="none" w:sz="0" w:space="0" w:color="auto" w:frame="1"/>
        </w:rPr>
        <w:t>Other Resources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 xml:space="preserve">Relyea HC. Congressional Research Service. Presidential Directives: Background and Overview (98-611). </w:t>
      </w:r>
      <w:r w:rsidRPr="002C6FA0">
        <w:rPr>
          <w:rFonts w:ascii="Calibri" w:eastAsia="Times New Roman" w:hAnsi="Calibri" w:cs="Arial"/>
          <w:color w:val="000000" w:themeColor="text1"/>
        </w:rPr>
        <w:lastRenderedPageBreak/>
        <w:t>November 26, 2008. Available at </w:t>
      </w:r>
      <w:hyperlink r:id="rId289" w:tgtFrame="_blank" w:tooltip="http://fas.org/irp/offdocs/nspd/hspd-21.htm" w:history="1">
        <w:r w:rsidRPr="002C6FA0">
          <w:rPr>
            <w:rFonts w:ascii="Calibri" w:eastAsia="Times New Roman" w:hAnsi="Calibri" w:cs="Arial"/>
            <w:color w:val="000000" w:themeColor="text1"/>
            <w:u w:val="single"/>
            <w:bdr w:val="none" w:sz="0" w:space="0" w:color="auto" w:frame="1"/>
          </w:rPr>
          <w:t>http://fas.org/irp/offdocs/nspd/hspd-21.htm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5FA6942D"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Presidential Policy Directives (PPD)</w:t>
      </w:r>
    </w:p>
    <w:p w14:paraId="148F7CB5"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i/>
          <w:iCs/>
          <w:color w:val="000000" w:themeColor="text1"/>
          <w:bdr w:val="none" w:sz="0" w:space="0" w:color="auto" w:frame="1"/>
        </w:rPr>
        <w:t>See </w:t>
      </w:r>
      <w:hyperlink r:id="rId290" w:anchor="Presidential-Directives" w:history="1">
        <w:r w:rsidRPr="002C6FA0">
          <w:rPr>
            <w:rFonts w:ascii="Calibri" w:eastAsia="Times New Roman" w:hAnsi="Calibri" w:cs="Arial"/>
            <w:i/>
            <w:iCs/>
            <w:color w:val="000000" w:themeColor="text1"/>
            <w:u w:val="single"/>
            <w:bdr w:val="none" w:sz="0" w:space="0" w:color="auto" w:frame="1"/>
          </w:rPr>
          <w:t>“Presidential Directives”</w:t>
        </w:r>
      </w:hyperlink>
      <w:r w:rsidRPr="002C6FA0">
        <w:rPr>
          <w:rFonts w:ascii="Calibri" w:eastAsia="Times New Roman" w:hAnsi="Calibri" w:cs="Arial"/>
          <w:i/>
          <w:iCs/>
          <w:color w:val="000000" w:themeColor="text1"/>
          <w:bdr w:val="none" w:sz="0" w:space="0" w:color="auto" w:frame="1"/>
        </w:rPr>
        <w:t> </w:t>
      </w:r>
      <w:r w:rsidRPr="002C6FA0">
        <w:rPr>
          <w:rFonts w:ascii="Calibri" w:eastAsia="Times New Roman" w:hAnsi="Calibri" w:cs="Arial"/>
          <w:i/>
          <w:iCs/>
          <w:color w:val="000000" w:themeColor="text1"/>
          <w:bdr w:val="none" w:sz="0" w:space="0" w:color="auto" w:frame="1"/>
        </w:rPr>
        <w:br/>
      </w:r>
    </w:p>
    <w:p w14:paraId="5FAFF6FB"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Public Health Service Act, Section 319—Authorities Related to Public Health Emergencies</w:t>
      </w:r>
    </w:p>
    <w:p w14:paraId="7CA2E31B"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PHS Act Sec. 319. Codified at 42 U.S.C. § 247d. Available at </w:t>
      </w:r>
      <w:hyperlink r:id="rId291" w:tgtFrame="_blank" w:tooltip="http://www.gpo.gov/fdsys/pkg/USCODE-2009-title42/html/USCODE-2009-title42-chap6A-subchapII.htm" w:history="1">
        <w:r w:rsidRPr="002C6FA0">
          <w:rPr>
            <w:rFonts w:ascii="Calibri" w:eastAsia="Times New Roman" w:hAnsi="Calibri" w:cs="Arial"/>
            <w:color w:val="000000" w:themeColor="text1"/>
            <w:u w:val="single"/>
            <w:bdr w:val="none" w:sz="0" w:space="0" w:color="auto" w:frame="1"/>
          </w:rPr>
          <w:t>http://www.gpo.gov/fdsys/pkg/USCODE-2009-title42/html/USCODE-2009-title42-chap6A-subchapII.htm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0FEF808B"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Public Readiness and Emergency Preparedness Act (PREP Act)</w:t>
      </w:r>
    </w:p>
    <w:p w14:paraId="7223002D"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i/>
          <w:iCs/>
          <w:color w:val="000000" w:themeColor="text1"/>
          <w:bdr w:val="none" w:sz="0" w:space="0" w:color="auto" w:frame="1"/>
        </w:rPr>
        <w:t>See also </w:t>
      </w:r>
      <w:hyperlink r:id="rId292" w:anchor="Countermeasures-Injury" w:history="1">
        <w:r w:rsidRPr="002C6FA0">
          <w:rPr>
            <w:rFonts w:ascii="Calibri" w:eastAsia="Times New Roman" w:hAnsi="Calibri" w:cs="Arial"/>
            <w:i/>
            <w:iCs/>
            <w:color w:val="000000" w:themeColor="text1"/>
            <w:u w:val="single"/>
            <w:bdr w:val="none" w:sz="0" w:space="0" w:color="auto" w:frame="1"/>
          </w:rPr>
          <w:t>“Countermeasures Injury Compensation Program”</w:t>
        </w:r>
      </w:hyperlink>
      <w:r w:rsidRPr="002C6FA0">
        <w:rPr>
          <w:rFonts w:ascii="Calibri" w:eastAsia="Times New Roman" w:hAnsi="Calibri" w:cs="Arial"/>
          <w:i/>
          <w:iCs/>
          <w:color w:val="000000" w:themeColor="text1"/>
          <w:bdr w:val="none" w:sz="0" w:space="0" w:color="auto" w:frame="1"/>
        </w:rPr>
        <w:t> </w:t>
      </w:r>
      <w:r w:rsidRPr="002C6FA0">
        <w:rPr>
          <w:rFonts w:ascii="Calibri" w:eastAsia="Times New Roman" w:hAnsi="Calibri" w:cs="Arial"/>
          <w:i/>
          <w:iCs/>
          <w:color w:val="000000" w:themeColor="text1"/>
          <w:bdr w:val="none" w:sz="0" w:space="0" w:color="auto" w:frame="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Public Readiness and Emergency Preparedness Act of 2005. Pub. L. No. 109-417 (120 STAT. 2831). Available at </w:t>
      </w:r>
      <w:hyperlink r:id="rId293" w:tgtFrame="_blank" w:tooltip="http://www.gpo.gov/fdsys/pkg/PLAW-109publ417/pdf/PLAW-109publ417.pdf" w:history="1">
        <w:r w:rsidRPr="002C6FA0">
          <w:rPr>
            <w:rFonts w:ascii="Calibri" w:eastAsia="Times New Roman" w:hAnsi="Calibri" w:cs="Arial"/>
            <w:color w:val="000000" w:themeColor="text1"/>
            <w:u w:val="single"/>
            <w:bdr w:val="none" w:sz="0" w:space="0" w:color="auto" w:frame="1"/>
          </w:rPr>
          <w:t>http://www.gpo.gov/fdsys/pkg/PLAW-109publ417/pdf/PLAW-109publ417.pdf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Codified in the Public Health Service Act at 42 U.S.C. §§ 247d-6d, 247d-6e. Available at </w:t>
      </w:r>
      <w:hyperlink r:id="rId294" w:tgtFrame="_blank" w:tooltip="http://www.gpo.gov/fdsys/pkg/USCODE-2009-title42/html/USCODE-2009-title42-chap6A-subchapII.htm" w:history="1">
        <w:r w:rsidRPr="002C6FA0">
          <w:rPr>
            <w:rFonts w:ascii="Calibri" w:eastAsia="Times New Roman" w:hAnsi="Calibri" w:cs="Arial"/>
            <w:color w:val="000000" w:themeColor="text1"/>
            <w:u w:val="single"/>
            <w:bdr w:val="none" w:sz="0" w:space="0" w:color="auto" w:frame="1"/>
          </w:rPr>
          <w:t>http://www.gpo.gov/fdsys/pkg/USCODE-2009-title42/html/USCODE-2009-title42-chap6A-subchapII.htm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Department of Health and Human Services. “Public Readiness and Emergency Preparedness Act” webpage. Available at </w:t>
      </w:r>
      <w:hyperlink r:id="rId295" w:tgtFrame="_blank" w:tooltip="http://www.phe.gov/Preparedness/legal/prepact/Pages/default.aspx" w:history="1">
        <w:r w:rsidRPr="002C6FA0">
          <w:rPr>
            <w:rFonts w:ascii="Calibri" w:eastAsia="Times New Roman" w:hAnsi="Calibri" w:cs="Arial"/>
            <w:color w:val="000000" w:themeColor="text1"/>
            <w:u w:val="single"/>
            <w:bdr w:val="none" w:sz="0" w:space="0" w:color="auto" w:frame="1"/>
          </w:rPr>
          <w:t>http://www.phe.gov/Preparedness/legal/prepact/Pages/default.aspx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Department of Health and Human Services. “Public Readiness and Emergency Preparedness Act Questions and Answers” webpage. Available at </w:t>
      </w:r>
      <w:hyperlink r:id="rId296" w:tgtFrame="_blank" w:tooltip="http://www.phe.gov/Preparedness/legal/prepact/Pages/prepqa.aspx" w:history="1">
        <w:r w:rsidRPr="002C6FA0">
          <w:rPr>
            <w:rFonts w:ascii="Calibri" w:eastAsia="Times New Roman" w:hAnsi="Calibri" w:cs="Arial"/>
            <w:color w:val="000000" w:themeColor="text1"/>
            <w:u w:val="single"/>
            <w:bdr w:val="none" w:sz="0" w:space="0" w:color="auto" w:frame="1"/>
          </w:rPr>
          <w:t>http://www.phe.gov/Preparedness/legal/prepact/Pages/prepqa.aspx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Readiness and Emergency Preparedness Act (PREP) Act Declarations </w:t>
      </w:r>
      <w:r w:rsidRPr="002C6FA0">
        <w:rPr>
          <w:rFonts w:ascii="Calibri" w:eastAsia="Times New Roman" w:hAnsi="Calibri" w:cs="Arial"/>
          <w:b/>
          <w:bCs/>
          <w:color w:val="000000" w:themeColor="text1"/>
          <w:bdr w:val="none" w:sz="0" w:space="0" w:color="auto" w:frame="1"/>
        </w:rPr>
        <w:br/>
        <w:t>Current and Expired PREP Act Declarations: </w:t>
      </w:r>
      <w:r w:rsidRPr="002C6FA0">
        <w:rPr>
          <w:rFonts w:ascii="Calibri" w:eastAsia="Times New Roman" w:hAnsi="Calibri" w:cs="Arial"/>
          <w:color w:val="000000" w:themeColor="text1"/>
        </w:rPr>
        <w:br/>
      </w:r>
      <w:hyperlink r:id="rId297" w:tgtFrame="_blank" w:tooltip="http://www.phe.gov/Preparedness/legal/prepact/Pages/default.aspx" w:history="1">
        <w:r w:rsidRPr="002C6FA0">
          <w:rPr>
            <w:rFonts w:ascii="Calibri" w:eastAsia="Times New Roman" w:hAnsi="Calibri" w:cs="Arial"/>
            <w:color w:val="000000" w:themeColor="text1"/>
            <w:u w:val="single"/>
            <w:bdr w:val="none" w:sz="0" w:space="0" w:color="auto" w:frame="1"/>
          </w:rPr>
          <w:t>http://www.phe.gov/Preparedness/legal/prepact/Pages/default.aspx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43CABA94"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Social Security Act, Section 1135</w:t>
      </w:r>
    </w:p>
    <w:p w14:paraId="53649FE6"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Social Security Act, Section 1135. Codified at 42 U.S.C. § 1320b-5. Available at </w:t>
      </w:r>
      <w:hyperlink r:id="rId298" w:tgtFrame="_blank" w:tooltip="http://www.ssa.gov/OP_Home/ssact/title11/1135.htm" w:history="1">
        <w:r w:rsidRPr="002C6FA0">
          <w:rPr>
            <w:rFonts w:ascii="Calibri" w:eastAsia="Times New Roman" w:hAnsi="Calibri" w:cs="Arial"/>
            <w:color w:val="000000" w:themeColor="text1"/>
            <w:u w:val="single"/>
            <w:bdr w:val="none" w:sz="0" w:space="0" w:color="auto" w:frame="1"/>
          </w:rPr>
          <w:t>http://www.ssa.gov/OP_Home/ssact/title11/1135.htm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Summaries of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Department of Health and Human Service. “Public Health Emergency Declaration Q&amp;As” webpage. Available at </w:t>
      </w:r>
      <w:hyperlink r:id="rId299" w:tgtFrame="_blank" w:tooltip="http://www.phe.gov/Preparedness/legal/Pages/phe-qa.aspx" w:history="1">
        <w:r w:rsidRPr="002C6FA0">
          <w:rPr>
            <w:rFonts w:ascii="Calibri" w:eastAsia="Times New Roman" w:hAnsi="Calibri" w:cs="Arial"/>
            <w:color w:val="000000" w:themeColor="text1"/>
            <w:u w:val="single"/>
            <w:bdr w:val="none" w:sz="0" w:space="0" w:color="auto" w:frame="1"/>
          </w:rPr>
          <w:t>http://www.phe.gov/Preparedness/legal/Pages/phe-qa.aspx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lastRenderedPageBreak/>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CMS. “Emergency” webpage. Available at </w:t>
      </w:r>
      <w:hyperlink r:id="rId300" w:tgtFrame="_blank" w:tooltip="http://www.cms.gov/Emergency" w:history="1">
        <w:r w:rsidRPr="002C6FA0">
          <w:rPr>
            <w:rFonts w:ascii="Calibri" w:eastAsia="Times New Roman" w:hAnsi="Calibri" w:cs="Arial"/>
            <w:color w:val="000000" w:themeColor="text1"/>
            <w:u w:val="single"/>
            <w:bdr w:val="none" w:sz="0" w:space="0" w:color="auto" w:frame="1"/>
          </w:rPr>
          <w:t>http://www.cms.gov/Emergency</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CMS. “Medicare Fee-For-Service Emergency and Disaster-Related Policies and Procedures That May Be Implemented Only With a §1135 Waiver.” October 3, 2011. Available at </w:t>
      </w:r>
      <w:hyperlink r:id="rId301" w:tgtFrame="_blank" w:tooltip="http://www.cms.gov/Emergency/downloads/MedicareFFS-EmergencyQsAs1135Waiver.pdf" w:history="1">
        <w:r w:rsidRPr="002C6FA0">
          <w:rPr>
            <w:rFonts w:ascii="Calibri" w:eastAsia="Times New Roman" w:hAnsi="Calibri" w:cs="Arial"/>
            <w:color w:val="000000" w:themeColor="text1"/>
            <w:u w:val="single"/>
            <w:bdr w:val="none" w:sz="0" w:space="0" w:color="auto" w:frame="1"/>
          </w:rPr>
          <w:t>http://www.cms.gov/Emergency/downloads/MedicareFFS-EmergencyQsAs1135Waiver.pdf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CMS. “Medicare Fee-For-Service Emergency-Related Policies and Procedures That May Be Implemented Without §1135 Waivers.” October 30, 2011. Available at </w:t>
      </w:r>
      <w:hyperlink r:id="rId302" w:tgtFrame="_blank" w:tooltip="http://www.cms.gov/Emergency/Downloads/Consolidated_Medicare_FFS_Emergency_QsAs.pdf" w:history="1">
        <w:r w:rsidRPr="002C6FA0">
          <w:rPr>
            <w:rFonts w:ascii="Calibri" w:eastAsia="Times New Roman" w:hAnsi="Calibri" w:cs="Arial"/>
            <w:color w:val="000000" w:themeColor="text1"/>
            <w:u w:val="single"/>
            <w:bdr w:val="none" w:sz="0" w:space="0" w:color="auto" w:frame="1"/>
          </w:rPr>
          <w:t>http://www.cms.gov/Emergency/Downloads/Consolidated_Medicare_FFS_Emergency_QsAs.pdf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CMS. “Requesting an 1135 Waiver.” November 4, 2009. Available at </w:t>
      </w:r>
      <w:hyperlink r:id="rId303" w:tgtFrame="_blank" w:tooltip="http://www.cms.gov/H1N1/Downloads/RequestingAWaiver101.pdf" w:history="1">
        <w:r w:rsidRPr="002C6FA0">
          <w:rPr>
            <w:rFonts w:ascii="Calibri" w:eastAsia="Times New Roman" w:hAnsi="Calibri" w:cs="Arial"/>
            <w:color w:val="000000" w:themeColor="text1"/>
            <w:u w:val="single"/>
            <w:bdr w:val="none" w:sz="0" w:space="0" w:color="auto" w:frame="1"/>
          </w:rPr>
          <w:t>http://www.cms.gov/H1N1/Downloads/RequestingAWaiver101.pdf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5657161E"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Stafford Act</w:t>
      </w:r>
    </w:p>
    <w:p w14:paraId="65F85563"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Robert T. Stafford Disaster Relief and Emergency Assistance Act of 1988. Pub. L. No. 100-707. Codified at 42 U.S.C. §§ 5121-5207. Available at </w:t>
      </w:r>
      <w:hyperlink r:id="rId304" w:tgtFrame="_blank" w:tooltip="http://www.gpo.gov/fdsys/pkg/USCODE-2009-title42/html/USCODE-2009-title42-chap68.htm" w:history="1">
        <w:r w:rsidRPr="002C6FA0">
          <w:rPr>
            <w:rFonts w:ascii="Calibri" w:eastAsia="Times New Roman" w:hAnsi="Calibri" w:cs="Arial"/>
            <w:color w:val="000000" w:themeColor="text1"/>
            <w:u w:val="single"/>
            <w:bdr w:val="none" w:sz="0" w:space="0" w:color="auto" w:frame="1"/>
          </w:rPr>
          <w:t>http://www.gpo.gov/fdsys/pkg/USCODE-2009-title42/html/USCODE-2009-title42-chap68.htm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Policies </w:t>
      </w:r>
    </w:p>
    <w:p w14:paraId="02F0A4AA" w14:textId="77777777" w:rsidR="007263DD" w:rsidRPr="002C6FA0" w:rsidRDefault="007263DD"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FEMA. "Pandemic Influenza Fact Sheet" website. Available at </w:t>
      </w:r>
      <w:hyperlink r:id="rId305" w:tgtFrame="_blank" w:tooltip="http://www.fema.gov/pandemic-influenza/pandemic-influenza-fact-sheet" w:history="1">
        <w:r w:rsidRPr="002C6FA0">
          <w:rPr>
            <w:rFonts w:ascii="Calibri" w:eastAsia="Times New Roman" w:hAnsi="Calibri" w:cs="Arial"/>
            <w:color w:val="000000" w:themeColor="text1"/>
            <w:u w:val="single"/>
            <w:bdr w:val="none" w:sz="0" w:space="0" w:color="auto" w:frame="1"/>
          </w:rPr>
          <w:t>http://www.fema.gov/pandemic-influenza/pandemic-influenza-fact-sheet</w:t>
        </w:r>
      </w:hyperlink>
      <w:r w:rsidRPr="002C6FA0">
        <w:rPr>
          <w:rFonts w:ascii="Calibri" w:eastAsia="Times New Roman" w:hAnsi="Calibri" w:cs="Arial"/>
          <w:color w:val="000000" w:themeColor="text1"/>
        </w:rPr>
        <w:t>.</w:t>
      </w:r>
    </w:p>
    <w:p w14:paraId="64E9BE3C" w14:textId="77777777" w:rsidR="007263DD" w:rsidRPr="002C6FA0" w:rsidRDefault="007263DD" w:rsidP="00663E93">
      <w:pPr>
        <w:shd w:val="clear" w:color="auto" w:fill="FFFFFF"/>
        <w:spacing w:after="225"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See also FEMA. Emergency Assistance for Human Influenza Pandemic Disaster Assistance Policy 9523.17. November 25, 2009.</w:t>
      </w:r>
    </w:p>
    <w:p w14:paraId="7633F1A4"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FEMA. “Hazard Mitigation Grant Program (HMGP)” webpage. Available at </w:t>
      </w:r>
      <w:hyperlink r:id="rId306" w:tgtFrame="_blank" w:tooltip="http://www.fema.gov/hazard-mitigation-grant-program#" w:history="1">
        <w:r w:rsidRPr="002C6FA0">
          <w:rPr>
            <w:rFonts w:ascii="Calibri" w:eastAsia="Times New Roman" w:hAnsi="Calibri" w:cs="Arial"/>
            <w:color w:val="000000" w:themeColor="text1"/>
            <w:u w:val="single"/>
            <w:bdr w:val="none" w:sz="0" w:space="0" w:color="auto" w:frame="1"/>
          </w:rPr>
          <w:t>http://www.fema.gov/hazard-mitigation-grant-program#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FEMA. Mutual Aid Agreements for Public Assistance and Fire Management Assistance Disaster Assistance Policy 9523.6. August 13, 2007. Available at </w:t>
      </w:r>
      <w:hyperlink r:id="rId307" w:tgtFrame="_blank" w:tooltip="http://www.fema.gov/9500-series-policy-publications/95236-mutual-aid-agreements-public-assistance-fire-management" w:history="1">
        <w:r w:rsidRPr="002C6FA0">
          <w:rPr>
            <w:rFonts w:ascii="Calibri" w:eastAsia="Times New Roman" w:hAnsi="Calibri" w:cs="Arial"/>
            <w:color w:val="000000" w:themeColor="text1"/>
            <w:u w:val="single"/>
            <w:bdr w:val="none" w:sz="0" w:space="0" w:color="auto" w:frame="1"/>
          </w:rPr>
          <w:t>http://www.fema.gov/9500-series-policy-publications/95236-mutual-aid-agreements-public-assistance-fire-management</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FEMA. “Public Assistance Grants Policy and Guidance” webpage. Available at </w:t>
      </w:r>
      <w:hyperlink r:id="rId308" w:tgtFrame="_blank" w:tooltip="http://www.fema.goc/public-assistance-policy-and-guidance" w:history="1">
        <w:r w:rsidRPr="002C6FA0">
          <w:rPr>
            <w:rFonts w:ascii="Calibri" w:eastAsia="Times New Roman" w:hAnsi="Calibri" w:cs="Arial"/>
            <w:color w:val="000000" w:themeColor="text1"/>
            <w:u w:val="single"/>
            <w:bdr w:val="none" w:sz="0" w:space="0" w:color="auto" w:frame="1"/>
          </w:rPr>
          <w:t>http://www.fema.goc/public-assistance-policy-and-guidance</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Federal Emergency Management Agency webpage. Available at </w:t>
      </w:r>
      <w:hyperlink r:id="rId309" w:tgtFrame="_blank" w:tooltip="http://www.fema.gov" w:history="1">
        <w:r w:rsidRPr="002C6FA0">
          <w:rPr>
            <w:rFonts w:ascii="Calibri" w:eastAsia="Times New Roman" w:hAnsi="Calibri" w:cs="Arial"/>
            <w:color w:val="000000" w:themeColor="text1"/>
            <w:u w:val="single"/>
            <w:bdr w:val="none" w:sz="0" w:space="0" w:color="auto" w:frame="1"/>
          </w:rPr>
          <w:t>http://www.fema.gov</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41CA1C5C"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Strategic National Stockpile (SNS)</w:t>
      </w:r>
    </w:p>
    <w:p w14:paraId="01AED1F6"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 xml:space="preserve">CDC. “Strategic National Stockpile” website. Available </w:t>
      </w:r>
      <w:r w:rsidRPr="002C6FA0">
        <w:rPr>
          <w:rFonts w:ascii="Calibri" w:eastAsia="Times New Roman" w:hAnsi="Calibri" w:cs="Arial"/>
          <w:color w:val="000000" w:themeColor="text1"/>
        </w:rPr>
        <w:lastRenderedPageBreak/>
        <w:t>at </w:t>
      </w:r>
      <w:hyperlink r:id="rId310" w:tgtFrame="_blank" w:tooltip="http://www.cdc.gov/phpr/stockpile/stockpile.htm" w:history="1">
        <w:r w:rsidRPr="002C6FA0">
          <w:rPr>
            <w:rFonts w:ascii="Calibri" w:eastAsia="Times New Roman" w:hAnsi="Calibri" w:cs="Arial"/>
            <w:color w:val="000000" w:themeColor="text1"/>
            <w:u w:val="single"/>
            <w:bdr w:val="none" w:sz="0" w:space="0" w:color="auto" w:frame="1"/>
          </w:rPr>
          <w:t>http://www.cdc.gov/phpr/stockpile/stockpile.htm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2AB98A5C"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Uniform Emergency Volunteer Health Practitioners Act (UEVHPA)</w:t>
      </w:r>
    </w:p>
    <w:p w14:paraId="2AFDA38C"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Resources </w:t>
      </w:r>
      <w:r w:rsidRPr="002C6FA0">
        <w:rPr>
          <w:rFonts w:ascii="Calibri" w:eastAsia="Times New Roman" w:hAnsi="Calibri" w:cs="Arial"/>
          <w:color w:val="000000" w:themeColor="text1"/>
        </w:rPr>
        <w:br/>
        <w:t>Uniform Emergency Volunteer Health Practitioners Act (UEVHPA). Uniform Law Commission. “Emergency Volunteer Health Practitioners” website. Available at </w:t>
      </w:r>
      <w:hyperlink r:id="rId311" w:tgtFrame="_blank" w:tooltip="http://uniformlaws.org/Act.aspx?title=Emergency%20Volunteer%20Health%20Practitioners" w:history="1">
        <w:r w:rsidRPr="002C6FA0">
          <w:rPr>
            <w:rFonts w:ascii="Calibri" w:eastAsia="Times New Roman" w:hAnsi="Calibri" w:cs="Arial"/>
            <w:color w:val="000000" w:themeColor="text1"/>
            <w:u w:val="single"/>
            <w:bdr w:val="none" w:sz="0" w:space="0" w:color="auto" w:frame="1"/>
          </w:rPr>
          <w:t>http://uniformlaws.org/Act.aspx?title=Emergency%20Volunteer%20Health%20Practitioners</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5F77FE36"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Vaccine Injury Compensation Program (VICP)</w:t>
      </w:r>
    </w:p>
    <w:p w14:paraId="19603AFB"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 Health Resources and Services Administration. “National Vaccine Injury Compensation Program (VICP)“ webpage. Available at </w:t>
      </w:r>
      <w:hyperlink r:id="rId312" w:tgtFrame="_blank" w:tooltip="http://www.hrsa.gov/vaccinecompensation/default.htm" w:history="1">
        <w:r w:rsidRPr="002C6FA0">
          <w:rPr>
            <w:rFonts w:ascii="Calibri" w:eastAsia="Times New Roman" w:hAnsi="Calibri" w:cs="Arial"/>
            <w:color w:val="000000" w:themeColor="text1"/>
            <w:u w:val="single"/>
            <w:bdr w:val="none" w:sz="0" w:space="0" w:color="auto" w:frame="1"/>
          </w:rPr>
          <w:t>http://www.hrsa.gov/vaccinecompensation/default.htm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1BC36F1A"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Volunteer Protection Act (VPA)</w:t>
      </w:r>
    </w:p>
    <w:p w14:paraId="3389E999"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Volunteer Protection Act of 1997. Pub. L. No. Pub. L. 105-19. Codified at 42 USC §14501 et seq. Available at </w:t>
      </w:r>
      <w:hyperlink r:id="rId313" w:tgtFrame="_blank" w:tooltip="http://www.gpo.gov/fdsys/pkg/PLAW-105publ19/pdf/PLAW-105publ19.pdf" w:history="1">
        <w:r w:rsidRPr="002C6FA0">
          <w:rPr>
            <w:rFonts w:ascii="Calibri" w:eastAsia="Times New Roman" w:hAnsi="Calibri" w:cs="Arial"/>
            <w:color w:val="000000" w:themeColor="text1"/>
            <w:u w:val="single"/>
            <w:bdr w:val="none" w:sz="0" w:space="0" w:color="auto" w:frame="1"/>
          </w:rPr>
          <w:t>http://www.gpo.gov/fdsys/pkg/PLAW-105publ19/pdf/PLAW-105publ19.pdf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Resources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Chu V. Congressional Research Service. </w:t>
      </w:r>
      <w:r w:rsidRPr="002C6FA0">
        <w:rPr>
          <w:rFonts w:ascii="Calibri" w:eastAsia="Times New Roman" w:hAnsi="Calibri" w:cs="Arial"/>
          <w:i/>
          <w:iCs/>
          <w:color w:val="000000" w:themeColor="text1"/>
          <w:bdr w:val="none" w:sz="0" w:space="0" w:color="auto" w:frame="1"/>
        </w:rPr>
        <w:t>Emergency Response: Civil Liability of Volunteer Health Professionals</w:t>
      </w:r>
      <w:r w:rsidRPr="002C6FA0">
        <w:rPr>
          <w:rFonts w:ascii="Calibri" w:eastAsia="Times New Roman" w:hAnsi="Calibri" w:cs="Arial"/>
          <w:color w:val="000000" w:themeColor="text1"/>
        </w:rPr>
        <w:t> (R40176). January 19, 2011. Available at </w:t>
      </w:r>
      <w:hyperlink r:id="rId314" w:tgtFrame="_blank" w:tooltip="http://www.fas.org/sgp/crs/misc/R40176.pdf" w:history="1">
        <w:r w:rsidRPr="002C6FA0">
          <w:rPr>
            <w:rFonts w:ascii="Calibri" w:eastAsia="Times New Roman" w:hAnsi="Calibri" w:cs="Arial"/>
            <w:color w:val="000000" w:themeColor="text1"/>
            <w:u w:val="single"/>
            <w:bdr w:val="none" w:sz="0" w:space="0" w:color="auto" w:frame="1"/>
          </w:rPr>
          <w:t>http://www.fas.org/sgp/crs/misc/R40176.pdf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Federal Emergency Management Agency. Citizen Corps Volunteer Liability Guide (undated). Available at </w:t>
      </w:r>
      <w:hyperlink r:id="rId315" w:tgtFrame="_blank" w:tooltip="http://www.citizencorps.gov/councils/volunteer_mgmt.shtm" w:history="1">
        <w:r w:rsidRPr="002C6FA0">
          <w:rPr>
            <w:rFonts w:ascii="Calibri" w:eastAsia="Times New Roman" w:hAnsi="Calibri" w:cs="Arial"/>
            <w:color w:val="000000" w:themeColor="text1"/>
            <w:u w:val="single"/>
            <w:bdr w:val="none" w:sz="0" w:space="0" w:color="auto" w:frame="1"/>
          </w:rPr>
          <w:t>http://www.citizencorps.gov/councils/volunteer_mgmt.shtm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Health Resources and Services Administration. </w:t>
      </w:r>
      <w:r w:rsidRPr="002C6FA0">
        <w:rPr>
          <w:rFonts w:ascii="Calibri" w:eastAsia="Times New Roman" w:hAnsi="Calibri" w:cs="Arial"/>
          <w:i/>
          <w:iCs/>
          <w:color w:val="000000" w:themeColor="text1"/>
          <w:bdr w:val="none" w:sz="0" w:space="0" w:color="auto" w:frame="1"/>
        </w:rPr>
        <w:t>Emergency System for Advance Registration of Volunteer Health Professionals (ESAR-VHP)—Legal and Regulatory Issues</w:t>
      </w:r>
      <w:r w:rsidRPr="002C6FA0">
        <w:rPr>
          <w:rFonts w:ascii="Calibri" w:eastAsia="Times New Roman" w:hAnsi="Calibri" w:cs="Arial"/>
          <w:color w:val="000000" w:themeColor="text1"/>
        </w:rPr>
        <w:t>. Draft Report—May 2006. Available at </w:t>
      </w:r>
      <w:hyperlink r:id="rId316" w:tgtFrame="_blank" w:tooltip="http://www.publichealthlaw.net/Research/PDF/ESAR%20VHP%20Report.pdf" w:history="1">
        <w:r w:rsidRPr="002C6FA0">
          <w:rPr>
            <w:rFonts w:ascii="Calibri" w:eastAsia="Times New Roman" w:hAnsi="Calibri" w:cs="Arial"/>
            <w:color w:val="000000" w:themeColor="text1"/>
            <w:u w:val="single"/>
            <w:bdr w:val="none" w:sz="0" w:space="0" w:color="auto" w:frame="1"/>
          </w:rPr>
          <w:t>http://www.publichealthlaw.net/Research/PDF/ESAR%20VHP%20Report.pdf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Hodges JG and Arias JJ. “Liability Risks and Protections for Volunteer Health Practitioners in Emergencies.” Presentation to the Public Health Law Network-Western Region. November 2010. Available at </w:t>
      </w:r>
      <w:hyperlink r:id="rId317" w:tgtFrame="_blank" w:tooltip="https://www.networkforphl.org/_asset/5ywvc8/Western-Region---VHP-Liability-Webinar-12-2.pdf" w:history="1">
        <w:r w:rsidRPr="002C6FA0">
          <w:rPr>
            <w:rFonts w:ascii="Calibri" w:eastAsia="Times New Roman" w:hAnsi="Calibri" w:cs="Arial"/>
            <w:color w:val="000000" w:themeColor="text1"/>
            <w:u w:val="single"/>
            <w:bdr w:val="none" w:sz="0" w:space="0" w:color="auto" w:frame="1"/>
          </w:rPr>
          <w:t>https://www.networkforphl.org/_asset/5ywvc8/Western-Region---VHP-Liability-Webinar-12-2.pdf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Hoffman S. “Responders’ Responsibility: Liability and Immunity in Public Health Emergencies.” 96 Geo. L.J. 1913, 1944. 2008.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Non-Profit Risk Management Center. </w:t>
      </w:r>
      <w:r w:rsidRPr="002C6FA0">
        <w:rPr>
          <w:rFonts w:ascii="Calibri" w:eastAsia="Times New Roman" w:hAnsi="Calibri" w:cs="Arial"/>
          <w:i/>
          <w:iCs/>
          <w:color w:val="000000" w:themeColor="text1"/>
          <w:bdr w:val="none" w:sz="0" w:space="0" w:color="auto" w:frame="1"/>
        </w:rPr>
        <w:t>State Liability Laws for Charitable Organizations and Volunteers</w:t>
      </w:r>
      <w:r w:rsidRPr="002C6FA0">
        <w:rPr>
          <w:rFonts w:ascii="Calibri" w:eastAsia="Times New Roman" w:hAnsi="Calibri" w:cs="Arial"/>
          <w:color w:val="000000" w:themeColor="text1"/>
        </w:rPr>
        <w:t>. Updated as of December 2009. Available at </w:t>
      </w:r>
      <w:hyperlink r:id="rId318" w:tgtFrame="_blank" w:tooltip="http://www.probonopartner.org/FileLib/Documents/nonprofitriskmgmtstateliability.pdf" w:history="1">
        <w:r w:rsidRPr="002C6FA0">
          <w:rPr>
            <w:rFonts w:ascii="Calibri" w:eastAsia="Times New Roman" w:hAnsi="Calibri" w:cs="Arial"/>
            <w:color w:val="000000" w:themeColor="text1"/>
            <w:u w:val="single"/>
            <w:bdr w:val="none" w:sz="0" w:space="0" w:color="auto" w:frame="1"/>
          </w:rPr>
          <w:t>http://www.probonopartner.org/FileLib/Documents/nonprofitriskmgmtstateliability.pdf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 xml:space="preserve">Uniform Emergency Volunteer Health Practitioners Act (UEVHPA). Uniform Law Commission. </w:t>
      </w:r>
      <w:r w:rsidRPr="002C6FA0">
        <w:rPr>
          <w:rFonts w:ascii="Calibri" w:eastAsia="Times New Roman" w:hAnsi="Calibri" w:cs="Arial"/>
          <w:color w:val="000000" w:themeColor="text1"/>
        </w:rPr>
        <w:lastRenderedPageBreak/>
        <w:t>“Emergency Volunteer Health Practitioners” website. Available at </w:t>
      </w:r>
      <w:hyperlink r:id="rId319" w:tgtFrame="_blank" w:tooltip="http://uniformlaws.org/Act.aspx?title=Emergency%20Volunteer%20Health%20Practitioners" w:history="1">
        <w:r w:rsidRPr="002C6FA0">
          <w:rPr>
            <w:rFonts w:ascii="Calibri" w:eastAsia="Times New Roman" w:hAnsi="Calibri" w:cs="Arial"/>
            <w:color w:val="000000" w:themeColor="text1"/>
            <w:u w:val="single"/>
            <w:bdr w:val="none" w:sz="0" w:space="0" w:color="auto" w:frame="1"/>
          </w:rPr>
          <w:t>http://uniformlaws.org/Act.aspx?title=Emergency%20Volunteer%20Health%20Practitioners</w:t>
        </w:r>
      </w:hyperlink>
      <w:r w:rsidRPr="002C6FA0">
        <w:rPr>
          <w:rFonts w:ascii="Calibri" w:eastAsia="Times New Roman" w:hAnsi="Calibri" w:cs="Arial"/>
          <w:color w:val="000000" w:themeColor="text1"/>
        </w:rPr>
        <w:t>.</w:t>
      </w:r>
      <w:r w:rsidRPr="002C6FA0">
        <w:rPr>
          <w:rFonts w:ascii="Calibri" w:eastAsia="Times New Roman" w:hAnsi="Calibri" w:cs="Arial"/>
          <w:color w:val="000000" w:themeColor="text1"/>
        </w:rPr>
        <w:br/>
      </w:r>
    </w:p>
    <w:p w14:paraId="4CD3726A" w14:textId="77777777" w:rsidR="007263DD" w:rsidRPr="002C6FA0" w:rsidRDefault="007263DD"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Workers' Compensation and Disability</w:t>
      </w:r>
    </w:p>
    <w:p w14:paraId="66D9328F" w14:textId="77777777" w:rsidR="007263DD" w:rsidRPr="002C6FA0" w:rsidRDefault="007263DD"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b/>
          <w:bCs/>
          <w:color w:val="000000" w:themeColor="text1"/>
          <w:bdr w:val="none" w:sz="0" w:space="0" w:color="auto" w:frame="1"/>
        </w:rPr>
        <w:t>Summaries of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U.S. Dept. of Labor. “Summary of the Major Laws of the Department of Labor” webpage. Available at </w:t>
      </w:r>
      <w:hyperlink r:id="rId320" w:tgtFrame="_blank" w:tooltip="http://www.dol.gov/opa/aboutdol/lawsprog.htm" w:history="1">
        <w:r w:rsidRPr="002C6FA0">
          <w:rPr>
            <w:rFonts w:ascii="Calibri" w:eastAsia="Times New Roman" w:hAnsi="Calibri" w:cs="Arial"/>
            <w:color w:val="000000" w:themeColor="text1"/>
            <w:u w:val="single"/>
            <w:bdr w:val="none" w:sz="0" w:space="0" w:color="auto" w:frame="1"/>
          </w:rPr>
          <w:t>http://www.dol.gov/opa/aboutdol/lawsprog.htm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Resources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International Association of Industrial Accident Boards and Commissions. Available at </w:t>
      </w:r>
      <w:hyperlink r:id="rId321" w:tgtFrame="_blank" w:tooltip="http://www.iaiabc.org/iaiabc/default.asp" w:history="1">
        <w:r w:rsidRPr="002C6FA0">
          <w:rPr>
            <w:rFonts w:ascii="Calibri" w:eastAsia="Times New Roman" w:hAnsi="Calibri" w:cs="Arial"/>
            <w:color w:val="000000" w:themeColor="text1"/>
            <w:u w:val="single"/>
            <w:bdr w:val="none" w:sz="0" w:space="0" w:color="auto" w:frame="1"/>
          </w:rPr>
          <w:t>http://www.iaiabc.org/iaiabc/default.asp</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proofErr w:type="spellStart"/>
      <w:r w:rsidRPr="002C6FA0">
        <w:rPr>
          <w:rFonts w:ascii="Calibri" w:eastAsia="Times New Roman" w:hAnsi="Calibri" w:cs="Arial"/>
          <w:color w:val="000000" w:themeColor="text1"/>
        </w:rPr>
        <w:t>Mashaw</w:t>
      </w:r>
      <w:proofErr w:type="spellEnd"/>
      <w:r w:rsidRPr="002C6FA0">
        <w:rPr>
          <w:rFonts w:ascii="Calibri" w:eastAsia="Times New Roman" w:hAnsi="Calibri" w:cs="Arial"/>
          <w:color w:val="000000" w:themeColor="text1"/>
        </w:rPr>
        <w:t xml:space="preserve"> J and Reno V, eds. National Academy of Social Insurance. </w:t>
      </w:r>
      <w:r w:rsidRPr="002C6FA0">
        <w:rPr>
          <w:rFonts w:ascii="Calibri" w:eastAsia="Times New Roman" w:hAnsi="Calibri" w:cs="Arial"/>
          <w:i/>
          <w:iCs/>
          <w:color w:val="000000" w:themeColor="text1"/>
          <w:bdr w:val="none" w:sz="0" w:space="0" w:color="auto" w:frame="1"/>
        </w:rPr>
        <w:t>The Environment of Disability Income Policy: Programs, People, History, and Context: Interim Report of the Disability Policy Panel</w:t>
      </w:r>
      <w:r w:rsidRPr="002C6FA0">
        <w:rPr>
          <w:rFonts w:ascii="Calibri" w:eastAsia="Times New Roman" w:hAnsi="Calibri" w:cs="Arial"/>
          <w:color w:val="000000" w:themeColor="text1"/>
        </w:rPr>
        <w:t>. August 1996. Available at </w:t>
      </w:r>
      <w:hyperlink r:id="rId322" w:tgtFrame="_blank" w:tooltip="http://www.nasi.org/research/1996/environment-disability-income-policy-programs-people-history" w:history="1">
        <w:r w:rsidRPr="002C6FA0">
          <w:rPr>
            <w:rFonts w:ascii="Calibri" w:eastAsia="Times New Roman" w:hAnsi="Calibri" w:cs="Arial"/>
            <w:color w:val="000000" w:themeColor="text1"/>
            <w:u w:val="single"/>
            <w:bdr w:val="none" w:sz="0" w:space="0" w:color="auto" w:frame="1"/>
          </w:rPr>
          <w:t>http://www.nasi.org/research/1996/environment-disability-income-policy-programs-people-history</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Sengupta I.et al. National Academy of Social Insurance. Workers’ Compensation: Benefits, Coverage, and Costs, 2008. September 2010. Available at </w:t>
      </w:r>
      <w:hyperlink r:id="rId323" w:tgtFrame="_blank" w:tooltip="http://www.nasi.org/research/workers-compensation" w:history="1">
        <w:r w:rsidRPr="002C6FA0">
          <w:rPr>
            <w:rFonts w:ascii="Calibri" w:eastAsia="Times New Roman" w:hAnsi="Calibri" w:cs="Arial"/>
            <w:color w:val="000000" w:themeColor="text1"/>
            <w:u w:val="single"/>
            <w:bdr w:val="none" w:sz="0" w:space="0" w:color="auto" w:frame="1"/>
          </w:rPr>
          <w:t>http://www.nasi.org/research/workers-compensation</w:t>
        </w:r>
      </w:hyperlink>
      <w:r w:rsidRPr="002C6FA0">
        <w:rPr>
          <w:rFonts w:ascii="Calibri" w:eastAsia="Times New Roman" w:hAnsi="Calibri" w:cs="Arial"/>
          <w:color w:val="000000" w:themeColor="text1"/>
        </w:rPr>
        <w:t>. </w:t>
      </w:r>
    </w:p>
    <w:p w14:paraId="357580ED" w14:textId="77777777" w:rsidR="007263DD" w:rsidRPr="002C6FA0" w:rsidRDefault="007263DD">
      <w:pPr>
        <w:rPr>
          <w:rFonts w:ascii="Calibri" w:hAnsi="Calibri"/>
          <w:color w:val="000000" w:themeColor="text1"/>
        </w:rPr>
      </w:pPr>
    </w:p>
    <w:p w14:paraId="6A876433" w14:textId="77777777" w:rsidR="00CA6041" w:rsidRDefault="00CA6041" w:rsidP="00CA6041">
      <w:pPr>
        <w:rPr>
          <w:rFonts w:ascii="Calibri" w:hAnsi="Calibri" w:cs="Calibri"/>
          <w:sz w:val="24"/>
        </w:rPr>
      </w:pPr>
      <w:r>
        <w:rPr>
          <w:rFonts w:ascii="Calibri" w:hAnsi="Calibri" w:cs="Calibri"/>
          <w:sz w:val="24"/>
        </w:rPr>
        <w:t>[</w:t>
      </w:r>
      <w:hyperlink w:anchor="TOC_top" w:history="1">
        <w:r w:rsidRPr="00B16B87">
          <w:rPr>
            <w:rStyle w:val="Hyperlink"/>
            <w:rFonts w:ascii="Calibri" w:hAnsi="Calibri" w:cs="Calibri"/>
            <w:sz w:val="24"/>
          </w:rPr>
          <w:t>TOC top</w:t>
        </w:r>
      </w:hyperlink>
      <w:r>
        <w:rPr>
          <w:rFonts w:ascii="Calibri" w:hAnsi="Calibri" w:cs="Calibri"/>
          <w:sz w:val="24"/>
        </w:rPr>
        <w:t>]</w:t>
      </w:r>
    </w:p>
    <w:p w14:paraId="61ED7F94" w14:textId="77777777" w:rsidR="00AE0BC2" w:rsidRPr="00271C32" w:rsidRDefault="00AE0BC2" w:rsidP="00950A15">
      <w:pPr>
        <w:spacing w:line="360" w:lineRule="auto"/>
        <w:rPr>
          <w:rFonts w:cstheme="minorHAnsi"/>
        </w:rPr>
      </w:pPr>
    </w:p>
    <w:sectPr w:rsidR="00AE0BC2" w:rsidRPr="00271C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277F3D" w14:textId="77777777" w:rsidR="003B17DD" w:rsidRDefault="003B17DD" w:rsidP="003B17DD">
      <w:r>
        <w:separator/>
      </w:r>
    </w:p>
  </w:endnote>
  <w:endnote w:type="continuationSeparator" w:id="0">
    <w:p w14:paraId="49D17284" w14:textId="77777777" w:rsidR="003B17DD" w:rsidRDefault="003B17DD" w:rsidP="003B17DD">
      <w:r>
        <w:continuationSeparator/>
      </w:r>
    </w:p>
  </w:endnote>
  <w:endnote w:type="continuationNotice" w:id="1">
    <w:p w14:paraId="22048AAB" w14:textId="77777777" w:rsidR="00224AC9" w:rsidRDefault="00224A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5433258"/>
      <w:docPartObj>
        <w:docPartGallery w:val="Page Numbers (Bottom of Page)"/>
        <w:docPartUnique/>
      </w:docPartObj>
    </w:sdtPr>
    <w:sdtEndPr>
      <w:rPr>
        <w:noProof/>
      </w:rPr>
    </w:sdtEndPr>
    <w:sdtContent>
      <w:p w14:paraId="60FE12C1" w14:textId="455246A8" w:rsidR="003B17DD" w:rsidRDefault="003B17DD" w:rsidP="003B17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471DF5" w14:textId="77777777" w:rsidR="003B17DD" w:rsidRDefault="003B17DD" w:rsidP="003B17DD">
      <w:r>
        <w:separator/>
      </w:r>
    </w:p>
  </w:footnote>
  <w:footnote w:type="continuationSeparator" w:id="0">
    <w:p w14:paraId="3BACB7DB" w14:textId="77777777" w:rsidR="003B17DD" w:rsidRDefault="003B17DD" w:rsidP="003B17DD">
      <w:r>
        <w:continuationSeparator/>
      </w:r>
    </w:p>
  </w:footnote>
  <w:footnote w:type="continuationNotice" w:id="1">
    <w:p w14:paraId="1536A98F" w14:textId="77777777" w:rsidR="00224AC9" w:rsidRDefault="00224AC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069B3"/>
    <w:multiLevelType w:val="multilevel"/>
    <w:tmpl w:val="A8007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97892"/>
    <w:multiLevelType w:val="hybridMultilevel"/>
    <w:tmpl w:val="77740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64216B"/>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550047E"/>
    <w:multiLevelType w:val="hybridMultilevel"/>
    <w:tmpl w:val="0810B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6F476ED"/>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8025BC4"/>
    <w:multiLevelType w:val="hybridMultilevel"/>
    <w:tmpl w:val="676AD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45474D"/>
    <w:multiLevelType w:val="hybridMultilevel"/>
    <w:tmpl w:val="30F6CF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B403AE1"/>
    <w:multiLevelType w:val="hybridMultilevel"/>
    <w:tmpl w:val="1C403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B82209D"/>
    <w:multiLevelType w:val="hybridMultilevel"/>
    <w:tmpl w:val="C5700A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CA7155A"/>
    <w:multiLevelType w:val="hybridMultilevel"/>
    <w:tmpl w:val="8FA2C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C435F0"/>
    <w:multiLevelType w:val="hybridMultilevel"/>
    <w:tmpl w:val="D3A647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F556400"/>
    <w:multiLevelType w:val="hybridMultilevel"/>
    <w:tmpl w:val="30F474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A9747C6"/>
    <w:multiLevelType w:val="hybridMultilevel"/>
    <w:tmpl w:val="63BCA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6F0884"/>
    <w:multiLevelType w:val="multilevel"/>
    <w:tmpl w:val="D4881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672D7C"/>
    <w:multiLevelType w:val="hybridMultilevel"/>
    <w:tmpl w:val="43EAF3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DCD6CA9"/>
    <w:multiLevelType w:val="multilevel"/>
    <w:tmpl w:val="AED0F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E000AD8"/>
    <w:multiLevelType w:val="multilevel"/>
    <w:tmpl w:val="57B8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333C86"/>
    <w:multiLevelType w:val="hybridMultilevel"/>
    <w:tmpl w:val="4A9E08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1782461"/>
    <w:multiLevelType w:val="multilevel"/>
    <w:tmpl w:val="3EE2DBC2"/>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3E4207E"/>
    <w:multiLevelType w:val="hybridMultilevel"/>
    <w:tmpl w:val="951E08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42421E2"/>
    <w:multiLevelType w:val="hybridMultilevel"/>
    <w:tmpl w:val="44C6E4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484264D"/>
    <w:multiLevelType w:val="hybridMultilevel"/>
    <w:tmpl w:val="380C8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69A0F89"/>
    <w:multiLevelType w:val="multilevel"/>
    <w:tmpl w:val="3CB68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82619D"/>
    <w:multiLevelType w:val="hybridMultilevel"/>
    <w:tmpl w:val="35E29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A720753"/>
    <w:multiLevelType w:val="multilevel"/>
    <w:tmpl w:val="331C3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AA126A2"/>
    <w:multiLevelType w:val="hybridMultilevel"/>
    <w:tmpl w:val="5BB0F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2AE72DE5"/>
    <w:multiLevelType w:val="hybridMultilevel"/>
    <w:tmpl w:val="A6B4C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EA81839"/>
    <w:multiLevelType w:val="multilevel"/>
    <w:tmpl w:val="316A09AA"/>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03358C2"/>
    <w:multiLevelType w:val="hybridMultilevel"/>
    <w:tmpl w:val="815E68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35984728"/>
    <w:multiLevelType w:val="hybridMultilevel"/>
    <w:tmpl w:val="F9B65E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60B7194"/>
    <w:multiLevelType w:val="hybridMultilevel"/>
    <w:tmpl w:val="3ACE58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364F2507"/>
    <w:multiLevelType w:val="hybridMultilevel"/>
    <w:tmpl w:val="915AB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9274654"/>
    <w:multiLevelType w:val="hybridMultilevel"/>
    <w:tmpl w:val="AC84D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F2D523B"/>
    <w:multiLevelType w:val="hybridMultilevel"/>
    <w:tmpl w:val="CC487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2F86864"/>
    <w:multiLevelType w:val="multilevel"/>
    <w:tmpl w:val="23D2A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4A1275D"/>
    <w:multiLevelType w:val="hybridMultilevel"/>
    <w:tmpl w:val="86529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4F523A6"/>
    <w:multiLevelType w:val="hybridMultilevel"/>
    <w:tmpl w:val="97AAF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5C43CA9"/>
    <w:multiLevelType w:val="hybridMultilevel"/>
    <w:tmpl w:val="9A10BE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46A14EF7"/>
    <w:multiLevelType w:val="hybridMultilevel"/>
    <w:tmpl w:val="2F82D9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48F643A2"/>
    <w:multiLevelType w:val="multilevel"/>
    <w:tmpl w:val="A274A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B025ED8"/>
    <w:multiLevelType w:val="hybridMultilevel"/>
    <w:tmpl w:val="C3BA3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4BAC4CD2"/>
    <w:multiLevelType w:val="multilevel"/>
    <w:tmpl w:val="AE8A7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BED0B10"/>
    <w:multiLevelType w:val="hybridMultilevel"/>
    <w:tmpl w:val="19088B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4E166A51"/>
    <w:multiLevelType w:val="multilevel"/>
    <w:tmpl w:val="0C54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00751B5"/>
    <w:multiLevelType w:val="hybridMultilevel"/>
    <w:tmpl w:val="C78CF9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51BB48BC"/>
    <w:multiLevelType w:val="hybridMultilevel"/>
    <w:tmpl w:val="0B923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2C22A6D"/>
    <w:multiLevelType w:val="hybridMultilevel"/>
    <w:tmpl w:val="C2106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53397CA4"/>
    <w:multiLevelType w:val="hybridMultilevel"/>
    <w:tmpl w:val="EA321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585469D3"/>
    <w:multiLevelType w:val="hybridMultilevel"/>
    <w:tmpl w:val="FEE67B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5A4C52C3"/>
    <w:multiLevelType w:val="multilevel"/>
    <w:tmpl w:val="7E8AD6C4"/>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B9709C1"/>
    <w:multiLevelType w:val="hybridMultilevel"/>
    <w:tmpl w:val="8FAAF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5C394DD3"/>
    <w:multiLevelType w:val="hybridMultilevel"/>
    <w:tmpl w:val="F2148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CAF5C86"/>
    <w:multiLevelType w:val="multilevel"/>
    <w:tmpl w:val="9050C70E"/>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D391480"/>
    <w:multiLevelType w:val="hybridMultilevel"/>
    <w:tmpl w:val="72B4CF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602532B2"/>
    <w:multiLevelType w:val="hybridMultilevel"/>
    <w:tmpl w:val="081A24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E1E49DD"/>
    <w:multiLevelType w:val="hybridMultilevel"/>
    <w:tmpl w:val="C2C6A3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6E643907"/>
    <w:multiLevelType w:val="multilevel"/>
    <w:tmpl w:val="F3AA5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E753E33"/>
    <w:multiLevelType w:val="hybridMultilevel"/>
    <w:tmpl w:val="D07EEA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0E5406F"/>
    <w:multiLevelType w:val="hybridMultilevel"/>
    <w:tmpl w:val="4F365F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27841BF"/>
    <w:multiLevelType w:val="hybridMultilevel"/>
    <w:tmpl w:val="19B47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489048D"/>
    <w:multiLevelType w:val="hybridMultilevel"/>
    <w:tmpl w:val="78AAA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78EE05E1"/>
    <w:multiLevelType w:val="hybridMultilevel"/>
    <w:tmpl w:val="506A5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D434D2F"/>
    <w:multiLevelType w:val="hybridMultilevel"/>
    <w:tmpl w:val="8392EB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7DB302D7"/>
    <w:multiLevelType w:val="multilevel"/>
    <w:tmpl w:val="43BE2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DC1340A"/>
    <w:multiLevelType w:val="hybridMultilevel"/>
    <w:tmpl w:val="2D38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20"/>
  </w:num>
  <w:num w:numId="3">
    <w:abstractNumId w:val="38"/>
  </w:num>
  <w:num w:numId="4">
    <w:abstractNumId w:val="19"/>
  </w:num>
  <w:num w:numId="5">
    <w:abstractNumId w:val="8"/>
  </w:num>
  <w:num w:numId="6">
    <w:abstractNumId w:val="1"/>
  </w:num>
  <w:num w:numId="7">
    <w:abstractNumId w:val="56"/>
  </w:num>
  <w:num w:numId="8">
    <w:abstractNumId w:val="29"/>
  </w:num>
  <w:num w:numId="9">
    <w:abstractNumId w:val="62"/>
  </w:num>
  <w:num w:numId="10">
    <w:abstractNumId w:val="54"/>
  </w:num>
  <w:num w:numId="11">
    <w:abstractNumId w:val="9"/>
  </w:num>
  <w:num w:numId="12">
    <w:abstractNumId w:val="52"/>
  </w:num>
  <w:num w:numId="13">
    <w:abstractNumId w:val="48"/>
  </w:num>
  <w:num w:numId="14">
    <w:abstractNumId w:val="15"/>
  </w:num>
  <w:num w:numId="15">
    <w:abstractNumId w:val="64"/>
  </w:num>
  <w:num w:numId="16">
    <w:abstractNumId w:val="11"/>
  </w:num>
  <w:num w:numId="17">
    <w:abstractNumId w:val="53"/>
  </w:num>
  <w:num w:numId="18">
    <w:abstractNumId w:val="59"/>
  </w:num>
  <w:num w:numId="19">
    <w:abstractNumId w:val="33"/>
  </w:num>
  <w:num w:numId="20">
    <w:abstractNumId w:val="37"/>
  </w:num>
  <w:num w:numId="21">
    <w:abstractNumId w:val="0"/>
  </w:num>
  <w:num w:numId="22">
    <w:abstractNumId w:val="22"/>
  </w:num>
  <w:num w:numId="23">
    <w:abstractNumId w:val="61"/>
  </w:num>
  <w:num w:numId="24">
    <w:abstractNumId w:val="49"/>
  </w:num>
  <w:num w:numId="25">
    <w:abstractNumId w:val="30"/>
  </w:num>
  <w:num w:numId="26">
    <w:abstractNumId w:val="3"/>
  </w:num>
  <w:num w:numId="27">
    <w:abstractNumId w:val="24"/>
  </w:num>
  <w:num w:numId="28">
    <w:abstractNumId w:val="41"/>
  </w:num>
  <w:num w:numId="29">
    <w:abstractNumId w:val="58"/>
  </w:num>
  <w:num w:numId="30">
    <w:abstractNumId w:val="44"/>
  </w:num>
  <w:num w:numId="31">
    <w:abstractNumId w:val="26"/>
  </w:num>
  <w:num w:numId="32">
    <w:abstractNumId w:val="5"/>
  </w:num>
  <w:num w:numId="33">
    <w:abstractNumId w:val="32"/>
  </w:num>
  <w:num w:numId="34">
    <w:abstractNumId w:val="27"/>
  </w:num>
  <w:num w:numId="35">
    <w:abstractNumId w:val="40"/>
  </w:num>
  <w:num w:numId="36">
    <w:abstractNumId w:val="51"/>
  </w:num>
  <w:num w:numId="37">
    <w:abstractNumId w:val="39"/>
  </w:num>
  <w:num w:numId="38">
    <w:abstractNumId w:val="42"/>
  </w:num>
  <w:num w:numId="39">
    <w:abstractNumId w:val="47"/>
  </w:num>
  <w:num w:numId="40">
    <w:abstractNumId w:val="7"/>
  </w:num>
  <w:num w:numId="41">
    <w:abstractNumId w:val="28"/>
  </w:num>
  <w:num w:numId="42">
    <w:abstractNumId w:val="36"/>
  </w:num>
  <w:num w:numId="43">
    <w:abstractNumId w:val="18"/>
  </w:num>
  <w:num w:numId="44">
    <w:abstractNumId w:val="63"/>
  </w:num>
  <w:num w:numId="45">
    <w:abstractNumId w:val="14"/>
  </w:num>
  <w:num w:numId="46">
    <w:abstractNumId w:val="31"/>
  </w:num>
  <w:num w:numId="47">
    <w:abstractNumId w:val="13"/>
  </w:num>
  <w:num w:numId="48">
    <w:abstractNumId w:val="16"/>
  </w:num>
  <w:num w:numId="49">
    <w:abstractNumId w:val="43"/>
  </w:num>
  <w:num w:numId="50">
    <w:abstractNumId w:val="35"/>
  </w:num>
  <w:num w:numId="51">
    <w:abstractNumId w:val="4"/>
  </w:num>
  <w:num w:numId="52">
    <w:abstractNumId w:val="2"/>
  </w:num>
  <w:num w:numId="53">
    <w:abstractNumId w:val="12"/>
  </w:num>
  <w:num w:numId="54">
    <w:abstractNumId w:val="23"/>
  </w:num>
  <w:num w:numId="55">
    <w:abstractNumId w:val="46"/>
  </w:num>
  <w:num w:numId="56">
    <w:abstractNumId w:val="60"/>
  </w:num>
  <w:num w:numId="57">
    <w:abstractNumId w:val="25"/>
  </w:num>
  <w:num w:numId="58">
    <w:abstractNumId w:val="50"/>
  </w:num>
  <w:num w:numId="59">
    <w:abstractNumId w:val="45"/>
  </w:num>
  <w:num w:numId="60">
    <w:abstractNumId w:val="10"/>
  </w:num>
  <w:num w:numId="61">
    <w:abstractNumId w:val="55"/>
  </w:num>
  <w:num w:numId="62">
    <w:abstractNumId w:val="6"/>
  </w:num>
  <w:num w:numId="63">
    <w:abstractNumId w:val="57"/>
  </w:num>
  <w:num w:numId="64">
    <w:abstractNumId w:val="21"/>
  </w:num>
  <w:num w:numId="65">
    <w:abstractNumId w:val="1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BC2"/>
    <w:rsid w:val="00151278"/>
    <w:rsid w:val="001A015B"/>
    <w:rsid w:val="00224AC9"/>
    <w:rsid w:val="0026028C"/>
    <w:rsid w:val="00271C32"/>
    <w:rsid w:val="00281976"/>
    <w:rsid w:val="002C5540"/>
    <w:rsid w:val="002D4237"/>
    <w:rsid w:val="00342BAE"/>
    <w:rsid w:val="003B17DD"/>
    <w:rsid w:val="003E27F6"/>
    <w:rsid w:val="004747B9"/>
    <w:rsid w:val="00476446"/>
    <w:rsid w:val="004C19B5"/>
    <w:rsid w:val="00552958"/>
    <w:rsid w:val="005A128C"/>
    <w:rsid w:val="005E0299"/>
    <w:rsid w:val="006325A4"/>
    <w:rsid w:val="007263DD"/>
    <w:rsid w:val="0081732E"/>
    <w:rsid w:val="008228ED"/>
    <w:rsid w:val="00825E69"/>
    <w:rsid w:val="008F1203"/>
    <w:rsid w:val="00917A36"/>
    <w:rsid w:val="00950A15"/>
    <w:rsid w:val="00964D0F"/>
    <w:rsid w:val="00996302"/>
    <w:rsid w:val="009E1462"/>
    <w:rsid w:val="00A11253"/>
    <w:rsid w:val="00A52376"/>
    <w:rsid w:val="00AE0BC2"/>
    <w:rsid w:val="00AF1BE5"/>
    <w:rsid w:val="00B16B87"/>
    <w:rsid w:val="00B634C1"/>
    <w:rsid w:val="00B75B7F"/>
    <w:rsid w:val="00BF5484"/>
    <w:rsid w:val="00CA6041"/>
    <w:rsid w:val="00D0478B"/>
    <w:rsid w:val="00D55525"/>
    <w:rsid w:val="00D852F1"/>
    <w:rsid w:val="00E160CC"/>
    <w:rsid w:val="00E47795"/>
    <w:rsid w:val="00E54055"/>
    <w:rsid w:val="00E82AF7"/>
    <w:rsid w:val="00EE5E73"/>
    <w:rsid w:val="00F21AA2"/>
    <w:rsid w:val="00F81E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D6468CF"/>
  <w15:chartTrackingRefBased/>
  <w15:docId w15:val="{01387553-3C93-45F1-BF1F-A28AD092F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AA2"/>
  </w:style>
  <w:style w:type="paragraph" w:styleId="Heading2">
    <w:name w:val="heading 2"/>
    <w:basedOn w:val="Normal"/>
    <w:link w:val="Heading2Char"/>
    <w:uiPriority w:val="9"/>
    <w:qFormat/>
    <w:rsid w:val="00AE0BC2"/>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0BC2"/>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AE0BC2"/>
    <w:rPr>
      <w:color w:val="0000FF"/>
      <w:u w:val="single"/>
    </w:rPr>
  </w:style>
  <w:style w:type="paragraph" w:styleId="NormalWeb">
    <w:name w:val="Normal (Web)"/>
    <w:basedOn w:val="Normal"/>
    <w:uiPriority w:val="99"/>
    <w:semiHidden/>
    <w:unhideWhenUsed/>
    <w:rsid w:val="00AE0BC2"/>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AE0BC2"/>
    <w:rPr>
      <w:i/>
      <w:iCs/>
    </w:rPr>
  </w:style>
  <w:style w:type="character" w:styleId="Strong">
    <w:name w:val="Strong"/>
    <w:basedOn w:val="DefaultParagraphFont"/>
    <w:uiPriority w:val="22"/>
    <w:qFormat/>
    <w:rsid w:val="00AE0BC2"/>
    <w:rPr>
      <w:b/>
      <w:bCs/>
    </w:rPr>
  </w:style>
  <w:style w:type="paragraph" w:styleId="BalloonText">
    <w:name w:val="Balloon Text"/>
    <w:basedOn w:val="Normal"/>
    <w:link w:val="BalloonTextChar"/>
    <w:uiPriority w:val="99"/>
    <w:semiHidden/>
    <w:unhideWhenUsed/>
    <w:rsid w:val="00AE0B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0BC2"/>
    <w:rPr>
      <w:rFonts w:ascii="Segoe UI" w:hAnsi="Segoe UI" w:cs="Segoe UI"/>
      <w:sz w:val="18"/>
      <w:szCs w:val="18"/>
    </w:rPr>
  </w:style>
  <w:style w:type="paragraph" w:styleId="Header">
    <w:name w:val="header"/>
    <w:basedOn w:val="Normal"/>
    <w:link w:val="HeaderChar"/>
    <w:uiPriority w:val="99"/>
    <w:unhideWhenUsed/>
    <w:rsid w:val="003B17DD"/>
    <w:pPr>
      <w:tabs>
        <w:tab w:val="center" w:pos="4680"/>
        <w:tab w:val="right" w:pos="9360"/>
      </w:tabs>
    </w:pPr>
  </w:style>
  <w:style w:type="character" w:customStyle="1" w:styleId="HeaderChar">
    <w:name w:val="Header Char"/>
    <w:basedOn w:val="DefaultParagraphFont"/>
    <w:link w:val="Header"/>
    <w:uiPriority w:val="99"/>
    <w:rsid w:val="003B17DD"/>
  </w:style>
  <w:style w:type="paragraph" w:styleId="Footer">
    <w:name w:val="footer"/>
    <w:basedOn w:val="Normal"/>
    <w:link w:val="FooterChar"/>
    <w:uiPriority w:val="99"/>
    <w:unhideWhenUsed/>
    <w:rsid w:val="003B17DD"/>
    <w:pPr>
      <w:tabs>
        <w:tab w:val="center" w:pos="4680"/>
        <w:tab w:val="right" w:pos="9360"/>
      </w:tabs>
    </w:pPr>
  </w:style>
  <w:style w:type="character" w:customStyle="1" w:styleId="FooterChar">
    <w:name w:val="Footer Char"/>
    <w:basedOn w:val="DefaultParagraphFont"/>
    <w:link w:val="Footer"/>
    <w:uiPriority w:val="99"/>
    <w:rsid w:val="003B17DD"/>
  </w:style>
  <w:style w:type="paragraph" w:styleId="ListParagraph">
    <w:name w:val="List Paragraph"/>
    <w:basedOn w:val="Normal"/>
    <w:uiPriority w:val="34"/>
    <w:qFormat/>
    <w:rsid w:val="00271C32"/>
    <w:pPr>
      <w:ind w:left="720"/>
      <w:contextualSpacing/>
    </w:pPr>
  </w:style>
  <w:style w:type="paragraph" w:customStyle="1" w:styleId="Default">
    <w:name w:val="Default"/>
    <w:rsid w:val="00E47795"/>
    <w:pPr>
      <w:autoSpaceDE w:val="0"/>
      <w:autoSpaceDN w:val="0"/>
      <w:adjustRightInd w:val="0"/>
    </w:pPr>
    <w:rPr>
      <w:rFonts w:ascii="Garamond" w:hAnsi="Garamond" w:cs="Garamond"/>
      <w:color w:val="000000"/>
      <w:sz w:val="24"/>
      <w:szCs w:val="24"/>
    </w:rPr>
  </w:style>
  <w:style w:type="table" w:styleId="TableGrid">
    <w:name w:val="Table Grid"/>
    <w:basedOn w:val="TableNormal"/>
    <w:uiPriority w:val="59"/>
    <w:rsid w:val="00E47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16B87"/>
    <w:rPr>
      <w:color w:val="605E5C"/>
      <w:shd w:val="clear" w:color="auto" w:fill="E1DFDD"/>
    </w:rPr>
  </w:style>
  <w:style w:type="character" w:styleId="FollowedHyperlink">
    <w:name w:val="FollowedHyperlink"/>
    <w:basedOn w:val="DefaultParagraphFont"/>
    <w:uiPriority w:val="99"/>
    <w:semiHidden/>
    <w:unhideWhenUsed/>
    <w:rsid w:val="006325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205838">
      <w:bodyDiv w:val="1"/>
      <w:marLeft w:val="0"/>
      <w:marRight w:val="0"/>
      <w:marTop w:val="0"/>
      <w:marBottom w:val="0"/>
      <w:divBdr>
        <w:top w:val="none" w:sz="0" w:space="0" w:color="auto"/>
        <w:left w:val="none" w:sz="0" w:space="0" w:color="auto"/>
        <w:bottom w:val="none" w:sz="0" w:space="0" w:color="auto"/>
        <w:right w:val="none" w:sz="0" w:space="0" w:color="auto"/>
      </w:divBdr>
      <w:divsChild>
        <w:div w:id="304356976">
          <w:marLeft w:val="180"/>
          <w:marRight w:val="0"/>
          <w:marTop w:val="0"/>
          <w:marBottom w:val="0"/>
          <w:divBdr>
            <w:top w:val="dotted" w:sz="2" w:space="0" w:color="CCCCCC"/>
            <w:left w:val="dotted" w:sz="2" w:space="0" w:color="CCCCCC"/>
            <w:bottom w:val="dotted" w:sz="2" w:space="0" w:color="CCCCCC"/>
            <w:right w:val="dotted" w:sz="2" w:space="0" w:color="CCCCCC"/>
          </w:divBdr>
        </w:div>
        <w:div w:id="1103501737">
          <w:marLeft w:val="0"/>
          <w:marRight w:val="270"/>
          <w:marTop w:val="0"/>
          <w:marBottom w:val="0"/>
          <w:divBdr>
            <w:top w:val="none" w:sz="0" w:space="0" w:color="auto"/>
            <w:left w:val="none" w:sz="0" w:space="0" w:color="auto"/>
            <w:bottom w:val="none" w:sz="0" w:space="0" w:color="auto"/>
            <w:right w:val="none" w:sz="0" w:space="0" w:color="auto"/>
          </w:divBdr>
          <w:divsChild>
            <w:div w:id="124302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cms.gov/Emergency/Downloads/Consolidated_Medicare_FFS_Emergency_QsAs.pdf" TargetMode="External"/><Relationship Id="rId299" Type="http://schemas.openxmlformats.org/officeDocument/2006/relationships/hyperlink" Target="http://www.phe.gov/Preparedness/legal/Pages/phe-qa.aspx" TargetMode="External"/><Relationship Id="rId303" Type="http://schemas.openxmlformats.org/officeDocument/2006/relationships/hyperlink" Target="http://www.cms.gov/H1N1/Downloads/RequestingAWaiver101.pdf" TargetMode="External"/><Relationship Id="rId21" Type="http://schemas.openxmlformats.org/officeDocument/2006/relationships/hyperlink" Target="http://www.emacweb.org/" TargetMode="External"/><Relationship Id="rId42" Type="http://schemas.openxmlformats.org/officeDocument/2006/relationships/hyperlink" Target="http://www.astho.org/Programs/Preparedness/Public-Health-Emergency-Law/Emergency-Authority-and-Immunity-Toolkit/Emergency-Authority-and-Immunity-Toolkit-Supplemental-Materials/" TargetMode="External"/><Relationship Id="rId63" Type="http://schemas.openxmlformats.org/officeDocument/2006/relationships/hyperlink" Target="http://www.law.umaryland.edu/marshall/crsreports/crsdocuments/98505_08302007.pdf" TargetMode="External"/><Relationship Id="rId84" Type="http://schemas.openxmlformats.org/officeDocument/2006/relationships/hyperlink" Target="http://www.astho.org/Programs/Preparedness/Public-Health-Emergency-Law/Emergency-Authority-and-Immunity-Toolkit/Emergency-Authority-and-Immunity-Toolkit-Supplemental-Materials/" TargetMode="External"/><Relationship Id="rId138" Type="http://schemas.openxmlformats.org/officeDocument/2006/relationships/hyperlink" Target="http://www.probonopartner.org/FileLib/Documents/nonprofitriskmgmtstateliability.pdf" TargetMode="External"/><Relationship Id="rId159" Type="http://schemas.openxmlformats.org/officeDocument/2006/relationships/hyperlink" Target="http://www.astho.org/Programs/Preparedness/Public-Health-Emergency-Law/Emergency-Authority-and-Immunity-Toolkit/Emergency-Authority-and-Immunity-Toolkit-Supplemental-Materials/" TargetMode="External"/><Relationship Id="rId324" Type="http://schemas.openxmlformats.org/officeDocument/2006/relationships/fontTable" Target="fontTable.xml"/><Relationship Id="rId170" Type="http://schemas.openxmlformats.org/officeDocument/2006/relationships/hyperlink" Target="http://www.astho.org/Programs/Preparedness/Public-Health-Emergency-Law/Emergency-Authority-and-Immunity-Toolkit/Emergency-Authority-and-Immunity-Toolkit-Supplemental-Materials/" TargetMode="External"/><Relationship Id="rId191" Type="http://schemas.openxmlformats.org/officeDocument/2006/relationships/hyperlink" Target="http://www.astho.org/Programs/Preparedness/Public-Health-Emergency-Law/Emergency-Authority-and-Immunity-Toolkit/Emergency-Authority-and-Immunity-Toolkit-Supplemental-Materials/" TargetMode="External"/><Relationship Id="rId205" Type="http://schemas.openxmlformats.org/officeDocument/2006/relationships/hyperlink" Target="http://www.phe.gov/about/barda/Pages/default.aspx" TargetMode="External"/><Relationship Id="rId226" Type="http://schemas.openxmlformats.org/officeDocument/2006/relationships/hyperlink" Target="https://www.networkforphl.org/_asset/5ywvc8/Western-Region---VHP-Liability-Webinar-12-2.pdf" TargetMode="External"/><Relationship Id="rId247" Type="http://schemas.openxmlformats.org/officeDocument/2006/relationships/hyperlink" Target="http://www.medicalreservecorps.gov/HomePage" TargetMode="External"/><Relationship Id="rId107" Type="http://schemas.openxmlformats.org/officeDocument/2006/relationships/hyperlink" Target="http://www.phe.gov/Preparedness/planning/authority/Pages/default.aspx" TargetMode="External"/><Relationship Id="rId268" Type="http://schemas.openxmlformats.org/officeDocument/2006/relationships/hyperlink" Target="http://www.fema.gov/national-planning-frameworks" TargetMode="External"/><Relationship Id="rId289" Type="http://schemas.openxmlformats.org/officeDocument/2006/relationships/hyperlink" Target="http://fas.org/irp/offdocs/nspd/hspd-21.htm" TargetMode="External"/><Relationship Id="rId11" Type="http://schemas.openxmlformats.org/officeDocument/2006/relationships/hyperlink" Target="http://www.astho.org/Programs/Preparedness/Public-Health-Emergency-Law/Emergency-Authority-and-Immunity-Toolkit/Emergency-Authority-and-Immunity-Toolkit-Supplemental-Materials/" TargetMode="External"/><Relationship Id="rId32" Type="http://schemas.openxmlformats.org/officeDocument/2006/relationships/hyperlink" Target="http://www.astho.org/Programs/Preparedness/Public-Health-Emergency-Law/Emergency-Authority-and-Immunity-Toolkit/Emergency-Authority-and-Immunity-Toolkit-Supplemental-Materials/" TargetMode="External"/><Relationship Id="rId53" Type="http://schemas.openxmlformats.org/officeDocument/2006/relationships/hyperlink" Target="http://www.astho.org/Programs/Preparedness/Public-Health-Emergency-Law/Emergency-Authority-and-Immunity-Toolkit/Emergency-Authority-and-Immunity-Toolkit-Supplemental-Materials/" TargetMode="External"/><Relationship Id="rId74" Type="http://schemas.openxmlformats.org/officeDocument/2006/relationships/hyperlink" Target="http://www.astho.org/Programs/Preparedness/Public-Health-Emergency-Law/Emergency-Authority-and-Immunity-Toolkit/Emergency-Authority-and-Immunity-Toolkit-Supplemental-Materials/" TargetMode="External"/><Relationship Id="rId128" Type="http://schemas.openxmlformats.org/officeDocument/2006/relationships/hyperlink" Target="https://opencrs.com/document/R40176/" TargetMode="External"/><Relationship Id="rId149" Type="http://schemas.openxmlformats.org/officeDocument/2006/relationships/hyperlink" Target="http://www.networkforphl.org/network_resources/archived_external_resources/new_presidential_policy_directive_on_national_preparedness/" TargetMode="External"/><Relationship Id="rId314" Type="http://schemas.openxmlformats.org/officeDocument/2006/relationships/hyperlink" Target="http://www.fas.org/sgp/crs/misc/R40176.pdf" TargetMode="External"/><Relationship Id="rId5" Type="http://schemas.openxmlformats.org/officeDocument/2006/relationships/footnotes" Target="footnotes.xml"/><Relationship Id="rId95" Type="http://schemas.openxmlformats.org/officeDocument/2006/relationships/hyperlink" Target="http://www.phe.gov/Preparedness/legal/prepact/Pages/default.aspx" TargetMode="External"/><Relationship Id="rId160" Type="http://schemas.openxmlformats.org/officeDocument/2006/relationships/hyperlink" Target="http://www.astho.org/Programs/Preparedness/Public-Health-Emergency-Law/Emergency-Authority-and-Immunity-Toolkit/Emergency-Authority-and-Immunity-Toolkit-Supplemental-Materials/" TargetMode="External"/><Relationship Id="rId181" Type="http://schemas.openxmlformats.org/officeDocument/2006/relationships/hyperlink" Target="http://www.astho.org/Programs/Preparedness/Public-Health-Emergency-Law/Emergency-Authority-and-Immunity-Toolkit/Emergency-Authority-and-Immunity-Toolkit-Supplemental-Materials/" TargetMode="External"/><Relationship Id="rId216" Type="http://schemas.openxmlformats.org/officeDocument/2006/relationships/hyperlink" Target="http://www.emacweb.org/" TargetMode="External"/><Relationship Id="rId237" Type="http://schemas.openxmlformats.org/officeDocument/2006/relationships/hyperlink" Target="http://uniformlaws.org/Act.aspx?title=Emergency%20Volunteer%20Health%20Practitioners" TargetMode="External"/><Relationship Id="rId258" Type="http://schemas.openxmlformats.org/officeDocument/2006/relationships/hyperlink" Target="http://www.phe.gov/Preparedness/planning/authority/nhss/strategy/Documents/nhss-final.pdf" TargetMode="External"/><Relationship Id="rId279" Type="http://schemas.openxmlformats.org/officeDocument/2006/relationships/hyperlink" Target="http://www.phe.gov/Preparedness/legal/pahpa/Documents/telehealthrtc-091207.pdf" TargetMode="External"/><Relationship Id="rId22" Type="http://schemas.openxmlformats.org/officeDocument/2006/relationships/hyperlink" Target="http://www.emacweb.org/" TargetMode="External"/><Relationship Id="rId43" Type="http://schemas.openxmlformats.org/officeDocument/2006/relationships/hyperlink" Target="http://www.citizencorps.gov/" TargetMode="External"/><Relationship Id="rId64" Type="http://schemas.openxmlformats.org/officeDocument/2006/relationships/hyperlink" Target="http://www.law.umaryland.edu/marshall/crsreports/crsdocuments/R40560B_05212009.pdf" TargetMode="External"/><Relationship Id="rId118" Type="http://schemas.openxmlformats.org/officeDocument/2006/relationships/hyperlink" Target="http://www.astho.org/Programs/Preparedness/Public-Health-Emergency-Law/Emergency-Authority-and-Immunity-Toolkit/Emergency-Authority-and-Immunity-Toolkit-Supplemental-Materials/" TargetMode="External"/><Relationship Id="rId139" Type="http://schemas.openxmlformats.org/officeDocument/2006/relationships/hyperlink" Target="https://www.riskinstitute.org/peri/images/file/Reiss-VolunteerLiability-CAJPA08.ppt" TargetMode="External"/><Relationship Id="rId290" Type="http://schemas.openxmlformats.org/officeDocument/2006/relationships/hyperlink" Target="http://www.astho.org/Programs/Preparedness/Public-Health-Emergency-Law/Emergency-Authority-and-Immunity-Toolkit/Emergency-Authority-and-Immunity-Toolkit-Supplemental-Materials/" TargetMode="External"/><Relationship Id="rId304" Type="http://schemas.openxmlformats.org/officeDocument/2006/relationships/hyperlink" Target="http://www.gpo.gov/fdsys/pkg/USCODE-2009-title42/html/USCODE-2009-title42-chap68.htm" TargetMode="External"/><Relationship Id="rId325" Type="http://schemas.openxmlformats.org/officeDocument/2006/relationships/theme" Target="theme/theme1.xml"/><Relationship Id="rId85" Type="http://schemas.openxmlformats.org/officeDocument/2006/relationships/hyperlink" Target="https://www.cdc.gov/phlp/docs/ph-emergencies.pdf" TargetMode="External"/><Relationship Id="rId150" Type="http://schemas.openxmlformats.org/officeDocument/2006/relationships/hyperlink" Target="http://www.astho.org/Programs/Preparedness/Public-Health-Emergency-Law/Emergency-Authority-and-Immunity-Toolkit/Federal-Emergency-Preparedness-Directives-and-Systems-Fact-Sheet/" TargetMode="External"/><Relationship Id="rId171" Type="http://schemas.openxmlformats.org/officeDocument/2006/relationships/hyperlink" Target="http://www.astho.org/Programs/Preparedness/Public-Health-Emergency-Law/Emergency-Authority-and-Immunity-Toolkit/Emergency-Authority-and-Immunity-Toolkit-Supplemental-Materials/" TargetMode="External"/><Relationship Id="rId192" Type="http://schemas.openxmlformats.org/officeDocument/2006/relationships/hyperlink" Target="http://www.astho.org/Programs/Preparedness/Public-Health-Emergency-Law/Emergency-Authority-and-Immunity-Toolkit/Emergency-Authority-and-Immunity-Toolkit-Supplemental-Materials/" TargetMode="External"/><Relationship Id="rId206" Type="http://schemas.openxmlformats.org/officeDocument/2006/relationships/hyperlink" Target="http://www.medicalcountermeasures.gov/default.aspx" TargetMode="External"/><Relationship Id="rId227" Type="http://schemas.openxmlformats.org/officeDocument/2006/relationships/hyperlink" Target="http://www.astho.org/WorkArea/linkit.aspx?LinkIdentifier=id&amp;ItemID=7097" TargetMode="External"/><Relationship Id="rId248" Type="http://schemas.openxmlformats.org/officeDocument/2006/relationships/hyperlink" Target="http://www.astho.org/Programs/Preparedness/Public-Health-Emergency-Law/Emergency-Authority-and-Immunity-Toolkit/Emergency-Authority-and-Immunity-Toolkit-Supplemental-Materials/" TargetMode="External"/><Relationship Id="rId269" Type="http://schemas.openxmlformats.org/officeDocument/2006/relationships/hyperlink" Target="https://www.fas.org/sgp/crs/misc/RL33579.pdf" TargetMode="External"/><Relationship Id="rId12" Type="http://schemas.openxmlformats.org/officeDocument/2006/relationships/hyperlink" Target="http://www.astho.org/Programs/Preparedness/Public-Health-Emergency-Law/Emergency-Authority-and-Immunity-Toolkit/Emergency-Authority-and-Immunity-Toolkit-Supplemental-Materials/" TargetMode="External"/><Relationship Id="rId33" Type="http://schemas.openxmlformats.org/officeDocument/2006/relationships/hyperlink" Target="http://www.astho.org/Programs/Preparedness/Public-Health-Emergency-Law/Emergency-Authority-and-Immunity-Toolkit/Emergency-Authority-and-Immunity-Toolkit-Supplemental-Materials/" TargetMode="External"/><Relationship Id="rId108" Type="http://schemas.openxmlformats.org/officeDocument/2006/relationships/hyperlink" Target="http://www.fema.gov/index.shtm" TargetMode="External"/><Relationship Id="rId129" Type="http://schemas.openxmlformats.org/officeDocument/2006/relationships/hyperlink" Target="https://opencrs.com/document/R40560/" TargetMode="External"/><Relationship Id="rId280" Type="http://schemas.openxmlformats.org/officeDocument/2006/relationships/hyperlink" Target="http://www.flu.gov/professional/federal/pandemic-influenza.pdf" TargetMode="External"/><Relationship Id="rId315" Type="http://schemas.openxmlformats.org/officeDocument/2006/relationships/hyperlink" Target="http://www.citizencorps.gov/councils/volunteer_mgmt.shtm" TargetMode="External"/><Relationship Id="rId54" Type="http://schemas.openxmlformats.org/officeDocument/2006/relationships/hyperlink" Target="http://www.fema.gov/government/grant/pa/9523_6.shtm" TargetMode="External"/><Relationship Id="rId75" Type="http://schemas.openxmlformats.org/officeDocument/2006/relationships/hyperlink" Target="http://www.astho.org/Programs/Preparedness/Public-Health-Emergency-Law/Emergency-Authority-and-Immunity-Toolkit/Emergency-Authority-and-Immunity-Toolkit-Supplemental-Materials/" TargetMode="External"/><Relationship Id="rId96" Type="http://schemas.openxmlformats.org/officeDocument/2006/relationships/hyperlink" Target="http://www.astho.org/Programs/Preparedness/Public-Health-Emergency-Law/Emergency-Authority-and-Immunity-Toolkit/Emergency-Authority-and-Immunity-Toolkit-Supplemental-Materials/" TargetMode="External"/><Relationship Id="rId140" Type="http://schemas.openxmlformats.org/officeDocument/2006/relationships/hyperlink" Target="http://nciph.sph.unc.edu/law/good_sam.htm" TargetMode="External"/><Relationship Id="rId161" Type="http://schemas.openxmlformats.org/officeDocument/2006/relationships/hyperlink" Target="http://www.astho.org/Programs/Preparedness/Public-Health-Emergency-Law/Emergency-Authority-and-Immunity-Toolkit/Emergency-Authority-and-Immunity-Toolkit-Supplemental-Materials/" TargetMode="External"/><Relationship Id="rId182" Type="http://schemas.openxmlformats.org/officeDocument/2006/relationships/hyperlink" Target="http://www.astho.org/Programs/Preparedness/Public-Health-Emergency-Law/Emergency-Authority-and-Immunity-Toolkit/Emergency-Authority-and-Immunity-Toolkit-Supplemental-Materials/" TargetMode="External"/><Relationship Id="rId217" Type="http://schemas.openxmlformats.org/officeDocument/2006/relationships/hyperlink" Target="http://www.cdc.gov/phlp/publications/topic/mutual_aid.html" TargetMode="External"/><Relationship Id="rId6" Type="http://schemas.openxmlformats.org/officeDocument/2006/relationships/endnotes" Target="endnotes.xml"/><Relationship Id="rId238" Type="http://schemas.openxmlformats.org/officeDocument/2006/relationships/hyperlink" Target="http://www.gpo.gov/fdsys/pkg/USCODE-2009-title20/pdf/USCODE-2009-title20-chap31-subchapIII-part4-sec1232g.pdf" TargetMode="External"/><Relationship Id="rId259" Type="http://schemas.openxmlformats.org/officeDocument/2006/relationships/hyperlink" Target="http://www.phe.gov/Preparedness/planning/authority/nhss/Pages/default.aspx" TargetMode="External"/><Relationship Id="rId23" Type="http://schemas.openxmlformats.org/officeDocument/2006/relationships/hyperlink" Target="http://www2.cdc.gov/phlp/mutualaid/MutualResources.asp" TargetMode="External"/><Relationship Id="rId119" Type="http://schemas.openxmlformats.org/officeDocument/2006/relationships/hyperlink" Target="http://www.astho.org/Programs/Preparedness/Public-Health-Emergency-Law/Emergency-Authority-and-Immunity-Toolkit/Emergency-Authority-and-Immunity-Toolkit-Supplemental-Materials/" TargetMode="External"/><Relationship Id="rId270" Type="http://schemas.openxmlformats.org/officeDocument/2006/relationships/hyperlink" Target="http://www.gpo.gov/fdsys/pkg/PLAW-109publ417/pdf/PLAW-109publ417.pdf" TargetMode="External"/><Relationship Id="rId291" Type="http://schemas.openxmlformats.org/officeDocument/2006/relationships/hyperlink" Target="http://www.gpo.gov/fdsys/pkg/USCODE-2009-title42/html/USCODE-2009-title42-chap6A-subchapII.htm" TargetMode="External"/><Relationship Id="rId305" Type="http://schemas.openxmlformats.org/officeDocument/2006/relationships/hyperlink" Target="http://www.fema.gov/pandemic-influenza/pandemic-influenza-fact-sheet" TargetMode="External"/><Relationship Id="rId44" Type="http://schemas.openxmlformats.org/officeDocument/2006/relationships/hyperlink" Target="http://www.publichelathlaw.net/Projects/ESAR-VHP.php" TargetMode="External"/><Relationship Id="rId65" Type="http://schemas.openxmlformats.org/officeDocument/2006/relationships/hyperlink" Target="http://www.whitehouse.gov/the-press-office/declaration-a-national-emergency-with-respect-2009-h1n1-influenza-pandemic-0" TargetMode="External"/><Relationship Id="rId86" Type="http://schemas.openxmlformats.org/officeDocument/2006/relationships/hyperlink" Target="http://www.phe.gov/Preparedness/legal/Pages/phe-qa.aspx" TargetMode="External"/><Relationship Id="rId130" Type="http://schemas.openxmlformats.org/officeDocument/2006/relationships/hyperlink" Target="http://www.citizencorps.gov/" TargetMode="External"/><Relationship Id="rId151" Type="http://schemas.openxmlformats.org/officeDocument/2006/relationships/hyperlink" Target="http://www.whitehouse.gov/sites/default/files/rss_viewer/national_security_strategy.pdf" TargetMode="External"/><Relationship Id="rId172" Type="http://schemas.openxmlformats.org/officeDocument/2006/relationships/hyperlink" Target="http://www.astho.org/Programs/Preparedness/Public-Health-Emergency-Law/Emergency-Authority-and-Immunity-Toolkit/Emergency-Authority-and-Immunity-Toolkit-Supplemental-Materials/" TargetMode="External"/><Relationship Id="rId193" Type="http://schemas.openxmlformats.org/officeDocument/2006/relationships/hyperlink" Target="http://www2a.cdc.gov/phlp/webinar_04_29_2009.asp" TargetMode="External"/><Relationship Id="rId207" Type="http://schemas.openxmlformats.org/officeDocument/2006/relationships/hyperlink" Target="http://assets.opencrs.com/rpts/R41033_20110303.pdf" TargetMode="External"/><Relationship Id="rId228" Type="http://schemas.openxmlformats.org/officeDocument/2006/relationships/hyperlink" Target="http://www.gpo.gov/fdsys/pkg/BILLS-113hr307enr/pdf/BILLS-113hr307enr.pdf" TargetMode="External"/><Relationship Id="rId249" Type="http://schemas.openxmlformats.org/officeDocument/2006/relationships/hyperlink" Target="http://www.cdc.gov/phlp/publications/topic/mutual_aid.html" TargetMode="External"/><Relationship Id="rId13" Type="http://schemas.openxmlformats.org/officeDocument/2006/relationships/hyperlink" Target="http://www.astho.org/Programs/Preparedness/Public-Health-Emergency-Law/Emergency-Authority-and-Immunity-Toolkit/Emergency-Authority-and-Immunity-Toolkit-Supplemental-Materials/" TargetMode="External"/><Relationship Id="rId109" Type="http://schemas.openxmlformats.org/officeDocument/2006/relationships/hyperlink" Target="http://www.fema.gov/government/grant/pa/eligibility_applicants.shtm" TargetMode="External"/><Relationship Id="rId260" Type="http://schemas.openxmlformats.org/officeDocument/2006/relationships/hyperlink" Target="http://www.hsdl.org/?view&amp;did=479633" TargetMode="External"/><Relationship Id="rId281" Type="http://schemas.openxmlformats.org/officeDocument/2006/relationships/hyperlink" Target="http://www.flu.gov/professional/federal/pandemic-influenza-implementation.pdf" TargetMode="External"/><Relationship Id="rId316" Type="http://schemas.openxmlformats.org/officeDocument/2006/relationships/hyperlink" Target="http://www.publichealthlaw.net/Research/PDF/ESAR%20VHP%20Report.pdf" TargetMode="External"/><Relationship Id="rId34" Type="http://schemas.openxmlformats.org/officeDocument/2006/relationships/hyperlink" Target="http://www.astho.org/Programs/Preparedness/Public-Health-Emergency-Law/Emergency-Authority-and-Immunity-Toolkit/Emergency-Authority-and-Immunity-Toolkit-Supplemental-Materials/" TargetMode="External"/><Relationship Id="rId55" Type="http://schemas.openxmlformats.org/officeDocument/2006/relationships/hyperlink" Target="http://www.emacweb.org/" TargetMode="External"/><Relationship Id="rId76" Type="http://schemas.openxmlformats.org/officeDocument/2006/relationships/hyperlink" Target="http://www.phe.gov/Preparedness/legal/pahpa/Pages/default.aspx" TargetMode="External"/><Relationship Id="rId97" Type="http://schemas.openxmlformats.org/officeDocument/2006/relationships/hyperlink" Target="http://www.astho.org/Programs/Preparedness/Public-Health-Emergency-Law/Emergency-Authority-and-Immunity-Toolkit/Emergency-Authority-and-Immunity-Toolkit-Supplemental-Materials/" TargetMode="External"/><Relationship Id="rId120" Type="http://schemas.openxmlformats.org/officeDocument/2006/relationships/hyperlink" Target="http://www.astho.org/Programs/Preparedness/Public-Health-Emergency-Law/Emergency-Authority-and-Immunity-Toolkit/Emergency-Authority-and-Immunity-Toolkit-Supplemental-Materials/" TargetMode="External"/><Relationship Id="rId141" Type="http://schemas.openxmlformats.org/officeDocument/2006/relationships/hyperlink" Target="http://uniformlaws.org/Act.aspx?title=Emergency%20Volunteer%20Health%20Practitioners" TargetMode="External"/><Relationship Id="rId7" Type="http://schemas.openxmlformats.org/officeDocument/2006/relationships/hyperlink" Target="http://www.astho.org/Programs/Preparedness/Public-Health-Emergency-Law/Emergency-Authority-and-Immunity-Toolkit/Emergency-Authority-and-Immunity-Toolkit-Supplemental-Materials/" TargetMode="External"/><Relationship Id="rId162" Type="http://schemas.openxmlformats.org/officeDocument/2006/relationships/hyperlink" Target="http://www.astho.org/Programs/Preparedness/Public-Health-Emergency-Law/Emergency-Authority-and-Immunity-Toolkit/Emergency-Authority-and-Immunity-Toolkit-Supplemental-Materials/" TargetMode="External"/><Relationship Id="rId183" Type="http://schemas.openxmlformats.org/officeDocument/2006/relationships/hyperlink" Target="http://www.astho.org/Programs/Preparedness/Public-Health-Emergency-Law/Emergency-Authority-and-Immunity-Toolkit/Emergency-Authority-and-Immunity-Toolkit-Supplemental-Materials/" TargetMode="External"/><Relationship Id="rId218" Type="http://schemas.openxmlformats.org/officeDocument/2006/relationships/hyperlink" Target="http://www.emacweb.org/" TargetMode="External"/><Relationship Id="rId239" Type="http://schemas.openxmlformats.org/officeDocument/2006/relationships/hyperlink" Target="http://www.ed.gov/policy/gen/guid/fpco/ferpa/index.html" TargetMode="External"/><Relationship Id="rId250" Type="http://schemas.openxmlformats.org/officeDocument/2006/relationships/hyperlink" Target="http://www.emacweb.org/" TargetMode="External"/><Relationship Id="rId271" Type="http://schemas.openxmlformats.org/officeDocument/2006/relationships/hyperlink" Target="http://www.gpo.gov/fdsys/pkg/BILLS-113hr307enr/pdf/BILLS-113hr307enr.pdf" TargetMode="External"/><Relationship Id="rId292" Type="http://schemas.openxmlformats.org/officeDocument/2006/relationships/hyperlink" Target="http://www.astho.org/Programs/Preparedness/Public-Health-Emergency-Law/Emergency-Authority-and-Immunity-Toolkit/Emergency-Authority-and-Immunity-Toolkit-Supplemental-Materials/" TargetMode="External"/><Relationship Id="rId306" Type="http://schemas.openxmlformats.org/officeDocument/2006/relationships/hyperlink" Target="http://www.fema.gov/hazard-mitigation-grant-program" TargetMode="External"/><Relationship Id="rId24" Type="http://schemas.openxmlformats.org/officeDocument/2006/relationships/hyperlink" Target="http://opencrs.com/document/RL34585/" TargetMode="External"/><Relationship Id="rId45" Type="http://schemas.openxmlformats.org/officeDocument/2006/relationships/hyperlink" Target="http://www.publichealthlawnetwork.org/" TargetMode="External"/><Relationship Id="rId66" Type="http://schemas.openxmlformats.org/officeDocument/2006/relationships/hyperlink" Target="http://www.astho.org/Programs/Preparedness/Public-Health-Emergency-Law/Emergency-Authority-and-Immunity-Toolkit/Emergency-Authority-and-Immunity-Toolkit-Supplemental-Materials/" TargetMode="External"/><Relationship Id="rId87" Type="http://schemas.openxmlformats.org/officeDocument/2006/relationships/hyperlink" Target="http://www.astho.org/Programs/Preparedness/Public-Health-Emergency-Law/Emergency-Authority-and-Immunity-Toolkit/Emergency-Authority-and-Immunity-Toolkit-Supplemental-Materials/" TargetMode="External"/><Relationship Id="rId110" Type="http://schemas.openxmlformats.org/officeDocument/2006/relationships/hyperlink" Target="http://www.fema.gov/government/grant/hmgp/index.shtm" TargetMode="External"/><Relationship Id="rId131" Type="http://schemas.openxmlformats.org/officeDocument/2006/relationships/hyperlink" Target="http://www.publichealthlaw.net/Projects/ESAR-VHP.php" TargetMode="External"/><Relationship Id="rId152" Type="http://schemas.openxmlformats.org/officeDocument/2006/relationships/hyperlink" Target="http://www.phe.gov/preparedness/planning/authority/nhss/Pages/default.aspx" TargetMode="External"/><Relationship Id="rId173" Type="http://schemas.openxmlformats.org/officeDocument/2006/relationships/hyperlink" Target="http://www.astho.org/Programs/Preparedness/Public-Health-Emergency-Law/Emergency-Authority-and-Immunity-Toolkit/Emergency-Authority-and-Immunity-Toolkit-Supplemental-Materials/" TargetMode="External"/><Relationship Id="rId194" Type="http://schemas.openxmlformats.org/officeDocument/2006/relationships/hyperlink" Target="http://www.cdc.gov/phlp/docs/ph-emergencies.pdf" TargetMode="External"/><Relationship Id="rId208" Type="http://schemas.openxmlformats.org/officeDocument/2006/relationships/hyperlink" Target="https://www.law.cornell.edu/uscode/text/42/1983" TargetMode="External"/><Relationship Id="rId229" Type="http://schemas.openxmlformats.org/officeDocument/2006/relationships/hyperlink" Target="http://www.fda.gov/RegulatoryInformation/Guidances/ucm125127.htm" TargetMode="External"/><Relationship Id="rId240" Type="http://schemas.openxmlformats.org/officeDocument/2006/relationships/hyperlink" Target="http://www.dol.gov/compliance/laws/comp-feca.htm" TargetMode="External"/><Relationship Id="rId261" Type="http://schemas.openxmlformats.org/officeDocument/2006/relationships/hyperlink" Target="http://www.dhs.gov/sites/default/files/publications/nat-strat-hls-2002.pdf" TargetMode="External"/><Relationship Id="rId14" Type="http://schemas.openxmlformats.org/officeDocument/2006/relationships/hyperlink" Target="http://www.cdc.gov/phlp/docs/ph-emergencies.pdf" TargetMode="External"/><Relationship Id="rId30" Type="http://schemas.openxmlformats.org/officeDocument/2006/relationships/hyperlink" Target="http://www.astho.org/Programs/Preparedness/Public-Health-Emergency-Law/Emergency-Authority-and-Immunity-Toolkit/Emergency-Authority-and-Immunity-Toolkit-Supplemental-Materials/" TargetMode="External"/><Relationship Id="rId35" Type="http://schemas.openxmlformats.org/officeDocument/2006/relationships/hyperlink" Target="http://www.astho.org/Programs/Preparedness/Public-Health-Emergency-Law/Emergency-Authority-and-Immunity-Toolkit/Emergency-Authority-and-Immunity-Toolkit-Supplemental-Materials/" TargetMode="External"/><Relationship Id="rId56" Type="http://schemas.openxmlformats.org/officeDocument/2006/relationships/hyperlink" Target="http://www.emacweb.org/" TargetMode="External"/><Relationship Id="rId77" Type="http://schemas.openxmlformats.org/officeDocument/2006/relationships/hyperlink" Target="http://www.phe.gov/Preparedness/legal/pahpa/Documents/pahpa-at-risk-report0901.pdf" TargetMode="External"/><Relationship Id="rId100" Type="http://schemas.openxmlformats.org/officeDocument/2006/relationships/hyperlink" Target="http://www.astho.org/Programs/Preparedness/Public-Health-Emergency-Law/Emergency-Authority-and-Immunity-Toolkit/Emergency-Authority-and-Immunity-Toolkit-Supplemental-Materials/" TargetMode="External"/><Relationship Id="rId105" Type="http://schemas.openxmlformats.org/officeDocument/2006/relationships/hyperlink" Target="http://www.astho.org/Programs/Preparedness/Public-Health-Emergency-Law/Emergency-Authority-and-Immunity-Toolkit/Emergency-Authority-and-Immunity-Toolkit-Supplemental-Materials/" TargetMode="External"/><Relationship Id="rId126" Type="http://schemas.openxmlformats.org/officeDocument/2006/relationships/hyperlink" Target="http://www2a.cdc.gov/phlp/EmergencyPrep/fedauthor.asp" TargetMode="External"/><Relationship Id="rId147" Type="http://schemas.openxmlformats.org/officeDocument/2006/relationships/hyperlink" Target="http://www.phe.gov/" TargetMode="External"/><Relationship Id="rId168" Type="http://schemas.openxmlformats.org/officeDocument/2006/relationships/hyperlink" Target="http://www.astho.org/Programs/Preparedness/Public-Health-Emergency-Law/Emergency-Authority-and-Immunity-Toolkit/Emergency-Authority-and-Immunity-Toolkit-Supplemental-Materials/" TargetMode="External"/><Relationship Id="rId282" Type="http://schemas.openxmlformats.org/officeDocument/2006/relationships/hyperlink" Target="http://www.flu.gov/planning-preparedness/federal/hhspandemicinfluenzaplan.pdf" TargetMode="External"/><Relationship Id="rId312" Type="http://schemas.openxmlformats.org/officeDocument/2006/relationships/hyperlink" Target="http://www.hrsa.gov/vaccinecompensation/default.htm" TargetMode="External"/><Relationship Id="rId317" Type="http://schemas.openxmlformats.org/officeDocument/2006/relationships/hyperlink" Target="https://www.networkforphl.org/_asset/5ywvc8/Western-Region---VHP-Liability-Webinar-12-2.pdf" TargetMode="External"/><Relationship Id="rId8" Type="http://schemas.openxmlformats.org/officeDocument/2006/relationships/hyperlink" Target="http://www.astho.org/Programs/Preparedness/Public-Health-Emergency-Law/Emergency-Authority-and-Immunity-Toolkit/Emergency-Authority-and-Immunity-Toolkit-Supplemental-Materials/" TargetMode="External"/><Relationship Id="rId51" Type="http://schemas.openxmlformats.org/officeDocument/2006/relationships/hyperlink" Target="http://www.astho.org/Programs/Preparedness/Public-Health-Emergency-Law/Emergency-Authority-and-Immunity-Toolkit/Emergency-Authority-and-Immunity-Toolkit-Supplemental-Materials/" TargetMode="External"/><Relationship Id="rId72" Type="http://schemas.openxmlformats.org/officeDocument/2006/relationships/hyperlink" Target="http://www.astho.org/Programs/Preparedness/Public-Health-Emergency-Law/Emergency-Authority-and-Immunity-Toolkit/Emergency-Authority-and-Immunity-Toolkit-Supplemental-Materials/" TargetMode="External"/><Relationship Id="rId93" Type="http://schemas.openxmlformats.org/officeDocument/2006/relationships/hyperlink" Target="http://www.phe.gov/Preparedness/legal/Pages/phe-qa.aspx" TargetMode="External"/><Relationship Id="rId98" Type="http://schemas.openxmlformats.org/officeDocument/2006/relationships/hyperlink" Target="http://www.astho.org/Programs/Preparedness/Public-Health-Emergency-Law/Emergency-Authority-and-Immunity-Toolkit/Emergency-Authority-and-Immunity-Toolkit-Supplemental-Materials/" TargetMode="External"/><Relationship Id="rId121" Type="http://schemas.openxmlformats.org/officeDocument/2006/relationships/hyperlink" Target="http://www.citizencorps.gov/" TargetMode="External"/><Relationship Id="rId142" Type="http://schemas.openxmlformats.org/officeDocument/2006/relationships/hyperlink" Target="http://www.justice.gov/archive/victimcompensation/index.html" TargetMode="External"/><Relationship Id="rId163" Type="http://schemas.openxmlformats.org/officeDocument/2006/relationships/hyperlink" Target="http://www.astho.org/Programs/Preparedness/Public-Health-Emergency-Law/Emergency-Authority-and-Immunity-Toolkit/Emergency-Authority-and-Immunity-Toolkit-Supplemental-Materials/" TargetMode="External"/><Relationship Id="rId184" Type="http://schemas.openxmlformats.org/officeDocument/2006/relationships/hyperlink" Target="http://www.astho.org/Programs/Preparedness/Public-Health-Emergency-Law/Emergency-Authority-and-Immunity-Toolkit/Emergency-Authority-and-Immunity-Toolkit-Supplemental-Materials/" TargetMode="External"/><Relationship Id="rId189" Type="http://schemas.openxmlformats.org/officeDocument/2006/relationships/hyperlink" Target="http://www.astho.org/Programs/Preparedness/Public-Health-Emergency-Law/Emergency-Authority-and-Immunity-Toolkit/Emergency-Authority-and-Immunity-Toolkit-Supplemental-Materials/" TargetMode="External"/><Relationship Id="rId219" Type="http://schemas.openxmlformats.org/officeDocument/2006/relationships/hyperlink" Target="http://www.fema.gov/9500-series-policy-publications/95236-mutual-aid-agreements-public-assistance-fire-management" TargetMode="External"/><Relationship Id="rId3" Type="http://schemas.openxmlformats.org/officeDocument/2006/relationships/settings" Target="settings.xml"/><Relationship Id="rId214" Type="http://schemas.openxmlformats.org/officeDocument/2006/relationships/hyperlink" Target="http://www.gao.gov/new.items/d07854.pdf" TargetMode="External"/><Relationship Id="rId230" Type="http://schemas.openxmlformats.org/officeDocument/2006/relationships/hyperlink" Target="http://www.fda.gov/emergencypreparedness/counterterrorism/ucm182568.htm" TargetMode="External"/><Relationship Id="rId235" Type="http://schemas.openxmlformats.org/officeDocument/2006/relationships/hyperlink" Target="http://nciph.sph.unc.edu/law/good_sam.htm" TargetMode="External"/><Relationship Id="rId251" Type="http://schemas.openxmlformats.org/officeDocument/2006/relationships/hyperlink" Target="http://www.fema.gov/9500-series-policy-publications/95236-mutual-aid-agreements-public-assistance-fire-management" TargetMode="External"/><Relationship Id="rId256" Type="http://schemas.openxmlformats.org/officeDocument/2006/relationships/hyperlink" Target="http://www.whitehouse.gov/the-press-office/declaration-a-national-emergency-with-respect-2009-h1n1-influenza-pandemic-0" TargetMode="External"/><Relationship Id="rId277" Type="http://schemas.openxmlformats.org/officeDocument/2006/relationships/hyperlink" Target="http://healthyamericans.org/reports/bioterror07/PAHPAProgressReport.pdf" TargetMode="External"/><Relationship Id="rId298" Type="http://schemas.openxmlformats.org/officeDocument/2006/relationships/hyperlink" Target="http://www.ssa.gov/OP_Home/ssact/title11/1135.htm" TargetMode="External"/><Relationship Id="rId25" Type="http://schemas.openxmlformats.org/officeDocument/2006/relationships/hyperlink" Target="http://www.gao.gov/products/GAO-07-854" TargetMode="External"/><Relationship Id="rId46" Type="http://schemas.openxmlformats.org/officeDocument/2006/relationships/hyperlink" Target="http://www.astho.org/Programs/Preparedness/Public-Health-Emergency-Law/Emergency-Authority-and-Immunity-Toolkit/Immunity-Issues-in-Emergencies-Fact-Sheet/" TargetMode="External"/><Relationship Id="rId67" Type="http://schemas.openxmlformats.org/officeDocument/2006/relationships/hyperlink" Target="http://www.astho.org/Programs/Preparedness/Public-Health-Emergency-Law/Emergency-Authority-and-Immunity-Toolkit/Emergency-Authority-and-Immunity-Current-Issues-and-Updates-Winter-2012/" TargetMode="External"/><Relationship Id="rId116" Type="http://schemas.openxmlformats.org/officeDocument/2006/relationships/hyperlink" Target="http://www.cms.gov/Emergency/downloads/MedicareFFS-EmergencyQsAs1135Waiver.pdf" TargetMode="External"/><Relationship Id="rId137" Type="http://schemas.openxmlformats.org/officeDocument/2006/relationships/hyperlink" Target="http://www.wcb.ny.gov/content/main/forms/AllForms.jsp" TargetMode="External"/><Relationship Id="rId158" Type="http://schemas.openxmlformats.org/officeDocument/2006/relationships/hyperlink" Target="http://www.astho.org/Programs/Preparedness/Public-Health-Emergency-Law/Emergency-Authority-and-Immunity-Toolkit/Emergency-Authority-and-Immunity-Toolkit-Supplemental-Materials/" TargetMode="External"/><Relationship Id="rId272" Type="http://schemas.openxmlformats.org/officeDocument/2006/relationships/hyperlink" Target="http://www.gpo.gov/fdsys/pkg/USCODE-2009-title42/pdf/USCODE-2009-title42-chap6A.pdf" TargetMode="External"/><Relationship Id="rId293" Type="http://schemas.openxmlformats.org/officeDocument/2006/relationships/hyperlink" Target="http://www.gpo.gov/fdsys/pkg/PLAW-109publ417/pdf/PLAW-109publ417.pdf" TargetMode="External"/><Relationship Id="rId302" Type="http://schemas.openxmlformats.org/officeDocument/2006/relationships/hyperlink" Target="http://www.cms.gov/Emergency/Downloads/Consolidated_Medicare_FFS_Emergency_QsAs.pdf" TargetMode="External"/><Relationship Id="rId307" Type="http://schemas.openxmlformats.org/officeDocument/2006/relationships/hyperlink" Target="http://www.fema.gov/9500-series-policy-publications/95236-mutual-aid-agreements-public-assistance-fire-management" TargetMode="External"/><Relationship Id="rId323" Type="http://schemas.openxmlformats.org/officeDocument/2006/relationships/hyperlink" Target="http://www.nasi.org/research/workers-compensation" TargetMode="External"/><Relationship Id="rId20" Type="http://schemas.openxmlformats.org/officeDocument/2006/relationships/hyperlink" Target="http://www2.cdc.gov/phlp/docs/Selected%20Fed%20Legal%20Authorities%20re%20PH%20Emergencies%20102709%20v2.pdf" TargetMode="External"/><Relationship Id="rId41" Type="http://schemas.openxmlformats.org/officeDocument/2006/relationships/hyperlink" Target="http://www.astho.org/Programs/Preparedness/Public-Health-Emergency-Law/Emergency-Authority-and-Immunity-Toolkit/Emergency-Authority-and-Immunity-Toolkit-Supplemental-Materials/" TargetMode="External"/><Relationship Id="rId62" Type="http://schemas.openxmlformats.org/officeDocument/2006/relationships/hyperlink" Target="http://www.astho.org/Programs/Preparedness/Public-Health-Emergency-Law/Emergency-Authority-and-Immunity-Toolkit/Emergency-Authority-and-Immunity-Toolkit-Supplemental-Materials/" TargetMode="External"/><Relationship Id="rId83" Type="http://schemas.openxmlformats.org/officeDocument/2006/relationships/hyperlink" Target="http://www.astho.org/Programs/Preparedness/Public-Health-Emergency-Law/Emergency-Authority-and-Immunity-Toolkit/Emergency-Authority-and-Immunity-Toolkit-Supplemental-Materials/" TargetMode="External"/><Relationship Id="rId88" Type="http://schemas.openxmlformats.org/officeDocument/2006/relationships/hyperlink" Target="http://www.astho.org/Programs/Preparedness/Public-Health-Emergency-Law/Emergency-Authority-and-Immunity-Toolkit/Emergency-Authority-and-Immunity-Toolkit-Supplemental-Materials/" TargetMode="External"/><Relationship Id="rId111" Type="http://schemas.openxmlformats.org/officeDocument/2006/relationships/hyperlink" Target="http://www.astho.org/Programs/Preparedness/Public-Health-Emergency-Law/Emergency-Authority-and-Immunity-Toolkit/Emergency-Authority-and-Immunity-Toolkit-Supplemental-Materials/" TargetMode="External"/><Relationship Id="rId132" Type="http://schemas.openxmlformats.org/officeDocument/2006/relationships/hyperlink" Target="http://www.publichealthlawnetwork.org/" TargetMode="External"/><Relationship Id="rId153" Type="http://schemas.openxmlformats.org/officeDocument/2006/relationships/hyperlink" Target="mailto:communications@astho.org" TargetMode="External"/><Relationship Id="rId174" Type="http://schemas.openxmlformats.org/officeDocument/2006/relationships/hyperlink" Target="http://www.astho.org/Programs/Preparedness/Public-Health-Emergency-Law/Emergency-Authority-and-Immunity-Toolkit/Emergency-Authority-and-Immunity-Toolkit-Supplemental-Materials/" TargetMode="External"/><Relationship Id="rId179" Type="http://schemas.openxmlformats.org/officeDocument/2006/relationships/hyperlink" Target="http://www.astho.org/Programs/Preparedness/Public-Health-Emergency-Law/Emergency-Authority-and-Immunity-Toolkit/Emergency-Authority-and-Immunity-Toolkit-Supplemental-Materials/" TargetMode="External"/><Relationship Id="rId195" Type="http://schemas.openxmlformats.org/officeDocument/2006/relationships/hyperlink" Target="http://www.phe.gov/Preparedness/planning/authority/Pages/default.aspx" TargetMode="External"/><Relationship Id="rId209" Type="http://schemas.openxmlformats.org/officeDocument/2006/relationships/hyperlink" Target="http://www.hrsa.gov/cicp/" TargetMode="External"/><Relationship Id="rId190" Type="http://schemas.openxmlformats.org/officeDocument/2006/relationships/hyperlink" Target="http://www.astho.org/Programs/Preparedness/Public-Health-Emergency-Law/Emergency-Authority-and-Immunity-Toolkit/Emergency-Authority-and-Immunity-Toolkit-Supplemental-Materials/" TargetMode="External"/><Relationship Id="rId204" Type="http://schemas.openxmlformats.org/officeDocument/2006/relationships/hyperlink" Target="http://www.astho.org/Programs/Preparedness/Public-Health-Emergency-Law/Emergency-Authority-and-Immunity-Toolkit/Emergency-Authority-and-Immunity-Toolkit-Supplemental-Materials/" TargetMode="External"/><Relationship Id="rId220" Type="http://schemas.openxmlformats.org/officeDocument/2006/relationships/hyperlink" Target="http://www.bt.cdc.gov/planning/emac/pdf/PACER_Model_MOU.pdf" TargetMode="External"/><Relationship Id="rId225" Type="http://schemas.openxmlformats.org/officeDocument/2006/relationships/hyperlink" Target="http://www.publichealthlaw.net/Research/PDF/ESAR%20VHP%20Report.pdf" TargetMode="External"/><Relationship Id="rId241" Type="http://schemas.openxmlformats.org/officeDocument/2006/relationships/hyperlink" Target="http://origin.www.gpo.gov/fdsys/pkg/USCODE-2009-title28/pdf/USCODE-2009-title28-partIV-chap85-sec1346.pdf" TargetMode="External"/><Relationship Id="rId246" Type="http://schemas.openxmlformats.org/officeDocument/2006/relationships/hyperlink" Target="http://www.astho.org/Programs/Preparedness/Public-Health-Emergency-Law/Emergency-Authority-and-Immunity-Toolkit/Emergency-Authority-and-Immunity-Toolkit-Supplemental-Materials/" TargetMode="External"/><Relationship Id="rId267" Type="http://schemas.openxmlformats.org/officeDocument/2006/relationships/hyperlink" Target="http://www.fema.gov/library/viewrecord.do?id=7355" TargetMode="External"/><Relationship Id="rId288" Type="http://schemas.openxmlformats.org/officeDocument/2006/relationships/hyperlink" Target="http://fas.org/irp/offdocs/nspd/hspd-21.htm" TargetMode="External"/><Relationship Id="rId15" Type="http://schemas.openxmlformats.org/officeDocument/2006/relationships/hyperlink" Target="http://www.astho.org/Programs/Preparedness/Public-Health-Emergency-Law/Emergency-Authority-and-Immunity-Toolkit/Emergency-Authority-and-Immunity-Toolkit-Supplemental-Materials/" TargetMode="External"/><Relationship Id="rId36" Type="http://schemas.openxmlformats.org/officeDocument/2006/relationships/hyperlink" Target="http://www.astho.org/Programs/Preparedness/Public-Health-Emergency-Law/Emergency-Authority-and-Immunity-Toolkit/Emergency-Authority-and-Immunity-Toolkit-Supplemental-Materials/" TargetMode="External"/><Relationship Id="rId57" Type="http://schemas.openxmlformats.org/officeDocument/2006/relationships/hyperlink" Target="http://www2a.cdc.gov/phlp/mutualaid/index.asp" TargetMode="External"/><Relationship Id="rId106" Type="http://schemas.openxmlformats.org/officeDocument/2006/relationships/hyperlink" Target="http://www2.cdc.gov/phlp/docs/Selected%20Fed%20Legal%20Authorities%20re%20PH%20Emergencies%20102709%20v2.pdf" TargetMode="External"/><Relationship Id="rId127" Type="http://schemas.openxmlformats.org/officeDocument/2006/relationships/hyperlink" Target="http://www.bt.cdc.gov/coca/ppt/Federal_PH_Emergency_Law_042809.pps" TargetMode="External"/><Relationship Id="rId262" Type="http://schemas.openxmlformats.org/officeDocument/2006/relationships/hyperlink" Target="http://www.astho.org/Programs/Preparedness/Public-Health-Emergency-Law/Emergency-Authority-and-Immunity-Toolkit/Emergency-Authority-and-Immunity-Toolkit-Supplemental-Materials/" TargetMode="External"/><Relationship Id="rId283" Type="http://schemas.openxmlformats.org/officeDocument/2006/relationships/hyperlink" Target="http://www.flu.gov/professional/pdf/cikrpandemicinfluenzaguide.pdf" TargetMode="External"/><Relationship Id="rId313" Type="http://schemas.openxmlformats.org/officeDocument/2006/relationships/hyperlink" Target="http://www.gpo.gov/fdsys/pkg/PLAW-105publ19/pdf/PLAW-105publ19.pdf" TargetMode="External"/><Relationship Id="rId318" Type="http://schemas.openxmlformats.org/officeDocument/2006/relationships/hyperlink" Target="http://www.probonopartner.org/FileLib/Documents/nonprofitriskmgmtstateliability.pdf" TargetMode="External"/><Relationship Id="rId10" Type="http://schemas.openxmlformats.org/officeDocument/2006/relationships/hyperlink" Target="http://www.astho.org/Programs/Preparedness/Public-Health-Emergency-Law/Emergency-Authority-and-Immunity-Toolkit/Emergency-Authority-and-Immunity-Toolkit-Supplemental-Materials/" TargetMode="External"/><Relationship Id="rId31" Type="http://schemas.openxmlformats.org/officeDocument/2006/relationships/hyperlink" Target="http://www.astho.org/Programs/Preparedness/Public-Health-Emergency-Law/Emergency-Authority-and-Immunity-Toolkit/Emergency-Authority-and-Immunity-Toolkit-Supplemental-Materials/" TargetMode="External"/><Relationship Id="rId52" Type="http://schemas.openxmlformats.org/officeDocument/2006/relationships/hyperlink" Target="http://www.astho.org/Programs/Preparedness/Public-Health-Emergency-Law/Emergency-Authority-and-Immunity-Toolkit/Emergency-Authority-and-Immunity-Toolkit-Supplemental-Materials/" TargetMode="External"/><Relationship Id="rId73" Type="http://schemas.openxmlformats.org/officeDocument/2006/relationships/hyperlink" Target="http://www.astho.org/Programs/Preparedness/Public-Health-Emergency-Law/Emergency-Authority-and-Immunity-Toolkit/Emergency-Authority-and-Immunity-Toolkit-Supplemental-Materials/" TargetMode="External"/><Relationship Id="rId78" Type="http://schemas.openxmlformats.org/officeDocument/2006/relationships/hyperlink" Target="http://www.astho.org/Programs/Preparedness/Public-Health-Emergency-Law/Emergency-Authority-and-Immunity-Toolkit/Emergency-Authority-and-Immunity-Toolkit-Supplemental-Materials/" TargetMode="External"/><Relationship Id="rId94" Type="http://schemas.openxmlformats.org/officeDocument/2006/relationships/hyperlink" Target="http://www.hrsa.gov/gethealthcare/conditions/countermeasurescomp/index.html" TargetMode="External"/><Relationship Id="rId99" Type="http://schemas.openxmlformats.org/officeDocument/2006/relationships/hyperlink" Target="http://www.astho.org/Programs/Preparedness/Public-Health-Emergency-Law/Emergency-Authority-and-Immunity-Toolkit/Emergency-Authority-and-Immunity-Toolkit-Supplemental-Materials/" TargetMode="External"/><Relationship Id="rId101" Type="http://schemas.openxmlformats.org/officeDocument/2006/relationships/hyperlink" Target="http://www.astho.org/Programs/Preparedness/Public-Health-Emergency-Law/Emergency-Authority-and-Immunity-Toolkit/Emergency-Authority-and-Immunity-Toolkit-Supplemental-Materials/" TargetMode="External"/><Relationship Id="rId122" Type="http://schemas.openxmlformats.org/officeDocument/2006/relationships/hyperlink" Target="http://www.publichealthlaw.net/Projects/ESAR-VHP.php" TargetMode="External"/><Relationship Id="rId143" Type="http://schemas.openxmlformats.org/officeDocument/2006/relationships/hyperlink" Target="http://www.dol.gov/opa/aboutdol/lawsprog.htm" TargetMode="External"/><Relationship Id="rId148" Type="http://schemas.openxmlformats.org/officeDocument/2006/relationships/hyperlink" Target="http://www.dhs.gov/xlibrary/assets/presidential-policy-directive-8-national-preparedness.pdf" TargetMode="External"/><Relationship Id="rId164" Type="http://schemas.openxmlformats.org/officeDocument/2006/relationships/hyperlink" Target="http://www.astho.org/Programs/Preparedness/Public-Health-Emergency-Law/Emergency-Authority-and-Immunity-Toolkit/Emergency-Authority-and-Immunity-Toolkit-Supplemental-Materials/" TargetMode="External"/><Relationship Id="rId169" Type="http://schemas.openxmlformats.org/officeDocument/2006/relationships/hyperlink" Target="http://www.astho.org/Programs/Preparedness/Public-Health-Emergency-Law/Emergency-Authority-and-Immunity-Toolkit/Emergency-Authority-and-Immunity-Toolkit-Supplemental-Materials/" TargetMode="External"/><Relationship Id="rId185" Type="http://schemas.openxmlformats.org/officeDocument/2006/relationships/hyperlink" Target="http://www.astho.org/Programs/Preparedness/Public-Health-Emergency-Law/Emergency-Authority-and-Immunity-Toolkit/Emergency-Authority-and-Immunity-Toolkit-Supplemental-Materials/"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Authority-and-Immunity-Toolkit/Emergency-Authority-and-Immunity-Toolkit-Supplemental-Materials/" TargetMode="External"/><Relationship Id="rId180" Type="http://schemas.openxmlformats.org/officeDocument/2006/relationships/hyperlink" Target="http://www.astho.org/Programs/Preparedness/Public-Health-Emergency-Law/Emergency-Authority-and-Immunity-Toolkit/Emergency-Authority-and-Immunity-Toolkit-Supplemental-Materials/" TargetMode="External"/><Relationship Id="rId210" Type="http://schemas.openxmlformats.org/officeDocument/2006/relationships/hyperlink" Target="http://www.hrsa.gov/gethealthcare/conditions/countermeasurescomp/cicp_final_rule_correction.pdf" TargetMode="External"/><Relationship Id="rId215" Type="http://schemas.openxmlformats.org/officeDocument/2006/relationships/hyperlink" Target="http://www.policyarchive.org/handle/10207/bitstreams/20206.pdf" TargetMode="External"/><Relationship Id="rId236" Type="http://schemas.openxmlformats.org/officeDocument/2006/relationships/hyperlink" Target="http://www.probonopartner.org/FileLib/Documents/nonprofitriskmgmtstateliability.pdf" TargetMode="External"/><Relationship Id="rId257" Type="http://schemas.openxmlformats.org/officeDocument/2006/relationships/hyperlink" Target="http://www.fas.org/sgp/crs/natsec/98-505.pdf" TargetMode="External"/><Relationship Id="rId278" Type="http://schemas.openxmlformats.org/officeDocument/2006/relationships/hyperlink" Target="http://www.phe.gov/Preparedness/legal/pahpa/Documents/pahpa-at-risk-report0901.pdf" TargetMode="External"/><Relationship Id="rId26" Type="http://schemas.openxmlformats.org/officeDocument/2006/relationships/hyperlink" Target="http://www.astho.org/Programs/Preparedness/Public-Health-Emergency-Law/Emergency-Authority-and-Immunity-Toolkit/Emergency-Authority-and-Immunity-Toolkit-Supplemental-Materials/" TargetMode="External"/><Relationship Id="rId231" Type="http://schemas.openxmlformats.org/officeDocument/2006/relationships/hyperlink" Target="http://www.fda.gov/EmergencyPreparedness/Counterterrorism/MedicalCountermeasures/MCMLegalRegulatoryandPolicyFramework/ucm359581.htm" TargetMode="External"/><Relationship Id="rId252" Type="http://schemas.openxmlformats.org/officeDocument/2006/relationships/hyperlink" Target="http://www.bt.cdc.gov/planning/emac/pdf/PACER_Model_MOU.pdf" TargetMode="External"/><Relationship Id="rId273" Type="http://schemas.openxmlformats.org/officeDocument/2006/relationships/hyperlink" Target="http://www.phe.gov/Preparedness/legal/pahpa/Pages/default.aspx" TargetMode="External"/><Relationship Id="rId294" Type="http://schemas.openxmlformats.org/officeDocument/2006/relationships/hyperlink" Target="http://www.gpo.gov/fdsys/pkg/USCODE-2009-title42/html/USCODE-2009-title42-chap6A-subchapII.htm" TargetMode="External"/><Relationship Id="rId308" Type="http://schemas.openxmlformats.org/officeDocument/2006/relationships/hyperlink" Target="http://www.fema.goc/public-assistance-policy-and-guidance" TargetMode="External"/><Relationship Id="rId47" Type="http://schemas.openxmlformats.org/officeDocument/2006/relationships/hyperlink" Target="http://www.astho.org/Programs/Preparedness/Public-Health-Emergency-Law/Emergency-Authority-and-Immunity-Toolkit/Workers--Compensation-Issues-in-Emergencies-Fact-Sheet/" TargetMode="External"/><Relationship Id="rId68" Type="http://schemas.openxmlformats.org/officeDocument/2006/relationships/hyperlink" Target="http://www.astho.org/Programs/Preparedness/Public-Health-Emergency-Law/Emergency-Authority-and-Immunity-Toolkit/Emergency-Authority-and-Immunity-Toolkit-Supplemental-Materials/" TargetMode="External"/><Relationship Id="rId89" Type="http://schemas.openxmlformats.org/officeDocument/2006/relationships/hyperlink" Target="http://www.astho.org/Programs/Preparedness/Public-Health-Emergency-Law/Emergency-Authority-and-Immunity-Toolkit/Emergency-Authority-and-Immunity-Toolkit-Supplemental-Materials/" TargetMode="External"/><Relationship Id="rId112" Type="http://schemas.openxmlformats.org/officeDocument/2006/relationships/hyperlink" Target="http://www.astho.org/Programs/Preparedness/Public-Health-Emergency-Law/Emergency-Authority-and-Immunity-Toolkit/Emergency-Authority-and-Immunity-Toolkit-Supplemental-Materials/" TargetMode="External"/><Relationship Id="rId133" Type="http://schemas.openxmlformats.org/officeDocument/2006/relationships/hyperlink" Target="http://www.iaiabc.org/" TargetMode="External"/><Relationship Id="rId154" Type="http://schemas.openxmlformats.org/officeDocument/2006/relationships/hyperlink" Target="http://www.astho.org/Programs/Preparedness/Public-Health-Emergency-Law/Emergency-Authority-and-Immunity-Toolkit/Emergency-Authority-and-Immunity-Toolkit-Supplemental-Materials/" TargetMode="External"/><Relationship Id="rId175" Type="http://schemas.openxmlformats.org/officeDocument/2006/relationships/hyperlink" Target="http://www.astho.org/Programs/Preparedness/Public-Health-Emergency-Law/Emergency-Authority-and-Immunity-Toolkit/Emergency-Authority-and-Immunity-Toolkit-Supplemental-Materials/" TargetMode="External"/><Relationship Id="rId196" Type="http://schemas.openxmlformats.org/officeDocument/2006/relationships/hyperlink" Target="http://www.phe.gov/preparedness/support/secauthority/Pages/default.aspx" TargetMode="External"/><Relationship Id="rId200" Type="http://schemas.openxmlformats.org/officeDocument/2006/relationships/hyperlink" Target="http://www.phe.gov/Preparedness/planning/abc/Pages/default.aspx" TargetMode="External"/><Relationship Id="rId16" Type="http://schemas.openxmlformats.org/officeDocument/2006/relationships/hyperlink" Target="http://www.astho.org/Programs/Preparedness/Public-Health-Emergency-Law/Emergency-Authority-and-Immunity-Toolkit/Emergency-Authority-and-Immunity-Toolkit-Supplemental-Materials/" TargetMode="External"/><Relationship Id="rId221" Type="http://schemas.openxmlformats.org/officeDocument/2006/relationships/hyperlink" Target="http://water.epa.gov/infrastructure/watersecurity/mutualaid/index.cfm" TargetMode="External"/><Relationship Id="rId242" Type="http://schemas.openxmlformats.org/officeDocument/2006/relationships/hyperlink" Target="http://uscode.house.gov/download/pls/28C171.txt" TargetMode="External"/><Relationship Id="rId263" Type="http://schemas.openxmlformats.org/officeDocument/2006/relationships/hyperlink" Target="http://www.fema.gov/pdf/emergency/nims/NIMS_core.pdf" TargetMode="External"/><Relationship Id="rId284" Type="http://schemas.openxmlformats.org/officeDocument/2006/relationships/hyperlink" Target="https://www.whitehouse.gov/sites/default/files/National_Strategy_for_Biosurveillance_July_2012.pdf" TargetMode="External"/><Relationship Id="rId319" Type="http://schemas.openxmlformats.org/officeDocument/2006/relationships/hyperlink" Target="http://uniformlaws.org/Act.aspx?title=Emergency%20Volunteer%20Health%20Practitioners" TargetMode="External"/><Relationship Id="rId37" Type="http://schemas.openxmlformats.org/officeDocument/2006/relationships/hyperlink" Target="http://www.astho.org/Programs/Preparedness/Public-Health-Emergency-Law/Emergency-Authority-and-Immunity-Toolkit/Emergency-Authority-and-Immunity-Toolkit-Supplemental-Materials/" TargetMode="External"/><Relationship Id="rId58" Type="http://schemas.openxmlformats.org/officeDocument/2006/relationships/hyperlink" Target="http://water.epa.gov/infrastructure/watersecurity/mutualaid/index.cfm" TargetMode="External"/><Relationship Id="rId79" Type="http://schemas.openxmlformats.org/officeDocument/2006/relationships/hyperlink" Target="http://www.astho.org/Programs/Preparedness/Public-Health-Emergency-Law/Emergency-Authority-and-Immunity-Toolkit/Emergency-Authority-and-Immunity-Toolkit-Supplemental-Materials/" TargetMode="External"/><Relationship Id="rId102" Type="http://schemas.openxmlformats.org/officeDocument/2006/relationships/hyperlink" Target="http://www.astho.org/Programs/Preparedness/Public-Health-Emergency-Law/Emergency-Authority-and-Immunity-Toolkit/Emergency-Authority-and-Immunity-Toolkit-Supplemental-Materials/" TargetMode="External"/><Relationship Id="rId123" Type="http://schemas.openxmlformats.org/officeDocument/2006/relationships/hyperlink" Target="http://www.networkforphl.org/_asset/dnnppn/Western-Region---VHP-Liability-Webinar-12-2.pdf" TargetMode="External"/><Relationship Id="rId144" Type="http://schemas.openxmlformats.org/officeDocument/2006/relationships/footer" Target="footer1.xml"/><Relationship Id="rId90" Type="http://schemas.openxmlformats.org/officeDocument/2006/relationships/hyperlink" Target="http://www.astho.org/Programs/Preparedness/Public-Health-Emergency-Law/Emergency-Authority-and-Immunity-Toolkit/Emergency-Authority-and-Immunity-Toolkit-Supplemental-Materials/" TargetMode="External"/><Relationship Id="rId165" Type="http://schemas.openxmlformats.org/officeDocument/2006/relationships/hyperlink" Target="http://www.astho.org/Programs/Preparedness/Public-Health-Emergency-Law/Emergency-Authority-and-Immunity-Toolkit/Emergency-Authority-and-Immunity-Toolkit-Supplemental-Materials/" TargetMode="External"/><Relationship Id="rId186" Type="http://schemas.openxmlformats.org/officeDocument/2006/relationships/hyperlink" Target="http://www.astho.org/Programs/Preparedness/Public-Health-Emergency-Law/Emergency-Authority-and-Immunity-Toolkit/Emergency-Authority-and-Immunity-Toolkit-Supplemental-Materials/" TargetMode="External"/><Relationship Id="rId211" Type="http://schemas.openxmlformats.org/officeDocument/2006/relationships/hyperlink" Target="http://www.hrsa.gov/gethealthcare/conditions/countermeasurescomp/cicp_admin_final_rule.pdf" TargetMode="External"/><Relationship Id="rId232" Type="http://schemas.openxmlformats.org/officeDocument/2006/relationships/hyperlink" Target="http://www.bt.cdc.gov/training/eua/index.html" TargetMode="External"/><Relationship Id="rId253" Type="http://schemas.openxmlformats.org/officeDocument/2006/relationships/hyperlink" Target="http://water.epa.gov/infrastructure/watersecurity/mutualaid/index.cfm" TargetMode="External"/><Relationship Id="rId274" Type="http://schemas.openxmlformats.org/officeDocument/2006/relationships/hyperlink" Target="http://www.fas.org/programs/bio/resource/documents/CRS%20-%20PAHPA%203-07.pdf" TargetMode="External"/><Relationship Id="rId295" Type="http://schemas.openxmlformats.org/officeDocument/2006/relationships/hyperlink" Target="http://www.phe.gov/Preparedness/legal/prepact/Pages/default.aspx" TargetMode="External"/><Relationship Id="rId309" Type="http://schemas.openxmlformats.org/officeDocument/2006/relationships/hyperlink" Target="http://www.fema.gov/" TargetMode="External"/><Relationship Id="rId27" Type="http://schemas.openxmlformats.org/officeDocument/2006/relationships/hyperlink" Target="http://www.astho.org/Programs/Preparedness/Public-Health-Emergency-Law/Emergency-Authority-and-Immunity-Toolkit/Emergency-Authority-and-Immunity-Toolkit-Supplemental-Materials/" TargetMode="External"/><Relationship Id="rId48" Type="http://schemas.openxmlformats.org/officeDocument/2006/relationships/hyperlink" Target="http://www.astho.org/Programs/Preparedness/Public-Health-Emergency-Law/Emergency-Authority-and-Immunity-Toolkit/Immunity-Issues-in-Emergencies-Fact-Sheet/" TargetMode="External"/><Relationship Id="rId69" Type="http://schemas.openxmlformats.org/officeDocument/2006/relationships/hyperlink" Target="http://www.astho.org/Programs/Preparedness/Public-Health-Emergency-Law/Emergency-Authority-and-Immunity-Toolkit/Emergency-Authority-and-Immunity-Toolkit-Supplemental-Materials/" TargetMode="External"/><Relationship Id="rId113" Type="http://schemas.openxmlformats.org/officeDocument/2006/relationships/hyperlink" Target="http://www.astho.org/Programs/Preparedness/Public-Health-Emergency-Law/Emergency-Authority-and-Immunity-Toolkit/Emergency-Authority-and-Immunity-Toolkit-Supplemental-Materials/" TargetMode="External"/><Relationship Id="rId134" Type="http://schemas.openxmlformats.org/officeDocument/2006/relationships/hyperlink" Target="http://www.nasi.org/research/workers-compensation" TargetMode="External"/><Relationship Id="rId320" Type="http://schemas.openxmlformats.org/officeDocument/2006/relationships/hyperlink" Target="http://www.dol.gov/opa/aboutdol/lawsprog.htm" TargetMode="External"/><Relationship Id="rId80" Type="http://schemas.openxmlformats.org/officeDocument/2006/relationships/hyperlink" Target="http://www.astho.org/Programs/Preparedness/Public-Health-Emergency-Law/Emergency-Authority-and-Immunity-Toolkit/Emergency-Authority-and-Immunity-Toolkit-Supplemental-Materials/" TargetMode="External"/><Relationship Id="rId155" Type="http://schemas.openxmlformats.org/officeDocument/2006/relationships/hyperlink" Target="http://www.astho.org/Programs/Preparedness/Public-Health-Emergency-Law/Emergency-Authority-and-Immunity-Toolkit/Emergency-Authority-and-Immunity-Toolkit-Supplemental-Materials/" TargetMode="External"/><Relationship Id="rId176" Type="http://schemas.openxmlformats.org/officeDocument/2006/relationships/hyperlink" Target="http://www.astho.org/Programs/Preparedness/Public-Health-Emergency-Law/Emergency-Authority-and-Immunity-Toolkit/Emergency-Authority-and-Immunity-Toolkit-Supplemental-Materials/" TargetMode="External"/><Relationship Id="rId197" Type="http://schemas.openxmlformats.org/officeDocument/2006/relationships/hyperlink" Target="http://digital.library.unt.edu/ark:/67531/metacrs9495/m1/1/high_res_d/RL33579_2006Jul28.pdf" TargetMode="External"/><Relationship Id="rId201" Type="http://schemas.openxmlformats.org/officeDocument/2006/relationships/hyperlink" Target="http://www.astho.org/Programs/Infectious-Disease/At-Risk-Populations/" TargetMode="External"/><Relationship Id="rId222" Type="http://schemas.openxmlformats.org/officeDocument/2006/relationships/hyperlink" Target="http://www.gpo.gov/fdsys/pkg/USCODE-2008-title42/pdf/USCODE-2008-title42-chap7-subchapXVIII-partE-sec1395dd.pdf" TargetMode="External"/><Relationship Id="rId243" Type="http://schemas.openxmlformats.org/officeDocument/2006/relationships/hyperlink" Target="http://www.phe.gov/preparedness/support/secauthority/Pages/default.aspx" TargetMode="External"/><Relationship Id="rId264" Type="http://schemas.openxmlformats.org/officeDocument/2006/relationships/hyperlink" Target="http://www.fema.gov/national-incident-management-system" TargetMode="External"/><Relationship Id="rId285" Type="http://schemas.openxmlformats.org/officeDocument/2006/relationships/hyperlink" Target="http://www.flu.gov/" TargetMode="External"/><Relationship Id="rId17" Type="http://schemas.openxmlformats.org/officeDocument/2006/relationships/hyperlink" Target="http://www.emacweb.org/" TargetMode="External"/><Relationship Id="rId38" Type="http://schemas.openxmlformats.org/officeDocument/2006/relationships/hyperlink" Target="http://www.astho.org/Programs/Preparedness/Public-Health-Emergency-Law/Emergency-Authority-and-Immunity-Toolkit/Emergency-Authority-and-Immunity-Toolkit-Supplemental-Materials/" TargetMode="External"/><Relationship Id="rId59" Type="http://schemas.openxmlformats.org/officeDocument/2006/relationships/hyperlink" Target="http://www.aha.org/aha/issues/Emergency-Readiness/hospreadiness.html" TargetMode="External"/><Relationship Id="rId103" Type="http://schemas.openxmlformats.org/officeDocument/2006/relationships/hyperlink" Target="http://www.astho.org/Programs/Preparedness/Public-Health-Emergency-Law/Emergency-Authority-and-Immunity-Toolkit/Emergency-Authority-and-Immunity-Toolkit-Supplemental-Materials/" TargetMode="External"/><Relationship Id="rId124" Type="http://schemas.openxmlformats.org/officeDocument/2006/relationships/hyperlink" Target="http://www.nasi.org/research/workers-compensation" TargetMode="External"/><Relationship Id="rId310" Type="http://schemas.openxmlformats.org/officeDocument/2006/relationships/hyperlink" Target="http://www.cdc.gov/phpr/stockpile/stockpile.htm" TargetMode="External"/><Relationship Id="rId70" Type="http://schemas.openxmlformats.org/officeDocument/2006/relationships/hyperlink" Target="http://www.astho.org/Programs/Preparedness/Public-Health-Emergency-Law/Emergency-Authority-and-Immunity-Toolkit/Emergency-Authority-and-Immunity-Toolkit-Supplemental-Materials/" TargetMode="External"/><Relationship Id="rId91" Type="http://schemas.openxmlformats.org/officeDocument/2006/relationships/hyperlink" Target="http://www.astho.org/Programs/Preparedness/Public-Health-Emergency-Law/Emergency-Authority-and-Immunity-Toolkit/Emergency-Authority-and-Immunity-Toolkit-Supplemental-Materials/" TargetMode="External"/><Relationship Id="rId145" Type="http://schemas.openxmlformats.org/officeDocument/2006/relationships/hyperlink" Target="http://www.thomas.gov/" TargetMode="External"/><Relationship Id="rId166" Type="http://schemas.openxmlformats.org/officeDocument/2006/relationships/hyperlink" Target="http://www.astho.org/Programs/Preparedness/Public-Health-Emergency-Law/Emergency-Authority-and-Immunity-Toolkit/Emergency-Authority-and-Immunity-Toolkit-Supplemental-Materials/" TargetMode="External"/><Relationship Id="rId187" Type="http://schemas.openxmlformats.org/officeDocument/2006/relationships/hyperlink" Target="http://www.astho.org/Programs/Preparedness/Public-Health-Emergency-Law/Emergency-Authority-and-Immunity-Toolkit/Emergency-Authority-and-Immunity-Toolkit-Supplemental-Materials/" TargetMode="External"/><Relationship Id="rId1" Type="http://schemas.openxmlformats.org/officeDocument/2006/relationships/numbering" Target="numbering.xml"/><Relationship Id="rId212" Type="http://schemas.openxmlformats.org/officeDocument/2006/relationships/hyperlink" Target="http://www.gpo.gov/fdsys/pkg/PLAW-104publ321/pdf/PLAW-104publ321.pdf" TargetMode="External"/><Relationship Id="rId233" Type="http://schemas.openxmlformats.org/officeDocument/2006/relationships/hyperlink" Target="http://www.fda.gov/emergencypreparedness/counterterrorism/ucm247676.htm" TargetMode="External"/><Relationship Id="rId254" Type="http://schemas.openxmlformats.org/officeDocument/2006/relationships/hyperlink" Target="http://www.phe.gov/preparedness/responders/ndms/Pages/default.aspx" TargetMode="External"/><Relationship Id="rId28" Type="http://schemas.openxmlformats.org/officeDocument/2006/relationships/hyperlink" Target="http://www.astho.org/Programs/Preparedness/Public-Health-Emergency-Law/Emergency-Authority-and-Immunity-Toolkit/Emergency-Authority-and-Immunity-Toolkit-Supplemental-Materials/" TargetMode="External"/><Relationship Id="rId49" Type="http://schemas.openxmlformats.org/officeDocument/2006/relationships/hyperlink" Target="http://www.astho.org/Programs/Preparedness/Public-Health-Emergency-Law/Emergency-Authority-and-Immunity-Toolkit/Emergency-Authority-and-Immunity-Toolkit-Supplemental-Materials/" TargetMode="External"/><Relationship Id="rId114" Type="http://schemas.openxmlformats.org/officeDocument/2006/relationships/hyperlink" Target="http://www.astho.org/Programs/Preparedness/Public-Health-Emergency-Law/Emergency-Authority-and-Immunity-Toolkit/Emergency-Authority-and-Immunity-Toolkit-Supplemental-Materials/" TargetMode="External"/><Relationship Id="rId275" Type="http://schemas.openxmlformats.org/officeDocument/2006/relationships/hyperlink" Target="http://www.phe.gov/preparedness/pages/default.aspx" TargetMode="External"/><Relationship Id="rId296" Type="http://schemas.openxmlformats.org/officeDocument/2006/relationships/hyperlink" Target="http://www.phe.gov/Preparedness/legal/prepact/Pages/prepqa.aspx" TargetMode="External"/><Relationship Id="rId300" Type="http://schemas.openxmlformats.org/officeDocument/2006/relationships/hyperlink" Target="http://www.cms.gov/Emergency" TargetMode="External"/><Relationship Id="rId60" Type="http://schemas.openxmlformats.org/officeDocument/2006/relationships/hyperlink" Target="http://www.astho.org/Programs/Preparedness/Public-Health-Emergency-Law/Emergency-Authority-and-Immunity-Toolkit/Emergency-Authority-and-Immunity-Toolkit-Supplemental-Materials/" TargetMode="External"/><Relationship Id="rId81" Type="http://schemas.openxmlformats.org/officeDocument/2006/relationships/hyperlink" Target="http://www.astho.org/Programs/Preparedness/Public-Health-Emergency-Law/Emergency-Authority-and-Immunity-Toolkit/Emergency-Authority-and-Immunity-Toolkit-Supplemental-Materials/" TargetMode="External"/><Relationship Id="rId135" Type="http://schemas.openxmlformats.org/officeDocument/2006/relationships/hyperlink" Target="http://www.nasi.org/research/1996/environment-disability-income-policy-programs-people-history" TargetMode="External"/><Relationship Id="rId156" Type="http://schemas.openxmlformats.org/officeDocument/2006/relationships/hyperlink" Target="http://www.astho.org/Programs/Preparedness/Public-Health-Emergency-Law/Emergency-Authority-and-Immunity-Toolkit/Emergency-Authority-and-Immunity-Toolkit-Supplemental-Materials/" TargetMode="External"/><Relationship Id="rId177" Type="http://schemas.openxmlformats.org/officeDocument/2006/relationships/hyperlink" Target="http://www.astho.org/Programs/Preparedness/Public-Health-Emergency-Law/Emergency-Authority-and-Immunity-Toolkit/Emergency-Authority-and-Immunity-Toolkit-Supplemental-Materials/" TargetMode="External"/><Relationship Id="rId198" Type="http://schemas.openxmlformats.org/officeDocument/2006/relationships/hyperlink" Target="http://digital.library.unt.edu/ark:/67531/metadc26152/m1/1/high_res_d/R40560_2009Jun15.pdf" TargetMode="External"/><Relationship Id="rId321" Type="http://schemas.openxmlformats.org/officeDocument/2006/relationships/hyperlink" Target="http://www.iaiabc.org/iaiabc/default.asp" TargetMode="External"/><Relationship Id="rId202" Type="http://schemas.openxmlformats.org/officeDocument/2006/relationships/hyperlink" Target="http://www.gpo.gov/fdsys/pkg/USCODE-2005-title42/pdf/USCODE-2005-title42-chap126.pdf" TargetMode="External"/><Relationship Id="rId223" Type="http://schemas.openxmlformats.org/officeDocument/2006/relationships/hyperlink" Target="http://www.astho.org/Programs/Preparedness/Public-Health-Emergency-Law/Emergency-Authority-and-Immunity-Toolkit/Emergency-Authority-and-Immunity-Toolkit-Supplemental-Materials/" TargetMode="External"/><Relationship Id="rId244" Type="http://schemas.openxmlformats.org/officeDocument/2006/relationships/hyperlink" Target="http://frwebgate.access.gpo.gov/cgi-bin/getdoc.cgi?dbname=104_cong_public_laws&amp;docid=f:publ191.104" TargetMode="External"/><Relationship Id="rId18" Type="http://schemas.openxmlformats.org/officeDocument/2006/relationships/hyperlink" Target="http://www.emacweb.org/" TargetMode="External"/><Relationship Id="rId39" Type="http://schemas.openxmlformats.org/officeDocument/2006/relationships/hyperlink" Target="http://www.astho.org/Programs/Preparedness/Public-Health-Emergency-Law/Emergency-Authority-and-Immunity-Toolkit/Emergency-Authority-and-Immunity-Toolkit-Supplemental-Materials/" TargetMode="External"/><Relationship Id="rId265" Type="http://schemas.openxmlformats.org/officeDocument/2006/relationships/hyperlink" Target="http://www.fema.gov/pdf/emergency/nrf/nrf-core.pdf" TargetMode="External"/><Relationship Id="rId286" Type="http://schemas.openxmlformats.org/officeDocument/2006/relationships/hyperlink" Target="http://training.fema.gov/EMIweb/is/icsresource/assets/HSPD-5.pdf" TargetMode="External"/><Relationship Id="rId50" Type="http://schemas.openxmlformats.org/officeDocument/2006/relationships/hyperlink" Target="http://www.publichealthlaw.net/Research/PDF/ESAR%20VHP%20Report.pdf" TargetMode="External"/><Relationship Id="rId104" Type="http://schemas.openxmlformats.org/officeDocument/2006/relationships/hyperlink" Target="http://www.astho.org/Programs/Preparedness/Public-Health-Emergency-Law/Emergency-Authority-and-Immunity-Toolkit/Emergency-Authority-and-Immunity-Toolkit-Supplemental-Materials/" TargetMode="External"/><Relationship Id="rId125" Type="http://schemas.openxmlformats.org/officeDocument/2006/relationships/hyperlink" Target="http://www.nasi.org/research/1996/environment-disability-income-policy-programs-people-history" TargetMode="External"/><Relationship Id="rId146" Type="http://schemas.openxmlformats.org/officeDocument/2006/relationships/hyperlink" Target="http://www.astho.org/Programs/Preparedness/Public-Health-Emergency-Law/Emergency-Authority-and-Immunity-Toolkit/Pandemic-and-All-Hazards-Preparedness-Act-Fact-Sheet/" TargetMode="External"/><Relationship Id="rId167" Type="http://schemas.openxmlformats.org/officeDocument/2006/relationships/hyperlink" Target="http://www.astho.org/Programs/Preparedness/Public-Health-Emergency-Law/Emergency-Authority-and-Immunity-Toolkit/Emergency-Authority-and-Immunity-Toolkit-Supplemental-Materials/" TargetMode="External"/><Relationship Id="rId188" Type="http://schemas.openxmlformats.org/officeDocument/2006/relationships/hyperlink" Target="http://www.astho.org/Programs/Preparedness/Public-Health-Emergency-Law/Emergency-Authority-and-Immunity-Toolkit/Emergency-Authority-and-Immunity-Toolkit-Supplemental-Materials/" TargetMode="External"/><Relationship Id="rId311" Type="http://schemas.openxmlformats.org/officeDocument/2006/relationships/hyperlink" Target="http://uniformlaws.org/Act.aspx?title=Emergency%20Volunteer%20Health%20Practitioners" TargetMode="External"/><Relationship Id="rId71" Type="http://schemas.openxmlformats.org/officeDocument/2006/relationships/hyperlink" Target="http://www.astho.org/Programs/Preparedness/Public-Health-Emergency-Law/Emergency-Authority-and-Immunity-Toolkit/Emergency-Authority-and-Immunity-Toolkit-Supplemental-Materials/" TargetMode="External"/><Relationship Id="rId92" Type="http://schemas.openxmlformats.org/officeDocument/2006/relationships/hyperlink" Target="http://www2.cdc.gov/phlp/docs/Selected%20Fed%20Legal%20Authorities%20re%20PH%20Emergencies%20102709%20v2.pdf" TargetMode="External"/><Relationship Id="rId213" Type="http://schemas.openxmlformats.org/officeDocument/2006/relationships/hyperlink" Target="http://www.emacweb.org/" TargetMode="External"/><Relationship Id="rId234" Type="http://schemas.openxmlformats.org/officeDocument/2006/relationships/hyperlink" Target="http://books.nap.edu/openbook.php?record_id=12952" TargetMode="External"/><Relationship Id="rId2" Type="http://schemas.openxmlformats.org/officeDocument/2006/relationships/styles" Target="styles.xml"/><Relationship Id="rId29" Type="http://schemas.openxmlformats.org/officeDocument/2006/relationships/hyperlink" Target="http://www.astho.org/Programs/Preparedness/Public-Health-Emergency-Law/Emergency-Authority-and-Immunity-Toolkit/Emergency-Authority-and-Immunity-Toolkit-Supplemental-Materials/" TargetMode="External"/><Relationship Id="rId255" Type="http://schemas.openxmlformats.org/officeDocument/2006/relationships/hyperlink" Target="http://www.gpo.gov/fdsys/pkg/USCODE-2009-title50/html/USCODE-2009-title50-chap34.htm" TargetMode="External"/><Relationship Id="rId276" Type="http://schemas.openxmlformats.org/officeDocument/2006/relationships/hyperlink" Target="http://www.fda.gov/EmergencyPreparedness/Counterterrorism/MedicalCountermeasures/MCMLegalRegulatoryandPolicyFramework/ucm359581.htm" TargetMode="External"/><Relationship Id="rId297" Type="http://schemas.openxmlformats.org/officeDocument/2006/relationships/hyperlink" Target="http://www.phe.gov/Preparedness/legal/prepact/Pages/default.aspx" TargetMode="External"/><Relationship Id="rId40" Type="http://schemas.openxmlformats.org/officeDocument/2006/relationships/hyperlink" Target="http://www.astho.org/Programs/Preparedness/Public-Health-Emergency-Law/Emergency-Authority-and-Immunity-Toolkit/Emergency-Authority-and-Immunity-Toolkit-Supplemental-Materials/" TargetMode="External"/><Relationship Id="rId115" Type="http://schemas.openxmlformats.org/officeDocument/2006/relationships/hyperlink" Target="http://www.phe.gov/Preparedness/legal/Pages/phe-qa.aspx" TargetMode="External"/><Relationship Id="rId136" Type="http://schemas.openxmlformats.org/officeDocument/2006/relationships/hyperlink" Target="http://www.ncsl.org/default.aspx?tabid=20628" TargetMode="External"/><Relationship Id="rId157" Type="http://schemas.openxmlformats.org/officeDocument/2006/relationships/hyperlink" Target="http://www.astho.org/Programs/Preparedness/Public-Health-Emergency-Law/Emergency-Authority-and-Immunity-Toolkit/Emergency-Authority-and-Immunity-Toolkit-Supplemental-Materials/" TargetMode="External"/><Relationship Id="rId178" Type="http://schemas.openxmlformats.org/officeDocument/2006/relationships/hyperlink" Target="http://www.astho.org/Programs/Preparedness/Public-Health-Emergency-Law/Emergency-Authority-and-Immunity-Toolkit/Emergency-Authority-and-Immunity-Toolkit-Supplemental-Materials/" TargetMode="External"/><Relationship Id="rId301" Type="http://schemas.openxmlformats.org/officeDocument/2006/relationships/hyperlink" Target="http://www.cms.gov/Emergency/downloads/MedicareFFS-EmergencyQsAs1135Waiver.pdf" TargetMode="External"/><Relationship Id="rId322" Type="http://schemas.openxmlformats.org/officeDocument/2006/relationships/hyperlink" Target="http://www.nasi.org/research/1996/environment-disability-income-policy-programs-people-history" TargetMode="External"/><Relationship Id="rId61" Type="http://schemas.openxmlformats.org/officeDocument/2006/relationships/hyperlink" Target="http://www.astho.org/Programs/Preparedness/Public-Health-Emergency-Law/Emergency-Authority-and-Immunity-Toolkit/Emergency-Authority-and-Immunity-Toolkit-Supplemental-Materials/" TargetMode="External"/><Relationship Id="rId82" Type="http://schemas.openxmlformats.org/officeDocument/2006/relationships/hyperlink" Target="http://www.astho.org/Programs/Preparedness/Public-Health-Emergency-Law/Emergency-Authority-and-Immunity-Toolkit/Emergency-Authority-and-Immunity-Toolkit-Supplemental-Materials/" TargetMode="External"/><Relationship Id="rId199" Type="http://schemas.openxmlformats.org/officeDocument/2006/relationships/hyperlink" Target="http://www.healthlawyers.org/Members/PracticeGroups/THAMC/EmergencyPreparednessToolkit/Pages/default.aspx" TargetMode="External"/><Relationship Id="rId203" Type="http://schemas.openxmlformats.org/officeDocument/2006/relationships/hyperlink" Target="http://www.ada.gov/" TargetMode="External"/><Relationship Id="rId19" Type="http://schemas.openxmlformats.org/officeDocument/2006/relationships/hyperlink" Target="http://www.fema.gov/government/grant/pa/9523_6.shtm" TargetMode="External"/><Relationship Id="rId224" Type="http://schemas.openxmlformats.org/officeDocument/2006/relationships/hyperlink" Target="http://www.phe.gov/esarvhp/pages/about.aspx" TargetMode="External"/><Relationship Id="rId245" Type="http://schemas.openxmlformats.org/officeDocument/2006/relationships/hyperlink" Target="http://www.hhs.gov/ocr/privacy/hipaa/understanding/index.html" TargetMode="External"/><Relationship Id="rId266" Type="http://schemas.openxmlformats.org/officeDocument/2006/relationships/hyperlink" Target="http://www.fema.gov/pdf/emergency/nrf/nrf-esf-08.pdf" TargetMode="External"/><Relationship Id="rId287" Type="http://schemas.openxmlformats.org/officeDocument/2006/relationships/hyperlink" Target="http://www.dhs.gov/xabout/laws/gc_1215444247124.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154</Pages>
  <Words>48303</Words>
  <Characters>275329</Characters>
  <Application>Microsoft Office Word</Application>
  <DocSecurity>0</DocSecurity>
  <Lines>2294</Lines>
  <Paragraphs>645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322987</CharactersWithSpaces>
  <SharedDoc>false</SharedDoc>
  <HLinks>
    <vt:vector size="792" baseType="variant">
      <vt:variant>
        <vt:i4>5242892</vt:i4>
      </vt:variant>
      <vt:variant>
        <vt:i4>393</vt:i4>
      </vt:variant>
      <vt:variant>
        <vt:i4>0</vt:i4>
      </vt:variant>
      <vt:variant>
        <vt:i4>5</vt:i4>
      </vt:variant>
      <vt:variant>
        <vt:lpwstr>http://www.cms.gov/Emergency/Downloads/Consolidated_Medicare_FFS_Emergency_QsAs.pdf</vt:lpwstr>
      </vt:variant>
      <vt:variant>
        <vt:lpwstr/>
      </vt:variant>
      <vt:variant>
        <vt:i4>3997753</vt:i4>
      </vt:variant>
      <vt:variant>
        <vt:i4>390</vt:i4>
      </vt:variant>
      <vt:variant>
        <vt:i4>0</vt:i4>
      </vt:variant>
      <vt:variant>
        <vt:i4>5</vt:i4>
      </vt:variant>
      <vt:variant>
        <vt:lpwstr>http://www.cms.gov/Emergency/downloads/MedicareFFS-EmergencyQsAs1135Waiver.pdf</vt:lpwstr>
      </vt:variant>
      <vt:variant>
        <vt:lpwstr/>
      </vt:variant>
      <vt:variant>
        <vt:i4>3735662</vt:i4>
      </vt:variant>
      <vt:variant>
        <vt:i4>387</vt:i4>
      </vt:variant>
      <vt:variant>
        <vt:i4>0</vt:i4>
      </vt:variant>
      <vt:variant>
        <vt:i4>5</vt:i4>
      </vt:variant>
      <vt:variant>
        <vt:lpwstr>http://www.phe.gov/Preparedness/legal/Pages/phe-qa.aspx</vt:lpwstr>
      </vt:variant>
      <vt:variant>
        <vt:lpwstr/>
      </vt:variant>
      <vt:variant>
        <vt:i4>2556014</vt:i4>
      </vt:variant>
      <vt:variant>
        <vt:i4>384</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Public-Health-Service-Act,-Section-319</vt:lpwstr>
      </vt:variant>
      <vt:variant>
        <vt:i4>917574</vt:i4>
      </vt:variant>
      <vt:variant>
        <vt:i4>381</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Stafford-Act</vt:lpwstr>
      </vt:variant>
      <vt:variant>
        <vt:i4>7995433</vt:i4>
      </vt:variant>
      <vt:variant>
        <vt:i4>378</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National-Emergencies-Act-(NEA),-Section-201-and-301</vt:lpwstr>
      </vt:variant>
      <vt:variant>
        <vt:i4>589832</vt:i4>
      </vt:variant>
      <vt:variant>
        <vt:i4>375</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Social-Security-Act,-Section-1135</vt:lpwstr>
      </vt:variant>
      <vt:variant>
        <vt:i4>4784214</vt:i4>
      </vt:variant>
      <vt:variant>
        <vt:i4>372</vt:i4>
      </vt:variant>
      <vt:variant>
        <vt:i4>0</vt:i4>
      </vt:variant>
      <vt:variant>
        <vt:i4>5</vt:i4>
      </vt:variant>
      <vt:variant>
        <vt:lpwstr>http://www.fema.gov/government/grant/hmgp/index.shtm</vt:lpwstr>
      </vt:variant>
      <vt:variant>
        <vt:lpwstr/>
      </vt:variant>
      <vt:variant>
        <vt:i4>6094959</vt:i4>
      </vt:variant>
      <vt:variant>
        <vt:i4>369</vt:i4>
      </vt:variant>
      <vt:variant>
        <vt:i4>0</vt:i4>
      </vt:variant>
      <vt:variant>
        <vt:i4>5</vt:i4>
      </vt:variant>
      <vt:variant>
        <vt:lpwstr>http://www.fema.gov/government/grant/pa/eligibility_applicants.shtm</vt:lpwstr>
      </vt:variant>
      <vt:variant>
        <vt:lpwstr/>
      </vt:variant>
      <vt:variant>
        <vt:i4>7209015</vt:i4>
      </vt:variant>
      <vt:variant>
        <vt:i4>366</vt:i4>
      </vt:variant>
      <vt:variant>
        <vt:i4>0</vt:i4>
      </vt:variant>
      <vt:variant>
        <vt:i4>5</vt:i4>
      </vt:variant>
      <vt:variant>
        <vt:lpwstr>http://www.fema.gov/index.shtm</vt:lpwstr>
      </vt:variant>
      <vt:variant>
        <vt:lpwstr/>
      </vt:variant>
      <vt:variant>
        <vt:i4>1835072</vt:i4>
      </vt:variant>
      <vt:variant>
        <vt:i4>363</vt:i4>
      </vt:variant>
      <vt:variant>
        <vt:i4>0</vt:i4>
      </vt:variant>
      <vt:variant>
        <vt:i4>5</vt:i4>
      </vt:variant>
      <vt:variant>
        <vt:lpwstr>http://www.phe.gov/Preparedness/planning/authority/Pages/default.aspx</vt:lpwstr>
      </vt:variant>
      <vt:variant>
        <vt:lpwstr/>
      </vt:variant>
      <vt:variant>
        <vt:i4>6094879</vt:i4>
      </vt:variant>
      <vt:variant>
        <vt:i4>360</vt:i4>
      </vt:variant>
      <vt:variant>
        <vt:i4>0</vt:i4>
      </vt:variant>
      <vt:variant>
        <vt:i4>5</vt:i4>
      </vt:variant>
      <vt:variant>
        <vt:lpwstr>http://www2.cdc.gov/phlp/docs/Selected Fed Legal Authorities re PH Emergencies 102709 v2.pdf</vt:lpwstr>
      </vt:variant>
      <vt:variant>
        <vt:lpwstr/>
      </vt:variant>
      <vt:variant>
        <vt:i4>3342393</vt:i4>
      </vt:variant>
      <vt:variant>
        <vt:i4>357</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National-Incident-Management-System-(NIMS)</vt:lpwstr>
      </vt:variant>
      <vt:variant>
        <vt:i4>458773</vt:i4>
      </vt:variant>
      <vt:variant>
        <vt:i4>354</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National-Response-Framework-(NRF)</vt:lpwstr>
      </vt:variant>
      <vt:variant>
        <vt:i4>2293885</vt:i4>
      </vt:variant>
      <vt:variant>
        <vt:i4>351</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Public-Readiness-and-Emergency-Preparedness-Act</vt:lpwstr>
      </vt:variant>
      <vt:variant>
        <vt:i4>3866740</vt:i4>
      </vt:variant>
      <vt:variant>
        <vt:i4>348</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National-Disaster-Medical-System-(NDMS)</vt:lpwstr>
      </vt:variant>
      <vt:variant>
        <vt:i4>2424870</vt:i4>
      </vt:variant>
      <vt:variant>
        <vt:i4>345</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Medical-Reserve-Corps-(MRC)</vt:lpwstr>
      </vt:variant>
      <vt:variant>
        <vt:i4>4325401</vt:i4>
      </vt:variant>
      <vt:variant>
        <vt:i4>342</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Emergency-Management</vt:lpwstr>
      </vt:variant>
      <vt:variant>
        <vt:i4>7995433</vt:i4>
      </vt:variant>
      <vt:variant>
        <vt:i4>339</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National-Emergencies-Act-(NEA),-Section-201-and-301</vt:lpwstr>
      </vt:variant>
      <vt:variant>
        <vt:i4>2556014</vt:i4>
      </vt:variant>
      <vt:variant>
        <vt:i4>336</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Public-Health-Service-Act,-Section-319</vt:lpwstr>
      </vt:variant>
      <vt:variant>
        <vt:i4>589832</vt:i4>
      </vt:variant>
      <vt:variant>
        <vt:i4>333</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Social-Security-Act,-Section-1135</vt:lpwstr>
      </vt:variant>
      <vt:variant>
        <vt:i4>917574</vt:i4>
      </vt:variant>
      <vt:variant>
        <vt:i4>330</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Stafford-Act</vt:lpwstr>
      </vt:variant>
      <vt:variant>
        <vt:i4>983109</vt:i4>
      </vt:variant>
      <vt:variant>
        <vt:i4>327</vt:i4>
      </vt:variant>
      <vt:variant>
        <vt:i4>0</vt:i4>
      </vt:variant>
      <vt:variant>
        <vt:i4>5</vt:i4>
      </vt:variant>
      <vt:variant>
        <vt:lpwstr>http://www.phe.gov/Preparedness/legal/prepact/Pages/default.aspx</vt:lpwstr>
      </vt:variant>
      <vt:variant>
        <vt:lpwstr/>
      </vt:variant>
      <vt:variant>
        <vt:i4>7536736</vt:i4>
      </vt:variant>
      <vt:variant>
        <vt:i4>324</vt:i4>
      </vt:variant>
      <vt:variant>
        <vt:i4>0</vt:i4>
      </vt:variant>
      <vt:variant>
        <vt:i4>5</vt:i4>
      </vt:variant>
      <vt:variant>
        <vt:lpwstr>http://www.hrsa.gov/gethealthcare/conditions/countermeasurescomp/index.html</vt:lpwstr>
      </vt:variant>
      <vt:variant>
        <vt:lpwstr/>
      </vt:variant>
      <vt:variant>
        <vt:i4>3735662</vt:i4>
      </vt:variant>
      <vt:variant>
        <vt:i4>321</vt:i4>
      </vt:variant>
      <vt:variant>
        <vt:i4>0</vt:i4>
      </vt:variant>
      <vt:variant>
        <vt:i4>5</vt:i4>
      </vt:variant>
      <vt:variant>
        <vt:lpwstr>http://www.phe.gov/Preparedness/legal/Pages/phe-qa.aspx</vt:lpwstr>
      </vt:variant>
      <vt:variant>
        <vt:lpwstr/>
      </vt:variant>
      <vt:variant>
        <vt:i4>6094879</vt:i4>
      </vt:variant>
      <vt:variant>
        <vt:i4>318</vt:i4>
      </vt:variant>
      <vt:variant>
        <vt:i4>0</vt:i4>
      </vt:variant>
      <vt:variant>
        <vt:i4>5</vt:i4>
      </vt:variant>
      <vt:variant>
        <vt:lpwstr>http://www2.cdc.gov/phlp/docs/Selected Fed Legal Authorities re PH Emergencies 102709 v2.pdf</vt:lpwstr>
      </vt:variant>
      <vt:variant>
        <vt:lpwstr/>
      </vt:variant>
      <vt:variant>
        <vt:i4>5177414</vt:i4>
      </vt:variant>
      <vt:variant>
        <vt:i4>315</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Emergency-Use-Authorization-(EUA)</vt:lpwstr>
      </vt:variant>
      <vt:variant>
        <vt:i4>8060977</vt:i4>
      </vt:variant>
      <vt:variant>
        <vt:i4>312</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Vaccine-Injury-Compensation-Program</vt:lpwstr>
      </vt:variant>
      <vt:variant>
        <vt:i4>2556014</vt:i4>
      </vt:variant>
      <vt:variant>
        <vt:i4>309</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Public-Health-Service-Act,-Section-319</vt:lpwstr>
      </vt:variant>
      <vt:variant>
        <vt:i4>3473528</vt:i4>
      </vt:variant>
      <vt:variant>
        <vt:i4>306</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Countermeasures-Injury</vt:lpwstr>
      </vt:variant>
      <vt:variant>
        <vt:i4>2293885</vt:i4>
      </vt:variant>
      <vt:variant>
        <vt:i4>303</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Public-Readiness-and-Emergency-Preparedness-Act</vt:lpwstr>
      </vt:variant>
      <vt:variant>
        <vt:i4>3735662</vt:i4>
      </vt:variant>
      <vt:variant>
        <vt:i4>300</vt:i4>
      </vt:variant>
      <vt:variant>
        <vt:i4>0</vt:i4>
      </vt:variant>
      <vt:variant>
        <vt:i4>5</vt:i4>
      </vt:variant>
      <vt:variant>
        <vt:lpwstr>http://www.phe.gov/Preparedness/legal/Pages/phe-qa.aspx</vt:lpwstr>
      </vt:variant>
      <vt:variant>
        <vt:lpwstr/>
      </vt:variant>
      <vt:variant>
        <vt:i4>2031637</vt:i4>
      </vt:variant>
      <vt:variant>
        <vt:i4>297</vt:i4>
      </vt:variant>
      <vt:variant>
        <vt:i4>0</vt:i4>
      </vt:variant>
      <vt:variant>
        <vt:i4>5</vt:i4>
      </vt:variant>
      <vt:variant>
        <vt:lpwstr>https://www.cdc.gov/phlp/docs/ph-emergencies.pdf</vt:lpwstr>
      </vt:variant>
      <vt:variant>
        <vt:lpwstr/>
      </vt:variant>
      <vt:variant>
        <vt:i4>2293885</vt:i4>
      </vt:variant>
      <vt:variant>
        <vt:i4>294</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Public-Readiness-and-Emergency-Preparedness-Act</vt:lpwstr>
      </vt:variant>
      <vt:variant>
        <vt:i4>917574</vt:i4>
      </vt:variant>
      <vt:variant>
        <vt:i4>291</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Stafford-Act</vt:lpwstr>
      </vt:variant>
      <vt:variant>
        <vt:i4>7995433</vt:i4>
      </vt:variant>
      <vt:variant>
        <vt:i4>288</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National-Emergencies-Act-(NEA),-Section-201-and-301</vt:lpwstr>
      </vt:variant>
      <vt:variant>
        <vt:i4>589832</vt:i4>
      </vt:variant>
      <vt:variant>
        <vt:i4>285</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Social-Security-Act,-Section-1135</vt:lpwstr>
      </vt:variant>
      <vt:variant>
        <vt:i4>4653133</vt:i4>
      </vt:variant>
      <vt:variant>
        <vt:i4>282</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Strategic-National-Stockpile</vt:lpwstr>
      </vt:variant>
      <vt:variant>
        <vt:i4>3866740</vt:i4>
      </vt:variant>
      <vt:variant>
        <vt:i4>279</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National-Disaster-Medical-System-(NDMS)</vt:lpwstr>
      </vt:variant>
      <vt:variant>
        <vt:i4>2556014</vt:i4>
      </vt:variant>
      <vt:variant>
        <vt:i4>276</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Public-Health-Service-Act,-Section-319</vt:lpwstr>
      </vt:variant>
      <vt:variant>
        <vt:i4>3735600</vt:i4>
      </vt:variant>
      <vt:variant>
        <vt:i4>273</vt:i4>
      </vt:variant>
      <vt:variant>
        <vt:i4>0</vt:i4>
      </vt:variant>
      <vt:variant>
        <vt:i4>5</vt:i4>
      </vt:variant>
      <vt:variant>
        <vt:lpwstr>http://www.phe.gov/Preparedness/legal/pahpa/Documents/pahpa-at-risk-report0901.pdf</vt:lpwstr>
      </vt:variant>
      <vt:variant>
        <vt:lpwstr/>
      </vt:variant>
      <vt:variant>
        <vt:i4>8323132</vt:i4>
      </vt:variant>
      <vt:variant>
        <vt:i4>270</vt:i4>
      </vt:variant>
      <vt:variant>
        <vt:i4>0</vt:i4>
      </vt:variant>
      <vt:variant>
        <vt:i4>5</vt:i4>
      </vt:variant>
      <vt:variant>
        <vt:lpwstr>http://www.phe.gov/Preparedness/legal/pahpa/Pages/default.aspx</vt:lpwstr>
      </vt:variant>
      <vt:variant>
        <vt:lpwstr/>
      </vt:variant>
      <vt:variant>
        <vt:i4>7733373</vt:i4>
      </vt:variant>
      <vt:variant>
        <vt:i4>267</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HHS-Office-of-the-Assistant-Secretary-for-Preparedness-and-Response-(ASPR)</vt:lpwstr>
      </vt:variant>
      <vt:variant>
        <vt:i4>2293885</vt:i4>
      </vt:variant>
      <vt:variant>
        <vt:i4>264</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Public-Readiness-and-Emergency-Preparedness-Act</vt:lpwstr>
      </vt:variant>
      <vt:variant>
        <vt:i4>7405605</vt:i4>
      </vt:variant>
      <vt:variant>
        <vt:i4>261</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Biomedical-Advanced</vt:lpwstr>
      </vt:variant>
      <vt:variant>
        <vt:i4>5636123</vt:i4>
      </vt:variant>
      <vt:variant>
        <vt:i4>258</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Emergency-System</vt:lpwstr>
      </vt:variant>
      <vt:variant>
        <vt:i4>2424870</vt:i4>
      </vt:variant>
      <vt:variant>
        <vt:i4>255</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Medical-Reserve-Corps-(MRC)</vt:lpwstr>
      </vt:variant>
      <vt:variant>
        <vt:i4>3866740</vt:i4>
      </vt:variant>
      <vt:variant>
        <vt:i4>252</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National-Disaster-Medical-System-(NDMS)</vt:lpwstr>
      </vt:variant>
      <vt:variant>
        <vt:i4>7798827</vt:i4>
      </vt:variant>
      <vt:variant>
        <vt:i4>249</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At-Risk</vt:lpwstr>
      </vt:variant>
      <vt:variant>
        <vt:i4>4849693</vt:i4>
      </vt:variant>
      <vt:variant>
        <vt:i4>246</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National-Health-Security-Strategy</vt:lpwstr>
      </vt:variant>
      <vt:variant>
        <vt:i4>196700</vt:i4>
      </vt:variant>
      <vt:variant>
        <vt:i4>243</vt:i4>
      </vt:variant>
      <vt:variant>
        <vt:i4>0</vt:i4>
      </vt:variant>
      <vt:variant>
        <vt:i4>5</vt:i4>
      </vt:variant>
      <vt:variant>
        <vt:lpwstr>http://www.astho.org/Programs/Preparedness/Public-Health-Emergency-Law/Emergency-Authority-and-Immunity-Toolkit/Emergency-Authority-and-Immunity-Current-Issues-and-Updates-Winter-2012/</vt:lpwstr>
      </vt:variant>
      <vt:variant>
        <vt:lpwstr/>
      </vt:variant>
      <vt:variant>
        <vt:i4>262228</vt:i4>
      </vt:variant>
      <vt:variant>
        <vt:i4>240</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Pandemic-and-All-Hazards-Preparedness-Act-(PAHPA)</vt:lpwstr>
      </vt:variant>
      <vt:variant>
        <vt:i4>3735649</vt:i4>
      </vt:variant>
      <vt:variant>
        <vt:i4>237</vt:i4>
      </vt:variant>
      <vt:variant>
        <vt:i4>0</vt:i4>
      </vt:variant>
      <vt:variant>
        <vt:i4>5</vt:i4>
      </vt:variant>
      <vt:variant>
        <vt:lpwstr>http://www.whitehouse.gov/the-press-office/declaration-a-national-emergency-with-respect-2009-h1n1-influenza-pandemic-0</vt:lpwstr>
      </vt:variant>
      <vt:variant>
        <vt:lpwstr/>
      </vt:variant>
      <vt:variant>
        <vt:i4>4980832</vt:i4>
      </vt:variant>
      <vt:variant>
        <vt:i4>234</vt:i4>
      </vt:variant>
      <vt:variant>
        <vt:i4>0</vt:i4>
      </vt:variant>
      <vt:variant>
        <vt:i4>5</vt:i4>
      </vt:variant>
      <vt:variant>
        <vt:lpwstr>http://www.law.umaryland.edu/marshall/crsreports/crsdocuments/R40560B_05212009.pdf</vt:lpwstr>
      </vt:variant>
      <vt:variant>
        <vt:lpwstr/>
      </vt:variant>
      <vt:variant>
        <vt:i4>7798862</vt:i4>
      </vt:variant>
      <vt:variant>
        <vt:i4>231</vt:i4>
      </vt:variant>
      <vt:variant>
        <vt:i4>0</vt:i4>
      </vt:variant>
      <vt:variant>
        <vt:i4>5</vt:i4>
      </vt:variant>
      <vt:variant>
        <vt:lpwstr>http://www.law.umaryland.edu/marshall/crsreports/crsdocuments/98505_08302007.pdf</vt:lpwstr>
      </vt:variant>
      <vt:variant>
        <vt:lpwstr/>
      </vt:variant>
      <vt:variant>
        <vt:i4>589832</vt:i4>
      </vt:variant>
      <vt:variant>
        <vt:i4>228</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Social-Security-Act,-Section-1135</vt:lpwstr>
      </vt:variant>
      <vt:variant>
        <vt:i4>2556014</vt:i4>
      </vt:variant>
      <vt:variant>
        <vt:i4>225</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Public-Health-Service-Act,-Section-319</vt:lpwstr>
      </vt:variant>
      <vt:variant>
        <vt:i4>7995433</vt:i4>
      </vt:variant>
      <vt:variant>
        <vt:i4>222</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National-Emergencies-Act-(NEA),-Section-201-and-301</vt:lpwstr>
      </vt:variant>
      <vt:variant>
        <vt:i4>4259863</vt:i4>
      </vt:variant>
      <vt:variant>
        <vt:i4>219</vt:i4>
      </vt:variant>
      <vt:variant>
        <vt:i4>0</vt:i4>
      </vt:variant>
      <vt:variant>
        <vt:i4>5</vt:i4>
      </vt:variant>
      <vt:variant>
        <vt:lpwstr>http://www.aha.org/aha/issues/Emergency-Readiness/hospreadiness.html</vt:lpwstr>
      </vt:variant>
      <vt:variant>
        <vt:lpwstr/>
      </vt:variant>
      <vt:variant>
        <vt:i4>6094921</vt:i4>
      </vt:variant>
      <vt:variant>
        <vt:i4>216</vt:i4>
      </vt:variant>
      <vt:variant>
        <vt:i4>0</vt:i4>
      </vt:variant>
      <vt:variant>
        <vt:i4>5</vt:i4>
      </vt:variant>
      <vt:variant>
        <vt:lpwstr>http://water.epa.gov/infrastructure/watersecurity/mutualaid/index.cfm</vt:lpwstr>
      </vt:variant>
      <vt:variant>
        <vt:lpwstr/>
      </vt:variant>
      <vt:variant>
        <vt:i4>1310745</vt:i4>
      </vt:variant>
      <vt:variant>
        <vt:i4>213</vt:i4>
      </vt:variant>
      <vt:variant>
        <vt:i4>0</vt:i4>
      </vt:variant>
      <vt:variant>
        <vt:i4>5</vt:i4>
      </vt:variant>
      <vt:variant>
        <vt:lpwstr>http://www2a.cdc.gov/phlp/mutualaid/index.asp</vt:lpwstr>
      </vt:variant>
      <vt:variant>
        <vt:lpwstr/>
      </vt:variant>
      <vt:variant>
        <vt:i4>3276903</vt:i4>
      </vt:variant>
      <vt:variant>
        <vt:i4>210</vt:i4>
      </vt:variant>
      <vt:variant>
        <vt:i4>0</vt:i4>
      </vt:variant>
      <vt:variant>
        <vt:i4>5</vt:i4>
      </vt:variant>
      <vt:variant>
        <vt:lpwstr>http://www.emacweb.org/</vt:lpwstr>
      </vt:variant>
      <vt:variant>
        <vt:lpwstr/>
      </vt:variant>
      <vt:variant>
        <vt:i4>3276903</vt:i4>
      </vt:variant>
      <vt:variant>
        <vt:i4>207</vt:i4>
      </vt:variant>
      <vt:variant>
        <vt:i4>0</vt:i4>
      </vt:variant>
      <vt:variant>
        <vt:i4>5</vt:i4>
      </vt:variant>
      <vt:variant>
        <vt:lpwstr>http://www.emacweb.org/</vt:lpwstr>
      </vt:variant>
      <vt:variant>
        <vt:lpwstr/>
      </vt:variant>
      <vt:variant>
        <vt:i4>2162762</vt:i4>
      </vt:variant>
      <vt:variant>
        <vt:i4>204</vt:i4>
      </vt:variant>
      <vt:variant>
        <vt:i4>0</vt:i4>
      </vt:variant>
      <vt:variant>
        <vt:i4>5</vt:i4>
      </vt:variant>
      <vt:variant>
        <vt:lpwstr>http://www.fema.gov/government/grant/pa/9523_6.shtm</vt:lpwstr>
      </vt:variant>
      <vt:variant>
        <vt:lpwstr/>
      </vt:variant>
      <vt:variant>
        <vt:i4>917574</vt:i4>
      </vt:variant>
      <vt:variant>
        <vt:i4>201</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Stafford-Act</vt:lpwstr>
      </vt:variant>
      <vt:variant>
        <vt:i4>3342393</vt:i4>
      </vt:variant>
      <vt:variant>
        <vt:i4>198</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National-Incident-Management-System-(NIMS)</vt:lpwstr>
      </vt:variant>
      <vt:variant>
        <vt:i4>4325401</vt:i4>
      </vt:variant>
      <vt:variant>
        <vt:i4>195</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Emergency-Management</vt:lpwstr>
      </vt:variant>
      <vt:variant>
        <vt:i4>7733280</vt:i4>
      </vt:variant>
      <vt:variant>
        <vt:i4>192</vt:i4>
      </vt:variant>
      <vt:variant>
        <vt:i4>0</vt:i4>
      </vt:variant>
      <vt:variant>
        <vt:i4>5</vt:i4>
      </vt:variant>
      <vt:variant>
        <vt:lpwstr>http://www.publichealthlaw.net/Research/PDF/ESAR VHP Report.pdf</vt:lpwstr>
      </vt:variant>
      <vt:variant>
        <vt:lpwstr/>
      </vt:variant>
      <vt:variant>
        <vt:i4>589832</vt:i4>
      </vt:variant>
      <vt:variant>
        <vt:i4>189</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Social-Security-Act,-Section-1135</vt:lpwstr>
      </vt:variant>
      <vt:variant>
        <vt:i4>7077925</vt:i4>
      </vt:variant>
      <vt:variant>
        <vt:i4>186</vt:i4>
      </vt:variant>
      <vt:variant>
        <vt:i4>0</vt:i4>
      </vt:variant>
      <vt:variant>
        <vt:i4>5</vt:i4>
      </vt:variant>
      <vt:variant>
        <vt:lpwstr>http://www.astho.org/Programs/Preparedness/Public-Health-Emergency-Law/Emergency-Authority-and-Immunity-Toolkit/Immunity-Issues-in-Emergencies-Fact-Sheet/</vt:lpwstr>
      </vt:variant>
      <vt:variant>
        <vt:lpwstr/>
      </vt:variant>
      <vt:variant>
        <vt:i4>2293794</vt:i4>
      </vt:variant>
      <vt:variant>
        <vt:i4>183</vt:i4>
      </vt:variant>
      <vt:variant>
        <vt:i4>0</vt:i4>
      </vt:variant>
      <vt:variant>
        <vt:i4>5</vt:i4>
      </vt:variant>
      <vt:variant>
        <vt:lpwstr>http://www.astho.org/Programs/Preparedness/Public-Health-Emergency-Law/Emergency-Authority-and-Immunity-Toolkit/Workers--Compensation-Issues-in-Emergencies-Fact-Sheet/</vt:lpwstr>
      </vt:variant>
      <vt:variant>
        <vt:lpwstr/>
      </vt:variant>
      <vt:variant>
        <vt:i4>7077925</vt:i4>
      </vt:variant>
      <vt:variant>
        <vt:i4>180</vt:i4>
      </vt:variant>
      <vt:variant>
        <vt:i4>0</vt:i4>
      </vt:variant>
      <vt:variant>
        <vt:i4>5</vt:i4>
      </vt:variant>
      <vt:variant>
        <vt:lpwstr>http://www.astho.org/Programs/Preparedness/Public-Health-Emergency-Law/Emergency-Authority-and-Immunity-Toolkit/Immunity-Issues-in-Emergencies-Fact-Sheet/</vt:lpwstr>
      </vt:variant>
      <vt:variant>
        <vt:lpwstr/>
      </vt:variant>
      <vt:variant>
        <vt:i4>2424892</vt:i4>
      </vt:variant>
      <vt:variant>
        <vt:i4>177</vt:i4>
      </vt:variant>
      <vt:variant>
        <vt:i4>0</vt:i4>
      </vt:variant>
      <vt:variant>
        <vt:i4>5</vt:i4>
      </vt:variant>
      <vt:variant>
        <vt:lpwstr>http://www.publichealthlawnetwork.org/</vt:lpwstr>
      </vt:variant>
      <vt:variant>
        <vt:lpwstr/>
      </vt:variant>
      <vt:variant>
        <vt:i4>458828</vt:i4>
      </vt:variant>
      <vt:variant>
        <vt:i4>174</vt:i4>
      </vt:variant>
      <vt:variant>
        <vt:i4>0</vt:i4>
      </vt:variant>
      <vt:variant>
        <vt:i4>5</vt:i4>
      </vt:variant>
      <vt:variant>
        <vt:lpwstr>http://www.publichelathlaw.net/Projects/ESAR-VHP.php</vt:lpwstr>
      </vt:variant>
      <vt:variant>
        <vt:lpwstr/>
      </vt:variant>
      <vt:variant>
        <vt:i4>5832774</vt:i4>
      </vt:variant>
      <vt:variant>
        <vt:i4>171</vt:i4>
      </vt:variant>
      <vt:variant>
        <vt:i4>0</vt:i4>
      </vt:variant>
      <vt:variant>
        <vt:i4>5</vt:i4>
      </vt:variant>
      <vt:variant>
        <vt:lpwstr>http://www.citizencorps.gov/</vt:lpwstr>
      </vt:variant>
      <vt:variant>
        <vt:lpwstr/>
      </vt:variant>
      <vt:variant>
        <vt:i4>4325401</vt:i4>
      </vt:variant>
      <vt:variant>
        <vt:i4>168</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Emergency-Management</vt:lpwstr>
      </vt:variant>
      <vt:variant>
        <vt:i4>2424870</vt:i4>
      </vt:variant>
      <vt:variant>
        <vt:i4>165</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Medical-Reserve-Corps-(MRC)</vt:lpwstr>
      </vt:variant>
      <vt:variant>
        <vt:i4>5636123</vt:i4>
      </vt:variant>
      <vt:variant>
        <vt:i4>162</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Emergency-System</vt:lpwstr>
      </vt:variant>
      <vt:variant>
        <vt:i4>5963792</vt:i4>
      </vt:variant>
      <vt:variant>
        <vt:i4>159</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Uniform-Emergency-Volunteer-Health-Practitioners-Act</vt:lpwstr>
      </vt:variant>
      <vt:variant>
        <vt:i4>2293885</vt:i4>
      </vt:variant>
      <vt:variant>
        <vt:i4>156</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Public-Readiness-and-Emergency-Preparedness-Act</vt:lpwstr>
      </vt:variant>
      <vt:variant>
        <vt:i4>5439554</vt:i4>
      </vt:variant>
      <vt:variant>
        <vt:i4>153</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Volunteer-Protection-Act</vt:lpwstr>
      </vt:variant>
      <vt:variant>
        <vt:i4>7667815</vt:i4>
      </vt:variant>
      <vt:variant>
        <vt:i4>150</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Federal-Tort-Claims-Act-(FTCA)</vt:lpwstr>
      </vt:variant>
      <vt:variant>
        <vt:i4>3342393</vt:i4>
      </vt:variant>
      <vt:variant>
        <vt:i4>147</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National-Incident-Management-System-(NIMS)</vt:lpwstr>
      </vt:variant>
      <vt:variant>
        <vt:i4>983131</vt:i4>
      </vt:variant>
      <vt:variant>
        <vt:i4>144</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Emergency-Support-Function-(ESF)</vt:lpwstr>
      </vt:variant>
      <vt:variant>
        <vt:i4>458773</vt:i4>
      </vt:variant>
      <vt:variant>
        <vt:i4>141</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National-Response-Framework-(NRF)</vt:lpwstr>
      </vt:variant>
      <vt:variant>
        <vt:i4>7078009</vt:i4>
      </vt:variant>
      <vt:variant>
        <vt:i4>138</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National-Strategy-for-Homeland-Security</vt:lpwstr>
      </vt:variant>
      <vt:variant>
        <vt:i4>720904</vt:i4>
      </vt:variant>
      <vt:variant>
        <vt:i4>135</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National-Strategy-for-Pandemic-Influenza</vt:lpwstr>
      </vt:variant>
      <vt:variant>
        <vt:i4>4849693</vt:i4>
      </vt:variant>
      <vt:variant>
        <vt:i4>132</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National-Health-Security-Strategy</vt:lpwstr>
      </vt:variant>
      <vt:variant>
        <vt:i4>2883636</vt:i4>
      </vt:variant>
      <vt:variant>
        <vt:i4>129</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Homeland-Security-Policy-Directives-(HSPD)</vt:lpwstr>
      </vt:variant>
      <vt:variant>
        <vt:i4>5373968</vt:i4>
      </vt:variant>
      <vt:variant>
        <vt:i4>126</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Presidential-Policy-Directives-(PPD)</vt:lpwstr>
      </vt:variant>
      <vt:variant>
        <vt:i4>2883636</vt:i4>
      </vt:variant>
      <vt:variant>
        <vt:i4>123</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Homeland-Security-Policy-Directives-(HSPD)</vt:lpwstr>
      </vt:variant>
      <vt:variant>
        <vt:i4>7667745</vt:i4>
      </vt:variant>
      <vt:variant>
        <vt:i4>120</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Presidential-Directives</vt:lpwstr>
      </vt:variant>
      <vt:variant>
        <vt:i4>7602297</vt:i4>
      </vt:variant>
      <vt:variant>
        <vt:i4>117</vt:i4>
      </vt:variant>
      <vt:variant>
        <vt:i4>0</vt:i4>
      </vt:variant>
      <vt:variant>
        <vt:i4>5</vt:i4>
      </vt:variant>
      <vt:variant>
        <vt:lpwstr>http://www.gao.gov/products/GAO-07-854</vt:lpwstr>
      </vt:variant>
      <vt:variant>
        <vt:lpwstr/>
      </vt:variant>
      <vt:variant>
        <vt:i4>5963841</vt:i4>
      </vt:variant>
      <vt:variant>
        <vt:i4>114</vt:i4>
      </vt:variant>
      <vt:variant>
        <vt:i4>0</vt:i4>
      </vt:variant>
      <vt:variant>
        <vt:i4>5</vt:i4>
      </vt:variant>
      <vt:variant>
        <vt:lpwstr>http://opencrs.com/document/RL34585/</vt:lpwstr>
      </vt:variant>
      <vt:variant>
        <vt:lpwstr/>
      </vt:variant>
      <vt:variant>
        <vt:i4>6750312</vt:i4>
      </vt:variant>
      <vt:variant>
        <vt:i4>111</vt:i4>
      </vt:variant>
      <vt:variant>
        <vt:i4>0</vt:i4>
      </vt:variant>
      <vt:variant>
        <vt:i4>5</vt:i4>
      </vt:variant>
      <vt:variant>
        <vt:lpwstr>http://www2.cdc.gov/phlp/mutualaid/MutualResources.asp</vt:lpwstr>
      </vt:variant>
      <vt:variant>
        <vt:lpwstr/>
      </vt:variant>
      <vt:variant>
        <vt:i4>3276903</vt:i4>
      </vt:variant>
      <vt:variant>
        <vt:i4>108</vt:i4>
      </vt:variant>
      <vt:variant>
        <vt:i4>0</vt:i4>
      </vt:variant>
      <vt:variant>
        <vt:i4>5</vt:i4>
      </vt:variant>
      <vt:variant>
        <vt:lpwstr>http://www.emacweb.org/</vt:lpwstr>
      </vt:variant>
      <vt:variant>
        <vt:lpwstr/>
      </vt:variant>
      <vt:variant>
        <vt:i4>3276903</vt:i4>
      </vt:variant>
      <vt:variant>
        <vt:i4>105</vt:i4>
      </vt:variant>
      <vt:variant>
        <vt:i4>0</vt:i4>
      </vt:variant>
      <vt:variant>
        <vt:i4>5</vt:i4>
      </vt:variant>
      <vt:variant>
        <vt:lpwstr>http://www.emacweb.org/</vt:lpwstr>
      </vt:variant>
      <vt:variant>
        <vt:lpwstr/>
      </vt:variant>
      <vt:variant>
        <vt:i4>6094879</vt:i4>
      </vt:variant>
      <vt:variant>
        <vt:i4>102</vt:i4>
      </vt:variant>
      <vt:variant>
        <vt:i4>0</vt:i4>
      </vt:variant>
      <vt:variant>
        <vt:i4>5</vt:i4>
      </vt:variant>
      <vt:variant>
        <vt:lpwstr>http://www2.cdc.gov/phlp/docs/Selected Fed Legal Authorities re PH Emergencies 102709 v2.pdf</vt:lpwstr>
      </vt:variant>
      <vt:variant>
        <vt:lpwstr/>
      </vt:variant>
      <vt:variant>
        <vt:i4>2162762</vt:i4>
      </vt:variant>
      <vt:variant>
        <vt:i4>99</vt:i4>
      </vt:variant>
      <vt:variant>
        <vt:i4>0</vt:i4>
      </vt:variant>
      <vt:variant>
        <vt:i4>5</vt:i4>
      </vt:variant>
      <vt:variant>
        <vt:lpwstr>http://www.fema.gov/government/grant/pa/9523_6.shtm</vt:lpwstr>
      </vt:variant>
      <vt:variant>
        <vt:lpwstr/>
      </vt:variant>
      <vt:variant>
        <vt:i4>3276903</vt:i4>
      </vt:variant>
      <vt:variant>
        <vt:i4>96</vt:i4>
      </vt:variant>
      <vt:variant>
        <vt:i4>0</vt:i4>
      </vt:variant>
      <vt:variant>
        <vt:i4>5</vt:i4>
      </vt:variant>
      <vt:variant>
        <vt:lpwstr>http://www.emacweb.org/</vt:lpwstr>
      </vt:variant>
      <vt:variant>
        <vt:lpwstr/>
      </vt:variant>
      <vt:variant>
        <vt:i4>3276903</vt:i4>
      </vt:variant>
      <vt:variant>
        <vt:i4>93</vt:i4>
      </vt:variant>
      <vt:variant>
        <vt:i4>0</vt:i4>
      </vt:variant>
      <vt:variant>
        <vt:i4>5</vt:i4>
      </vt:variant>
      <vt:variant>
        <vt:lpwstr>http://www.emacweb.org/</vt:lpwstr>
      </vt:variant>
      <vt:variant>
        <vt:lpwstr/>
      </vt:variant>
      <vt:variant>
        <vt:i4>3342393</vt:i4>
      </vt:variant>
      <vt:variant>
        <vt:i4>90</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National-Incident-Management-System-(NIMS)</vt:lpwstr>
      </vt:variant>
      <vt:variant>
        <vt:i4>4325401</vt:i4>
      </vt:variant>
      <vt:variant>
        <vt:i4>87</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Emergency-Management</vt:lpwstr>
      </vt:variant>
      <vt:variant>
        <vt:i4>8257633</vt:i4>
      </vt:variant>
      <vt:variant>
        <vt:i4>84</vt:i4>
      </vt:variant>
      <vt:variant>
        <vt:i4>0</vt:i4>
      </vt:variant>
      <vt:variant>
        <vt:i4>5</vt:i4>
      </vt:variant>
      <vt:variant>
        <vt:lpwstr>http://www.cdc.gov/phlp/docs/ph-emergencies.pdf</vt:lpwstr>
      </vt:variant>
      <vt:variant>
        <vt:lpwstr/>
      </vt:variant>
      <vt:variant>
        <vt:i4>3342393</vt:i4>
      </vt:variant>
      <vt:variant>
        <vt:i4>81</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National-Incident-Management-System-(NIMS)</vt:lpwstr>
      </vt:variant>
      <vt:variant>
        <vt:i4>458773</vt:i4>
      </vt:variant>
      <vt:variant>
        <vt:i4>78</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National-Response-Framework-(NRF)</vt:lpwstr>
      </vt:variant>
      <vt:variant>
        <vt:i4>2293885</vt:i4>
      </vt:variant>
      <vt:variant>
        <vt:i4>75</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Public-Readiness-and-Emergency-Preparedness-Act</vt:lpwstr>
      </vt:variant>
      <vt:variant>
        <vt:i4>589832</vt:i4>
      </vt:variant>
      <vt:variant>
        <vt:i4>72</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Social-Security-Act,-Section-1135</vt:lpwstr>
      </vt:variant>
      <vt:variant>
        <vt:i4>2556014</vt:i4>
      </vt:variant>
      <vt:variant>
        <vt:i4>69</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Public-Health-Service-Act,-Section-319</vt:lpwstr>
      </vt:variant>
      <vt:variant>
        <vt:i4>7995433</vt:i4>
      </vt:variant>
      <vt:variant>
        <vt:i4>66</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National-Emergencies-Act-(NEA),-Section-201-and-301</vt:lpwstr>
      </vt:variant>
      <vt:variant>
        <vt:i4>917574</vt:i4>
      </vt:variant>
      <vt:variant>
        <vt:i4>63</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Stafford-Act</vt:lpwstr>
      </vt:variant>
      <vt:variant>
        <vt:i4>131086</vt:i4>
      </vt:variant>
      <vt:variant>
        <vt:i4>60</vt:i4>
      </vt:variant>
      <vt:variant>
        <vt:i4>0</vt:i4>
      </vt:variant>
      <vt:variant>
        <vt:i4>5</vt:i4>
      </vt:variant>
      <vt:variant>
        <vt:lpwstr>http://www.astho.org/Programs/Preparedness/Public-Health-Emergency-Law/Emergency-Authority-and-Immunity-Toolkit/Emergency-Authority-and-Immunity-Toolkit-Supplemental-Materials/</vt:lpwstr>
      </vt:variant>
      <vt:variant>
        <vt:lpwstr/>
      </vt:variant>
      <vt:variant>
        <vt:i4>1835083</vt:i4>
      </vt:variant>
      <vt:variant>
        <vt:i4>57</vt:i4>
      </vt:variant>
      <vt:variant>
        <vt:i4>0</vt:i4>
      </vt:variant>
      <vt:variant>
        <vt:i4>5</vt:i4>
      </vt:variant>
      <vt:variant>
        <vt:lpwstr>http://www.astho.org/Programs/Preparedness/Public-Health-Emergency-Law/Emergency-Authority-and-Immunity-Toolkit/Emergency-Authority-and-Immunity-Current-Issues-Summer-2011/</vt:lpwstr>
      </vt:variant>
      <vt:variant>
        <vt:lpwstr/>
      </vt:variant>
      <vt:variant>
        <vt:i4>196700</vt:i4>
      </vt:variant>
      <vt:variant>
        <vt:i4>54</vt:i4>
      </vt:variant>
      <vt:variant>
        <vt:i4>0</vt:i4>
      </vt:variant>
      <vt:variant>
        <vt:i4>5</vt:i4>
      </vt:variant>
      <vt:variant>
        <vt:lpwstr>http://www.astho.org/Programs/Preparedness/Public-Health-Emergency-Law/Emergency-Authority-and-Immunity-Toolkit/Emergency-Authority-and-Immunity-Current-Issues-and-Updates-Winter-2012/</vt:lpwstr>
      </vt:variant>
      <vt:variant>
        <vt:lpwstr/>
      </vt:variant>
      <vt:variant>
        <vt:i4>4128891</vt:i4>
      </vt:variant>
      <vt:variant>
        <vt:i4>51</vt:i4>
      </vt:variant>
      <vt:variant>
        <vt:i4>0</vt:i4>
      </vt:variant>
      <vt:variant>
        <vt:i4>5</vt:i4>
      </vt:variant>
      <vt:variant>
        <vt:lpwstr>http://www.astho.org/Programs/Preparedness/Public-Health-Emergency-Law/Emergency-Authority-and-Immunity-Toolkit/Liability,-Immunity,-and-Workers%E2%80%99-Compensation-Issues-State-Analysis-Guide/</vt:lpwstr>
      </vt:variant>
      <vt:variant>
        <vt:lpwstr/>
      </vt:variant>
      <vt:variant>
        <vt:i4>1966088</vt:i4>
      </vt:variant>
      <vt:variant>
        <vt:i4>48</vt:i4>
      </vt:variant>
      <vt:variant>
        <vt:i4>0</vt:i4>
      </vt:variant>
      <vt:variant>
        <vt:i4>5</vt:i4>
      </vt:variant>
      <vt:variant>
        <vt:lpwstr>http://www.astho.org/Programs/Preparedness/Public-Health-Emergency-Law/Emergency-Authority-and-Immunity-Toolkit/Emergency-Declarations-and-Authorities-State-Analysis-Guide/</vt:lpwstr>
      </vt:variant>
      <vt:variant>
        <vt:lpwstr/>
      </vt:variant>
      <vt:variant>
        <vt:i4>2293795</vt:i4>
      </vt:variant>
      <vt:variant>
        <vt:i4>45</vt:i4>
      </vt:variant>
      <vt:variant>
        <vt:i4>0</vt:i4>
      </vt:variant>
      <vt:variant>
        <vt:i4>5</vt:i4>
      </vt:variant>
      <vt:variant>
        <vt:lpwstr>http://www.astho.org/Programs/Preparedness/Public-Health-Emergency-Law/Emergency-Authority-and-Immunity-Toolkit/Liability,-Immunity,-and-Workers%E2%80%99-Compensation-Issues-in-Public-Health-Emergencies-Issue-Brief/</vt:lpwstr>
      </vt:variant>
      <vt:variant>
        <vt:lpwstr/>
      </vt:variant>
      <vt:variant>
        <vt:i4>2293794</vt:i4>
      </vt:variant>
      <vt:variant>
        <vt:i4>42</vt:i4>
      </vt:variant>
      <vt:variant>
        <vt:i4>0</vt:i4>
      </vt:variant>
      <vt:variant>
        <vt:i4>5</vt:i4>
      </vt:variant>
      <vt:variant>
        <vt:lpwstr>http://www.astho.org/Programs/Preparedness/Public-Health-Emergency-Law/Emergency-Authority-and-Immunity-Toolkit/Workers--Compensation-Issues-in-Emergencies-Fact-Sheet/</vt:lpwstr>
      </vt:variant>
      <vt:variant>
        <vt:lpwstr/>
      </vt:variant>
      <vt:variant>
        <vt:i4>4128803</vt:i4>
      </vt:variant>
      <vt:variant>
        <vt:i4>39</vt:i4>
      </vt:variant>
      <vt:variant>
        <vt:i4>0</vt:i4>
      </vt:variant>
      <vt:variant>
        <vt:i4>5</vt:i4>
      </vt:variant>
      <vt:variant>
        <vt:lpwstr>http://www.astho.org/Programs/Preparedness/Public-Health-Emergency-Law/Emergency-Authority-and-Immunity-Toolkit/Social-Security-Act,-Section-1135-Waiver-Authority-in-National-Emergencies-Fact-Sheet/</vt:lpwstr>
      </vt:variant>
      <vt:variant>
        <vt:lpwstr/>
      </vt:variant>
      <vt:variant>
        <vt:i4>3866674</vt:i4>
      </vt:variant>
      <vt:variant>
        <vt:i4>36</vt:i4>
      </vt:variant>
      <vt:variant>
        <vt:i4>0</vt:i4>
      </vt:variant>
      <vt:variant>
        <vt:i4>5</vt:i4>
      </vt:variant>
      <vt:variant>
        <vt:lpwstr>http://www.astho.org/Programs/Preparedness/Public-Health-Emergency-Law/Emergency-Authority-and-Immunity-Toolkit/Robert-T--Stafford-Disaster-Relief-and-Emergency-Assistance-Act-Fact-Sheet/</vt:lpwstr>
      </vt:variant>
      <vt:variant>
        <vt:lpwstr/>
      </vt:variant>
      <vt:variant>
        <vt:i4>3801123</vt:i4>
      </vt:variant>
      <vt:variant>
        <vt:i4>33</vt:i4>
      </vt:variant>
      <vt:variant>
        <vt:i4>0</vt:i4>
      </vt:variant>
      <vt:variant>
        <vt:i4>5</vt:i4>
      </vt:variant>
      <vt:variant>
        <vt:lpwstr>http://www.astho.org/Programs/Preparedness/Public-Health-Emergency-Law/Emergency-Authority-and-Immunity-Toolkit/Public-Readiness-and-Emergency-Preparedness-Act-Fact-Sheet/</vt:lpwstr>
      </vt:variant>
      <vt:variant>
        <vt:lpwstr/>
      </vt:variant>
      <vt:variant>
        <vt:i4>7209019</vt:i4>
      </vt:variant>
      <vt:variant>
        <vt:i4>30</vt:i4>
      </vt:variant>
      <vt:variant>
        <vt:i4>0</vt:i4>
      </vt:variant>
      <vt:variant>
        <vt:i4>5</vt:i4>
      </vt:variant>
      <vt:variant>
        <vt:lpwstr>http://www.astho.org/Programs/Preparedness/Public-Health-Emergency-Law/Emergency-Authority-and-Immunity-Toolkit/Public-Health-Service-Act,-Section-319-Fact-Sheet/</vt:lpwstr>
      </vt:variant>
      <vt:variant>
        <vt:lpwstr/>
      </vt:variant>
      <vt:variant>
        <vt:i4>4784199</vt:i4>
      </vt:variant>
      <vt:variant>
        <vt:i4>27</vt:i4>
      </vt:variant>
      <vt:variant>
        <vt:i4>0</vt:i4>
      </vt:variant>
      <vt:variant>
        <vt:i4>5</vt:i4>
      </vt:variant>
      <vt:variant>
        <vt:lpwstr>http://www.astho.org/Programs/Preparedness/Public-Health-Emergency-Law/Emergency-Authority-and-Immunity-Toolkit/Pandemic-and-All-Hazards-Preparedness-Act-Fact-Sheet/</vt:lpwstr>
      </vt:variant>
      <vt:variant>
        <vt:lpwstr/>
      </vt:variant>
      <vt:variant>
        <vt:i4>6488104</vt:i4>
      </vt:variant>
      <vt:variant>
        <vt:i4>24</vt:i4>
      </vt:variant>
      <vt:variant>
        <vt:i4>0</vt:i4>
      </vt:variant>
      <vt:variant>
        <vt:i4>5</vt:i4>
      </vt:variant>
      <vt:variant>
        <vt:lpwstr>http://www.astho.org/Programs/Preparedness/Public-Health-Emergency-Law/Emergency-Authority-and-Immunity-Toolkit/National-Emergencies-Act,-Sections-201-and-301-Fact-Sheet/</vt:lpwstr>
      </vt:variant>
      <vt:variant>
        <vt:lpwstr/>
      </vt:variant>
      <vt:variant>
        <vt:i4>1769483</vt:i4>
      </vt:variant>
      <vt:variant>
        <vt:i4>21</vt:i4>
      </vt:variant>
      <vt:variant>
        <vt:i4>0</vt:i4>
      </vt:variant>
      <vt:variant>
        <vt:i4>5</vt:i4>
      </vt:variant>
      <vt:variant>
        <vt:lpwstr>http://www.astho.org/Programs/Preparedness/Public-Health-Emergency-Law/Emergency-Authority-and-Immunity-Toolkit/Mutual-Aid-and-Assistance-Agreements-Fact-Sheet/</vt:lpwstr>
      </vt:variant>
      <vt:variant>
        <vt:lpwstr/>
      </vt:variant>
      <vt:variant>
        <vt:i4>6815871</vt:i4>
      </vt:variant>
      <vt:variant>
        <vt:i4>18</vt:i4>
      </vt:variant>
      <vt:variant>
        <vt:i4>0</vt:i4>
      </vt:variant>
      <vt:variant>
        <vt:i4>5</vt:i4>
      </vt:variant>
      <vt:variant>
        <vt:lpwstr>http://www.astho.org/Programs/Preparedness/Public-Health-Emergency-Law/Emergency-Authority-and-Immunity-Toolkit/Liability-Issues-in-Emergencies-Fact-Sheet/</vt:lpwstr>
      </vt:variant>
      <vt:variant>
        <vt:lpwstr/>
      </vt:variant>
      <vt:variant>
        <vt:i4>7077925</vt:i4>
      </vt:variant>
      <vt:variant>
        <vt:i4>15</vt:i4>
      </vt:variant>
      <vt:variant>
        <vt:i4>0</vt:i4>
      </vt:variant>
      <vt:variant>
        <vt:i4>5</vt:i4>
      </vt:variant>
      <vt:variant>
        <vt:lpwstr>http://www.astho.org/Programs/Preparedness/Public-Health-Emergency-Law/Emergency-Authority-and-Immunity-Toolkit/Immunity-Issues-in-Emergencies-Fact-Sheet/</vt:lpwstr>
      </vt:variant>
      <vt:variant>
        <vt:lpwstr/>
      </vt:variant>
      <vt:variant>
        <vt:i4>1441799</vt:i4>
      </vt:variant>
      <vt:variant>
        <vt:i4>12</vt:i4>
      </vt:variant>
      <vt:variant>
        <vt:i4>0</vt:i4>
      </vt:variant>
      <vt:variant>
        <vt:i4>5</vt:i4>
      </vt:variant>
      <vt:variant>
        <vt:lpwstr>http://www.astho.org/Programs/Preparedness/Public-Health-Emergency-Law/Emergency-Authority-and-Immunity-Toolkit/Federal-Emergency-Preparedness-Directives-and-Systems-Fact-Sheet/</vt:lpwstr>
      </vt:variant>
      <vt:variant>
        <vt:lpwstr/>
      </vt:variant>
      <vt:variant>
        <vt:i4>6881376</vt:i4>
      </vt:variant>
      <vt:variant>
        <vt:i4>9</vt:i4>
      </vt:variant>
      <vt:variant>
        <vt:i4>0</vt:i4>
      </vt:variant>
      <vt:variant>
        <vt:i4>5</vt:i4>
      </vt:variant>
      <vt:variant>
        <vt:lpwstr>http://www.astho.org/Programs/Preparedness/Public-Health-Emergency-Law/Emergency-Authority-and-Immunity-Toolkit/Emergency-Management-Assistance-Compact-Fact-Sheet/</vt:lpwstr>
      </vt:variant>
      <vt:variant>
        <vt:lpwstr/>
      </vt:variant>
      <vt:variant>
        <vt:i4>6291515</vt:i4>
      </vt:variant>
      <vt:variant>
        <vt:i4>6</vt:i4>
      </vt:variant>
      <vt:variant>
        <vt:i4>0</vt:i4>
      </vt:variant>
      <vt:variant>
        <vt:i4>5</vt:i4>
      </vt:variant>
      <vt:variant>
        <vt:lpwstr>http://www.astho.org/Programs/Preparedness/Public-Health-Emergency-Law/Emergency-Authority-and-Immunity-Toolkit/Emergency-Declarations-and-Authorities-Fact-Sheet/</vt:lpwstr>
      </vt:variant>
      <vt:variant>
        <vt:lpwstr/>
      </vt:variant>
      <vt:variant>
        <vt:i4>983054</vt:i4>
      </vt:variant>
      <vt:variant>
        <vt:i4>3</vt:i4>
      </vt:variant>
      <vt:variant>
        <vt:i4>0</vt:i4>
      </vt:variant>
      <vt:variant>
        <vt:i4>5</vt:i4>
      </vt:variant>
      <vt:variant>
        <vt:lpwstr>http://www.astho.org/Programs/Preparedness/Public-Health-Emergency-Law/Emergency-Authority-and-Immunity-Toolkit/Key-Federal-Laws-and-Policies-Regarding-Emergency-Authority-and-Immunity/</vt:lpwstr>
      </vt:variant>
      <vt:variant>
        <vt:lpwstr/>
      </vt:variant>
      <vt:variant>
        <vt:i4>7536688</vt:i4>
      </vt:variant>
      <vt:variant>
        <vt:i4>0</vt:i4>
      </vt:variant>
      <vt:variant>
        <vt:i4>0</vt:i4>
      </vt:variant>
      <vt:variant>
        <vt:i4>5</vt:i4>
      </vt:variant>
      <vt:variant>
        <vt:lpwstr>http://www.astho.org/Programs/Preparedness/Public-Health-Emergency-Law/Emergency-Authority-and-Immunity-Toolkit/Key-Emergency-Authority-and-Immunity-Concepts/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36</cp:revision>
  <dcterms:created xsi:type="dcterms:W3CDTF">2019-05-07T16:47:00Z</dcterms:created>
  <dcterms:modified xsi:type="dcterms:W3CDTF">2019-05-08T22:58:00Z</dcterms:modified>
</cp:coreProperties>
</file>