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0D41B" w14:textId="77777777" w:rsidR="0028359E" w:rsidRPr="00692E81" w:rsidRDefault="0028359E" w:rsidP="00176400">
      <w:pPr>
        <w:spacing w:line="480" w:lineRule="auto"/>
        <w:rPr>
          <w:rFonts w:eastAsia="Times New Roman" w:cstheme="minorHAnsi"/>
          <w:b/>
          <w:bCs/>
          <w:color w:val="3C3030"/>
          <w:sz w:val="24"/>
          <w:szCs w:val="24"/>
        </w:rPr>
      </w:pPr>
      <w:r w:rsidRPr="00692E81">
        <w:rPr>
          <w:rFonts w:eastAsia="Times New Roman" w:cstheme="minorHAnsi"/>
          <w:b/>
          <w:bCs/>
          <w:color w:val="3C3030"/>
          <w:sz w:val="24"/>
          <w:szCs w:val="24"/>
        </w:rPr>
        <w:t>Overview of ASTHO Emergency Use Authorization Toolkit</w:t>
      </w:r>
    </w:p>
    <w:p w14:paraId="3E46181B" w14:textId="77777777"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szCs w:val="20"/>
        </w:rPr>
        <w:t>The </w:t>
      </w:r>
      <w:r w:rsidRPr="00692E81">
        <w:rPr>
          <w:rFonts w:eastAsia="Times New Roman" w:cstheme="minorHAnsi"/>
          <w:i/>
          <w:iCs/>
          <w:szCs w:val="20"/>
          <w:bdr w:val="none" w:sz="0" w:space="0" w:color="auto" w:frame="1"/>
        </w:rPr>
        <w:t>Emergency Use Authorization (EUA) Toolkit </w:t>
      </w:r>
      <w:r w:rsidRPr="00692E81">
        <w:rPr>
          <w:rFonts w:eastAsia="Times New Roman" w:cstheme="minorHAnsi"/>
          <w:szCs w:val="20"/>
        </w:rPr>
        <w:t>addresses key concepts and issues regarding the federal law allowing special uses for drugs, biologics, and devices during specified emergencies. The EUA Toolkit also addresses programs and issues related to the storage, dispensing, and use of medical countermeasures. The toolkit’s component documents are designed to be used in education, training, and planning activities to prepare for emergencies, as well as to serve as a quick reference resource during an emergency response to an event. The </w:t>
      </w:r>
      <w:r w:rsidRPr="00692E81">
        <w:rPr>
          <w:rFonts w:eastAsia="Times New Roman" w:cstheme="minorHAnsi"/>
          <w:i/>
          <w:iCs/>
          <w:szCs w:val="20"/>
          <w:bdr w:val="none" w:sz="0" w:space="0" w:color="auto" w:frame="1"/>
        </w:rPr>
        <w:t>EUA Toolkit </w:t>
      </w:r>
      <w:r w:rsidRPr="00692E81">
        <w:rPr>
          <w:rFonts w:eastAsia="Times New Roman" w:cstheme="minorHAnsi"/>
          <w:szCs w:val="20"/>
        </w:rPr>
        <w:t>is one of six toolkits in ASTHO’s Legal Preparedness Series. Please see the Introduction document for additional background on the project and the other toolkits.</w:t>
      </w:r>
    </w:p>
    <w:p w14:paraId="001A9240" w14:textId="77777777" w:rsidR="00692E81" w:rsidRPr="00692E81" w:rsidRDefault="00692E81" w:rsidP="00176400">
      <w:pPr>
        <w:spacing w:line="480" w:lineRule="auto"/>
        <w:rPr>
          <w:rFonts w:eastAsia="Times New Roman" w:cstheme="minorHAnsi"/>
          <w:b/>
          <w:bCs/>
          <w:sz w:val="28"/>
          <w:szCs w:val="24"/>
        </w:rPr>
      </w:pPr>
    </w:p>
    <w:p w14:paraId="221786DF" w14:textId="1ECB80D8" w:rsidR="0028359E" w:rsidRPr="00692E81" w:rsidRDefault="0028359E" w:rsidP="00176400">
      <w:pPr>
        <w:spacing w:line="480" w:lineRule="auto"/>
        <w:rPr>
          <w:rFonts w:eastAsia="Times New Roman" w:cstheme="minorHAnsi"/>
          <w:b/>
          <w:bCs/>
          <w:sz w:val="24"/>
          <w:szCs w:val="24"/>
        </w:rPr>
      </w:pPr>
      <w:r w:rsidRPr="00692E81">
        <w:rPr>
          <w:rFonts w:eastAsia="Times New Roman" w:cstheme="minorHAnsi"/>
          <w:b/>
          <w:bCs/>
          <w:sz w:val="24"/>
          <w:szCs w:val="24"/>
        </w:rPr>
        <w:t>Intended Audiences</w:t>
      </w:r>
    </w:p>
    <w:p w14:paraId="7B9DE24A" w14:textId="77777777" w:rsidR="0028359E" w:rsidRPr="00692E81" w:rsidRDefault="0028359E" w:rsidP="00176400">
      <w:pPr>
        <w:spacing w:after="225" w:line="480" w:lineRule="auto"/>
        <w:textAlignment w:val="baseline"/>
        <w:rPr>
          <w:rFonts w:eastAsia="Times New Roman" w:cstheme="minorHAnsi"/>
          <w:szCs w:val="20"/>
        </w:rPr>
      </w:pPr>
      <w:r w:rsidRPr="00692E81">
        <w:rPr>
          <w:rFonts w:eastAsia="Times New Roman" w:cstheme="minorHAnsi"/>
          <w:szCs w:val="20"/>
        </w:rPr>
        <w:t>These documents are specifically designed to address the different needs of discrete audiences within a state health agency:</w:t>
      </w:r>
    </w:p>
    <w:p w14:paraId="72FF2372"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State health officers, agency directors, or other senior governmental officials may find the executive overviews and fact sheets of </w:t>
      </w:r>
      <w:proofErr w:type="gramStart"/>
      <w:r w:rsidRPr="00176400">
        <w:rPr>
          <w:rFonts w:eastAsia="Times New Roman" w:cstheme="minorHAnsi"/>
          <w:szCs w:val="20"/>
        </w:rPr>
        <w:t>particular interest</w:t>
      </w:r>
      <w:proofErr w:type="gramEnd"/>
      <w:r w:rsidRPr="00176400">
        <w:rPr>
          <w:rFonts w:eastAsia="Times New Roman" w:cstheme="minorHAnsi"/>
          <w:szCs w:val="20"/>
        </w:rPr>
        <w:t>. </w:t>
      </w:r>
    </w:p>
    <w:p w14:paraId="40FFC247"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176400">
        <w:rPr>
          <w:rFonts w:eastAsia="Times New Roman" w:cstheme="minorHAnsi"/>
          <w:szCs w:val="20"/>
        </w:rPr>
        <w:t>particular concepts</w:t>
      </w:r>
      <w:proofErr w:type="gramEnd"/>
      <w:r w:rsidRPr="00176400">
        <w:rPr>
          <w:rFonts w:eastAsia="Times New Roman" w:cstheme="minorHAnsi"/>
          <w:szCs w:val="20"/>
        </w:rPr>
        <w:t xml:space="preserve"> and legal issues.</w:t>
      </w:r>
    </w:p>
    <w:p w14:paraId="2ECCECFE"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Legal counsel will find the fact sheets about </w:t>
      </w:r>
      <w:proofErr w:type="gramStart"/>
      <w:r w:rsidRPr="00176400">
        <w:rPr>
          <w:rFonts w:eastAsia="Times New Roman" w:cstheme="minorHAnsi"/>
          <w:szCs w:val="20"/>
        </w:rPr>
        <w:t>particular federal</w:t>
      </w:r>
      <w:proofErr w:type="gramEnd"/>
      <w:r w:rsidRPr="00176400">
        <w:rPr>
          <w:rFonts w:eastAsia="Times New Roman" w:cstheme="minorHAnsi"/>
          <w:szCs w:val="20"/>
        </w:rPr>
        <w:t xml:space="preserve"> laws and regulations, issue briefs, state analysis guides, and citations within the resource materials a good basis from which to conduct additional research and analyze their particular state’s authorities on these issues.</w:t>
      </w:r>
    </w:p>
    <w:p w14:paraId="06ACA5E4"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The current issue updates are a good resource for all audiences to learn the latest developments on issues related to the toolkit topic.</w:t>
      </w:r>
    </w:p>
    <w:p w14:paraId="5F187572" w14:textId="77777777" w:rsidR="00692E81" w:rsidRPr="00692E81" w:rsidRDefault="00692E81" w:rsidP="00176400">
      <w:pPr>
        <w:spacing w:line="480" w:lineRule="auto"/>
        <w:rPr>
          <w:rFonts w:eastAsia="Times New Roman" w:cstheme="minorHAnsi"/>
          <w:b/>
          <w:bCs/>
          <w:sz w:val="28"/>
          <w:szCs w:val="24"/>
        </w:rPr>
      </w:pPr>
    </w:p>
    <w:p w14:paraId="2864D899" w14:textId="16694212" w:rsidR="0028359E" w:rsidRPr="00692E81" w:rsidRDefault="0028359E" w:rsidP="00176400">
      <w:pPr>
        <w:spacing w:line="480" w:lineRule="auto"/>
        <w:rPr>
          <w:rFonts w:eastAsia="Times New Roman" w:cstheme="minorHAnsi"/>
          <w:b/>
          <w:bCs/>
          <w:sz w:val="24"/>
          <w:szCs w:val="24"/>
        </w:rPr>
      </w:pPr>
      <w:bookmarkStart w:id="0" w:name="TOC_top"/>
      <w:bookmarkStart w:id="1" w:name="_GoBack"/>
      <w:bookmarkEnd w:id="1"/>
      <w:r w:rsidRPr="00692E81">
        <w:rPr>
          <w:rFonts w:eastAsia="Times New Roman" w:cstheme="minorHAnsi"/>
          <w:b/>
          <w:bCs/>
          <w:sz w:val="24"/>
          <w:szCs w:val="24"/>
        </w:rPr>
        <w:t>Emergency Use Authorization Toolkit Contents</w:t>
      </w:r>
    </w:p>
    <w:bookmarkEnd w:id="0"/>
    <w:p w14:paraId="4CC2A4F5" w14:textId="77777777" w:rsidR="00692E81" w:rsidRDefault="0028359E" w:rsidP="00176400">
      <w:pPr>
        <w:spacing w:line="480" w:lineRule="auto"/>
        <w:textAlignment w:val="baseline"/>
        <w:rPr>
          <w:rFonts w:eastAsia="Times New Roman" w:cstheme="minorHAnsi"/>
          <w:b/>
          <w:bCs/>
          <w:szCs w:val="20"/>
          <w:bdr w:val="none" w:sz="0" w:space="0" w:color="auto" w:frame="1"/>
        </w:rPr>
      </w:pPr>
      <w:r w:rsidRPr="00692E81">
        <w:rPr>
          <w:rFonts w:eastAsia="Times New Roman" w:cstheme="minorHAnsi"/>
          <w:i/>
          <w:iCs/>
          <w:szCs w:val="20"/>
          <w:bdr w:val="none" w:sz="0" w:space="0" w:color="auto" w:frame="1"/>
        </w:rPr>
        <w:t>All documents are listed alphabetically within each document category</w:t>
      </w:r>
      <w:r w:rsidRPr="00692E81">
        <w:rPr>
          <w:rFonts w:eastAsia="Times New Roman" w:cstheme="minorHAnsi"/>
          <w:szCs w:val="20"/>
        </w:rPr>
        <w:br/>
      </w:r>
    </w:p>
    <w:p w14:paraId="3FD624F9" w14:textId="62E02A46"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Executive Overviews</w:t>
      </w:r>
      <w:r w:rsidRPr="00692E81">
        <w:rPr>
          <w:rFonts w:eastAsia="Times New Roman" w:cstheme="minorHAnsi"/>
          <w:szCs w:val="20"/>
        </w:rPr>
        <w:br/>
      </w:r>
      <w:r w:rsidRPr="00692E81">
        <w:rPr>
          <w:rFonts w:eastAsia="Times New Roman" w:cstheme="minorHAnsi"/>
          <w:i/>
          <w:iCs/>
          <w:szCs w:val="20"/>
          <w:bdr w:val="none" w:sz="0" w:space="0" w:color="auto" w:frame="1"/>
        </w:rPr>
        <w:t>One-page snapshots of key concepts and issues</w:t>
      </w:r>
    </w:p>
    <w:p w14:paraId="15553190" w14:textId="338A6B67" w:rsidR="0028359E" w:rsidRPr="00213D00" w:rsidRDefault="00213D00" w:rsidP="00176400">
      <w:pPr>
        <w:pStyle w:val="ListParagraph"/>
        <w:numPr>
          <w:ilvl w:val="0"/>
          <w:numId w:val="10"/>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"KeyEUA_MCM_Progs_EO" \o "Key Emergency Use Authorization and Medical Countermeasures Laws and Programs"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213D00">
        <w:rPr>
          <w:rStyle w:val="Hyperlink"/>
          <w:rFonts w:eastAsia="Times New Roman" w:cstheme="minorHAnsi"/>
          <w:szCs w:val="20"/>
          <w:bdr w:val="none" w:sz="0" w:space="0" w:color="auto" w:frame="1"/>
        </w:rPr>
        <w:t>Key Emergency Use Authorizatio</w:t>
      </w:r>
      <w:r w:rsidR="0028359E" w:rsidRPr="00213D00">
        <w:rPr>
          <w:rStyle w:val="Hyperlink"/>
          <w:rFonts w:eastAsia="Times New Roman" w:cstheme="minorHAnsi"/>
          <w:szCs w:val="20"/>
          <w:bdr w:val="none" w:sz="0" w:space="0" w:color="auto" w:frame="1"/>
        </w:rPr>
        <w:t>n</w:t>
      </w:r>
      <w:r w:rsidR="0028359E" w:rsidRPr="00213D00">
        <w:rPr>
          <w:rStyle w:val="Hyperlink"/>
          <w:rFonts w:eastAsia="Times New Roman" w:cstheme="minorHAnsi"/>
          <w:szCs w:val="20"/>
          <w:bdr w:val="none" w:sz="0" w:space="0" w:color="auto" w:frame="1"/>
        </w:rPr>
        <w:t xml:space="preserve"> and Medical Countermeasures Laws and Programs</w:t>
      </w:r>
    </w:p>
    <w:p w14:paraId="785152BE" w14:textId="062DB2F7" w:rsidR="00692E81" w:rsidRDefault="00213D00" w:rsidP="00176400">
      <w:pPr>
        <w:spacing w:line="480" w:lineRule="auto"/>
        <w:textAlignment w:val="baseline"/>
        <w:rPr>
          <w:rFonts w:eastAsia="Times New Roman" w:cstheme="minorHAnsi"/>
          <w:b/>
          <w:bCs/>
          <w:szCs w:val="20"/>
          <w:bdr w:val="none" w:sz="0" w:space="0" w:color="auto" w:frame="1"/>
        </w:rPr>
      </w:pPr>
      <w:r>
        <w:rPr>
          <w:rFonts w:eastAsia="Times New Roman" w:cstheme="minorHAnsi"/>
          <w:color w:val="0F88B8"/>
          <w:szCs w:val="20"/>
          <w:u w:val="single"/>
          <w:bdr w:val="none" w:sz="0" w:space="0" w:color="auto" w:frame="1"/>
        </w:rPr>
        <w:fldChar w:fldCharType="end"/>
      </w:r>
    </w:p>
    <w:p w14:paraId="005B1145" w14:textId="161D2CEE"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Fact Sheets</w:t>
      </w:r>
      <w:r w:rsidRPr="00692E81">
        <w:rPr>
          <w:rFonts w:eastAsia="Times New Roman" w:cstheme="minorHAnsi"/>
          <w:szCs w:val="20"/>
        </w:rPr>
        <w:br/>
      </w:r>
      <w:r w:rsidRPr="00692E81">
        <w:rPr>
          <w:rFonts w:eastAsia="Times New Roman" w:cstheme="minorHAnsi"/>
          <w:i/>
          <w:iCs/>
          <w:szCs w:val="20"/>
          <w:bdr w:val="none" w:sz="0" w:space="0" w:color="auto" w:frame="1"/>
        </w:rPr>
        <w:t>Short documents addressing fundamental issues or legal authorities</w:t>
      </w:r>
    </w:p>
    <w:p w14:paraId="40B24122" w14:textId="547641BB" w:rsidR="0028359E" w:rsidRPr="00213D00" w:rsidRDefault="00213D00"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"FDCA564_FS" \o "Emergency Use Authorization: §564 of the Federal Food, Drug, and Cosmetic Act (FD&amp;amp;C Act)"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213D00">
        <w:rPr>
          <w:rStyle w:val="Hyperlink"/>
          <w:rFonts w:eastAsia="Times New Roman" w:cstheme="minorHAnsi"/>
          <w:szCs w:val="20"/>
          <w:bdr w:val="none" w:sz="0" w:space="0" w:color="auto" w:frame="1"/>
        </w:rPr>
        <w:t>Emergency Use Authorization: §564 of the Federal Food, Drug, an</w:t>
      </w:r>
      <w:r w:rsidR="0028359E" w:rsidRPr="00213D00">
        <w:rPr>
          <w:rStyle w:val="Hyperlink"/>
          <w:rFonts w:eastAsia="Times New Roman" w:cstheme="minorHAnsi"/>
          <w:szCs w:val="20"/>
          <w:bdr w:val="none" w:sz="0" w:space="0" w:color="auto" w:frame="1"/>
        </w:rPr>
        <w:t>d</w:t>
      </w:r>
      <w:r w:rsidR="0028359E" w:rsidRPr="00213D00">
        <w:rPr>
          <w:rStyle w:val="Hyperlink"/>
          <w:rFonts w:eastAsia="Times New Roman" w:cstheme="minorHAnsi"/>
          <w:szCs w:val="20"/>
          <w:bdr w:val="none" w:sz="0" w:space="0" w:color="auto" w:frame="1"/>
        </w:rPr>
        <w:t xml:space="preserve"> Cosmetic Act (FD&amp;C Act)</w:t>
      </w:r>
    </w:p>
    <w:p w14:paraId="1179909E" w14:textId="6B2C847E" w:rsidR="0028359E" w:rsidRPr="00213D00" w:rsidRDefault="00213D00"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"EUA_IND_Compare_FS" \o "Comparing Emergency Use Authorization to Investigational New Drug &amp;amp; Investigational Device Exemption Protocols"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213D00">
        <w:rPr>
          <w:rStyle w:val="Hyperlink"/>
          <w:rFonts w:eastAsia="Times New Roman" w:cstheme="minorHAnsi"/>
          <w:szCs w:val="20"/>
          <w:bdr w:val="none" w:sz="0" w:space="0" w:color="auto" w:frame="1"/>
        </w:rPr>
        <w:t>Comparing Emergency Use Authorization to Investigational New</w:t>
      </w:r>
      <w:r w:rsidR="0028359E" w:rsidRPr="00213D00">
        <w:rPr>
          <w:rStyle w:val="Hyperlink"/>
          <w:rFonts w:eastAsia="Times New Roman" w:cstheme="minorHAnsi"/>
          <w:szCs w:val="20"/>
          <w:bdr w:val="none" w:sz="0" w:space="0" w:color="auto" w:frame="1"/>
        </w:rPr>
        <w:t xml:space="preserve"> </w:t>
      </w:r>
      <w:r w:rsidR="0028359E" w:rsidRPr="00213D00">
        <w:rPr>
          <w:rStyle w:val="Hyperlink"/>
          <w:rFonts w:eastAsia="Times New Roman" w:cstheme="minorHAnsi"/>
          <w:szCs w:val="20"/>
          <w:bdr w:val="none" w:sz="0" w:space="0" w:color="auto" w:frame="1"/>
        </w:rPr>
        <w:t>Drug &amp; Investigational Device Exemption Protocols</w:t>
      </w:r>
    </w:p>
    <w:p w14:paraId="7FADC866" w14:textId="7FD0DC5C" w:rsidR="0028359E" w:rsidRPr="00213D00" w:rsidRDefault="00213D00"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"SELP_FS" \o "Federal Shelf Life Extension Program (SLEP)"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213D00">
        <w:rPr>
          <w:rStyle w:val="Hyperlink"/>
          <w:rFonts w:eastAsia="Times New Roman" w:cstheme="minorHAnsi"/>
          <w:szCs w:val="20"/>
          <w:bdr w:val="none" w:sz="0" w:space="0" w:color="auto" w:frame="1"/>
        </w:rPr>
        <w:t>Federal Shelf Life Extension Program</w:t>
      </w:r>
      <w:r w:rsidR="0028359E" w:rsidRPr="00213D00">
        <w:rPr>
          <w:rStyle w:val="Hyperlink"/>
          <w:rFonts w:eastAsia="Times New Roman" w:cstheme="minorHAnsi"/>
          <w:szCs w:val="20"/>
          <w:bdr w:val="none" w:sz="0" w:space="0" w:color="auto" w:frame="1"/>
        </w:rPr>
        <w:t xml:space="preserve"> </w:t>
      </w:r>
      <w:r w:rsidR="0028359E" w:rsidRPr="00213D00">
        <w:rPr>
          <w:rStyle w:val="Hyperlink"/>
          <w:rFonts w:eastAsia="Times New Roman" w:cstheme="minorHAnsi"/>
          <w:szCs w:val="20"/>
          <w:bdr w:val="none" w:sz="0" w:space="0" w:color="auto" w:frame="1"/>
        </w:rPr>
        <w:t>(SLEP)</w:t>
      </w:r>
    </w:p>
    <w:p w14:paraId="48EDEA70" w14:textId="6DDE4CC7" w:rsidR="0028359E" w:rsidRPr="00552871" w:rsidRDefault="00213D00"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sidR="00552871">
        <w:rPr>
          <w:rFonts w:eastAsia="Times New Roman" w:cstheme="minorHAnsi"/>
          <w:color w:val="0F88B8"/>
          <w:szCs w:val="20"/>
          <w:u w:val="single"/>
          <w:bdr w:val="none" w:sz="0" w:space="0" w:color="auto" w:frame="1"/>
        </w:rPr>
        <w:fldChar w:fldCharType="begin"/>
      </w:r>
      <w:r w:rsidR="00552871">
        <w:rPr>
          <w:rFonts w:eastAsia="Times New Roman" w:cstheme="minorHAnsi"/>
          <w:color w:val="0F88B8"/>
          <w:szCs w:val="20"/>
          <w:u w:val="single"/>
          <w:bdr w:val="none" w:sz="0" w:space="0" w:color="auto" w:frame="1"/>
        </w:rPr>
        <w:instrText xml:space="preserve"> HYPERLINK  \l "Bioshield_FS" \o "Project BioShield Act" </w:instrText>
      </w:r>
      <w:r w:rsidR="00552871">
        <w:rPr>
          <w:rFonts w:eastAsia="Times New Roman" w:cstheme="minorHAnsi"/>
          <w:color w:val="0F88B8"/>
          <w:szCs w:val="20"/>
          <w:u w:val="single"/>
          <w:bdr w:val="none" w:sz="0" w:space="0" w:color="auto" w:frame="1"/>
        </w:rPr>
      </w:r>
      <w:r w:rsidR="00552871">
        <w:rPr>
          <w:rFonts w:eastAsia="Times New Roman" w:cstheme="minorHAnsi"/>
          <w:color w:val="0F88B8"/>
          <w:szCs w:val="20"/>
          <w:u w:val="single"/>
          <w:bdr w:val="none" w:sz="0" w:space="0" w:color="auto" w:frame="1"/>
        </w:rPr>
        <w:fldChar w:fldCharType="separate"/>
      </w:r>
      <w:r w:rsidR="0028359E" w:rsidRPr="00552871">
        <w:rPr>
          <w:rStyle w:val="Hyperlink"/>
          <w:rFonts w:eastAsia="Times New Roman" w:cstheme="minorHAnsi"/>
          <w:szCs w:val="20"/>
          <w:bdr w:val="none" w:sz="0" w:space="0" w:color="auto" w:frame="1"/>
        </w:rPr>
        <w:t xml:space="preserve">Project </w:t>
      </w:r>
      <w:proofErr w:type="spellStart"/>
      <w:r w:rsidR="0028359E" w:rsidRPr="00552871">
        <w:rPr>
          <w:rStyle w:val="Hyperlink"/>
          <w:rFonts w:eastAsia="Times New Roman" w:cstheme="minorHAnsi"/>
          <w:szCs w:val="20"/>
          <w:bdr w:val="none" w:sz="0" w:space="0" w:color="auto" w:frame="1"/>
        </w:rPr>
        <w:t>BioShi</w:t>
      </w:r>
      <w:r w:rsidR="0028359E" w:rsidRPr="00552871">
        <w:rPr>
          <w:rStyle w:val="Hyperlink"/>
          <w:rFonts w:eastAsia="Times New Roman" w:cstheme="minorHAnsi"/>
          <w:szCs w:val="20"/>
          <w:bdr w:val="none" w:sz="0" w:space="0" w:color="auto" w:frame="1"/>
        </w:rPr>
        <w:t>e</w:t>
      </w:r>
      <w:r w:rsidR="0028359E" w:rsidRPr="00552871">
        <w:rPr>
          <w:rStyle w:val="Hyperlink"/>
          <w:rFonts w:eastAsia="Times New Roman" w:cstheme="minorHAnsi"/>
          <w:szCs w:val="20"/>
          <w:bdr w:val="none" w:sz="0" w:space="0" w:color="auto" w:frame="1"/>
        </w:rPr>
        <w:t>ld</w:t>
      </w:r>
      <w:proofErr w:type="spellEnd"/>
      <w:r w:rsidR="0028359E" w:rsidRPr="00552871">
        <w:rPr>
          <w:rStyle w:val="Hyperlink"/>
          <w:rFonts w:eastAsia="Times New Roman" w:cstheme="minorHAnsi"/>
          <w:szCs w:val="20"/>
          <w:bdr w:val="none" w:sz="0" w:space="0" w:color="auto" w:frame="1"/>
        </w:rPr>
        <w:t xml:space="preserve"> Act</w:t>
      </w:r>
    </w:p>
    <w:p w14:paraId="6A47AE6A" w14:textId="70CE090C" w:rsidR="0028359E" w:rsidRPr="00552871" w:rsidRDefault="00552871"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"PREP_Act_FS" \o "Public Readiness and Emergency Preparedness Act (PREP Act)"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552871">
        <w:rPr>
          <w:rStyle w:val="Hyperlink"/>
          <w:rFonts w:eastAsia="Times New Roman" w:cstheme="minorHAnsi"/>
          <w:szCs w:val="20"/>
          <w:bdr w:val="none" w:sz="0" w:space="0" w:color="auto" w:frame="1"/>
        </w:rPr>
        <w:t>Public Readiness and Emergency Preparedness Ac</w:t>
      </w:r>
      <w:r w:rsidR="0028359E" w:rsidRPr="00552871">
        <w:rPr>
          <w:rStyle w:val="Hyperlink"/>
          <w:rFonts w:eastAsia="Times New Roman" w:cstheme="minorHAnsi"/>
          <w:szCs w:val="20"/>
          <w:bdr w:val="none" w:sz="0" w:space="0" w:color="auto" w:frame="1"/>
        </w:rPr>
        <w:t>t</w:t>
      </w:r>
      <w:r w:rsidR="0028359E" w:rsidRPr="00552871">
        <w:rPr>
          <w:rStyle w:val="Hyperlink"/>
          <w:rFonts w:eastAsia="Times New Roman" w:cstheme="minorHAnsi"/>
          <w:szCs w:val="20"/>
          <w:bdr w:val="none" w:sz="0" w:space="0" w:color="auto" w:frame="1"/>
        </w:rPr>
        <w:t xml:space="preserve"> (PREP Act)</w:t>
      </w:r>
    </w:p>
    <w:p w14:paraId="5AFB0FA4" w14:textId="2EE89488" w:rsidR="0028359E" w:rsidRPr="00552871" w:rsidRDefault="00552871" w:rsidP="00176400">
      <w:pPr>
        <w:pStyle w:val="ListParagraph"/>
        <w:numPr>
          <w:ilvl w:val="0"/>
          <w:numId w:val="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"SNS_FS" \o "Strategic National Stockpile (SNS)"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552871">
        <w:rPr>
          <w:rStyle w:val="Hyperlink"/>
          <w:rFonts w:eastAsia="Times New Roman" w:cstheme="minorHAnsi"/>
          <w:szCs w:val="20"/>
          <w:bdr w:val="none" w:sz="0" w:space="0" w:color="auto" w:frame="1"/>
        </w:rPr>
        <w:t>Strategic National St</w:t>
      </w:r>
      <w:r w:rsidR="0028359E" w:rsidRPr="00552871">
        <w:rPr>
          <w:rStyle w:val="Hyperlink"/>
          <w:rFonts w:eastAsia="Times New Roman" w:cstheme="minorHAnsi"/>
          <w:szCs w:val="20"/>
          <w:bdr w:val="none" w:sz="0" w:space="0" w:color="auto" w:frame="1"/>
        </w:rPr>
        <w:t>o</w:t>
      </w:r>
      <w:r w:rsidR="0028359E" w:rsidRPr="00552871">
        <w:rPr>
          <w:rStyle w:val="Hyperlink"/>
          <w:rFonts w:eastAsia="Times New Roman" w:cstheme="minorHAnsi"/>
          <w:szCs w:val="20"/>
          <w:bdr w:val="none" w:sz="0" w:space="0" w:color="auto" w:frame="1"/>
        </w:rPr>
        <w:t>ckpile (SNS)</w:t>
      </w:r>
    </w:p>
    <w:p w14:paraId="4FD0BE31" w14:textId="79750FC8" w:rsidR="00692E81" w:rsidRDefault="00552871" w:rsidP="00176400">
      <w:pPr>
        <w:spacing w:line="480" w:lineRule="auto"/>
        <w:textAlignment w:val="baseline"/>
        <w:rPr>
          <w:rFonts w:eastAsia="Times New Roman" w:cstheme="minorHAnsi"/>
          <w:b/>
          <w:bCs/>
          <w:szCs w:val="20"/>
          <w:bdr w:val="none" w:sz="0" w:space="0" w:color="auto" w:frame="1"/>
        </w:rPr>
      </w:pPr>
      <w:r>
        <w:rPr>
          <w:rFonts w:eastAsia="Times New Roman" w:cstheme="minorHAnsi"/>
          <w:color w:val="0F88B8"/>
          <w:szCs w:val="20"/>
          <w:u w:val="single"/>
          <w:bdr w:val="none" w:sz="0" w:space="0" w:color="auto" w:frame="1"/>
        </w:rPr>
        <w:fldChar w:fldCharType="end"/>
      </w:r>
    </w:p>
    <w:p w14:paraId="6C93FF6F" w14:textId="51233C65"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Issue Briefs</w:t>
      </w:r>
      <w:r w:rsidRPr="00692E81">
        <w:rPr>
          <w:rFonts w:eastAsia="Times New Roman" w:cstheme="minorHAnsi"/>
          <w:szCs w:val="20"/>
        </w:rPr>
        <w:br/>
      </w:r>
      <w:r w:rsidRPr="00692E81">
        <w:rPr>
          <w:rFonts w:eastAsia="Times New Roman" w:cstheme="minorHAnsi"/>
          <w:i/>
          <w:iCs/>
          <w:szCs w:val="20"/>
          <w:bdr w:val="none" w:sz="0" w:space="0" w:color="auto" w:frame="1"/>
        </w:rPr>
        <w:t>In-depth information and analyses of fundamental issues</w:t>
      </w:r>
    </w:p>
    <w:p w14:paraId="04BB4502" w14:textId="77777777" w:rsidR="0028359E" w:rsidRPr="00176400" w:rsidRDefault="0028359E" w:rsidP="00176400">
      <w:pPr>
        <w:pStyle w:val="ListParagraph"/>
        <w:numPr>
          <w:ilvl w:val="0"/>
          <w:numId w:val="11"/>
        </w:numPr>
        <w:spacing w:line="480" w:lineRule="auto"/>
        <w:textAlignment w:val="baseline"/>
        <w:rPr>
          <w:rFonts w:eastAsia="Times New Roman" w:cstheme="minorHAnsi"/>
          <w:szCs w:val="20"/>
        </w:rPr>
      </w:pPr>
      <w:r w:rsidRPr="00176400">
        <w:rPr>
          <w:rFonts w:eastAsia="Times New Roman" w:cstheme="minorHAnsi"/>
          <w:szCs w:val="20"/>
        </w:rPr>
        <w:t>No issue briefs in the toolkit currently</w:t>
      </w:r>
    </w:p>
    <w:p w14:paraId="438E9CD4"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1F52FE9F" w14:textId="271DF6B7"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State Analysis Guides</w:t>
      </w:r>
      <w:r w:rsidRPr="00692E81">
        <w:rPr>
          <w:rFonts w:eastAsia="Times New Roman" w:cstheme="minorHAnsi"/>
          <w:szCs w:val="20"/>
        </w:rPr>
        <w:br/>
      </w:r>
      <w:r w:rsidRPr="00692E81">
        <w:rPr>
          <w:rFonts w:eastAsia="Times New Roman" w:cstheme="minorHAnsi"/>
          <w:i/>
          <w:iCs/>
          <w:szCs w:val="20"/>
          <w:bdr w:val="none" w:sz="0" w:space="0" w:color="auto" w:frame="1"/>
        </w:rPr>
        <w:t>Aids to assist states in identifying and analyzing their own statutes, regulations, and policies</w:t>
      </w:r>
    </w:p>
    <w:p w14:paraId="4DFEE9A2" w14:textId="66B9A8C7" w:rsidR="0028359E" w:rsidRPr="00784CF8" w:rsidRDefault="00784CF8" w:rsidP="00176400">
      <w:pPr>
        <w:pStyle w:val="ListParagraph"/>
        <w:numPr>
          <w:ilvl w:val="0"/>
          <w:numId w:val="12"/>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lastRenderedPageBreak/>
        <w:fldChar w:fldCharType="begin"/>
      </w:r>
      <w:r>
        <w:rPr>
          <w:rFonts w:eastAsia="Times New Roman" w:cstheme="minorHAnsi"/>
          <w:color w:val="0F88B8"/>
          <w:szCs w:val="20"/>
          <w:u w:val="single"/>
          <w:bdr w:val="none" w:sz="0" w:space="0" w:color="auto" w:frame="1"/>
        </w:rPr>
        <w:instrText xml:space="preserve"> HYPERLINK  \l "State_Pharma_SAG" \o "State Pharmaceutical and Dispensing Authorities"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784CF8">
        <w:rPr>
          <w:rStyle w:val="Hyperlink"/>
          <w:rFonts w:eastAsia="Times New Roman" w:cstheme="minorHAnsi"/>
          <w:szCs w:val="20"/>
          <w:bdr w:val="none" w:sz="0" w:space="0" w:color="auto" w:frame="1"/>
        </w:rPr>
        <w:t>State Pharmaceutical and Dispensing Authorit</w:t>
      </w:r>
      <w:r w:rsidR="0028359E" w:rsidRPr="00784CF8">
        <w:rPr>
          <w:rStyle w:val="Hyperlink"/>
          <w:rFonts w:eastAsia="Times New Roman" w:cstheme="minorHAnsi"/>
          <w:szCs w:val="20"/>
          <w:bdr w:val="none" w:sz="0" w:space="0" w:color="auto" w:frame="1"/>
        </w:rPr>
        <w:t>i</w:t>
      </w:r>
      <w:r w:rsidR="0028359E" w:rsidRPr="00784CF8">
        <w:rPr>
          <w:rStyle w:val="Hyperlink"/>
          <w:rFonts w:eastAsia="Times New Roman" w:cstheme="minorHAnsi"/>
          <w:szCs w:val="20"/>
          <w:bdr w:val="none" w:sz="0" w:space="0" w:color="auto" w:frame="1"/>
        </w:rPr>
        <w:t>es</w:t>
      </w:r>
    </w:p>
    <w:p w14:paraId="6C7D89D7" w14:textId="2A4CCC1D" w:rsidR="00692E81" w:rsidRDefault="00784CF8" w:rsidP="00176400">
      <w:pPr>
        <w:spacing w:line="480" w:lineRule="auto"/>
        <w:textAlignment w:val="baseline"/>
        <w:rPr>
          <w:rFonts w:eastAsia="Times New Roman" w:cstheme="minorHAnsi"/>
          <w:b/>
          <w:bCs/>
          <w:szCs w:val="20"/>
          <w:bdr w:val="none" w:sz="0" w:space="0" w:color="auto" w:frame="1"/>
        </w:rPr>
      </w:pPr>
      <w:r>
        <w:rPr>
          <w:rFonts w:eastAsia="Times New Roman" w:cstheme="minorHAnsi"/>
          <w:color w:val="0F88B8"/>
          <w:szCs w:val="20"/>
          <w:u w:val="single"/>
          <w:bdr w:val="none" w:sz="0" w:space="0" w:color="auto" w:frame="1"/>
        </w:rPr>
        <w:fldChar w:fldCharType="end"/>
      </w:r>
    </w:p>
    <w:p w14:paraId="4755DDD1" w14:textId="1F1B1190"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Current Issues and Updates</w:t>
      </w:r>
      <w:r w:rsidRPr="00692E81">
        <w:rPr>
          <w:rFonts w:eastAsia="Times New Roman" w:cstheme="minorHAnsi"/>
          <w:szCs w:val="20"/>
        </w:rPr>
        <w:br/>
      </w:r>
      <w:r w:rsidRPr="00692E81">
        <w:rPr>
          <w:rFonts w:eastAsia="Times New Roman" w:cstheme="minorHAnsi"/>
          <w:i/>
          <w:iCs/>
          <w:szCs w:val="20"/>
          <w:bdr w:val="none" w:sz="0" w:space="0" w:color="auto" w:frame="1"/>
        </w:rPr>
        <w:t>Periodic updates on new and evolving issues</w:t>
      </w:r>
    </w:p>
    <w:p w14:paraId="442B7F54" w14:textId="66E7ACC4" w:rsidR="0028359E" w:rsidRPr="00784CF8" w:rsidRDefault="00784CF8" w:rsidP="00176400">
      <w:pPr>
        <w:pStyle w:val="ListParagraph"/>
        <w:numPr>
          <w:ilvl w:val="0"/>
          <w:numId w:val="13"/>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"Winter2012_CIU" \o "Current Issues and Updates—Winter 2012—Pandemic and All-Hazards Preparedness Act Reauthorization"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784CF8">
        <w:rPr>
          <w:rStyle w:val="Hyperlink"/>
          <w:rFonts w:eastAsia="Times New Roman" w:cstheme="minorHAnsi"/>
          <w:szCs w:val="20"/>
          <w:bdr w:val="none" w:sz="0" w:space="0" w:color="auto" w:frame="1"/>
        </w:rPr>
        <w:t>Current Issues and Updates—Winter 2012—Pandemic and All-Hazard</w:t>
      </w:r>
      <w:r w:rsidR="0028359E" w:rsidRPr="00784CF8">
        <w:rPr>
          <w:rStyle w:val="Hyperlink"/>
          <w:rFonts w:eastAsia="Times New Roman" w:cstheme="minorHAnsi"/>
          <w:szCs w:val="20"/>
          <w:bdr w:val="none" w:sz="0" w:space="0" w:color="auto" w:frame="1"/>
        </w:rPr>
        <w:t>s</w:t>
      </w:r>
      <w:r w:rsidR="0028359E" w:rsidRPr="00784CF8">
        <w:rPr>
          <w:rStyle w:val="Hyperlink"/>
          <w:rFonts w:eastAsia="Times New Roman" w:cstheme="minorHAnsi"/>
          <w:szCs w:val="20"/>
          <w:bdr w:val="none" w:sz="0" w:space="0" w:color="auto" w:frame="1"/>
        </w:rPr>
        <w:t xml:space="preserve"> Preparedness Act Reauthorization</w:t>
      </w:r>
    </w:p>
    <w:p w14:paraId="53C0A2A4" w14:textId="7AE4D2D6" w:rsidR="0028359E" w:rsidRPr="00222579" w:rsidRDefault="00784CF8" w:rsidP="00176400">
      <w:pPr>
        <w:pStyle w:val="ListParagraph"/>
        <w:numPr>
          <w:ilvl w:val="0"/>
          <w:numId w:val="13"/>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end"/>
      </w:r>
      <w:r w:rsidR="00222579">
        <w:rPr>
          <w:rFonts w:eastAsia="Times New Roman" w:cstheme="minorHAnsi"/>
          <w:color w:val="0F88B8"/>
          <w:szCs w:val="20"/>
          <w:u w:val="single"/>
          <w:bdr w:val="none" w:sz="0" w:space="0" w:color="auto" w:frame="1"/>
        </w:rPr>
        <w:fldChar w:fldCharType="begin"/>
      </w:r>
      <w:r w:rsidR="00222579">
        <w:rPr>
          <w:rFonts w:eastAsia="Times New Roman" w:cstheme="minorHAnsi"/>
          <w:color w:val="0F88B8"/>
          <w:szCs w:val="20"/>
          <w:u w:val="single"/>
          <w:bdr w:val="none" w:sz="0" w:space="0" w:color="auto" w:frame="1"/>
        </w:rPr>
        <w:instrText xml:space="preserve"> HYPERLINK  \l "Fall2011_CIU" \o "Current Issues and Updates—Fall 2011—FDA Doxycycline Mass Dispensing EUA" </w:instrText>
      </w:r>
      <w:r w:rsidR="00222579">
        <w:rPr>
          <w:rFonts w:eastAsia="Times New Roman" w:cstheme="minorHAnsi"/>
          <w:color w:val="0F88B8"/>
          <w:szCs w:val="20"/>
          <w:u w:val="single"/>
          <w:bdr w:val="none" w:sz="0" w:space="0" w:color="auto" w:frame="1"/>
        </w:rPr>
      </w:r>
      <w:r w:rsidR="00222579">
        <w:rPr>
          <w:rFonts w:eastAsia="Times New Roman" w:cstheme="minorHAnsi"/>
          <w:color w:val="0F88B8"/>
          <w:szCs w:val="20"/>
          <w:u w:val="single"/>
          <w:bdr w:val="none" w:sz="0" w:space="0" w:color="auto" w:frame="1"/>
        </w:rPr>
        <w:fldChar w:fldCharType="separate"/>
      </w:r>
      <w:r w:rsidR="0028359E" w:rsidRPr="00222579">
        <w:rPr>
          <w:rStyle w:val="Hyperlink"/>
          <w:rFonts w:eastAsia="Times New Roman" w:cstheme="minorHAnsi"/>
          <w:szCs w:val="20"/>
          <w:bdr w:val="none" w:sz="0" w:space="0" w:color="auto" w:frame="1"/>
        </w:rPr>
        <w:t>Current Issues and Updates—Fall 2011—FDA Doxycy</w:t>
      </w:r>
      <w:r w:rsidR="0028359E" w:rsidRPr="00222579">
        <w:rPr>
          <w:rStyle w:val="Hyperlink"/>
          <w:rFonts w:eastAsia="Times New Roman" w:cstheme="minorHAnsi"/>
          <w:szCs w:val="20"/>
          <w:bdr w:val="none" w:sz="0" w:space="0" w:color="auto" w:frame="1"/>
        </w:rPr>
        <w:t>c</w:t>
      </w:r>
      <w:r w:rsidR="0028359E" w:rsidRPr="00222579">
        <w:rPr>
          <w:rStyle w:val="Hyperlink"/>
          <w:rFonts w:eastAsia="Times New Roman" w:cstheme="minorHAnsi"/>
          <w:szCs w:val="20"/>
          <w:bdr w:val="none" w:sz="0" w:space="0" w:color="auto" w:frame="1"/>
        </w:rPr>
        <w:t>line Mass Dispensing EUA</w:t>
      </w:r>
    </w:p>
    <w:p w14:paraId="202C415A" w14:textId="63F9CCE8" w:rsidR="0028359E" w:rsidRPr="00222579" w:rsidRDefault="00222579" w:rsidP="00176400">
      <w:pPr>
        <w:pStyle w:val="ListParagraph"/>
        <w:numPr>
          <w:ilvl w:val="0"/>
          <w:numId w:val="13"/>
        </w:numPr>
        <w:spacing w:line="480" w:lineRule="auto"/>
        <w:textAlignment w:val="baseline"/>
        <w:rPr>
          <w:rStyle w:val="Hyperlink"/>
          <w:rFonts w:eastAsia="Times New Roman" w:cstheme="minorHAnsi"/>
          <w:sz w:val="20"/>
          <w:szCs w:val="20"/>
        </w:rPr>
      </w:pPr>
      <w:r>
        <w:rPr>
          <w:rFonts w:eastAsia="Times New Roman" w:cstheme="minorHAnsi"/>
          <w:color w:val="0F88B8"/>
          <w:szCs w:val="20"/>
          <w:u w:val="single"/>
          <w:bdr w:val="none" w:sz="0" w:space="0" w:color="auto" w:frame="1"/>
        </w:rPr>
        <w:fldChar w:fldCharType="end"/>
      </w: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"Summer2011_CIU" \o "Current Issues and Updates—Summer 2011—Evolving Policy Issues"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222579">
        <w:rPr>
          <w:rStyle w:val="Hyperlink"/>
          <w:rFonts w:eastAsia="Times New Roman" w:cstheme="minorHAnsi"/>
          <w:szCs w:val="20"/>
          <w:bdr w:val="none" w:sz="0" w:space="0" w:color="auto" w:frame="1"/>
        </w:rPr>
        <w:t>Current Issues and Updates—Summer 2011—Evolving Policy I</w:t>
      </w:r>
      <w:r w:rsidR="0028359E" w:rsidRPr="00222579">
        <w:rPr>
          <w:rStyle w:val="Hyperlink"/>
          <w:rFonts w:eastAsia="Times New Roman" w:cstheme="minorHAnsi"/>
          <w:szCs w:val="20"/>
          <w:bdr w:val="none" w:sz="0" w:space="0" w:color="auto" w:frame="1"/>
        </w:rPr>
        <w:t>s</w:t>
      </w:r>
      <w:r w:rsidR="0028359E" w:rsidRPr="00222579">
        <w:rPr>
          <w:rStyle w:val="Hyperlink"/>
          <w:rFonts w:eastAsia="Times New Roman" w:cstheme="minorHAnsi"/>
          <w:szCs w:val="20"/>
          <w:bdr w:val="none" w:sz="0" w:space="0" w:color="auto" w:frame="1"/>
        </w:rPr>
        <w:t>sues</w:t>
      </w:r>
    </w:p>
    <w:p w14:paraId="5A523729" w14:textId="062825A5" w:rsidR="00692E81" w:rsidRDefault="00222579" w:rsidP="00176400">
      <w:pPr>
        <w:spacing w:line="480" w:lineRule="auto"/>
        <w:textAlignment w:val="baseline"/>
        <w:rPr>
          <w:rFonts w:eastAsia="Times New Roman" w:cstheme="minorHAnsi"/>
          <w:b/>
          <w:bCs/>
          <w:szCs w:val="20"/>
          <w:bdr w:val="none" w:sz="0" w:space="0" w:color="auto" w:frame="1"/>
        </w:rPr>
      </w:pPr>
      <w:r>
        <w:rPr>
          <w:rFonts w:eastAsia="Times New Roman" w:cstheme="minorHAnsi"/>
          <w:color w:val="0F88B8"/>
          <w:szCs w:val="20"/>
          <w:u w:val="single"/>
          <w:bdr w:val="none" w:sz="0" w:space="0" w:color="auto" w:frame="1"/>
        </w:rPr>
        <w:fldChar w:fldCharType="end"/>
      </w:r>
    </w:p>
    <w:p w14:paraId="5CD3D004" w14:textId="30F8F816"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Resource Materials</w:t>
      </w:r>
      <w:r w:rsidRPr="00692E81">
        <w:rPr>
          <w:rFonts w:eastAsia="Times New Roman" w:cstheme="minorHAnsi"/>
          <w:szCs w:val="20"/>
        </w:rPr>
        <w:br/>
      </w:r>
      <w:r w:rsidRPr="00692E81">
        <w:rPr>
          <w:rFonts w:eastAsia="Times New Roman" w:cstheme="minorHAnsi"/>
          <w:i/>
          <w:iCs/>
          <w:szCs w:val="20"/>
          <w:bdr w:val="none" w:sz="0" w:space="0" w:color="auto" w:frame="1"/>
        </w:rPr>
        <w:t>Bibliographies and links to key agencies, organizations, laws, and other documents</w:t>
      </w:r>
    </w:p>
    <w:p w14:paraId="44E01DBE" w14:textId="160C1D5C" w:rsidR="0028359E" w:rsidRPr="00476F93" w:rsidRDefault="00476F93" w:rsidP="00176400">
      <w:pPr>
        <w:pStyle w:val="ListParagraph"/>
        <w:numPr>
          <w:ilvl w:val="0"/>
          <w:numId w:val="14"/>
        </w:numPr>
        <w:spacing w:line="480" w:lineRule="auto"/>
        <w:textAlignment w:val="baseline"/>
        <w:rPr>
          <w:rStyle w:val="Hyperlink"/>
          <w:rFonts w:eastAsia="Times New Roman" w:cstheme="minorHAnsi"/>
          <w:szCs w:val="20"/>
        </w:rPr>
      </w:pPr>
      <w:r>
        <w:rPr>
          <w:rFonts w:eastAsia="Times New Roman" w:cstheme="minorHAnsi"/>
          <w:color w:val="0F88B8"/>
          <w:szCs w:val="20"/>
          <w:u w:val="single"/>
          <w:bdr w:val="none" w:sz="0" w:space="0" w:color="auto" w:frame="1"/>
        </w:rPr>
        <w:fldChar w:fldCharType="begin"/>
      </w:r>
      <w:r>
        <w:rPr>
          <w:rFonts w:eastAsia="Times New Roman" w:cstheme="minorHAnsi"/>
          <w:color w:val="0F88B8"/>
          <w:szCs w:val="20"/>
          <w:u w:val="single"/>
          <w:bdr w:val="none" w:sz="0" w:space="0" w:color="auto" w:frame="1"/>
        </w:rPr>
        <w:instrText xml:space="preserve"> HYPERLINK  \l "SuppMats" \o "Emergency Use Authorization Supplemental Materials Document" </w:instrText>
      </w:r>
      <w:r>
        <w:rPr>
          <w:rFonts w:eastAsia="Times New Roman" w:cstheme="minorHAnsi"/>
          <w:color w:val="0F88B8"/>
          <w:szCs w:val="20"/>
          <w:u w:val="single"/>
          <w:bdr w:val="none" w:sz="0" w:space="0" w:color="auto" w:frame="1"/>
        </w:rPr>
      </w:r>
      <w:r>
        <w:rPr>
          <w:rFonts w:eastAsia="Times New Roman" w:cstheme="minorHAnsi"/>
          <w:color w:val="0F88B8"/>
          <w:szCs w:val="20"/>
          <w:u w:val="single"/>
          <w:bdr w:val="none" w:sz="0" w:space="0" w:color="auto" w:frame="1"/>
        </w:rPr>
        <w:fldChar w:fldCharType="separate"/>
      </w:r>
      <w:r w:rsidR="0028359E" w:rsidRPr="00476F93">
        <w:rPr>
          <w:rStyle w:val="Hyperlink"/>
          <w:rFonts w:eastAsia="Times New Roman" w:cstheme="minorHAnsi"/>
          <w:szCs w:val="20"/>
          <w:bdr w:val="none" w:sz="0" w:space="0" w:color="auto" w:frame="1"/>
        </w:rPr>
        <w:t>Emergency Use Authorization Supplement</w:t>
      </w:r>
      <w:r w:rsidR="0028359E" w:rsidRPr="00476F93">
        <w:rPr>
          <w:rStyle w:val="Hyperlink"/>
          <w:rFonts w:eastAsia="Times New Roman" w:cstheme="minorHAnsi"/>
          <w:szCs w:val="20"/>
          <w:bdr w:val="none" w:sz="0" w:space="0" w:color="auto" w:frame="1"/>
        </w:rPr>
        <w:t>a</w:t>
      </w:r>
      <w:r w:rsidR="0028359E" w:rsidRPr="00476F93">
        <w:rPr>
          <w:rStyle w:val="Hyperlink"/>
          <w:rFonts w:eastAsia="Times New Roman" w:cstheme="minorHAnsi"/>
          <w:szCs w:val="20"/>
          <w:bdr w:val="none" w:sz="0" w:space="0" w:color="auto" w:frame="1"/>
        </w:rPr>
        <w:t>l Materials Document</w:t>
      </w:r>
    </w:p>
    <w:p w14:paraId="64E1D844" w14:textId="2001B16B" w:rsidR="0028359E" w:rsidRPr="00692E81" w:rsidRDefault="00476F93" w:rsidP="00176400">
      <w:pPr>
        <w:spacing w:after="225" w:line="480" w:lineRule="auto"/>
        <w:textAlignment w:val="baseline"/>
        <w:rPr>
          <w:rFonts w:eastAsia="Times New Roman" w:cstheme="minorHAnsi"/>
          <w:color w:val="737373"/>
          <w:szCs w:val="20"/>
        </w:rPr>
      </w:pPr>
      <w:r>
        <w:rPr>
          <w:rFonts w:eastAsia="Times New Roman" w:cstheme="minorHAnsi"/>
          <w:color w:val="0F88B8"/>
          <w:szCs w:val="20"/>
          <w:u w:val="single"/>
          <w:bdr w:val="none" w:sz="0" w:space="0" w:color="auto" w:frame="1"/>
        </w:rPr>
        <w:fldChar w:fldCharType="end"/>
      </w:r>
      <w:r w:rsidR="0028359E" w:rsidRPr="00692E81">
        <w:rPr>
          <w:rFonts w:eastAsia="Times New Roman" w:cstheme="minorHAnsi"/>
          <w:color w:val="737373"/>
          <w:szCs w:val="20"/>
        </w:rPr>
        <w:t> </w:t>
      </w:r>
    </w:p>
    <w:p w14:paraId="294B1B6C" w14:textId="23ACF7F3" w:rsidR="00763925" w:rsidRDefault="00763925">
      <w:pPr>
        <w:rPr>
          <w:rFonts w:cstheme="minorHAnsi"/>
          <w:sz w:val="24"/>
        </w:rPr>
      </w:pPr>
      <w:r>
        <w:rPr>
          <w:rFonts w:cstheme="minorHAnsi"/>
          <w:sz w:val="24"/>
        </w:rPr>
        <w:br w:type="page"/>
      </w:r>
    </w:p>
    <w:p w14:paraId="77B04A6F" w14:textId="77777777" w:rsidR="00206E4B" w:rsidRDefault="00206E4B" w:rsidP="00DD1CD1">
      <w:pPr>
        <w:rPr>
          <w:rFonts w:eastAsia="Times New Roman" w:cstheme="minorHAnsi"/>
          <w:b/>
          <w:bCs/>
          <w:color w:val="333333"/>
          <w:spacing w:val="15"/>
          <w:kern w:val="36"/>
          <w:sz w:val="28"/>
          <w:szCs w:val="36"/>
        </w:rPr>
      </w:pPr>
      <w:bookmarkStart w:id="2" w:name="KeyEUA_MCM_Progs_EO"/>
      <w:r w:rsidRPr="00A85B94">
        <w:rPr>
          <w:rFonts w:eastAsia="Times New Roman" w:cstheme="minorHAnsi"/>
          <w:b/>
          <w:bCs/>
          <w:color w:val="333333"/>
          <w:spacing w:val="15"/>
          <w:kern w:val="36"/>
          <w:sz w:val="28"/>
          <w:szCs w:val="36"/>
        </w:rPr>
        <w:lastRenderedPageBreak/>
        <w:t>Key Emergency Use Authorization and Medical Countermeasures Laws and Programs</w:t>
      </w:r>
    </w:p>
    <w:bookmarkEnd w:id="2"/>
    <w:p w14:paraId="4124770A" w14:textId="77777777" w:rsidR="00206E4B" w:rsidRPr="00A85B94" w:rsidRDefault="00206E4B" w:rsidP="00DD1CD1">
      <w:pPr>
        <w:spacing w:line="480" w:lineRule="auto"/>
        <w:rPr>
          <w:rFonts w:eastAsia="Times New Roman" w:cstheme="minorHAnsi"/>
          <w:b/>
          <w:bCs/>
          <w:color w:val="333333"/>
          <w:spacing w:val="15"/>
          <w:kern w:val="36"/>
          <w:sz w:val="28"/>
          <w:szCs w:val="36"/>
        </w:rPr>
      </w:pPr>
    </w:p>
    <w:p w14:paraId="2EF79812" w14:textId="77777777" w:rsidR="00206E4B" w:rsidRPr="00A85B94" w:rsidRDefault="00206E4B" w:rsidP="00DD1CD1">
      <w:pPr>
        <w:spacing w:line="480" w:lineRule="auto"/>
        <w:rPr>
          <w:rFonts w:eastAsia="Times New Roman" w:cstheme="minorHAnsi"/>
          <w:b/>
          <w:bCs/>
          <w:color w:val="3C3030"/>
          <w:sz w:val="24"/>
          <w:szCs w:val="24"/>
        </w:rPr>
      </w:pPr>
      <w:r w:rsidRPr="00A85B94">
        <w:rPr>
          <w:rFonts w:eastAsia="Times New Roman" w:cstheme="minorHAnsi"/>
          <w:b/>
          <w:bCs/>
          <w:color w:val="3C3030"/>
          <w:sz w:val="24"/>
          <w:szCs w:val="24"/>
        </w:rPr>
        <w:t>Executive Overview</w:t>
      </w:r>
    </w:p>
    <w:p w14:paraId="6B91B16B" w14:textId="77777777" w:rsidR="00206E4B" w:rsidRPr="00DD1CD1"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This document provides a brief overview of the key laws and programs related to FDA’s Emergency Use Authorization (EUA) authority and other medical countermeasures initiatives. Additional details on these and other concepts are contained in other fact sheets in the ASTHO </w:t>
      </w:r>
      <w:hyperlink r:id="rId7" w:tooltip="Emergency Use Authorization Toolkit" w:history="1">
        <w:r w:rsidRPr="00A85B94">
          <w:rPr>
            <w:rFonts w:eastAsia="Times New Roman" w:cstheme="minorHAnsi"/>
            <w:color w:val="0F88B8"/>
            <w:szCs w:val="20"/>
            <w:bdr w:val="none" w:sz="0" w:space="0" w:color="auto" w:frame="1"/>
          </w:rPr>
          <w:t>Emergency Use Authorization Toolkit</w:t>
        </w:r>
      </w:hyperlink>
      <w:r w:rsidRPr="00A85B94">
        <w:rPr>
          <w:rFonts w:eastAsia="Times New Roman" w:cstheme="minorHAnsi"/>
          <w:color w:val="737373"/>
          <w:szCs w:val="20"/>
        </w:rPr>
        <w:t>.</w:t>
      </w:r>
    </w:p>
    <w:p w14:paraId="4F504FA1" w14:textId="77777777" w:rsidR="00206E4B" w:rsidRPr="00A85B94" w:rsidRDefault="00206E4B" w:rsidP="00DD1CD1">
      <w:pPr>
        <w:shd w:val="clear" w:color="auto" w:fill="FFFFFF"/>
        <w:spacing w:line="480" w:lineRule="auto"/>
        <w:textAlignment w:val="baseline"/>
        <w:rPr>
          <w:rFonts w:eastAsia="Times New Roman" w:cstheme="minorHAnsi"/>
          <w:szCs w:val="20"/>
        </w:rPr>
      </w:pPr>
    </w:p>
    <w:p w14:paraId="570BB3C5"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Note: As of March 2012, Congress is in the process of reauthorizing the </w:t>
      </w:r>
      <w:hyperlink r:id="rId8" w:anchor="Pandemic-And" w:tooltip="Pandemic and All-Hazards Preparedness Act (PAHPA)" w:history="1">
        <w:r w:rsidRPr="00A85B94">
          <w:rPr>
            <w:rFonts w:eastAsia="Times New Roman" w:cstheme="minorHAnsi"/>
            <w:color w:val="0F88B8"/>
            <w:szCs w:val="20"/>
            <w:bdr w:val="none" w:sz="0" w:space="0" w:color="auto" w:frame="1"/>
          </w:rPr>
          <w:t>Pandemic and All-Hazards Preparedness Act (PAHPA)</w:t>
        </w:r>
      </w:hyperlink>
      <w:r w:rsidRPr="00A85B94">
        <w:rPr>
          <w:rFonts w:eastAsia="Times New Roman" w:cstheme="minorHAnsi"/>
          <w:color w:val="737373"/>
          <w:szCs w:val="20"/>
        </w:rPr>
        <w:t xml:space="preserve">, </w:t>
      </w:r>
      <w:r w:rsidRPr="00A85B94">
        <w:rPr>
          <w:rFonts w:eastAsia="Times New Roman" w:cstheme="minorHAnsi"/>
          <w:szCs w:val="20"/>
        </w:rPr>
        <w:t>which may impact a number of laws and programs described below. Please see </w:t>
      </w:r>
      <w:hyperlink r:id="rId9" w:tooltip="ASTHO EUA Current Issues Winter 2012" w:history="1">
        <w:r w:rsidRPr="00A85B94">
          <w:rPr>
            <w:rFonts w:eastAsia="Times New Roman" w:cstheme="minorHAnsi"/>
            <w:szCs w:val="20"/>
            <w:bdr w:val="none" w:sz="0" w:space="0" w:color="auto" w:frame="1"/>
          </w:rPr>
          <w:t>ASTHO EUA Current Issues Winter 2012</w:t>
        </w:r>
      </w:hyperlink>
      <w:r w:rsidRPr="00A85B94">
        <w:rPr>
          <w:rFonts w:eastAsia="Times New Roman" w:cstheme="minorHAnsi"/>
          <w:szCs w:val="20"/>
        </w:rPr>
        <w:t> for more information about the PAHPA reauthorization and its potential impact on EUAs and related issues.</w:t>
      </w:r>
    </w:p>
    <w:p w14:paraId="76FC7610" w14:textId="77777777" w:rsidR="00206E4B" w:rsidRPr="00DD1CD1" w:rsidRDefault="00206E4B" w:rsidP="00DD1CD1">
      <w:pPr>
        <w:spacing w:line="480" w:lineRule="auto"/>
        <w:rPr>
          <w:rFonts w:eastAsia="Times New Roman" w:cstheme="minorHAnsi"/>
          <w:b/>
          <w:bCs/>
          <w:sz w:val="28"/>
          <w:szCs w:val="24"/>
        </w:rPr>
      </w:pPr>
    </w:p>
    <w:p w14:paraId="4E4A3A6C" w14:textId="77777777" w:rsidR="00206E4B" w:rsidRPr="00A85B94" w:rsidRDefault="00206E4B" w:rsidP="00DD1CD1">
      <w:pPr>
        <w:spacing w:line="480" w:lineRule="auto"/>
        <w:rPr>
          <w:rFonts w:eastAsia="Times New Roman" w:cstheme="minorHAnsi"/>
          <w:b/>
          <w:bCs/>
          <w:sz w:val="24"/>
          <w:szCs w:val="24"/>
        </w:rPr>
      </w:pPr>
      <w:r w:rsidRPr="00A85B94">
        <w:rPr>
          <w:rFonts w:eastAsia="Times New Roman" w:cstheme="minorHAnsi"/>
          <w:b/>
          <w:bCs/>
          <w:sz w:val="24"/>
          <w:szCs w:val="24"/>
        </w:rPr>
        <w:t>Laws</w:t>
      </w:r>
    </w:p>
    <w:p w14:paraId="10B02FC2" w14:textId="77777777" w:rsidR="00206E4B" w:rsidRPr="00A85B94" w:rsidRDefault="00206E4B" w:rsidP="00DD1CD1">
      <w:pPr>
        <w:spacing w:line="480" w:lineRule="auto"/>
        <w:rPr>
          <w:rFonts w:eastAsia="Times New Roman" w:cstheme="minorHAnsi"/>
          <w:b/>
          <w:bCs/>
          <w:szCs w:val="20"/>
        </w:rPr>
      </w:pPr>
      <w:r w:rsidRPr="00A85B94">
        <w:rPr>
          <w:rFonts w:eastAsia="Times New Roman" w:cstheme="minorHAnsi"/>
          <w:b/>
          <w:bCs/>
          <w:szCs w:val="20"/>
        </w:rPr>
        <w:t>Emergency Use Authorization (EUA)</w:t>
      </w:r>
    </w:p>
    <w:p w14:paraId="5224D5E1" w14:textId="77777777" w:rsidR="00206E4B"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color w:val="737373"/>
          <w:szCs w:val="20"/>
        </w:rPr>
        <w:t>An </w:t>
      </w:r>
      <w:hyperlink r:id="rId10" w:anchor="Emergency-Use" w:tooltip="Emergency Use Authorization (EUA)" w:history="1">
        <w:r w:rsidRPr="00A85B94">
          <w:rPr>
            <w:rFonts w:eastAsia="Times New Roman" w:cstheme="minorHAnsi"/>
            <w:color w:val="0F88B8"/>
            <w:szCs w:val="20"/>
            <w:bdr w:val="none" w:sz="0" w:space="0" w:color="auto" w:frame="1"/>
          </w:rPr>
          <w:t>Emergency Use Authorization (EUA)</w:t>
        </w:r>
      </w:hyperlink>
      <w:r w:rsidRPr="00A85B94">
        <w:rPr>
          <w:rFonts w:eastAsia="Times New Roman" w:cstheme="minorHAnsi"/>
          <w:color w:val="737373"/>
          <w:szCs w:val="20"/>
        </w:rPr>
        <w:t> </w:t>
      </w:r>
      <w:r w:rsidRPr="00A85B94">
        <w:rPr>
          <w:rFonts w:eastAsia="Times New Roman" w:cstheme="minorHAnsi"/>
          <w:szCs w:val="20"/>
        </w:rPr>
        <w:t xml:space="preserve">under Section 564 of the Federal Food, Drug, and Cosmetic Act (FD&amp;C Act) allows for the special use of drugs and other medical products during certain types of emergencies. Specifically, an EUA permits the use of unapproved medical products (drugs, biologics [e.g., vaccines], and devices [e.g., diagnostics]) or the use of approved medical products in unapproved ways to diagnose, treat, or prevent serious diseases or conditions caused by chemical, biological, radiological, or nuclear (CBRN) agents. FD&amp;C Act §564 requires: (1) the determination by any of the U.S. secretaries of Health and Human Services (HHS), Homeland Security, or Defense that an emergency exists; (2) the declaration by the HHS secretary of an emergency justifying the authorization under FD&amp;C </w:t>
      </w:r>
      <w:r w:rsidRPr="00A85B94">
        <w:rPr>
          <w:rFonts w:eastAsia="Times New Roman" w:cstheme="minorHAnsi"/>
          <w:szCs w:val="20"/>
        </w:rPr>
        <w:lastRenderedPageBreak/>
        <w:t>Act §564; and (3) the issuance of an EUA by the Food and Drug Administration (FDA) commissioner upon a finding by the FDA that specified criteria have been met.</w:t>
      </w:r>
    </w:p>
    <w:p w14:paraId="6A2DFF9D" w14:textId="77777777" w:rsidR="00206E4B" w:rsidRPr="00A85B94" w:rsidRDefault="00206E4B" w:rsidP="00DD1CD1">
      <w:pPr>
        <w:shd w:val="clear" w:color="auto" w:fill="FFFFFF"/>
        <w:spacing w:line="480" w:lineRule="auto"/>
        <w:textAlignment w:val="baseline"/>
        <w:rPr>
          <w:rFonts w:eastAsia="Times New Roman" w:cstheme="minorHAnsi"/>
          <w:szCs w:val="20"/>
        </w:rPr>
      </w:pPr>
    </w:p>
    <w:p w14:paraId="01B412F0" w14:textId="77777777" w:rsidR="00206E4B" w:rsidRPr="00A85B94" w:rsidRDefault="00206E4B" w:rsidP="00DD1CD1">
      <w:pPr>
        <w:shd w:val="clear" w:color="auto" w:fill="FFFFFF"/>
        <w:spacing w:after="225" w:line="480" w:lineRule="auto"/>
        <w:textAlignment w:val="baseline"/>
        <w:rPr>
          <w:rFonts w:eastAsia="Times New Roman" w:cstheme="minorHAnsi"/>
          <w:szCs w:val="20"/>
        </w:rPr>
      </w:pPr>
      <w:r w:rsidRPr="00A85B94">
        <w:rPr>
          <w:rFonts w:eastAsia="Times New Roman" w:cstheme="minorHAnsi"/>
          <w:szCs w:val="20"/>
        </w:rPr>
        <w:t>If all criteria are met, the FDA commissioner can issue a letter that authorizes the EUA. The letter must state: (1) the diseases or conditions the product may be used to diagnose, prevent, or treat within the scope of the EUA; (2) the known and potential benefits of the product; (3) conclusions concerning the safety and potential effectiveness of the product; (4) an assessment of the available scientific evidence; and (5) additional conditions of authorization, such as requiring that fact sheets to be distributed to healthcare professionals and the public with the EUA-authorized product.</w:t>
      </w:r>
    </w:p>
    <w:p w14:paraId="7447400D"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An EUA does not contain or confer any tort liability protections by itself; however, medical products authorized under an EUA qualify as countermeasures (e.g., vaccines, drugs, devices) covered under the Public Readiness and Emergency Preparedness (PREP) Act if these medical products are identified as covered countermeasures in a PREP Act declaration. Medical products used pursuant to an EUA must also be used and administered according to the terms of the EUA for PREP Act coverage to arise.</w:t>
      </w:r>
    </w:p>
    <w:p w14:paraId="6C711BC6" w14:textId="77777777" w:rsidR="00206E4B" w:rsidRPr="00DD1CD1" w:rsidRDefault="00206E4B" w:rsidP="00DD1CD1">
      <w:pPr>
        <w:spacing w:line="480" w:lineRule="auto"/>
        <w:rPr>
          <w:rFonts w:eastAsia="Times New Roman" w:cstheme="minorHAnsi"/>
          <w:b/>
          <w:bCs/>
          <w:szCs w:val="20"/>
        </w:rPr>
      </w:pPr>
    </w:p>
    <w:p w14:paraId="4A435ECF" w14:textId="77777777" w:rsidR="00206E4B" w:rsidRPr="00A85B94" w:rsidRDefault="00206E4B" w:rsidP="00DD1CD1">
      <w:pPr>
        <w:spacing w:line="480" w:lineRule="auto"/>
        <w:rPr>
          <w:rFonts w:eastAsia="Times New Roman" w:cstheme="minorHAnsi"/>
          <w:b/>
          <w:bCs/>
          <w:szCs w:val="20"/>
        </w:rPr>
      </w:pPr>
      <w:r w:rsidRPr="00A85B94">
        <w:rPr>
          <w:rFonts w:eastAsia="Times New Roman" w:cstheme="minorHAnsi"/>
          <w:b/>
          <w:bCs/>
          <w:szCs w:val="20"/>
        </w:rPr>
        <w:t xml:space="preserve">Project </w:t>
      </w:r>
      <w:proofErr w:type="spellStart"/>
      <w:r w:rsidRPr="00A85B94">
        <w:rPr>
          <w:rFonts w:eastAsia="Times New Roman" w:cstheme="minorHAnsi"/>
          <w:b/>
          <w:bCs/>
          <w:szCs w:val="20"/>
        </w:rPr>
        <w:t>BioShield</w:t>
      </w:r>
      <w:proofErr w:type="spellEnd"/>
      <w:r w:rsidRPr="00A85B94">
        <w:rPr>
          <w:rFonts w:eastAsia="Times New Roman" w:cstheme="minorHAnsi"/>
          <w:b/>
          <w:bCs/>
          <w:szCs w:val="20"/>
        </w:rPr>
        <w:t xml:space="preserve"> Act</w:t>
      </w:r>
    </w:p>
    <w:p w14:paraId="159909FD"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1" w:anchor="Project-BioShield" w:tooltip="Project BioShield Act of 2004" w:history="1">
        <w:r w:rsidRPr="00A85B94">
          <w:rPr>
            <w:rFonts w:eastAsia="Times New Roman" w:cstheme="minorHAnsi"/>
            <w:szCs w:val="20"/>
            <w:bdr w:val="none" w:sz="0" w:space="0" w:color="auto" w:frame="1"/>
          </w:rPr>
          <w:t xml:space="preserve">Project </w:t>
        </w:r>
        <w:proofErr w:type="spellStart"/>
        <w:r w:rsidRPr="00A85B94">
          <w:rPr>
            <w:rFonts w:eastAsia="Times New Roman" w:cstheme="minorHAnsi"/>
            <w:szCs w:val="20"/>
            <w:bdr w:val="none" w:sz="0" w:space="0" w:color="auto" w:frame="1"/>
          </w:rPr>
          <w:t>BioShield</w:t>
        </w:r>
        <w:proofErr w:type="spellEnd"/>
        <w:r w:rsidRPr="00A85B94">
          <w:rPr>
            <w:rFonts w:eastAsia="Times New Roman" w:cstheme="minorHAnsi"/>
            <w:szCs w:val="20"/>
            <w:bdr w:val="none" w:sz="0" w:space="0" w:color="auto" w:frame="1"/>
          </w:rPr>
          <w:t xml:space="preserve"> Act of 2004</w:t>
        </w:r>
      </w:hyperlink>
      <w:r w:rsidRPr="00A85B94">
        <w:rPr>
          <w:rFonts w:eastAsia="Times New Roman" w:cstheme="minorHAnsi"/>
          <w:szCs w:val="20"/>
        </w:rPr>
        <w:t xml:space="preserve"> was enacted to accelerate the research, development, purchase, and availability of effective medical products against CBRN agents. Specifically, the Project </w:t>
      </w:r>
      <w:proofErr w:type="spellStart"/>
      <w:r w:rsidRPr="00A85B94">
        <w:rPr>
          <w:rFonts w:eastAsia="Times New Roman" w:cstheme="minorHAnsi"/>
          <w:szCs w:val="20"/>
        </w:rPr>
        <w:t>BioShield</w:t>
      </w:r>
      <w:proofErr w:type="spellEnd"/>
      <w:r w:rsidRPr="00A85B94">
        <w:rPr>
          <w:rFonts w:eastAsia="Times New Roman" w:cstheme="minorHAnsi"/>
          <w:szCs w:val="20"/>
        </w:rPr>
        <w:t xml:space="preserve"> Act authorizes expedited procurement, streamlined personnel appointments, expedited peer review, biomedical countermeasures procurement, emergency use of medical countermeasures, and other biodefense activities. The Project </w:t>
      </w:r>
      <w:proofErr w:type="spellStart"/>
      <w:r w:rsidRPr="00A85B94">
        <w:rPr>
          <w:rFonts w:eastAsia="Times New Roman" w:cstheme="minorHAnsi"/>
          <w:szCs w:val="20"/>
        </w:rPr>
        <w:t>BioShield</w:t>
      </w:r>
      <w:proofErr w:type="spellEnd"/>
      <w:r w:rsidRPr="00A85B94">
        <w:rPr>
          <w:rFonts w:eastAsia="Times New Roman" w:cstheme="minorHAnsi"/>
          <w:szCs w:val="20"/>
        </w:rPr>
        <w:t xml:space="preserve"> Act does not contain any explicit immunity or other liability protections, which proved to be an ongoing source of concern for potential developers of CBRN countermeasures. To address these and other concerns, the PREP Act was enacted to, among other </w:t>
      </w:r>
      <w:r w:rsidRPr="00A85B94">
        <w:rPr>
          <w:rFonts w:eastAsia="Times New Roman" w:cstheme="minorHAnsi"/>
          <w:szCs w:val="20"/>
        </w:rPr>
        <w:lastRenderedPageBreak/>
        <w:t>things, provide liability protections to persons and entities involved in the development, sale, distribution, and administration of countermeasures.</w:t>
      </w:r>
    </w:p>
    <w:p w14:paraId="2B20D9C5" w14:textId="77777777" w:rsidR="00206E4B" w:rsidRPr="00DD1CD1" w:rsidRDefault="00206E4B" w:rsidP="00DD1CD1">
      <w:pPr>
        <w:spacing w:line="480" w:lineRule="auto"/>
        <w:rPr>
          <w:rFonts w:eastAsia="Times New Roman" w:cstheme="minorHAnsi"/>
          <w:b/>
          <w:bCs/>
          <w:szCs w:val="20"/>
        </w:rPr>
      </w:pPr>
    </w:p>
    <w:p w14:paraId="264F3083" w14:textId="77777777" w:rsidR="00206E4B" w:rsidRPr="00A85B94" w:rsidRDefault="00206E4B" w:rsidP="00DD1CD1">
      <w:pPr>
        <w:spacing w:line="480" w:lineRule="auto"/>
        <w:rPr>
          <w:rFonts w:eastAsia="Times New Roman" w:cstheme="minorHAnsi"/>
          <w:b/>
          <w:bCs/>
          <w:szCs w:val="20"/>
        </w:rPr>
      </w:pPr>
      <w:r w:rsidRPr="00A85B94">
        <w:rPr>
          <w:rFonts w:eastAsia="Times New Roman" w:cstheme="minorHAnsi"/>
          <w:b/>
          <w:bCs/>
          <w:szCs w:val="20"/>
        </w:rPr>
        <w:t>Public Readiness and Emergency Preparedness Act (PREP Act)</w:t>
      </w:r>
    </w:p>
    <w:p w14:paraId="4704D22E"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2" w:anchor="Public-Readiness" w:tooltip="Public Readiness and Emergency Preparedness Act (PREP Act)" w:history="1">
        <w:r w:rsidRPr="00A85B94">
          <w:rPr>
            <w:rFonts w:eastAsia="Times New Roman" w:cstheme="minorHAnsi"/>
            <w:color w:val="0F88B8"/>
            <w:szCs w:val="20"/>
            <w:bdr w:val="none" w:sz="0" w:space="0" w:color="auto" w:frame="1"/>
          </w:rPr>
          <w:t>Public Readiness and Emergency Preparedness Act (PREP Act)</w:t>
        </w:r>
      </w:hyperlink>
      <w:r w:rsidRPr="00A85B94">
        <w:rPr>
          <w:rFonts w:eastAsia="Times New Roman" w:cstheme="minorHAnsi"/>
          <w:color w:val="737373"/>
          <w:szCs w:val="20"/>
        </w:rPr>
        <w:t> </w:t>
      </w:r>
      <w:r w:rsidRPr="00A85B94">
        <w:rPr>
          <w:rFonts w:eastAsia="Times New Roman" w:cstheme="minorHAnsi"/>
          <w:szCs w:val="20"/>
        </w:rPr>
        <w:t>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under </w:t>
      </w:r>
      <w:hyperlink r:id="rId13" w:anchor="Public-Health-Service" w:tooltip="Public Health Service Act Section 319" w:history="1">
        <w:r w:rsidRPr="00A85B94">
          <w:rPr>
            <w:rFonts w:eastAsia="Times New Roman" w:cstheme="minorHAnsi"/>
            <w:color w:val="0F88B8"/>
            <w:szCs w:val="20"/>
            <w:bdr w:val="none" w:sz="0" w:space="0" w:color="auto" w:frame="1"/>
          </w:rPr>
          <w:t>Public Health Service Act Section 319</w:t>
        </w:r>
      </w:hyperlink>
      <w:r w:rsidRPr="00A85B94">
        <w:rPr>
          <w:rFonts w:eastAsia="Times New Roman" w:cstheme="minorHAnsi"/>
          <w:color w:val="737373"/>
          <w:szCs w:val="20"/>
        </w:rPr>
        <w:t> </w:t>
      </w:r>
      <w:r w:rsidRPr="00A85B94">
        <w:rPr>
          <w:rFonts w:eastAsia="Times New Roman" w:cstheme="minorHAnsi"/>
          <w:szCs w:val="20"/>
        </w:rPr>
        <w:t>or another statute is not required for PREP Act immunities to take effect.</w:t>
      </w:r>
    </w:p>
    <w:p w14:paraId="1EFFF838" w14:textId="77777777" w:rsidR="00206E4B" w:rsidRPr="000611DD" w:rsidRDefault="00206E4B" w:rsidP="00DD1CD1">
      <w:pPr>
        <w:spacing w:line="480" w:lineRule="auto"/>
        <w:rPr>
          <w:rFonts w:eastAsia="Times New Roman" w:cstheme="minorHAnsi"/>
          <w:b/>
          <w:bCs/>
          <w:color w:val="3C3030"/>
          <w:sz w:val="28"/>
          <w:szCs w:val="24"/>
        </w:rPr>
      </w:pPr>
    </w:p>
    <w:p w14:paraId="5CE23716" w14:textId="77777777" w:rsidR="00206E4B" w:rsidRPr="00A85B94" w:rsidRDefault="00206E4B" w:rsidP="00DD1CD1">
      <w:pPr>
        <w:spacing w:line="480" w:lineRule="auto"/>
        <w:rPr>
          <w:rFonts w:eastAsia="Times New Roman" w:cstheme="minorHAnsi"/>
          <w:b/>
          <w:bCs/>
          <w:color w:val="3C3030"/>
          <w:sz w:val="24"/>
          <w:szCs w:val="24"/>
        </w:rPr>
      </w:pPr>
      <w:r w:rsidRPr="00A85B94">
        <w:rPr>
          <w:rFonts w:eastAsia="Times New Roman" w:cstheme="minorHAnsi"/>
          <w:b/>
          <w:bCs/>
          <w:color w:val="3C3030"/>
          <w:sz w:val="24"/>
          <w:szCs w:val="24"/>
        </w:rPr>
        <w:t>Programs</w:t>
      </w:r>
    </w:p>
    <w:p w14:paraId="6D68306A" w14:textId="77777777" w:rsidR="00206E4B" w:rsidRPr="00A85B94" w:rsidRDefault="00206E4B" w:rsidP="00DD1CD1">
      <w:pPr>
        <w:spacing w:line="480" w:lineRule="auto"/>
        <w:rPr>
          <w:rFonts w:eastAsia="Times New Roman" w:cstheme="minorHAnsi"/>
          <w:b/>
          <w:bCs/>
          <w:szCs w:val="20"/>
        </w:rPr>
      </w:pPr>
      <w:r w:rsidRPr="00A85B94">
        <w:rPr>
          <w:rFonts w:eastAsia="Times New Roman" w:cstheme="minorHAnsi"/>
          <w:b/>
          <w:bCs/>
          <w:szCs w:val="20"/>
        </w:rPr>
        <w:t>Federal Shelf Life Extension Program (SLEP)</w:t>
      </w:r>
    </w:p>
    <w:p w14:paraId="51164226"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federal </w:t>
      </w:r>
      <w:hyperlink r:id="rId14" w:anchor="Shelf-Life" w:tooltip="Shelf Life Extension Program (SLEP)" w:history="1">
        <w:r w:rsidRPr="00A85B94">
          <w:rPr>
            <w:rFonts w:eastAsia="Times New Roman" w:cstheme="minorHAnsi"/>
            <w:szCs w:val="20"/>
            <w:bdr w:val="none" w:sz="0" w:space="0" w:color="auto" w:frame="1"/>
          </w:rPr>
          <w:t>Shelf Life Extension Program (SLEP)</w:t>
        </w:r>
      </w:hyperlink>
      <w:r w:rsidRPr="00A85B94">
        <w:rPr>
          <w:rFonts w:eastAsia="Times New Roman" w:cstheme="minorHAnsi"/>
          <w:szCs w:val="20"/>
        </w:rPr>
        <w:t> extends the expiration dates on qualifying drugs and other materiel in federal stockpiles. SLEP is administered by the Department of Defense in cooperation with the FDA. SLEP is an acknowledgement that the actual shelf life of drugs and other medical products in the program may be longer than their stated expiration date. The purpose of SLEP is to defer replacement costs of stockpiled drugs by extending their useful life. SLEP is a fee-for-service program paid for by the federal agencies participating in the program; the </w:t>
      </w:r>
      <w:hyperlink r:id="rId15" w:anchor="Strategic-National" w:tooltip="Strategic National Stockpile" w:history="1">
        <w:r w:rsidRPr="00A85B94">
          <w:rPr>
            <w:rFonts w:eastAsia="Times New Roman" w:cstheme="minorHAnsi"/>
            <w:color w:val="0F88B8"/>
            <w:szCs w:val="20"/>
            <w:bdr w:val="none" w:sz="0" w:space="0" w:color="auto" w:frame="1"/>
          </w:rPr>
          <w:t>Strategic National Stockpile</w:t>
        </w:r>
      </w:hyperlink>
      <w:r>
        <w:rPr>
          <w:rFonts w:eastAsia="Times New Roman" w:cstheme="minorHAnsi"/>
          <w:color w:val="737373"/>
          <w:szCs w:val="20"/>
        </w:rPr>
        <w:t xml:space="preserve"> </w:t>
      </w:r>
      <w:r w:rsidRPr="00A85B94">
        <w:rPr>
          <w:rFonts w:eastAsia="Times New Roman" w:cstheme="minorHAnsi"/>
          <w:szCs w:val="20"/>
        </w:rPr>
        <w:t xml:space="preserve">participates in SLEP. Participating agencies are required to pay for the FDA’s ongoing testing and analysis of the drugs and other medical materiel in the SLEP process. Products that pass testing are granted extended expiration dates but must undergo ongoing testing to monitor their continued shelf life. Products that fail testing at any time are destroyed. Products that do not receive additional extensions </w:t>
      </w:r>
      <w:r w:rsidRPr="00A85B94">
        <w:rPr>
          <w:rFonts w:eastAsia="Times New Roman" w:cstheme="minorHAnsi"/>
          <w:szCs w:val="20"/>
        </w:rPr>
        <w:lastRenderedPageBreak/>
        <w:t>of their expiration dates or are not tested for SLEP are destroyed at their final expiration dates. SLEP is currently available only for federally-maintained stockpiles, although there have been ongoing deliberations between the federal government and the states about extending SLEP to state-maintained stockpiles or creating a separate SLEP-like program for state stockpiles.</w:t>
      </w:r>
    </w:p>
    <w:p w14:paraId="5DF49E85" w14:textId="77777777" w:rsidR="00206E4B" w:rsidRPr="00DD1CD1" w:rsidRDefault="00206E4B" w:rsidP="00DD1CD1">
      <w:pPr>
        <w:spacing w:line="480" w:lineRule="auto"/>
        <w:rPr>
          <w:rFonts w:eastAsia="Times New Roman" w:cstheme="minorHAnsi"/>
          <w:b/>
          <w:bCs/>
          <w:szCs w:val="20"/>
        </w:rPr>
      </w:pPr>
    </w:p>
    <w:p w14:paraId="0C7231AE" w14:textId="77777777" w:rsidR="00206E4B" w:rsidRPr="00A85B94" w:rsidRDefault="00206E4B" w:rsidP="00DD1CD1">
      <w:pPr>
        <w:spacing w:line="480" w:lineRule="auto"/>
        <w:rPr>
          <w:rFonts w:eastAsia="Times New Roman" w:cstheme="minorHAnsi"/>
          <w:b/>
          <w:bCs/>
          <w:szCs w:val="20"/>
        </w:rPr>
      </w:pPr>
      <w:r w:rsidRPr="00A85B94">
        <w:rPr>
          <w:rFonts w:eastAsia="Times New Roman" w:cstheme="minorHAnsi"/>
          <w:b/>
          <w:bCs/>
          <w:szCs w:val="20"/>
        </w:rPr>
        <w:t>Strategic National Stockpile (SNS)</w:t>
      </w:r>
    </w:p>
    <w:p w14:paraId="13E8A021"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Public Health Service Act authorizes the HHS secretary in coordination with the secretary of Homeland Security, to maintain a stockpile of drugs, vaccines, and other medical products and supplies, known as the </w:t>
      </w:r>
      <w:hyperlink r:id="rId16" w:anchor="Strategic-National" w:tooltip="Strategic National Stockpile (SNS)" w:history="1">
        <w:r w:rsidRPr="00A85B94">
          <w:rPr>
            <w:rFonts w:eastAsia="Times New Roman" w:cstheme="minorHAnsi"/>
            <w:color w:val="0F88B8"/>
            <w:szCs w:val="20"/>
            <w:bdr w:val="none" w:sz="0" w:space="0" w:color="auto" w:frame="1"/>
          </w:rPr>
          <w:t>Strategic National Stockpile (SNS)</w:t>
        </w:r>
      </w:hyperlink>
      <w:r w:rsidRPr="00A85B94">
        <w:rPr>
          <w:rFonts w:eastAsia="Times New Roman" w:cstheme="minorHAnsi"/>
          <w:color w:val="737373"/>
          <w:szCs w:val="20"/>
        </w:rPr>
        <w:t xml:space="preserve">. </w:t>
      </w:r>
      <w:r w:rsidRPr="00A85B94">
        <w:rPr>
          <w:rFonts w:eastAsia="Times New Roman" w:cstheme="minorHAnsi"/>
          <w:szCs w:val="20"/>
        </w:rPr>
        <w:t>State governors or their designees can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 A federal or state emergency declaration is not required to request SNS deployment. States are not subject to cost-sharing requirements for SNS deployments, unlike other federal disaster assistance programs. Federal personnel work in conjunction with state and local officials to determine if and what components of the SNS are needed. Ultimately, the federal government is responsible for making the decision to deploy all or portions of the SNS. Each state has established plans for receiving and distributing SNS assets within the state.</w:t>
      </w:r>
    </w:p>
    <w:p w14:paraId="5E53C324" w14:textId="77777777" w:rsidR="00206E4B" w:rsidRPr="00DD1CD1" w:rsidRDefault="00206E4B" w:rsidP="00DD1CD1">
      <w:pPr>
        <w:shd w:val="clear" w:color="auto" w:fill="FFFFFF"/>
        <w:spacing w:after="225" w:line="480" w:lineRule="auto"/>
        <w:textAlignment w:val="baseline"/>
        <w:rPr>
          <w:rFonts w:eastAsia="Times New Roman" w:cstheme="minorHAnsi"/>
          <w:szCs w:val="20"/>
        </w:rPr>
      </w:pPr>
    </w:p>
    <w:p w14:paraId="4E721BE9" w14:textId="77777777" w:rsidR="00206E4B" w:rsidRPr="00DD1CD1"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 xml:space="preserve">The SNS is not considered a first-response tool, but rather a support mechanism for state and local response efforts. The SNS program is designed to supplement and resupply state and local inventories of medicines and supplies during emergencies. Several SNS stockpiles are strategically located in secured warehouses across the United States to ensure the timely deployment of materiel to any location in the country by land or air. Initial deployments from the SNS are 12-hour “Push Packages,” which are caches </w:t>
      </w:r>
      <w:r w:rsidRPr="00A85B94">
        <w:rPr>
          <w:rFonts w:eastAsia="Times New Roman" w:cstheme="minorHAnsi"/>
          <w:szCs w:val="20"/>
        </w:rPr>
        <w:lastRenderedPageBreak/>
        <w:t>of medicines and medical supplies that can address a range of needs arising from what may be an ill-defined threat in the early hours of an emergency event. If an event requires additional medicines and supplies, a deployment from managed inventory supplies is delivered within 24-36 hours. The SNS may also include medicines that have been authorized under the FDA’s EUA authority. Medicines authorized by an EUA must be distributed and dispensed according to conditions outlined by the FDA in each EUA.</w:t>
      </w:r>
    </w:p>
    <w:p w14:paraId="0AA59FB3" w14:textId="77777777" w:rsidR="00206E4B" w:rsidRPr="00A85B94" w:rsidRDefault="00206E4B" w:rsidP="00DD1CD1">
      <w:pPr>
        <w:shd w:val="clear" w:color="auto" w:fill="FFFFFF"/>
        <w:spacing w:line="480" w:lineRule="auto"/>
        <w:textAlignment w:val="baseline"/>
        <w:rPr>
          <w:rFonts w:eastAsia="Times New Roman" w:cstheme="minorHAnsi"/>
          <w:szCs w:val="20"/>
        </w:rPr>
      </w:pPr>
    </w:p>
    <w:p w14:paraId="0EEC58A4" w14:textId="77777777" w:rsidR="00206E4B" w:rsidRPr="00A85B94" w:rsidRDefault="00206E4B"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7" w:anchor="Cities-Readiness" w:tooltip="Cities Readiness Initiative (CRI)" w:history="1">
        <w:r w:rsidRPr="00A85B94">
          <w:rPr>
            <w:rFonts w:eastAsia="Times New Roman" w:cstheme="minorHAnsi"/>
            <w:szCs w:val="20"/>
            <w:bdr w:val="none" w:sz="0" w:space="0" w:color="auto" w:frame="1"/>
          </w:rPr>
          <w:t>Cities Readiness Initiative (CRI)</w:t>
        </w:r>
      </w:hyperlink>
      <w:r w:rsidRPr="00A85B94">
        <w:rPr>
          <w:rFonts w:eastAsia="Times New Roman" w:cstheme="minorHAnsi"/>
          <w:szCs w:val="20"/>
        </w:rPr>
        <w:t> focuses on emergency preparedness in the largest cities and metropolitan areas in the United States, where more than 50 percent of the nation’s population resides. CRI has enabled public health departments in states and large metropolitan areas to develop plans to respond to large-scale bioterrorist events by dispensing antibiotics to the entire population of a specified metropolitan area within 48 hours.</w:t>
      </w:r>
    </w:p>
    <w:p w14:paraId="232F4F62" w14:textId="77777777" w:rsidR="00E9444B" w:rsidRDefault="00E9444B">
      <w:pPr>
        <w:rPr>
          <w:rFonts w:cstheme="minorHAnsi"/>
          <w:sz w:val="24"/>
        </w:rPr>
      </w:pPr>
    </w:p>
    <w:p w14:paraId="0779BD69" w14:textId="4183D48E" w:rsidR="00E9444B" w:rsidRDefault="00042859">
      <w:pPr>
        <w:rPr>
          <w:rFonts w:cstheme="minorHAnsi"/>
          <w:sz w:val="24"/>
        </w:rPr>
      </w:pPr>
      <w:r>
        <w:rPr>
          <w:rFonts w:cstheme="minorHAnsi"/>
          <w:sz w:val="24"/>
        </w:rPr>
        <w:t>[</w:t>
      </w:r>
      <w:hyperlink w:anchor="TOC_top" w:history="1">
        <w:r w:rsidRPr="008F1431">
          <w:rPr>
            <w:rStyle w:val="Hyperlink"/>
            <w:rFonts w:cstheme="minorHAnsi"/>
            <w:sz w:val="24"/>
          </w:rPr>
          <w:t>TOC</w:t>
        </w:r>
        <w:r w:rsidRPr="008F1431">
          <w:rPr>
            <w:rStyle w:val="Hyperlink"/>
            <w:rFonts w:cstheme="minorHAnsi"/>
            <w:sz w:val="24"/>
          </w:rPr>
          <w:t xml:space="preserve"> </w:t>
        </w:r>
        <w:r w:rsidRPr="008F1431">
          <w:rPr>
            <w:rStyle w:val="Hyperlink"/>
            <w:rFonts w:cstheme="minorHAnsi"/>
            <w:sz w:val="24"/>
          </w:rPr>
          <w:t>top</w:t>
        </w:r>
      </w:hyperlink>
      <w:r>
        <w:rPr>
          <w:rFonts w:cstheme="minorHAnsi"/>
          <w:sz w:val="24"/>
        </w:rPr>
        <w:t>]</w:t>
      </w:r>
    </w:p>
    <w:p w14:paraId="1C11516A" w14:textId="690532C6" w:rsidR="00E9444B" w:rsidRDefault="00E9444B">
      <w:pPr>
        <w:rPr>
          <w:rFonts w:cstheme="minorHAnsi"/>
          <w:sz w:val="24"/>
        </w:rPr>
      </w:pPr>
      <w:r>
        <w:rPr>
          <w:rFonts w:cstheme="minorHAnsi"/>
          <w:sz w:val="24"/>
        </w:rPr>
        <w:br w:type="page"/>
      </w:r>
    </w:p>
    <w:p w14:paraId="4032797E" w14:textId="77777777" w:rsidR="00206E4B" w:rsidRPr="00ED6F32" w:rsidRDefault="00206E4B" w:rsidP="00E26561">
      <w:pPr>
        <w:spacing w:line="480" w:lineRule="auto"/>
        <w:rPr>
          <w:rFonts w:ascii="Calibri" w:eastAsia="Times New Roman" w:hAnsi="Calibri" w:cs="Calibri"/>
          <w:b/>
          <w:bCs/>
          <w:color w:val="333333"/>
          <w:spacing w:val="15"/>
          <w:kern w:val="36"/>
          <w:sz w:val="28"/>
          <w:szCs w:val="28"/>
        </w:rPr>
      </w:pPr>
      <w:bookmarkStart w:id="3" w:name="FDCA564_FS"/>
      <w:r w:rsidRPr="00ED6F32">
        <w:rPr>
          <w:rFonts w:ascii="Calibri" w:eastAsia="Times New Roman" w:hAnsi="Calibri" w:cs="Calibri"/>
          <w:b/>
          <w:bCs/>
          <w:color w:val="333333"/>
          <w:spacing w:val="15"/>
          <w:kern w:val="36"/>
          <w:sz w:val="28"/>
          <w:szCs w:val="28"/>
        </w:rPr>
        <w:lastRenderedPageBreak/>
        <w:t>Section 564 of the Federal Food, Drug, and Cosmetic Act</w:t>
      </w:r>
      <w:bookmarkEnd w:id="3"/>
    </w:p>
    <w:p w14:paraId="6B6BA18D" w14:textId="77777777" w:rsidR="00206E4B" w:rsidRPr="006C0233" w:rsidRDefault="00206E4B" w:rsidP="00E26561">
      <w:pPr>
        <w:spacing w:line="480" w:lineRule="auto"/>
        <w:rPr>
          <w:rFonts w:ascii="Calibri" w:eastAsia="Times New Roman" w:hAnsi="Calibri" w:cs="Calibri"/>
          <w:bCs/>
          <w:color w:val="3C3030"/>
          <w:sz w:val="24"/>
          <w:szCs w:val="24"/>
        </w:rPr>
      </w:pPr>
      <w:r w:rsidRPr="00ED6F32">
        <w:rPr>
          <w:rFonts w:ascii="Calibri" w:eastAsia="Times New Roman" w:hAnsi="Calibri" w:cs="Calibri"/>
          <w:b/>
          <w:bCs/>
          <w:color w:val="3C3030"/>
          <w:sz w:val="24"/>
          <w:szCs w:val="24"/>
        </w:rPr>
        <w:t>Fact Sheet</w:t>
      </w:r>
    </w:p>
    <w:p w14:paraId="1B2182B4" w14:textId="77777777" w:rsidR="00206E4B" w:rsidRDefault="00206E4B" w:rsidP="00E26561">
      <w:pPr>
        <w:spacing w:line="480" w:lineRule="auto"/>
        <w:rPr>
          <w:rFonts w:ascii="Calibri" w:eastAsia="Times New Roman" w:hAnsi="Calibri" w:cs="Calibri"/>
          <w:b/>
          <w:bCs/>
          <w:color w:val="3C3030"/>
          <w:sz w:val="24"/>
          <w:szCs w:val="24"/>
        </w:rPr>
      </w:pPr>
    </w:p>
    <w:p w14:paraId="6F9FFD31" w14:textId="77777777" w:rsidR="00206E4B" w:rsidRPr="00ED6F32" w:rsidRDefault="00206E4B" w:rsidP="00E26561">
      <w:pPr>
        <w:spacing w:line="480" w:lineRule="auto"/>
        <w:rPr>
          <w:rFonts w:ascii="Calibri" w:eastAsia="Times New Roman" w:hAnsi="Calibri" w:cs="Calibri"/>
          <w:b/>
          <w:bCs/>
          <w:sz w:val="24"/>
          <w:szCs w:val="24"/>
        </w:rPr>
      </w:pPr>
      <w:r w:rsidRPr="00ED6F32">
        <w:rPr>
          <w:rFonts w:ascii="Calibri" w:eastAsia="Times New Roman" w:hAnsi="Calibri" w:cs="Calibri"/>
          <w:b/>
          <w:bCs/>
          <w:color w:val="3C3030"/>
          <w:sz w:val="24"/>
          <w:szCs w:val="24"/>
        </w:rPr>
        <w:t>Overview</w:t>
      </w:r>
    </w:p>
    <w:p w14:paraId="67C13DC7"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An </w:t>
      </w:r>
      <w:hyperlink r:id="rId18" w:anchor="Emergency-Use" w:tooltip="Emergency Use Authorization (EUA)" w:history="1">
        <w:r w:rsidRPr="00ED6F32">
          <w:rPr>
            <w:rFonts w:ascii="Calibri" w:eastAsia="Times New Roman" w:hAnsi="Calibri" w:cs="Calibri"/>
            <w:color w:val="0F88B8"/>
            <w:bdr w:val="none" w:sz="0" w:space="0" w:color="auto" w:frame="1"/>
          </w:rPr>
          <w:t>Emergency Use Authorization (EUA)</w:t>
        </w:r>
      </w:hyperlink>
      <w:r w:rsidRPr="00ED6F32">
        <w:rPr>
          <w:rFonts w:ascii="Calibri" w:eastAsia="Times New Roman" w:hAnsi="Calibri" w:cs="Calibri"/>
          <w:color w:val="737373"/>
        </w:rPr>
        <w:t> </w:t>
      </w:r>
      <w:r w:rsidRPr="00ED6F32">
        <w:rPr>
          <w:rFonts w:ascii="Calibri" w:eastAsia="Times New Roman" w:hAnsi="Calibri" w:cs="Calibri"/>
        </w:rPr>
        <w:t>under Section 564 of the Federal Food, Drug, and Cosmetic Act (FD&amp;C Act)</w:t>
      </w:r>
      <w:r w:rsidRPr="00ED6F32">
        <w:rPr>
          <w:rFonts w:ascii="Calibri" w:eastAsia="Times New Roman" w:hAnsi="Calibri" w:cs="Calibri"/>
          <w:bdr w:val="none" w:sz="0" w:space="0" w:color="auto" w:frame="1"/>
          <w:vertAlign w:val="superscript"/>
        </w:rPr>
        <w:t>1</w:t>
      </w:r>
      <w:r w:rsidRPr="00ED6F32">
        <w:rPr>
          <w:rFonts w:ascii="Calibri" w:eastAsia="Times New Roman" w:hAnsi="Calibri" w:cs="Calibri"/>
        </w:rPr>
        <w:t> allows for the special use of drugs and other medical products during certain types of emergencies.</w:t>
      </w:r>
      <w:r w:rsidRPr="00ED6F32">
        <w:rPr>
          <w:rFonts w:ascii="Calibri" w:eastAsia="Times New Roman" w:hAnsi="Calibri" w:cs="Calibri"/>
          <w:bdr w:val="none" w:sz="0" w:space="0" w:color="auto" w:frame="1"/>
          <w:vertAlign w:val="superscript"/>
        </w:rPr>
        <w:t>2</w:t>
      </w:r>
      <w:r w:rsidRPr="00ED6F32">
        <w:rPr>
          <w:rFonts w:ascii="Calibri" w:eastAsia="Times New Roman" w:hAnsi="Calibri" w:cs="Calibri"/>
        </w:rPr>
        <w:t> The EUA authority was added by the </w:t>
      </w:r>
      <w:hyperlink r:id="rId19" w:anchor="Project-BioShield" w:tooltip="Project BioShield Act of 2004" w:history="1">
        <w:r w:rsidRPr="00ED6F32">
          <w:rPr>
            <w:rFonts w:ascii="Calibri" w:eastAsia="Times New Roman" w:hAnsi="Calibri" w:cs="Calibri"/>
            <w:color w:val="0F88B8"/>
            <w:bdr w:val="none" w:sz="0" w:space="0" w:color="auto" w:frame="1"/>
          </w:rPr>
          <w:t xml:space="preserve">Project </w:t>
        </w:r>
        <w:proofErr w:type="spellStart"/>
        <w:r w:rsidRPr="00ED6F32">
          <w:rPr>
            <w:rFonts w:ascii="Calibri" w:eastAsia="Times New Roman" w:hAnsi="Calibri" w:cs="Calibri"/>
            <w:color w:val="0F88B8"/>
            <w:bdr w:val="none" w:sz="0" w:space="0" w:color="auto" w:frame="1"/>
          </w:rPr>
          <w:t>BioShield</w:t>
        </w:r>
        <w:proofErr w:type="spellEnd"/>
        <w:r w:rsidRPr="00ED6F32">
          <w:rPr>
            <w:rFonts w:ascii="Calibri" w:eastAsia="Times New Roman" w:hAnsi="Calibri" w:cs="Calibri"/>
            <w:color w:val="0F88B8"/>
            <w:bdr w:val="none" w:sz="0" w:space="0" w:color="auto" w:frame="1"/>
          </w:rPr>
          <w:t xml:space="preserve"> Act of 2004</w:t>
        </w:r>
      </w:hyperlink>
      <w:r w:rsidRPr="00ED6F32">
        <w:rPr>
          <w:rFonts w:ascii="Calibri" w:eastAsia="Times New Roman" w:hAnsi="Calibri" w:cs="Calibri"/>
          <w:color w:val="737373"/>
        </w:rPr>
        <w:t xml:space="preserve">, </w:t>
      </w:r>
      <w:r w:rsidRPr="00ED6F32">
        <w:rPr>
          <w:rFonts w:ascii="Calibri" w:eastAsia="Times New Roman" w:hAnsi="Calibri" w:cs="Calibri"/>
        </w:rPr>
        <w:t>which amended the FD&amp;C Act, among other things.</w:t>
      </w:r>
      <w:r w:rsidRPr="00ED6F32">
        <w:rPr>
          <w:rFonts w:ascii="Calibri" w:eastAsia="Times New Roman" w:hAnsi="Calibri" w:cs="Calibri"/>
          <w:bdr w:val="none" w:sz="0" w:space="0" w:color="auto" w:frame="1"/>
          <w:vertAlign w:val="superscript"/>
        </w:rPr>
        <w:t>3</w:t>
      </w:r>
      <w:r w:rsidRPr="00ED6F32">
        <w:rPr>
          <w:rFonts w:ascii="Calibri" w:eastAsia="Times New Roman" w:hAnsi="Calibri" w:cs="Calibri"/>
        </w:rPr>
        <w:t>  </w:t>
      </w:r>
    </w:p>
    <w:p w14:paraId="7B6BFA98" w14:textId="77777777" w:rsidR="00206E4B" w:rsidRPr="00E26561" w:rsidRDefault="00206E4B" w:rsidP="00E26561">
      <w:pPr>
        <w:shd w:val="clear" w:color="auto" w:fill="FFFFFF"/>
        <w:spacing w:line="480" w:lineRule="auto"/>
        <w:textAlignment w:val="baseline"/>
        <w:rPr>
          <w:rFonts w:ascii="Calibri" w:eastAsia="Times New Roman" w:hAnsi="Calibri" w:cs="Calibri"/>
        </w:rPr>
      </w:pPr>
    </w:p>
    <w:p w14:paraId="78798A5B" w14:textId="77777777" w:rsidR="00206E4B" w:rsidRPr="00ED6F32" w:rsidRDefault="00206E4B" w:rsidP="00E26561">
      <w:pPr>
        <w:shd w:val="clear" w:color="auto" w:fill="FFFFFF"/>
        <w:spacing w:line="480" w:lineRule="auto"/>
        <w:textAlignment w:val="baseline"/>
        <w:rPr>
          <w:rFonts w:ascii="Calibri" w:eastAsia="Times New Roman" w:hAnsi="Calibri" w:cs="Calibri"/>
          <w:color w:val="737373"/>
        </w:rPr>
      </w:pPr>
      <w:r w:rsidRPr="00ED6F32">
        <w:rPr>
          <w:rFonts w:ascii="Calibri" w:eastAsia="Times New Roman" w:hAnsi="Calibri" w:cs="Calibri"/>
        </w:rPr>
        <w:t>As of March 2012, Congress is in the process of reauthorizing the </w:t>
      </w:r>
      <w:hyperlink r:id="rId20" w:anchor="Pandemic-And" w:tooltip="Pandemic and All-Hazards Preparedness Act (PAHPA)" w:history="1">
        <w:r w:rsidRPr="00ED6F32">
          <w:rPr>
            <w:rFonts w:ascii="Calibri" w:eastAsia="Times New Roman" w:hAnsi="Calibri" w:cs="Calibri"/>
            <w:color w:val="0F88B8"/>
            <w:bdr w:val="none" w:sz="0" w:space="0" w:color="auto" w:frame="1"/>
          </w:rPr>
          <w:t>Pandemic and All-Hazards Preparedness Act (PAHPA)</w:t>
        </w:r>
      </w:hyperlink>
      <w:r w:rsidRPr="00ED6F32">
        <w:rPr>
          <w:rFonts w:ascii="Calibri" w:eastAsia="Times New Roman" w:hAnsi="Calibri" w:cs="Calibri"/>
          <w:color w:val="737373"/>
        </w:rPr>
        <w:t xml:space="preserve">. </w:t>
      </w:r>
      <w:r w:rsidRPr="00ED6F32">
        <w:rPr>
          <w:rFonts w:ascii="Calibri" w:eastAsia="Times New Roman" w:hAnsi="Calibri" w:cs="Calibri"/>
        </w:rPr>
        <w:t>The U.S. House and Senate have adopted their own versions of reauthorizing legislation, both of which provide greater flexibility for HHS and FDA to approve the use of medical products in emergencies but differ in some specific provisions. Congress is likely to convene a conference committee to reconcile the differences between the bills. The legislation ultimately passed may affect Section 564 and other provisions of the FD&amp;C Act as described below. Please see </w:t>
      </w:r>
      <w:hyperlink r:id="rId21" w:tooltip="ASTHO EUA Current Issues Winter 2012" w:history="1">
        <w:r w:rsidRPr="00ED6F32">
          <w:rPr>
            <w:rFonts w:ascii="Calibri" w:eastAsia="Times New Roman" w:hAnsi="Calibri" w:cs="Calibri"/>
            <w:color w:val="0F88B8"/>
            <w:bdr w:val="none" w:sz="0" w:space="0" w:color="auto" w:frame="1"/>
          </w:rPr>
          <w:t>ASTHO EUA Current Issues Winter 2012</w:t>
        </w:r>
      </w:hyperlink>
      <w:r w:rsidRPr="00ED6F32">
        <w:rPr>
          <w:rFonts w:ascii="Calibri" w:eastAsia="Times New Roman" w:hAnsi="Calibri" w:cs="Calibri"/>
          <w:color w:val="737373"/>
        </w:rPr>
        <w:t> </w:t>
      </w:r>
      <w:r w:rsidRPr="00ED6F32">
        <w:rPr>
          <w:rFonts w:ascii="Calibri" w:eastAsia="Times New Roman" w:hAnsi="Calibri" w:cs="Calibri"/>
        </w:rPr>
        <w:t xml:space="preserve">for more information about reauthorization and its potential impact on EUAs and related issues. </w:t>
      </w:r>
    </w:p>
    <w:p w14:paraId="69BDD00C" w14:textId="77777777" w:rsidR="00206E4B" w:rsidRPr="002F7045" w:rsidRDefault="00206E4B" w:rsidP="00E26561">
      <w:pPr>
        <w:spacing w:line="480" w:lineRule="auto"/>
        <w:rPr>
          <w:rFonts w:ascii="Calibri" w:eastAsia="Times New Roman" w:hAnsi="Calibri" w:cs="Calibri"/>
          <w:b/>
          <w:bCs/>
          <w:color w:val="3C3030"/>
        </w:rPr>
      </w:pPr>
    </w:p>
    <w:p w14:paraId="31E35A77" w14:textId="77777777" w:rsidR="00206E4B" w:rsidRPr="00ED6F32" w:rsidRDefault="00206E4B"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What the Law Does</w:t>
      </w:r>
    </w:p>
    <w:p w14:paraId="7A12559A"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An EUA permits the use of unapproved medical products (drugs, biologics [e.g., vaccines], and devices [e.g., diagnostics]) or the use of approved medical products in unapproved ways to diagnose, treat, or prevent serious diseases or conditions caused by chemical, biological, radiological, or nuclear (CBRN) agents if certain criteria contained in FD&amp;C Act §564 are met.</w:t>
      </w:r>
      <w:r w:rsidRPr="00ED6F32">
        <w:rPr>
          <w:rFonts w:ascii="Calibri" w:eastAsia="Times New Roman" w:hAnsi="Calibri" w:cs="Calibri"/>
          <w:bdr w:val="none" w:sz="0" w:space="0" w:color="auto" w:frame="1"/>
          <w:vertAlign w:val="superscript"/>
        </w:rPr>
        <w:t>3</w:t>
      </w:r>
      <w:r w:rsidRPr="00ED6F32">
        <w:rPr>
          <w:rFonts w:ascii="Calibri" w:eastAsia="Times New Roman" w:hAnsi="Calibri" w:cs="Calibri"/>
        </w:rPr>
        <w:t xml:space="preserve"> Under the FD&amp;C Act, drugs, biologics </w:t>
      </w:r>
      <w:r w:rsidRPr="00ED6F32">
        <w:rPr>
          <w:rFonts w:ascii="Calibri" w:eastAsia="Times New Roman" w:hAnsi="Calibri" w:cs="Calibri"/>
        </w:rPr>
        <w:lastRenderedPageBreak/>
        <w:t>(e.g., vaccines), and devices are required to meet certain requirements for safety and efficacy before they are approved by the Food and Drug Administration (FDA) to treat particular diseases or conditions in specified ways.</w:t>
      </w:r>
    </w:p>
    <w:p w14:paraId="2C6AF500" w14:textId="77777777" w:rsidR="00206E4B" w:rsidRPr="001F1327" w:rsidRDefault="00206E4B" w:rsidP="00E26561">
      <w:pPr>
        <w:shd w:val="clear" w:color="auto" w:fill="FFFFFF"/>
        <w:spacing w:line="480" w:lineRule="auto"/>
        <w:textAlignment w:val="baseline"/>
        <w:rPr>
          <w:rFonts w:ascii="Calibri" w:eastAsia="Times New Roman" w:hAnsi="Calibri" w:cs="Calibri"/>
        </w:rPr>
      </w:pPr>
    </w:p>
    <w:p w14:paraId="1E45C4D0"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Traditionally, there are three phases for the development of drugs under the FD&amp;C Act: pre-investigational new drug (pre-IND); investigational new drug (IND); and a new drug application (NDA).</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Each of these stages has statutory and regulatory requirements that must be satisfied. An EUA is not part of this traditional development pathway; it is a separate process used only during emergencies and is not part of the regular drug approval process.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It is not required that a drug proposed for an EUA be at a specific point on the drug development pathway.</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w:t>
      </w:r>
    </w:p>
    <w:p w14:paraId="759C21CC" w14:textId="77777777" w:rsidR="00206E4B" w:rsidRPr="001F1327" w:rsidRDefault="00206E4B" w:rsidP="00E26561">
      <w:pPr>
        <w:shd w:val="clear" w:color="auto" w:fill="FFFFFF"/>
        <w:spacing w:line="480" w:lineRule="auto"/>
        <w:textAlignment w:val="baseline"/>
        <w:rPr>
          <w:rFonts w:ascii="Calibri" w:eastAsia="Times New Roman" w:hAnsi="Calibri" w:cs="Calibri"/>
        </w:rPr>
      </w:pPr>
    </w:p>
    <w:p w14:paraId="01C97ED5"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The FDA has criteria it must follow under the FD&amp;C Act when it decides whether to issue an EUA. The FDA places conditions on the authorization that must be followed when using a product under an EUA. If a product has been approved by the FDA and is being used according to the FDA label requirements, the product does not require that an EUA be issued.</w:t>
      </w:r>
      <w:r w:rsidRPr="00ED6F32">
        <w:rPr>
          <w:rFonts w:ascii="Calibri" w:eastAsia="Times New Roman" w:hAnsi="Calibri" w:cs="Calibri"/>
          <w:bdr w:val="none" w:sz="0" w:space="0" w:color="auto" w:frame="1"/>
          <w:vertAlign w:val="superscript"/>
        </w:rPr>
        <w:t>5</w:t>
      </w:r>
      <w:r w:rsidRPr="00ED6F32">
        <w:rPr>
          <w:rFonts w:ascii="Calibri" w:eastAsia="Times New Roman" w:hAnsi="Calibri" w:cs="Calibri"/>
        </w:rPr>
        <w:t>  </w:t>
      </w:r>
    </w:p>
    <w:p w14:paraId="2A135E43" w14:textId="77777777" w:rsidR="00206E4B" w:rsidRPr="001F1327" w:rsidRDefault="00206E4B" w:rsidP="00E26561">
      <w:pPr>
        <w:spacing w:line="480" w:lineRule="auto"/>
        <w:rPr>
          <w:rFonts w:ascii="Calibri" w:eastAsia="Times New Roman" w:hAnsi="Calibri" w:cs="Calibri"/>
          <w:b/>
          <w:bCs/>
        </w:rPr>
      </w:pPr>
    </w:p>
    <w:p w14:paraId="4414029D" w14:textId="77777777" w:rsidR="00206E4B" w:rsidRPr="00ED6F32" w:rsidRDefault="00206E4B" w:rsidP="00E26561">
      <w:pPr>
        <w:spacing w:line="480" w:lineRule="auto"/>
        <w:rPr>
          <w:rFonts w:ascii="Calibri" w:eastAsia="Times New Roman" w:hAnsi="Calibri" w:cs="Calibri"/>
          <w:b/>
          <w:bCs/>
        </w:rPr>
      </w:pPr>
      <w:r w:rsidRPr="00ED6F32">
        <w:rPr>
          <w:rFonts w:ascii="Calibri" w:eastAsia="Times New Roman" w:hAnsi="Calibri" w:cs="Calibri"/>
          <w:b/>
          <w:bCs/>
        </w:rPr>
        <w:t>Liability Protections</w:t>
      </w:r>
    </w:p>
    <w:p w14:paraId="4EB51C72" w14:textId="77777777" w:rsidR="00206E4B" w:rsidRPr="00ED6F32" w:rsidRDefault="00206E4B" w:rsidP="00E26561">
      <w:pPr>
        <w:shd w:val="clear" w:color="auto" w:fill="FFFFFF"/>
        <w:spacing w:line="480" w:lineRule="auto"/>
        <w:textAlignment w:val="baseline"/>
        <w:rPr>
          <w:rFonts w:ascii="Calibri" w:eastAsia="Times New Roman" w:hAnsi="Calibri" w:cs="Calibri"/>
          <w:color w:val="737373"/>
        </w:rPr>
      </w:pPr>
      <w:r w:rsidRPr="00ED6F32">
        <w:rPr>
          <w:rFonts w:ascii="Calibri" w:eastAsia="Times New Roman" w:hAnsi="Calibri" w:cs="Calibri"/>
        </w:rPr>
        <w:t>An EUA authorization under FD&amp;C Act §564 does not contain or confer any tort liability protections by itself.</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However, medical products authorized under an EUA qualify as countermeasures (e.g., vaccines, drugs, devices) covered under the </w:t>
      </w:r>
      <w:hyperlink r:id="rId22" w:anchor="Public-Readiness" w:tooltip="Public Readiness and Emergency Preparedness (PREP) Act" w:history="1">
        <w:r w:rsidRPr="00ED6F32">
          <w:rPr>
            <w:rFonts w:ascii="Calibri" w:eastAsia="Times New Roman" w:hAnsi="Calibri" w:cs="Calibri"/>
            <w:color w:val="0F88B8"/>
            <w:bdr w:val="none" w:sz="0" w:space="0" w:color="auto" w:frame="1"/>
          </w:rPr>
          <w:t>Public Readiness and Emergency Preparedness (PREP) Act</w:t>
        </w:r>
      </w:hyperlink>
      <w:r w:rsidRPr="00ED6F32">
        <w:rPr>
          <w:rFonts w:ascii="Calibri" w:eastAsia="Times New Roman" w:hAnsi="Calibri" w:cs="Calibri"/>
          <w:color w:val="737373"/>
        </w:rPr>
        <w:t xml:space="preserve">, </w:t>
      </w:r>
      <w:r w:rsidRPr="00ED6F32">
        <w:rPr>
          <w:rFonts w:ascii="Calibri" w:eastAsia="Times New Roman" w:hAnsi="Calibri" w:cs="Calibri"/>
        </w:rPr>
        <w:t>which provides immunity from tort liability, if the medical products are specified in the PREP Act declaration.</w:t>
      </w:r>
      <w:r w:rsidRPr="00ED6F32">
        <w:rPr>
          <w:rFonts w:ascii="Calibri" w:eastAsia="Times New Roman" w:hAnsi="Calibri" w:cs="Calibri"/>
          <w:bdr w:val="none" w:sz="0" w:space="0" w:color="auto" w:frame="1"/>
          <w:vertAlign w:val="superscript"/>
        </w:rPr>
        <w:t>7</w:t>
      </w:r>
      <w:r w:rsidRPr="00ED6F32">
        <w:rPr>
          <w:rFonts w:ascii="Calibri" w:eastAsia="Times New Roman" w:hAnsi="Calibri" w:cs="Calibri"/>
        </w:rPr>
        <w:t> Medical products used pursuant to an EUA must be used and administered according to the terms of the EUA and included in the PREP Act declaration for PREP Act coverage to arise. (See </w:t>
      </w:r>
      <w:hyperlink r:id="rId23" w:tooltip="ASTHO PREP Act Fact Sheet" w:history="1">
        <w:r w:rsidRPr="00ED6F32">
          <w:rPr>
            <w:rFonts w:ascii="Calibri" w:eastAsia="Times New Roman" w:hAnsi="Calibri" w:cs="Calibri"/>
            <w:color w:val="0F88B8"/>
            <w:bdr w:val="none" w:sz="0" w:space="0" w:color="auto" w:frame="1"/>
          </w:rPr>
          <w:t>ASTHO PREP Act Fact Sheet</w:t>
        </w:r>
      </w:hyperlink>
      <w:r w:rsidRPr="00ED6F32">
        <w:rPr>
          <w:rFonts w:ascii="Calibri" w:eastAsia="Times New Roman" w:hAnsi="Calibri" w:cs="Calibri"/>
          <w:color w:val="737373"/>
        </w:rPr>
        <w:t>.</w:t>
      </w:r>
      <w:r w:rsidRPr="00ED6F32">
        <w:rPr>
          <w:rFonts w:ascii="Calibri" w:eastAsia="Times New Roman" w:hAnsi="Calibri" w:cs="Calibri"/>
        </w:rPr>
        <w:t xml:space="preserve">) Other federal statutes and programs including but not limited to </w:t>
      </w:r>
      <w:r w:rsidRPr="00ED6F32">
        <w:rPr>
          <w:rFonts w:ascii="Calibri" w:eastAsia="Times New Roman" w:hAnsi="Calibri" w:cs="Calibri"/>
        </w:rPr>
        <w:lastRenderedPageBreak/>
        <w:t>the </w:t>
      </w:r>
      <w:hyperlink r:id="rId24" w:anchor="Federal-Tort" w:tooltip="Federal Tort Claims Act" w:history="1">
        <w:r w:rsidRPr="00ED6F32">
          <w:rPr>
            <w:rFonts w:ascii="Calibri" w:eastAsia="Times New Roman" w:hAnsi="Calibri" w:cs="Calibri"/>
            <w:bdr w:val="none" w:sz="0" w:space="0" w:color="auto" w:frame="1"/>
          </w:rPr>
          <w:t>Federal Tort Claims Act</w:t>
        </w:r>
      </w:hyperlink>
      <w:r w:rsidRPr="00ED6F32">
        <w:rPr>
          <w:rFonts w:ascii="Calibri" w:eastAsia="Times New Roman" w:hAnsi="Calibri" w:cs="Calibri"/>
          <w:bdr w:val="none" w:sz="0" w:space="0" w:color="auto" w:frame="1"/>
          <w:vertAlign w:val="superscript"/>
        </w:rPr>
        <w:t>8</w:t>
      </w:r>
      <w:r w:rsidRPr="00ED6F32">
        <w:rPr>
          <w:rFonts w:ascii="Calibri" w:eastAsia="Times New Roman" w:hAnsi="Calibri" w:cs="Calibri"/>
        </w:rPr>
        <w:t> and the </w:t>
      </w:r>
      <w:hyperlink r:id="rId25" w:anchor="Vaccine-Injury" w:tooltip="National Vaccine Injury Compensation Program" w:history="1">
        <w:r w:rsidRPr="00ED6F32">
          <w:rPr>
            <w:rFonts w:ascii="Calibri" w:eastAsia="Times New Roman" w:hAnsi="Calibri" w:cs="Calibri"/>
            <w:color w:val="0F88B8"/>
            <w:bdr w:val="none" w:sz="0" w:space="0" w:color="auto" w:frame="1"/>
          </w:rPr>
          <w:t>National Vaccine Injury Compensation Program</w:t>
        </w:r>
      </w:hyperlink>
      <w:r w:rsidRPr="00ED6F32">
        <w:rPr>
          <w:rFonts w:ascii="Calibri" w:eastAsia="Times New Roman" w:hAnsi="Calibri" w:cs="Calibri"/>
          <w:bdr w:val="none" w:sz="0" w:space="0" w:color="auto" w:frame="1"/>
          <w:vertAlign w:val="superscript"/>
        </w:rPr>
        <w:t>9</w:t>
      </w:r>
      <w:r w:rsidRPr="00ED6F32">
        <w:rPr>
          <w:rFonts w:ascii="Calibri" w:eastAsia="Times New Roman" w:hAnsi="Calibri" w:cs="Calibri"/>
        </w:rPr>
        <w:t> may also provide liability protections depending on the particular circumstances of an event.</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w:t>
      </w:r>
    </w:p>
    <w:p w14:paraId="15113255" w14:textId="77777777" w:rsidR="00206E4B" w:rsidRPr="001F1327" w:rsidRDefault="00206E4B" w:rsidP="00E26561">
      <w:pPr>
        <w:spacing w:line="480" w:lineRule="auto"/>
        <w:rPr>
          <w:rFonts w:ascii="Calibri" w:eastAsia="Times New Roman" w:hAnsi="Calibri" w:cs="Calibri"/>
          <w:b/>
          <w:bCs/>
          <w:color w:val="3C3030"/>
        </w:rPr>
      </w:pPr>
    </w:p>
    <w:p w14:paraId="4FC4B674" w14:textId="77777777" w:rsidR="00206E4B" w:rsidRPr="00ED6F32" w:rsidRDefault="00206E4B"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How the Law Works</w:t>
      </w:r>
    </w:p>
    <w:p w14:paraId="4898563C" w14:textId="77777777" w:rsidR="00206E4B" w:rsidRPr="00ED6F32" w:rsidRDefault="00206E4B"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FD&amp;C Act §564 establishes requirements for issuing an EUA: (1) the determination that an emergency exists; (2) the declaration of an emergency; and (3) a finding by the FDA that specified criteria have been met.</w:t>
      </w:r>
    </w:p>
    <w:p w14:paraId="17310A53" w14:textId="77777777" w:rsidR="00206E4B" w:rsidRPr="00ED6F32" w:rsidRDefault="00206E4B" w:rsidP="00E26561">
      <w:pPr>
        <w:spacing w:line="480" w:lineRule="auto"/>
        <w:rPr>
          <w:rFonts w:ascii="Calibri" w:eastAsia="Times New Roman" w:hAnsi="Calibri" w:cs="Calibri"/>
          <w:b/>
          <w:bCs/>
        </w:rPr>
      </w:pPr>
      <w:r w:rsidRPr="00ED6F32">
        <w:rPr>
          <w:rFonts w:ascii="Calibri" w:eastAsia="Times New Roman" w:hAnsi="Calibri" w:cs="Calibri"/>
          <w:b/>
          <w:bCs/>
        </w:rPr>
        <w:t>Determination that an Emergency Exists</w:t>
      </w:r>
    </w:p>
    <w:p w14:paraId="4F65D36A" w14:textId="77777777" w:rsidR="00206E4B" w:rsidRPr="00ED6F32" w:rsidRDefault="00206E4B"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 xml:space="preserve">The FD&amp;C Act requires that one of the following three cabinet secretaries </w:t>
      </w:r>
      <w:proofErr w:type="gramStart"/>
      <w:r w:rsidRPr="00ED6F32">
        <w:rPr>
          <w:rFonts w:ascii="Calibri" w:eastAsia="Times New Roman" w:hAnsi="Calibri" w:cs="Calibri"/>
        </w:rPr>
        <w:t>makes a determination</w:t>
      </w:r>
      <w:proofErr w:type="gramEnd"/>
      <w:r w:rsidRPr="00ED6F32">
        <w:rPr>
          <w:rFonts w:ascii="Calibri" w:eastAsia="Times New Roman" w:hAnsi="Calibri" w:cs="Calibri"/>
        </w:rPr>
        <w:t xml:space="preserve"> that an emergency exists before an EUA is authorized:</w:t>
      </w:r>
    </w:p>
    <w:p w14:paraId="106C6B5E" w14:textId="77777777" w:rsidR="00206E4B" w:rsidRPr="00E26561" w:rsidRDefault="00206E4B" w:rsidP="00206E4B">
      <w:pPr>
        <w:pStyle w:val="ListParagraph"/>
        <w:numPr>
          <w:ilvl w:val="0"/>
          <w:numId w:val="16"/>
        </w:numPr>
        <w:spacing w:line="480" w:lineRule="auto"/>
        <w:textAlignment w:val="baseline"/>
        <w:rPr>
          <w:rFonts w:ascii="Calibri" w:eastAsia="Times New Roman" w:hAnsi="Calibri" w:cs="Calibri"/>
        </w:rPr>
      </w:pPr>
      <w:r w:rsidRPr="00E26561">
        <w:rPr>
          <w:rFonts w:ascii="Calibri" w:eastAsia="Times New Roman" w:hAnsi="Calibri" w:cs="Calibri"/>
        </w:rPr>
        <w:t>If the secretary of the Department of Homeland Security determines that there currently exists, or is significant potential for, a domestic emergency involving a heightened risk of attack using specified CBRN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2A5FB12B" w14:textId="77777777" w:rsidR="00206E4B" w:rsidRPr="00E26561" w:rsidRDefault="00206E4B" w:rsidP="00206E4B">
      <w:pPr>
        <w:pStyle w:val="ListParagraph"/>
        <w:numPr>
          <w:ilvl w:val="0"/>
          <w:numId w:val="16"/>
        </w:numPr>
        <w:spacing w:line="480" w:lineRule="auto"/>
        <w:textAlignment w:val="baseline"/>
        <w:rPr>
          <w:rFonts w:ascii="Calibri" w:eastAsia="Times New Roman" w:hAnsi="Calibri" w:cs="Calibri"/>
        </w:rPr>
      </w:pPr>
      <w:r w:rsidRPr="00E26561">
        <w:rPr>
          <w:rFonts w:ascii="Calibri" w:eastAsia="Times New Roman" w:hAnsi="Calibri" w:cs="Calibri"/>
        </w:rPr>
        <w:t>If the secretary of the Department of Defense (DoD) determines that there currently exists, or is significant potential for, a military emergency involving a heightened risk to U.S. military forces of attack using specified CBRN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341C850E" w14:textId="77777777" w:rsidR="00206E4B" w:rsidRPr="00E26561" w:rsidRDefault="00206E4B" w:rsidP="00206E4B">
      <w:pPr>
        <w:pStyle w:val="ListParagraph"/>
        <w:numPr>
          <w:ilvl w:val="0"/>
          <w:numId w:val="16"/>
        </w:numPr>
        <w:spacing w:line="480" w:lineRule="auto"/>
        <w:textAlignment w:val="baseline"/>
        <w:rPr>
          <w:rFonts w:ascii="Calibri" w:eastAsia="Times New Roman" w:hAnsi="Calibri" w:cs="Calibri"/>
          <w:color w:val="737373"/>
        </w:rPr>
      </w:pPr>
      <w:r w:rsidRPr="00E26561">
        <w:rPr>
          <w:rFonts w:ascii="Calibri" w:eastAsia="Times New Roman" w:hAnsi="Calibri" w:cs="Calibri"/>
        </w:rPr>
        <w:t>If the secretary of the Department of Health and Human Services (HHS) determines that there is a public health emergency under the </w:t>
      </w:r>
      <w:hyperlink r:id="rId26" w:anchor="Public-Health-Service" w:tooltip="Public Health Service Act (PHS Act) §319" w:history="1">
        <w:r w:rsidRPr="00E26561">
          <w:rPr>
            <w:rFonts w:ascii="Calibri" w:eastAsia="Times New Roman" w:hAnsi="Calibri" w:cs="Calibri"/>
            <w:color w:val="0F88B8"/>
            <w:bdr w:val="none" w:sz="0" w:space="0" w:color="auto" w:frame="1"/>
          </w:rPr>
          <w:t>Public Health Service Act (PHS Act) §319</w:t>
        </w:r>
      </w:hyperlink>
      <w:r w:rsidRPr="00E26561">
        <w:rPr>
          <w:rFonts w:ascii="Calibri" w:eastAsia="Times New Roman" w:hAnsi="Calibri" w:cs="Calibri"/>
          <w:bdr w:val="none" w:sz="0" w:space="0" w:color="auto" w:frame="1"/>
          <w:vertAlign w:val="superscript"/>
        </w:rPr>
        <w:t>10</w:t>
      </w:r>
      <w:r w:rsidRPr="00E26561">
        <w:rPr>
          <w:rFonts w:ascii="Calibri" w:eastAsia="Times New Roman" w:hAnsi="Calibri" w:cs="Calibri"/>
          <w:color w:val="737373"/>
        </w:rPr>
        <w:t> </w:t>
      </w:r>
      <w:r w:rsidRPr="00E26561">
        <w:rPr>
          <w:rFonts w:ascii="Calibri" w:eastAsia="Times New Roman" w:hAnsi="Calibri" w:cs="Calibri"/>
        </w:rPr>
        <w:t>that affects, or has significant potential to affect, national security and involves specified CBRN agents and diseases or conditions attributable to such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45293A09" w14:textId="77777777" w:rsidR="00206E4B" w:rsidRPr="000F0D7A" w:rsidRDefault="00206E4B" w:rsidP="00E26561">
      <w:pPr>
        <w:spacing w:line="480" w:lineRule="auto"/>
        <w:rPr>
          <w:rFonts w:ascii="Calibri" w:eastAsia="Times New Roman" w:hAnsi="Calibri" w:cs="Calibri"/>
          <w:b/>
          <w:bCs/>
        </w:rPr>
      </w:pPr>
    </w:p>
    <w:p w14:paraId="59A43DD7" w14:textId="77777777" w:rsidR="00206E4B" w:rsidRPr="00ED6F32" w:rsidRDefault="00206E4B" w:rsidP="00E26561">
      <w:pPr>
        <w:keepNext/>
        <w:spacing w:line="480" w:lineRule="auto"/>
        <w:rPr>
          <w:rFonts w:ascii="Calibri" w:eastAsia="Times New Roman" w:hAnsi="Calibri" w:cs="Calibri"/>
          <w:b/>
          <w:bCs/>
        </w:rPr>
      </w:pPr>
      <w:r w:rsidRPr="00ED6F32">
        <w:rPr>
          <w:rFonts w:ascii="Calibri" w:eastAsia="Times New Roman" w:hAnsi="Calibri" w:cs="Calibri"/>
          <w:b/>
          <w:bCs/>
        </w:rPr>
        <w:lastRenderedPageBreak/>
        <w:t>Declaration of an Emergency</w:t>
      </w:r>
    </w:p>
    <w:p w14:paraId="0CE54164"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If an emergency has been determined to exist, the HHS secretary can declare an emergency justifying the authorization of an EUA under FD&amp;C Act §564.</w:t>
      </w:r>
      <w:r w:rsidRPr="00ED6F32">
        <w:rPr>
          <w:rFonts w:ascii="Calibri" w:eastAsia="Times New Roman" w:hAnsi="Calibri" w:cs="Calibri"/>
          <w:bdr w:val="none" w:sz="0" w:space="0" w:color="auto" w:frame="1"/>
          <w:vertAlign w:val="superscript"/>
        </w:rPr>
        <w:t>1,6</w:t>
      </w:r>
      <w:r w:rsidRPr="00ED6F32">
        <w:rPr>
          <w:rFonts w:ascii="Calibri" w:eastAsia="Times New Roman" w:hAnsi="Calibri" w:cs="Calibri"/>
        </w:rPr>
        <w:t>The §564 declaration of emergency is different from a determination of public health emergency under PHS Act §319 and a declaration of a public health emergency under the PREP Act. The HHS secretary’s declaration of an emergency triggering an EUA specifies the CBRN agents and the products covered under the EUA.</w:t>
      </w:r>
      <w:r w:rsidRPr="00ED6F32">
        <w:rPr>
          <w:rFonts w:ascii="Calibri" w:eastAsia="Times New Roman" w:hAnsi="Calibri" w:cs="Calibri"/>
          <w:bdr w:val="none" w:sz="0" w:space="0" w:color="auto" w:frame="1"/>
          <w:vertAlign w:val="superscript"/>
        </w:rPr>
        <w:t>11</w:t>
      </w:r>
      <w:r w:rsidRPr="00ED6F32">
        <w:rPr>
          <w:rFonts w:ascii="Calibri" w:eastAsia="Times New Roman" w:hAnsi="Calibri" w:cs="Calibri"/>
        </w:rPr>
        <w:t> The FDA is required to publish notice of each EUA in the Federal Register. In making the decision to declare an emergency justifying an EUA, the HHS secretary reviews information submitted in support of the EUA and may consult an EUA work group of federal officials.</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One emergency declaration can support multiple EUAs.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w:t>
      </w:r>
    </w:p>
    <w:p w14:paraId="520A5C77" w14:textId="77777777" w:rsidR="00206E4B" w:rsidRPr="000F0D7A" w:rsidRDefault="00206E4B" w:rsidP="00E26561">
      <w:pPr>
        <w:spacing w:line="480" w:lineRule="auto"/>
        <w:rPr>
          <w:rFonts w:ascii="Calibri" w:eastAsia="Times New Roman" w:hAnsi="Calibri" w:cs="Calibri"/>
          <w:b/>
          <w:bCs/>
        </w:rPr>
      </w:pPr>
    </w:p>
    <w:p w14:paraId="728A117A" w14:textId="77777777" w:rsidR="00206E4B" w:rsidRPr="00ED6F32" w:rsidRDefault="00206E4B" w:rsidP="00E26561">
      <w:pPr>
        <w:spacing w:line="480" w:lineRule="auto"/>
        <w:rPr>
          <w:rFonts w:ascii="Calibri" w:eastAsia="Times New Roman" w:hAnsi="Calibri" w:cs="Calibri"/>
          <w:b/>
          <w:bCs/>
        </w:rPr>
      </w:pPr>
      <w:r w:rsidRPr="00ED6F32">
        <w:rPr>
          <w:rFonts w:ascii="Calibri" w:eastAsia="Times New Roman" w:hAnsi="Calibri" w:cs="Calibri"/>
          <w:b/>
          <w:bCs/>
        </w:rPr>
        <w:t>Issuance of the EUA</w:t>
      </w:r>
    </w:p>
    <w:p w14:paraId="35CD63C4" w14:textId="77777777" w:rsidR="00206E4B" w:rsidRPr="00ED6F32" w:rsidRDefault="00206E4B"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Once the HHS secretary has declared an emergency justifying the EUA, the FDA commissioner may issue the EUA after consultation with the National Institutes of Health (NIH) and the Centers for Disease Control and Prevention (CDC) (if feasible and appropriate given the emergency) and upon meeting statutory and other criteria.</w:t>
      </w:r>
    </w:p>
    <w:p w14:paraId="23792627"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Requests for EUA—</w:t>
      </w:r>
      <w:r w:rsidRPr="00ED6F32">
        <w:rPr>
          <w:rFonts w:ascii="Calibri" w:eastAsia="Times New Roman" w:hAnsi="Calibri" w:cs="Calibri"/>
        </w:rPr>
        <w:t>FD&amp;C Act §564 does not address the precise processes and data requirements for requesting and reviewing an EUA for specific products. In a guidance document, the FDA anticipates EUA requests will be submitted by government agencies (e.g., CDC, DoD) or private entities (e.g., medical product manufacturers).</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 type and amount of information needed to support an EUA request depends on the nature of the declared emergency and the proposed product for which the EUA is requested.</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xml:space="preserve"> Types of information the FDA recommends to support an EUA request include, but are not limited to, a description of the product and its intended uses, rationale behind the product’s use under an EUA, available safety and efficacy data, and proposed labeling and instructions for the product’s </w:t>
      </w:r>
      <w:r w:rsidRPr="00ED6F32">
        <w:rPr>
          <w:rFonts w:ascii="Calibri" w:eastAsia="Times New Roman" w:hAnsi="Calibri" w:cs="Calibri"/>
        </w:rPr>
        <w:lastRenderedPageBreak/>
        <w:t>use.</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 FDA reviews EUA requests on a case-by-case basis using the scientific data available at the time and the circumstances of the emergency.</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w:t>
      </w:r>
    </w:p>
    <w:p w14:paraId="79B978BC" w14:textId="77777777" w:rsidR="00206E4B" w:rsidRPr="000F0D7A" w:rsidRDefault="00206E4B" w:rsidP="00E26561">
      <w:pPr>
        <w:shd w:val="clear" w:color="auto" w:fill="FFFFFF"/>
        <w:spacing w:line="480" w:lineRule="auto"/>
        <w:textAlignment w:val="baseline"/>
        <w:rPr>
          <w:rFonts w:ascii="Calibri" w:eastAsia="Times New Roman" w:hAnsi="Calibri" w:cs="Calibri"/>
          <w:b/>
          <w:bCs/>
          <w:bdr w:val="none" w:sz="0" w:space="0" w:color="auto" w:frame="1"/>
        </w:rPr>
      </w:pPr>
    </w:p>
    <w:p w14:paraId="5B59CAF1"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Criteria for EUA Authorization—</w:t>
      </w:r>
      <w:r w:rsidRPr="00ED6F32">
        <w:rPr>
          <w:rFonts w:ascii="Calibri" w:eastAsia="Times New Roman" w:hAnsi="Calibri" w:cs="Calibri"/>
        </w:rPr>
        <w:t xml:space="preserve">The FDA will issue an EUA if the FDA commissioner finds </w:t>
      </w:r>
      <w:proofErr w:type="gramStart"/>
      <w:r w:rsidRPr="00ED6F32">
        <w:rPr>
          <w:rFonts w:ascii="Calibri" w:eastAsia="Times New Roman" w:hAnsi="Calibri" w:cs="Calibri"/>
        </w:rPr>
        <w:t>all of</w:t>
      </w:r>
      <w:proofErr w:type="gramEnd"/>
      <w:r w:rsidRPr="00ED6F32">
        <w:rPr>
          <w:rFonts w:ascii="Calibri" w:eastAsia="Times New Roman" w:hAnsi="Calibri" w:cs="Calibri"/>
        </w:rPr>
        <w:t xml:space="preserve"> the following:</w:t>
      </w:r>
    </w:p>
    <w:p w14:paraId="1ECB6921" w14:textId="77777777" w:rsidR="00206E4B" w:rsidRPr="0043114A" w:rsidRDefault="00206E4B" w:rsidP="00206E4B">
      <w:pPr>
        <w:pStyle w:val="ListParagraph"/>
        <w:numPr>
          <w:ilvl w:val="0"/>
          <w:numId w:val="17"/>
        </w:numPr>
        <w:spacing w:line="480" w:lineRule="auto"/>
        <w:textAlignment w:val="baseline"/>
        <w:rPr>
          <w:rFonts w:ascii="Calibri" w:eastAsia="Times New Roman" w:hAnsi="Calibri" w:cs="Calibri"/>
        </w:rPr>
      </w:pPr>
      <w:r w:rsidRPr="0043114A">
        <w:rPr>
          <w:rFonts w:ascii="Calibri" w:eastAsia="Times New Roman" w:hAnsi="Calibri" w:cs="Calibri"/>
        </w:rPr>
        <w:t>The CBRN agent specified in the declaration of emergency can cause a serious or life-threatening disease or condition.</w:t>
      </w:r>
    </w:p>
    <w:p w14:paraId="7C8CC7D7" w14:textId="77777777" w:rsidR="00206E4B" w:rsidRPr="0043114A" w:rsidRDefault="00206E4B" w:rsidP="00206E4B">
      <w:pPr>
        <w:pStyle w:val="ListParagraph"/>
        <w:numPr>
          <w:ilvl w:val="0"/>
          <w:numId w:val="17"/>
        </w:numPr>
        <w:spacing w:line="480" w:lineRule="auto"/>
        <w:textAlignment w:val="baseline"/>
        <w:rPr>
          <w:rFonts w:ascii="Calibri" w:eastAsia="Times New Roman" w:hAnsi="Calibri" w:cs="Calibri"/>
        </w:rPr>
      </w:pPr>
      <w:r w:rsidRPr="0043114A">
        <w:rPr>
          <w:rFonts w:ascii="Calibri" w:eastAsia="Times New Roman" w:hAnsi="Calibri" w:cs="Calibri"/>
        </w:rPr>
        <w:t>Based on the scientific evidence available, it is reasonable to believe that the product may be effective in diagnosing, treating, or preventing the disease or condition specified in the declaration of emergency or caused by another medical product to diagnose, treat, or prevent a disease or condition caused by the specified agent.</w:t>
      </w:r>
    </w:p>
    <w:p w14:paraId="3FDB6D6E" w14:textId="77777777" w:rsidR="00206E4B" w:rsidRPr="0043114A" w:rsidRDefault="00206E4B" w:rsidP="00206E4B">
      <w:pPr>
        <w:pStyle w:val="ListParagraph"/>
        <w:numPr>
          <w:ilvl w:val="0"/>
          <w:numId w:val="17"/>
        </w:numPr>
        <w:spacing w:line="480" w:lineRule="auto"/>
        <w:textAlignment w:val="baseline"/>
        <w:rPr>
          <w:rFonts w:ascii="Calibri" w:eastAsia="Times New Roman" w:hAnsi="Calibri" w:cs="Calibri"/>
        </w:rPr>
      </w:pPr>
      <w:r w:rsidRPr="0043114A">
        <w:rPr>
          <w:rFonts w:ascii="Calibri" w:eastAsia="Times New Roman" w:hAnsi="Calibri" w:cs="Calibri"/>
        </w:rPr>
        <w:t>The known and potential benefits outweigh the known and potential risks of the product when used to diagnose, prevent, or treat the serious or life-threatening disease or condition that is the subject of the declaration.</w:t>
      </w:r>
    </w:p>
    <w:p w14:paraId="6001E535" w14:textId="77777777" w:rsidR="00206E4B" w:rsidRPr="0043114A" w:rsidRDefault="00206E4B" w:rsidP="00206E4B">
      <w:pPr>
        <w:pStyle w:val="ListParagraph"/>
        <w:numPr>
          <w:ilvl w:val="0"/>
          <w:numId w:val="17"/>
        </w:numPr>
        <w:spacing w:line="480" w:lineRule="auto"/>
        <w:textAlignment w:val="baseline"/>
        <w:rPr>
          <w:rFonts w:ascii="Calibri" w:eastAsia="Times New Roman" w:hAnsi="Calibri" w:cs="Calibri"/>
        </w:rPr>
      </w:pPr>
      <w:r w:rsidRPr="0043114A">
        <w:rPr>
          <w:rFonts w:ascii="Calibri" w:eastAsia="Times New Roman" w:hAnsi="Calibri" w:cs="Calibri"/>
        </w:rPr>
        <w:t>There is no adequate, approved, and available alternative to the product for diagnosing, preventing, or treating the disease or condition.</w:t>
      </w:r>
      <w:r w:rsidRPr="0043114A">
        <w:rPr>
          <w:rFonts w:ascii="Calibri" w:eastAsia="Times New Roman" w:hAnsi="Calibri" w:cs="Calibri"/>
          <w:bdr w:val="none" w:sz="0" w:space="0" w:color="auto" w:frame="1"/>
          <w:vertAlign w:val="superscript"/>
        </w:rPr>
        <w:t>1,5,6 </w:t>
      </w:r>
      <w:r w:rsidRPr="0043114A">
        <w:rPr>
          <w:rFonts w:ascii="Calibri" w:eastAsia="Times New Roman" w:hAnsi="Calibri" w:cs="Calibri"/>
        </w:rPr>
        <w:t> </w:t>
      </w:r>
    </w:p>
    <w:p w14:paraId="43C310B3" w14:textId="77777777" w:rsidR="00206E4B" w:rsidRPr="000F0D7A" w:rsidRDefault="00206E4B" w:rsidP="00E26561">
      <w:pPr>
        <w:shd w:val="clear" w:color="auto" w:fill="FFFFFF"/>
        <w:spacing w:line="480" w:lineRule="auto"/>
        <w:textAlignment w:val="baseline"/>
        <w:rPr>
          <w:rFonts w:ascii="Calibri" w:eastAsia="Times New Roman" w:hAnsi="Calibri" w:cs="Calibri"/>
        </w:rPr>
      </w:pPr>
    </w:p>
    <w:p w14:paraId="2D6472D4"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The FDA commissioner issues a letter that authorizes the EUA. The letter must state: (1) the diseases or conditions the product may be used to diagnose, prevent, or treat within the scope of the EUA; (2) the known and potential benefits of the product; (3) conclusions concerning the safety and potential effectiveness of the product; (4) an assessment of the available scientific evidence; and (5) required and additional conditions of authorization.</w:t>
      </w:r>
      <w:r w:rsidRPr="00ED6F32">
        <w:rPr>
          <w:rFonts w:ascii="Calibri" w:eastAsia="Times New Roman" w:hAnsi="Calibri" w:cs="Calibri"/>
          <w:bdr w:val="none" w:sz="0" w:space="0" w:color="auto" w:frame="1"/>
          <w:vertAlign w:val="superscript"/>
        </w:rPr>
        <w:t>1 </w:t>
      </w:r>
      <w:r w:rsidRPr="00ED6F32">
        <w:rPr>
          <w:rFonts w:ascii="Calibri" w:eastAsia="Times New Roman" w:hAnsi="Calibri" w:cs="Calibri"/>
        </w:rPr>
        <w:t> </w:t>
      </w:r>
    </w:p>
    <w:p w14:paraId="0195F3A7" w14:textId="77777777" w:rsidR="00206E4B" w:rsidRPr="000F0D7A" w:rsidRDefault="00206E4B" w:rsidP="00E26561">
      <w:pPr>
        <w:shd w:val="clear" w:color="auto" w:fill="FFFFFF"/>
        <w:spacing w:line="480" w:lineRule="auto"/>
        <w:textAlignment w:val="baseline"/>
        <w:rPr>
          <w:rFonts w:ascii="Calibri" w:eastAsia="Times New Roman" w:hAnsi="Calibri" w:cs="Calibri"/>
          <w:b/>
          <w:bCs/>
          <w:bdr w:val="none" w:sz="0" w:space="0" w:color="auto" w:frame="1"/>
        </w:rPr>
      </w:pPr>
    </w:p>
    <w:p w14:paraId="70B10FD4"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lastRenderedPageBreak/>
        <w:t>Conditions of Authorization—</w:t>
      </w:r>
      <w:r w:rsidRPr="00ED6F32">
        <w:rPr>
          <w:rFonts w:ascii="Calibri" w:eastAsia="Times New Roman" w:hAnsi="Calibri" w:cs="Calibri"/>
        </w:rPr>
        <w:t>The FDA may establish conditions on the use of a product under an EUA. For unapproved products, FD&amp;C Act §564 requires the FDA commissioner (to the extent practicable given the circumstances of the emergency) to establish certain required conditions on an EUA that the commissioner finds necessary or appropriate to protect public health and permits the commissioner to establish other conditions that he or she finds necessary or appropriate to protect public health.</w:t>
      </w:r>
      <w:r w:rsidRPr="00ED6F32">
        <w:rPr>
          <w:rFonts w:ascii="Calibri" w:eastAsia="Times New Roman" w:hAnsi="Calibri" w:cs="Calibri"/>
          <w:bdr w:val="none" w:sz="0" w:space="0" w:color="auto" w:frame="1"/>
          <w:vertAlign w:val="superscript"/>
        </w:rPr>
        <w:t>2</w:t>
      </w:r>
      <w:r w:rsidRPr="00ED6F32">
        <w:rPr>
          <w:rFonts w:ascii="Calibri" w:eastAsia="Times New Roman" w:hAnsi="Calibri" w:cs="Calibri"/>
        </w:rPr>
        <w:t> Such conditions include:</w:t>
      </w:r>
    </w:p>
    <w:p w14:paraId="53B920C4" w14:textId="77777777" w:rsidR="00206E4B" w:rsidRPr="007A722F" w:rsidRDefault="00206E4B" w:rsidP="00206E4B">
      <w:pPr>
        <w:pStyle w:val="ListParagraph"/>
        <w:numPr>
          <w:ilvl w:val="0"/>
          <w:numId w:val="18"/>
        </w:numPr>
        <w:spacing w:line="480" w:lineRule="auto"/>
        <w:textAlignment w:val="baseline"/>
        <w:rPr>
          <w:rFonts w:ascii="Calibri" w:eastAsia="Times New Roman" w:hAnsi="Calibri" w:cs="Calibri"/>
        </w:rPr>
      </w:pPr>
      <w:r w:rsidRPr="007A722F">
        <w:rPr>
          <w:rFonts w:ascii="Calibri" w:eastAsia="Times New Roman" w:hAnsi="Calibri" w:cs="Calibri"/>
        </w:rPr>
        <w:t>A requirement to disseminate information (e.g., fact sheets) to healthcare professionals or authorized dispensers and prospective patients or other consumers regarding the EUA, the product’s significant known and potential benefits and risks, and the extent to which such benefits and risks are unknown.</w:t>
      </w:r>
    </w:p>
    <w:p w14:paraId="002AE20A" w14:textId="77777777" w:rsidR="00206E4B" w:rsidRPr="007A722F" w:rsidRDefault="00206E4B" w:rsidP="00206E4B">
      <w:pPr>
        <w:pStyle w:val="ListParagraph"/>
        <w:numPr>
          <w:ilvl w:val="0"/>
          <w:numId w:val="18"/>
        </w:numPr>
        <w:spacing w:line="480" w:lineRule="auto"/>
        <w:textAlignment w:val="baseline"/>
        <w:rPr>
          <w:rFonts w:ascii="Calibri" w:eastAsia="Times New Roman" w:hAnsi="Calibri" w:cs="Calibri"/>
        </w:rPr>
      </w:pPr>
      <w:r w:rsidRPr="007A722F">
        <w:rPr>
          <w:rFonts w:ascii="Calibri" w:eastAsia="Times New Roman" w:hAnsi="Calibri" w:cs="Calibri"/>
        </w:rPr>
        <w:t>Available alternatives and their benefits and risks.</w:t>
      </w:r>
    </w:p>
    <w:p w14:paraId="082E3D27" w14:textId="77777777" w:rsidR="00206E4B" w:rsidRPr="007A722F" w:rsidRDefault="00206E4B" w:rsidP="00206E4B">
      <w:pPr>
        <w:pStyle w:val="ListParagraph"/>
        <w:numPr>
          <w:ilvl w:val="0"/>
          <w:numId w:val="18"/>
        </w:numPr>
        <w:spacing w:line="480" w:lineRule="auto"/>
        <w:textAlignment w:val="baseline"/>
        <w:rPr>
          <w:rFonts w:ascii="Calibri" w:eastAsia="Times New Roman" w:hAnsi="Calibri" w:cs="Calibri"/>
        </w:rPr>
      </w:pPr>
      <w:r w:rsidRPr="007A722F">
        <w:rPr>
          <w:rFonts w:ascii="Calibri" w:eastAsia="Times New Roman" w:hAnsi="Calibri" w:cs="Calibri"/>
        </w:rPr>
        <w:t>For prospective patients and consumers, the option to accept or refuse the product, any consequences of refusal, and alternatives to the product.</w:t>
      </w:r>
    </w:p>
    <w:p w14:paraId="70ECB864" w14:textId="77777777" w:rsidR="00206E4B" w:rsidRPr="007A722F" w:rsidRDefault="00206E4B" w:rsidP="00206E4B">
      <w:pPr>
        <w:pStyle w:val="ListParagraph"/>
        <w:numPr>
          <w:ilvl w:val="0"/>
          <w:numId w:val="18"/>
        </w:numPr>
        <w:spacing w:line="480" w:lineRule="auto"/>
        <w:textAlignment w:val="baseline"/>
        <w:rPr>
          <w:rFonts w:ascii="Calibri" w:eastAsia="Times New Roman" w:hAnsi="Calibri" w:cs="Calibri"/>
        </w:rPr>
      </w:pPr>
      <w:r w:rsidRPr="007A722F">
        <w:rPr>
          <w:rFonts w:ascii="Calibri" w:eastAsia="Times New Roman" w:hAnsi="Calibri" w:cs="Calibri"/>
        </w:rPr>
        <w:t>Other conditions such as restricted advertising, distribution, and administration; adverse event reporting and monitoring; data collection and analysis; recordkeeping and records access; and compliance with Current Good Manufacturing Practice (CGMP).</w:t>
      </w:r>
      <w:r w:rsidRPr="007A722F">
        <w:rPr>
          <w:rFonts w:ascii="Calibri" w:eastAsia="Times New Roman" w:hAnsi="Calibri" w:cs="Calibri"/>
          <w:bdr w:val="none" w:sz="0" w:space="0" w:color="auto" w:frame="1"/>
          <w:vertAlign w:val="superscript"/>
        </w:rPr>
        <w:t>2,6 </w:t>
      </w:r>
      <w:r w:rsidRPr="007A722F">
        <w:rPr>
          <w:rFonts w:ascii="Calibri" w:eastAsia="Times New Roman" w:hAnsi="Calibri" w:cs="Calibri"/>
        </w:rPr>
        <w:t> </w:t>
      </w:r>
    </w:p>
    <w:p w14:paraId="446AB786" w14:textId="77777777" w:rsidR="00206E4B" w:rsidRPr="000F0D7A" w:rsidRDefault="00206E4B" w:rsidP="00E26561">
      <w:pPr>
        <w:shd w:val="clear" w:color="auto" w:fill="FFFFFF"/>
        <w:spacing w:line="480" w:lineRule="auto"/>
        <w:textAlignment w:val="baseline"/>
        <w:rPr>
          <w:rFonts w:ascii="Calibri" w:eastAsia="Times New Roman" w:hAnsi="Calibri" w:cs="Calibri"/>
        </w:rPr>
      </w:pPr>
    </w:p>
    <w:p w14:paraId="4D0F6D44"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For unapproved uses of approved products, certain of the above conditions as well as other conditions may be required in an EUA.</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These may include labeling requirements and the distribution of appropriate information in addition to label information.</w:t>
      </w:r>
      <w:r w:rsidRPr="00ED6F32">
        <w:rPr>
          <w:rFonts w:ascii="Calibri" w:eastAsia="Times New Roman" w:hAnsi="Calibri" w:cs="Calibri"/>
          <w:bdr w:val="none" w:sz="0" w:space="0" w:color="auto" w:frame="1"/>
          <w:vertAlign w:val="superscript"/>
        </w:rPr>
        <w:t>1 </w:t>
      </w:r>
      <w:r w:rsidRPr="00ED6F32">
        <w:rPr>
          <w:rFonts w:ascii="Calibri" w:eastAsia="Times New Roman" w:hAnsi="Calibri" w:cs="Calibri"/>
        </w:rPr>
        <w:t> </w:t>
      </w:r>
    </w:p>
    <w:p w14:paraId="63DF9E85" w14:textId="77777777" w:rsidR="00206E4B" w:rsidRPr="000F0D7A" w:rsidRDefault="00206E4B" w:rsidP="00E26561">
      <w:pPr>
        <w:shd w:val="clear" w:color="auto" w:fill="FFFFFF"/>
        <w:spacing w:line="480" w:lineRule="auto"/>
        <w:textAlignment w:val="baseline"/>
        <w:rPr>
          <w:rFonts w:ascii="Calibri" w:eastAsia="Times New Roman" w:hAnsi="Calibri" w:cs="Calibri"/>
          <w:b/>
          <w:bCs/>
          <w:bdr w:val="none" w:sz="0" w:space="0" w:color="auto" w:frame="1"/>
        </w:rPr>
      </w:pPr>
    </w:p>
    <w:p w14:paraId="14D145D6"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Duration and Termination—</w:t>
      </w:r>
      <w:r w:rsidRPr="00ED6F32">
        <w:rPr>
          <w:rFonts w:ascii="Calibri" w:eastAsia="Times New Roman" w:hAnsi="Calibri" w:cs="Calibri"/>
        </w:rPr>
        <w:t>The EUA is in effect for one year from the date of issuance or for as long as the HHS secretary’s §564 emergency declaration is in effect, whichever is shorter.</w:t>
      </w:r>
      <w:r w:rsidRPr="00ED6F32">
        <w:rPr>
          <w:rFonts w:ascii="Calibri" w:eastAsia="Times New Roman" w:hAnsi="Calibri" w:cs="Calibri"/>
          <w:bdr w:val="none" w:sz="0" w:space="0" w:color="auto" w:frame="1"/>
          <w:vertAlign w:val="superscript"/>
        </w:rPr>
        <w:t>1,5</w:t>
      </w:r>
      <w:r w:rsidRPr="00ED6F32">
        <w:rPr>
          <w:rFonts w:ascii="Calibri" w:eastAsia="Times New Roman" w:hAnsi="Calibri" w:cs="Calibri"/>
        </w:rPr>
        <w:t xml:space="preserve"> The emergency </w:t>
      </w:r>
      <w:r w:rsidRPr="00ED6F32">
        <w:rPr>
          <w:rFonts w:ascii="Calibri" w:eastAsia="Times New Roman" w:hAnsi="Calibri" w:cs="Calibri"/>
        </w:rPr>
        <w:lastRenderedPageBreak/>
        <w:t>declaration can be renewed. The EUA can be amended and may be revoked earlier if the criteria for issuance are no longer met or revocation is appropriate to protect public health or safety.</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w:t>
      </w:r>
    </w:p>
    <w:p w14:paraId="3B70DD56" w14:textId="77777777" w:rsidR="00206E4B" w:rsidRPr="000F0D7A" w:rsidRDefault="00206E4B" w:rsidP="00E26561">
      <w:pPr>
        <w:spacing w:line="480" w:lineRule="auto"/>
        <w:rPr>
          <w:rFonts w:ascii="Calibri" w:eastAsia="Times New Roman" w:hAnsi="Calibri" w:cs="Calibri"/>
          <w:b/>
          <w:bCs/>
        </w:rPr>
      </w:pPr>
    </w:p>
    <w:p w14:paraId="73E807BA" w14:textId="77777777" w:rsidR="00206E4B" w:rsidRPr="00ED6F32" w:rsidRDefault="00206E4B" w:rsidP="00E26561">
      <w:pPr>
        <w:spacing w:line="480" w:lineRule="auto"/>
        <w:rPr>
          <w:rFonts w:ascii="Calibri" w:eastAsia="Times New Roman" w:hAnsi="Calibri" w:cs="Calibri"/>
          <w:b/>
          <w:bCs/>
        </w:rPr>
      </w:pPr>
      <w:r w:rsidRPr="00ED6F32">
        <w:rPr>
          <w:rFonts w:ascii="Calibri" w:eastAsia="Times New Roman" w:hAnsi="Calibri" w:cs="Calibri"/>
          <w:b/>
          <w:bCs/>
        </w:rPr>
        <w:t>Pre-EUA</w:t>
      </w:r>
    </w:p>
    <w:p w14:paraId="277D6275" w14:textId="77777777" w:rsidR="00206E4B" w:rsidRPr="00ED6F32" w:rsidRDefault="00206E4B"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 xml:space="preserve">Since EUA conditions are established when the EUA is issued, public health officials will not know </w:t>
      </w:r>
      <w:proofErr w:type="gramStart"/>
      <w:r w:rsidRPr="00ED6F32">
        <w:rPr>
          <w:rFonts w:ascii="Calibri" w:eastAsia="Times New Roman" w:hAnsi="Calibri" w:cs="Calibri"/>
        </w:rPr>
        <w:t>all of</w:t>
      </w:r>
      <w:proofErr w:type="gramEnd"/>
      <w:r w:rsidRPr="00ED6F32">
        <w:rPr>
          <w:rFonts w:ascii="Calibri" w:eastAsia="Times New Roman" w:hAnsi="Calibri" w:cs="Calibri"/>
        </w:rPr>
        <w:t xml:space="preserve"> the expected requirements of a particular authorization in advance of an emergency. As a result, state and local officials will have to comply with conditions for which they might not be able to effectively plan. While the law does not allow the FDA to preauthorize an EUA before the determination and declaration of an emergency, the process of requesting an EUA can begin before the actual emergency occurs.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A “pre-EUA” request can be submitted to the FDA based on likely situations such as potential anthrax attacks or smallpox outbreaks.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Planners speculate about what the emergency might be and the products that could be used in those situations.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A pre-EUA allows the FDA to begin work on fact sheets and other documentation.</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If an emergency is declared and the EUA is formally requested, the FDA can conduct a final review of the pre-EUA materials and make any substantive changes as needed.</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The FDA will work with the states to ensure that any changes are included in final materials.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Even without a pre-EUA, public health officials can begin planning based on the list of potential conditions identified by the FDA in its 2007 document Guidance—Emergency Use Authorization of Medical Products.</w:t>
      </w:r>
      <w:r w:rsidRPr="00ED6F32">
        <w:rPr>
          <w:rFonts w:ascii="Calibri" w:eastAsia="Times New Roman" w:hAnsi="Calibri" w:cs="Calibri"/>
          <w:bdr w:val="none" w:sz="0" w:space="0" w:color="auto" w:frame="1"/>
          <w:vertAlign w:val="superscript"/>
        </w:rPr>
        <w:t>6, 4</w:t>
      </w:r>
      <w:r w:rsidRPr="00ED6F32">
        <w:rPr>
          <w:rFonts w:ascii="Calibri" w:eastAsia="Times New Roman" w:hAnsi="Calibri" w:cs="Calibri"/>
        </w:rPr>
        <w:t>  </w:t>
      </w:r>
    </w:p>
    <w:p w14:paraId="1036EDF6" w14:textId="77777777" w:rsidR="00206E4B" w:rsidRPr="000F0D7A" w:rsidRDefault="00206E4B" w:rsidP="00E26561">
      <w:pPr>
        <w:spacing w:line="480" w:lineRule="auto"/>
        <w:rPr>
          <w:rFonts w:ascii="Calibri" w:eastAsia="Times New Roman" w:hAnsi="Calibri" w:cs="Calibri"/>
          <w:b/>
          <w:bCs/>
        </w:rPr>
      </w:pPr>
    </w:p>
    <w:p w14:paraId="2653A679" w14:textId="77777777" w:rsidR="00206E4B" w:rsidRPr="00ED6F32" w:rsidRDefault="00206E4B" w:rsidP="00E26561">
      <w:pPr>
        <w:spacing w:line="480" w:lineRule="auto"/>
        <w:rPr>
          <w:rFonts w:ascii="Calibri" w:eastAsia="Times New Roman" w:hAnsi="Calibri" w:cs="Calibri"/>
          <w:b/>
          <w:bCs/>
          <w:sz w:val="24"/>
          <w:szCs w:val="24"/>
        </w:rPr>
      </w:pPr>
      <w:r w:rsidRPr="00ED6F32">
        <w:rPr>
          <w:rFonts w:ascii="Calibri" w:eastAsia="Times New Roman" w:hAnsi="Calibri" w:cs="Calibri"/>
          <w:b/>
          <w:bCs/>
          <w:sz w:val="24"/>
          <w:szCs w:val="24"/>
        </w:rPr>
        <w:t>How the Law Affects States</w:t>
      </w:r>
    </w:p>
    <w:p w14:paraId="72263AF5" w14:textId="77777777" w:rsidR="00206E4B" w:rsidRPr="00ED6F32" w:rsidRDefault="00206E4B" w:rsidP="00E26561">
      <w:pPr>
        <w:shd w:val="clear" w:color="auto" w:fill="FFFFFF"/>
        <w:spacing w:after="225" w:line="480" w:lineRule="auto"/>
        <w:textAlignment w:val="baseline"/>
        <w:rPr>
          <w:rFonts w:ascii="Calibri" w:eastAsia="Times New Roman" w:hAnsi="Calibri" w:cs="Calibri"/>
          <w:szCs w:val="20"/>
        </w:rPr>
      </w:pPr>
      <w:r w:rsidRPr="00ED6F32">
        <w:rPr>
          <w:rFonts w:ascii="Calibri" w:eastAsia="Times New Roman" w:hAnsi="Calibri" w:cs="Calibri"/>
          <w:szCs w:val="20"/>
        </w:rPr>
        <w:t xml:space="preserve">States have been significantly impacted by the use of EUAs during emergencies. During H1N1, the FDA issued numerous EUAs—many more than in prior years—for antivirals, diagnostic devices, and N95 masks. The public’s general concerns about perceived vaccine and drug safety issues also seemed to influence their views about medical products covered under EUAs. Healthcare professionals were unfamiliar with the EUA mechanism and how to use products authorized under it. Healthcare </w:t>
      </w:r>
      <w:r w:rsidRPr="00ED6F32">
        <w:rPr>
          <w:rFonts w:ascii="Calibri" w:eastAsia="Times New Roman" w:hAnsi="Calibri" w:cs="Calibri"/>
          <w:szCs w:val="20"/>
        </w:rPr>
        <w:lastRenderedPageBreak/>
        <w:t>professionals and others dispensing EUA-authorized products were concerned about potential liability issues. However, EUA authority has provided an important legal mechanism to make medicines quickly available to respond to an emergency when their availability through regular FD&amp;C Act/FDA processes might be delayed or be accompanied by burdensome procedures within the context of an emergency response.</w:t>
      </w:r>
    </w:p>
    <w:p w14:paraId="3FB0C263" w14:textId="77777777" w:rsidR="00206E4B" w:rsidRPr="00ED6F32" w:rsidRDefault="00206E4B" w:rsidP="00E26561">
      <w:pPr>
        <w:shd w:val="clear" w:color="auto" w:fill="FFFFFF"/>
        <w:spacing w:line="480" w:lineRule="auto"/>
        <w:textAlignment w:val="baseline"/>
        <w:rPr>
          <w:rFonts w:ascii="Calibri" w:eastAsia="Times New Roman" w:hAnsi="Calibri" w:cs="Calibri"/>
          <w:color w:val="737373"/>
          <w:szCs w:val="20"/>
        </w:rPr>
      </w:pPr>
      <w:r w:rsidRPr="00ED6F32">
        <w:rPr>
          <w:rFonts w:ascii="Calibri" w:eastAsia="Times New Roman" w:hAnsi="Calibri" w:cs="Calibri"/>
          <w:szCs w:val="20"/>
        </w:rPr>
        <w:t>Because of the relative newness of the EUA authority, public and private sector entities alike are still assessing the requirements for using EUA products and the liability protections available under the PREP Act when medical countermeasures are used under EUAs. States are encountering EUA products as part of the materiel deployed in the federal </w:t>
      </w:r>
      <w:hyperlink r:id="rId27" w:anchor="Strategic-National" w:tooltip="Strategic National Stockpile (SNS)" w:history="1">
        <w:r w:rsidRPr="00ED6F32">
          <w:rPr>
            <w:rFonts w:ascii="Calibri" w:eastAsia="Times New Roman" w:hAnsi="Calibri" w:cs="Calibri"/>
            <w:color w:val="0F88B8"/>
            <w:szCs w:val="20"/>
            <w:bdr w:val="none" w:sz="0" w:space="0" w:color="auto" w:frame="1"/>
          </w:rPr>
          <w:t>Strategic National Stockpile (SNS)</w:t>
        </w:r>
      </w:hyperlink>
      <w:r w:rsidRPr="00ED6F32">
        <w:rPr>
          <w:rFonts w:ascii="Calibri" w:eastAsia="Times New Roman" w:hAnsi="Calibri" w:cs="Calibri"/>
          <w:color w:val="737373"/>
          <w:szCs w:val="20"/>
        </w:rPr>
        <w:t xml:space="preserve">, </w:t>
      </w:r>
      <w:r w:rsidRPr="00ED6F32">
        <w:rPr>
          <w:rFonts w:ascii="Calibri" w:eastAsia="Times New Roman" w:hAnsi="Calibri" w:cs="Calibri"/>
          <w:szCs w:val="20"/>
        </w:rPr>
        <w:t>as well as medicines that may have be granted extended expiration dates under the federal </w:t>
      </w:r>
      <w:hyperlink r:id="rId28" w:anchor="Shelf-Life" w:tooltip="Shelf Life Extension Program (SLEP)" w:history="1">
        <w:r w:rsidRPr="00ED6F32">
          <w:rPr>
            <w:rFonts w:ascii="Calibri" w:eastAsia="Times New Roman" w:hAnsi="Calibri" w:cs="Calibri"/>
            <w:color w:val="0F88B8"/>
            <w:szCs w:val="20"/>
            <w:bdr w:val="none" w:sz="0" w:space="0" w:color="auto" w:frame="1"/>
          </w:rPr>
          <w:t>Shelf Life Extension Program (SLEP)</w:t>
        </w:r>
      </w:hyperlink>
      <w:r w:rsidRPr="00ED6F32">
        <w:rPr>
          <w:rFonts w:ascii="Calibri" w:eastAsia="Times New Roman" w:hAnsi="Calibri" w:cs="Calibri"/>
          <w:color w:val="737373"/>
          <w:szCs w:val="20"/>
        </w:rPr>
        <w:t> </w:t>
      </w:r>
      <w:r w:rsidRPr="00ED6F32">
        <w:rPr>
          <w:rFonts w:ascii="Calibri" w:eastAsia="Times New Roman" w:hAnsi="Calibri" w:cs="Calibri"/>
          <w:szCs w:val="20"/>
        </w:rPr>
        <w:t>(see </w:t>
      </w:r>
      <w:hyperlink r:id="rId29" w:tooltip="ASTHO Fact Sheets on SNS" w:history="1">
        <w:r w:rsidRPr="00ED6F32">
          <w:rPr>
            <w:rFonts w:ascii="Calibri" w:eastAsia="Times New Roman" w:hAnsi="Calibri" w:cs="Calibri"/>
            <w:color w:val="0F88B8"/>
            <w:szCs w:val="20"/>
            <w:bdr w:val="none" w:sz="0" w:space="0" w:color="auto" w:frame="1"/>
          </w:rPr>
          <w:t>ASTHO Fact Sheets on SNS</w:t>
        </w:r>
      </w:hyperlink>
      <w:r w:rsidRPr="00ED6F32">
        <w:rPr>
          <w:rFonts w:ascii="Calibri" w:eastAsia="Times New Roman" w:hAnsi="Calibri" w:cs="Calibri"/>
          <w:color w:val="737373"/>
          <w:szCs w:val="20"/>
        </w:rPr>
        <w:t> </w:t>
      </w:r>
      <w:r w:rsidRPr="00ED6F32">
        <w:rPr>
          <w:rFonts w:ascii="Calibri" w:eastAsia="Times New Roman" w:hAnsi="Calibri" w:cs="Calibri"/>
          <w:szCs w:val="20"/>
        </w:rPr>
        <w:t>and </w:t>
      </w:r>
      <w:hyperlink r:id="rId30" w:tooltip="SLEP" w:history="1">
        <w:r w:rsidRPr="00ED6F32">
          <w:rPr>
            <w:rFonts w:ascii="Calibri" w:eastAsia="Times New Roman" w:hAnsi="Calibri" w:cs="Calibri"/>
            <w:color w:val="0F88B8"/>
            <w:szCs w:val="20"/>
            <w:bdr w:val="none" w:sz="0" w:space="0" w:color="auto" w:frame="1"/>
          </w:rPr>
          <w:t>SLEP</w:t>
        </w:r>
      </w:hyperlink>
      <w:r w:rsidRPr="00ED6F32">
        <w:rPr>
          <w:rFonts w:ascii="Calibri" w:eastAsia="Times New Roman" w:hAnsi="Calibri" w:cs="Calibri"/>
          <w:color w:val="737373"/>
          <w:szCs w:val="20"/>
        </w:rPr>
        <w:t>).</w:t>
      </w:r>
    </w:p>
    <w:p w14:paraId="7B1E33B1" w14:textId="77777777" w:rsidR="00206E4B" w:rsidRPr="001F1327" w:rsidRDefault="00206E4B" w:rsidP="00E26561">
      <w:pPr>
        <w:spacing w:line="480" w:lineRule="auto"/>
        <w:rPr>
          <w:rFonts w:ascii="Calibri" w:eastAsia="Times New Roman" w:hAnsi="Calibri" w:cs="Calibri"/>
          <w:b/>
          <w:bCs/>
          <w:color w:val="3C3030"/>
          <w:sz w:val="28"/>
          <w:szCs w:val="24"/>
        </w:rPr>
      </w:pPr>
    </w:p>
    <w:p w14:paraId="50B20470" w14:textId="77777777" w:rsidR="00206E4B" w:rsidRPr="00ED6F32" w:rsidRDefault="00206E4B"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Practice Notes</w:t>
      </w:r>
    </w:p>
    <w:p w14:paraId="58610F55" w14:textId="77777777" w:rsidR="00206E4B" w:rsidRPr="007A722F" w:rsidRDefault="00206E4B" w:rsidP="00206E4B">
      <w:pPr>
        <w:pStyle w:val="ListParagraph"/>
        <w:numPr>
          <w:ilvl w:val="0"/>
          <w:numId w:val="19"/>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Understand the criteria under which an EUA can be issued and the conditions of authorization the FDA can place on use of EUA products.</w:t>
      </w:r>
    </w:p>
    <w:p w14:paraId="1E961722" w14:textId="77777777" w:rsidR="00206E4B" w:rsidRPr="007A722F" w:rsidRDefault="00206E4B" w:rsidP="00206E4B">
      <w:pPr>
        <w:pStyle w:val="ListParagraph"/>
        <w:numPr>
          <w:ilvl w:val="0"/>
          <w:numId w:val="19"/>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Understand the liability implications when using EUA products and the extent of PREP Act and other legal protections.</w:t>
      </w:r>
    </w:p>
    <w:p w14:paraId="7F02325D" w14:textId="77777777" w:rsidR="00206E4B" w:rsidRPr="007A722F" w:rsidRDefault="00206E4B" w:rsidP="00206E4B">
      <w:pPr>
        <w:pStyle w:val="ListParagraph"/>
        <w:numPr>
          <w:ilvl w:val="0"/>
          <w:numId w:val="19"/>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Identify how your state plans to inform providers, the public, etc., about EUA products before and during an emergency.</w:t>
      </w:r>
    </w:p>
    <w:p w14:paraId="125310C6" w14:textId="77777777" w:rsidR="00206E4B" w:rsidRPr="000F0D7A" w:rsidRDefault="00206E4B" w:rsidP="00E26561">
      <w:pPr>
        <w:spacing w:line="480" w:lineRule="auto"/>
        <w:rPr>
          <w:rFonts w:ascii="Calibri" w:eastAsia="Times New Roman" w:hAnsi="Calibri" w:cs="Calibri"/>
          <w:b/>
          <w:bCs/>
          <w:sz w:val="28"/>
          <w:szCs w:val="24"/>
        </w:rPr>
      </w:pPr>
    </w:p>
    <w:p w14:paraId="17B7407E" w14:textId="77777777" w:rsidR="00206E4B" w:rsidRPr="00ED6F32" w:rsidRDefault="00206E4B" w:rsidP="002B69E4">
      <w:pPr>
        <w:keepNext/>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lastRenderedPageBreak/>
        <w:t>EUAs Issued</w:t>
      </w:r>
    </w:p>
    <w:p w14:paraId="6C31DCF7" w14:textId="77777777" w:rsidR="00206E4B" w:rsidRPr="002B69E4" w:rsidRDefault="00206E4B" w:rsidP="00206E4B">
      <w:pPr>
        <w:pStyle w:val="ListParagraph"/>
        <w:numPr>
          <w:ilvl w:val="0"/>
          <w:numId w:val="20"/>
        </w:numPr>
        <w:spacing w:line="480" w:lineRule="auto"/>
        <w:textAlignment w:val="baseline"/>
        <w:rPr>
          <w:rFonts w:ascii="Calibri" w:eastAsia="Times New Roman" w:hAnsi="Calibri" w:cs="Calibri"/>
        </w:rPr>
      </w:pPr>
      <w:r w:rsidRPr="002B69E4">
        <w:rPr>
          <w:rFonts w:ascii="Calibri" w:eastAsia="Times New Roman" w:hAnsi="Calibri" w:cs="Calibri"/>
        </w:rPr>
        <w:t xml:space="preserve">The Project </w:t>
      </w:r>
      <w:proofErr w:type="spellStart"/>
      <w:r w:rsidRPr="002B69E4">
        <w:rPr>
          <w:rFonts w:ascii="Calibri" w:eastAsia="Times New Roman" w:hAnsi="Calibri" w:cs="Calibri"/>
        </w:rPr>
        <w:t>BioShield</w:t>
      </w:r>
      <w:proofErr w:type="spellEnd"/>
      <w:r w:rsidRPr="002B69E4">
        <w:rPr>
          <w:rFonts w:ascii="Calibri" w:eastAsia="Times New Roman" w:hAnsi="Calibri" w:cs="Calibri"/>
        </w:rPr>
        <w:t xml:space="preserve"> Act granted EUA authority in 2004. Two EUAs were issued before 2009; one of these EUAs was for the Cities Readiness Initiative (CRI) Postal Model, which pre-positioned doxycycline tablets in emergency kits for USPS workers against inhalational anthrax.</w:t>
      </w:r>
      <w:r w:rsidRPr="002B69E4">
        <w:rPr>
          <w:rFonts w:ascii="Calibri" w:eastAsia="Times New Roman" w:hAnsi="Calibri" w:cs="Calibri"/>
          <w:bdr w:val="none" w:sz="0" w:space="0" w:color="auto" w:frame="1"/>
          <w:vertAlign w:val="superscript"/>
        </w:rPr>
        <w:t>12 </w:t>
      </w:r>
      <w:r w:rsidRPr="002B69E4">
        <w:rPr>
          <w:rFonts w:ascii="Calibri" w:eastAsia="Times New Roman" w:hAnsi="Calibri" w:cs="Calibri"/>
        </w:rPr>
        <w:t> </w:t>
      </w:r>
    </w:p>
    <w:p w14:paraId="4FF6DC9A" w14:textId="77777777" w:rsidR="00206E4B" w:rsidRPr="002B69E4" w:rsidRDefault="00206E4B" w:rsidP="00206E4B">
      <w:pPr>
        <w:pStyle w:val="ListParagraph"/>
        <w:numPr>
          <w:ilvl w:val="0"/>
          <w:numId w:val="20"/>
        </w:numPr>
        <w:spacing w:line="480" w:lineRule="auto"/>
        <w:textAlignment w:val="baseline"/>
        <w:rPr>
          <w:rFonts w:ascii="Calibri" w:eastAsia="Times New Roman" w:hAnsi="Calibri" w:cs="Calibri"/>
        </w:rPr>
      </w:pPr>
      <w:r w:rsidRPr="002B69E4">
        <w:rPr>
          <w:rFonts w:ascii="Calibri" w:eastAsia="Times New Roman" w:hAnsi="Calibri" w:cs="Calibri"/>
        </w:rPr>
        <w:t>Most of the EUAs have been issued in response to the 2009 H1N1 outbreak.</w:t>
      </w:r>
    </w:p>
    <w:p w14:paraId="4C79D6F0" w14:textId="77777777" w:rsidR="00206E4B" w:rsidRPr="002B69E4" w:rsidRDefault="00206E4B" w:rsidP="00206E4B">
      <w:pPr>
        <w:pStyle w:val="ListParagraph"/>
        <w:numPr>
          <w:ilvl w:val="0"/>
          <w:numId w:val="20"/>
        </w:numPr>
        <w:spacing w:line="480" w:lineRule="auto"/>
        <w:textAlignment w:val="baseline"/>
        <w:rPr>
          <w:rFonts w:ascii="Calibri" w:eastAsia="Times New Roman" w:hAnsi="Calibri" w:cs="Calibri"/>
        </w:rPr>
      </w:pPr>
      <w:r w:rsidRPr="002B69E4">
        <w:rPr>
          <w:rFonts w:ascii="Calibri" w:eastAsia="Times New Roman" w:hAnsi="Calibri" w:cs="Calibri"/>
        </w:rPr>
        <w:t>In 2009 and 2010, EUAs were issued for 22 products including pandemic vaccines, antivirals, N95 respirators, and diagnostic tests.</w:t>
      </w:r>
    </w:p>
    <w:p w14:paraId="79378A9A" w14:textId="77777777" w:rsidR="00206E4B" w:rsidRPr="002B69E4" w:rsidRDefault="00206E4B" w:rsidP="00206E4B">
      <w:pPr>
        <w:pStyle w:val="ListParagraph"/>
        <w:numPr>
          <w:ilvl w:val="0"/>
          <w:numId w:val="20"/>
        </w:numPr>
        <w:spacing w:line="480" w:lineRule="auto"/>
        <w:textAlignment w:val="baseline"/>
        <w:rPr>
          <w:rFonts w:ascii="Calibri" w:eastAsia="Times New Roman" w:hAnsi="Calibri" w:cs="Calibri"/>
        </w:rPr>
      </w:pPr>
      <w:r w:rsidRPr="002B69E4">
        <w:rPr>
          <w:rFonts w:ascii="Calibri" w:eastAsia="Times New Roman" w:hAnsi="Calibri" w:cs="Calibri"/>
        </w:rPr>
        <w:t>In 2011, FDA issued EUAs for the mass dispensing of doxycycline and the National Postal Model (NPM) (formerly the USPS CRI Postal Model).</w:t>
      </w:r>
      <w:r w:rsidRPr="002B69E4">
        <w:rPr>
          <w:rFonts w:ascii="Calibri" w:eastAsia="Times New Roman" w:hAnsi="Calibri" w:cs="Calibri"/>
          <w:bdr w:val="none" w:sz="0" w:space="0" w:color="auto" w:frame="1"/>
          <w:vertAlign w:val="superscript"/>
        </w:rPr>
        <w:t>12 </w:t>
      </w:r>
      <w:r w:rsidRPr="002B69E4">
        <w:rPr>
          <w:rFonts w:ascii="Calibri" w:eastAsia="Times New Roman" w:hAnsi="Calibri" w:cs="Calibri"/>
        </w:rPr>
        <w:t> </w:t>
      </w:r>
    </w:p>
    <w:p w14:paraId="62CD38D8" w14:textId="77777777" w:rsidR="00206E4B" w:rsidRPr="002B69E4" w:rsidRDefault="00206E4B" w:rsidP="00206E4B">
      <w:pPr>
        <w:pStyle w:val="ListParagraph"/>
        <w:numPr>
          <w:ilvl w:val="0"/>
          <w:numId w:val="20"/>
        </w:numPr>
        <w:spacing w:line="480" w:lineRule="auto"/>
        <w:textAlignment w:val="baseline"/>
        <w:rPr>
          <w:rFonts w:ascii="Calibri" w:eastAsia="Times New Roman" w:hAnsi="Calibri" w:cs="Calibri"/>
        </w:rPr>
      </w:pPr>
      <w:r w:rsidRPr="002B69E4">
        <w:rPr>
          <w:rFonts w:ascii="Calibri" w:eastAsia="Times New Roman" w:hAnsi="Calibri" w:cs="Calibri"/>
        </w:rPr>
        <w:t>As of December 2011, only two EUAs are in effect: (1) doxycycline for mass dispensing and (2) NPM kits.</w:t>
      </w:r>
    </w:p>
    <w:p w14:paraId="760A9CE5" w14:textId="77777777" w:rsidR="00206E4B" w:rsidRPr="000F0D7A" w:rsidRDefault="00206E4B" w:rsidP="00E26561">
      <w:pPr>
        <w:spacing w:line="480" w:lineRule="auto"/>
        <w:rPr>
          <w:rFonts w:ascii="Calibri" w:eastAsia="Times New Roman" w:hAnsi="Calibri" w:cs="Calibri"/>
          <w:b/>
          <w:bCs/>
        </w:rPr>
      </w:pPr>
    </w:p>
    <w:p w14:paraId="1031E2A6" w14:textId="77777777" w:rsidR="00206E4B" w:rsidRPr="00ED6F32" w:rsidRDefault="00206E4B"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Sources</w:t>
      </w:r>
    </w:p>
    <w:p w14:paraId="64D0ABAE"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Federal Food, Drug, and Cosmetics Act, as amended. Codified at 21 U.S.C. 301 et seq.</w:t>
      </w:r>
    </w:p>
    <w:p w14:paraId="345726F3"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“Emergency Use Authorizations Questions and Answers” webpage. Available at </w:t>
      </w:r>
      <w:hyperlink r:id="rId31" w:history="1">
        <w:r w:rsidRPr="00ED6F32">
          <w:rPr>
            <w:rFonts w:ascii="Calibri" w:eastAsia="Times New Roman" w:hAnsi="Calibri" w:cs="Calibri"/>
            <w:color w:val="0F88B8"/>
            <w:bdr w:val="none" w:sz="0" w:space="0" w:color="auto" w:frame="1"/>
          </w:rPr>
          <w:t>www.fda.gov/NewsEvents/PublicHealthFocus/ucm153297.htm</w:t>
        </w:r>
      </w:hyperlink>
      <w:r w:rsidRPr="00ED6F32">
        <w:rPr>
          <w:rFonts w:ascii="Calibri" w:eastAsia="Times New Roman" w:hAnsi="Calibri" w:cs="Calibri"/>
          <w:color w:val="737373"/>
        </w:rPr>
        <w:t xml:space="preserve">. </w:t>
      </w:r>
      <w:r w:rsidRPr="00ED6F32">
        <w:rPr>
          <w:rFonts w:ascii="Calibri" w:eastAsia="Times New Roman" w:hAnsi="Calibri" w:cs="Calibri"/>
        </w:rPr>
        <w:t>Accessed January 31, 2012.</w:t>
      </w:r>
    </w:p>
    <w:p w14:paraId="0E7E11F8"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 xml:space="preserve">Project </w:t>
      </w:r>
      <w:proofErr w:type="spellStart"/>
      <w:r w:rsidRPr="00ED6F32">
        <w:rPr>
          <w:rFonts w:ascii="Calibri" w:eastAsia="Times New Roman" w:hAnsi="Calibri" w:cs="Calibri"/>
        </w:rPr>
        <w:t>BioShield</w:t>
      </w:r>
      <w:proofErr w:type="spellEnd"/>
      <w:r w:rsidRPr="00ED6F32">
        <w:rPr>
          <w:rFonts w:ascii="Calibri" w:eastAsia="Times New Roman" w:hAnsi="Calibri" w:cs="Calibri"/>
        </w:rPr>
        <w:t xml:space="preserve"> Act of 2004. Pub. L. No. 108-276.</w:t>
      </w:r>
    </w:p>
    <w:p w14:paraId="15841AD5"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Medical Countermeasures Dispensing: Emergency Use Authorization and the Postal Model, Workshop Summary. Institute of Medicine (US). Forum on Medical and Public Health Preparedness for Catastrophic Events. Washington, DC. National Academies Press. 2010. Available at </w:t>
      </w:r>
      <w:hyperlink r:id="rId32" w:history="1">
        <w:r w:rsidRPr="00ED6F32">
          <w:rPr>
            <w:rFonts w:ascii="Calibri" w:eastAsia="Times New Roman" w:hAnsi="Calibri" w:cs="Calibri"/>
            <w:color w:val="0F88B8"/>
            <w:bdr w:val="none" w:sz="0" w:space="0" w:color="auto" w:frame="1"/>
          </w:rPr>
          <w:t>www.ncbi.nlm.nih.gov/books/NBK53126/pdf/TOC.pdf</w:t>
        </w:r>
      </w:hyperlink>
      <w:r w:rsidRPr="00ED6F32">
        <w:rPr>
          <w:rFonts w:ascii="Calibri" w:eastAsia="Times New Roman" w:hAnsi="Calibri" w:cs="Calibri"/>
          <w:color w:val="737373"/>
        </w:rPr>
        <w:t xml:space="preserve">. </w:t>
      </w:r>
      <w:r w:rsidRPr="00ED6F32">
        <w:rPr>
          <w:rFonts w:ascii="Calibri" w:eastAsia="Times New Roman" w:hAnsi="Calibri" w:cs="Calibri"/>
        </w:rPr>
        <w:t>Accessed January 31, 2012.</w:t>
      </w:r>
    </w:p>
    <w:p w14:paraId="080618A7"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lastRenderedPageBreak/>
        <w:t>U.S. Food and Drug Administration and the U.S. Centers for Disease Control and Prevention. “Emergency Use Authorization” online course. Available at</w:t>
      </w:r>
      <w:r w:rsidRPr="00ED6F32">
        <w:rPr>
          <w:rFonts w:ascii="Calibri" w:eastAsia="Times New Roman" w:hAnsi="Calibri" w:cs="Calibri"/>
          <w:color w:val="737373"/>
        </w:rPr>
        <w:t> </w:t>
      </w:r>
      <w:hyperlink r:id="rId33" w:history="1">
        <w:r w:rsidRPr="00ED6F32">
          <w:rPr>
            <w:rFonts w:ascii="Calibri" w:eastAsia="Times New Roman" w:hAnsi="Calibri" w:cs="Calibri"/>
            <w:color w:val="0F88B8"/>
            <w:bdr w:val="none" w:sz="0" w:space="0" w:color="auto" w:frame="1"/>
          </w:rPr>
          <w:t>www.bt.cdc.gov/training/eua/index.html</w:t>
        </w:r>
      </w:hyperlink>
      <w:r w:rsidRPr="00ED6F32">
        <w:rPr>
          <w:rFonts w:ascii="Calibri" w:eastAsia="Times New Roman" w:hAnsi="Calibri" w:cs="Calibri"/>
        </w:rPr>
        <w:t>. Accessed January 31, 2012.</w:t>
      </w:r>
    </w:p>
    <w:p w14:paraId="6CEC65C7"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Guidance—Emergency Use Authorization of Medical Products. July 2007. Available at </w:t>
      </w:r>
      <w:hyperlink r:id="rId34" w:history="1">
        <w:r w:rsidRPr="00ED6F32">
          <w:rPr>
            <w:rFonts w:ascii="Calibri" w:eastAsia="Times New Roman" w:hAnsi="Calibri" w:cs="Calibri"/>
            <w:color w:val="0F88B8"/>
            <w:bdr w:val="none" w:sz="0" w:space="0" w:color="auto" w:frame="1"/>
          </w:rPr>
          <w:t>www.fda.gov/RegulatoryInformation/Guidances/ucm125127.htm</w:t>
        </w:r>
      </w:hyperlink>
      <w:r w:rsidRPr="00ED6F32">
        <w:rPr>
          <w:rFonts w:ascii="Calibri" w:eastAsia="Times New Roman" w:hAnsi="Calibri" w:cs="Calibri"/>
        </w:rPr>
        <w:t>. Accessed January 31, 2012.</w:t>
      </w:r>
    </w:p>
    <w:p w14:paraId="44097C74"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Public Readiness and Emergency Preparedness Response Act of 2005. Pub. L. No. 109-148. Codified in the Public Health Service Act at 42 U.S.C. §§ 247d-6d, 247d-6e.</w:t>
      </w:r>
    </w:p>
    <w:p w14:paraId="3AF83D0A"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Federal Tort Claims Act, as amended. Codified at 28 U.S.C. §§1346(b), 2671-2680.</w:t>
      </w:r>
    </w:p>
    <w:p w14:paraId="604A8CBC"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Health Resources and Services Administration. “National Vaccine Injury Compensation Program (VICP)” webpage. Available at </w:t>
      </w:r>
      <w:hyperlink r:id="rId35" w:history="1">
        <w:r w:rsidRPr="00ED6F32">
          <w:rPr>
            <w:rFonts w:ascii="Calibri" w:eastAsia="Times New Roman" w:hAnsi="Calibri" w:cs="Calibri"/>
            <w:color w:val="0F88B8"/>
            <w:bdr w:val="none" w:sz="0" w:space="0" w:color="auto" w:frame="1"/>
          </w:rPr>
          <w:t>www.hrsa.gov/vaccinecompensation/default.htm</w:t>
        </w:r>
      </w:hyperlink>
      <w:r w:rsidRPr="00ED6F32">
        <w:rPr>
          <w:rFonts w:ascii="Calibri" w:eastAsia="Times New Roman" w:hAnsi="Calibri" w:cs="Calibri"/>
        </w:rPr>
        <w:t>. Accessed January 31, 2012.</w:t>
      </w:r>
    </w:p>
    <w:p w14:paraId="2705FBEA"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Public Health Service Act §319. Codified at 42 U.S.C. § 247d.</w:t>
      </w:r>
    </w:p>
    <w:p w14:paraId="2B9DFDE6"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Sherman S. U.S. Dept. of Health and Human Services. “Public Health Emergency Authorities: Determinations and Declarations.” Presentation at Federal, State, and Local Public Health Preparedness meeting. Baltimore, Maryland. December 14-15, 2010. Available at </w:t>
      </w:r>
      <w:hyperlink r:id="rId36" w:history="1">
        <w:r w:rsidRPr="00ED6F32">
          <w:rPr>
            <w:rFonts w:ascii="Calibri" w:eastAsia="Times New Roman" w:hAnsi="Calibri" w:cs="Calibri"/>
            <w:color w:val="0F88B8"/>
            <w:bdr w:val="none" w:sz="0" w:space="0" w:color="auto" w:frame="1"/>
          </w:rPr>
          <w:t>www.fda.gov/EmergencyPreparedness/Counterterrorism/ucm247676.htm</w:t>
        </w:r>
      </w:hyperlink>
      <w:r w:rsidRPr="00ED6F32">
        <w:rPr>
          <w:rFonts w:ascii="Calibri" w:eastAsia="Times New Roman" w:hAnsi="Calibri" w:cs="Calibri"/>
        </w:rPr>
        <w:t>. Accessed January 31, 2012.</w:t>
      </w:r>
    </w:p>
    <w:p w14:paraId="67223BBE" w14:textId="77777777" w:rsidR="00206E4B" w:rsidRPr="00ED6F32" w:rsidRDefault="00206E4B" w:rsidP="00206E4B">
      <w:pPr>
        <w:numPr>
          <w:ilvl w:val="0"/>
          <w:numId w:val="15"/>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“Emergency Preparedness and Response: Emergency Use Authorization” webpage. Available at </w:t>
      </w:r>
      <w:hyperlink r:id="rId37" w:history="1">
        <w:r w:rsidRPr="00ED6F32">
          <w:rPr>
            <w:rFonts w:ascii="Calibri" w:eastAsia="Times New Roman" w:hAnsi="Calibri" w:cs="Calibri"/>
            <w:color w:val="0F88B8"/>
            <w:bdr w:val="none" w:sz="0" w:space="0" w:color="auto" w:frame="1"/>
          </w:rPr>
          <w:t>www.fda.gov/EmergencyPreparedness/Counterterrorism/ucm182568.htm</w:t>
        </w:r>
      </w:hyperlink>
      <w:r w:rsidRPr="00ED6F32">
        <w:rPr>
          <w:rFonts w:ascii="Calibri" w:eastAsia="Times New Roman" w:hAnsi="Calibri" w:cs="Calibri"/>
        </w:rPr>
        <w:t>. Accessed January 31, 2012.</w:t>
      </w:r>
    </w:p>
    <w:p w14:paraId="4001B151" w14:textId="77777777" w:rsidR="00541C94" w:rsidRPr="00541C94" w:rsidRDefault="00541C94" w:rsidP="00541C94">
      <w:pPr>
        <w:ind w:left="360"/>
        <w:rPr>
          <w:rFonts w:cstheme="minorHAnsi"/>
          <w:sz w:val="24"/>
        </w:rPr>
      </w:pPr>
      <w:r w:rsidRPr="00541C94">
        <w:rPr>
          <w:rFonts w:cstheme="minorHAnsi"/>
          <w:sz w:val="24"/>
        </w:rPr>
        <w:t>[</w:t>
      </w:r>
      <w:hyperlink w:anchor="TOC_top" w:history="1">
        <w:r w:rsidRPr="00541C94">
          <w:rPr>
            <w:rStyle w:val="Hyperlink"/>
            <w:rFonts w:cstheme="minorHAnsi"/>
            <w:sz w:val="24"/>
          </w:rPr>
          <w:t>TOC t</w:t>
        </w:r>
        <w:r w:rsidRPr="00541C94">
          <w:rPr>
            <w:rStyle w:val="Hyperlink"/>
            <w:rFonts w:cstheme="minorHAnsi"/>
            <w:sz w:val="24"/>
          </w:rPr>
          <w:t>o</w:t>
        </w:r>
        <w:r w:rsidRPr="00541C94">
          <w:rPr>
            <w:rStyle w:val="Hyperlink"/>
            <w:rFonts w:cstheme="minorHAnsi"/>
            <w:sz w:val="24"/>
          </w:rPr>
          <w:t>p</w:t>
        </w:r>
      </w:hyperlink>
      <w:r w:rsidRPr="00541C94">
        <w:rPr>
          <w:rFonts w:cstheme="minorHAnsi"/>
          <w:sz w:val="24"/>
        </w:rPr>
        <w:t>]</w:t>
      </w:r>
    </w:p>
    <w:p w14:paraId="56DEE4F0" w14:textId="77777777" w:rsidR="00541C94" w:rsidRDefault="00541C94">
      <w:pPr>
        <w:rPr>
          <w:rFonts w:ascii="Calibri" w:hAnsi="Calibri" w:cs="Calibri"/>
        </w:rPr>
      </w:pPr>
    </w:p>
    <w:p w14:paraId="275AC40A" w14:textId="6F4C22C5" w:rsidR="00541C94" w:rsidRDefault="00541C94">
      <w:pPr>
        <w:rPr>
          <w:rFonts w:ascii="Calibri" w:hAnsi="Calibri" w:cs="Calibri"/>
        </w:rPr>
      </w:pPr>
      <w:r>
        <w:rPr>
          <w:rFonts w:ascii="Calibri" w:hAnsi="Calibri" w:cs="Calibri"/>
        </w:rPr>
        <w:br w:type="page"/>
      </w:r>
    </w:p>
    <w:p w14:paraId="283121B9" w14:textId="77777777" w:rsidR="00206E4B" w:rsidRPr="00AD416F" w:rsidRDefault="00206E4B" w:rsidP="00DB621D">
      <w:pPr>
        <w:rPr>
          <w:rFonts w:eastAsia="Times New Roman" w:cstheme="minorHAnsi"/>
          <w:b/>
          <w:bCs/>
          <w:color w:val="333333"/>
          <w:spacing w:val="15"/>
          <w:kern w:val="36"/>
          <w:sz w:val="28"/>
          <w:szCs w:val="28"/>
        </w:rPr>
      </w:pPr>
      <w:bookmarkStart w:id="4" w:name="EUA_IND_Compare_FS"/>
      <w:r w:rsidRPr="00AD416F">
        <w:rPr>
          <w:rFonts w:eastAsia="Times New Roman" w:cstheme="minorHAnsi"/>
          <w:b/>
          <w:bCs/>
          <w:color w:val="333333"/>
          <w:spacing w:val="15"/>
          <w:kern w:val="36"/>
          <w:sz w:val="28"/>
          <w:szCs w:val="28"/>
        </w:rPr>
        <w:lastRenderedPageBreak/>
        <w:t>Comparing Emergency Use Authorization to Investigational New Drug &amp; Investigational Device Exemption Protocols</w:t>
      </w:r>
      <w:bookmarkEnd w:id="4"/>
    </w:p>
    <w:p w14:paraId="7FE76E2D" w14:textId="77777777" w:rsidR="00206E4B" w:rsidRPr="00554B1B" w:rsidRDefault="00206E4B" w:rsidP="00DB621D">
      <w:pPr>
        <w:rPr>
          <w:rFonts w:eastAsia="Times New Roman" w:cstheme="minorHAnsi"/>
          <w:b/>
          <w:bCs/>
          <w:color w:val="3C3030"/>
          <w:sz w:val="28"/>
          <w:szCs w:val="28"/>
        </w:rPr>
      </w:pPr>
    </w:p>
    <w:p w14:paraId="6C7AA87C" w14:textId="77777777" w:rsidR="00206E4B" w:rsidRPr="00AD416F" w:rsidRDefault="00206E4B"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Fact Sheet</w:t>
      </w:r>
    </w:p>
    <w:p w14:paraId="389E8BDE" w14:textId="77777777" w:rsidR="00206E4B" w:rsidRPr="00AD416F" w:rsidRDefault="00206E4B"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Overview</w:t>
      </w:r>
    </w:p>
    <w:p w14:paraId="35689000" w14:textId="77777777" w:rsidR="00206E4B" w:rsidRPr="00AD416F" w:rsidRDefault="00206E4B" w:rsidP="00DB621D">
      <w:pPr>
        <w:shd w:val="clear" w:color="auto" w:fill="FFFFFF"/>
        <w:spacing w:after="225" w:line="480" w:lineRule="auto"/>
        <w:textAlignment w:val="baseline"/>
        <w:rPr>
          <w:rFonts w:eastAsia="Times New Roman" w:cstheme="minorHAnsi"/>
          <w:color w:val="000000" w:themeColor="text1"/>
        </w:rPr>
      </w:pPr>
      <w:r w:rsidRPr="00AD416F">
        <w:rPr>
          <w:rFonts w:eastAsia="Times New Roman" w:cstheme="minorHAnsi"/>
          <w:color w:val="000000" w:themeColor="text1"/>
        </w:rPr>
        <w:t>The Federal Food, Drug, and Cosmetic Act (FD&amp;C Act) creates mechanisms to permit the use of medical products before they have been approved under the FD&amp;C Act or for unapproved uses under the act:</w:t>
      </w:r>
    </w:p>
    <w:p w14:paraId="07692D5D" w14:textId="77777777" w:rsidR="00206E4B" w:rsidRDefault="00206E4B" w:rsidP="00206E4B">
      <w:pPr>
        <w:numPr>
          <w:ilvl w:val="0"/>
          <w:numId w:val="24"/>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Emergency Use Authorization (EUA) for the use of unapproved medical products (drugs, biologics [e.g., vaccines], and devices [e.g., diagnostics]) or the use of approved medical products in unapproved ways to diagnose, treat, or prevent serious diseases or conditions caused by chemical, biological, radiological, or nuclear (CBRN) agents.</w:t>
      </w:r>
    </w:p>
    <w:p w14:paraId="68FE08B2" w14:textId="77777777" w:rsidR="00206E4B" w:rsidRPr="00AD416F" w:rsidRDefault="00206E4B" w:rsidP="00DB621D">
      <w:pPr>
        <w:spacing w:line="480" w:lineRule="auto"/>
        <w:ind w:left="360"/>
        <w:textAlignment w:val="baseline"/>
        <w:rPr>
          <w:rFonts w:eastAsia="Times New Roman" w:cstheme="minorHAnsi"/>
          <w:color w:val="000000" w:themeColor="text1"/>
        </w:rPr>
      </w:pPr>
    </w:p>
    <w:p w14:paraId="74A0928A" w14:textId="77777777" w:rsidR="00206E4B" w:rsidRDefault="00206E4B" w:rsidP="00206E4B">
      <w:pPr>
        <w:numPr>
          <w:ilvl w:val="0"/>
          <w:numId w:val="24"/>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Investigational New Drug (IND) for the use of unapproved drugs or biologics.</w:t>
      </w:r>
    </w:p>
    <w:p w14:paraId="4F22BE54" w14:textId="77777777" w:rsidR="00206E4B" w:rsidRPr="00AD416F" w:rsidRDefault="00206E4B" w:rsidP="00DB621D">
      <w:pPr>
        <w:spacing w:line="480" w:lineRule="auto"/>
        <w:textAlignment w:val="baseline"/>
        <w:rPr>
          <w:rFonts w:eastAsia="Times New Roman" w:cstheme="minorHAnsi"/>
          <w:color w:val="000000" w:themeColor="text1"/>
        </w:rPr>
      </w:pPr>
    </w:p>
    <w:p w14:paraId="02EC82A6" w14:textId="77777777" w:rsidR="00206E4B" w:rsidRDefault="00206E4B" w:rsidP="00206E4B">
      <w:pPr>
        <w:numPr>
          <w:ilvl w:val="0"/>
          <w:numId w:val="24"/>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Investigational Device Exemption (IDE) for the use of unapproved medical devices</w:t>
      </w:r>
      <w:r>
        <w:rPr>
          <w:rFonts w:eastAsia="Times New Roman" w:cstheme="minorHAnsi"/>
          <w:color w:val="000000" w:themeColor="text1"/>
        </w:rPr>
        <w:t>.</w:t>
      </w:r>
    </w:p>
    <w:p w14:paraId="465CBD85" w14:textId="77777777" w:rsidR="00206E4B" w:rsidRPr="00AD416F" w:rsidRDefault="00206E4B" w:rsidP="00DB621D">
      <w:pPr>
        <w:spacing w:line="480" w:lineRule="auto"/>
        <w:textAlignment w:val="baseline"/>
        <w:rPr>
          <w:rFonts w:eastAsia="Times New Roman" w:cstheme="minorHAnsi"/>
          <w:color w:val="000000" w:themeColor="text1"/>
        </w:rPr>
      </w:pPr>
    </w:p>
    <w:p w14:paraId="6EDF7F64" w14:textId="77777777" w:rsidR="00206E4B" w:rsidRPr="00D931E3" w:rsidRDefault="00206E4B" w:rsidP="00206E4B">
      <w:pPr>
        <w:pStyle w:val="ListParagraph"/>
        <w:numPr>
          <w:ilvl w:val="0"/>
          <w:numId w:val="24"/>
        </w:numPr>
        <w:shd w:val="clear" w:color="auto" w:fill="FFFFFF"/>
        <w:spacing w:line="480" w:lineRule="auto"/>
        <w:textAlignment w:val="baseline"/>
        <w:rPr>
          <w:rFonts w:eastAsia="Times New Roman" w:cstheme="minorHAnsi"/>
          <w:color w:val="000000" w:themeColor="text1"/>
        </w:rPr>
      </w:pPr>
      <w:r w:rsidRPr="00D931E3">
        <w:rPr>
          <w:rFonts w:eastAsia="Times New Roman" w:cstheme="minorHAnsi"/>
          <w:color w:val="000000" w:themeColor="text1"/>
        </w:rPr>
        <w:t>During an emergency, these mechanisms make it possible for public health officials to use unapproved medical products as part of their response efforts. However, the EUA and IND/IDE protocols are different mechanisms, each with its own distinct statutory and regulatory requirements that vary with specific circumstances such as the nature of the medical product or the size of the population to be treated. The lists below compare EUA and IND/IDE mechanisms on key points.</w:t>
      </w:r>
      <w:r w:rsidRPr="00D931E3">
        <w:rPr>
          <w:rFonts w:eastAsia="Times New Roman" w:cstheme="minorHAnsi"/>
          <w:color w:val="000000" w:themeColor="text1"/>
          <w:bdr w:val="none" w:sz="0" w:space="0" w:color="auto" w:frame="1"/>
          <w:vertAlign w:val="superscript"/>
        </w:rPr>
        <w:t>1</w:t>
      </w:r>
      <w:r w:rsidRPr="00D931E3">
        <w:rPr>
          <w:rFonts w:eastAsia="Times New Roman" w:cstheme="minorHAnsi"/>
          <w:color w:val="000000" w:themeColor="text1"/>
        </w:rPr>
        <w:t> Public health officials interested in using any of these mechanisms should refer to relevant laws, regulations, and Food and Drug Administration (FDA) guidance before deciding which mechanism to use and to understand the requirements of each one.</w:t>
      </w:r>
      <w:r w:rsidRPr="00D931E3">
        <w:rPr>
          <w:rFonts w:eastAsia="Times New Roman" w:cstheme="minorHAnsi"/>
          <w:color w:val="000000" w:themeColor="text1"/>
          <w:bdr w:val="none" w:sz="0" w:space="0" w:color="auto" w:frame="1"/>
          <w:vertAlign w:val="superscript"/>
        </w:rPr>
        <w:t>2</w:t>
      </w:r>
      <w:r w:rsidRPr="00D931E3">
        <w:rPr>
          <w:rFonts w:eastAsia="Times New Roman" w:cstheme="minorHAnsi"/>
          <w:color w:val="000000" w:themeColor="text1"/>
        </w:rPr>
        <w:t>  </w:t>
      </w:r>
    </w:p>
    <w:p w14:paraId="0F271BA3" w14:textId="77777777" w:rsidR="00206E4B" w:rsidRPr="00D931E3" w:rsidRDefault="00206E4B" w:rsidP="00DB621D">
      <w:pPr>
        <w:shd w:val="clear" w:color="auto" w:fill="FFFFFF"/>
        <w:spacing w:line="480" w:lineRule="auto"/>
        <w:textAlignment w:val="baseline"/>
        <w:rPr>
          <w:rFonts w:eastAsia="Times New Roman" w:cstheme="minorHAnsi"/>
          <w:color w:val="000000" w:themeColor="text1"/>
        </w:rPr>
      </w:pPr>
    </w:p>
    <w:p w14:paraId="6A5BFCE0" w14:textId="77777777" w:rsidR="00206E4B" w:rsidRPr="00AD416F" w:rsidRDefault="00206E4B" w:rsidP="00DB621D">
      <w:pPr>
        <w:shd w:val="clear" w:color="auto" w:fill="FFFFFF"/>
        <w:spacing w:line="480" w:lineRule="auto"/>
        <w:textAlignment w:val="baseline"/>
        <w:rPr>
          <w:rFonts w:ascii="Arial" w:eastAsia="Times New Roman" w:hAnsi="Arial" w:cs="Arial"/>
          <w:b/>
          <w:color w:val="C00000"/>
          <w:sz w:val="20"/>
          <w:szCs w:val="20"/>
        </w:rPr>
      </w:pPr>
      <w:r>
        <w:rPr>
          <w:rFonts w:ascii="Arial" w:eastAsia="Times New Roman" w:hAnsi="Arial" w:cs="Arial"/>
          <w:b/>
          <w:color w:val="C00000"/>
          <w:sz w:val="20"/>
          <w:szCs w:val="20"/>
        </w:rPr>
        <w:lastRenderedPageBreak/>
        <w:t>[</w:t>
      </w:r>
      <w:r w:rsidRPr="00AD4F83">
        <w:rPr>
          <w:rFonts w:ascii="Arial" w:eastAsia="Times New Roman" w:hAnsi="Arial" w:cs="Arial"/>
          <w:b/>
          <w:color w:val="C00000"/>
          <w:sz w:val="20"/>
          <w:szCs w:val="20"/>
        </w:rPr>
        <w:t xml:space="preserve">4/2019 PE NOTE: See table format presentation in </w:t>
      </w:r>
      <w:hyperlink r:id="rId38" w:tooltip="Download a printable PDF." w:history="1">
        <w:r w:rsidRPr="00AD4F83">
          <w:rPr>
            <w:rFonts w:ascii="Arial" w:eastAsia="Times New Roman" w:hAnsi="Arial" w:cs="Arial"/>
            <w:b/>
            <w:color w:val="C00000"/>
            <w:sz w:val="20"/>
            <w:szCs w:val="20"/>
            <w:u w:val="single"/>
            <w:bdr w:val="none" w:sz="0" w:space="0" w:color="auto" w:frame="1"/>
          </w:rPr>
          <w:t>PDF version</w:t>
        </w:r>
      </w:hyperlink>
      <w:r w:rsidRPr="00AD4F83">
        <w:rPr>
          <w:rFonts w:ascii="Arial" w:eastAsia="Times New Roman" w:hAnsi="Arial" w:cs="Arial"/>
          <w:b/>
          <w:color w:val="C00000"/>
          <w:sz w:val="20"/>
          <w:szCs w:val="20"/>
        </w:rPr>
        <w:t xml:space="preserve"> of the following comparison of Investigational vs. EUA</w:t>
      </w:r>
      <w:r>
        <w:rPr>
          <w:rFonts w:ascii="Arial" w:eastAsia="Times New Roman" w:hAnsi="Arial" w:cs="Arial"/>
          <w:b/>
          <w:color w:val="C00000"/>
          <w:sz w:val="20"/>
          <w:szCs w:val="20"/>
        </w:rPr>
        <w:t>]</w:t>
      </w:r>
    </w:p>
    <w:p w14:paraId="66011436" w14:textId="77777777" w:rsidR="00206E4B" w:rsidRDefault="00206E4B" w:rsidP="00DB621D">
      <w:pPr>
        <w:spacing w:line="480" w:lineRule="auto"/>
        <w:rPr>
          <w:rFonts w:eastAsia="Times New Roman" w:cstheme="minorHAnsi"/>
          <w:b/>
          <w:bCs/>
          <w:color w:val="3C3030"/>
          <w:sz w:val="24"/>
          <w:szCs w:val="24"/>
        </w:rPr>
      </w:pPr>
    </w:p>
    <w:p w14:paraId="5271389A" w14:textId="77777777" w:rsidR="00206E4B" w:rsidRPr="00AD416F" w:rsidRDefault="00206E4B"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Investigational Protocols (IND and IDE)</w:t>
      </w:r>
    </w:p>
    <w:p w14:paraId="5C9555BE" w14:textId="77777777" w:rsidR="00206E4B" w:rsidRPr="00AD416F"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Description:</w:t>
      </w:r>
      <w:r w:rsidRPr="00AD416F">
        <w:rPr>
          <w:rFonts w:eastAsia="Times New Roman" w:cstheme="minorHAnsi"/>
          <w:color w:val="000000" w:themeColor="text1"/>
          <w:szCs w:val="20"/>
        </w:rPr>
        <w:t> The objective of the IND/IDE is to assess the safety and efficacy of an investigational drug/biologic/device (hereafter “investigational product”) while ensuring that human subjects are protected during the research study of the investigational product. Investigational protocols specify requirements to ensure participant protection and the validity of the data collected during the clinical trial.</w:t>
      </w:r>
    </w:p>
    <w:p w14:paraId="68074625" w14:textId="77777777" w:rsidR="00206E4B" w:rsidRPr="00DB621D" w:rsidRDefault="00206E4B" w:rsidP="00DB621D">
      <w:pPr>
        <w:spacing w:line="480" w:lineRule="auto"/>
        <w:textAlignment w:val="baseline"/>
        <w:rPr>
          <w:rFonts w:eastAsia="Times New Roman" w:cstheme="minorHAnsi"/>
          <w:color w:val="000000" w:themeColor="text1"/>
          <w:szCs w:val="20"/>
        </w:rPr>
      </w:pPr>
    </w:p>
    <w:p w14:paraId="7A1AD766"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FDA Approval:</w:t>
      </w:r>
      <w:r w:rsidRPr="00AD416F">
        <w:rPr>
          <w:rFonts w:eastAsia="Times New Roman" w:cstheme="minorHAnsi"/>
          <w:color w:val="000000" w:themeColor="text1"/>
          <w:szCs w:val="20"/>
        </w:rPr>
        <w:t> FDA review and agreement that the study may proceed.</w:t>
      </w:r>
    </w:p>
    <w:p w14:paraId="72C65BB6" w14:textId="77777777" w:rsidR="00206E4B" w:rsidRPr="00DB621D" w:rsidRDefault="00206E4B" w:rsidP="00DB621D">
      <w:pPr>
        <w:spacing w:line="480" w:lineRule="auto"/>
        <w:textAlignment w:val="baseline"/>
        <w:rPr>
          <w:rFonts w:eastAsia="Times New Roman" w:cstheme="minorHAnsi"/>
          <w:color w:val="000000" w:themeColor="text1"/>
          <w:szCs w:val="20"/>
        </w:rPr>
      </w:pPr>
    </w:p>
    <w:p w14:paraId="3EB95878"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Institutional Review Board (IRB):</w:t>
      </w:r>
      <w:r w:rsidRPr="00AD416F">
        <w:rPr>
          <w:rFonts w:eastAsia="Times New Roman" w:cstheme="minorHAnsi"/>
          <w:color w:val="000000" w:themeColor="text1"/>
          <w:szCs w:val="20"/>
        </w:rPr>
        <w:t> Requires IRB review and approval.</w:t>
      </w:r>
    </w:p>
    <w:p w14:paraId="6783B71A"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43145389"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Informed Consent:</w:t>
      </w:r>
      <w:r w:rsidRPr="00AD416F">
        <w:rPr>
          <w:rFonts w:eastAsia="Times New Roman" w:cstheme="minorHAnsi"/>
          <w:color w:val="000000" w:themeColor="text1"/>
          <w:szCs w:val="20"/>
        </w:rPr>
        <w:t> Requires written, signed, and witnessed informed consent.</w:t>
      </w:r>
    </w:p>
    <w:p w14:paraId="7DD5889B"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03E69A59"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Protocol Training:</w:t>
      </w:r>
      <w:r w:rsidRPr="00AD416F">
        <w:rPr>
          <w:rFonts w:eastAsia="Times New Roman" w:cstheme="minorHAnsi"/>
          <w:color w:val="000000" w:themeColor="text1"/>
          <w:szCs w:val="20"/>
        </w:rPr>
        <w:t> All investigators must be trained on the investigational protocol and informed consent and reporting requirements.</w:t>
      </w:r>
    </w:p>
    <w:p w14:paraId="40BBFB82"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06AC8664"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Adverse Event Monitoring &amp; Reporting:</w:t>
      </w:r>
      <w:r w:rsidRPr="00AD416F">
        <w:rPr>
          <w:rFonts w:eastAsia="Times New Roman" w:cstheme="minorHAnsi"/>
          <w:color w:val="000000" w:themeColor="text1"/>
          <w:szCs w:val="20"/>
        </w:rPr>
        <w:t> Requires monitoring and reporting of adverse events.</w:t>
      </w:r>
    </w:p>
    <w:p w14:paraId="23AC6DD7"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28FE9DD5" w14:textId="77777777" w:rsidR="00206E4B"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Recordkeeping &amp; Access:</w:t>
      </w:r>
      <w:r w:rsidRPr="00AD416F">
        <w:rPr>
          <w:rFonts w:eastAsia="Times New Roman" w:cstheme="minorHAnsi"/>
          <w:color w:val="000000" w:themeColor="text1"/>
          <w:szCs w:val="20"/>
        </w:rPr>
        <w:t> Requires recordkeeping and access to distribution and administration records.</w:t>
      </w:r>
    </w:p>
    <w:p w14:paraId="4AF9CE38"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6C690C03" w14:textId="77777777" w:rsidR="00206E4B" w:rsidRPr="00AD416F" w:rsidRDefault="00206E4B" w:rsidP="00206E4B">
      <w:pPr>
        <w:numPr>
          <w:ilvl w:val="0"/>
          <w:numId w:val="21"/>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Duration of Approval:</w:t>
      </w:r>
      <w:r w:rsidRPr="00AD416F">
        <w:rPr>
          <w:rFonts w:eastAsia="Times New Roman" w:cstheme="minorHAnsi"/>
          <w:color w:val="000000" w:themeColor="text1"/>
          <w:szCs w:val="20"/>
        </w:rPr>
        <w:t> Length of the clinical trial.</w:t>
      </w:r>
    </w:p>
    <w:p w14:paraId="14FECED8" w14:textId="77777777" w:rsidR="00206E4B" w:rsidRPr="00DB621D" w:rsidRDefault="00206E4B" w:rsidP="00DB621D">
      <w:pPr>
        <w:spacing w:line="480" w:lineRule="auto"/>
        <w:rPr>
          <w:rFonts w:eastAsia="Times New Roman" w:cstheme="minorHAnsi"/>
          <w:b/>
          <w:bCs/>
          <w:color w:val="000000" w:themeColor="text1"/>
          <w:sz w:val="28"/>
          <w:szCs w:val="24"/>
        </w:rPr>
      </w:pPr>
    </w:p>
    <w:p w14:paraId="0E5202C6" w14:textId="77777777" w:rsidR="00206E4B" w:rsidRPr="00AD416F" w:rsidRDefault="00206E4B"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Emergency Use Authorization (EUA)</w:t>
      </w:r>
    </w:p>
    <w:p w14:paraId="7B411249"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Description:</w:t>
      </w:r>
      <w:r w:rsidRPr="00AD416F">
        <w:rPr>
          <w:rFonts w:eastAsia="Times New Roman" w:cstheme="minorHAnsi"/>
          <w:color w:val="000000" w:themeColor="text1"/>
          <w:szCs w:val="20"/>
        </w:rPr>
        <w:t xml:space="preserve"> Congress created the EUA in the Project </w:t>
      </w:r>
      <w:proofErr w:type="spellStart"/>
      <w:r w:rsidRPr="00AD416F">
        <w:rPr>
          <w:rFonts w:eastAsia="Times New Roman" w:cstheme="minorHAnsi"/>
          <w:color w:val="000000" w:themeColor="text1"/>
          <w:szCs w:val="20"/>
        </w:rPr>
        <w:t>BioShield</w:t>
      </w:r>
      <w:proofErr w:type="spellEnd"/>
      <w:r w:rsidRPr="00AD416F">
        <w:rPr>
          <w:rFonts w:eastAsia="Times New Roman" w:cstheme="minorHAnsi"/>
          <w:color w:val="000000" w:themeColor="text1"/>
          <w:szCs w:val="20"/>
        </w:rPr>
        <w:t xml:space="preserve"> Act of 2004 to give the public health system access to a greater range of medical products during a declared emergency. The EUA mechanism provides appropriate participant protections based on the circumstances of the emergency. EUAs are intended to allow for faster use of a product than under an IND/IDE.</w:t>
      </w:r>
    </w:p>
    <w:p w14:paraId="0A6768BE"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3C29FBFE"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FDA Approval: </w:t>
      </w:r>
      <w:r w:rsidRPr="00AD416F">
        <w:rPr>
          <w:rFonts w:eastAsia="Times New Roman" w:cstheme="minorHAnsi"/>
          <w:color w:val="000000" w:themeColor="text1"/>
          <w:szCs w:val="20"/>
        </w:rPr>
        <w:t>FDA is required to review and approve the request for EUA.</w:t>
      </w:r>
    </w:p>
    <w:p w14:paraId="31B5173E"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0B496272"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IRB:</w:t>
      </w:r>
      <w:r w:rsidRPr="00AD416F">
        <w:rPr>
          <w:rFonts w:eastAsia="Times New Roman" w:cstheme="minorHAnsi"/>
          <w:color w:val="000000" w:themeColor="text1"/>
          <w:szCs w:val="20"/>
        </w:rPr>
        <w:t> Does not require IRB review and approval.</w:t>
      </w:r>
    </w:p>
    <w:p w14:paraId="19525661"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06C88C1A"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Informed Consent:</w:t>
      </w:r>
      <w:r w:rsidRPr="00AD416F">
        <w:rPr>
          <w:rFonts w:eastAsia="Times New Roman" w:cstheme="minorHAnsi"/>
          <w:color w:val="000000" w:themeColor="text1"/>
          <w:szCs w:val="20"/>
        </w:rPr>
        <w:t> Written, signed and witnessed informed consent is not automatically required but may be required at the discretion of the FDA commissioner. Distribution of information (e.g., fact sheets) for healthcare professionals and recipients that contains information on product safety, available alternative products, and the right to refuse administration of the EUA product is required.</w:t>
      </w:r>
    </w:p>
    <w:p w14:paraId="56B37226"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3D2EF831"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Protocol Training:</w:t>
      </w:r>
      <w:r w:rsidRPr="00AD416F">
        <w:rPr>
          <w:rFonts w:eastAsia="Times New Roman" w:cstheme="minorHAnsi"/>
          <w:color w:val="000000" w:themeColor="text1"/>
          <w:szCs w:val="20"/>
        </w:rPr>
        <w:t> No specific investigator training requirements, but these may be added as a condition of authorization for the EUA by the FDA commissioner.</w:t>
      </w:r>
    </w:p>
    <w:p w14:paraId="4DF44837"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2F834CB5"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Adverse Event Monitoring &amp; Reporting:</w:t>
      </w:r>
      <w:r w:rsidRPr="00DB621D">
        <w:rPr>
          <w:rFonts w:eastAsia="Times New Roman" w:cstheme="minorHAnsi"/>
          <w:b/>
          <w:bCs/>
          <w:color w:val="000000" w:themeColor="text1"/>
          <w:szCs w:val="20"/>
          <w:bdr w:val="none" w:sz="0" w:space="0" w:color="auto" w:frame="1"/>
        </w:rPr>
        <w:t xml:space="preserve"> </w:t>
      </w:r>
      <w:r w:rsidRPr="00AD416F">
        <w:rPr>
          <w:rFonts w:eastAsia="Times New Roman" w:cstheme="minorHAnsi"/>
          <w:color w:val="000000" w:themeColor="text1"/>
          <w:szCs w:val="20"/>
        </w:rPr>
        <w:t>Adverse event monitoring and reporting is required at the discretion of the FDA commissioner. The FDA will require MEDWATCH and VAERS reporting for all EUA products.</w:t>
      </w:r>
    </w:p>
    <w:p w14:paraId="5B2296B7"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58FCD7F3" w14:textId="77777777" w:rsidR="00206E4B"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lastRenderedPageBreak/>
        <w:t>Recordkeeping &amp; Access: </w:t>
      </w:r>
      <w:r w:rsidRPr="00AD416F">
        <w:rPr>
          <w:rFonts w:eastAsia="Times New Roman" w:cstheme="minorHAnsi"/>
          <w:color w:val="000000" w:themeColor="text1"/>
          <w:szCs w:val="20"/>
        </w:rPr>
        <w:t>Recordkeeping and access to product distribution and administration records required at the discretion of the FDA commissioner.</w:t>
      </w:r>
    </w:p>
    <w:p w14:paraId="76F56D93" w14:textId="77777777" w:rsidR="00206E4B" w:rsidRPr="00AD416F" w:rsidRDefault="00206E4B" w:rsidP="00DB621D">
      <w:pPr>
        <w:spacing w:line="480" w:lineRule="auto"/>
        <w:textAlignment w:val="baseline"/>
        <w:rPr>
          <w:rFonts w:eastAsia="Times New Roman" w:cstheme="minorHAnsi"/>
          <w:color w:val="000000" w:themeColor="text1"/>
          <w:szCs w:val="20"/>
        </w:rPr>
      </w:pPr>
    </w:p>
    <w:p w14:paraId="40799A9C" w14:textId="77777777" w:rsidR="00206E4B" w:rsidRPr="00DB621D" w:rsidRDefault="00206E4B" w:rsidP="00206E4B">
      <w:pPr>
        <w:numPr>
          <w:ilvl w:val="0"/>
          <w:numId w:val="2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Duration of Approval:</w:t>
      </w:r>
      <w:r w:rsidRPr="00AD416F">
        <w:rPr>
          <w:rFonts w:eastAsia="Times New Roman" w:cstheme="minorHAnsi"/>
          <w:color w:val="000000" w:themeColor="text1"/>
          <w:szCs w:val="20"/>
        </w:rPr>
        <w:t> Up to one year from the date of the declaration of emergency or for as long as the §564 emergency declaration is in effect, whichever is shorter.</w:t>
      </w:r>
    </w:p>
    <w:p w14:paraId="142D3668" w14:textId="77777777" w:rsidR="00206E4B" w:rsidRPr="00AD416F" w:rsidRDefault="00206E4B" w:rsidP="00DB621D">
      <w:pPr>
        <w:spacing w:line="480" w:lineRule="auto"/>
        <w:textAlignment w:val="baseline"/>
        <w:rPr>
          <w:rFonts w:eastAsia="Times New Roman" w:cstheme="minorHAnsi"/>
          <w:color w:val="000000" w:themeColor="text1"/>
          <w:szCs w:val="20"/>
        </w:rPr>
      </w:pPr>
      <w:r>
        <w:rPr>
          <w:rFonts w:eastAsia="Times New Roman" w:cstheme="minorHAnsi"/>
          <w:b/>
          <w:bCs/>
          <w:color w:val="000000" w:themeColor="text1"/>
          <w:szCs w:val="20"/>
          <w:bdr w:val="none" w:sz="0" w:space="0" w:color="auto" w:frame="1"/>
        </w:rPr>
        <w:t>_________________________</w:t>
      </w:r>
    </w:p>
    <w:p w14:paraId="258CDE31" w14:textId="77777777" w:rsidR="00206E4B" w:rsidRPr="00DB621D" w:rsidRDefault="00206E4B" w:rsidP="00206E4B">
      <w:pPr>
        <w:numPr>
          <w:ilvl w:val="0"/>
          <w:numId w:val="23"/>
        </w:numPr>
        <w:tabs>
          <w:tab w:val="clear" w:pos="720"/>
          <w:tab w:val="num" w:pos="630"/>
        </w:tabs>
        <w:spacing w:line="480" w:lineRule="auto"/>
        <w:ind w:left="360"/>
        <w:textAlignment w:val="baseline"/>
        <w:rPr>
          <w:rFonts w:eastAsia="Times New Roman" w:cstheme="minorHAnsi"/>
          <w:color w:val="000000" w:themeColor="text1"/>
          <w:szCs w:val="20"/>
        </w:rPr>
      </w:pPr>
      <w:r w:rsidRPr="00AD416F">
        <w:rPr>
          <w:rFonts w:eastAsia="Times New Roman" w:cstheme="minorHAnsi"/>
          <w:color w:val="000000" w:themeColor="text1"/>
          <w:szCs w:val="20"/>
        </w:rPr>
        <w:t>Information adapted from: U.S. Food and Drug Administration and the U.S. Centers for Disease Control and Prevention. “Emergency Use Authorization” online course. Available at </w:t>
      </w:r>
      <w:hyperlink r:id="rId39" w:history="1">
        <w:r w:rsidRPr="00AD416F">
          <w:rPr>
            <w:rFonts w:eastAsia="Times New Roman" w:cstheme="minorHAnsi"/>
            <w:color w:val="4472C4" w:themeColor="accent1"/>
            <w:szCs w:val="20"/>
            <w:u w:val="single"/>
            <w:bdr w:val="none" w:sz="0" w:space="0" w:color="auto" w:frame="1"/>
          </w:rPr>
          <w:t>www.bt.cdc.gov/training/eua/index.html</w:t>
        </w:r>
      </w:hyperlink>
      <w:r w:rsidRPr="00AD416F">
        <w:rPr>
          <w:rFonts w:eastAsia="Times New Roman" w:cstheme="minorHAnsi"/>
          <w:color w:val="4472C4" w:themeColor="accent1"/>
          <w:szCs w:val="20"/>
        </w:rPr>
        <w:t xml:space="preserve">. </w:t>
      </w:r>
      <w:r w:rsidRPr="00AD416F">
        <w:rPr>
          <w:rFonts w:eastAsia="Times New Roman" w:cstheme="minorHAnsi"/>
          <w:color w:val="000000" w:themeColor="text1"/>
          <w:szCs w:val="20"/>
        </w:rPr>
        <w:t>Accessed January 31, 2012.</w:t>
      </w:r>
    </w:p>
    <w:p w14:paraId="2834D04C" w14:textId="77777777" w:rsidR="00206E4B" w:rsidRPr="00AD416F" w:rsidRDefault="00206E4B" w:rsidP="00DB621D">
      <w:pPr>
        <w:spacing w:line="480" w:lineRule="auto"/>
        <w:ind w:left="360"/>
        <w:textAlignment w:val="baseline"/>
        <w:rPr>
          <w:rFonts w:eastAsia="Times New Roman" w:cstheme="minorHAnsi"/>
          <w:color w:val="000000" w:themeColor="text1"/>
          <w:szCs w:val="20"/>
        </w:rPr>
      </w:pPr>
    </w:p>
    <w:p w14:paraId="0D27CCED" w14:textId="77777777" w:rsidR="00206E4B" w:rsidRPr="00AD416F" w:rsidRDefault="00206E4B" w:rsidP="00206E4B">
      <w:pPr>
        <w:numPr>
          <w:ilvl w:val="0"/>
          <w:numId w:val="23"/>
        </w:numPr>
        <w:tabs>
          <w:tab w:val="clear" w:pos="720"/>
          <w:tab w:val="num" w:pos="630"/>
        </w:tabs>
        <w:spacing w:line="480" w:lineRule="auto"/>
        <w:ind w:left="360"/>
        <w:textAlignment w:val="baseline"/>
        <w:rPr>
          <w:rFonts w:eastAsia="Times New Roman" w:cstheme="minorHAnsi"/>
          <w:color w:val="000000" w:themeColor="text1"/>
          <w:szCs w:val="20"/>
        </w:rPr>
      </w:pPr>
      <w:r w:rsidRPr="00AD416F">
        <w:rPr>
          <w:rFonts w:eastAsia="Times New Roman" w:cstheme="minorHAnsi"/>
          <w:color w:val="000000" w:themeColor="text1"/>
          <w:szCs w:val="20"/>
        </w:rPr>
        <w:t>As of March 2012, Congress is in the process of reauthorizing the Pandemic and All-Hazards Preparedness Act (PAHPA), which reauthorization may impact provisions relevant to emergency use of medical products.</w:t>
      </w:r>
    </w:p>
    <w:p w14:paraId="4AED675B" w14:textId="4B75DA65" w:rsidR="00206E4B" w:rsidRDefault="00206E4B" w:rsidP="00DB621D">
      <w:pPr>
        <w:spacing w:line="480" w:lineRule="auto"/>
        <w:rPr>
          <w:rFonts w:cstheme="minorHAnsi"/>
          <w:color w:val="000000" w:themeColor="text1"/>
          <w:sz w:val="24"/>
        </w:rPr>
      </w:pPr>
    </w:p>
    <w:p w14:paraId="42F2C63F" w14:textId="77777777" w:rsidR="00541C94" w:rsidRDefault="00541C94" w:rsidP="00541C94">
      <w:pPr>
        <w:rPr>
          <w:rFonts w:cstheme="minorHAnsi"/>
          <w:sz w:val="24"/>
        </w:rPr>
      </w:pPr>
      <w:r>
        <w:rPr>
          <w:rFonts w:cstheme="minorHAnsi"/>
          <w:sz w:val="24"/>
        </w:rPr>
        <w:t>[</w:t>
      </w:r>
      <w:hyperlink w:anchor="TOC_top" w:history="1">
        <w:r w:rsidRPr="008F1431">
          <w:rPr>
            <w:rStyle w:val="Hyperlink"/>
            <w:rFonts w:cstheme="minorHAnsi"/>
            <w:sz w:val="24"/>
          </w:rPr>
          <w:t>TOC</w:t>
        </w:r>
        <w:r w:rsidRPr="008F1431">
          <w:rPr>
            <w:rStyle w:val="Hyperlink"/>
            <w:rFonts w:cstheme="minorHAnsi"/>
            <w:sz w:val="24"/>
          </w:rPr>
          <w:t xml:space="preserve"> </w:t>
        </w:r>
        <w:r w:rsidRPr="008F1431">
          <w:rPr>
            <w:rStyle w:val="Hyperlink"/>
            <w:rFonts w:cstheme="minorHAnsi"/>
            <w:sz w:val="24"/>
          </w:rPr>
          <w:t>top</w:t>
        </w:r>
      </w:hyperlink>
      <w:r>
        <w:rPr>
          <w:rFonts w:cstheme="minorHAnsi"/>
          <w:sz w:val="24"/>
        </w:rPr>
        <w:t>]</w:t>
      </w:r>
    </w:p>
    <w:p w14:paraId="03482D56" w14:textId="02FFEB27" w:rsidR="00541C94" w:rsidRDefault="00541C94" w:rsidP="00DB621D">
      <w:pPr>
        <w:spacing w:line="480" w:lineRule="auto"/>
        <w:rPr>
          <w:rFonts w:cstheme="minorHAnsi"/>
          <w:color w:val="000000" w:themeColor="text1"/>
          <w:sz w:val="24"/>
        </w:rPr>
      </w:pPr>
    </w:p>
    <w:p w14:paraId="2EECDF68" w14:textId="50437802" w:rsidR="00541C94" w:rsidRDefault="00541C94">
      <w:pPr>
        <w:rPr>
          <w:rFonts w:cstheme="minorHAnsi"/>
          <w:color w:val="000000" w:themeColor="text1"/>
          <w:sz w:val="24"/>
        </w:rPr>
      </w:pPr>
      <w:r>
        <w:rPr>
          <w:rFonts w:cstheme="minorHAnsi"/>
          <w:color w:val="000000" w:themeColor="text1"/>
          <w:sz w:val="24"/>
        </w:rPr>
        <w:br w:type="page"/>
      </w:r>
    </w:p>
    <w:p w14:paraId="32372793" w14:textId="77777777" w:rsidR="00206E4B" w:rsidRPr="0013549C" w:rsidRDefault="00206E4B" w:rsidP="00843F34">
      <w:pPr>
        <w:spacing w:line="480" w:lineRule="auto"/>
        <w:rPr>
          <w:rFonts w:eastAsia="Times New Roman" w:cstheme="minorHAnsi"/>
          <w:b/>
          <w:bCs/>
          <w:color w:val="333333"/>
          <w:spacing w:val="15"/>
          <w:kern w:val="36"/>
          <w:sz w:val="28"/>
          <w:szCs w:val="28"/>
        </w:rPr>
      </w:pPr>
      <w:bookmarkStart w:id="5" w:name="SELP_FS"/>
      <w:r w:rsidRPr="0013549C">
        <w:rPr>
          <w:rFonts w:eastAsia="Times New Roman" w:cstheme="minorHAnsi"/>
          <w:b/>
          <w:bCs/>
          <w:color w:val="333333"/>
          <w:spacing w:val="15"/>
          <w:kern w:val="36"/>
          <w:sz w:val="28"/>
          <w:szCs w:val="28"/>
        </w:rPr>
        <w:lastRenderedPageBreak/>
        <w:t>Federal Shelf Life Extension Program</w:t>
      </w:r>
      <w:bookmarkEnd w:id="5"/>
    </w:p>
    <w:p w14:paraId="08F60A26" w14:textId="77777777" w:rsidR="00206E4B" w:rsidRPr="0013549C" w:rsidRDefault="00206E4B"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Fact Sheet</w:t>
      </w:r>
    </w:p>
    <w:p w14:paraId="61EFFBD1" w14:textId="77777777" w:rsidR="00206E4B" w:rsidRDefault="00206E4B" w:rsidP="00843F34">
      <w:pPr>
        <w:spacing w:line="480" w:lineRule="auto"/>
        <w:rPr>
          <w:rFonts w:eastAsia="Times New Roman" w:cstheme="minorHAnsi"/>
          <w:b/>
          <w:bCs/>
          <w:color w:val="3C3030"/>
          <w:sz w:val="24"/>
          <w:szCs w:val="24"/>
        </w:rPr>
      </w:pPr>
    </w:p>
    <w:p w14:paraId="4E9C5A9D" w14:textId="77777777" w:rsidR="00206E4B" w:rsidRPr="0013549C" w:rsidRDefault="00206E4B"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Overview</w:t>
      </w:r>
    </w:p>
    <w:p w14:paraId="5F4D2322"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The federal </w:t>
      </w:r>
      <w:hyperlink r:id="rId40" w:anchor="Shelf-Life" w:tooltip="Shelf Life Extension Program (SLEP)" w:history="1">
        <w:r w:rsidRPr="0013549C">
          <w:rPr>
            <w:rFonts w:eastAsia="Times New Roman" w:cstheme="minorHAnsi"/>
            <w:color w:val="0F88B8"/>
            <w:bdr w:val="none" w:sz="0" w:space="0" w:color="auto" w:frame="1"/>
          </w:rPr>
          <w:t>Shelf Life Extension Program (SLEP)</w:t>
        </w:r>
      </w:hyperlink>
      <w:r w:rsidRPr="0013549C">
        <w:rPr>
          <w:rFonts w:eastAsia="Times New Roman" w:cstheme="minorHAnsi"/>
          <w:color w:val="737373"/>
        </w:rPr>
        <w:t> </w:t>
      </w:r>
      <w:r w:rsidRPr="0013549C">
        <w:rPr>
          <w:rFonts w:eastAsia="Times New Roman" w:cstheme="minorHAnsi"/>
        </w:rPr>
        <w:t>extends the expiration dates on qualifying drugs and other materiel in federal stockpiles. SLEP is administered by the U.S. Department of Defense (DoD) in cooperation with the </w:t>
      </w:r>
      <w:hyperlink r:id="rId41" w:anchor="Food-And-Drug" w:tooltip="U.S. Food and Drug Administration (FDA)" w:history="1">
        <w:r w:rsidRPr="0013549C">
          <w:rPr>
            <w:rFonts w:eastAsia="Times New Roman" w:cstheme="minorHAnsi"/>
            <w:color w:val="0F88B8"/>
            <w:bdr w:val="none" w:sz="0" w:space="0" w:color="auto" w:frame="1"/>
          </w:rPr>
          <w:t>U.S. Food and Drug Administration (FDA)</w:t>
        </w:r>
      </w:hyperlink>
      <w:r w:rsidRPr="0013549C">
        <w:rPr>
          <w:rFonts w:eastAsia="Times New Roman" w:cstheme="minorHAnsi"/>
          <w:color w:val="737373"/>
        </w:rPr>
        <w:t>.</w:t>
      </w:r>
      <w:r w:rsidRPr="0013549C">
        <w:rPr>
          <w:rFonts w:eastAsia="Times New Roman" w:cstheme="minorHAnsi"/>
          <w:bdr w:val="none" w:sz="0" w:space="0" w:color="auto" w:frame="1"/>
          <w:vertAlign w:val="superscript"/>
        </w:rPr>
        <w:t>1</w:t>
      </w:r>
      <w:r w:rsidRPr="0013549C">
        <w:rPr>
          <w:rFonts w:eastAsia="Times New Roman" w:cstheme="minorHAnsi"/>
        </w:rPr>
        <w:t> The program is an acknowledgement that the actual shelf life of drugs and other medical products may be longer than their stated expiration date, depending on their storage conditions. The purpose of SLEP is to defer replacement costs of stockpiled drugs by extending their useful life.</w:t>
      </w:r>
    </w:p>
    <w:p w14:paraId="2D49B0FC" w14:textId="77777777" w:rsidR="00206E4B" w:rsidRPr="001C53FE" w:rsidRDefault="00206E4B" w:rsidP="00843F34">
      <w:pPr>
        <w:shd w:val="clear" w:color="auto" w:fill="FFFFFF"/>
        <w:spacing w:line="480" w:lineRule="auto"/>
        <w:textAlignment w:val="baseline"/>
        <w:rPr>
          <w:rFonts w:eastAsia="Times New Roman" w:cstheme="minorHAnsi"/>
        </w:rPr>
      </w:pPr>
    </w:p>
    <w:p w14:paraId="7F178105"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The program was established in 1986 through an interagency agreement between the DoD and the FDA in response to a Congressional directive to address U.S. Air Force drug stockpiles.</w:t>
      </w:r>
      <w:r w:rsidRPr="0013549C">
        <w:rPr>
          <w:rFonts w:eastAsia="Times New Roman" w:cstheme="minorHAnsi"/>
          <w:bdr w:val="none" w:sz="0" w:space="0" w:color="auto" w:frame="1"/>
          <w:vertAlign w:val="superscript"/>
        </w:rPr>
        <w:t>2</w:t>
      </w:r>
      <w:r w:rsidRPr="0013549C">
        <w:rPr>
          <w:rFonts w:eastAsia="Times New Roman" w:cstheme="minorHAnsi"/>
        </w:rPr>
        <w:t> This initial SLEP program was intended to extend the useful shelf life of medicines with limited commercial use (e.g., chemical agent antidotes) or which the government held in such large quantities that the manufacturer would not accept them for credit when the drugs expired.</w:t>
      </w:r>
      <w:r w:rsidRPr="0013549C">
        <w:rPr>
          <w:rFonts w:eastAsia="Times New Roman" w:cstheme="minorHAnsi"/>
          <w:bdr w:val="none" w:sz="0" w:space="0" w:color="auto" w:frame="1"/>
          <w:vertAlign w:val="superscript"/>
        </w:rPr>
        <w:t>3</w:t>
      </w:r>
      <w:r w:rsidRPr="0013549C">
        <w:rPr>
          <w:rFonts w:eastAsia="Times New Roman" w:cstheme="minorHAnsi"/>
        </w:rPr>
        <w:t>Since then, other federal agencies have entered into a memorandum of agreement with the DoD to participate in SLEP, including other branches of the military, the </w:t>
      </w:r>
      <w:hyperlink r:id="rId42" w:anchor="Strategic-National" w:tooltip="Strategic National Stockpile (SNS)" w:history="1">
        <w:r w:rsidRPr="0013549C">
          <w:rPr>
            <w:rFonts w:eastAsia="Times New Roman" w:cstheme="minorHAnsi"/>
            <w:color w:val="0F88B8"/>
            <w:bdr w:val="none" w:sz="0" w:space="0" w:color="auto" w:frame="1"/>
          </w:rPr>
          <w:t>Strategic National Stockpile (SNS)</w:t>
        </w:r>
      </w:hyperlink>
      <w:r w:rsidRPr="0013549C">
        <w:rPr>
          <w:rFonts w:eastAsia="Times New Roman" w:cstheme="minorHAnsi"/>
        </w:rPr>
        <w:t>,</w:t>
      </w:r>
      <w:r w:rsidRPr="0013549C">
        <w:rPr>
          <w:rFonts w:eastAsia="Times New Roman" w:cstheme="minorHAnsi"/>
          <w:color w:val="737373"/>
        </w:rPr>
        <w:t xml:space="preserve"> </w:t>
      </w:r>
      <w:r w:rsidRPr="0013549C">
        <w:rPr>
          <w:rFonts w:eastAsia="Times New Roman" w:cstheme="minorHAnsi"/>
        </w:rPr>
        <w:t>the Department of Veterans Affairs (VA), the U.S. Postal Service, and the Bureau of Federal Prisions.</w:t>
      </w:r>
      <w:r w:rsidRPr="0013549C">
        <w:rPr>
          <w:rFonts w:eastAsia="Times New Roman" w:cstheme="minorHAnsi"/>
          <w:bdr w:val="none" w:sz="0" w:space="0" w:color="auto" w:frame="1"/>
          <w:vertAlign w:val="superscript"/>
        </w:rPr>
        <w:t>2</w:t>
      </w:r>
      <w:r w:rsidRPr="0013549C">
        <w:rPr>
          <w:rFonts w:eastAsia="Times New Roman" w:cstheme="minorHAnsi"/>
        </w:rPr>
        <w:t>  </w:t>
      </w:r>
    </w:p>
    <w:p w14:paraId="43BD95FA" w14:textId="77777777" w:rsidR="00206E4B" w:rsidRDefault="00206E4B" w:rsidP="00843F34">
      <w:pPr>
        <w:shd w:val="clear" w:color="auto" w:fill="FFFFFF"/>
        <w:spacing w:line="480" w:lineRule="auto"/>
        <w:textAlignment w:val="baseline"/>
        <w:rPr>
          <w:rFonts w:eastAsia="Times New Roman" w:cstheme="minorHAnsi"/>
        </w:rPr>
      </w:pPr>
    </w:p>
    <w:p w14:paraId="5B2F66B8" w14:textId="77777777" w:rsidR="00206E4B" w:rsidRPr="0013549C" w:rsidRDefault="00206E4B"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SLEP is currently available only for federally-maintained stockpiles, although there have been ongoing deliberations between the federal government and the states about extending SLEP to state-maintained stockpiles or creating a separate SLEP-like program for state stockpiles. (See “State Stockpiles” discussion below.)</w:t>
      </w:r>
    </w:p>
    <w:p w14:paraId="448484F3"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lastRenderedPageBreak/>
        <w:t>Note: As of March 2012, Congress is in the process of reauthorizing the </w:t>
      </w:r>
      <w:hyperlink r:id="rId43" w:anchor="Pandemic-And" w:tooltip="Pandemic and All-Hazards Preparedness Act (PAHPA)" w:history="1">
        <w:r w:rsidRPr="0013549C">
          <w:rPr>
            <w:rFonts w:eastAsia="Times New Roman" w:cstheme="minorHAnsi"/>
            <w:color w:val="0F88B8"/>
            <w:bdr w:val="none" w:sz="0" w:space="0" w:color="auto" w:frame="1"/>
          </w:rPr>
          <w:t>Pandemic and All-Hazards Preparedness Act (PAHPA)</w:t>
        </w:r>
      </w:hyperlink>
      <w:r w:rsidRPr="0013549C">
        <w:rPr>
          <w:rFonts w:eastAsia="Times New Roman" w:cstheme="minorHAnsi"/>
        </w:rPr>
        <w:t>, which may impact a number of laws and programs described below. Please see </w:t>
      </w:r>
      <w:hyperlink r:id="rId44" w:tooltip="ASTHO EUA Current Issues Winter 2012" w:history="1">
        <w:r w:rsidRPr="0013549C">
          <w:rPr>
            <w:rFonts w:eastAsia="Times New Roman" w:cstheme="minorHAnsi"/>
            <w:color w:val="0F88B8"/>
            <w:bdr w:val="none" w:sz="0" w:space="0" w:color="auto" w:frame="1"/>
          </w:rPr>
          <w:t>ASTHO EUA Current Issues Winter 2012</w:t>
        </w:r>
      </w:hyperlink>
      <w:r w:rsidRPr="0013549C">
        <w:rPr>
          <w:rFonts w:eastAsia="Times New Roman" w:cstheme="minorHAnsi"/>
          <w:color w:val="737373"/>
        </w:rPr>
        <w:t> </w:t>
      </w:r>
      <w:r w:rsidRPr="0013549C">
        <w:rPr>
          <w:rFonts w:eastAsia="Times New Roman" w:cstheme="minorHAnsi"/>
        </w:rPr>
        <w:t xml:space="preserve">for more information about reauthorization and its potential impact on EUAs and related issues. </w:t>
      </w:r>
    </w:p>
    <w:p w14:paraId="2AED2B88" w14:textId="77777777" w:rsidR="00206E4B" w:rsidRDefault="00206E4B" w:rsidP="00843F34">
      <w:pPr>
        <w:spacing w:line="480" w:lineRule="auto"/>
        <w:rPr>
          <w:rFonts w:eastAsia="Times New Roman" w:cstheme="minorHAnsi"/>
          <w:b/>
          <w:bCs/>
          <w:color w:val="3C3030"/>
          <w:sz w:val="24"/>
          <w:szCs w:val="24"/>
        </w:rPr>
      </w:pPr>
    </w:p>
    <w:p w14:paraId="67ABBE4C" w14:textId="77777777" w:rsidR="00206E4B" w:rsidRPr="0013549C" w:rsidRDefault="00206E4B"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How SLEP Works</w:t>
      </w:r>
    </w:p>
    <w:p w14:paraId="42B044CC"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SLEP is a fee-for-service program. Participating agencies are required to pay for the FDA’s periodic, comprehensive testing and analysis of the drugs and other medical materiel in the SLEP process. Items eligible for SLEP are tested by the FDA. Products that pass testing are granted extended expiration dates but must undergo ongoing testing to monitor their continued shelf life.</w:t>
      </w:r>
      <w:r w:rsidRPr="0013549C">
        <w:rPr>
          <w:rFonts w:eastAsia="Times New Roman" w:cstheme="minorHAnsi"/>
          <w:vertAlign w:val="superscript"/>
        </w:rPr>
        <w:t>4</w:t>
      </w:r>
      <w:r w:rsidRPr="0013549C">
        <w:rPr>
          <w:rFonts w:eastAsia="Times New Roman" w:cstheme="minorHAnsi"/>
        </w:rPr>
        <w:t xml:space="preserve"> Products that fail testing at any time are destroyed.</w:t>
      </w:r>
      <w:r w:rsidRPr="0013549C">
        <w:rPr>
          <w:rFonts w:eastAsia="Times New Roman" w:cstheme="minorHAnsi"/>
          <w:bdr w:val="none" w:sz="0" w:space="0" w:color="auto" w:frame="1"/>
          <w:vertAlign w:val="superscript"/>
        </w:rPr>
        <w:t>4</w:t>
      </w:r>
      <w:r w:rsidRPr="0013549C">
        <w:rPr>
          <w:rFonts w:eastAsia="Times New Roman" w:cstheme="minorHAnsi"/>
        </w:rPr>
        <w:t> Products that do not receive additional extensions of their expiration dates or are not tested for SLEP are destroyed at their final expiration dates.</w:t>
      </w:r>
      <w:r w:rsidRPr="0013549C">
        <w:rPr>
          <w:rFonts w:eastAsia="Times New Roman" w:cstheme="minorHAnsi"/>
          <w:bdr w:val="none" w:sz="0" w:space="0" w:color="auto" w:frame="1"/>
          <w:vertAlign w:val="superscript"/>
        </w:rPr>
        <w:t>4</w:t>
      </w:r>
      <w:r w:rsidRPr="0013549C">
        <w:rPr>
          <w:rFonts w:eastAsia="Times New Roman" w:cstheme="minorHAnsi"/>
        </w:rPr>
        <w:t> Maintaining controlled storage conditions appropriate for the product(s) is an important factor in the SLEP process.</w:t>
      </w:r>
    </w:p>
    <w:p w14:paraId="7F4C221E" w14:textId="77777777" w:rsidR="00206E4B" w:rsidRPr="00BB4E06" w:rsidRDefault="00206E4B" w:rsidP="00843F34">
      <w:pPr>
        <w:spacing w:line="480" w:lineRule="auto"/>
        <w:rPr>
          <w:rFonts w:eastAsia="Times New Roman" w:cstheme="minorHAnsi"/>
          <w:b/>
          <w:bCs/>
        </w:rPr>
      </w:pPr>
    </w:p>
    <w:p w14:paraId="26C5DB33"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Agency Roles and Responsibilities</w:t>
      </w:r>
    </w:p>
    <w:p w14:paraId="0F770893"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The program is operated by the </w:t>
      </w:r>
      <w:hyperlink r:id="rId45" w:anchor="Defense-Medical" w:tooltip="DoD Defense Medical Materiel Program Office (DMMPO)" w:history="1">
        <w:r w:rsidRPr="0013549C">
          <w:rPr>
            <w:rFonts w:eastAsia="Times New Roman" w:cstheme="minorHAnsi"/>
            <w:color w:val="0F88B8"/>
            <w:bdr w:val="none" w:sz="0" w:space="0" w:color="auto" w:frame="1"/>
          </w:rPr>
          <w:t>DoD Defense Medical Materiel Program Office (DMMPO)</w:t>
        </w:r>
      </w:hyperlink>
      <w:r w:rsidRPr="0013549C">
        <w:rPr>
          <w:rFonts w:eastAsia="Times New Roman" w:cstheme="minorHAnsi"/>
          <w:color w:val="737373"/>
        </w:rPr>
        <w:t> </w:t>
      </w:r>
      <w:r w:rsidRPr="0013549C">
        <w:rPr>
          <w:rFonts w:eastAsia="Times New Roman" w:cstheme="minorHAnsi"/>
        </w:rPr>
        <w:t>(formerly the Defense Medical Standardization Board [DMSB]) and regularly interacts with the FDA and agencies participating in SLEP.</w:t>
      </w:r>
      <w:r w:rsidRPr="0013549C">
        <w:rPr>
          <w:rFonts w:eastAsia="Times New Roman" w:cstheme="minorHAnsi"/>
          <w:bdr w:val="none" w:sz="0" w:space="0" w:color="auto" w:frame="1"/>
          <w:vertAlign w:val="superscript"/>
        </w:rPr>
        <w:t>2,5</w:t>
      </w:r>
      <w:r w:rsidRPr="0013549C">
        <w:rPr>
          <w:rFonts w:eastAsia="Times New Roman" w:cstheme="minorHAnsi"/>
        </w:rPr>
        <w:t> The DMMPO/DoD role in SLEP is to conduct programmatic and administrative functions, including but not limited to: (1) identifying products eligible for testing to FDA; (2) updating the SLEP expiration database; (3) conducting a cost-benefit analysis of extending a drug’s expiration date; (4) ordering labels for relabeled drugs; and (5) billing participant agencies.</w:t>
      </w:r>
      <w:r w:rsidRPr="0013549C">
        <w:rPr>
          <w:rFonts w:eastAsia="Times New Roman" w:cstheme="minorHAnsi"/>
          <w:bdr w:val="none" w:sz="0" w:space="0" w:color="auto" w:frame="1"/>
          <w:vertAlign w:val="superscript"/>
        </w:rPr>
        <w:t>2 </w:t>
      </w:r>
      <w:r w:rsidRPr="0013549C">
        <w:rPr>
          <w:rFonts w:eastAsia="Times New Roman" w:cstheme="minorHAnsi"/>
        </w:rPr>
        <w:t> </w:t>
      </w:r>
    </w:p>
    <w:p w14:paraId="6490A918" w14:textId="77777777" w:rsidR="00206E4B" w:rsidRDefault="00206E4B" w:rsidP="00843F34">
      <w:pPr>
        <w:shd w:val="clear" w:color="auto" w:fill="FFFFFF"/>
        <w:spacing w:line="480" w:lineRule="auto"/>
        <w:textAlignment w:val="baseline"/>
        <w:rPr>
          <w:rFonts w:eastAsia="Times New Roman" w:cstheme="minorHAnsi"/>
        </w:rPr>
      </w:pPr>
    </w:p>
    <w:p w14:paraId="1CB3F8AE"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 xml:space="preserve">The FDA is responsible for testing and evaluating drugs for SLEP. Specifically, the FDA: (1) determines the appropriate tests and methods for the candidate drugs; (2) conducts tests on samples of the candidate </w:t>
      </w:r>
      <w:r w:rsidRPr="0013549C">
        <w:rPr>
          <w:rFonts w:eastAsia="Times New Roman" w:cstheme="minorHAnsi"/>
        </w:rPr>
        <w:lastRenderedPageBreak/>
        <w:t>drugs; (3) analyzes test results and determines whether and for how long extension is possible; and (4) performs other research to address SLEP issues.</w:t>
      </w:r>
      <w:r w:rsidRPr="0013549C">
        <w:rPr>
          <w:rFonts w:eastAsia="Times New Roman" w:cstheme="minorHAnsi"/>
          <w:bdr w:val="none" w:sz="0" w:space="0" w:color="auto" w:frame="1"/>
          <w:vertAlign w:val="superscript"/>
        </w:rPr>
        <w:t>2</w:t>
      </w:r>
      <w:r w:rsidRPr="0013549C">
        <w:rPr>
          <w:rFonts w:eastAsia="Times New Roman" w:cstheme="minorHAnsi"/>
        </w:rPr>
        <w:t>  </w:t>
      </w:r>
    </w:p>
    <w:p w14:paraId="3F57E176" w14:textId="77777777" w:rsidR="00206E4B" w:rsidRDefault="00206E4B" w:rsidP="00843F34">
      <w:pPr>
        <w:spacing w:line="480" w:lineRule="auto"/>
        <w:rPr>
          <w:rFonts w:eastAsia="Times New Roman" w:cstheme="minorHAnsi"/>
          <w:b/>
          <w:bCs/>
        </w:rPr>
      </w:pPr>
    </w:p>
    <w:p w14:paraId="297132D3"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Items Eligible for SLEP</w:t>
      </w:r>
    </w:p>
    <w:p w14:paraId="76B7A303"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Not every item stockpiled is a candidate for SLEP. Because of the costs involved in testing, the program is primarily designed for large stockpiles of drugs and medical materiel that are housed in environmentally controlled facilities.</w:t>
      </w:r>
      <w:r w:rsidRPr="0013549C">
        <w:rPr>
          <w:rFonts w:eastAsia="Times New Roman" w:cstheme="minorHAnsi"/>
          <w:bdr w:val="none" w:sz="0" w:space="0" w:color="auto" w:frame="1"/>
          <w:vertAlign w:val="superscript"/>
        </w:rPr>
        <w:t>2</w:t>
      </w:r>
      <w:r w:rsidRPr="0013549C">
        <w:rPr>
          <w:rFonts w:eastAsia="Times New Roman" w:cstheme="minorHAnsi"/>
        </w:rPr>
        <w:t> FDA-approved prescription drugs are most frequently designated for SLEP testing by program participants. Biological products such as vaccines, serums, and nutritional products or items with a history of poor SLEP performance are not eligible for testing.</w:t>
      </w:r>
      <w:r w:rsidRPr="0013549C">
        <w:rPr>
          <w:rFonts w:eastAsia="Times New Roman" w:cstheme="minorHAnsi"/>
          <w:bdr w:val="none" w:sz="0" w:space="0" w:color="auto" w:frame="1"/>
          <w:vertAlign w:val="superscript"/>
        </w:rPr>
        <w:t>2,4</w:t>
      </w:r>
      <w:r w:rsidRPr="0013549C">
        <w:rPr>
          <w:rFonts w:eastAsia="Times New Roman" w:cstheme="minorHAnsi"/>
        </w:rPr>
        <w:t> Items where testing would be time or cost prohibitive are not accepted.</w:t>
      </w:r>
      <w:r w:rsidRPr="0013549C">
        <w:rPr>
          <w:rFonts w:eastAsia="Times New Roman" w:cstheme="minorHAnsi"/>
          <w:bdr w:val="none" w:sz="0" w:space="0" w:color="auto" w:frame="1"/>
          <w:vertAlign w:val="superscript"/>
        </w:rPr>
        <w:t>4</w:t>
      </w:r>
      <w:r w:rsidRPr="0013549C">
        <w:rPr>
          <w:rFonts w:eastAsia="Times New Roman" w:cstheme="minorHAnsi"/>
        </w:rPr>
        <w:t> The focus on testing has been on products that are militarily significant, have limited commercial use, are purchased in large quantities (e.g., antivirals), or are used only if there is an event requiring their administration.</w:t>
      </w:r>
      <w:r w:rsidRPr="0013549C">
        <w:rPr>
          <w:rFonts w:eastAsia="Times New Roman" w:cstheme="minorHAnsi"/>
          <w:bdr w:val="none" w:sz="0" w:space="0" w:color="auto" w:frame="1"/>
          <w:vertAlign w:val="superscript"/>
        </w:rPr>
        <w:t>2 </w:t>
      </w:r>
      <w:r w:rsidRPr="0013549C">
        <w:rPr>
          <w:rFonts w:eastAsia="Times New Roman" w:cstheme="minorHAnsi"/>
        </w:rPr>
        <w:t> </w:t>
      </w:r>
    </w:p>
    <w:p w14:paraId="7DF5AC89" w14:textId="77777777" w:rsidR="00206E4B" w:rsidRDefault="00206E4B" w:rsidP="00843F34">
      <w:pPr>
        <w:spacing w:line="480" w:lineRule="auto"/>
        <w:rPr>
          <w:rFonts w:eastAsia="Times New Roman" w:cstheme="minorHAnsi"/>
          <w:b/>
          <w:bCs/>
        </w:rPr>
      </w:pPr>
    </w:p>
    <w:p w14:paraId="54E90D1D"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SLEP Process</w:t>
      </w:r>
    </w:p>
    <w:p w14:paraId="0BA8E96E" w14:textId="77777777" w:rsidR="00206E4B"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The procedure to determine whether a drug or other medical materiel is eligible for extension under SLEP involves testing by the FDA. If an extension is granted, the approval document identifies the length of the extension and relabeling requirements. Products under SLEP are regularly retested and must be destroyed if at any time they fail testing.</w:t>
      </w:r>
      <w:r w:rsidRPr="0013549C">
        <w:rPr>
          <w:rFonts w:eastAsia="Times New Roman" w:cstheme="minorHAnsi"/>
          <w:bdr w:val="none" w:sz="0" w:space="0" w:color="auto" w:frame="1"/>
          <w:vertAlign w:val="superscript"/>
        </w:rPr>
        <w:t>2 </w:t>
      </w:r>
      <w:r w:rsidRPr="0013549C">
        <w:rPr>
          <w:rFonts w:eastAsia="Times New Roman" w:cstheme="minorHAnsi"/>
        </w:rPr>
        <w:t> </w:t>
      </w:r>
    </w:p>
    <w:p w14:paraId="6A0FD6E8" w14:textId="77777777" w:rsidR="00206E4B" w:rsidRPr="0013549C" w:rsidRDefault="00206E4B" w:rsidP="00843F34">
      <w:pPr>
        <w:shd w:val="clear" w:color="auto" w:fill="FFFFFF"/>
        <w:spacing w:line="480" w:lineRule="auto"/>
        <w:textAlignment w:val="baseline"/>
        <w:rPr>
          <w:rFonts w:eastAsia="Times New Roman" w:cstheme="minorHAnsi"/>
        </w:rPr>
      </w:pPr>
    </w:p>
    <w:p w14:paraId="7CB47A17" w14:textId="77777777" w:rsidR="00206E4B" w:rsidRPr="00BB4E06" w:rsidRDefault="00206E4B" w:rsidP="00206E4B">
      <w:pPr>
        <w:pStyle w:val="ListParagraph"/>
        <w:numPr>
          <w:ilvl w:val="0"/>
          <w:numId w:val="2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Initial Testing and Analysis—</w:t>
      </w:r>
      <w:r w:rsidRPr="00BB4E06">
        <w:rPr>
          <w:rFonts w:eastAsia="Times New Roman" w:cstheme="minorHAnsi"/>
        </w:rPr>
        <w:t>SLEP participants are required to maintain updated information about their inventories of stockpiled medical materiel in an access-restricted SLEP online database. DMMPO staff review participants’ online inventories of products set to expire within 180 days and identify potential items for SLEP testing.</w:t>
      </w:r>
      <w:r w:rsidRPr="00BB4E06">
        <w:rPr>
          <w:rFonts w:eastAsia="Times New Roman" w:cstheme="minorHAnsi"/>
          <w:bdr w:val="none" w:sz="0" w:space="0" w:color="auto" w:frame="1"/>
          <w:vertAlign w:val="superscript"/>
        </w:rPr>
        <w:t>4</w:t>
      </w:r>
      <w:r w:rsidRPr="00BB4E06">
        <w:rPr>
          <w:rFonts w:eastAsia="Times New Roman" w:cstheme="minorHAnsi"/>
        </w:rPr>
        <w:t xml:space="preserve"> The FDA then requests samples from participants. Representative samples of the drugs nominated for participation in SLEP are taken from specific lot </w:t>
      </w:r>
      <w:r w:rsidRPr="00BB4E06">
        <w:rPr>
          <w:rFonts w:eastAsia="Times New Roman" w:cstheme="minorHAnsi"/>
        </w:rPr>
        <w:lastRenderedPageBreak/>
        <w:t>numbers at one stockpile location and shipped to an FDA field laboratory for testing.</w:t>
      </w:r>
      <w:r w:rsidRPr="00BB4E06">
        <w:rPr>
          <w:rFonts w:eastAsia="Times New Roman" w:cstheme="minorHAnsi"/>
          <w:bdr w:val="none" w:sz="0" w:space="0" w:color="auto" w:frame="1"/>
          <w:vertAlign w:val="superscript"/>
        </w:rPr>
        <w:t>2</w:t>
      </w:r>
      <w:r w:rsidRPr="00BB4E06">
        <w:rPr>
          <w:rFonts w:eastAsia="Times New Roman" w:cstheme="minorHAnsi"/>
        </w:rPr>
        <w:t> The FDA tests the samples for continued safety and potency using methods from the U.S. Pharmacopeia (USP)</w:t>
      </w:r>
      <w:r w:rsidRPr="00BB4E06">
        <w:rPr>
          <w:rFonts w:eastAsia="Times New Roman" w:cstheme="minorHAnsi"/>
          <w:bdr w:val="none" w:sz="0" w:space="0" w:color="auto" w:frame="1"/>
          <w:vertAlign w:val="superscript"/>
        </w:rPr>
        <w:t>6</w:t>
      </w:r>
      <w:r w:rsidRPr="00BB4E06">
        <w:rPr>
          <w:rFonts w:eastAsia="Times New Roman" w:cstheme="minorHAnsi"/>
        </w:rPr>
        <w:t> or the drug manufacturer’s test methodology.</w:t>
      </w:r>
      <w:r w:rsidRPr="00BB4E06">
        <w:rPr>
          <w:rFonts w:eastAsia="Times New Roman" w:cstheme="minorHAnsi"/>
          <w:bdr w:val="none" w:sz="0" w:space="0" w:color="auto" w:frame="1"/>
          <w:vertAlign w:val="superscript"/>
        </w:rPr>
        <w:t>2</w:t>
      </w:r>
      <w:r w:rsidRPr="00BB4E06">
        <w:rPr>
          <w:rFonts w:eastAsia="Times New Roman" w:cstheme="minorHAnsi"/>
        </w:rPr>
        <w:t> The FDA then analyzes the test results to determine if the lot sampled can be extended and for how long.</w:t>
      </w:r>
      <w:r w:rsidRPr="00BB4E06">
        <w:rPr>
          <w:rFonts w:eastAsia="Times New Roman" w:cstheme="minorHAnsi"/>
          <w:bdr w:val="none" w:sz="0" w:space="0" w:color="auto" w:frame="1"/>
          <w:vertAlign w:val="superscript"/>
        </w:rPr>
        <w:t>2</w:t>
      </w:r>
      <w:r w:rsidRPr="00BB4E06">
        <w:rPr>
          <w:rFonts w:eastAsia="Times New Roman" w:cstheme="minorHAnsi"/>
        </w:rPr>
        <w:t> The FDA sends its determination to the DMMPO, which provides the results to the SLEP participant requesting the test.</w:t>
      </w:r>
      <w:r w:rsidRPr="00BB4E06">
        <w:rPr>
          <w:rFonts w:eastAsia="Times New Roman" w:cstheme="minorHAnsi"/>
          <w:bdr w:val="none" w:sz="0" w:space="0" w:color="auto" w:frame="1"/>
          <w:vertAlign w:val="superscript"/>
        </w:rPr>
        <w:t>2</w:t>
      </w:r>
      <w:r w:rsidRPr="00BB4E06">
        <w:rPr>
          <w:rFonts w:eastAsia="Times New Roman" w:cstheme="minorHAnsi"/>
        </w:rPr>
        <w:t> The time from nomination for testing to reported results is approximately six months.</w:t>
      </w:r>
      <w:r w:rsidRPr="00BB4E06">
        <w:rPr>
          <w:rFonts w:eastAsia="Times New Roman" w:cstheme="minorHAnsi"/>
          <w:bdr w:val="none" w:sz="0" w:space="0" w:color="auto" w:frame="1"/>
          <w:vertAlign w:val="superscript"/>
        </w:rPr>
        <w:t>4</w:t>
      </w:r>
      <w:r w:rsidRPr="00BB4E06">
        <w:rPr>
          <w:rFonts w:eastAsia="Times New Roman" w:cstheme="minorHAnsi"/>
        </w:rPr>
        <w:t>  </w:t>
      </w:r>
    </w:p>
    <w:p w14:paraId="32BCAF34" w14:textId="77777777" w:rsidR="00206E4B" w:rsidRPr="0013549C" w:rsidRDefault="00206E4B" w:rsidP="00843F34">
      <w:pPr>
        <w:spacing w:line="480" w:lineRule="auto"/>
        <w:textAlignment w:val="baseline"/>
        <w:rPr>
          <w:rFonts w:eastAsia="Times New Roman" w:cstheme="minorHAnsi"/>
        </w:rPr>
      </w:pPr>
    </w:p>
    <w:p w14:paraId="0B9A38A2" w14:textId="77777777" w:rsidR="00206E4B" w:rsidRPr="00BB4E06" w:rsidRDefault="00206E4B" w:rsidP="00206E4B">
      <w:pPr>
        <w:pStyle w:val="ListParagraph"/>
        <w:numPr>
          <w:ilvl w:val="0"/>
          <w:numId w:val="2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Extension and Retesting—</w:t>
      </w:r>
      <w:r w:rsidRPr="00BB4E06">
        <w:rPr>
          <w:rFonts w:eastAsia="Times New Roman" w:cstheme="minorHAnsi"/>
        </w:rPr>
        <w:t>The FDA can issue an expiration date extension for a maximum of up to two years for the first time a lot is tested under SLEP.</w:t>
      </w:r>
      <w:r w:rsidRPr="00BB4E06">
        <w:rPr>
          <w:rFonts w:eastAsia="Times New Roman" w:cstheme="minorHAnsi"/>
          <w:bdr w:val="none" w:sz="0" w:space="0" w:color="auto" w:frame="1"/>
          <w:vertAlign w:val="superscript"/>
        </w:rPr>
        <w:t>2</w:t>
      </w:r>
      <w:r w:rsidRPr="00BB4E06">
        <w:rPr>
          <w:rFonts w:eastAsia="Times New Roman" w:cstheme="minorHAnsi"/>
        </w:rPr>
        <w:t>The FDA grants extensions for the specific lot number(s) tested based on the assumption that all lots at all stockpile locations have been stored according to Current Good Manufacturing Practices (CGMPs),</w:t>
      </w:r>
      <w:r w:rsidRPr="00BB4E06">
        <w:rPr>
          <w:rFonts w:eastAsia="Times New Roman" w:cstheme="minorHAnsi"/>
          <w:bdr w:val="none" w:sz="0" w:space="0" w:color="auto" w:frame="1"/>
          <w:vertAlign w:val="superscript"/>
        </w:rPr>
        <w:t>7</w:t>
      </w:r>
      <w:r w:rsidRPr="00BB4E06">
        <w:rPr>
          <w:rFonts w:eastAsia="Times New Roman" w:cstheme="minorHAnsi"/>
        </w:rPr>
        <w:t> including requirements for environmentally controlled storage conditions.</w:t>
      </w:r>
      <w:r w:rsidRPr="00BB4E06">
        <w:rPr>
          <w:rFonts w:eastAsia="Times New Roman" w:cstheme="minorHAnsi"/>
          <w:bdr w:val="none" w:sz="0" w:space="0" w:color="auto" w:frame="1"/>
          <w:vertAlign w:val="superscript"/>
        </w:rPr>
        <w:t>2</w:t>
      </w:r>
      <w:r w:rsidRPr="00BB4E06">
        <w:rPr>
          <w:rFonts w:eastAsia="Times New Roman" w:cstheme="minorHAnsi"/>
        </w:rPr>
        <w:t> FDA retests the same lot annually or semi-annually to confirm the expiration date extension granted or to permit further extension.</w:t>
      </w:r>
      <w:r w:rsidRPr="00BB4E06">
        <w:rPr>
          <w:rFonts w:eastAsia="Times New Roman" w:cstheme="minorHAnsi"/>
          <w:bdr w:val="none" w:sz="0" w:space="0" w:color="auto" w:frame="1"/>
          <w:vertAlign w:val="superscript"/>
        </w:rPr>
        <w:t>2</w:t>
      </w:r>
      <w:r w:rsidRPr="00BB4E06">
        <w:rPr>
          <w:rFonts w:eastAsia="Times New Roman" w:cstheme="minorHAnsi"/>
        </w:rPr>
        <w:t> No product will be extended beyond 10 years from the original manufacturer’s expiration date.</w:t>
      </w:r>
      <w:r w:rsidRPr="00BB4E06">
        <w:rPr>
          <w:rFonts w:eastAsia="Times New Roman" w:cstheme="minorHAnsi"/>
          <w:bdr w:val="none" w:sz="0" w:space="0" w:color="auto" w:frame="1"/>
          <w:vertAlign w:val="superscript"/>
        </w:rPr>
        <w:t>4 </w:t>
      </w:r>
      <w:r w:rsidRPr="00BB4E06">
        <w:rPr>
          <w:rFonts w:eastAsia="Times New Roman" w:cstheme="minorHAnsi"/>
        </w:rPr>
        <w:t> </w:t>
      </w:r>
    </w:p>
    <w:p w14:paraId="367B510E" w14:textId="77777777" w:rsidR="00206E4B" w:rsidRPr="0013549C" w:rsidRDefault="00206E4B" w:rsidP="00843F34">
      <w:pPr>
        <w:spacing w:line="480" w:lineRule="auto"/>
        <w:textAlignment w:val="baseline"/>
        <w:rPr>
          <w:rFonts w:eastAsia="Times New Roman" w:cstheme="minorHAnsi"/>
        </w:rPr>
      </w:pPr>
    </w:p>
    <w:p w14:paraId="33E15463" w14:textId="77777777" w:rsidR="00206E4B" w:rsidRPr="00BB4E06" w:rsidRDefault="00206E4B" w:rsidP="00206E4B">
      <w:pPr>
        <w:pStyle w:val="ListParagraph"/>
        <w:numPr>
          <w:ilvl w:val="0"/>
          <w:numId w:val="2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Relabeling—</w:t>
      </w:r>
      <w:r w:rsidRPr="00BB4E06">
        <w:rPr>
          <w:rFonts w:eastAsia="Times New Roman" w:cstheme="minorHAnsi"/>
        </w:rPr>
        <w:t>Products granted an expiration date extension must be relabeled according to CGMPs and other FDA regulations.</w:t>
      </w:r>
      <w:r w:rsidRPr="00BB4E06">
        <w:rPr>
          <w:rFonts w:eastAsia="Times New Roman" w:cstheme="minorHAnsi"/>
          <w:bdr w:val="none" w:sz="0" w:space="0" w:color="auto" w:frame="1"/>
          <w:vertAlign w:val="superscript"/>
        </w:rPr>
        <w:t>2</w:t>
      </w:r>
      <w:r w:rsidRPr="00BB4E06">
        <w:rPr>
          <w:rFonts w:eastAsia="Times New Roman" w:cstheme="minorHAnsi"/>
        </w:rPr>
        <w:t> The term "labeling" means all labels and other writing, printing, or graphics on any item, container, wrapper, or accompaniment to the item such as an insert in the item’s packaging.</w:t>
      </w:r>
      <w:r w:rsidRPr="00BB4E06">
        <w:rPr>
          <w:rFonts w:eastAsia="Times New Roman" w:cstheme="minorHAnsi"/>
          <w:bdr w:val="none" w:sz="0" w:space="0" w:color="auto" w:frame="1"/>
          <w:vertAlign w:val="superscript"/>
        </w:rPr>
        <w:t>1</w:t>
      </w:r>
      <w:r w:rsidRPr="00BB4E06">
        <w:rPr>
          <w:rFonts w:eastAsia="Times New Roman" w:cstheme="minorHAnsi"/>
        </w:rPr>
        <w:t> The Federal Food, Drug, and Cosmetic Act (FD&amp;C Act) and FDA regulations set out the specific labeling information required for an item covered under the FD&amp;C Act. Items that are not relabeled are considered misbranded if they are sold, distributed, or dispensed and therefore are in violation of the FD&amp;C Act.</w:t>
      </w:r>
      <w:r w:rsidRPr="00BB4E06">
        <w:rPr>
          <w:rFonts w:eastAsia="Times New Roman" w:cstheme="minorHAnsi"/>
          <w:bdr w:val="none" w:sz="0" w:space="0" w:color="auto" w:frame="1"/>
          <w:vertAlign w:val="superscript"/>
        </w:rPr>
        <w:t>4</w:t>
      </w:r>
      <w:r w:rsidRPr="00BB4E06">
        <w:rPr>
          <w:rFonts w:eastAsia="Times New Roman" w:cstheme="minorHAnsi"/>
        </w:rPr>
        <w:t> However, the FDA can exercise its enforcement discretion in certain situations and has done so in the past.</w:t>
      </w:r>
      <w:r w:rsidRPr="00BB4E06">
        <w:rPr>
          <w:rFonts w:eastAsia="Times New Roman" w:cstheme="minorHAnsi"/>
          <w:bdr w:val="none" w:sz="0" w:space="0" w:color="auto" w:frame="1"/>
          <w:vertAlign w:val="superscript"/>
        </w:rPr>
        <w:t>8</w:t>
      </w:r>
      <w:r w:rsidRPr="00BB4E06">
        <w:rPr>
          <w:rFonts w:eastAsia="Times New Roman" w:cstheme="minorHAnsi"/>
        </w:rPr>
        <w:t xml:space="preserve"> In a June 2010 letter to the CDC, the FDA stated that it would not take enforcement action regarding relabeling requirements for specific antiviral drugs </w:t>
      </w:r>
      <w:r w:rsidRPr="00BB4E06">
        <w:rPr>
          <w:rFonts w:eastAsia="Times New Roman" w:cstheme="minorHAnsi"/>
        </w:rPr>
        <w:lastRenderedPageBreak/>
        <w:t>at non-SNS stockpiles (i.e., state, local, or regional caches) if shelf-life-extended items are held under their labeled storage conditions and are relabeled prior to dispensing.</w:t>
      </w:r>
      <w:r w:rsidRPr="00BB4E06">
        <w:rPr>
          <w:rFonts w:eastAsia="Times New Roman" w:cstheme="minorHAnsi"/>
          <w:bdr w:val="none" w:sz="0" w:space="0" w:color="auto" w:frame="1"/>
          <w:vertAlign w:val="superscript"/>
        </w:rPr>
        <w:t>8,9</w:t>
      </w:r>
      <w:r w:rsidRPr="00BB4E06">
        <w:rPr>
          <w:rFonts w:eastAsia="Times New Roman" w:cstheme="minorHAnsi"/>
        </w:rPr>
        <w:t> The FDA’s past exercise of its enforcement discretion related to relabeling of drugs in non-SNS stockpiles does not guarantee that it will act similarly in the future.</w:t>
      </w:r>
    </w:p>
    <w:p w14:paraId="666F2CAF" w14:textId="77777777" w:rsidR="00206E4B" w:rsidRPr="0013549C" w:rsidRDefault="00206E4B" w:rsidP="00843F34">
      <w:pPr>
        <w:spacing w:line="480" w:lineRule="auto"/>
        <w:textAlignment w:val="baseline"/>
        <w:rPr>
          <w:rFonts w:eastAsia="Times New Roman" w:cstheme="minorHAnsi"/>
        </w:rPr>
      </w:pPr>
    </w:p>
    <w:p w14:paraId="521223CB"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EUA and SLEP</w:t>
      </w:r>
    </w:p>
    <w:p w14:paraId="1CF40401"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An </w:t>
      </w:r>
      <w:hyperlink r:id="rId46" w:anchor="Emergency-Use" w:tooltip="Emergency Use Authorization (EUA)" w:history="1">
        <w:r w:rsidRPr="0013549C">
          <w:rPr>
            <w:rFonts w:eastAsia="Times New Roman" w:cstheme="minorHAnsi"/>
            <w:color w:val="0F88B8"/>
            <w:bdr w:val="none" w:sz="0" w:space="0" w:color="auto" w:frame="1"/>
          </w:rPr>
          <w:t>Emergency Use Authorization (EUA)</w:t>
        </w:r>
      </w:hyperlink>
      <w:r w:rsidRPr="0013549C">
        <w:rPr>
          <w:rFonts w:eastAsia="Times New Roman" w:cstheme="minorHAnsi"/>
          <w:color w:val="737373"/>
        </w:rPr>
        <w:t> </w:t>
      </w:r>
      <w:r w:rsidRPr="0013549C">
        <w:rPr>
          <w:rFonts w:eastAsia="Times New Roman" w:cstheme="minorHAnsi"/>
        </w:rPr>
        <w:t>is a type of permission under FD&amp;C Act §564 that allows for the use of an unapproved medical product or an unapproved use of an approved medical product (drugs, biologics [e.g., vaccines], and devices [e.g., diagnostics]) during certain types of emergencies. Products extended under SLEP through the exercise of FDA enforcement discretion receive a new expiration date that is different than the one originally contained on the product’s labeling and is considered a deviation from the item’s prior approved use. Similarly, some SNS products may have been stored in conditions that exceeded labeled temperature ranges. Currently, an EUA is required to ensure that SLEP-extended drugs are not in violation of the FD&amp;C Act. (See also </w:t>
      </w:r>
      <w:hyperlink r:id="rId47" w:tooltip="ASTHO Current Issues and Updates—Summer 2011—Evolving Policy Issues" w:history="1">
        <w:r w:rsidRPr="0013549C">
          <w:rPr>
            <w:rFonts w:eastAsia="Times New Roman" w:cstheme="minorHAnsi"/>
            <w:color w:val="0F88B8"/>
            <w:bdr w:val="none" w:sz="0" w:space="0" w:color="auto" w:frame="1"/>
          </w:rPr>
          <w:t>ASTHO Current Issues and Updates—Summer 2011—Evolving Policy Issues</w:t>
        </w:r>
      </w:hyperlink>
      <w:r w:rsidRPr="0013549C">
        <w:rPr>
          <w:rFonts w:eastAsia="Times New Roman" w:cstheme="minorHAnsi"/>
        </w:rPr>
        <w:t>.) During the H1N1 influenza pandemic in 2009, Tamiflu (in capsules and suspension form) that was held in the SNS, much of which had been tested and extended under SLEP, was distributed to states and localities.</w:t>
      </w:r>
      <w:r w:rsidRPr="0013549C">
        <w:rPr>
          <w:rFonts w:eastAsia="Times New Roman" w:cstheme="minorHAnsi"/>
          <w:bdr w:val="none" w:sz="0" w:space="0" w:color="auto" w:frame="1"/>
          <w:vertAlign w:val="superscript"/>
        </w:rPr>
        <w:t>2</w:t>
      </w:r>
      <w:r w:rsidRPr="0013549C">
        <w:rPr>
          <w:rFonts w:eastAsia="Times New Roman" w:cstheme="minorHAnsi"/>
        </w:rPr>
        <w:t>The FDA issued an EUA that allowed the use of these products beyond the labeled expiration date without requiring that they be relabeled.</w:t>
      </w:r>
    </w:p>
    <w:p w14:paraId="584A6B5C" w14:textId="77777777" w:rsidR="00206E4B" w:rsidRDefault="00206E4B" w:rsidP="00843F34">
      <w:pPr>
        <w:spacing w:line="480" w:lineRule="auto"/>
        <w:rPr>
          <w:rFonts w:eastAsia="Times New Roman" w:cstheme="minorHAnsi"/>
          <w:b/>
          <w:bCs/>
          <w:sz w:val="24"/>
          <w:szCs w:val="24"/>
        </w:rPr>
      </w:pPr>
    </w:p>
    <w:p w14:paraId="3A058FD3" w14:textId="77777777" w:rsidR="00206E4B" w:rsidRPr="0013549C" w:rsidRDefault="00206E4B" w:rsidP="00843F34">
      <w:pPr>
        <w:spacing w:line="480" w:lineRule="auto"/>
        <w:rPr>
          <w:rFonts w:eastAsia="Times New Roman" w:cstheme="minorHAnsi"/>
          <w:b/>
          <w:bCs/>
          <w:sz w:val="24"/>
          <w:szCs w:val="24"/>
        </w:rPr>
      </w:pPr>
      <w:r w:rsidRPr="0013549C">
        <w:rPr>
          <w:rFonts w:eastAsia="Times New Roman" w:cstheme="minorHAnsi"/>
          <w:b/>
          <w:bCs/>
          <w:sz w:val="24"/>
          <w:szCs w:val="24"/>
        </w:rPr>
        <w:t>State Stockpiles</w:t>
      </w:r>
    </w:p>
    <w:p w14:paraId="026B5E9C" w14:textId="77777777" w:rsidR="00206E4B" w:rsidRPr="0013549C"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 xml:space="preserve">States have developed and maintained their own stockpiles of medicines and supplies in addition to those provided by the federal government through the SNS. In preparation for a pandemic, the federal government offered states a 25 percent subsidy to purchase additional antivirals through the SNS program. However, stockpiles held by states, whether purchased with state or federal funds, are not </w:t>
      </w:r>
      <w:r w:rsidRPr="0013549C">
        <w:rPr>
          <w:rFonts w:eastAsia="Times New Roman" w:cstheme="minorHAnsi"/>
        </w:rPr>
        <w:lastRenderedPageBreak/>
        <w:t>eligible for SLEP.</w:t>
      </w:r>
      <w:r w:rsidRPr="0013549C">
        <w:rPr>
          <w:rFonts w:eastAsia="Times New Roman" w:cstheme="minorHAnsi"/>
          <w:bdr w:val="none" w:sz="0" w:space="0" w:color="auto" w:frame="1"/>
          <w:vertAlign w:val="superscript"/>
        </w:rPr>
        <w:t>10</w:t>
      </w:r>
      <w:r w:rsidRPr="0013549C">
        <w:rPr>
          <w:rFonts w:eastAsia="Times New Roman" w:cstheme="minorHAnsi"/>
        </w:rPr>
        <w:t> In 2006, the</w:t>
      </w:r>
      <w:r w:rsidRPr="0013549C">
        <w:rPr>
          <w:rFonts w:eastAsia="Times New Roman" w:cstheme="minorHAnsi"/>
          <w:color w:val="737373"/>
        </w:rPr>
        <w:t> </w:t>
      </w:r>
      <w:hyperlink r:id="rId48" w:tooltip="National Strategy for Pandemic Influenza: Implementation Plan" w:history="1">
        <w:r w:rsidRPr="0013549C">
          <w:rPr>
            <w:rFonts w:eastAsia="Times New Roman" w:cstheme="minorHAnsi"/>
            <w:color w:val="0F88B8"/>
            <w:bdr w:val="none" w:sz="0" w:space="0" w:color="auto" w:frame="1"/>
          </w:rPr>
          <w:t>National Strategy for Pandemic Influenza: Implementation Plan</w:t>
        </w:r>
      </w:hyperlink>
      <w:r w:rsidRPr="0013549C">
        <w:rPr>
          <w:rFonts w:eastAsia="Times New Roman" w:cstheme="minorHAnsi"/>
          <w:color w:val="737373"/>
        </w:rPr>
        <w:t> </w:t>
      </w:r>
      <w:r w:rsidRPr="0013549C">
        <w:rPr>
          <w:rFonts w:eastAsia="Times New Roman" w:cstheme="minorHAnsi"/>
        </w:rPr>
        <w:t>directed the HHS, the DoD, the VA, and the states to explore expanding SLEP to state stockpiles.</w:t>
      </w:r>
      <w:r w:rsidRPr="0013549C">
        <w:rPr>
          <w:rFonts w:eastAsia="Times New Roman" w:cstheme="minorHAnsi"/>
          <w:bdr w:val="none" w:sz="0" w:space="0" w:color="auto" w:frame="1"/>
          <w:vertAlign w:val="superscript"/>
        </w:rPr>
        <w:t>11</w:t>
      </w:r>
      <w:r w:rsidRPr="0013549C">
        <w:rPr>
          <w:rFonts w:eastAsia="Times New Roman" w:cstheme="minorHAnsi"/>
        </w:rPr>
        <w:t> Similarly, in a report about antiviral strategies for a pandemic, the Institute of Medicine recommended that the SLEP program be extended to other public and private stockpiles.</w:t>
      </w:r>
      <w:r w:rsidRPr="0013549C">
        <w:rPr>
          <w:rFonts w:eastAsia="Times New Roman" w:cstheme="minorHAnsi"/>
          <w:bdr w:val="none" w:sz="0" w:space="0" w:color="auto" w:frame="1"/>
          <w:vertAlign w:val="superscript"/>
        </w:rPr>
        <w:t>10</w:t>
      </w:r>
      <w:r w:rsidRPr="0013549C">
        <w:rPr>
          <w:rFonts w:eastAsia="Times New Roman" w:cstheme="minorHAnsi"/>
        </w:rPr>
        <w:t>That report also suggested using the information gained through SLEP to facilitate the use of properly stored recently expired drugs held outside SLEP.</w:t>
      </w:r>
      <w:r w:rsidRPr="0013549C">
        <w:rPr>
          <w:rFonts w:eastAsia="Times New Roman" w:cstheme="minorHAnsi"/>
          <w:bdr w:val="none" w:sz="0" w:space="0" w:color="auto" w:frame="1"/>
          <w:vertAlign w:val="superscript"/>
        </w:rPr>
        <w:t>10</w:t>
      </w:r>
      <w:r w:rsidRPr="0013549C">
        <w:rPr>
          <w:rFonts w:eastAsia="Times New Roman" w:cstheme="minorHAnsi"/>
        </w:rPr>
        <w:t>These recommendations acknowledged the high cost of replacing expired stockpiles and the potential scarcity of the drugs during a severe pandemic as important reasons for seeking to extend the drugs’ expiration dates.</w:t>
      </w:r>
      <w:r w:rsidRPr="0013549C">
        <w:rPr>
          <w:rFonts w:eastAsia="Times New Roman" w:cstheme="minorHAnsi"/>
          <w:bdr w:val="none" w:sz="0" w:space="0" w:color="auto" w:frame="1"/>
          <w:vertAlign w:val="superscript"/>
        </w:rPr>
        <w:t>10 </w:t>
      </w:r>
      <w:r w:rsidRPr="0013549C">
        <w:rPr>
          <w:rFonts w:eastAsia="Times New Roman" w:cstheme="minorHAnsi"/>
        </w:rPr>
        <w:t> </w:t>
      </w:r>
    </w:p>
    <w:p w14:paraId="6C1928B0" w14:textId="77777777" w:rsidR="00206E4B" w:rsidRDefault="00206E4B" w:rsidP="00843F34">
      <w:pPr>
        <w:spacing w:line="480" w:lineRule="auto"/>
        <w:rPr>
          <w:rFonts w:eastAsia="Times New Roman" w:cstheme="minorHAnsi"/>
          <w:b/>
          <w:bCs/>
        </w:rPr>
      </w:pPr>
    </w:p>
    <w:p w14:paraId="1C3AD39D"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Incorporating States into SLEP</w:t>
      </w:r>
    </w:p>
    <w:p w14:paraId="17D4F931" w14:textId="77777777" w:rsidR="00206E4B"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An FDA-led interagency workgroup that included the DoD, the CDC, and the VA determined that including state antiviral stockpiles in SLEP is not currently feasible.</w:t>
      </w:r>
      <w:r w:rsidRPr="0013549C">
        <w:rPr>
          <w:rFonts w:eastAsia="Times New Roman" w:cstheme="minorHAnsi"/>
          <w:bdr w:val="none" w:sz="0" w:space="0" w:color="auto" w:frame="1"/>
          <w:vertAlign w:val="superscript"/>
        </w:rPr>
        <w:t>2</w:t>
      </w:r>
      <w:r w:rsidRPr="0013549C">
        <w:rPr>
          <w:rFonts w:eastAsia="Times New Roman" w:cstheme="minorHAnsi"/>
        </w:rPr>
        <w:t> Reasons cited for the decision included programmatic, resource, quality, and legal considerations:</w:t>
      </w:r>
    </w:p>
    <w:p w14:paraId="60688765" w14:textId="77777777" w:rsidR="00206E4B" w:rsidRPr="0013549C" w:rsidRDefault="00206E4B" w:rsidP="00843F34">
      <w:pPr>
        <w:shd w:val="clear" w:color="auto" w:fill="FFFFFF"/>
        <w:spacing w:line="480" w:lineRule="auto"/>
        <w:textAlignment w:val="baseline"/>
        <w:rPr>
          <w:rFonts w:eastAsia="Times New Roman" w:cstheme="minorHAnsi"/>
        </w:rPr>
      </w:pPr>
    </w:p>
    <w:p w14:paraId="251F092E" w14:textId="77777777" w:rsidR="00206E4B" w:rsidRPr="00BB4E06" w:rsidRDefault="00206E4B" w:rsidP="00206E4B">
      <w:pPr>
        <w:pStyle w:val="ListParagraph"/>
        <w:numPr>
          <w:ilvl w:val="0"/>
          <w:numId w:val="27"/>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Programmatic Issues—</w:t>
      </w:r>
      <w:r w:rsidRPr="00BB4E06">
        <w:rPr>
          <w:rFonts w:eastAsia="Times New Roman" w:cstheme="minorHAnsi"/>
        </w:rPr>
        <w:t>At the program level, a large increase in the number of SLEP participants could adversely affect program efficiency.</w:t>
      </w:r>
      <w:r w:rsidRPr="00BB4E06">
        <w:rPr>
          <w:rFonts w:eastAsia="Times New Roman" w:cstheme="minorHAnsi"/>
          <w:bdr w:val="none" w:sz="0" w:space="0" w:color="auto" w:frame="1"/>
          <w:vertAlign w:val="superscript"/>
        </w:rPr>
        <w:t>2</w:t>
      </w:r>
      <w:r w:rsidRPr="00BB4E06">
        <w:rPr>
          <w:rFonts w:eastAsia="Times New Roman" w:cstheme="minorHAnsi"/>
        </w:rPr>
        <w:t> To address efficiency concerns, the workgroup suggested that consolidating additional SLEP participants would facilitate the collection of samples and funding.</w:t>
      </w:r>
      <w:r w:rsidRPr="00BB4E06">
        <w:rPr>
          <w:rFonts w:eastAsia="Times New Roman" w:cstheme="minorHAnsi"/>
          <w:bdr w:val="none" w:sz="0" w:space="0" w:color="auto" w:frame="1"/>
          <w:vertAlign w:val="superscript"/>
        </w:rPr>
        <w:t>2</w:t>
      </w:r>
      <w:r w:rsidRPr="00BB4E06">
        <w:rPr>
          <w:rFonts w:eastAsia="Times New Roman" w:cstheme="minorHAnsi"/>
        </w:rPr>
        <w:t>  </w:t>
      </w:r>
    </w:p>
    <w:p w14:paraId="32AFFB3C" w14:textId="77777777" w:rsidR="00206E4B" w:rsidRPr="0013549C" w:rsidRDefault="00206E4B" w:rsidP="00843F34">
      <w:pPr>
        <w:spacing w:line="480" w:lineRule="auto"/>
        <w:textAlignment w:val="baseline"/>
        <w:rPr>
          <w:rFonts w:eastAsia="Times New Roman" w:cstheme="minorHAnsi"/>
        </w:rPr>
      </w:pPr>
    </w:p>
    <w:p w14:paraId="2445F840" w14:textId="77777777" w:rsidR="00206E4B" w:rsidRPr="00BB4E06" w:rsidRDefault="00206E4B" w:rsidP="00206E4B">
      <w:pPr>
        <w:pStyle w:val="ListParagraph"/>
        <w:numPr>
          <w:ilvl w:val="0"/>
          <w:numId w:val="27"/>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Resource Issues—</w:t>
      </w:r>
      <w:r w:rsidRPr="00BB4E06">
        <w:rPr>
          <w:rFonts w:eastAsia="Times New Roman" w:cstheme="minorHAnsi"/>
        </w:rPr>
        <w:t>Expanding SLEP to state stockpiles would require significant additional funding at both the federal and state levels. The DMMPO and the FDA would require additional funding and personnel to accomplish SLEP administration and testing above participant fees collected.</w:t>
      </w:r>
      <w:r w:rsidRPr="00BB4E06">
        <w:rPr>
          <w:rFonts w:eastAsia="Times New Roman" w:cstheme="minorHAnsi"/>
          <w:bdr w:val="none" w:sz="0" w:space="0" w:color="auto" w:frame="1"/>
          <w:vertAlign w:val="superscript"/>
        </w:rPr>
        <w:t>2</w:t>
      </w:r>
      <w:r w:rsidRPr="00BB4E06">
        <w:rPr>
          <w:rFonts w:eastAsia="Times New Roman" w:cstheme="minorHAnsi"/>
        </w:rPr>
        <w:t> Like the current federal participants in SLEP, state and local governments would have to pay for initial and ongoing testing by SLEP.</w:t>
      </w:r>
    </w:p>
    <w:p w14:paraId="2B5185B8" w14:textId="77777777" w:rsidR="00206E4B" w:rsidRPr="0013549C" w:rsidRDefault="00206E4B" w:rsidP="00843F34">
      <w:pPr>
        <w:spacing w:line="480" w:lineRule="auto"/>
        <w:textAlignment w:val="baseline"/>
        <w:rPr>
          <w:rFonts w:eastAsia="Times New Roman" w:cstheme="minorHAnsi"/>
        </w:rPr>
      </w:pPr>
    </w:p>
    <w:p w14:paraId="7183AED8" w14:textId="77777777" w:rsidR="00206E4B" w:rsidRPr="00BB4E06" w:rsidRDefault="00206E4B" w:rsidP="00206E4B">
      <w:pPr>
        <w:pStyle w:val="ListParagraph"/>
        <w:numPr>
          <w:ilvl w:val="0"/>
          <w:numId w:val="27"/>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Quality Issues—</w:t>
      </w:r>
      <w:r w:rsidRPr="00BB4E06">
        <w:rPr>
          <w:rFonts w:eastAsia="Times New Roman" w:cstheme="minorHAnsi"/>
        </w:rPr>
        <w:t>State and local stockpiles would be required to have quality control programs in place that would address issues such as facility design, environmental conditions for stored materiel, maintenance, and security.</w:t>
      </w:r>
      <w:r w:rsidRPr="00BB4E06">
        <w:rPr>
          <w:rFonts w:eastAsia="Times New Roman" w:cstheme="minorHAnsi"/>
          <w:bdr w:val="none" w:sz="0" w:space="0" w:color="auto" w:frame="1"/>
          <w:vertAlign w:val="superscript"/>
        </w:rPr>
        <w:t>2</w:t>
      </w:r>
      <w:r w:rsidRPr="00BB4E06">
        <w:rPr>
          <w:rFonts w:eastAsia="Times New Roman" w:cstheme="minorHAnsi"/>
        </w:rPr>
        <w:t> State and local programs would also need the capacity to label and relabel shelf-life-extended products and to conduct recordkeeping, tracking, and monitoring activities on the stockpiled materiel.</w:t>
      </w:r>
      <w:r w:rsidRPr="00BB4E06">
        <w:rPr>
          <w:rFonts w:eastAsia="Times New Roman" w:cstheme="minorHAnsi"/>
          <w:bdr w:val="none" w:sz="0" w:space="0" w:color="auto" w:frame="1"/>
          <w:vertAlign w:val="superscript"/>
        </w:rPr>
        <w:t>2</w:t>
      </w:r>
      <w:r w:rsidRPr="00BB4E06">
        <w:rPr>
          <w:rFonts w:eastAsia="Times New Roman" w:cstheme="minorHAnsi"/>
        </w:rPr>
        <w:t> The workgroup also noted that the federal government would need to monitor state stockpile program compliance through regular inspections.</w:t>
      </w:r>
      <w:r w:rsidRPr="00BB4E06">
        <w:rPr>
          <w:rFonts w:eastAsia="Times New Roman" w:cstheme="minorHAnsi"/>
          <w:bdr w:val="none" w:sz="0" w:space="0" w:color="auto" w:frame="1"/>
          <w:vertAlign w:val="superscript"/>
        </w:rPr>
        <w:t>2 </w:t>
      </w:r>
      <w:r w:rsidRPr="00BB4E06">
        <w:rPr>
          <w:rFonts w:eastAsia="Times New Roman" w:cstheme="minorHAnsi"/>
        </w:rPr>
        <w:t> </w:t>
      </w:r>
    </w:p>
    <w:p w14:paraId="63D78DDA" w14:textId="77777777" w:rsidR="00206E4B" w:rsidRPr="0013549C" w:rsidRDefault="00206E4B" w:rsidP="00843F34">
      <w:pPr>
        <w:spacing w:line="480" w:lineRule="auto"/>
        <w:textAlignment w:val="baseline"/>
        <w:rPr>
          <w:rFonts w:eastAsia="Times New Roman" w:cstheme="minorHAnsi"/>
        </w:rPr>
      </w:pPr>
    </w:p>
    <w:p w14:paraId="5F69C7EC" w14:textId="77777777" w:rsidR="00206E4B" w:rsidRPr="00BB4E06" w:rsidRDefault="00206E4B" w:rsidP="00206E4B">
      <w:pPr>
        <w:pStyle w:val="ListParagraph"/>
        <w:numPr>
          <w:ilvl w:val="0"/>
          <w:numId w:val="27"/>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Legal Issues—</w:t>
      </w:r>
      <w:r w:rsidRPr="00BB4E06">
        <w:rPr>
          <w:rFonts w:eastAsia="Times New Roman" w:cstheme="minorHAnsi"/>
        </w:rPr>
        <w:t>The current SLEP program is operated under the enforcement discretion of the FDA; the SLEP program is not expressly authorized in statute or regulation. As such, there will be concerns over potential liability for entities (e.g., state/local governments) participating in SLEP.2 Before SLEP could be extended to the states, an appropriate mechanism for incorporating states into SLEP would have to be determined</w:t>
      </w:r>
      <w:r w:rsidRPr="00BB4E06">
        <w:rPr>
          <w:rFonts w:eastAsia="Times New Roman" w:cstheme="minorHAnsi"/>
          <w:bdr w:val="none" w:sz="0" w:space="0" w:color="auto" w:frame="1"/>
          <w:vertAlign w:val="superscript"/>
        </w:rPr>
        <w:t>1</w:t>
      </w:r>
      <w:r w:rsidRPr="00BB4E06">
        <w:rPr>
          <w:rFonts w:eastAsia="Times New Roman" w:cstheme="minorHAnsi"/>
        </w:rPr>
        <w:t> and liability concerns evaluated and addressed.</w:t>
      </w:r>
    </w:p>
    <w:p w14:paraId="78279FDE" w14:textId="77777777" w:rsidR="00206E4B" w:rsidRPr="0013549C" w:rsidRDefault="00206E4B" w:rsidP="00843F34">
      <w:pPr>
        <w:spacing w:line="480" w:lineRule="auto"/>
        <w:textAlignment w:val="baseline"/>
        <w:rPr>
          <w:rFonts w:eastAsia="Times New Roman" w:cstheme="minorHAnsi"/>
        </w:rPr>
      </w:pPr>
    </w:p>
    <w:p w14:paraId="232D0083" w14:textId="77777777" w:rsidR="00206E4B" w:rsidRPr="0013549C" w:rsidRDefault="00206E4B" w:rsidP="00843F34">
      <w:pPr>
        <w:spacing w:line="480" w:lineRule="auto"/>
        <w:rPr>
          <w:rFonts w:eastAsia="Times New Roman" w:cstheme="minorHAnsi"/>
          <w:b/>
          <w:bCs/>
        </w:rPr>
      </w:pPr>
      <w:r w:rsidRPr="0013549C">
        <w:rPr>
          <w:rFonts w:eastAsia="Times New Roman" w:cstheme="minorHAnsi"/>
          <w:b/>
          <w:bCs/>
        </w:rPr>
        <w:t>Developing a SLEP-Like Program for States</w:t>
      </w:r>
    </w:p>
    <w:p w14:paraId="1079549F" w14:textId="77777777" w:rsidR="00206E4B" w:rsidRDefault="00206E4B" w:rsidP="00843F34">
      <w:pPr>
        <w:shd w:val="clear" w:color="auto" w:fill="FFFFFF"/>
        <w:spacing w:line="480" w:lineRule="auto"/>
        <w:textAlignment w:val="baseline"/>
        <w:rPr>
          <w:rFonts w:eastAsia="Times New Roman" w:cstheme="minorHAnsi"/>
        </w:rPr>
      </w:pPr>
      <w:r w:rsidRPr="0013549C">
        <w:rPr>
          <w:rFonts w:eastAsia="Times New Roman" w:cstheme="minorHAnsi"/>
        </w:rPr>
        <w:t>In addition to evaluating the feasibility of including states in SLEP, the HHS has been analyzing the feasibility of creating a separate SLEP-like program for extending state stockpiles. The</w:t>
      </w:r>
      <w:r w:rsidRPr="0013549C">
        <w:rPr>
          <w:rFonts w:eastAsia="Times New Roman" w:cstheme="minorHAnsi"/>
          <w:color w:val="737373"/>
        </w:rPr>
        <w:t> </w:t>
      </w:r>
      <w:hyperlink r:id="rId49" w:anchor="Biomedical-Advanced" w:tooltip="Biomedical Advanced Research and Development Authority (BARDA)" w:history="1">
        <w:r w:rsidRPr="0013549C">
          <w:rPr>
            <w:rFonts w:eastAsia="Times New Roman" w:cstheme="minorHAnsi"/>
            <w:color w:val="0F88B8"/>
            <w:bdr w:val="none" w:sz="0" w:space="0" w:color="auto" w:frame="1"/>
          </w:rPr>
          <w:t>Biomedical Advanced Research and Development Authority (BARDA)</w:t>
        </w:r>
      </w:hyperlink>
      <w:r w:rsidRPr="0013549C">
        <w:rPr>
          <w:rFonts w:eastAsia="Times New Roman" w:cstheme="minorHAnsi"/>
          <w:color w:val="737373"/>
        </w:rPr>
        <w:t> </w:t>
      </w:r>
      <w:r w:rsidRPr="0013549C">
        <w:rPr>
          <w:rFonts w:eastAsia="Times New Roman" w:cstheme="minorHAnsi"/>
        </w:rPr>
        <w:t>within the </w:t>
      </w:r>
      <w:hyperlink r:id="rId50" w:anchor="HHS-Office" w:tooltip="HHS Office of the Assistant Secretary for Preparedness and Response (ASPR)" w:history="1">
        <w:r w:rsidRPr="0013549C">
          <w:rPr>
            <w:rFonts w:eastAsia="Times New Roman" w:cstheme="minorHAnsi"/>
            <w:color w:val="0F88B8"/>
            <w:bdr w:val="none" w:sz="0" w:space="0" w:color="auto" w:frame="1"/>
          </w:rPr>
          <w:t>HHS Office of the Assistant Secretary for Preparedness and Response (ASPR)</w:t>
        </w:r>
      </w:hyperlink>
      <w:r w:rsidRPr="0013549C">
        <w:rPr>
          <w:rFonts w:eastAsia="Times New Roman" w:cstheme="minorHAnsi"/>
          <w:color w:val="737373"/>
        </w:rPr>
        <w:t> </w:t>
      </w:r>
      <w:r w:rsidRPr="0013549C">
        <w:rPr>
          <w:rFonts w:eastAsia="Times New Roman" w:cstheme="minorHAnsi"/>
        </w:rPr>
        <w:t>has been evaluating the infrastructure necessary to support a new program for states and analyzing the comparative cost effectiveness of shelf-life testing to repurchasing for state inventories.</w:t>
      </w:r>
      <w:r w:rsidRPr="0013549C">
        <w:rPr>
          <w:rFonts w:eastAsia="Times New Roman" w:cstheme="minorHAnsi"/>
          <w:bdr w:val="none" w:sz="0" w:space="0" w:color="auto" w:frame="1"/>
          <w:vertAlign w:val="superscript"/>
        </w:rPr>
        <w:t>12</w:t>
      </w:r>
      <w:r w:rsidRPr="0013549C">
        <w:rPr>
          <w:rFonts w:eastAsia="Times New Roman" w:cstheme="minorHAnsi"/>
        </w:rPr>
        <w:t> Cost factors to be considered include laboratory testing, storage site inspection, state personnel, relabeling for extended products, destruction for products not extended, and transportation for products being tested or destroyed.</w:t>
      </w:r>
      <w:r w:rsidRPr="0013549C">
        <w:rPr>
          <w:rFonts w:eastAsia="Times New Roman" w:cstheme="minorHAnsi"/>
          <w:bdr w:val="none" w:sz="0" w:space="0" w:color="auto" w:frame="1"/>
          <w:vertAlign w:val="superscript"/>
        </w:rPr>
        <w:t>12</w:t>
      </w:r>
      <w:r w:rsidRPr="0013549C">
        <w:rPr>
          <w:rFonts w:eastAsia="Times New Roman" w:cstheme="minorHAnsi"/>
        </w:rPr>
        <w:t xml:space="preserve"> The HHS, BARDA, and the states </w:t>
      </w:r>
      <w:r w:rsidRPr="0013549C">
        <w:rPr>
          <w:rFonts w:eastAsia="Times New Roman" w:cstheme="minorHAnsi"/>
        </w:rPr>
        <w:lastRenderedPageBreak/>
        <w:t>conducted a detailed analysis with state-specific data in 2011, but no results have been released as of March 2012.</w:t>
      </w:r>
      <w:r w:rsidRPr="0013549C">
        <w:rPr>
          <w:rFonts w:eastAsia="Times New Roman" w:cstheme="minorHAnsi"/>
          <w:bdr w:val="none" w:sz="0" w:space="0" w:color="auto" w:frame="1"/>
          <w:vertAlign w:val="superscript"/>
        </w:rPr>
        <w:t>12 </w:t>
      </w:r>
      <w:r w:rsidRPr="0013549C">
        <w:rPr>
          <w:rFonts w:eastAsia="Times New Roman" w:cstheme="minorHAnsi"/>
        </w:rPr>
        <w:t> </w:t>
      </w:r>
    </w:p>
    <w:p w14:paraId="19AFFFA0" w14:textId="77777777" w:rsidR="00206E4B" w:rsidRPr="0013549C" w:rsidRDefault="00206E4B" w:rsidP="00843F34">
      <w:pPr>
        <w:shd w:val="clear" w:color="auto" w:fill="FFFFFF"/>
        <w:spacing w:line="480" w:lineRule="auto"/>
        <w:textAlignment w:val="baseline"/>
        <w:rPr>
          <w:rFonts w:eastAsia="Times New Roman" w:cstheme="minorHAnsi"/>
        </w:rPr>
      </w:pPr>
    </w:p>
    <w:p w14:paraId="0FEE68E1" w14:textId="77777777" w:rsidR="00206E4B" w:rsidRPr="0013549C" w:rsidRDefault="00206E4B"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How the Program Affects States</w:t>
      </w:r>
    </w:p>
    <w:p w14:paraId="483A4BB7" w14:textId="77777777" w:rsidR="00206E4B" w:rsidRDefault="00206E4B"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SLEP currently impacts states primarily through SNS deployments containing medicines that have received, or subsequently receive, shelf-life extensions. Shelf-life-extended products that have an expired label date or that have been relabeled may cause concern among healthcare providers and the public about the safety and efficacy of the extended items. Liability fears can arise among healthcare providers and others dispensing the shelf-life-extended items. Furthermore, complications can arise in determining what products are eligible for SLEP when SNS assets have been mixed with non-SNS assets in state, local, or regional stockpiles.</w:t>
      </w:r>
    </w:p>
    <w:p w14:paraId="7F778C5C" w14:textId="77777777" w:rsidR="00206E4B" w:rsidRPr="0013549C" w:rsidRDefault="00206E4B" w:rsidP="00843F34">
      <w:pPr>
        <w:shd w:val="clear" w:color="auto" w:fill="FFFFFF"/>
        <w:spacing w:after="225" w:line="480" w:lineRule="auto"/>
        <w:textAlignment w:val="baseline"/>
        <w:rPr>
          <w:rFonts w:eastAsia="Times New Roman" w:cstheme="minorHAnsi"/>
        </w:rPr>
      </w:pPr>
    </w:p>
    <w:p w14:paraId="2850A04E" w14:textId="77777777" w:rsidR="00206E4B" w:rsidRPr="0013549C" w:rsidRDefault="00206E4B"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While extending expiration dates potentially saves money for states by reducing the frequency of replacing expired stockpiled medicines, if state stockpiles are eventually included in the federal SLEP or a similar program for states, states will also have to consider the logistical, personnel, and financial implications of participating in such an initiative.</w:t>
      </w:r>
    </w:p>
    <w:p w14:paraId="3822A5FB" w14:textId="77777777" w:rsidR="00206E4B" w:rsidRPr="0013549C" w:rsidRDefault="00206E4B" w:rsidP="00843F34">
      <w:pPr>
        <w:shd w:val="clear" w:color="auto" w:fill="FFFFFF"/>
        <w:spacing w:after="225" w:line="480" w:lineRule="auto"/>
        <w:textAlignment w:val="baseline"/>
        <w:rPr>
          <w:rFonts w:eastAsia="Times New Roman" w:cstheme="minorHAnsi"/>
          <w:b/>
          <w:bCs/>
          <w:color w:val="3C3030"/>
          <w:sz w:val="24"/>
          <w:szCs w:val="24"/>
        </w:rPr>
      </w:pPr>
      <w:r w:rsidRPr="0013549C">
        <w:rPr>
          <w:rFonts w:eastAsia="Times New Roman" w:cstheme="minorHAnsi"/>
          <w:b/>
          <w:bCs/>
          <w:color w:val="3C3030"/>
          <w:sz w:val="24"/>
          <w:szCs w:val="24"/>
        </w:rPr>
        <w:t>Practice Notes </w:t>
      </w:r>
    </w:p>
    <w:p w14:paraId="24465944" w14:textId="77777777" w:rsidR="00206E4B" w:rsidRPr="00843F34" w:rsidRDefault="00206E4B" w:rsidP="00206E4B">
      <w:pPr>
        <w:pStyle w:val="ListParagraph"/>
        <w:numPr>
          <w:ilvl w:val="0"/>
          <w:numId w:val="28"/>
        </w:numPr>
        <w:spacing w:line="480" w:lineRule="auto"/>
        <w:ind w:left="360"/>
        <w:textAlignment w:val="baseline"/>
        <w:rPr>
          <w:rFonts w:eastAsia="Times New Roman" w:cstheme="minorHAnsi"/>
        </w:rPr>
      </w:pPr>
      <w:r w:rsidRPr="00843F34">
        <w:rPr>
          <w:rFonts w:eastAsia="Times New Roman" w:cstheme="minorHAnsi"/>
        </w:rPr>
        <w:t>Identify the agency and office responsible for managing your state’s SNS and other medical stockpiles.</w:t>
      </w:r>
    </w:p>
    <w:p w14:paraId="39DB3954" w14:textId="77777777" w:rsidR="00206E4B" w:rsidRPr="0013549C" w:rsidRDefault="00206E4B" w:rsidP="00843F34">
      <w:pPr>
        <w:spacing w:line="480" w:lineRule="auto"/>
        <w:textAlignment w:val="baseline"/>
        <w:rPr>
          <w:rFonts w:eastAsia="Times New Roman" w:cstheme="minorHAnsi"/>
        </w:rPr>
      </w:pPr>
    </w:p>
    <w:p w14:paraId="2A332B20" w14:textId="77777777" w:rsidR="00206E4B" w:rsidRPr="00843F34" w:rsidRDefault="00206E4B" w:rsidP="00206E4B">
      <w:pPr>
        <w:pStyle w:val="ListParagraph"/>
        <w:numPr>
          <w:ilvl w:val="0"/>
          <w:numId w:val="28"/>
        </w:numPr>
        <w:spacing w:line="480" w:lineRule="auto"/>
        <w:ind w:left="360"/>
        <w:textAlignment w:val="baseline"/>
        <w:rPr>
          <w:rFonts w:eastAsia="Times New Roman" w:cstheme="minorHAnsi"/>
        </w:rPr>
      </w:pPr>
      <w:r w:rsidRPr="00843F34">
        <w:rPr>
          <w:rFonts w:eastAsia="Times New Roman" w:cstheme="minorHAnsi"/>
        </w:rPr>
        <w:t>Understand the systems your state has in place to deal with shelf-life-extended products, including storage, relabeling, and dispensing.</w:t>
      </w:r>
    </w:p>
    <w:p w14:paraId="080A3BC7" w14:textId="77777777" w:rsidR="00206E4B" w:rsidRPr="0013549C" w:rsidRDefault="00206E4B" w:rsidP="00843F34">
      <w:pPr>
        <w:spacing w:line="480" w:lineRule="auto"/>
        <w:textAlignment w:val="baseline"/>
        <w:rPr>
          <w:rFonts w:eastAsia="Times New Roman" w:cstheme="minorHAnsi"/>
        </w:rPr>
      </w:pPr>
    </w:p>
    <w:p w14:paraId="0BA3E9E8" w14:textId="77777777" w:rsidR="00206E4B" w:rsidRPr="00843F34" w:rsidRDefault="00206E4B" w:rsidP="00206E4B">
      <w:pPr>
        <w:pStyle w:val="ListParagraph"/>
        <w:numPr>
          <w:ilvl w:val="0"/>
          <w:numId w:val="28"/>
        </w:numPr>
        <w:spacing w:line="480" w:lineRule="auto"/>
        <w:ind w:left="360"/>
        <w:textAlignment w:val="baseline"/>
        <w:rPr>
          <w:rFonts w:eastAsia="Times New Roman" w:cstheme="minorHAnsi"/>
        </w:rPr>
      </w:pPr>
      <w:r w:rsidRPr="00843F34">
        <w:rPr>
          <w:rFonts w:eastAsia="Times New Roman" w:cstheme="minorHAnsi"/>
        </w:rPr>
        <w:t>Identify how your state’s laws and regulations may affect the dispensing of shelf-life-extended items and where your state laws may be preempted by federal laws.</w:t>
      </w:r>
    </w:p>
    <w:p w14:paraId="2A512DFE" w14:textId="77777777" w:rsidR="00206E4B" w:rsidRPr="0013549C" w:rsidRDefault="00206E4B" w:rsidP="00843F34">
      <w:pPr>
        <w:spacing w:line="480" w:lineRule="auto"/>
        <w:textAlignment w:val="baseline"/>
        <w:rPr>
          <w:rFonts w:eastAsia="Times New Roman" w:cstheme="minorHAnsi"/>
        </w:rPr>
      </w:pPr>
    </w:p>
    <w:p w14:paraId="075E3268" w14:textId="77777777" w:rsidR="00206E4B" w:rsidRPr="00843F34" w:rsidRDefault="00206E4B" w:rsidP="00206E4B">
      <w:pPr>
        <w:pStyle w:val="ListParagraph"/>
        <w:numPr>
          <w:ilvl w:val="0"/>
          <w:numId w:val="28"/>
        </w:numPr>
        <w:spacing w:line="480" w:lineRule="auto"/>
        <w:ind w:left="360"/>
        <w:textAlignment w:val="baseline"/>
        <w:rPr>
          <w:rFonts w:eastAsia="Times New Roman" w:cstheme="minorHAnsi"/>
        </w:rPr>
      </w:pPr>
      <w:r w:rsidRPr="00843F34">
        <w:rPr>
          <w:rFonts w:eastAsia="Times New Roman" w:cstheme="minorHAnsi"/>
        </w:rPr>
        <w:t>Identify how your state educates healthcare providers, pharmacists, and other persons dispensing shelf-life-extended products.</w:t>
      </w:r>
    </w:p>
    <w:p w14:paraId="43C07E0C" w14:textId="77777777" w:rsidR="00206E4B" w:rsidRDefault="00206E4B" w:rsidP="00843F34">
      <w:pPr>
        <w:pStyle w:val="ListParagraph"/>
        <w:spacing w:line="480" w:lineRule="auto"/>
        <w:rPr>
          <w:rFonts w:eastAsia="Times New Roman" w:cstheme="minorHAnsi"/>
          <w:b/>
          <w:bCs/>
          <w:color w:val="3C3030"/>
          <w:sz w:val="24"/>
          <w:szCs w:val="24"/>
        </w:rPr>
      </w:pPr>
    </w:p>
    <w:p w14:paraId="4AB06A06" w14:textId="77777777" w:rsidR="00206E4B" w:rsidRPr="0013549C" w:rsidRDefault="00206E4B" w:rsidP="00843F34">
      <w:pPr>
        <w:spacing w:line="480" w:lineRule="auto"/>
        <w:textAlignment w:val="baseline"/>
        <w:rPr>
          <w:rFonts w:eastAsia="Times New Roman" w:cstheme="minorHAnsi"/>
        </w:rPr>
      </w:pPr>
      <w:r w:rsidRPr="0013549C">
        <w:rPr>
          <w:rFonts w:eastAsia="Times New Roman" w:cstheme="minorHAnsi"/>
          <w:b/>
          <w:bCs/>
          <w:color w:val="3C3030"/>
          <w:sz w:val="24"/>
          <w:szCs w:val="24"/>
        </w:rPr>
        <w:t>Sources and Notes</w:t>
      </w:r>
    </w:p>
    <w:p w14:paraId="6CE055F2"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U.S. Army. Shelf Life Extension Program website. Accessed January 31, 2012.</w:t>
      </w:r>
    </w:p>
    <w:p w14:paraId="754E2916" w14:textId="77777777" w:rsidR="00206E4B" w:rsidRPr="0013549C" w:rsidRDefault="00206E4B" w:rsidP="00206E4B">
      <w:pPr>
        <w:numPr>
          <w:ilvl w:val="0"/>
          <w:numId w:val="25"/>
        </w:numPr>
        <w:spacing w:line="480" w:lineRule="auto"/>
        <w:ind w:left="450"/>
        <w:textAlignment w:val="baseline"/>
        <w:rPr>
          <w:rFonts w:eastAsia="Times New Roman" w:cstheme="minorHAnsi"/>
          <w:color w:val="737373"/>
        </w:rPr>
      </w:pPr>
      <w:proofErr w:type="spellStart"/>
      <w:r w:rsidRPr="0013549C">
        <w:rPr>
          <w:rFonts w:eastAsia="Times New Roman" w:cstheme="minorHAnsi"/>
        </w:rPr>
        <w:t>Leissa</w:t>
      </w:r>
      <w:proofErr w:type="spellEnd"/>
      <w:r w:rsidRPr="0013549C">
        <w:rPr>
          <w:rFonts w:eastAsia="Times New Roman" w:cstheme="minorHAnsi"/>
        </w:rPr>
        <w:t xml:space="preserve"> B. Food and Drug Administration. “Shelf Life Extension Program” presentation at </w:t>
      </w:r>
      <w:r w:rsidRPr="0013549C">
        <w:rPr>
          <w:rFonts w:eastAsia="Times New Roman" w:cstheme="minorHAnsi"/>
          <w:i/>
          <w:iCs/>
          <w:bdr w:val="none" w:sz="0" w:space="0" w:color="auto" w:frame="1"/>
        </w:rPr>
        <w:t>Federal, State, and Local Public Health Preparedness </w:t>
      </w:r>
      <w:r w:rsidRPr="0013549C">
        <w:rPr>
          <w:rFonts w:eastAsia="Times New Roman" w:cstheme="minorHAnsi"/>
        </w:rPr>
        <w:t>meeting. Baltimore, Maryland. December 14-15, 2010. Available at </w:t>
      </w:r>
      <w:hyperlink r:id="rId51" w:tooltip="www.fda.gov/EmergencyPreparedness/Counterterrorism/ucm247676.htm" w:history="1">
        <w:r w:rsidRPr="0013549C">
          <w:rPr>
            <w:rFonts w:eastAsia="Times New Roman" w:cstheme="minorHAnsi"/>
            <w:color w:val="0F88B8"/>
            <w:bdr w:val="none" w:sz="0" w:space="0" w:color="auto" w:frame="1"/>
          </w:rPr>
          <w:t>www.fda.gov/EmergencyPreparedness/Counterterrorism/ucm247676.htm</w:t>
        </w:r>
      </w:hyperlink>
      <w:r w:rsidRPr="0013549C">
        <w:rPr>
          <w:rFonts w:eastAsia="Times New Roman" w:cstheme="minorHAnsi"/>
          <w:color w:val="737373"/>
        </w:rPr>
        <w:t>.</w:t>
      </w:r>
      <w:r w:rsidRPr="0013549C">
        <w:rPr>
          <w:rFonts w:eastAsia="Times New Roman" w:cstheme="minorHAnsi"/>
        </w:rPr>
        <w:t xml:space="preserve"> Accessed January 31, 2012.</w:t>
      </w:r>
    </w:p>
    <w:p w14:paraId="528B1AB7"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Courtney B et al. “Maximizing State and Local Medical Countermeasure Stockpile Investments Through the Shelf Life Extension Program.” </w:t>
      </w:r>
      <w:r w:rsidRPr="0013549C">
        <w:rPr>
          <w:rFonts w:eastAsia="Times New Roman" w:cstheme="minorHAnsi"/>
          <w:i/>
          <w:iCs/>
          <w:bdr w:val="none" w:sz="0" w:space="0" w:color="auto" w:frame="1"/>
        </w:rPr>
        <w:t>Biosecurity and Bioterrorism</w:t>
      </w:r>
      <w:r w:rsidRPr="0013549C">
        <w:rPr>
          <w:rFonts w:eastAsia="Times New Roman" w:cstheme="minorHAnsi"/>
        </w:rPr>
        <w:t>. Vol. 7 No. 1. 2009.</w:t>
      </w:r>
    </w:p>
    <w:p w14:paraId="3D8CC3B6"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Defense Medical Materiel Program Office. “Extending the Shelf Life of Critical Chemical, Biological, Nuclear, and Radiological (CBRN) Medical Materiel Using the FDA/DOD Shelf Life Extension Program.” January 24, 2006. Available at </w:t>
      </w:r>
      <w:hyperlink r:id="rId52" w:tooltip="https://slep.dmsbfda.army.mil/slep/slep_info_paper_JAN_2006.doc" w:history="1">
        <w:r w:rsidRPr="0013549C">
          <w:rPr>
            <w:rFonts w:eastAsia="Times New Roman" w:cstheme="minorHAnsi"/>
            <w:color w:val="0F88B8"/>
            <w:bdr w:val="none" w:sz="0" w:space="0" w:color="auto" w:frame="1"/>
          </w:rPr>
          <w:t>https://slep.dmsbfda.army.mil/slep/slep_info_paper_JAN_2006.doc</w:t>
        </w:r>
      </w:hyperlink>
      <w:r w:rsidRPr="0013549C">
        <w:rPr>
          <w:rFonts w:eastAsia="Times New Roman" w:cstheme="minorHAnsi"/>
          <w:color w:val="737373"/>
        </w:rPr>
        <w:t xml:space="preserve">. </w:t>
      </w:r>
      <w:r w:rsidRPr="0013549C">
        <w:rPr>
          <w:rFonts w:eastAsia="Times New Roman" w:cstheme="minorHAnsi"/>
        </w:rPr>
        <w:t>Accessed January 31, 2012.</w:t>
      </w:r>
    </w:p>
    <w:p w14:paraId="5C3CDFCD"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U.S. Department of Defense. Defense Medical Materiel Program Office website and DMMPO SLEP webpage. Both accessed January 31, 2012.</w:t>
      </w:r>
    </w:p>
    <w:p w14:paraId="2662AEA4"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 xml:space="preserve">See U.S. Pharmacopeia website: “The United States </w:t>
      </w:r>
      <w:proofErr w:type="spellStart"/>
      <w:r w:rsidRPr="0013549C">
        <w:rPr>
          <w:rFonts w:eastAsia="Times New Roman" w:cstheme="minorHAnsi"/>
        </w:rPr>
        <w:t>Pharmacopeial</w:t>
      </w:r>
      <w:proofErr w:type="spellEnd"/>
      <w:r w:rsidRPr="0013549C">
        <w:rPr>
          <w:rFonts w:eastAsia="Times New Roman" w:cstheme="minorHAnsi"/>
        </w:rPr>
        <w:t xml:space="preserve"> Convention (USP) is a scientific nonprofit organization that sets standards for the quality, purity, identity, and strength of medicines, food ingredients, and dietary supplements manufactured, distributed and consumed </w:t>
      </w:r>
      <w:r w:rsidRPr="0013549C">
        <w:rPr>
          <w:rFonts w:eastAsia="Times New Roman" w:cstheme="minorHAnsi"/>
        </w:rPr>
        <w:lastRenderedPageBreak/>
        <w:t>worldwide. USP’s drug standards are enforceable in the United States by the Food and Drug Administration...” Available at </w:t>
      </w:r>
      <w:hyperlink r:id="rId53" w:tooltip="www.usp.org/aboutUSP/" w:history="1">
        <w:r w:rsidRPr="0013549C">
          <w:rPr>
            <w:rFonts w:eastAsia="Times New Roman" w:cstheme="minorHAnsi"/>
            <w:color w:val="0F88B8"/>
            <w:bdr w:val="none" w:sz="0" w:space="0" w:color="auto" w:frame="1"/>
          </w:rPr>
          <w:t>www.usp.org/aboutUSP/</w:t>
        </w:r>
      </w:hyperlink>
      <w:r w:rsidRPr="0013549C">
        <w:rPr>
          <w:rFonts w:eastAsia="Times New Roman" w:cstheme="minorHAnsi"/>
          <w:color w:val="737373"/>
        </w:rPr>
        <w:t xml:space="preserve">. </w:t>
      </w:r>
      <w:r w:rsidRPr="0013549C">
        <w:rPr>
          <w:rFonts w:eastAsia="Times New Roman" w:cstheme="minorHAnsi"/>
        </w:rPr>
        <w:t>Accessed January 31, 2012.</w:t>
      </w:r>
    </w:p>
    <w:p w14:paraId="32D28406"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See FDA website “Drug Applications and Current Good Manufacturing Practice (CGMP) Regulations” which states that “The CGMP regulations for drugs contain minimum requirements for the methods, facilities, and controls used in manufacturing, processing, and packing of a drug product. The regulations make sure that a product is safe for use, and that it has the ingredients and strength it claims to have.” Available at</w:t>
      </w:r>
      <w:r w:rsidRPr="0013549C">
        <w:rPr>
          <w:rFonts w:eastAsia="Times New Roman" w:cstheme="minorHAnsi"/>
          <w:color w:val="737373"/>
        </w:rPr>
        <w:t> </w:t>
      </w:r>
      <w:hyperlink r:id="rId54" w:tooltip="www.fda.gov/Drugs/DevelopmentApprovalProcess/Manufacturing/ucm090016.htm" w:history="1">
        <w:r w:rsidRPr="0013549C">
          <w:rPr>
            <w:rFonts w:eastAsia="Times New Roman" w:cstheme="minorHAnsi"/>
            <w:color w:val="0F88B8"/>
            <w:bdr w:val="none" w:sz="0" w:space="0" w:color="auto" w:frame="1"/>
          </w:rPr>
          <w:t>www.fda.gov/Drugs/DevelopmentApprovalProcess/Manufacturing/ucm090016.htm</w:t>
        </w:r>
      </w:hyperlink>
      <w:r w:rsidRPr="0013549C">
        <w:rPr>
          <w:rFonts w:eastAsia="Times New Roman" w:cstheme="minorHAnsi"/>
        </w:rPr>
        <w:t>. Accessed January 31, 2012. See also 21 CFR Part 210 (CGMP in Manufacturing, Processing, Packing, or Holding of Drugs) and 21 CFR Part 211 (CGMP for Finished Pharmaceuticals).</w:t>
      </w:r>
    </w:p>
    <w:p w14:paraId="511FA7BB" w14:textId="77777777" w:rsidR="00206E4B" w:rsidRPr="0013549C" w:rsidRDefault="00206E4B" w:rsidP="00206E4B">
      <w:pPr>
        <w:numPr>
          <w:ilvl w:val="0"/>
          <w:numId w:val="25"/>
        </w:numPr>
        <w:spacing w:line="480" w:lineRule="auto"/>
        <w:ind w:left="450"/>
        <w:textAlignment w:val="baseline"/>
        <w:rPr>
          <w:rFonts w:eastAsia="Times New Roman" w:cstheme="minorHAnsi"/>
        </w:rPr>
      </w:pPr>
      <w:proofErr w:type="spellStart"/>
      <w:r w:rsidRPr="0013549C">
        <w:rPr>
          <w:rFonts w:eastAsia="Times New Roman" w:cstheme="minorHAnsi"/>
        </w:rPr>
        <w:t>Borio</w:t>
      </w:r>
      <w:proofErr w:type="spellEnd"/>
      <w:r w:rsidRPr="0013549C">
        <w:rPr>
          <w:rFonts w:eastAsia="Times New Roman" w:cstheme="minorHAnsi"/>
        </w:rPr>
        <w:t xml:space="preserve"> L. Food and Drug Administration. July 25, 2011 Letter to William G. </w:t>
      </w:r>
      <w:proofErr w:type="spellStart"/>
      <w:r w:rsidRPr="0013549C">
        <w:rPr>
          <w:rFonts w:eastAsia="Times New Roman" w:cstheme="minorHAnsi"/>
        </w:rPr>
        <w:t>Burel</w:t>
      </w:r>
      <w:proofErr w:type="spellEnd"/>
      <w:r w:rsidRPr="0013549C">
        <w:rPr>
          <w:rFonts w:eastAsia="Times New Roman" w:cstheme="minorHAnsi"/>
        </w:rPr>
        <w:t>, CDC et al regarding answers to questions raised during December 2010 Federal, State, and Local Public Health Preparedness meeting in Baltimore, MD. Available at </w:t>
      </w:r>
      <w:hyperlink r:id="rId55" w:tooltip="www.fda.gov/EmergencyPreparedness/Counterterrorism/ucm234336.htm" w:history="1">
        <w:r w:rsidRPr="0013549C">
          <w:rPr>
            <w:rFonts w:eastAsia="Times New Roman" w:cstheme="minorHAnsi"/>
            <w:color w:val="0F88B8"/>
            <w:bdr w:val="none" w:sz="0" w:space="0" w:color="auto" w:frame="1"/>
          </w:rPr>
          <w:t>www.fda.gov/EmergencyPreparedness/Counterterrorism/ucm234336.htm</w:t>
        </w:r>
      </w:hyperlink>
      <w:r w:rsidRPr="0013549C">
        <w:rPr>
          <w:rFonts w:eastAsia="Times New Roman" w:cstheme="minorHAnsi"/>
        </w:rPr>
        <w:t>. Accessed January 31, 2012.</w:t>
      </w:r>
    </w:p>
    <w:p w14:paraId="46728AB3"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Hamburg M. Food and Drug Administration. June 22, 2010 Letter to Thomas R. Frieden, Centers for Disease Control and Prevention regarding disposition of certain antiviral drugs—Zanamivir and Oseltamivir Phosphate. Available at </w:t>
      </w:r>
      <w:hyperlink r:id="rId56" w:tooltip="http://www.fda.gov/Drugs/DrugSafety/PostmarketDrugSafetyInformationforPatientsandProviders/ucm216249.htm" w:history="1">
        <w:r w:rsidRPr="0013549C">
          <w:rPr>
            <w:rFonts w:eastAsia="Times New Roman" w:cstheme="minorHAnsi"/>
            <w:color w:val="0F88B8"/>
            <w:bdr w:val="none" w:sz="0" w:space="0" w:color="auto" w:frame="1"/>
          </w:rPr>
          <w:t>http://www.fda.gov/Drugs/DrugSafety/PostmarketDrugSafetyInformationforPatientsandProviders/ucm216249.htm</w:t>
        </w:r>
      </w:hyperlink>
      <w:r w:rsidRPr="0013549C">
        <w:rPr>
          <w:rFonts w:eastAsia="Times New Roman" w:cstheme="minorHAnsi"/>
          <w:color w:val="737373"/>
        </w:rPr>
        <w:t xml:space="preserve">. </w:t>
      </w:r>
      <w:r w:rsidRPr="0013549C">
        <w:rPr>
          <w:rFonts w:eastAsia="Times New Roman" w:cstheme="minorHAnsi"/>
        </w:rPr>
        <w:t>Accessed March 9, 2012.</w:t>
      </w:r>
    </w:p>
    <w:p w14:paraId="333FBFBB"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Committee on Implementation of Antiviral Medication Strategies for an Influenza Pandemic. Institute of Medicine. </w:t>
      </w:r>
      <w:r w:rsidRPr="0013549C">
        <w:rPr>
          <w:rFonts w:eastAsia="Times New Roman" w:cstheme="minorHAnsi"/>
          <w:i/>
          <w:iCs/>
          <w:bdr w:val="none" w:sz="0" w:space="0" w:color="auto" w:frame="1"/>
        </w:rPr>
        <w:t>Antivirals for Pandemic Influenza: Guidance on Developing a Distribution and Dispensing Program</w:t>
      </w:r>
      <w:r w:rsidRPr="0013549C">
        <w:rPr>
          <w:rFonts w:eastAsia="Times New Roman" w:cstheme="minorHAnsi"/>
        </w:rPr>
        <w:t>. National Academies Press. 2008.</w:t>
      </w:r>
    </w:p>
    <w:p w14:paraId="2FAB4672"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lastRenderedPageBreak/>
        <w:t>Homeland Security Council. </w:t>
      </w:r>
      <w:r w:rsidRPr="0013549C">
        <w:rPr>
          <w:rFonts w:eastAsia="Times New Roman" w:cstheme="minorHAnsi"/>
          <w:i/>
          <w:iCs/>
          <w:bdr w:val="none" w:sz="0" w:space="0" w:color="auto" w:frame="1"/>
        </w:rPr>
        <w:t>National Strategy for Pandemic Influenza: Implementation Plan</w:t>
      </w:r>
      <w:r w:rsidRPr="0013549C">
        <w:rPr>
          <w:rFonts w:eastAsia="Times New Roman" w:cstheme="minorHAnsi"/>
        </w:rPr>
        <w:t>. May 2006.</w:t>
      </w:r>
    </w:p>
    <w:p w14:paraId="58BA5143" w14:textId="77777777" w:rsidR="00206E4B" w:rsidRPr="0013549C" w:rsidRDefault="00206E4B" w:rsidP="00206E4B">
      <w:pPr>
        <w:numPr>
          <w:ilvl w:val="0"/>
          <w:numId w:val="25"/>
        </w:numPr>
        <w:spacing w:line="480" w:lineRule="auto"/>
        <w:ind w:left="450"/>
        <w:textAlignment w:val="baseline"/>
        <w:rPr>
          <w:rFonts w:eastAsia="Times New Roman" w:cstheme="minorHAnsi"/>
        </w:rPr>
      </w:pPr>
      <w:proofErr w:type="spellStart"/>
      <w:r w:rsidRPr="0013549C">
        <w:rPr>
          <w:rFonts w:eastAsia="Times New Roman" w:cstheme="minorHAnsi"/>
        </w:rPr>
        <w:t>Tegeris</w:t>
      </w:r>
      <w:proofErr w:type="spellEnd"/>
      <w:r w:rsidRPr="0013549C">
        <w:rPr>
          <w:rFonts w:eastAsia="Times New Roman" w:cstheme="minorHAnsi"/>
        </w:rPr>
        <w:t xml:space="preserve"> J. Dept, of Health and Human Services. “Cost Comparison: Shelf Life Extension Program (SLEP) vs. Repurchase for State Stockpiles.” Presentation at </w:t>
      </w:r>
      <w:r w:rsidRPr="0013549C">
        <w:rPr>
          <w:rFonts w:eastAsia="Times New Roman" w:cstheme="minorHAnsi"/>
          <w:i/>
          <w:iCs/>
          <w:bdr w:val="none" w:sz="0" w:space="0" w:color="auto" w:frame="1"/>
        </w:rPr>
        <w:t xml:space="preserve">Federal, State, and Local Public Health </w:t>
      </w:r>
      <w:proofErr w:type="spellStart"/>
      <w:r w:rsidRPr="0013549C">
        <w:rPr>
          <w:rFonts w:eastAsia="Times New Roman" w:cstheme="minorHAnsi"/>
          <w:i/>
          <w:iCs/>
          <w:bdr w:val="none" w:sz="0" w:space="0" w:color="auto" w:frame="1"/>
        </w:rPr>
        <w:t>Preparedness</w:t>
      </w:r>
      <w:r w:rsidRPr="0013549C">
        <w:rPr>
          <w:rFonts w:eastAsia="Times New Roman" w:cstheme="minorHAnsi"/>
        </w:rPr>
        <w:t>meeting</w:t>
      </w:r>
      <w:proofErr w:type="spellEnd"/>
      <w:r w:rsidRPr="0013549C">
        <w:rPr>
          <w:rFonts w:eastAsia="Times New Roman" w:cstheme="minorHAnsi"/>
        </w:rPr>
        <w:t>. Baltimore, Maryland. December 14-15, 2010. Available at</w:t>
      </w:r>
      <w:r w:rsidRPr="0013549C">
        <w:rPr>
          <w:rFonts w:eastAsia="Times New Roman" w:cstheme="minorHAnsi"/>
          <w:color w:val="737373"/>
        </w:rPr>
        <w:t> </w:t>
      </w:r>
      <w:hyperlink r:id="rId57" w:tooltip="www.fda.gov/EmergencyPreparedness/Counterterrorism/ucm247676.htm" w:history="1">
        <w:r w:rsidRPr="0013549C">
          <w:rPr>
            <w:rFonts w:eastAsia="Times New Roman" w:cstheme="minorHAnsi"/>
            <w:color w:val="0F88B8"/>
            <w:bdr w:val="none" w:sz="0" w:space="0" w:color="auto" w:frame="1"/>
          </w:rPr>
          <w:t>www.fda.gov/EmergencyPreparedness/Counterterrorism/ucm247676.htm</w:t>
        </w:r>
      </w:hyperlink>
      <w:r w:rsidRPr="0013549C">
        <w:rPr>
          <w:rFonts w:eastAsia="Times New Roman" w:cstheme="minorHAnsi"/>
        </w:rPr>
        <w:t>. Accessed January 31, 2012.</w:t>
      </w:r>
    </w:p>
    <w:p w14:paraId="7ECC6CF9" w14:textId="77777777" w:rsidR="00206E4B" w:rsidRPr="0013549C" w:rsidRDefault="00206E4B" w:rsidP="00206E4B">
      <w:pPr>
        <w:numPr>
          <w:ilvl w:val="0"/>
          <w:numId w:val="25"/>
        </w:numPr>
        <w:spacing w:line="480" w:lineRule="auto"/>
        <w:ind w:left="450"/>
        <w:textAlignment w:val="baseline"/>
        <w:rPr>
          <w:rFonts w:eastAsia="Times New Roman" w:cstheme="minorHAnsi"/>
        </w:rPr>
      </w:pPr>
      <w:r w:rsidRPr="0013549C">
        <w:rPr>
          <w:rFonts w:eastAsia="Times New Roman" w:cstheme="minorHAnsi"/>
        </w:rPr>
        <w:t>Lyon RC et al. Stability profiles of drug products extended beyond labeled expiration dates. </w:t>
      </w:r>
      <w:r w:rsidRPr="0013549C">
        <w:rPr>
          <w:rFonts w:eastAsia="Times New Roman" w:cstheme="minorHAnsi"/>
          <w:i/>
          <w:iCs/>
          <w:bdr w:val="none" w:sz="0" w:space="0" w:color="auto" w:frame="1"/>
        </w:rPr>
        <w:t>J Pharm Sci</w:t>
      </w:r>
      <w:r w:rsidRPr="0013549C">
        <w:rPr>
          <w:rFonts w:eastAsia="Times New Roman" w:cstheme="minorHAnsi"/>
        </w:rPr>
        <w:t> 2006;95(7):1549-1560.</w:t>
      </w:r>
    </w:p>
    <w:p w14:paraId="037D9368" w14:textId="5240821D" w:rsidR="00206E4B" w:rsidRDefault="00206E4B" w:rsidP="00843F34">
      <w:pPr>
        <w:spacing w:line="480" w:lineRule="auto"/>
        <w:rPr>
          <w:rFonts w:cstheme="minorHAnsi"/>
        </w:rPr>
      </w:pPr>
    </w:p>
    <w:p w14:paraId="32ADF64B" w14:textId="77777777" w:rsidR="00541C94" w:rsidRDefault="00541C94" w:rsidP="00541C94">
      <w:pPr>
        <w:rPr>
          <w:rFonts w:cstheme="minorHAnsi"/>
          <w:sz w:val="24"/>
        </w:rPr>
      </w:pPr>
      <w:r>
        <w:rPr>
          <w:rFonts w:cstheme="minorHAnsi"/>
          <w:sz w:val="24"/>
        </w:rPr>
        <w:t>[</w:t>
      </w:r>
      <w:hyperlink w:anchor="TOC_top" w:history="1">
        <w:r w:rsidRPr="008F1431">
          <w:rPr>
            <w:rStyle w:val="Hyperlink"/>
            <w:rFonts w:cstheme="minorHAnsi"/>
            <w:sz w:val="24"/>
          </w:rPr>
          <w:t>TOC to</w:t>
        </w:r>
        <w:r w:rsidRPr="008F1431">
          <w:rPr>
            <w:rStyle w:val="Hyperlink"/>
            <w:rFonts w:cstheme="minorHAnsi"/>
            <w:sz w:val="24"/>
          </w:rPr>
          <w:t>p</w:t>
        </w:r>
      </w:hyperlink>
      <w:r>
        <w:rPr>
          <w:rFonts w:cstheme="minorHAnsi"/>
          <w:sz w:val="24"/>
        </w:rPr>
        <w:t>]</w:t>
      </w:r>
    </w:p>
    <w:p w14:paraId="0FCC7B96" w14:textId="77777777" w:rsidR="00541C94" w:rsidRDefault="00541C94" w:rsidP="00843F34">
      <w:pPr>
        <w:spacing w:line="480" w:lineRule="auto"/>
        <w:rPr>
          <w:rFonts w:cstheme="minorHAnsi"/>
        </w:rPr>
      </w:pPr>
    </w:p>
    <w:p w14:paraId="08B9DC37" w14:textId="5D41D2F7" w:rsidR="00541C94" w:rsidRDefault="00541C94">
      <w:pPr>
        <w:rPr>
          <w:rFonts w:cstheme="minorHAnsi"/>
        </w:rPr>
      </w:pPr>
      <w:r>
        <w:rPr>
          <w:rFonts w:cstheme="minorHAnsi"/>
        </w:rPr>
        <w:br w:type="page"/>
      </w:r>
    </w:p>
    <w:p w14:paraId="161B839D" w14:textId="77777777" w:rsidR="00206E4B" w:rsidRPr="000058A3" w:rsidRDefault="00206E4B" w:rsidP="002E115C">
      <w:pPr>
        <w:spacing w:line="480" w:lineRule="auto"/>
        <w:rPr>
          <w:rFonts w:ascii="Calibri" w:eastAsia="Times New Roman" w:hAnsi="Calibri" w:cs="Calibri"/>
          <w:b/>
          <w:bCs/>
          <w:color w:val="333333"/>
          <w:spacing w:val="15"/>
          <w:kern w:val="36"/>
          <w:sz w:val="28"/>
          <w:szCs w:val="28"/>
        </w:rPr>
      </w:pPr>
      <w:bookmarkStart w:id="6" w:name="Bioshield_FS"/>
      <w:r w:rsidRPr="000058A3">
        <w:rPr>
          <w:rFonts w:ascii="Calibri" w:eastAsia="Times New Roman" w:hAnsi="Calibri" w:cs="Calibri"/>
          <w:b/>
          <w:bCs/>
          <w:color w:val="333333"/>
          <w:spacing w:val="15"/>
          <w:kern w:val="36"/>
          <w:sz w:val="28"/>
          <w:szCs w:val="28"/>
        </w:rPr>
        <w:lastRenderedPageBreak/>
        <w:t xml:space="preserve">Project </w:t>
      </w:r>
      <w:proofErr w:type="spellStart"/>
      <w:r w:rsidRPr="000058A3">
        <w:rPr>
          <w:rFonts w:ascii="Calibri" w:eastAsia="Times New Roman" w:hAnsi="Calibri" w:cs="Calibri"/>
          <w:b/>
          <w:bCs/>
          <w:color w:val="333333"/>
          <w:spacing w:val="15"/>
          <w:kern w:val="36"/>
          <w:sz w:val="28"/>
          <w:szCs w:val="28"/>
        </w:rPr>
        <w:t>BioShield</w:t>
      </w:r>
      <w:proofErr w:type="spellEnd"/>
      <w:r w:rsidRPr="000058A3">
        <w:rPr>
          <w:rFonts w:ascii="Calibri" w:eastAsia="Times New Roman" w:hAnsi="Calibri" w:cs="Calibri"/>
          <w:b/>
          <w:bCs/>
          <w:color w:val="333333"/>
          <w:spacing w:val="15"/>
          <w:kern w:val="36"/>
          <w:sz w:val="28"/>
          <w:szCs w:val="28"/>
        </w:rPr>
        <w:t xml:space="preserve"> Act</w:t>
      </w:r>
    </w:p>
    <w:bookmarkEnd w:id="6"/>
    <w:p w14:paraId="3894D841" w14:textId="77777777" w:rsidR="00206E4B" w:rsidRPr="000058A3" w:rsidRDefault="00206E4B"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Fact Sheet</w:t>
      </w:r>
    </w:p>
    <w:p w14:paraId="4139149F" w14:textId="77777777" w:rsidR="00206E4B" w:rsidRDefault="00206E4B" w:rsidP="002E115C">
      <w:pPr>
        <w:spacing w:line="480" w:lineRule="auto"/>
        <w:rPr>
          <w:rFonts w:ascii="Calibri" w:eastAsia="Times New Roman" w:hAnsi="Calibri" w:cs="Calibri"/>
          <w:b/>
          <w:bCs/>
          <w:color w:val="3C3030"/>
          <w:sz w:val="24"/>
          <w:szCs w:val="24"/>
        </w:rPr>
      </w:pPr>
    </w:p>
    <w:p w14:paraId="45D8FDE4" w14:textId="77777777" w:rsidR="00206E4B" w:rsidRPr="000058A3" w:rsidRDefault="00206E4B"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Overview</w:t>
      </w:r>
    </w:p>
    <w:p w14:paraId="3090DD69"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With the anthrax and other terrorist attacks of 2001, the federal government determined that it would need new medical countermeasures, such as diagnostic tests, drugs, and vaccines, to respond to an attack using chemical, biological, radiological, or nuclear (CBRN) agents.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lack of a significant commercial market for CBRN countermeasures was identified as a reason for the dearth of such countermeasures.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Since diseases and conditions caused by CBRN agents occur infrequently, the private sector did not have an economic incentive to invest the millions of dollars necessary to research and develop such measures.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w:t>
      </w:r>
      <w:hyperlink r:id="rId58" w:anchor="Project-BioShield" w:tooltip="Project BioShield Act of 2004" w:history="1">
        <w:r w:rsidRPr="000058A3">
          <w:rPr>
            <w:rFonts w:ascii="Calibri" w:eastAsia="Times New Roman" w:hAnsi="Calibri" w:cs="Calibri"/>
            <w:color w:val="0F88B8"/>
            <w:bdr w:val="none" w:sz="0" w:space="0" w:color="auto" w:frame="1"/>
          </w:rPr>
          <w:t xml:space="preserve">Project </w:t>
        </w:r>
        <w:proofErr w:type="spellStart"/>
        <w:r w:rsidRPr="000058A3">
          <w:rPr>
            <w:rFonts w:ascii="Calibri" w:eastAsia="Times New Roman" w:hAnsi="Calibri" w:cs="Calibri"/>
            <w:color w:val="0F88B8"/>
            <w:bdr w:val="none" w:sz="0" w:space="0" w:color="auto" w:frame="1"/>
          </w:rPr>
          <w:t>BioShield</w:t>
        </w:r>
        <w:proofErr w:type="spellEnd"/>
        <w:r w:rsidRPr="000058A3">
          <w:rPr>
            <w:rFonts w:ascii="Calibri" w:eastAsia="Times New Roman" w:hAnsi="Calibri" w:cs="Calibri"/>
            <w:color w:val="0F88B8"/>
            <w:bdr w:val="none" w:sz="0" w:space="0" w:color="auto" w:frame="1"/>
          </w:rPr>
          <w:t xml:space="preserve"> Act of 2004</w:t>
        </w:r>
      </w:hyperlink>
      <w:r w:rsidRPr="000058A3">
        <w:rPr>
          <w:rFonts w:ascii="Calibri" w:eastAsia="Times New Roman" w:hAnsi="Calibri" w:cs="Calibri"/>
          <w:color w:val="737373"/>
          <w:bdr w:val="none" w:sz="0" w:space="0" w:color="auto" w:frame="1"/>
          <w:vertAlign w:val="superscript"/>
        </w:rPr>
        <w:t>2</w:t>
      </w:r>
      <w:r w:rsidRPr="000058A3">
        <w:rPr>
          <w:rFonts w:ascii="Calibri" w:eastAsia="Times New Roman" w:hAnsi="Calibri" w:cs="Calibri"/>
          <w:color w:val="737373"/>
        </w:rPr>
        <w:t> </w:t>
      </w:r>
      <w:r w:rsidRPr="000058A3">
        <w:rPr>
          <w:rFonts w:ascii="Calibri" w:eastAsia="Times New Roman" w:hAnsi="Calibri" w:cs="Calibri"/>
        </w:rPr>
        <w:t>was enacted to accelerate the research, development, purchase, and availability of effective medical products against CBRN agents.</w:t>
      </w:r>
      <w:r w:rsidRPr="000058A3">
        <w:rPr>
          <w:rFonts w:ascii="Calibri" w:eastAsia="Times New Roman" w:hAnsi="Calibri" w:cs="Calibri"/>
          <w:bdr w:val="none" w:sz="0" w:space="0" w:color="auto" w:frame="1"/>
          <w:vertAlign w:val="superscript"/>
        </w:rPr>
        <w:t>3</w:t>
      </w:r>
      <w:r w:rsidRPr="000058A3">
        <w:rPr>
          <w:rFonts w:ascii="Calibri" w:eastAsia="Times New Roman" w:hAnsi="Calibri" w:cs="Calibri"/>
        </w:rPr>
        <w:t xml:space="preserv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provided the government with the authority and funding to develop, acquire, stockpile, and distribute the medical products needed to protect the United States against weapons of mass destruction.</w:t>
      </w:r>
      <w:r w:rsidRPr="000058A3">
        <w:rPr>
          <w:rFonts w:ascii="Calibri" w:eastAsia="Times New Roman" w:hAnsi="Calibri" w:cs="Calibri"/>
          <w:bdr w:val="none" w:sz="0" w:space="0" w:color="auto" w:frame="1"/>
          <w:vertAlign w:val="superscript"/>
        </w:rPr>
        <w:t>3 </w:t>
      </w:r>
      <w:r w:rsidRPr="000058A3">
        <w:rPr>
          <w:rFonts w:ascii="Calibri" w:eastAsia="Times New Roman" w:hAnsi="Calibri" w:cs="Calibri"/>
        </w:rPr>
        <w:t> </w:t>
      </w:r>
    </w:p>
    <w:p w14:paraId="408AC6DB" w14:textId="77777777" w:rsidR="00206E4B" w:rsidRPr="00E2164E" w:rsidRDefault="00206E4B" w:rsidP="002E115C">
      <w:pPr>
        <w:shd w:val="clear" w:color="auto" w:fill="FFFFFF"/>
        <w:spacing w:line="480" w:lineRule="auto"/>
        <w:textAlignment w:val="baseline"/>
        <w:rPr>
          <w:rFonts w:ascii="Calibri" w:eastAsia="Times New Roman" w:hAnsi="Calibri" w:cs="Calibri"/>
        </w:rPr>
      </w:pPr>
    </w:p>
    <w:p w14:paraId="26FBA4DD"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Note: As of March 2012, Congress is in the process of reauthorizing the </w:t>
      </w:r>
      <w:hyperlink r:id="rId59" w:anchor="Pandemic-And" w:tooltip="Pandemic and All-Hazards Preparedness Act (PAHPA)" w:history="1">
        <w:r w:rsidRPr="000058A3">
          <w:rPr>
            <w:rFonts w:ascii="Calibri" w:eastAsia="Times New Roman" w:hAnsi="Calibri" w:cs="Calibri"/>
            <w:color w:val="0F88B8"/>
            <w:bdr w:val="none" w:sz="0" w:space="0" w:color="auto" w:frame="1"/>
          </w:rPr>
          <w:t>Pandemic and All-Hazards Preparedness Act (PAHPA)</w:t>
        </w:r>
      </w:hyperlink>
      <w:r w:rsidRPr="000058A3">
        <w:rPr>
          <w:rFonts w:ascii="Calibri" w:eastAsia="Times New Roman" w:hAnsi="Calibri" w:cs="Calibri"/>
        </w:rPr>
        <w:t xml:space="preserve">, which may impact some provisions of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Please see </w:t>
      </w:r>
      <w:hyperlink r:id="rId60" w:tooltip="ASTHO EUA Current Issues Winter 2012" w:history="1">
        <w:r w:rsidRPr="000058A3">
          <w:rPr>
            <w:rFonts w:ascii="Calibri" w:eastAsia="Times New Roman" w:hAnsi="Calibri" w:cs="Calibri"/>
            <w:color w:val="0F88B8"/>
            <w:bdr w:val="none" w:sz="0" w:space="0" w:color="auto" w:frame="1"/>
          </w:rPr>
          <w:t>ASTHO EUA Current Issues Winter 2012</w:t>
        </w:r>
      </w:hyperlink>
      <w:r w:rsidRPr="000058A3">
        <w:rPr>
          <w:rFonts w:ascii="Calibri" w:eastAsia="Times New Roman" w:hAnsi="Calibri" w:cs="Calibri"/>
          <w:color w:val="737373"/>
        </w:rPr>
        <w:t> </w:t>
      </w:r>
      <w:r w:rsidRPr="000058A3">
        <w:rPr>
          <w:rFonts w:ascii="Calibri" w:eastAsia="Times New Roman" w:hAnsi="Calibri" w:cs="Calibri"/>
        </w:rPr>
        <w:t xml:space="preserve">for more information about reauthorization and its potential impact on EUAs and related issues. </w:t>
      </w:r>
    </w:p>
    <w:p w14:paraId="1EF07BF1" w14:textId="77777777" w:rsidR="00206E4B" w:rsidRPr="00E2164E" w:rsidRDefault="00206E4B" w:rsidP="002E115C">
      <w:pPr>
        <w:spacing w:line="480" w:lineRule="auto"/>
        <w:rPr>
          <w:rFonts w:ascii="Calibri" w:eastAsia="Times New Roman" w:hAnsi="Calibri" w:cs="Calibri"/>
          <w:b/>
          <w:bCs/>
        </w:rPr>
      </w:pPr>
    </w:p>
    <w:p w14:paraId="0ACF953C" w14:textId="77777777" w:rsidR="00206E4B" w:rsidRPr="000058A3" w:rsidRDefault="00206E4B" w:rsidP="002E115C">
      <w:pPr>
        <w:keepNext/>
        <w:spacing w:line="480" w:lineRule="auto"/>
        <w:rPr>
          <w:rFonts w:ascii="Calibri" w:eastAsia="Times New Roman" w:hAnsi="Calibri" w:cs="Calibri"/>
          <w:b/>
          <w:bCs/>
          <w:sz w:val="24"/>
          <w:szCs w:val="24"/>
        </w:rPr>
      </w:pPr>
      <w:r w:rsidRPr="000058A3">
        <w:rPr>
          <w:rFonts w:ascii="Calibri" w:eastAsia="Times New Roman" w:hAnsi="Calibri" w:cs="Calibri"/>
          <w:b/>
          <w:bCs/>
          <w:sz w:val="24"/>
          <w:szCs w:val="24"/>
        </w:rPr>
        <w:lastRenderedPageBreak/>
        <w:t>What the Law Does</w:t>
      </w:r>
    </w:p>
    <w:p w14:paraId="589CD99D" w14:textId="77777777" w:rsidR="00206E4B" w:rsidRPr="000058A3" w:rsidRDefault="00206E4B" w:rsidP="002E115C">
      <w:pPr>
        <w:shd w:val="clear" w:color="auto" w:fill="FFFFFF"/>
        <w:spacing w:after="225"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authorizes expedited procurement, streamlined personnel appointments, expedited peer review, biomedical countermeasures procurement, emergency use of medical countermeasures, and other biodefense activities.</w:t>
      </w:r>
    </w:p>
    <w:p w14:paraId="14554C6E" w14:textId="77777777" w:rsidR="00206E4B" w:rsidRPr="000058A3" w:rsidRDefault="00206E4B" w:rsidP="002E115C">
      <w:pPr>
        <w:spacing w:line="480" w:lineRule="auto"/>
        <w:rPr>
          <w:rFonts w:ascii="Calibri" w:eastAsia="Times New Roman" w:hAnsi="Calibri" w:cs="Calibri"/>
          <w:b/>
          <w:bCs/>
        </w:rPr>
      </w:pPr>
      <w:r w:rsidRPr="000058A3">
        <w:rPr>
          <w:rFonts w:ascii="Calibri" w:eastAsia="Times New Roman" w:hAnsi="Calibri" w:cs="Calibri"/>
          <w:b/>
          <w:bCs/>
        </w:rPr>
        <w:t>Liability Protections</w:t>
      </w:r>
    </w:p>
    <w:p w14:paraId="2761DD1F"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does not contain any explicit immunity or other liability protections. The absence of such protections in the act was an ongoing concern for potential developers of CBRN countermeasures. To address these and other concerns, the </w:t>
      </w:r>
      <w:hyperlink r:id="rId61" w:anchor="Public-Readiness" w:tooltip="Public Readiness and Emergency Preparedness (PREP) Act" w:history="1">
        <w:r w:rsidRPr="000058A3">
          <w:rPr>
            <w:rFonts w:ascii="Calibri" w:eastAsia="Times New Roman" w:hAnsi="Calibri" w:cs="Calibri"/>
            <w:color w:val="0F88B8"/>
            <w:bdr w:val="none" w:sz="0" w:space="0" w:color="auto" w:frame="1"/>
          </w:rPr>
          <w:t>Public Readiness and Emergency Preparedness (PREP) Act</w:t>
        </w:r>
      </w:hyperlink>
      <w:r w:rsidRPr="000058A3">
        <w:rPr>
          <w:rFonts w:ascii="Calibri" w:eastAsia="Times New Roman" w:hAnsi="Calibri" w:cs="Calibri"/>
          <w:color w:val="737373"/>
        </w:rPr>
        <w:t> </w:t>
      </w:r>
      <w:r w:rsidRPr="000058A3">
        <w:rPr>
          <w:rFonts w:ascii="Calibri" w:eastAsia="Times New Roman" w:hAnsi="Calibri" w:cs="Calibri"/>
        </w:rPr>
        <w:t>was enacted to, among other things, provide liability protections to persons and entities involved in the development, sale, distribution, and administration of countermeasures.</w:t>
      </w:r>
      <w:r w:rsidRPr="000058A3">
        <w:rPr>
          <w:rFonts w:ascii="Calibri" w:eastAsia="Times New Roman" w:hAnsi="Calibri" w:cs="Calibri"/>
          <w:bdr w:val="none" w:sz="0" w:space="0" w:color="auto" w:frame="1"/>
          <w:vertAlign w:val="superscript"/>
        </w:rPr>
        <w:t>4</w:t>
      </w:r>
      <w:r w:rsidRPr="000058A3">
        <w:rPr>
          <w:rFonts w:ascii="Calibri" w:eastAsia="Times New Roman" w:hAnsi="Calibri" w:cs="Calibri"/>
        </w:rPr>
        <w:t> (See </w:t>
      </w:r>
      <w:hyperlink r:id="rId62" w:tooltip="ASTHO Fact Sheet on the PREP Act" w:history="1">
        <w:r w:rsidRPr="000058A3">
          <w:rPr>
            <w:rFonts w:ascii="Calibri" w:eastAsia="Times New Roman" w:hAnsi="Calibri" w:cs="Calibri"/>
            <w:color w:val="0F88B8"/>
            <w:bdr w:val="none" w:sz="0" w:space="0" w:color="auto" w:frame="1"/>
          </w:rPr>
          <w:t>ASTHO Fact Sheet on the PREP Act</w:t>
        </w:r>
      </w:hyperlink>
      <w:r w:rsidRPr="000058A3">
        <w:rPr>
          <w:rFonts w:ascii="Calibri" w:eastAsia="Times New Roman" w:hAnsi="Calibri" w:cs="Calibri"/>
        </w:rPr>
        <w:t>.)</w:t>
      </w:r>
    </w:p>
    <w:p w14:paraId="706CBAD6" w14:textId="77777777" w:rsidR="00206E4B" w:rsidRPr="00E2164E" w:rsidRDefault="00206E4B" w:rsidP="002E115C">
      <w:pPr>
        <w:spacing w:line="480" w:lineRule="auto"/>
        <w:rPr>
          <w:rFonts w:ascii="Calibri" w:eastAsia="Times New Roman" w:hAnsi="Calibri" w:cs="Calibri"/>
          <w:b/>
          <w:bCs/>
        </w:rPr>
      </w:pPr>
    </w:p>
    <w:p w14:paraId="16489603" w14:textId="77777777" w:rsidR="00206E4B" w:rsidRPr="000058A3" w:rsidRDefault="00206E4B"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How the Law Works</w:t>
      </w:r>
    </w:p>
    <w:p w14:paraId="79AFA4B6"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The act has three primary provisions: (1) expedited procurement and grant making; (2) guaranteed government purchasing of countermeasures; and (3) authority to temporarily use medical countermeasures under </w:t>
      </w:r>
      <w:hyperlink r:id="rId63" w:anchor="Emergency-Use" w:tooltip="Emergency Use Authorization (EUA)" w:history="1">
        <w:r w:rsidRPr="000058A3">
          <w:rPr>
            <w:rFonts w:ascii="Calibri" w:eastAsia="Times New Roman" w:hAnsi="Calibri" w:cs="Calibri"/>
            <w:color w:val="0F88B8"/>
            <w:bdr w:val="none" w:sz="0" w:space="0" w:color="auto" w:frame="1"/>
          </w:rPr>
          <w:t>Emergency Use Authorization (EUA)</w:t>
        </w:r>
      </w:hyperlink>
      <w:r w:rsidRPr="000058A3">
        <w:rPr>
          <w:rFonts w:ascii="Calibri" w:eastAsia="Times New Roman" w:hAnsi="Calibri" w:cs="Calibri"/>
          <w:color w:val="737373"/>
        </w:rPr>
        <w:t> </w:t>
      </w:r>
      <w:r w:rsidRPr="000058A3">
        <w:rPr>
          <w:rFonts w:ascii="Calibri" w:eastAsia="Times New Roman" w:hAnsi="Calibri" w:cs="Calibri"/>
        </w:rPr>
        <w:t>authority. The act vests authority and implementation with the Secretary of the Department of Health and Human Services (HHS) and agencies within HHS. Congress created the </w:t>
      </w:r>
      <w:hyperlink r:id="rId64" w:anchor="Biomedical-Advanced" w:tooltip="Biomedical Advanced Research and Development Authority (BARDA)" w:history="1">
        <w:r w:rsidRPr="000058A3">
          <w:rPr>
            <w:rFonts w:ascii="Calibri" w:eastAsia="Times New Roman" w:hAnsi="Calibri" w:cs="Calibri"/>
            <w:color w:val="0F88B8"/>
            <w:bdr w:val="none" w:sz="0" w:space="0" w:color="auto" w:frame="1"/>
          </w:rPr>
          <w:t>Biomedical Advanced Research and Development Authority (BARDA)</w:t>
        </w:r>
      </w:hyperlink>
      <w:r w:rsidRPr="000058A3">
        <w:rPr>
          <w:rFonts w:ascii="Calibri" w:eastAsia="Times New Roman" w:hAnsi="Calibri" w:cs="Calibri"/>
        </w:rPr>
        <w:t> in the </w:t>
      </w:r>
      <w:hyperlink r:id="rId65" w:anchor="HHS-Office" w:tooltip="HHS Office of the Assistant Secretary for Preparedness and Response (ASPR)" w:history="1">
        <w:r w:rsidRPr="000058A3">
          <w:rPr>
            <w:rFonts w:ascii="Calibri" w:eastAsia="Times New Roman" w:hAnsi="Calibri" w:cs="Calibri"/>
            <w:color w:val="0F88B8"/>
            <w:bdr w:val="none" w:sz="0" w:space="0" w:color="auto" w:frame="1"/>
          </w:rPr>
          <w:t>HHS Office of the Assistant Secretary for Preparedness and Response (ASPR)</w:t>
        </w:r>
      </w:hyperlink>
      <w:r w:rsidRPr="000058A3">
        <w:rPr>
          <w:rFonts w:ascii="Calibri" w:eastAsia="Times New Roman" w:hAnsi="Calibri" w:cs="Calibri"/>
          <w:bdr w:val="none" w:sz="0" w:space="0" w:color="auto" w:frame="1"/>
          <w:vertAlign w:val="superscript"/>
        </w:rPr>
        <w:t>5</w:t>
      </w:r>
      <w:r w:rsidRPr="000058A3">
        <w:rPr>
          <w:rFonts w:ascii="Calibri" w:eastAsia="Times New Roman" w:hAnsi="Calibri" w:cs="Calibri"/>
        </w:rPr>
        <w:t> through the </w:t>
      </w:r>
      <w:hyperlink r:id="rId66" w:anchor="Pandemic-And" w:tooltip="Pandemic and All-Hazards Preparedness Act" w:history="1">
        <w:r w:rsidRPr="000058A3">
          <w:rPr>
            <w:rFonts w:ascii="Calibri" w:eastAsia="Times New Roman" w:hAnsi="Calibri" w:cs="Calibri"/>
            <w:color w:val="0F88B8"/>
            <w:bdr w:val="none" w:sz="0" w:space="0" w:color="auto" w:frame="1"/>
          </w:rPr>
          <w:t>Pandemic and All-Hazards Preparedness Act</w:t>
        </w:r>
      </w:hyperlink>
      <w:r w:rsidRPr="000058A3">
        <w:rPr>
          <w:rFonts w:ascii="Calibri" w:eastAsia="Times New Roman" w:hAnsi="Calibri" w:cs="Calibri"/>
          <w:bdr w:val="none" w:sz="0" w:space="0" w:color="auto" w:frame="1"/>
          <w:vertAlign w:val="superscript"/>
        </w:rPr>
        <w:t>6</w:t>
      </w:r>
      <w:r w:rsidRPr="000058A3">
        <w:rPr>
          <w:rFonts w:ascii="Calibri" w:eastAsia="Times New Roman" w:hAnsi="Calibri" w:cs="Calibri"/>
        </w:rPr>
        <w:t xml:space="preserve"> to create an infrastructure to manage Project </w:t>
      </w:r>
      <w:proofErr w:type="spellStart"/>
      <w:r w:rsidRPr="000058A3">
        <w:rPr>
          <w:rFonts w:ascii="Calibri" w:eastAsia="Times New Roman" w:hAnsi="Calibri" w:cs="Calibri"/>
        </w:rPr>
        <w:t>BioShield’s</w:t>
      </w:r>
      <w:proofErr w:type="spellEnd"/>
      <w:r w:rsidRPr="000058A3">
        <w:rPr>
          <w:rFonts w:ascii="Calibri" w:eastAsia="Times New Roman" w:hAnsi="Calibri" w:cs="Calibri"/>
        </w:rPr>
        <w:t xml:space="preserve"> countermeasures development and purchasing.</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 The FDA is responsible for issuing EUAs.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requires the HHS to issue annual reports about its use of the authorities granted under it.</w:t>
      </w:r>
      <w:r w:rsidRPr="000058A3">
        <w:rPr>
          <w:rFonts w:ascii="Calibri" w:eastAsia="Times New Roman" w:hAnsi="Calibri" w:cs="Calibri"/>
          <w:bdr w:val="none" w:sz="0" w:space="0" w:color="auto" w:frame="1"/>
          <w:vertAlign w:val="superscript"/>
        </w:rPr>
        <w:t>1,7</w:t>
      </w:r>
      <w:r w:rsidRPr="000058A3">
        <w:rPr>
          <w:rFonts w:ascii="Calibri" w:eastAsia="Times New Roman" w:hAnsi="Calibri" w:cs="Calibri"/>
        </w:rPr>
        <w:t xml:space="preserve"> The HHS has contracted for anthrax vaccine and treatment, botulinum antitoxin, pediatric </w:t>
      </w:r>
      <w:r w:rsidRPr="000058A3">
        <w:rPr>
          <w:rFonts w:ascii="Calibri" w:eastAsia="Times New Roman" w:hAnsi="Calibri" w:cs="Calibri"/>
        </w:rPr>
        <w:lastRenderedPageBreak/>
        <w:t>potassium iodide, treatments for internal radioactive particle contamination, and a new smallpox vaccine.</w:t>
      </w:r>
      <w:r w:rsidRPr="000058A3">
        <w:rPr>
          <w:rFonts w:ascii="Calibri" w:eastAsia="Times New Roman" w:hAnsi="Calibri" w:cs="Calibri"/>
          <w:bdr w:val="none" w:sz="0" w:space="0" w:color="auto" w:frame="1"/>
          <w:vertAlign w:val="superscript"/>
        </w:rPr>
        <w:t>1,7</w:t>
      </w:r>
      <w:r w:rsidRPr="000058A3">
        <w:rPr>
          <w:rFonts w:ascii="Calibri" w:eastAsia="Times New Roman" w:hAnsi="Calibri" w:cs="Calibri"/>
        </w:rPr>
        <w:t> Countermeasures against anthrax, viral hemorrhagic fevers, and radiation are planned.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w:t>
      </w:r>
    </w:p>
    <w:p w14:paraId="624EE016" w14:textId="77777777" w:rsidR="00206E4B" w:rsidRPr="00E2164E" w:rsidRDefault="00206E4B" w:rsidP="002E115C">
      <w:pPr>
        <w:spacing w:line="480" w:lineRule="auto"/>
        <w:rPr>
          <w:rFonts w:ascii="Calibri" w:eastAsia="Times New Roman" w:hAnsi="Calibri" w:cs="Calibri"/>
          <w:b/>
          <w:bCs/>
        </w:rPr>
      </w:pPr>
    </w:p>
    <w:p w14:paraId="06F7A382" w14:textId="77777777" w:rsidR="00206E4B" w:rsidRPr="000058A3" w:rsidRDefault="00206E4B" w:rsidP="002E115C">
      <w:pPr>
        <w:spacing w:line="480" w:lineRule="auto"/>
        <w:rPr>
          <w:rFonts w:ascii="Calibri" w:eastAsia="Times New Roman" w:hAnsi="Calibri" w:cs="Calibri"/>
          <w:b/>
          <w:bCs/>
        </w:rPr>
      </w:pPr>
      <w:r w:rsidRPr="000058A3">
        <w:rPr>
          <w:rFonts w:ascii="Calibri" w:eastAsia="Times New Roman" w:hAnsi="Calibri" w:cs="Calibri"/>
          <w:b/>
          <w:bCs/>
        </w:rPr>
        <w:t>Expedited Procurement</w:t>
      </w:r>
    </w:p>
    <w:p w14:paraId="65485AD6"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The act streamlines Federal Acquisition Regulation (FAR) rules for the HHS in procuring property or services used in CBRN countermeasure development.</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Expedited FAR procedures decrease the amount of paperwork required for CBRN expenditures, increase the maximum dollar amount for contracts awarded under simplified acquisition rules from $100,000 to $25 million, and allow for noncompetitive purchasing under FAR.</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act also authorizes the HHS secretary to use an expedited process for awards up to $1.5 million for grants, contracts, and cooperative agreements related to CBRN countermeasure research and development if an urgent need exists for an expedited award.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expedited award process replaces the normal peer review process associated with research awards.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w:t>
      </w:r>
    </w:p>
    <w:p w14:paraId="23D1AED1" w14:textId="77777777" w:rsidR="00206E4B" w:rsidRPr="00E2164E" w:rsidRDefault="00206E4B" w:rsidP="002E115C">
      <w:pPr>
        <w:spacing w:line="480" w:lineRule="auto"/>
        <w:rPr>
          <w:rFonts w:ascii="Calibri" w:eastAsia="Times New Roman" w:hAnsi="Calibri" w:cs="Calibri"/>
          <w:b/>
          <w:bCs/>
        </w:rPr>
      </w:pPr>
    </w:p>
    <w:p w14:paraId="3E2C510E" w14:textId="77777777" w:rsidR="00206E4B" w:rsidRPr="000058A3" w:rsidRDefault="00206E4B" w:rsidP="002E115C">
      <w:pPr>
        <w:spacing w:line="480" w:lineRule="auto"/>
        <w:rPr>
          <w:rFonts w:ascii="Calibri" w:eastAsia="Times New Roman" w:hAnsi="Calibri" w:cs="Calibri"/>
          <w:b/>
          <w:bCs/>
        </w:rPr>
      </w:pPr>
      <w:r w:rsidRPr="000058A3">
        <w:rPr>
          <w:rFonts w:ascii="Calibri" w:eastAsia="Times New Roman" w:hAnsi="Calibri" w:cs="Calibri"/>
          <w:b/>
          <w:bCs/>
        </w:rPr>
        <w:t>Guaranteed Government Purchasing</w:t>
      </w:r>
    </w:p>
    <w:p w14:paraId="452E6AB7"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was intended to guarantee that the government will buy new, successful CBRN countermeasures for the </w:t>
      </w:r>
      <w:hyperlink r:id="rId67" w:anchor="Strategic-National" w:tooltip="Strategic National Stockpile (SNS)" w:history="1">
        <w:r w:rsidRPr="000058A3">
          <w:rPr>
            <w:rFonts w:ascii="Calibri" w:eastAsia="Times New Roman" w:hAnsi="Calibri" w:cs="Calibri"/>
            <w:color w:val="0F88B8"/>
            <w:bdr w:val="none" w:sz="0" w:space="0" w:color="auto" w:frame="1"/>
          </w:rPr>
          <w:t>Strategic National Stockpile (SNS)</w:t>
        </w:r>
      </w:hyperlink>
      <w:r w:rsidRPr="000058A3">
        <w:rPr>
          <w:rFonts w:ascii="Calibri" w:eastAsia="Times New Roman" w:hAnsi="Calibri" w:cs="Calibri"/>
          <w:color w:val="737373"/>
        </w:rPr>
        <w:t xml:space="preserve">. </w:t>
      </w:r>
      <w:r w:rsidRPr="000058A3">
        <w:rPr>
          <w:rFonts w:ascii="Calibri" w:eastAsia="Times New Roman" w:hAnsi="Calibri" w:cs="Calibri"/>
        </w:rPr>
        <w:t>The act allows the HHS secretary, with the concurrence of the secretary of Homeland Security and upon the approval of the president, to promise to buy a product up to eight years before it is reasonably expected to be delivered.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allows the HHS to purchase unapproved and unlicensed countermeasures upon a determination that sufficient satisfactory clinical experience or research data exists to reasonably conclude that the proposed countermeasure will qualify for FDA approval within eight years.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 The Pandemic and All-Hazards Preparedness Act amended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to give countermeasure developers milestone-based payments of up to half of the total award before the final product is delivered.</w:t>
      </w:r>
      <w:r w:rsidRPr="000058A3">
        <w:rPr>
          <w:rFonts w:ascii="Calibri" w:eastAsia="Times New Roman" w:hAnsi="Calibri" w:cs="Calibri"/>
          <w:bdr w:val="none" w:sz="0" w:space="0" w:color="auto" w:frame="1"/>
          <w:vertAlign w:val="superscript"/>
        </w:rPr>
        <w:t>1 </w:t>
      </w:r>
      <w:r w:rsidRPr="000058A3">
        <w:rPr>
          <w:rFonts w:ascii="Calibri" w:eastAsia="Times New Roman" w:hAnsi="Calibri" w:cs="Calibri"/>
        </w:rPr>
        <w:t> </w:t>
      </w:r>
    </w:p>
    <w:p w14:paraId="20C0C626" w14:textId="77777777" w:rsidR="00206E4B" w:rsidRPr="00E2164E" w:rsidRDefault="00206E4B" w:rsidP="002E115C">
      <w:pPr>
        <w:spacing w:line="480" w:lineRule="auto"/>
        <w:rPr>
          <w:rFonts w:ascii="Calibri" w:eastAsia="Times New Roman" w:hAnsi="Calibri" w:cs="Calibri"/>
          <w:b/>
          <w:bCs/>
        </w:rPr>
      </w:pPr>
    </w:p>
    <w:p w14:paraId="1E7E6737" w14:textId="77777777" w:rsidR="00206E4B" w:rsidRPr="000058A3" w:rsidRDefault="00206E4B" w:rsidP="002E115C">
      <w:pPr>
        <w:spacing w:line="480" w:lineRule="auto"/>
        <w:rPr>
          <w:rFonts w:ascii="Calibri" w:eastAsia="Times New Roman" w:hAnsi="Calibri" w:cs="Calibri"/>
          <w:b/>
          <w:bCs/>
        </w:rPr>
      </w:pPr>
      <w:r w:rsidRPr="000058A3">
        <w:rPr>
          <w:rFonts w:ascii="Calibri" w:eastAsia="Times New Roman" w:hAnsi="Calibri" w:cs="Calibri"/>
          <w:b/>
          <w:bCs/>
        </w:rPr>
        <w:lastRenderedPageBreak/>
        <w:t>Emergency Use Authorization</w:t>
      </w:r>
    </w:p>
    <w:p w14:paraId="724A606D" w14:textId="77777777" w:rsidR="00206E4B" w:rsidRPr="000058A3" w:rsidRDefault="00206E4B"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also amended §564 of the </w:t>
      </w:r>
      <w:hyperlink r:id="rId68" w:anchor="Federal-Food" w:tooltip="Federal Food, Drug, and Cosmetic Act (FD&amp;amp;C Act)" w:history="1">
        <w:r w:rsidRPr="000058A3">
          <w:rPr>
            <w:rFonts w:ascii="Calibri" w:eastAsia="Times New Roman" w:hAnsi="Calibri" w:cs="Calibri"/>
            <w:color w:val="0F88B8"/>
            <w:bdr w:val="none" w:sz="0" w:space="0" w:color="auto" w:frame="1"/>
          </w:rPr>
          <w:t>Federal Food, Drug, and Cosmetic Act (FD&amp;C Act)</w:t>
        </w:r>
      </w:hyperlink>
      <w:r w:rsidRPr="000058A3">
        <w:rPr>
          <w:rFonts w:ascii="Calibri" w:eastAsia="Times New Roman" w:hAnsi="Calibri" w:cs="Calibri"/>
          <w:color w:val="737373"/>
        </w:rPr>
        <w:t> </w:t>
      </w:r>
      <w:r w:rsidRPr="000058A3">
        <w:rPr>
          <w:rFonts w:ascii="Calibri" w:eastAsia="Times New Roman" w:hAnsi="Calibri" w:cs="Calibri"/>
        </w:rPr>
        <w:t>to create Emergency Use Authorization (EUA) authority. This authority allows for the temporary use of an unapproved medical product (drugs, biologics [e.g., vaccines], and devices [e.g., diagnostics]) or an unapproved use of an approved medical product during certain types of emergencies. FDA may issue an EUA for specific countermeasures if statutory and other criteria regarding emergency conditions are satisfied. (See </w:t>
      </w:r>
      <w:hyperlink r:id="rId69" w:tooltip="ASTHO Fact Sheet on EUA Authority" w:history="1">
        <w:r w:rsidRPr="000058A3">
          <w:rPr>
            <w:rFonts w:ascii="Calibri" w:eastAsia="Times New Roman" w:hAnsi="Calibri" w:cs="Calibri"/>
            <w:color w:val="0F88B8"/>
            <w:bdr w:val="none" w:sz="0" w:space="0" w:color="auto" w:frame="1"/>
          </w:rPr>
          <w:t>ASTHO Fact Sheet on EUA Authority</w:t>
        </w:r>
      </w:hyperlink>
      <w:r w:rsidRPr="000058A3">
        <w:rPr>
          <w:rFonts w:ascii="Calibri" w:eastAsia="Times New Roman" w:hAnsi="Calibri" w:cs="Calibri"/>
          <w:color w:val="737373"/>
        </w:rPr>
        <w:t> </w:t>
      </w:r>
      <w:r w:rsidRPr="000058A3">
        <w:rPr>
          <w:rFonts w:ascii="Calibri" w:eastAsia="Times New Roman" w:hAnsi="Calibri" w:cs="Calibri"/>
        </w:rPr>
        <w:t>for more information about the EUA.)</w:t>
      </w:r>
    </w:p>
    <w:p w14:paraId="2A621F53" w14:textId="77777777" w:rsidR="00206E4B" w:rsidRPr="00E2164E" w:rsidRDefault="00206E4B" w:rsidP="002E115C">
      <w:pPr>
        <w:spacing w:line="480" w:lineRule="auto"/>
        <w:rPr>
          <w:rFonts w:ascii="Calibri" w:eastAsia="Times New Roman" w:hAnsi="Calibri" w:cs="Calibri"/>
          <w:b/>
          <w:bCs/>
        </w:rPr>
      </w:pPr>
    </w:p>
    <w:p w14:paraId="11587205" w14:textId="77777777" w:rsidR="00206E4B" w:rsidRPr="000058A3" w:rsidRDefault="00206E4B"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How the Law Affects States</w:t>
      </w:r>
    </w:p>
    <w:p w14:paraId="091AEC82" w14:textId="77777777" w:rsidR="00206E4B" w:rsidRPr="000058A3" w:rsidRDefault="00206E4B" w:rsidP="002E115C">
      <w:pPr>
        <w:shd w:val="clear" w:color="auto" w:fill="FFFFFF"/>
        <w:spacing w:after="225"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primarily affects states through the act’s EUA provisions allowing the FDA to temporarily authorize the use of unapproved medical products, or the unapproved use of FDA-approved medical products, in an emergency.</w:t>
      </w:r>
    </w:p>
    <w:p w14:paraId="68EFDDAA" w14:textId="77777777" w:rsidR="00206E4B" w:rsidRPr="000058A3" w:rsidRDefault="00206E4B"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Sources</w:t>
      </w:r>
    </w:p>
    <w:p w14:paraId="5517A390" w14:textId="77777777" w:rsidR="00206E4B" w:rsidRDefault="00206E4B" w:rsidP="00206E4B">
      <w:pPr>
        <w:numPr>
          <w:ilvl w:val="0"/>
          <w:numId w:val="29"/>
        </w:numPr>
        <w:spacing w:line="480" w:lineRule="auto"/>
        <w:ind w:left="450"/>
        <w:textAlignment w:val="baseline"/>
        <w:rPr>
          <w:rFonts w:ascii="Calibri" w:eastAsia="Times New Roman" w:hAnsi="Calibri" w:cs="Calibri"/>
        </w:rPr>
      </w:pPr>
      <w:proofErr w:type="spellStart"/>
      <w:r w:rsidRPr="000058A3">
        <w:rPr>
          <w:rFonts w:ascii="Calibri" w:eastAsia="Times New Roman" w:hAnsi="Calibri" w:cs="Calibri"/>
        </w:rPr>
        <w:t>Gottron</w:t>
      </w:r>
      <w:proofErr w:type="spellEnd"/>
      <w:r w:rsidRPr="000058A3">
        <w:rPr>
          <w:rFonts w:ascii="Calibri" w:eastAsia="Times New Roman" w:hAnsi="Calibri" w:cs="Calibri"/>
        </w:rPr>
        <w:t xml:space="preserve"> F. Congressional Research Service.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Purposes and Authorities</w:t>
      </w:r>
      <w:r w:rsidRPr="000058A3">
        <w:rPr>
          <w:rFonts w:ascii="Calibri" w:eastAsia="Times New Roman" w:hAnsi="Calibri" w:cs="Calibri"/>
        </w:rPr>
        <w:t> (RS21507). July 6, 2009. Available at </w:t>
      </w:r>
      <w:hyperlink r:id="rId70" w:tooltip="www.hsdl.org/?view&amp;amp;did=15074" w:history="1">
        <w:r w:rsidRPr="000058A3">
          <w:rPr>
            <w:rFonts w:ascii="Calibri" w:eastAsia="Times New Roman" w:hAnsi="Calibri" w:cs="Calibri"/>
            <w:color w:val="0F88B8"/>
            <w:bdr w:val="none" w:sz="0" w:space="0" w:color="auto" w:frame="1"/>
          </w:rPr>
          <w:t>www.hsdl.org/?view&amp;did=15074</w:t>
        </w:r>
      </w:hyperlink>
      <w:r w:rsidRPr="000058A3">
        <w:rPr>
          <w:rFonts w:ascii="Calibri" w:eastAsia="Times New Roman" w:hAnsi="Calibri" w:cs="Calibri"/>
        </w:rPr>
        <w:t>. Accessed January 31, 2012.</w:t>
      </w:r>
    </w:p>
    <w:p w14:paraId="06EABF3B" w14:textId="77777777" w:rsidR="00206E4B" w:rsidRDefault="00206E4B" w:rsidP="002E115C">
      <w:pPr>
        <w:spacing w:line="480" w:lineRule="auto"/>
        <w:ind w:left="450"/>
        <w:textAlignment w:val="baseline"/>
        <w:rPr>
          <w:rFonts w:ascii="Calibri" w:eastAsia="Times New Roman" w:hAnsi="Calibri" w:cs="Calibri"/>
        </w:rPr>
      </w:pPr>
    </w:p>
    <w:p w14:paraId="76B6EDD5"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 xml:space="preserve">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of 2004. Pub. L. No. 108-276.</w:t>
      </w:r>
    </w:p>
    <w:p w14:paraId="62CEF572" w14:textId="77777777" w:rsidR="00206E4B" w:rsidRPr="000058A3" w:rsidRDefault="00206E4B" w:rsidP="002E115C">
      <w:pPr>
        <w:spacing w:line="480" w:lineRule="auto"/>
        <w:textAlignment w:val="baseline"/>
        <w:rPr>
          <w:rFonts w:ascii="Calibri" w:eastAsia="Times New Roman" w:hAnsi="Calibri" w:cs="Calibri"/>
        </w:rPr>
      </w:pPr>
    </w:p>
    <w:p w14:paraId="38AAF400"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U.S. Food and Drug Administration and the U.S. Centers for Disease Control and Prevention. “Emergency Use Authorization” online course. Available at </w:t>
      </w:r>
      <w:hyperlink r:id="rId71" w:tooltip="www.bt.cdc.gov/training/eua/index.html" w:history="1">
        <w:r w:rsidRPr="000058A3">
          <w:rPr>
            <w:rFonts w:ascii="Calibri" w:eastAsia="Times New Roman" w:hAnsi="Calibri" w:cs="Calibri"/>
            <w:color w:val="0F88B8"/>
            <w:bdr w:val="none" w:sz="0" w:space="0" w:color="auto" w:frame="1"/>
          </w:rPr>
          <w:t>www.bt.cdc.gov/training/eua/index.html</w:t>
        </w:r>
      </w:hyperlink>
      <w:r w:rsidRPr="000058A3">
        <w:rPr>
          <w:rFonts w:ascii="Calibri" w:eastAsia="Times New Roman" w:hAnsi="Calibri" w:cs="Calibri"/>
        </w:rPr>
        <w:t>. Accessed January 31, 2012.</w:t>
      </w:r>
    </w:p>
    <w:p w14:paraId="115F78D2" w14:textId="77777777" w:rsidR="00206E4B" w:rsidRPr="000058A3" w:rsidRDefault="00206E4B" w:rsidP="002E115C">
      <w:pPr>
        <w:spacing w:line="480" w:lineRule="auto"/>
        <w:ind w:left="450"/>
        <w:textAlignment w:val="baseline"/>
        <w:rPr>
          <w:rFonts w:ascii="Calibri" w:eastAsia="Times New Roman" w:hAnsi="Calibri" w:cs="Calibri"/>
        </w:rPr>
      </w:pPr>
    </w:p>
    <w:p w14:paraId="16AADB72"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Public Readiness and Emergency Preparedness Response Act of 2005. Pub. L. No. 109-148.</w:t>
      </w:r>
    </w:p>
    <w:p w14:paraId="33B15F02" w14:textId="77777777" w:rsidR="00206E4B" w:rsidRPr="000058A3" w:rsidRDefault="00206E4B" w:rsidP="002E115C">
      <w:pPr>
        <w:spacing w:line="480" w:lineRule="auto"/>
        <w:ind w:left="450"/>
        <w:textAlignment w:val="baseline"/>
        <w:rPr>
          <w:rFonts w:ascii="Calibri" w:eastAsia="Times New Roman" w:hAnsi="Calibri" w:cs="Calibri"/>
        </w:rPr>
      </w:pPr>
    </w:p>
    <w:p w14:paraId="3696AB37"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lastRenderedPageBreak/>
        <w:t>U.S. Department of Health and Human Services, Office of the Assistant Secretary of Preparedness and Response. “Public Health Emergency” webpage. Available at </w:t>
      </w:r>
      <w:hyperlink r:id="rId72" w:tooltip="www.phe.gov/Preparedness/pages/default.aspx" w:history="1">
        <w:r w:rsidRPr="000058A3">
          <w:rPr>
            <w:rFonts w:ascii="Calibri" w:eastAsia="Times New Roman" w:hAnsi="Calibri" w:cs="Calibri"/>
            <w:color w:val="0F88B8"/>
            <w:bdr w:val="none" w:sz="0" w:space="0" w:color="auto" w:frame="1"/>
          </w:rPr>
          <w:t>www.phe.gov/Preparedness/pages/default.aspx</w:t>
        </w:r>
      </w:hyperlink>
      <w:r w:rsidRPr="000058A3">
        <w:rPr>
          <w:rFonts w:ascii="Calibri" w:eastAsia="Times New Roman" w:hAnsi="Calibri" w:cs="Calibri"/>
        </w:rPr>
        <w:t>. Accessed January 31, 2012.</w:t>
      </w:r>
    </w:p>
    <w:p w14:paraId="4D332E81" w14:textId="77777777" w:rsidR="00206E4B" w:rsidRPr="000058A3" w:rsidRDefault="00206E4B" w:rsidP="002E115C">
      <w:pPr>
        <w:spacing w:line="480" w:lineRule="auto"/>
        <w:textAlignment w:val="baseline"/>
        <w:rPr>
          <w:rFonts w:ascii="Calibri" w:eastAsia="Times New Roman" w:hAnsi="Calibri" w:cs="Calibri"/>
        </w:rPr>
      </w:pPr>
    </w:p>
    <w:p w14:paraId="3F8BD651"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Pandemic and All-Hazards Preparedness Act. Pub. L. No. 109-417.</w:t>
      </w:r>
    </w:p>
    <w:p w14:paraId="72A9B7E4" w14:textId="77777777" w:rsidR="00206E4B" w:rsidRPr="000058A3" w:rsidRDefault="00206E4B" w:rsidP="002E115C">
      <w:pPr>
        <w:spacing w:line="480" w:lineRule="auto"/>
        <w:textAlignment w:val="baseline"/>
        <w:rPr>
          <w:rFonts w:ascii="Calibri" w:eastAsia="Times New Roman" w:hAnsi="Calibri" w:cs="Calibri"/>
        </w:rPr>
      </w:pPr>
    </w:p>
    <w:p w14:paraId="74009731"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See U.S. Department of Health and Human Services. “Medical Countermeasures” webpage at </w:t>
      </w:r>
      <w:hyperlink r:id="rId73" w:tooltip="www.phe.gov/preparedness/mcm/pages/default.aspx" w:history="1">
        <w:r w:rsidRPr="000058A3">
          <w:rPr>
            <w:rFonts w:ascii="Calibri" w:eastAsia="Times New Roman" w:hAnsi="Calibri" w:cs="Calibri"/>
            <w:color w:val="0F88B8"/>
            <w:bdr w:val="none" w:sz="0" w:space="0" w:color="auto" w:frame="1"/>
          </w:rPr>
          <w:t>www.phe.gov/preparedness/mcm/pages/default.aspx</w:t>
        </w:r>
      </w:hyperlink>
      <w:r w:rsidRPr="000058A3">
        <w:rPr>
          <w:rFonts w:ascii="Calibri" w:eastAsia="Times New Roman" w:hAnsi="Calibri" w:cs="Calibri"/>
          <w:color w:val="737373"/>
        </w:rPr>
        <w:t> </w:t>
      </w:r>
      <w:r w:rsidRPr="000058A3">
        <w:rPr>
          <w:rFonts w:ascii="Calibri" w:eastAsia="Times New Roman" w:hAnsi="Calibri" w:cs="Calibri"/>
        </w:rPr>
        <w:t>and “Medical Countermeasures.gov” website at </w:t>
      </w:r>
      <w:hyperlink r:id="rId74" w:tooltip="www.medicalcountermeasures.gov" w:history="1">
        <w:r w:rsidRPr="000058A3">
          <w:rPr>
            <w:rFonts w:ascii="Calibri" w:eastAsia="Times New Roman" w:hAnsi="Calibri" w:cs="Calibri"/>
            <w:color w:val="0F88B8"/>
            <w:bdr w:val="none" w:sz="0" w:space="0" w:color="auto" w:frame="1"/>
          </w:rPr>
          <w:t>www.medicalcountermeasures.gov</w:t>
        </w:r>
      </w:hyperlink>
      <w:r w:rsidRPr="000058A3">
        <w:rPr>
          <w:rFonts w:ascii="Calibri" w:eastAsia="Times New Roman" w:hAnsi="Calibri" w:cs="Calibri"/>
          <w:color w:val="737373"/>
        </w:rPr>
        <w:t>.</w:t>
      </w:r>
      <w:r w:rsidRPr="000058A3">
        <w:rPr>
          <w:rFonts w:ascii="Calibri" w:eastAsia="Times New Roman" w:hAnsi="Calibri" w:cs="Calibri"/>
        </w:rPr>
        <w:t xml:space="preserve"> Both accessed January 31, 2012.</w:t>
      </w:r>
    </w:p>
    <w:p w14:paraId="55B52C42" w14:textId="77777777" w:rsidR="00206E4B" w:rsidRPr="000058A3" w:rsidRDefault="00206E4B" w:rsidP="002E115C">
      <w:pPr>
        <w:spacing w:line="480" w:lineRule="auto"/>
        <w:textAlignment w:val="baseline"/>
        <w:rPr>
          <w:rFonts w:ascii="Calibri" w:eastAsia="Times New Roman" w:hAnsi="Calibri" w:cs="Calibri"/>
        </w:rPr>
      </w:pPr>
    </w:p>
    <w:p w14:paraId="226FCAC0" w14:textId="77777777" w:rsidR="00206E4B"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U.S. Government Accountability Office.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HHS Can Improve Agency Internal Controls for Its New Contracting Authorities</w:t>
      </w:r>
      <w:r w:rsidRPr="000058A3">
        <w:rPr>
          <w:rFonts w:ascii="Calibri" w:eastAsia="Times New Roman" w:hAnsi="Calibri" w:cs="Calibri"/>
        </w:rPr>
        <w:t>(GAO-09-820). July 21, 2009. Available at </w:t>
      </w:r>
      <w:hyperlink r:id="rId75" w:tooltip="www.gao.gov/new.items/d09820.pdf" w:history="1">
        <w:r w:rsidRPr="000058A3">
          <w:rPr>
            <w:rFonts w:ascii="Calibri" w:eastAsia="Times New Roman" w:hAnsi="Calibri" w:cs="Calibri"/>
            <w:color w:val="0F88B8"/>
            <w:bdr w:val="none" w:sz="0" w:space="0" w:color="auto" w:frame="1"/>
          </w:rPr>
          <w:t>www.gao.gov/new.items/d09820.pdf</w:t>
        </w:r>
      </w:hyperlink>
      <w:r w:rsidRPr="000058A3">
        <w:rPr>
          <w:rFonts w:ascii="Calibri" w:eastAsia="Times New Roman" w:hAnsi="Calibri" w:cs="Calibri"/>
        </w:rPr>
        <w:t>. Accessed January 31, 2012.</w:t>
      </w:r>
    </w:p>
    <w:p w14:paraId="35C1FB5F" w14:textId="77777777" w:rsidR="00206E4B" w:rsidRPr="000058A3" w:rsidRDefault="00206E4B" w:rsidP="002E115C">
      <w:pPr>
        <w:spacing w:line="480" w:lineRule="auto"/>
        <w:textAlignment w:val="baseline"/>
        <w:rPr>
          <w:rFonts w:ascii="Calibri" w:eastAsia="Times New Roman" w:hAnsi="Calibri" w:cs="Calibri"/>
        </w:rPr>
      </w:pPr>
    </w:p>
    <w:p w14:paraId="6DD53A42" w14:textId="77777777" w:rsidR="00206E4B" w:rsidRPr="000058A3" w:rsidRDefault="00206E4B" w:rsidP="00206E4B">
      <w:pPr>
        <w:numPr>
          <w:ilvl w:val="0"/>
          <w:numId w:val="29"/>
        </w:numPr>
        <w:spacing w:line="480" w:lineRule="auto"/>
        <w:ind w:left="450"/>
        <w:textAlignment w:val="baseline"/>
        <w:rPr>
          <w:rFonts w:ascii="Calibri" w:eastAsia="Times New Roman" w:hAnsi="Calibri" w:cs="Calibri"/>
        </w:rPr>
      </w:pPr>
      <w:r w:rsidRPr="000058A3">
        <w:rPr>
          <w:rFonts w:ascii="Calibri" w:eastAsia="Times New Roman" w:hAnsi="Calibri" w:cs="Calibri"/>
        </w:rPr>
        <w:t>U.S. Government Accountability Office.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xml:space="preserve"> Act: HHS Has Supported Development, Procurement, and Emergency Use of Medical Countermeasures to Address Health Threats</w:t>
      </w:r>
      <w:r w:rsidRPr="000058A3">
        <w:rPr>
          <w:rFonts w:ascii="Calibri" w:eastAsia="Times New Roman" w:hAnsi="Calibri" w:cs="Calibri"/>
        </w:rPr>
        <w:t> (GAO-09-878R). July 24, 2009. Available at </w:t>
      </w:r>
      <w:hyperlink r:id="rId76" w:tooltip="www.gao.gov/new.items/d09878r.pdf" w:history="1">
        <w:r w:rsidRPr="000058A3">
          <w:rPr>
            <w:rFonts w:ascii="Calibri" w:eastAsia="Times New Roman" w:hAnsi="Calibri" w:cs="Calibri"/>
            <w:color w:val="0F88B8"/>
            <w:bdr w:val="none" w:sz="0" w:space="0" w:color="auto" w:frame="1"/>
          </w:rPr>
          <w:t>www.gao.gov/new.items/d09878r.pdf</w:t>
        </w:r>
      </w:hyperlink>
      <w:r w:rsidRPr="000058A3">
        <w:rPr>
          <w:rFonts w:ascii="Calibri" w:eastAsia="Times New Roman" w:hAnsi="Calibri" w:cs="Calibri"/>
        </w:rPr>
        <w:t>. Accessed January 31, 2012.</w:t>
      </w:r>
    </w:p>
    <w:p w14:paraId="452FA47A" w14:textId="77777777" w:rsidR="00D520A1" w:rsidRDefault="00D520A1">
      <w:pPr>
        <w:rPr>
          <w:rFonts w:ascii="Calibri" w:hAnsi="Calibri" w:cs="Calibri"/>
        </w:rPr>
      </w:pPr>
    </w:p>
    <w:p w14:paraId="136A41F5" w14:textId="77777777" w:rsidR="00D520A1" w:rsidRDefault="00D520A1" w:rsidP="00D520A1">
      <w:pPr>
        <w:rPr>
          <w:rFonts w:cstheme="minorHAnsi"/>
          <w:sz w:val="24"/>
        </w:rPr>
      </w:pPr>
      <w:r>
        <w:rPr>
          <w:rFonts w:cstheme="minorHAnsi"/>
          <w:sz w:val="24"/>
        </w:rPr>
        <w:t>[</w:t>
      </w:r>
      <w:hyperlink w:anchor="TOC_top" w:history="1">
        <w:r w:rsidRPr="008F1431">
          <w:rPr>
            <w:rStyle w:val="Hyperlink"/>
            <w:rFonts w:cstheme="minorHAnsi"/>
            <w:sz w:val="24"/>
          </w:rPr>
          <w:t>TOC</w:t>
        </w:r>
        <w:r w:rsidRPr="008F1431">
          <w:rPr>
            <w:rStyle w:val="Hyperlink"/>
            <w:rFonts w:cstheme="minorHAnsi"/>
            <w:sz w:val="24"/>
          </w:rPr>
          <w:t xml:space="preserve"> </w:t>
        </w:r>
        <w:r w:rsidRPr="008F1431">
          <w:rPr>
            <w:rStyle w:val="Hyperlink"/>
            <w:rFonts w:cstheme="minorHAnsi"/>
            <w:sz w:val="24"/>
          </w:rPr>
          <w:t>top</w:t>
        </w:r>
      </w:hyperlink>
      <w:r>
        <w:rPr>
          <w:rFonts w:cstheme="minorHAnsi"/>
          <w:sz w:val="24"/>
        </w:rPr>
        <w:t>]</w:t>
      </w:r>
    </w:p>
    <w:p w14:paraId="6EECF46F" w14:textId="77777777" w:rsidR="00D520A1" w:rsidRDefault="00D520A1">
      <w:pPr>
        <w:rPr>
          <w:rFonts w:ascii="Calibri" w:hAnsi="Calibri" w:cs="Calibri"/>
        </w:rPr>
      </w:pPr>
    </w:p>
    <w:p w14:paraId="2828F282" w14:textId="4FC5B63C" w:rsidR="00D520A1" w:rsidRDefault="00D520A1">
      <w:pPr>
        <w:rPr>
          <w:rFonts w:ascii="Calibri" w:hAnsi="Calibri" w:cs="Calibri"/>
        </w:rPr>
      </w:pPr>
      <w:r>
        <w:rPr>
          <w:rFonts w:ascii="Calibri" w:hAnsi="Calibri" w:cs="Calibri"/>
        </w:rPr>
        <w:br w:type="page"/>
      </w:r>
    </w:p>
    <w:p w14:paraId="461FF731" w14:textId="77777777" w:rsidR="00206E4B" w:rsidRPr="00392C37" w:rsidRDefault="00206E4B" w:rsidP="00074744">
      <w:pPr>
        <w:spacing w:line="480" w:lineRule="auto"/>
        <w:rPr>
          <w:rFonts w:eastAsia="Times New Roman" w:cstheme="minorHAnsi"/>
          <w:b/>
          <w:bCs/>
          <w:color w:val="333333"/>
          <w:spacing w:val="15"/>
          <w:kern w:val="36"/>
          <w:sz w:val="28"/>
          <w:szCs w:val="28"/>
        </w:rPr>
      </w:pPr>
      <w:bookmarkStart w:id="7" w:name="PREP_Act_FS"/>
      <w:r w:rsidRPr="00392C37">
        <w:rPr>
          <w:rFonts w:eastAsia="Times New Roman" w:cstheme="minorHAnsi"/>
          <w:b/>
          <w:bCs/>
          <w:color w:val="333333"/>
          <w:spacing w:val="15"/>
          <w:kern w:val="36"/>
          <w:sz w:val="28"/>
          <w:szCs w:val="28"/>
        </w:rPr>
        <w:lastRenderedPageBreak/>
        <w:t>Public Readiness and Emergency Preparedness Act</w:t>
      </w:r>
    </w:p>
    <w:bookmarkEnd w:id="7"/>
    <w:p w14:paraId="535AEE10" w14:textId="77777777" w:rsidR="00206E4B" w:rsidRPr="00392C37" w:rsidRDefault="00206E4B"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Fact Sheet</w:t>
      </w:r>
    </w:p>
    <w:p w14:paraId="626BBECA" w14:textId="77777777" w:rsidR="00206E4B" w:rsidRDefault="00206E4B" w:rsidP="00074744">
      <w:pPr>
        <w:spacing w:line="480" w:lineRule="auto"/>
        <w:rPr>
          <w:rFonts w:eastAsia="Times New Roman" w:cstheme="minorHAnsi"/>
          <w:b/>
          <w:bCs/>
          <w:color w:val="3C3030"/>
          <w:sz w:val="24"/>
          <w:szCs w:val="24"/>
        </w:rPr>
      </w:pPr>
    </w:p>
    <w:p w14:paraId="5A834990" w14:textId="77777777" w:rsidR="00206E4B" w:rsidRPr="00392C37" w:rsidRDefault="00206E4B"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Overview</w:t>
      </w:r>
    </w:p>
    <w:p w14:paraId="79A9EEA7" w14:textId="77777777" w:rsidR="00206E4B" w:rsidRPr="00392C37" w:rsidRDefault="00206E4B" w:rsidP="00074744">
      <w:pPr>
        <w:shd w:val="clear" w:color="auto" w:fill="FFFFFF"/>
        <w:spacing w:line="480" w:lineRule="auto"/>
        <w:textAlignment w:val="baseline"/>
        <w:rPr>
          <w:rFonts w:eastAsia="Times New Roman" w:cstheme="minorHAnsi"/>
          <w:color w:val="737373"/>
        </w:rPr>
      </w:pPr>
      <w:r w:rsidRPr="00392C37">
        <w:rPr>
          <w:rFonts w:eastAsia="Times New Roman" w:cstheme="minorHAnsi"/>
        </w:rPr>
        <w:t>The </w:t>
      </w:r>
      <w:hyperlink r:id="rId77" w:anchor="Public-Readiness" w:tooltip="Public Readiness and Emergency Preparedness Act of 2005 (PREP Act)" w:history="1">
        <w:r w:rsidRPr="00392C37">
          <w:rPr>
            <w:rFonts w:eastAsia="Times New Roman" w:cstheme="minorHAnsi"/>
            <w:color w:val="0F88B8"/>
            <w:bdr w:val="none" w:sz="0" w:space="0" w:color="auto" w:frame="1"/>
          </w:rPr>
          <w:t>Public Readiness and Emergency Preparedness Act of 2005 (PREP Act)</w:t>
        </w:r>
      </w:hyperlink>
      <w:r w:rsidRPr="00392C37">
        <w:rPr>
          <w:rFonts w:eastAsia="Times New Roman" w:cstheme="minorHAnsi"/>
          <w:bdr w:val="none" w:sz="0" w:space="0" w:color="auto" w:frame="1"/>
          <w:vertAlign w:val="superscript"/>
        </w:rPr>
        <w:t>1</w:t>
      </w:r>
      <w:r w:rsidRPr="00392C37">
        <w:rPr>
          <w:rFonts w:eastAsia="Times New Roman" w:cstheme="minorHAnsi"/>
        </w:rPr>
        <w:t xml:space="preserve">authorizes the secretary of the Department of Health and Human Services (HHS) to issue a declaration that provides immunity from tort liability for claims of loss caused by countermeasures (e.g., vaccines, drugs, products) against diseases or other threats of public health emergencies. The PREP Act added new authorities under the Public Health Service Act to address concerns about potential liability associated with the development and administration of countermeasures. </w:t>
      </w:r>
    </w:p>
    <w:p w14:paraId="0735789A" w14:textId="77777777" w:rsidR="00206E4B" w:rsidRPr="00AA4F46" w:rsidRDefault="00206E4B" w:rsidP="00074744">
      <w:pPr>
        <w:spacing w:line="480" w:lineRule="auto"/>
        <w:rPr>
          <w:rFonts w:eastAsia="Times New Roman" w:cstheme="minorHAnsi"/>
          <w:b/>
          <w:bCs/>
          <w:color w:val="3C3030"/>
        </w:rPr>
      </w:pPr>
    </w:p>
    <w:p w14:paraId="29607035" w14:textId="77777777" w:rsidR="00206E4B" w:rsidRPr="00392C37" w:rsidRDefault="00206E4B"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What the Law Does</w:t>
      </w:r>
    </w:p>
    <w:p w14:paraId="73BD66EF" w14:textId="77777777" w:rsidR="00206E4B" w:rsidRPr="00392C37" w:rsidRDefault="00206E4B" w:rsidP="00074744">
      <w:pPr>
        <w:spacing w:line="480" w:lineRule="auto"/>
        <w:rPr>
          <w:rFonts w:eastAsia="Times New Roman" w:cstheme="minorHAnsi"/>
          <w:b/>
          <w:bCs/>
        </w:rPr>
      </w:pPr>
      <w:r w:rsidRPr="00392C37">
        <w:rPr>
          <w:rFonts w:eastAsia="Times New Roman" w:cstheme="minorHAnsi"/>
          <w:b/>
          <w:bCs/>
        </w:rPr>
        <w:t>Liability Protection</w:t>
      </w:r>
    </w:p>
    <w:p w14:paraId="4422DC2E" w14:textId="77777777" w:rsidR="00206E4B" w:rsidRPr="00392C37" w:rsidRDefault="00206E4B" w:rsidP="00074744">
      <w:pPr>
        <w:shd w:val="clear" w:color="auto" w:fill="FFFFFF"/>
        <w:spacing w:after="225" w:line="480" w:lineRule="auto"/>
        <w:textAlignment w:val="baseline"/>
        <w:rPr>
          <w:rFonts w:eastAsia="Times New Roman" w:cstheme="minorHAnsi"/>
        </w:rPr>
      </w:pPr>
      <w:r w:rsidRPr="00392C37">
        <w:rPr>
          <w:rFonts w:eastAsia="Times New Roman" w:cstheme="minorHAnsi"/>
        </w:rPr>
        <w:t>The PREP Act confers immunity from liability on specified persons for certain activities related to covered countermeasures:</w:t>
      </w:r>
    </w:p>
    <w:p w14:paraId="0865A635" w14:textId="77777777" w:rsidR="00206E4B" w:rsidRDefault="00206E4B" w:rsidP="00206E4B">
      <w:pPr>
        <w:pStyle w:val="ListParagraph"/>
        <w:numPr>
          <w:ilvl w:val="0"/>
          <w:numId w:val="31"/>
        </w:numPr>
        <w:spacing w:line="480" w:lineRule="auto"/>
        <w:textAlignment w:val="baseline"/>
        <w:rPr>
          <w:rFonts w:eastAsia="Times New Roman" w:cstheme="minorHAnsi"/>
        </w:rPr>
      </w:pPr>
      <w:r w:rsidRPr="00AA4F46">
        <w:rPr>
          <w:rFonts w:eastAsia="Times New Roman" w:cstheme="minorHAnsi"/>
          <w:b/>
          <w:bCs/>
          <w:bdr w:val="none" w:sz="0" w:space="0" w:color="auto" w:frame="1"/>
        </w:rPr>
        <w:t>Persons Covered—</w:t>
      </w:r>
      <w:r w:rsidRPr="00AA4F46">
        <w:rPr>
          <w:rFonts w:eastAsia="Times New Roman" w:cstheme="minorHAnsi"/>
        </w:rPr>
        <w:t>The PREP Act covers individual persons and entities. Covered persons may, at the secretary’s discretion, include manufacturers, distributors, program planners (i.e., individuals and entities involved in planning and administering programs for the distribution of countermeasures), and qualified persons who prescribe, administer, or dispense countermeasures (i.e., healthcare and other providers). The U.S. officials, agents, and employees of any of these entities or persons are also covered persons.</w:t>
      </w:r>
    </w:p>
    <w:p w14:paraId="3EA5FC65" w14:textId="77777777" w:rsidR="00206E4B" w:rsidRPr="00AA4F46" w:rsidRDefault="00206E4B" w:rsidP="00074744">
      <w:pPr>
        <w:pStyle w:val="ListParagraph"/>
        <w:spacing w:line="480" w:lineRule="auto"/>
        <w:ind w:left="360"/>
        <w:textAlignment w:val="baseline"/>
        <w:rPr>
          <w:rFonts w:eastAsia="Times New Roman" w:cstheme="minorHAnsi"/>
        </w:rPr>
      </w:pPr>
    </w:p>
    <w:p w14:paraId="00D090ED" w14:textId="77777777" w:rsidR="00206E4B" w:rsidRDefault="00206E4B" w:rsidP="00206E4B">
      <w:pPr>
        <w:pStyle w:val="ListParagraph"/>
        <w:numPr>
          <w:ilvl w:val="0"/>
          <w:numId w:val="31"/>
        </w:numPr>
        <w:spacing w:line="480" w:lineRule="auto"/>
        <w:textAlignment w:val="baseline"/>
        <w:rPr>
          <w:rFonts w:eastAsia="Times New Roman" w:cstheme="minorHAnsi"/>
        </w:rPr>
      </w:pPr>
      <w:r w:rsidRPr="00AA4F46">
        <w:rPr>
          <w:rFonts w:eastAsia="Times New Roman" w:cstheme="minorHAnsi"/>
          <w:b/>
          <w:bCs/>
          <w:bdr w:val="none" w:sz="0" w:space="0" w:color="auto" w:frame="1"/>
        </w:rPr>
        <w:lastRenderedPageBreak/>
        <w:t>Activities Covered—</w:t>
      </w:r>
      <w:r w:rsidRPr="00AA4F46">
        <w:rPr>
          <w:rFonts w:eastAsia="Times New Roman" w:cstheme="minorHAnsi"/>
        </w:rPr>
        <w:t>Immunity applies to the development, manufacture, testing, distribution, administration, and use of countermeasures.</w:t>
      </w:r>
    </w:p>
    <w:p w14:paraId="5C548C98" w14:textId="77777777" w:rsidR="00206E4B" w:rsidRPr="00AA4F46" w:rsidRDefault="00206E4B" w:rsidP="00074744">
      <w:pPr>
        <w:spacing w:line="480" w:lineRule="auto"/>
        <w:textAlignment w:val="baseline"/>
        <w:rPr>
          <w:rFonts w:eastAsia="Times New Roman" w:cstheme="minorHAnsi"/>
        </w:rPr>
      </w:pPr>
    </w:p>
    <w:p w14:paraId="32A27B69" w14:textId="77777777" w:rsidR="00206E4B" w:rsidRDefault="00206E4B" w:rsidP="00206E4B">
      <w:pPr>
        <w:pStyle w:val="ListParagraph"/>
        <w:numPr>
          <w:ilvl w:val="0"/>
          <w:numId w:val="31"/>
        </w:numPr>
        <w:spacing w:line="480" w:lineRule="auto"/>
        <w:textAlignment w:val="baseline"/>
        <w:rPr>
          <w:rFonts w:eastAsia="Times New Roman" w:cstheme="minorHAnsi"/>
        </w:rPr>
      </w:pPr>
      <w:r w:rsidRPr="00AA4F46">
        <w:rPr>
          <w:rFonts w:eastAsia="Times New Roman" w:cstheme="minorHAnsi"/>
          <w:b/>
          <w:bCs/>
          <w:bdr w:val="none" w:sz="0" w:space="0" w:color="auto" w:frame="1"/>
        </w:rPr>
        <w:t>Countermeasures Covered—</w:t>
      </w:r>
      <w:r w:rsidRPr="00AA4F46">
        <w:rPr>
          <w:rFonts w:eastAsia="Times New Roman" w:cstheme="minorHAnsi"/>
        </w:rPr>
        <w:t>Countermeasures can include vaccines, drugs, or medical devices to be used against chemical, biological, radiological, and nuclear (CBRN) agents of terrorism, epidemics, and pandemics.</w:t>
      </w:r>
    </w:p>
    <w:p w14:paraId="1E65486F" w14:textId="77777777" w:rsidR="00206E4B" w:rsidRPr="00AA4F46" w:rsidRDefault="00206E4B" w:rsidP="00074744">
      <w:pPr>
        <w:spacing w:line="480" w:lineRule="auto"/>
        <w:textAlignment w:val="baseline"/>
        <w:rPr>
          <w:rFonts w:eastAsia="Times New Roman" w:cstheme="minorHAnsi"/>
        </w:rPr>
      </w:pPr>
    </w:p>
    <w:p w14:paraId="2E988345" w14:textId="77777777" w:rsidR="00206E4B" w:rsidRPr="00AA4F46" w:rsidRDefault="00206E4B" w:rsidP="00206E4B">
      <w:pPr>
        <w:pStyle w:val="ListParagraph"/>
        <w:numPr>
          <w:ilvl w:val="0"/>
          <w:numId w:val="31"/>
        </w:numPr>
        <w:spacing w:line="480" w:lineRule="auto"/>
        <w:textAlignment w:val="baseline"/>
        <w:rPr>
          <w:rFonts w:eastAsia="Times New Roman" w:cstheme="minorHAnsi"/>
        </w:rPr>
      </w:pPr>
      <w:r w:rsidRPr="00AA4F46">
        <w:rPr>
          <w:rFonts w:eastAsia="Times New Roman" w:cstheme="minorHAnsi"/>
          <w:b/>
          <w:bCs/>
          <w:bdr w:val="none" w:sz="0" w:space="0" w:color="auto" w:frame="1"/>
        </w:rPr>
        <w:t>Claims Covered—</w:t>
      </w:r>
      <w:r w:rsidRPr="00AA4F46">
        <w:rPr>
          <w:rFonts w:eastAsia="Times New Roman" w:cstheme="minorHAnsi"/>
        </w:rPr>
        <w:t>The act provides immunity from tort liability except for willful misconduct. PREP Act immunity covers death and physical, mental, or emotional injury, illness, or disability, and the fear of these conditions. Liability protections also extend to claims made for medical monitoring as well as loss or damage to property, including business interruption. Claims that have a causal relationship to the development, distribution, administration, or use of the covered countermeasure are potentially included within the scope of PREP Act liability protections.</w:t>
      </w:r>
      <w:r w:rsidRPr="00AA4F46">
        <w:rPr>
          <w:rFonts w:eastAsia="Times New Roman" w:cstheme="minorHAnsi"/>
          <w:bdr w:val="none" w:sz="0" w:space="0" w:color="auto" w:frame="1"/>
          <w:vertAlign w:val="superscript"/>
        </w:rPr>
        <w:t>2 </w:t>
      </w:r>
      <w:r w:rsidRPr="00AA4F46">
        <w:rPr>
          <w:rFonts w:eastAsia="Times New Roman" w:cstheme="minorHAnsi"/>
        </w:rPr>
        <w:t> </w:t>
      </w:r>
    </w:p>
    <w:p w14:paraId="2BF0C9B5" w14:textId="77777777" w:rsidR="00206E4B" w:rsidRPr="00AA4F46" w:rsidRDefault="00206E4B" w:rsidP="00074744">
      <w:pPr>
        <w:spacing w:line="480" w:lineRule="auto"/>
        <w:rPr>
          <w:rFonts w:eastAsia="Times New Roman" w:cstheme="minorHAnsi"/>
          <w:b/>
          <w:bCs/>
        </w:rPr>
      </w:pPr>
    </w:p>
    <w:p w14:paraId="4F76DDD9" w14:textId="77777777" w:rsidR="00206E4B" w:rsidRPr="00392C37" w:rsidRDefault="00206E4B" w:rsidP="00074744">
      <w:pPr>
        <w:spacing w:line="480" w:lineRule="auto"/>
        <w:rPr>
          <w:rFonts w:eastAsia="Times New Roman" w:cstheme="minorHAnsi"/>
          <w:b/>
          <w:bCs/>
        </w:rPr>
      </w:pPr>
      <w:r w:rsidRPr="00392C37">
        <w:rPr>
          <w:rFonts w:eastAsia="Times New Roman" w:cstheme="minorHAnsi"/>
          <w:b/>
          <w:bCs/>
        </w:rPr>
        <w:t>Compensation Fund</w:t>
      </w:r>
    </w:p>
    <w:p w14:paraId="1E29B769" w14:textId="77777777" w:rsidR="00206E4B" w:rsidRPr="00392C37" w:rsidRDefault="00206E4B" w:rsidP="00074744">
      <w:pPr>
        <w:shd w:val="clear" w:color="auto" w:fill="FFFFFF"/>
        <w:spacing w:line="480" w:lineRule="auto"/>
        <w:textAlignment w:val="baseline"/>
        <w:rPr>
          <w:rFonts w:eastAsia="Times New Roman" w:cstheme="minorHAnsi"/>
        </w:rPr>
      </w:pPr>
      <w:r w:rsidRPr="00392C37">
        <w:rPr>
          <w:rFonts w:eastAsia="Times New Roman" w:cstheme="minorHAnsi"/>
        </w:rPr>
        <w:t>The PREP Act authorizes an emergency fund in the U.S. Treasury to provide compensation for injuries directly caused by administration or use of a countermeasure covered by the secretary’s declaration. The</w:t>
      </w:r>
      <w:r w:rsidRPr="00392C37">
        <w:rPr>
          <w:rFonts w:eastAsia="Times New Roman" w:cstheme="minorHAnsi"/>
          <w:color w:val="737373"/>
        </w:rPr>
        <w:t> </w:t>
      </w:r>
      <w:hyperlink r:id="rId78" w:anchor="Countermeasures-Injury" w:tooltip="Countermeasures Injury Compensation Program (CICP)" w:history="1">
        <w:r w:rsidRPr="00392C37">
          <w:rPr>
            <w:rFonts w:eastAsia="Times New Roman" w:cstheme="minorHAnsi"/>
            <w:color w:val="0F88B8"/>
            <w:bdr w:val="none" w:sz="0" w:space="0" w:color="auto" w:frame="1"/>
          </w:rPr>
          <w:t>Countermeasures Injury Compensation Program (CICP)</w:t>
        </w:r>
      </w:hyperlink>
      <w:r w:rsidRPr="00392C37">
        <w:rPr>
          <w:rFonts w:eastAsia="Times New Roman" w:cstheme="minorHAnsi"/>
          <w:color w:val="737373"/>
        </w:rPr>
        <w:t> </w:t>
      </w:r>
      <w:r w:rsidRPr="00392C37">
        <w:rPr>
          <w:rFonts w:eastAsia="Times New Roman" w:cstheme="minorHAnsi"/>
        </w:rPr>
        <w:t>is administered by the Health Resources and Services Administration (HRSA).</w:t>
      </w:r>
    </w:p>
    <w:p w14:paraId="416DE7FF" w14:textId="77777777" w:rsidR="00206E4B" w:rsidRPr="00AA4F46" w:rsidRDefault="00206E4B" w:rsidP="00074744">
      <w:pPr>
        <w:spacing w:line="480" w:lineRule="auto"/>
        <w:rPr>
          <w:rFonts w:eastAsia="Times New Roman" w:cstheme="minorHAnsi"/>
          <w:b/>
          <w:bCs/>
        </w:rPr>
      </w:pPr>
    </w:p>
    <w:p w14:paraId="306A0BF6" w14:textId="77777777" w:rsidR="00206E4B" w:rsidRPr="00392C37" w:rsidRDefault="00206E4B" w:rsidP="00074744">
      <w:pPr>
        <w:spacing w:line="480" w:lineRule="auto"/>
        <w:rPr>
          <w:rFonts w:eastAsia="Times New Roman" w:cstheme="minorHAnsi"/>
          <w:b/>
          <w:bCs/>
        </w:rPr>
      </w:pPr>
      <w:r w:rsidRPr="00392C37">
        <w:rPr>
          <w:rFonts w:eastAsia="Times New Roman" w:cstheme="minorHAnsi"/>
          <w:b/>
          <w:bCs/>
        </w:rPr>
        <w:t>What the Law Does Not Do</w:t>
      </w:r>
    </w:p>
    <w:p w14:paraId="6F59AC8A" w14:textId="77777777" w:rsidR="00206E4B" w:rsidRPr="00392C37" w:rsidRDefault="00206E4B" w:rsidP="00074744">
      <w:pPr>
        <w:shd w:val="clear" w:color="auto" w:fill="FFFFFF"/>
        <w:spacing w:line="480" w:lineRule="auto"/>
        <w:textAlignment w:val="baseline"/>
        <w:rPr>
          <w:rFonts w:eastAsia="Times New Roman" w:cstheme="minorHAnsi"/>
        </w:rPr>
      </w:pPr>
      <w:r w:rsidRPr="00392C37">
        <w:rPr>
          <w:rFonts w:eastAsia="Times New Roman" w:cstheme="minorHAnsi"/>
        </w:rPr>
        <w:t xml:space="preserve">A PREP Act declaration by the HHS secretary only provides immunity from liability for the persons, activities, and countermeasures specified in the declaration; it does not automatically protect everyone involved in any kind of medical response to an emergency. The act’s liability protections do not apply </w:t>
      </w:r>
      <w:r w:rsidRPr="00392C37">
        <w:rPr>
          <w:rFonts w:eastAsia="Times New Roman" w:cstheme="minorHAnsi"/>
        </w:rPr>
        <w:lastRenderedPageBreak/>
        <w:t>where the liability arose from willful misconduct. It also does not protect individuals who violate a person’s civil rights or who violate the Americans with Disabilities Act, among other exceptions stated in the act. The PREP Act does not confer any other immunities or liability protections. A PREP Act declaration is different from, and independent of, other federal emergency declarations. A separate public health emergency determination under </w:t>
      </w:r>
      <w:hyperlink r:id="rId79" w:anchor="Public-Health-Service" w:tooltip="Public Health Service Act Section 319" w:history="1">
        <w:r w:rsidRPr="00392C37">
          <w:rPr>
            <w:rFonts w:eastAsia="Times New Roman" w:cstheme="minorHAnsi"/>
            <w:color w:val="0F88B8"/>
            <w:bdr w:val="none" w:sz="0" w:space="0" w:color="auto" w:frame="1"/>
          </w:rPr>
          <w:t>Public Health Service Act Section 319</w:t>
        </w:r>
      </w:hyperlink>
      <w:r w:rsidRPr="00392C37">
        <w:rPr>
          <w:rFonts w:eastAsia="Times New Roman" w:cstheme="minorHAnsi"/>
          <w:color w:val="737373"/>
        </w:rPr>
        <w:t> </w:t>
      </w:r>
      <w:r w:rsidRPr="00392C37">
        <w:rPr>
          <w:rFonts w:eastAsia="Times New Roman" w:cstheme="minorHAnsi"/>
        </w:rPr>
        <w:t>or another statute is not required to enable the PREP Act or for its immunities to take effect.</w:t>
      </w:r>
      <w:r w:rsidRPr="00392C37">
        <w:rPr>
          <w:rFonts w:eastAsia="Times New Roman" w:cstheme="minorHAnsi"/>
          <w:bdr w:val="none" w:sz="0" w:space="0" w:color="auto" w:frame="1"/>
          <w:vertAlign w:val="superscript"/>
        </w:rPr>
        <w:t>2 </w:t>
      </w:r>
      <w:r w:rsidRPr="00392C37">
        <w:rPr>
          <w:rFonts w:eastAsia="Times New Roman" w:cstheme="minorHAnsi"/>
        </w:rPr>
        <w:t> </w:t>
      </w:r>
    </w:p>
    <w:p w14:paraId="5E3D119B" w14:textId="77777777" w:rsidR="00206E4B" w:rsidRPr="00AA4F46" w:rsidRDefault="00206E4B" w:rsidP="00074744">
      <w:pPr>
        <w:spacing w:line="480" w:lineRule="auto"/>
        <w:rPr>
          <w:rFonts w:eastAsia="Times New Roman" w:cstheme="minorHAnsi"/>
          <w:b/>
          <w:bCs/>
        </w:rPr>
      </w:pPr>
    </w:p>
    <w:p w14:paraId="67D961AA" w14:textId="77777777" w:rsidR="00206E4B" w:rsidRPr="00392C37" w:rsidRDefault="00206E4B" w:rsidP="00074744">
      <w:pPr>
        <w:spacing w:line="480" w:lineRule="auto"/>
        <w:rPr>
          <w:rFonts w:eastAsia="Times New Roman" w:cstheme="minorHAnsi"/>
          <w:b/>
          <w:bCs/>
          <w:sz w:val="24"/>
          <w:szCs w:val="24"/>
        </w:rPr>
      </w:pPr>
      <w:r w:rsidRPr="00392C37">
        <w:rPr>
          <w:rFonts w:eastAsia="Times New Roman" w:cstheme="minorHAnsi"/>
          <w:b/>
          <w:bCs/>
          <w:sz w:val="24"/>
          <w:szCs w:val="24"/>
        </w:rPr>
        <w:t>How the Law Works</w:t>
      </w:r>
    </w:p>
    <w:p w14:paraId="1984A85A" w14:textId="77777777" w:rsidR="00206E4B" w:rsidRDefault="00206E4B" w:rsidP="00074744">
      <w:pPr>
        <w:shd w:val="clear" w:color="auto" w:fill="FFFFFF"/>
        <w:spacing w:line="480" w:lineRule="auto"/>
        <w:textAlignment w:val="baseline"/>
        <w:rPr>
          <w:rFonts w:eastAsia="Times New Roman" w:cstheme="minorHAnsi"/>
        </w:rPr>
      </w:pPr>
      <w:r w:rsidRPr="00392C37">
        <w:rPr>
          <w:rFonts w:eastAsia="Times New Roman" w:cstheme="minorHAnsi"/>
        </w:rPr>
        <w:t>Before issuing a PREP Act declaration, the secretary must determine that a disease, condition, or threat to health constitutes a public health emergency or a credible risk of a future public health emergency and find that the development of a countermeasure is desirable. The secretary then issues a PREP Act declaration that specifies, among other things</w:t>
      </w:r>
      <w:r w:rsidRPr="00392C37">
        <w:rPr>
          <w:rFonts w:eastAsia="Times New Roman" w:cstheme="minorHAnsi"/>
          <w:bdr w:val="none" w:sz="0" w:space="0" w:color="auto" w:frame="1"/>
          <w:vertAlign w:val="superscript"/>
        </w:rPr>
        <w:t>3</w:t>
      </w:r>
      <w:r w:rsidRPr="00392C37">
        <w:rPr>
          <w:rFonts w:eastAsia="Times New Roman" w:cstheme="minorHAnsi"/>
        </w:rPr>
        <w:t>:</w:t>
      </w:r>
    </w:p>
    <w:p w14:paraId="113B4643" w14:textId="77777777" w:rsidR="00206E4B" w:rsidRPr="00392C37" w:rsidRDefault="00206E4B" w:rsidP="00074744">
      <w:pPr>
        <w:shd w:val="clear" w:color="auto" w:fill="FFFFFF"/>
        <w:spacing w:line="480" w:lineRule="auto"/>
        <w:textAlignment w:val="baseline"/>
        <w:rPr>
          <w:rFonts w:eastAsia="Times New Roman" w:cstheme="minorHAnsi"/>
        </w:rPr>
      </w:pPr>
    </w:p>
    <w:p w14:paraId="2A032958"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The countermeasures covered by the declaration.</w:t>
      </w:r>
    </w:p>
    <w:p w14:paraId="5655E6DD" w14:textId="77777777" w:rsidR="00206E4B" w:rsidRPr="00392C37" w:rsidRDefault="00206E4B" w:rsidP="00074744">
      <w:pPr>
        <w:spacing w:line="480" w:lineRule="auto"/>
        <w:textAlignment w:val="baseline"/>
        <w:rPr>
          <w:rFonts w:eastAsia="Times New Roman" w:cstheme="minorHAnsi"/>
        </w:rPr>
      </w:pPr>
    </w:p>
    <w:p w14:paraId="38869A95"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The category of diseases, health conditions, or health threats determined by the secretary to constitute a present or credible risk of a future public health emergency for which administration and use of the countermeasures is recommended.</w:t>
      </w:r>
    </w:p>
    <w:p w14:paraId="1EE507FE" w14:textId="77777777" w:rsidR="00206E4B" w:rsidRPr="00392C37" w:rsidRDefault="00206E4B" w:rsidP="00074744">
      <w:pPr>
        <w:spacing w:line="480" w:lineRule="auto"/>
        <w:textAlignment w:val="baseline"/>
        <w:rPr>
          <w:rFonts w:eastAsia="Times New Roman" w:cstheme="minorHAnsi"/>
        </w:rPr>
      </w:pPr>
    </w:p>
    <w:p w14:paraId="53706826"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The effective time period of the declaration.</w:t>
      </w:r>
    </w:p>
    <w:p w14:paraId="1A586195" w14:textId="77777777" w:rsidR="00206E4B" w:rsidRPr="00392C37" w:rsidRDefault="00206E4B" w:rsidP="00074744">
      <w:pPr>
        <w:spacing w:line="480" w:lineRule="auto"/>
        <w:textAlignment w:val="baseline"/>
        <w:rPr>
          <w:rFonts w:eastAsia="Times New Roman" w:cstheme="minorHAnsi"/>
        </w:rPr>
      </w:pPr>
    </w:p>
    <w:p w14:paraId="4BA45A8F"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The population of individuals receiving the countermeasure.</w:t>
      </w:r>
    </w:p>
    <w:p w14:paraId="7B32FA16" w14:textId="77777777" w:rsidR="00206E4B" w:rsidRPr="00392C37" w:rsidRDefault="00206E4B" w:rsidP="00074744">
      <w:pPr>
        <w:spacing w:line="480" w:lineRule="auto"/>
        <w:textAlignment w:val="baseline"/>
        <w:rPr>
          <w:rFonts w:eastAsia="Times New Roman" w:cstheme="minorHAnsi"/>
        </w:rPr>
      </w:pPr>
    </w:p>
    <w:p w14:paraId="6DB10B89"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Limitations, if any, on the geographic area for which immunity is in effect.</w:t>
      </w:r>
    </w:p>
    <w:p w14:paraId="3C147630" w14:textId="77777777" w:rsidR="00206E4B" w:rsidRPr="00392C37" w:rsidRDefault="00206E4B" w:rsidP="00074744">
      <w:pPr>
        <w:spacing w:line="480" w:lineRule="auto"/>
        <w:textAlignment w:val="baseline"/>
        <w:rPr>
          <w:rFonts w:eastAsia="Times New Roman" w:cstheme="minorHAnsi"/>
        </w:rPr>
      </w:pPr>
    </w:p>
    <w:p w14:paraId="7806ED2B"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Limitations, if any, on the means of distribution of the countermeasure.</w:t>
      </w:r>
    </w:p>
    <w:p w14:paraId="3CC593BE" w14:textId="77777777" w:rsidR="00206E4B" w:rsidRPr="00392C37" w:rsidRDefault="00206E4B" w:rsidP="00074744">
      <w:pPr>
        <w:spacing w:line="480" w:lineRule="auto"/>
        <w:textAlignment w:val="baseline"/>
        <w:rPr>
          <w:rFonts w:eastAsia="Times New Roman" w:cstheme="minorHAnsi"/>
        </w:rPr>
      </w:pPr>
    </w:p>
    <w:p w14:paraId="02C1A317" w14:textId="77777777" w:rsidR="00206E4B" w:rsidRPr="00E879FD" w:rsidRDefault="00206E4B" w:rsidP="00206E4B">
      <w:pPr>
        <w:pStyle w:val="ListParagraph"/>
        <w:numPr>
          <w:ilvl w:val="0"/>
          <w:numId w:val="32"/>
        </w:numPr>
        <w:spacing w:line="480" w:lineRule="auto"/>
        <w:ind w:left="360"/>
        <w:textAlignment w:val="baseline"/>
        <w:rPr>
          <w:rFonts w:eastAsia="Times New Roman" w:cstheme="minorHAnsi"/>
        </w:rPr>
      </w:pPr>
      <w:r w:rsidRPr="00E879FD">
        <w:rPr>
          <w:rFonts w:eastAsia="Times New Roman" w:cstheme="minorHAnsi"/>
        </w:rPr>
        <w:t>Any additional persons identified by the secretary as qualified to prescribe, dispense, or administer the countermeasures.</w:t>
      </w:r>
    </w:p>
    <w:p w14:paraId="599A4C45" w14:textId="77777777" w:rsidR="00206E4B" w:rsidRPr="00AA4F46" w:rsidRDefault="00206E4B" w:rsidP="00074744">
      <w:pPr>
        <w:spacing w:line="480" w:lineRule="auto"/>
        <w:rPr>
          <w:rFonts w:eastAsia="Times New Roman" w:cstheme="minorHAnsi"/>
          <w:b/>
          <w:bCs/>
        </w:rPr>
      </w:pPr>
    </w:p>
    <w:p w14:paraId="0F6CE5A3" w14:textId="77777777" w:rsidR="00206E4B" w:rsidRPr="00392C37" w:rsidRDefault="00206E4B" w:rsidP="00074744">
      <w:pPr>
        <w:spacing w:line="480" w:lineRule="auto"/>
        <w:rPr>
          <w:rFonts w:eastAsia="Times New Roman" w:cstheme="minorHAnsi"/>
          <w:b/>
          <w:bCs/>
        </w:rPr>
      </w:pPr>
      <w:r w:rsidRPr="00392C37">
        <w:rPr>
          <w:rFonts w:eastAsia="Times New Roman" w:cstheme="minorHAnsi"/>
          <w:b/>
          <w:bCs/>
        </w:rPr>
        <w:t>PREP Act Declarations</w:t>
      </w:r>
    </w:p>
    <w:p w14:paraId="5FB25E47" w14:textId="77777777" w:rsidR="00206E4B" w:rsidRPr="00392C37" w:rsidRDefault="00206E4B" w:rsidP="00074744">
      <w:pPr>
        <w:shd w:val="clear" w:color="auto" w:fill="FFFFFF"/>
        <w:spacing w:line="480" w:lineRule="auto"/>
        <w:textAlignment w:val="baseline"/>
        <w:rPr>
          <w:rFonts w:eastAsia="Times New Roman" w:cstheme="minorHAnsi"/>
        </w:rPr>
      </w:pPr>
      <w:r w:rsidRPr="00392C37">
        <w:rPr>
          <w:rFonts w:eastAsia="Times New Roman" w:cstheme="minorHAnsi"/>
        </w:rPr>
        <w:t>As of December 2011, there have been seven PREP Act declarations since the act’s passage, some which have been amended multiple times.</w:t>
      </w:r>
      <w:r w:rsidRPr="00392C37">
        <w:rPr>
          <w:rFonts w:eastAsia="Times New Roman" w:cstheme="minorHAnsi"/>
          <w:bdr w:val="none" w:sz="0" w:space="0" w:color="auto" w:frame="1"/>
          <w:vertAlign w:val="superscript"/>
        </w:rPr>
        <w:t>4</w:t>
      </w:r>
      <w:r w:rsidRPr="00392C37">
        <w:rPr>
          <w:rFonts w:eastAsia="Times New Roman" w:cstheme="minorHAnsi"/>
        </w:rPr>
        <w:t> The declarations have covered H5N1 and H1N1 pandemic influenza vaccine and antivirals and countermeasures for the following diseases: anthrax, botulism, pandemic influenza, smallpox, and acute radiation syndrome. A declaration for influenza antiviral Peramivir has expired; all others remain in effect.</w:t>
      </w:r>
      <w:r w:rsidRPr="00392C37">
        <w:rPr>
          <w:rFonts w:eastAsia="Times New Roman" w:cstheme="minorHAnsi"/>
          <w:bdr w:val="none" w:sz="0" w:space="0" w:color="auto" w:frame="1"/>
          <w:vertAlign w:val="superscript"/>
        </w:rPr>
        <w:t>4</w:t>
      </w:r>
      <w:r w:rsidRPr="00392C37">
        <w:rPr>
          <w:rFonts w:eastAsia="Times New Roman" w:cstheme="minorHAnsi"/>
        </w:rPr>
        <w:t>  </w:t>
      </w:r>
    </w:p>
    <w:p w14:paraId="58D7AF3F" w14:textId="77777777" w:rsidR="00206E4B" w:rsidRPr="00AA4F46" w:rsidRDefault="00206E4B" w:rsidP="00074744">
      <w:pPr>
        <w:spacing w:line="480" w:lineRule="auto"/>
        <w:rPr>
          <w:rFonts w:eastAsia="Times New Roman" w:cstheme="minorHAnsi"/>
          <w:b/>
          <w:bCs/>
        </w:rPr>
      </w:pPr>
    </w:p>
    <w:p w14:paraId="656ADB7A" w14:textId="77777777" w:rsidR="00206E4B" w:rsidRPr="00392C37" w:rsidRDefault="00206E4B" w:rsidP="00074744">
      <w:pPr>
        <w:spacing w:line="480" w:lineRule="auto"/>
        <w:rPr>
          <w:rFonts w:eastAsia="Times New Roman" w:cstheme="minorHAnsi"/>
          <w:b/>
          <w:bCs/>
        </w:rPr>
      </w:pPr>
      <w:r w:rsidRPr="00392C37">
        <w:rPr>
          <w:rFonts w:eastAsia="Times New Roman" w:cstheme="minorHAnsi"/>
          <w:b/>
          <w:bCs/>
        </w:rPr>
        <w:t>Compensation Fund</w:t>
      </w:r>
    </w:p>
    <w:p w14:paraId="4F72BE1F" w14:textId="77777777" w:rsidR="00206E4B" w:rsidRPr="00392C37" w:rsidRDefault="00206E4B" w:rsidP="00074744">
      <w:pPr>
        <w:shd w:val="clear" w:color="auto" w:fill="FFFFFF"/>
        <w:spacing w:line="480" w:lineRule="auto"/>
        <w:textAlignment w:val="baseline"/>
        <w:rPr>
          <w:rFonts w:eastAsia="Times New Roman" w:cstheme="minorHAnsi"/>
        </w:rPr>
      </w:pPr>
      <w:r w:rsidRPr="00392C37">
        <w:rPr>
          <w:rFonts w:eastAsia="Times New Roman" w:cstheme="minorHAnsi"/>
        </w:rPr>
        <w:t>An interim final rule (IFR) governing the submission and review of claims to the CICP were issued by HRSA in October 2010. The IFR allows the CICP to begin evaluating request for benefits filed by individuals who sustained serious physical injuries as a direct result of the administration or use of covered countermeasures identified by the HHS secretary in declarations issued under the PREP Act.</w:t>
      </w:r>
      <w:r w:rsidRPr="00392C37">
        <w:rPr>
          <w:rFonts w:eastAsia="Times New Roman" w:cstheme="minorHAnsi"/>
          <w:bdr w:val="none" w:sz="0" w:space="0" w:color="auto" w:frame="1"/>
          <w:vertAlign w:val="superscript"/>
        </w:rPr>
        <w:t>5</w:t>
      </w:r>
      <w:r w:rsidRPr="00392C37">
        <w:rPr>
          <w:rFonts w:eastAsia="Times New Roman" w:cstheme="minorHAnsi"/>
        </w:rPr>
        <w:t> Claims must be filed within one year of administration or use of a covered countermeasure. Eligible countermeasures include certain influenza vaccines, antivirals, respiratory protection and support devices, and anything to identify, prevent, or treat smallpox, anthrax, botulinum toxin, and acute radiation syndrome.</w:t>
      </w:r>
      <w:r w:rsidRPr="00392C37">
        <w:rPr>
          <w:rFonts w:eastAsia="Times New Roman" w:cstheme="minorHAnsi"/>
          <w:bdr w:val="none" w:sz="0" w:space="0" w:color="auto" w:frame="1"/>
          <w:vertAlign w:val="superscript"/>
        </w:rPr>
        <w:t>5</w:t>
      </w:r>
      <w:r w:rsidRPr="00392C37">
        <w:rPr>
          <w:rFonts w:eastAsia="Times New Roman" w:cstheme="minorHAnsi"/>
        </w:rPr>
        <w:t> (Claims for injuries from seasonal influenza vaccine are administered through the </w:t>
      </w:r>
      <w:hyperlink r:id="rId80" w:anchor="Vaccine-Injury" w:tooltip="National Vaccine Injury Compensation Program" w:history="1">
        <w:r w:rsidRPr="00392C37">
          <w:rPr>
            <w:rFonts w:eastAsia="Times New Roman" w:cstheme="minorHAnsi"/>
            <w:color w:val="0F88B8"/>
            <w:bdr w:val="none" w:sz="0" w:space="0" w:color="auto" w:frame="1"/>
          </w:rPr>
          <w:t>National Vaccine Injury Compensation Program</w:t>
        </w:r>
      </w:hyperlink>
      <w:r w:rsidRPr="00392C37">
        <w:rPr>
          <w:rFonts w:eastAsia="Times New Roman" w:cstheme="minorHAnsi"/>
        </w:rPr>
        <w:t>.)</w:t>
      </w:r>
    </w:p>
    <w:p w14:paraId="7FF48D30" w14:textId="77777777" w:rsidR="00206E4B" w:rsidRPr="00E879FD" w:rsidRDefault="00206E4B" w:rsidP="00074744">
      <w:pPr>
        <w:spacing w:line="480" w:lineRule="auto"/>
        <w:rPr>
          <w:rFonts w:eastAsia="Times New Roman" w:cstheme="minorHAnsi"/>
          <w:b/>
          <w:bCs/>
        </w:rPr>
      </w:pPr>
    </w:p>
    <w:p w14:paraId="63D97A26" w14:textId="77777777" w:rsidR="00206E4B" w:rsidRPr="00392C37" w:rsidRDefault="00206E4B" w:rsidP="00074744">
      <w:pPr>
        <w:spacing w:line="480" w:lineRule="auto"/>
        <w:rPr>
          <w:rFonts w:eastAsia="Times New Roman" w:cstheme="minorHAnsi"/>
          <w:b/>
          <w:bCs/>
          <w:sz w:val="24"/>
          <w:szCs w:val="24"/>
        </w:rPr>
      </w:pPr>
      <w:r w:rsidRPr="00392C37">
        <w:rPr>
          <w:rFonts w:eastAsia="Times New Roman" w:cstheme="minorHAnsi"/>
          <w:b/>
          <w:bCs/>
          <w:sz w:val="24"/>
          <w:szCs w:val="24"/>
        </w:rPr>
        <w:lastRenderedPageBreak/>
        <w:t>How the Law Affects States</w:t>
      </w:r>
    </w:p>
    <w:p w14:paraId="292FECA2" w14:textId="77777777" w:rsidR="00206E4B" w:rsidRPr="00392C37" w:rsidRDefault="00206E4B" w:rsidP="00074744">
      <w:pPr>
        <w:shd w:val="clear" w:color="auto" w:fill="FFFFFF"/>
        <w:spacing w:line="480" w:lineRule="auto"/>
        <w:textAlignment w:val="baseline"/>
        <w:rPr>
          <w:rFonts w:eastAsia="Times New Roman" w:cstheme="minorHAnsi"/>
          <w:szCs w:val="20"/>
        </w:rPr>
      </w:pPr>
      <w:r w:rsidRPr="00392C37">
        <w:rPr>
          <w:rFonts w:eastAsia="Times New Roman" w:cstheme="minorHAnsi"/>
          <w:szCs w:val="20"/>
        </w:rPr>
        <w:t>The PREP Act has a direct impact on states because it provides a source of liability protection for governmental and private sector persons developing and administering approved countermeasures during a public health emergency. During the H1N1 outbreak, PREP Act declarations were issued for H1N1 vaccines, antivirals, and personal protective equipment. PREP Act declarations may also provide protections related to products authorized for use under an </w:t>
      </w:r>
      <w:hyperlink r:id="rId81" w:anchor="Emergency-Use" w:tooltip="Emergency Use Authorization (EUA)" w:history="1">
        <w:r w:rsidRPr="00392C37">
          <w:rPr>
            <w:rFonts w:eastAsia="Times New Roman" w:cstheme="minorHAnsi"/>
            <w:szCs w:val="20"/>
            <w:bdr w:val="none" w:sz="0" w:space="0" w:color="auto" w:frame="1"/>
          </w:rPr>
          <w:t>Emergency Use Authorization (EUA)</w:t>
        </w:r>
      </w:hyperlink>
      <w:r w:rsidRPr="00392C37">
        <w:rPr>
          <w:rFonts w:eastAsia="Times New Roman" w:cstheme="minorHAnsi"/>
          <w:szCs w:val="20"/>
        </w:rPr>
        <w:t> under the Federal Food, Drug, and Cosmetic Act, which allow for the use of an unapproved medical product (drugs, biologics [e.g., vaccines], and devices [e.g., diagnostics]), or an unapproved use of an approved medical product, during a declared emergency.</w:t>
      </w:r>
    </w:p>
    <w:p w14:paraId="2E95BAC0" w14:textId="77777777" w:rsidR="00206E4B" w:rsidRPr="00E879FD" w:rsidRDefault="00206E4B" w:rsidP="00074744">
      <w:pPr>
        <w:spacing w:line="480" w:lineRule="auto"/>
        <w:rPr>
          <w:rFonts w:eastAsia="Times New Roman" w:cstheme="minorHAnsi"/>
          <w:b/>
          <w:bCs/>
          <w:sz w:val="28"/>
          <w:szCs w:val="24"/>
        </w:rPr>
      </w:pPr>
    </w:p>
    <w:p w14:paraId="412A1E8F" w14:textId="77777777" w:rsidR="00206E4B" w:rsidRPr="00392C37" w:rsidRDefault="00206E4B" w:rsidP="00074744">
      <w:pPr>
        <w:spacing w:line="480" w:lineRule="auto"/>
        <w:rPr>
          <w:rFonts w:eastAsia="Times New Roman" w:cstheme="minorHAnsi"/>
          <w:b/>
          <w:bCs/>
          <w:sz w:val="24"/>
          <w:szCs w:val="24"/>
        </w:rPr>
      </w:pPr>
      <w:r w:rsidRPr="00392C37">
        <w:rPr>
          <w:rFonts w:eastAsia="Times New Roman" w:cstheme="minorHAnsi"/>
          <w:b/>
          <w:bCs/>
          <w:sz w:val="24"/>
          <w:szCs w:val="24"/>
        </w:rPr>
        <w:t>Practice Notes</w:t>
      </w:r>
    </w:p>
    <w:p w14:paraId="07E32061" w14:textId="77777777" w:rsidR="00206E4B" w:rsidRDefault="00206E4B" w:rsidP="00206E4B">
      <w:pPr>
        <w:pStyle w:val="ListParagraph"/>
        <w:numPr>
          <w:ilvl w:val="0"/>
          <w:numId w:val="33"/>
        </w:numPr>
        <w:spacing w:line="480" w:lineRule="auto"/>
        <w:textAlignment w:val="baseline"/>
        <w:rPr>
          <w:rFonts w:eastAsia="Times New Roman" w:cstheme="minorHAnsi"/>
          <w:szCs w:val="20"/>
        </w:rPr>
      </w:pPr>
      <w:r w:rsidRPr="00E879FD">
        <w:rPr>
          <w:rFonts w:eastAsia="Times New Roman" w:cstheme="minorHAnsi"/>
          <w:szCs w:val="20"/>
        </w:rPr>
        <w:t>Questions and concerns about potential liabilities for agency staff, providers, and volunteers will arise in every public health emergency event. Plan on frequently discussing liability and immunity concerns with each new event.</w:t>
      </w:r>
    </w:p>
    <w:p w14:paraId="2F5DE735" w14:textId="77777777" w:rsidR="00206E4B" w:rsidRPr="00E879FD" w:rsidRDefault="00206E4B" w:rsidP="00074744">
      <w:pPr>
        <w:pStyle w:val="ListParagraph"/>
        <w:spacing w:line="480" w:lineRule="auto"/>
        <w:ind w:left="360"/>
        <w:textAlignment w:val="baseline"/>
        <w:rPr>
          <w:rFonts w:eastAsia="Times New Roman" w:cstheme="minorHAnsi"/>
          <w:szCs w:val="20"/>
        </w:rPr>
      </w:pPr>
    </w:p>
    <w:p w14:paraId="407B980C" w14:textId="77777777" w:rsidR="00206E4B" w:rsidRDefault="00206E4B" w:rsidP="00206E4B">
      <w:pPr>
        <w:pStyle w:val="ListParagraph"/>
        <w:numPr>
          <w:ilvl w:val="0"/>
          <w:numId w:val="33"/>
        </w:numPr>
        <w:spacing w:line="480" w:lineRule="auto"/>
        <w:textAlignment w:val="baseline"/>
        <w:rPr>
          <w:rFonts w:eastAsia="Times New Roman" w:cstheme="minorHAnsi"/>
          <w:szCs w:val="20"/>
        </w:rPr>
      </w:pPr>
      <w:r w:rsidRPr="00E879FD">
        <w:rPr>
          <w:rFonts w:eastAsia="Times New Roman" w:cstheme="minorHAnsi"/>
          <w:szCs w:val="20"/>
        </w:rPr>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6084DC40" w14:textId="77777777" w:rsidR="00206E4B" w:rsidRPr="00E879FD" w:rsidRDefault="00206E4B" w:rsidP="00074744">
      <w:pPr>
        <w:spacing w:line="480" w:lineRule="auto"/>
        <w:textAlignment w:val="baseline"/>
        <w:rPr>
          <w:rFonts w:eastAsia="Times New Roman" w:cstheme="minorHAnsi"/>
          <w:szCs w:val="20"/>
        </w:rPr>
      </w:pPr>
    </w:p>
    <w:p w14:paraId="64025F8F" w14:textId="77777777" w:rsidR="00206E4B" w:rsidRDefault="00206E4B" w:rsidP="00206E4B">
      <w:pPr>
        <w:pStyle w:val="ListParagraph"/>
        <w:numPr>
          <w:ilvl w:val="0"/>
          <w:numId w:val="33"/>
        </w:numPr>
        <w:spacing w:line="480" w:lineRule="auto"/>
        <w:textAlignment w:val="baseline"/>
        <w:rPr>
          <w:rFonts w:eastAsia="Times New Roman" w:cstheme="minorHAnsi"/>
          <w:szCs w:val="20"/>
        </w:rPr>
      </w:pPr>
      <w:r w:rsidRPr="00E879FD">
        <w:rPr>
          <w:rFonts w:eastAsia="Times New Roman" w:cstheme="minorHAnsi"/>
          <w:szCs w:val="20"/>
        </w:rPr>
        <w:t>Develop educational materials that describe and differentiate the various liability protections available to staff, medical providers, and other volunteers under state and federal law.</w:t>
      </w:r>
    </w:p>
    <w:p w14:paraId="4A18E8C2" w14:textId="77777777" w:rsidR="00206E4B" w:rsidRPr="00E879FD" w:rsidRDefault="00206E4B" w:rsidP="00074744">
      <w:pPr>
        <w:spacing w:line="480" w:lineRule="auto"/>
        <w:textAlignment w:val="baseline"/>
        <w:rPr>
          <w:rFonts w:eastAsia="Times New Roman" w:cstheme="minorHAnsi"/>
          <w:szCs w:val="20"/>
        </w:rPr>
      </w:pPr>
    </w:p>
    <w:p w14:paraId="38A64553" w14:textId="77777777" w:rsidR="00206E4B" w:rsidRPr="00E879FD" w:rsidRDefault="00206E4B" w:rsidP="00206E4B">
      <w:pPr>
        <w:pStyle w:val="ListParagraph"/>
        <w:numPr>
          <w:ilvl w:val="0"/>
          <w:numId w:val="33"/>
        </w:numPr>
        <w:spacing w:line="480" w:lineRule="auto"/>
        <w:textAlignment w:val="baseline"/>
        <w:rPr>
          <w:rFonts w:eastAsia="Times New Roman" w:cstheme="minorHAnsi"/>
          <w:szCs w:val="20"/>
        </w:rPr>
      </w:pPr>
      <w:r w:rsidRPr="00E879FD">
        <w:rPr>
          <w:rFonts w:eastAsia="Times New Roman" w:cstheme="minorHAnsi"/>
          <w:szCs w:val="20"/>
        </w:rPr>
        <w:lastRenderedPageBreak/>
        <w:t>During an event, carefully review the PREP Act declaration, if one is issued, to understand the scope of coverage. Brief staff, clinicians, and volunteers about their potential liabilities and immunities under the current PREP Act declaration(s).</w:t>
      </w:r>
    </w:p>
    <w:p w14:paraId="5DBE5BBD" w14:textId="77777777" w:rsidR="00206E4B" w:rsidRPr="00E879FD" w:rsidRDefault="00206E4B" w:rsidP="00074744">
      <w:pPr>
        <w:spacing w:line="480" w:lineRule="auto"/>
        <w:rPr>
          <w:rFonts w:eastAsia="Times New Roman" w:cstheme="minorHAnsi"/>
          <w:b/>
          <w:bCs/>
          <w:sz w:val="28"/>
          <w:szCs w:val="24"/>
        </w:rPr>
      </w:pPr>
    </w:p>
    <w:p w14:paraId="6AD252A6" w14:textId="77777777" w:rsidR="00206E4B" w:rsidRPr="00392C37" w:rsidRDefault="00206E4B"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Sources</w:t>
      </w:r>
    </w:p>
    <w:p w14:paraId="21B9A736" w14:textId="77777777" w:rsidR="00206E4B" w:rsidRPr="00392C37" w:rsidRDefault="00206E4B" w:rsidP="00206E4B">
      <w:pPr>
        <w:numPr>
          <w:ilvl w:val="0"/>
          <w:numId w:val="30"/>
        </w:numPr>
        <w:spacing w:line="480" w:lineRule="auto"/>
        <w:ind w:left="450"/>
        <w:textAlignment w:val="baseline"/>
        <w:rPr>
          <w:rFonts w:eastAsia="Times New Roman" w:cstheme="minorHAnsi"/>
          <w:szCs w:val="20"/>
        </w:rPr>
      </w:pPr>
      <w:r w:rsidRPr="00392C37">
        <w:rPr>
          <w:rFonts w:eastAsia="Times New Roman" w:cstheme="minorHAnsi"/>
          <w:szCs w:val="20"/>
        </w:rPr>
        <w:t>Public Readiness and Emergency Preparedness Act of 2005. Pub. L. No. 109-148. Codified in the Public Health Service Act at 42 U.S.C. §§ 247d-6d, 247d-6e.</w:t>
      </w:r>
    </w:p>
    <w:p w14:paraId="6A5094A9" w14:textId="77777777" w:rsidR="00206E4B" w:rsidRPr="00392C37" w:rsidRDefault="00206E4B" w:rsidP="00206E4B">
      <w:pPr>
        <w:numPr>
          <w:ilvl w:val="0"/>
          <w:numId w:val="30"/>
        </w:numPr>
        <w:spacing w:line="480" w:lineRule="auto"/>
        <w:ind w:left="450"/>
        <w:textAlignment w:val="baseline"/>
        <w:rPr>
          <w:rFonts w:eastAsia="Times New Roman" w:cstheme="minorHAnsi"/>
          <w:szCs w:val="20"/>
        </w:rPr>
      </w:pPr>
      <w:r w:rsidRPr="00392C37">
        <w:rPr>
          <w:rFonts w:eastAsia="Times New Roman" w:cstheme="minorHAnsi"/>
          <w:szCs w:val="20"/>
        </w:rPr>
        <w:t>Department of Health and Human Services. “Public Readiness and Emergency Preparedness Act Questions and Answers” webpage. Available at </w:t>
      </w:r>
      <w:hyperlink r:id="rId82" w:tooltip="www.phe.gov/Preparedness/legal/prepact/Pages/prepqa.aspx" w:history="1">
        <w:r w:rsidRPr="00392C37">
          <w:rPr>
            <w:rFonts w:eastAsia="Times New Roman" w:cstheme="minorHAnsi"/>
            <w:color w:val="0F88B8"/>
            <w:szCs w:val="20"/>
            <w:bdr w:val="none" w:sz="0" w:space="0" w:color="auto" w:frame="1"/>
          </w:rPr>
          <w:t>www.phe.gov/Preparedness/legal/prepact/Pages/prepqa.aspx</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306413A0" w14:textId="77777777" w:rsidR="00206E4B" w:rsidRPr="00392C37" w:rsidRDefault="00206E4B" w:rsidP="00206E4B">
      <w:pPr>
        <w:numPr>
          <w:ilvl w:val="0"/>
          <w:numId w:val="30"/>
        </w:numPr>
        <w:spacing w:line="480" w:lineRule="auto"/>
        <w:ind w:left="450"/>
        <w:textAlignment w:val="baseline"/>
        <w:rPr>
          <w:rFonts w:eastAsia="Times New Roman" w:cstheme="minorHAnsi"/>
          <w:szCs w:val="20"/>
        </w:rPr>
      </w:pPr>
      <w:r w:rsidRPr="00392C37">
        <w:rPr>
          <w:rFonts w:eastAsia="Times New Roman" w:cstheme="minorHAnsi"/>
          <w:szCs w:val="20"/>
        </w:rPr>
        <w:t>Centers for Disease Control and Prevention, Public Health Law Program. “Selected Federal Legal Authorities Pertinent to Public Health Emergencies”. September 2009. Available at </w:t>
      </w:r>
      <w:hyperlink r:id="rId83" w:tooltip="http://www2.cdc.gov/phlp/docs/Selected%20Fed%20Legal%20Authorities%20re%20PH%20Emergencies%20102709%20v2.pdf" w:history="1">
        <w:r w:rsidRPr="00392C37">
          <w:rPr>
            <w:rFonts w:eastAsia="Times New Roman" w:cstheme="minorHAnsi"/>
            <w:color w:val="0F88B8"/>
            <w:szCs w:val="20"/>
            <w:bdr w:val="none" w:sz="0" w:space="0" w:color="auto" w:frame="1"/>
          </w:rPr>
          <w:t>http://www2.cdc.gov/phlp/docs/Selected%20Fed%20Legal%20Authorities%20re%20PH%20Emergencies%20102709%20v2.pdf</w:t>
        </w:r>
      </w:hyperlink>
      <w:r w:rsidRPr="00392C37">
        <w:rPr>
          <w:rFonts w:eastAsia="Times New Roman" w:cstheme="minorHAnsi"/>
          <w:szCs w:val="20"/>
        </w:rPr>
        <w:t>. Accessed January 31, 2012.</w:t>
      </w:r>
    </w:p>
    <w:p w14:paraId="0A51C11D" w14:textId="77777777" w:rsidR="00206E4B" w:rsidRPr="00392C37" w:rsidRDefault="00206E4B" w:rsidP="00206E4B">
      <w:pPr>
        <w:numPr>
          <w:ilvl w:val="0"/>
          <w:numId w:val="30"/>
        </w:numPr>
        <w:spacing w:line="480" w:lineRule="auto"/>
        <w:ind w:left="450"/>
        <w:textAlignment w:val="baseline"/>
        <w:rPr>
          <w:rFonts w:eastAsia="Times New Roman" w:cstheme="minorHAnsi"/>
          <w:szCs w:val="20"/>
        </w:rPr>
      </w:pPr>
      <w:r w:rsidRPr="00392C37">
        <w:rPr>
          <w:rFonts w:eastAsia="Times New Roman" w:cstheme="minorHAnsi"/>
          <w:szCs w:val="20"/>
        </w:rPr>
        <w:t>Department of Health and Human Services. “Public Readiness and Emergency Preparedness Act” webpage. Available at </w:t>
      </w:r>
      <w:hyperlink r:id="rId84" w:tooltip="www.phe.gov/Preparedness/legal/prepact/Pages/default.aspx" w:history="1">
        <w:r w:rsidRPr="00392C37">
          <w:rPr>
            <w:rFonts w:eastAsia="Times New Roman" w:cstheme="minorHAnsi"/>
            <w:color w:val="0F88B8"/>
            <w:szCs w:val="20"/>
            <w:bdr w:val="none" w:sz="0" w:space="0" w:color="auto" w:frame="1"/>
          </w:rPr>
          <w:t>www.phe.gov/Preparedness/legal/prepact/Pages/default.aspx</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7D6A1CCB" w14:textId="77777777" w:rsidR="00206E4B" w:rsidRPr="00392C37" w:rsidRDefault="00206E4B" w:rsidP="00206E4B">
      <w:pPr>
        <w:numPr>
          <w:ilvl w:val="0"/>
          <w:numId w:val="30"/>
        </w:numPr>
        <w:spacing w:line="480" w:lineRule="auto"/>
        <w:ind w:left="450"/>
        <w:textAlignment w:val="baseline"/>
        <w:rPr>
          <w:rFonts w:eastAsia="Times New Roman" w:cstheme="minorHAnsi"/>
          <w:szCs w:val="20"/>
        </w:rPr>
      </w:pPr>
      <w:r w:rsidRPr="00392C37">
        <w:rPr>
          <w:rFonts w:eastAsia="Times New Roman" w:cstheme="minorHAnsi"/>
          <w:szCs w:val="20"/>
        </w:rPr>
        <w:t>Health Resources and Services Administration. “Countermeasures Injury Compensation Program” webpage. Available at</w:t>
      </w:r>
      <w:r w:rsidRPr="00392C37">
        <w:rPr>
          <w:rFonts w:eastAsia="Times New Roman" w:cstheme="minorHAnsi"/>
          <w:color w:val="737373"/>
          <w:szCs w:val="20"/>
        </w:rPr>
        <w:t> </w:t>
      </w:r>
      <w:hyperlink r:id="rId85" w:tooltip="www.hrsa.gov/gethealthcare/conditions/countermeasurescomp/index.html" w:history="1">
        <w:r w:rsidRPr="00392C37">
          <w:rPr>
            <w:rFonts w:eastAsia="Times New Roman" w:cstheme="minorHAnsi"/>
            <w:color w:val="0F88B8"/>
            <w:szCs w:val="20"/>
            <w:bdr w:val="none" w:sz="0" w:space="0" w:color="auto" w:frame="1"/>
          </w:rPr>
          <w:t>www.hrsa.gov/gethealthcare/conditions/countermeasurescomp/index.html</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6ADF9ED7" w14:textId="22770F51" w:rsidR="00206E4B" w:rsidRDefault="00206E4B" w:rsidP="00074744">
      <w:pPr>
        <w:spacing w:line="480" w:lineRule="auto"/>
        <w:rPr>
          <w:rFonts w:cstheme="minorHAnsi"/>
        </w:rPr>
      </w:pPr>
    </w:p>
    <w:p w14:paraId="37474FD0" w14:textId="77777777" w:rsidR="000A016F" w:rsidRDefault="000A016F" w:rsidP="000A016F">
      <w:pPr>
        <w:rPr>
          <w:rFonts w:cstheme="minorHAnsi"/>
          <w:sz w:val="24"/>
        </w:rPr>
      </w:pPr>
      <w:r>
        <w:rPr>
          <w:rFonts w:cstheme="minorHAnsi"/>
          <w:sz w:val="24"/>
        </w:rPr>
        <w:t>[</w:t>
      </w:r>
      <w:hyperlink w:anchor="TOC_top" w:history="1">
        <w:r w:rsidRPr="008F1431">
          <w:rPr>
            <w:rStyle w:val="Hyperlink"/>
            <w:rFonts w:cstheme="minorHAnsi"/>
            <w:sz w:val="24"/>
          </w:rPr>
          <w:t>TO</w:t>
        </w:r>
        <w:r w:rsidRPr="008F1431">
          <w:rPr>
            <w:rStyle w:val="Hyperlink"/>
            <w:rFonts w:cstheme="minorHAnsi"/>
            <w:sz w:val="24"/>
          </w:rPr>
          <w:t>C</w:t>
        </w:r>
        <w:r w:rsidRPr="008F1431">
          <w:rPr>
            <w:rStyle w:val="Hyperlink"/>
            <w:rFonts w:cstheme="minorHAnsi"/>
            <w:sz w:val="24"/>
          </w:rPr>
          <w:t xml:space="preserve"> top</w:t>
        </w:r>
      </w:hyperlink>
      <w:r>
        <w:rPr>
          <w:rFonts w:cstheme="minorHAnsi"/>
          <w:sz w:val="24"/>
        </w:rPr>
        <w:t>]</w:t>
      </w:r>
    </w:p>
    <w:p w14:paraId="4C935930" w14:textId="4BD165B5" w:rsidR="000A016F" w:rsidRDefault="000A016F" w:rsidP="00074744">
      <w:pPr>
        <w:spacing w:line="480" w:lineRule="auto"/>
        <w:rPr>
          <w:rFonts w:cstheme="minorHAnsi"/>
        </w:rPr>
      </w:pPr>
    </w:p>
    <w:p w14:paraId="3B37BC0D" w14:textId="64361CC1" w:rsidR="000A016F" w:rsidRDefault="000A016F">
      <w:pPr>
        <w:rPr>
          <w:rFonts w:cstheme="minorHAnsi"/>
        </w:rPr>
      </w:pPr>
      <w:r>
        <w:rPr>
          <w:rFonts w:cstheme="minorHAnsi"/>
        </w:rPr>
        <w:br w:type="page"/>
      </w:r>
    </w:p>
    <w:p w14:paraId="5F1EB20D" w14:textId="77777777" w:rsidR="00206E4B" w:rsidRDefault="00206E4B" w:rsidP="004A33A8">
      <w:pPr>
        <w:spacing w:line="480" w:lineRule="auto"/>
        <w:rPr>
          <w:rFonts w:ascii="Calibri" w:eastAsia="Times New Roman" w:hAnsi="Calibri" w:cs="Calibri"/>
          <w:b/>
          <w:bCs/>
          <w:color w:val="333333"/>
          <w:spacing w:val="15"/>
          <w:kern w:val="36"/>
          <w:sz w:val="28"/>
          <w:szCs w:val="36"/>
        </w:rPr>
      </w:pPr>
      <w:bookmarkStart w:id="8" w:name="SNS_FS"/>
      <w:r w:rsidRPr="00A6059A">
        <w:rPr>
          <w:rFonts w:ascii="Calibri" w:eastAsia="Times New Roman" w:hAnsi="Calibri" w:cs="Calibri"/>
          <w:b/>
          <w:bCs/>
          <w:color w:val="333333"/>
          <w:spacing w:val="15"/>
          <w:kern w:val="36"/>
          <w:sz w:val="28"/>
          <w:szCs w:val="36"/>
        </w:rPr>
        <w:lastRenderedPageBreak/>
        <w:t>Strategic National Stockpile</w:t>
      </w:r>
      <w:bookmarkEnd w:id="8"/>
    </w:p>
    <w:p w14:paraId="37A173DD" w14:textId="77777777" w:rsidR="00206E4B" w:rsidRPr="00A6059A" w:rsidRDefault="00206E4B" w:rsidP="004A33A8">
      <w:pPr>
        <w:spacing w:line="480" w:lineRule="auto"/>
        <w:rPr>
          <w:rFonts w:ascii="Calibri" w:eastAsia="Times New Roman" w:hAnsi="Calibri" w:cs="Calibri"/>
          <w:b/>
          <w:bCs/>
          <w:color w:val="333333"/>
          <w:spacing w:val="15"/>
          <w:kern w:val="36"/>
          <w:sz w:val="28"/>
          <w:szCs w:val="36"/>
        </w:rPr>
      </w:pPr>
      <w:r w:rsidRPr="00A6059A">
        <w:rPr>
          <w:rFonts w:ascii="Calibri" w:eastAsia="Times New Roman" w:hAnsi="Calibri" w:cs="Calibri"/>
          <w:b/>
          <w:bCs/>
          <w:color w:val="3C3030"/>
          <w:sz w:val="24"/>
          <w:szCs w:val="24"/>
        </w:rPr>
        <w:t>Fact Sheet</w:t>
      </w:r>
    </w:p>
    <w:p w14:paraId="47E6C8A4" w14:textId="77777777" w:rsidR="00206E4B" w:rsidRDefault="00206E4B" w:rsidP="004A33A8">
      <w:pPr>
        <w:spacing w:line="480" w:lineRule="auto"/>
        <w:rPr>
          <w:rFonts w:ascii="Calibri" w:eastAsia="Times New Roman" w:hAnsi="Calibri" w:cs="Calibri"/>
          <w:b/>
          <w:bCs/>
          <w:color w:val="3C3030"/>
          <w:sz w:val="24"/>
          <w:szCs w:val="24"/>
        </w:rPr>
      </w:pPr>
    </w:p>
    <w:p w14:paraId="7BAC0FDE" w14:textId="77777777" w:rsidR="00206E4B" w:rsidRPr="00A6059A" w:rsidRDefault="00206E4B"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Overview</w:t>
      </w:r>
    </w:p>
    <w:p w14:paraId="12E9C51E" w14:textId="77777777" w:rsidR="00206E4B" w:rsidRPr="00A6059A" w:rsidRDefault="00206E4B" w:rsidP="004A33A8">
      <w:pPr>
        <w:shd w:val="clear" w:color="auto" w:fill="FFFFFF"/>
        <w:spacing w:line="480" w:lineRule="auto"/>
        <w:textAlignment w:val="baseline"/>
        <w:rPr>
          <w:rFonts w:ascii="Calibri" w:eastAsia="Times New Roman" w:hAnsi="Calibri" w:cs="Calibri"/>
          <w:color w:val="737373"/>
        </w:rPr>
      </w:pPr>
      <w:r w:rsidRPr="00A6059A">
        <w:rPr>
          <w:rFonts w:ascii="Calibri" w:eastAsia="Times New Roman" w:hAnsi="Calibri" w:cs="Calibri"/>
        </w:rPr>
        <w:t>The Public Health Service Act authorizes the secretary of Health and Human Services, in coordination with the secretary of Homeland Security, to maintain a stockpile of drugs, vaccines, and other medical products and supplies, known as the </w:t>
      </w:r>
      <w:hyperlink r:id="rId86" w:anchor="Strategic-National" w:tooltip="Strategic National Stockpile (SNS)" w:history="1">
        <w:r w:rsidRPr="00A6059A">
          <w:rPr>
            <w:rFonts w:ascii="Calibri" w:eastAsia="Times New Roman" w:hAnsi="Calibri" w:cs="Calibri"/>
            <w:color w:val="0F88B8"/>
            <w:bdr w:val="none" w:sz="0" w:space="0" w:color="auto" w:frame="1"/>
          </w:rPr>
          <w:t>Strategic National Stockpile (SNS)</w:t>
        </w:r>
      </w:hyperlink>
      <w:r w:rsidRPr="00A6059A">
        <w:rPr>
          <w:rFonts w:ascii="Calibri" w:eastAsia="Times New Roman" w:hAnsi="Calibri" w:cs="Calibri"/>
          <w:color w:val="737373"/>
        </w:rPr>
        <w:t xml:space="preserve">, </w:t>
      </w:r>
      <w:r w:rsidRPr="00A6059A">
        <w:rPr>
          <w:rFonts w:ascii="Calibri" w:eastAsia="Times New Roman" w:hAnsi="Calibri" w:cs="Calibri"/>
        </w:rPr>
        <w:t>to provide for the emergency health security of the United States and its territories.</w:t>
      </w:r>
      <w:r w:rsidRPr="00A6059A">
        <w:rPr>
          <w:rFonts w:ascii="Calibri" w:eastAsia="Times New Roman" w:hAnsi="Calibri" w:cs="Calibri"/>
          <w:bdr w:val="none" w:sz="0" w:space="0" w:color="auto" w:frame="1"/>
          <w:vertAlign w:val="superscript"/>
        </w:rPr>
        <w:t>1,2 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br/>
        <w:t>The current SNS program has its origin in the National Pharmaceutical Stockpile (NPS), which Congress required the Department of Health and Human Services (HHS) and the Centers for Disease Control and Prevention (CDC) to create in 1999.</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mission of the NPS was to assemble large quantities of essential medical supplies to provide to states and communities during an emergency within 12 hours of a federal decision to deploy the stockpile.</w:t>
      </w:r>
      <w:r w:rsidRPr="00A6059A">
        <w:rPr>
          <w:rFonts w:ascii="Calibri" w:eastAsia="Times New Roman" w:hAnsi="Calibri" w:cs="Calibri"/>
          <w:bdr w:val="none" w:sz="0" w:space="0" w:color="auto" w:frame="1"/>
          <w:vertAlign w:val="superscript"/>
        </w:rPr>
        <w:t>3,4 </w:t>
      </w:r>
      <w:r w:rsidRPr="00A6059A">
        <w:rPr>
          <w:rFonts w:ascii="Calibri" w:eastAsia="Times New Roman" w:hAnsi="Calibri" w:cs="Calibri"/>
        </w:rPr>
        <w:t>In 2003, the NPS was renamed the SNS.</w:t>
      </w:r>
      <w:r w:rsidRPr="00A6059A">
        <w:rPr>
          <w:rFonts w:ascii="Calibri" w:eastAsia="Times New Roman" w:hAnsi="Calibri" w:cs="Calibri"/>
          <w:bdr w:val="none" w:sz="0" w:space="0" w:color="auto" w:frame="1"/>
          <w:vertAlign w:val="superscript"/>
        </w:rPr>
        <w:t>3,4 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br/>
        <w:t>Note: As of March 2012, Congress is in the process of reauthorizing the </w:t>
      </w:r>
      <w:hyperlink r:id="rId87" w:anchor="Pandemic-And" w:tooltip="Pandemic and All-Hazards Preparedness Act (PAHPA)" w:history="1">
        <w:r w:rsidRPr="00A6059A">
          <w:rPr>
            <w:rFonts w:ascii="Calibri" w:eastAsia="Times New Roman" w:hAnsi="Calibri" w:cs="Calibri"/>
            <w:color w:val="0F88B8"/>
            <w:bdr w:val="none" w:sz="0" w:space="0" w:color="auto" w:frame="1"/>
          </w:rPr>
          <w:t>Pandemic and All-Hazards Preparedness Act (PAHPA)</w:t>
        </w:r>
      </w:hyperlink>
      <w:r w:rsidRPr="00A6059A">
        <w:rPr>
          <w:rFonts w:ascii="Calibri" w:eastAsia="Times New Roman" w:hAnsi="Calibri" w:cs="Calibri"/>
          <w:color w:val="737373"/>
        </w:rPr>
        <w:t xml:space="preserve">, </w:t>
      </w:r>
      <w:r w:rsidRPr="00A6059A">
        <w:rPr>
          <w:rFonts w:ascii="Calibri" w:eastAsia="Times New Roman" w:hAnsi="Calibri" w:cs="Calibri"/>
        </w:rPr>
        <w:t>which reauthorization may impact a number of laws and programs described below. Please see </w:t>
      </w:r>
      <w:hyperlink r:id="rId88" w:tooltip="ASTHO EUA Current Issues Winter 2012" w:history="1">
        <w:r w:rsidRPr="00A6059A">
          <w:rPr>
            <w:rFonts w:ascii="Calibri" w:eastAsia="Times New Roman" w:hAnsi="Calibri" w:cs="Calibri"/>
            <w:color w:val="0F88B8"/>
            <w:bdr w:val="none" w:sz="0" w:space="0" w:color="auto" w:frame="1"/>
          </w:rPr>
          <w:t>ASTHO EUA Current Issues Winter 2012</w:t>
        </w:r>
      </w:hyperlink>
      <w:r w:rsidRPr="00A6059A">
        <w:rPr>
          <w:rFonts w:ascii="Calibri" w:eastAsia="Times New Roman" w:hAnsi="Calibri" w:cs="Calibri"/>
          <w:color w:val="737373"/>
        </w:rPr>
        <w:t> </w:t>
      </w:r>
      <w:r w:rsidRPr="00A6059A">
        <w:rPr>
          <w:rFonts w:ascii="Calibri" w:eastAsia="Times New Roman" w:hAnsi="Calibri" w:cs="Calibri"/>
        </w:rPr>
        <w:t xml:space="preserve">for more information about reauthorization and its potential impact on EUAs and related issues. </w:t>
      </w:r>
      <w:r w:rsidRPr="00A6059A">
        <w:rPr>
          <w:rFonts w:ascii="Calibri" w:eastAsia="Times New Roman" w:hAnsi="Calibri" w:cs="Calibri"/>
          <w:color w:val="737373"/>
        </w:rPr>
        <w:br/>
        <w:t> </w:t>
      </w:r>
    </w:p>
    <w:p w14:paraId="2D3BC0FA" w14:textId="77777777" w:rsidR="00206E4B" w:rsidRPr="00A6059A" w:rsidRDefault="00206E4B"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What the SNS Program Does</w:t>
      </w:r>
    </w:p>
    <w:p w14:paraId="68670FAF" w14:textId="77777777" w:rsidR="00206E4B" w:rsidRPr="00A6059A" w:rsidRDefault="00206E4B" w:rsidP="004A33A8">
      <w:pPr>
        <w:shd w:val="clear" w:color="auto" w:fill="FFFFFF"/>
        <w:spacing w:line="480" w:lineRule="auto"/>
        <w:textAlignment w:val="baseline"/>
        <w:rPr>
          <w:rFonts w:ascii="Calibri" w:eastAsia="Times New Roman" w:hAnsi="Calibri" w:cs="Calibri"/>
        </w:rPr>
      </w:pPr>
      <w:r w:rsidRPr="00A6059A">
        <w:rPr>
          <w:rFonts w:ascii="Calibri" w:eastAsia="Times New Roman" w:hAnsi="Calibri" w:cs="Calibri"/>
        </w:rPr>
        <w:t>The SNS program is designed to supplement and resupply state and local inventories of medicines and supplies during emergencies severe enough to exhaust local supplies.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xml:space="preserve"> Decisions about what medicines </w:t>
      </w:r>
      <w:r w:rsidRPr="00A6059A">
        <w:rPr>
          <w:rFonts w:ascii="Calibri" w:eastAsia="Times New Roman" w:hAnsi="Calibri" w:cs="Calibri"/>
        </w:rPr>
        <w:lastRenderedPageBreak/>
        <w:t>and materiel should be included in the SNS are made by the</w:t>
      </w:r>
      <w:r w:rsidRPr="00A6059A">
        <w:rPr>
          <w:rFonts w:ascii="Calibri" w:eastAsia="Times New Roman" w:hAnsi="Calibri" w:cs="Calibri"/>
          <w:color w:val="737373"/>
        </w:rPr>
        <w:t> </w:t>
      </w:r>
      <w:hyperlink r:id="rId89" w:anchor="HHS-Office" w:tooltip="HHS Assistant Secretary of Preparedness and Response (ASPR)" w:history="1">
        <w:r w:rsidRPr="00A6059A">
          <w:rPr>
            <w:rFonts w:ascii="Calibri" w:eastAsia="Times New Roman" w:hAnsi="Calibri" w:cs="Calibri"/>
            <w:color w:val="0F88B8"/>
            <w:bdr w:val="none" w:sz="0" w:space="0" w:color="auto" w:frame="1"/>
          </w:rPr>
          <w:t>HHS Assistant Secretary of Preparedness and Response (ASPR)</w:t>
        </w:r>
      </w:hyperlink>
      <w:r w:rsidRPr="00A6059A">
        <w:rPr>
          <w:rFonts w:ascii="Calibri" w:eastAsia="Times New Roman" w:hAnsi="Calibri" w:cs="Calibri"/>
          <w:color w:val="737373"/>
        </w:rPr>
        <w:t xml:space="preserve">, </w:t>
      </w:r>
      <w:r w:rsidRPr="00A6059A">
        <w:rPr>
          <w:rFonts w:ascii="Calibri" w:eastAsia="Times New Roman" w:hAnsi="Calibri" w:cs="Calibri"/>
        </w:rPr>
        <w:t>the HHS, the Department of Homeland Security (DHS), and the CDC, in consultation with state and local public health officials and private sector organizations and entities. In determining and reviewing the composition of SNS assets, the HHS and the CDC look at multiple factors, including the medical vulnerability of the U.S. population (and of </w:t>
      </w:r>
      <w:hyperlink r:id="rId90" w:anchor="At-Risk" w:tooltip="at-risk populations" w:history="1">
        <w:r w:rsidRPr="00A6059A">
          <w:rPr>
            <w:rFonts w:ascii="Calibri" w:eastAsia="Times New Roman" w:hAnsi="Calibri" w:cs="Calibri"/>
            <w:color w:val="0F88B8"/>
            <w:bdr w:val="none" w:sz="0" w:space="0" w:color="auto" w:frame="1"/>
          </w:rPr>
          <w:t>at-risk populations</w:t>
        </w:r>
      </w:hyperlink>
      <w:r w:rsidRPr="00A6059A">
        <w:rPr>
          <w:rFonts w:ascii="Calibri" w:eastAsia="Times New Roman" w:hAnsi="Calibri" w:cs="Calibri"/>
          <w:color w:val="737373"/>
        </w:rPr>
        <w:t> </w:t>
      </w:r>
      <w:r w:rsidRPr="00A6059A">
        <w:rPr>
          <w:rFonts w:ascii="Calibri" w:eastAsia="Times New Roman" w:hAnsi="Calibri" w:cs="Calibri"/>
        </w:rPr>
        <w:t>such as children and other vulnerable populations), current biological/chemical threats, the availability of medicines and medical supplies, and the ease of disseminating specific medicines.</w:t>
      </w:r>
      <w:r w:rsidRPr="00A6059A">
        <w:rPr>
          <w:rFonts w:ascii="Calibri" w:eastAsia="Times New Roman" w:hAnsi="Calibri" w:cs="Calibri"/>
          <w:bdr w:val="none" w:sz="0" w:space="0" w:color="auto" w:frame="1"/>
          <w:vertAlign w:val="superscript"/>
        </w:rPr>
        <w:t>4</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Portions of the stockpile have been and can be deployed for events such as anthrax attacks, foodborne hepatitis A, and encephalitis.5 In response to the 2009 H1N1 influenza pandemic, drugs, vaccines, and medical supplies were deployed from the stockpile.</w:t>
      </w:r>
      <w:r w:rsidRPr="00A6059A">
        <w:rPr>
          <w:rFonts w:ascii="Calibri" w:eastAsia="Times New Roman" w:hAnsi="Calibri" w:cs="Calibri"/>
          <w:bdr w:val="none" w:sz="0" w:space="0" w:color="auto" w:frame="1"/>
          <w:vertAlign w:val="superscript"/>
        </w:rPr>
        <w:t>4</w:t>
      </w:r>
      <w:r w:rsidRPr="00A6059A">
        <w:rPr>
          <w:rFonts w:ascii="Calibri" w:eastAsia="Times New Roman" w:hAnsi="Calibri" w:cs="Calibri"/>
        </w:rPr>
        <w:t> During the H1N1 response, antivirals from the SNS were released in the largest quantities ever deployed from the SNS and in an accelerated timeframe.</w:t>
      </w:r>
      <w:r w:rsidRPr="00A6059A">
        <w:rPr>
          <w:rFonts w:ascii="Calibri" w:eastAsia="Times New Roman" w:hAnsi="Calibri" w:cs="Calibri"/>
          <w:bdr w:val="none" w:sz="0" w:space="0" w:color="auto" w:frame="1"/>
          <w:vertAlign w:val="superscript"/>
        </w:rPr>
        <w:t>4 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t> </w:t>
      </w:r>
    </w:p>
    <w:p w14:paraId="54D196BF" w14:textId="77777777" w:rsidR="00206E4B" w:rsidRPr="00A6059A" w:rsidRDefault="00206E4B"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How the SNS Program Works</w:t>
      </w:r>
    </w:p>
    <w:p w14:paraId="079105FE" w14:textId="77777777" w:rsidR="00206E4B" w:rsidRPr="00A6059A" w:rsidRDefault="00206E4B" w:rsidP="004A33A8">
      <w:pPr>
        <w:spacing w:line="480" w:lineRule="auto"/>
        <w:rPr>
          <w:rFonts w:ascii="Calibri" w:eastAsia="Times New Roman" w:hAnsi="Calibri" w:cs="Calibri"/>
          <w:b/>
          <w:bCs/>
        </w:rPr>
      </w:pPr>
      <w:r w:rsidRPr="00A6059A">
        <w:rPr>
          <w:rFonts w:ascii="Calibri" w:eastAsia="Times New Roman" w:hAnsi="Calibri" w:cs="Calibri"/>
          <w:b/>
          <w:bCs/>
        </w:rPr>
        <w:t>Deployment of the SNS</w:t>
      </w:r>
    </w:p>
    <w:p w14:paraId="619F8443" w14:textId="77777777" w:rsidR="00206E4B" w:rsidRPr="00A6059A" w:rsidRDefault="00206E4B" w:rsidP="004A33A8">
      <w:pPr>
        <w:shd w:val="clear" w:color="auto" w:fill="FFFFFF"/>
        <w:spacing w:line="480" w:lineRule="auto"/>
        <w:textAlignment w:val="baseline"/>
        <w:rPr>
          <w:rFonts w:ascii="Calibri" w:eastAsia="Times New Roman" w:hAnsi="Calibri" w:cs="Calibri"/>
          <w:b/>
          <w:bCs/>
        </w:rPr>
      </w:pPr>
      <w:r w:rsidRPr="00A6059A">
        <w:rPr>
          <w:rFonts w:ascii="Calibri" w:eastAsia="Times New Roman" w:hAnsi="Calibri" w:cs="Calibri"/>
        </w:rPr>
        <w:t>State governors or their designees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Federal personnel work in conjunction with state and local officials to determine if and what components of the SNS are needed.</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Ultimately, however, the federal government is responsible for making the decision to deploy all or portions of the SNS.</w:t>
      </w:r>
      <w:r w:rsidRPr="00A6059A">
        <w:rPr>
          <w:rFonts w:ascii="Calibri" w:eastAsia="Times New Roman" w:hAnsi="Calibri" w:cs="Calibri"/>
          <w:bdr w:val="none" w:sz="0" w:space="0" w:color="auto" w:frame="1"/>
          <w:vertAlign w:val="superscript"/>
        </w:rPr>
        <w:t>3 </w:t>
      </w:r>
      <w:r w:rsidRPr="00A6059A">
        <w:rPr>
          <w:rFonts w:ascii="Calibri" w:eastAsia="Times New Roman" w:hAnsi="Calibri" w:cs="Calibri"/>
        </w:rPr>
        <w:t>The SNS is not considered a first response tool, but rather as a support mechanism to state and local response efforts. </w:t>
      </w:r>
      <w:r w:rsidRPr="00A6059A">
        <w:rPr>
          <w:rFonts w:ascii="Calibri" w:eastAsia="Times New Roman" w:hAnsi="Calibri" w:cs="Calibri"/>
        </w:rPr>
        <w:br/>
      </w:r>
      <w:r w:rsidRPr="00A6059A">
        <w:rPr>
          <w:rFonts w:ascii="Calibri" w:eastAsia="Times New Roman" w:hAnsi="Calibri" w:cs="Calibri"/>
        </w:rPr>
        <w:br/>
        <w:t xml:space="preserve">Items in the SNS can be deployed by the secretary of Homeland Security to respond to an actual or </w:t>
      </w:r>
      <w:r w:rsidRPr="00A6059A">
        <w:rPr>
          <w:rFonts w:ascii="Calibri" w:eastAsia="Times New Roman" w:hAnsi="Calibri" w:cs="Calibri"/>
        </w:rPr>
        <w:lastRenderedPageBreak/>
        <w:t>potential emergency or by the HHS secretary to respond to an actual or potential public health emergency or other situation in which deployment is necessary to protect public health and safety. The declaration of a federal or state public health emergency is not required to deploy the stockpile, and its contents can be deployed in advance of a public health emergency. </w:t>
      </w:r>
      <w:r w:rsidRPr="00A6059A">
        <w:rPr>
          <w:rFonts w:ascii="Calibri" w:eastAsia="Times New Roman" w:hAnsi="Calibri" w:cs="Calibri"/>
        </w:rPr>
        <w:br/>
      </w:r>
      <w:r w:rsidRPr="00A6059A">
        <w:rPr>
          <w:rFonts w:ascii="Calibri" w:eastAsia="Times New Roman" w:hAnsi="Calibri" w:cs="Calibri"/>
        </w:rPr>
        <w:br/>
        <w:t>SNS caches are strategically located in secured warehouses across the United States to ensure the timely deployment of materiel to any location in the country by land or air.</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Initial deployments from the SNS are 12-hour “Push Packages,” which are caches of medicines and medical supplies that can address a range of needs arising from what may be an ill-defined threat in the early hours of an emergency event.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CDC Division of SNS (DSNS) also simultaneously deploys its Stockpile Service Advance Group to coordinate with state and local officials in the receipt and distribution of SNS assets. CDC transfers authority for the SNS assets to state and local officials once the materiel has arrived at its receiving/storage site.</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State and local officials are responsible for unpacking the SNS assets for distribution to various warehouses or dispensing sites identified by state and local officials.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If an event requires specific or additional medicines and supplies, a deployment from managed inventory (MI) supplies is delivered within 24-36 hours.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Medicines and supplies in an MI-deployed stockpile can be modified depending on the nature of the emergency and the suspected or confirmed agent.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Where the agent is well defined, the SNS would be immediately deployed from MI with medicines and supplies appropriate for that agent.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The SNS may also include medicines that have been authorized under the FDA’s </w:t>
      </w:r>
      <w:hyperlink r:id="rId91" w:anchor="Emergency-Use" w:tooltip="Emergency Use Authorization (EUA)" w:history="1">
        <w:r w:rsidRPr="00A6059A">
          <w:rPr>
            <w:rFonts w:ascii="Calibri" w:eastAsia="Times New Roman" w:hAnsi="Calibri" w:cs="Calibri"/>
            <w:color w:val="0F88B8"/>
            <w:bdr w:val="none" w:sz="0" w:space="0" w:color="auto" w:frame="1"/>
          </w:rPr>
          <w:t>Emergency Use Authorization (EUA)</w:t>
        </w:r>
      </w:hyperlink>
      <w:r w:rsidRPr="00A6059A">
        <w:rPr>
          <w:rFonts w:ascii="Calibri" w:eastAsia="Times New Roman" w:hAnsi="Calibri" w:cs="Calibri"/>
          <w:color w:val="737373"/>
        </w:rPr>
        <w:t> </w:t>
      </w:r>
      <w:r w:rsidRPr="00A6059A">
        <w:rPr>
          <w:rFonts w:ascii="Calibri" w:eastAsia="Times New Roman" w:hAnsi="Calibri" w:cs="Calibri"/>
        </w:rPr>
        <w:t xml:space="preserve">authority, which allows for the use of unapproved medical products (drugs, biologics [e.g., vaccines], and devices [e.g., diagnostics]) or the use of approved medical products in </w:t>
      </w:r>
      <w:r w:rsidRPr="00A6059A">
        <w:rPr>
          <w:rFonts w:ascii="Calibri" w:eastAsia="Times New Roman" w:hAnsi="Calibri" w:cs="Calibri"/>
        </w:rPr>
        <w:lastRenderedPageBreak/>
        <w:t>unapproved ways to diagnose, treat, or prevent diseases or conditions caused by chemical, biological, radiological, or nuclear (CBRN) agents if criteria in the Federal Food, Drug, and Cosmetics Act are met. Medicines authorized by an EUA must be distributed and dispensed according to conditions imposed as a part of its authorization by the FDA. Conditions can include the dissemination of information (e.g., fact sheets) to healthcare providers, authorized dispensers, patients, and other consumers regarding the EUA, the product’s significant known and potential benefits and risks, and the extent to which such benefits and risks are unknown. </w:t>
      </w:r>
      <w:r w:rsidRPr="00A6059A">
        <w:rPr>
          <w:rFonts w:ascii="Calibri" w:eastAsia="Times New Roman" w:hAnsi="Calibri" w:cs="Calibri"/>
        </w:rPr>
        <w:br/>
      </w:r>
      <w:r w:rsidRPr="00A6059A">
        <w:rPr>
          <w:rFonts w:ascii="Calibri" w:eastAsia="Times New Roman" w:hAnsi="Calibri" w:cs="Calibri"/>
        </w:rPr>
        <w:br/>
      </w:r>
      <w:r w:rsidRPr="00A6059A">
        <w:rPr>
          <w:rFonts w:ascii="Calibri" w:eastAsia="Times New Roman" w:hAnsi="Calibri" w:cs="Calibri"/>
          <w:b/>
          <w:bCs/>
        </w:rPr>
        <w:t>State and Local Receipt and Distribution of SNS Assets</w:t>
      </w:r>
    </w:p>
    <w:p w14:paraId="3FA1F7E0" w14:textId="77777777" w:rsidR="00206E4B" w:rsidRPr="00A6059A" w:rsidRDefault="00206E4B" w:rsidP="004A33A8">
      <w:pPr>
        <w:keepNext/>
        <w:shd w:val="clear" w:color="auto" w:fill="FFFFFF"/>
        <w:spacing w:line="480" w:lineRule="auto"/>
        <w:textAlignment w:val="baseline"/>
        <w:rPr>
          <w:rFonts w:ascii="Calibri" w:eastAsia="Times New Roman" w:hAnsi="Calibri" w:cs="Calibri"/>
          <w:b/>
          <w:bCs/>
        </w:rPr>
      </w:pPr>
      <w:r w:rsidRPr="00A6059A">
        <w:rPr>
          <w:rFonts w:ascii="Calibri" w:eastAsia="Times New Roman" w:hAnsi="Calibri" w:cs="Calibri"/>
        </w:rPr>
        <w:t>Each state has established plans to receive and distribute SNS assets to their local jurisdictions as soon as possible after receipt of the deployment.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SNS assets are delivered to one predesignated location in the state; once authorized state personnel sign for receipt of the SNS assets, the materiel becomes the responsibility of the state. States are required to store the assets under appropriate environmental conditions and properly secure the assets, especially products that are on the U.S. Drug Enforcement Agency’s schedule of controlled substances. </w:t>
      </w:r>
      <w:r w:rsidRPr="00A6059A">
        <w:rPr>
          <w:rFonts w:ascii="Calibri" w:eastAsia="Times New Roman" w:hAnsi="Calibri" w:cs="Calibri"/>
        </w:rPr>
        <w:br/>
      </w:r>
      <w:r w:rsidRPr="00A6059A">
        <w:rPr>
          <w:rFonts w:ascii="Calibri" w:eastAsia="Times New Roman" w:hAnsi="Calibri" w:cs="Calibri"/>
        </w:rPr>
        <w:br/>
        <w:t>State personnel are then responsible for unpacking the shipment and distributing the materiel within the state for further distribution by state and/or local officials, depending on the state’s SNS plan. SNS assets now generally come ready to dispense to individuals (“unit of use”) without further repacking required. Medicines and supplies are distributed and ultimately dispensed to according state and local SNS plans. </w:t>
      </w:r>
      <w:r w:rsidRPr="00A6059A">
        <w:rPr>
          <w:rFonts w:ascii="Calibri" w:eastAsia="Times New Roman" w:hAnsi="Calibri" w:cs="Calibri"/>
        </w:rPr>
        <w:br/>
      </w:r>
      <w:r w:rsidRPr="00A6059A">
        <w:rPr>
          <w:rFonts w:ascii="Calibri" w:eastAsia="Times New Roman" w:hAnsi="Calibri" w:cs="Calibri"/>
        </w:rPr>
        <w:lastRenderedPageBreak/>
        <w:br/>
      </w:r>
      <w:r w:rsidRPr="00A6059A">
        <w:rPr>
          <w:rFonts w:ascii="Calibri" w:eastAsia="Times New Roman" w:hAnsi="Calibri" w:cs="Calibri"/>
          <w:b/>
          <w:bCs/>
        </w:rPr>
        <w:t>Storage, Replenishment, and Destruction of SNS Assets</w:t>
      </w:r>
    </w:p>
    <w:p w14:paraId="43AF17AE" w14:textId="77777777" w:rsidR="00206E4B" w:rsidRPr="00A6059A" w:rsidRDefault="00206E4B" w:rsidP="004A33A8">
      <w:pPr>
        <w:shd w:val="clear" w:color="auto" w:fill="FFFFFF"/>
        <w:spacing w:line="480" w:lineRule="auto"/>
        <w:textAlignment w:val="baseline"/>
        <w:rPr>
          <w:rFonts w:ascii="Calibri" w:eastAsia="Times New Roman" w:hAnsi="Calibri" w:cs="Calibri"/>
          <w:b/>
          <w:bCs/>
          <w:color w:val="3C3030"/>
          <w:sz w:val="24"/>
          <w:szCs w:val="24"/>
        </w:rPr>
      </w:pPr>
      <w:r w:rsidRPr="00A6059A">
        <w:rPr>
          <w:rFonts w:ascii="Calibri" w:eastAsia="Times New Roman" w:hAnsi="Calibri" w:cs="Calibri"/>
        </w:rPr>
        <w:t>The CDC DSNS is responsible for ensuring that the medicines in the SNS are routinely checked and rotated to keep within shelf-life potency limits.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For 12-hour Push Packages, quarterly quality assurance and quality control checks are conducted, as well as annual 100 percent inventory of all Push Package items and inspections of security, overall package maintenance, and environmental conditions.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SNS is part of the federal </w:t>
      </w:r>
      <w:hyperlink r:id="rId92" w:anchor="Shelf-Life" w:tooltip="Shelf Life Extension Program (SLEP)" w:history="1">
        <w:r w:rsidRPr="00A6059A">
          <w:rPr>
            <w:rFonts w:ascii="Calibri" w:eastAsia="Times New Roman" w:hAnsi="Calibri" w:cs="Calibri"/>
            <w:color w:val="0F88B8"/>
            <w:bdr w:val="none" w:sz="0" w:space="0" w:color="auto" w:frame="1"/>
          </w:rPr>
          <w:t>Shelf Life Extension Program (SLEP)</w:t>
        </w:r>
      </w:hyperlink>
      <w:r>
        <w:rPr>
          <w:rFonts w:ascii="Calibri" w:eastAsia="Times New Roman" w:hAnsi="Calibri" w:cs="Calibri"/>
          <w:color w:val="737373"/>
        </w:rPr>
        <w:t xml:space="preserve"> </w:t>
      </w:r>
      <w:r w:rsidRPr="00A6059A">
        <w:rPr>
          <w:rFonts w:ascii="Calibri" w:eastAsia="Times New Roman" w:hAnsi="Calibri" w:cs="Calibri"/>
        </w:rPr>
        <w:t>administered by the Department of Defense and the Food and Drug Administration. SLEP tests eligible medicines from the SNS to determine if, and for how long, the expiration date on the qualifying products can be extended. Extending the shelf life of SNS assets may be a cost-effective alternative to replacing large quantities of medicines that have expired. (See </w:t>
      </w:r>
      <w:hyperlink r:id="rId93" w:tooltip="ASTHO Fact Sheet on SLEP" w:history="1">
        <w:r w:rsidRPr="00A6059A">
          <w:rPr>
            <w:rFonts w:ascii="Calibri" w:eastAsia="Times New Roman" w:hAnsi="Calibri" w:cs="Calibri"/>
            <w:color w:val="0F88B8"/>
            <w:bdr w:val="none" w:sz="0" w:space="0" w:color="auto" w:frame="1"/>
          </w:rPr>
          <w:t>ASTHO Fact Sheet on SLEP</w:t>
        </w:r>
      </w:hyperlink>
      <w:r w:rsidRPr="00A6059A">
        <w:rPr>
          <w:rFonts w:ascii="Calibri" w:eastAsia="Times New Roman" w:hAnsi="Calibri" w:cs="Calibri"/>
        </w:rPr>
        <w:t>.) Items that are not extended or returned to the manufacturer for product rotation are destroyed. </w:t>
      </w:r>
      <w:r w:rsidRPr="00A6059A">
        <w:rPr>
          <w:rFonts w:ascii="Calibri" w:eastAsia="Times New Roman" w:hAnsi="Calibri" w:cs="Calibri"/>
        </w:rPr>
        <w:br/>
      </w:r>
      <w:r w:rsidRPr="00A6059A">
        <w:rPr>
          <w:rFonts w:ascii="Calibri" w:eastAsia="Times New Roman" w:hAnsi="Calibri" w:cs="Calibri"/>
          <w:color w:val="737373"/>
        </w:rPr>
        <w:br/>
      </w:r>
      <w:r w:rsidRPr="00A6059A">
        <w:rPr>
          <w:rFonts w:ascii="Calibri" w:eastAsia="Times New Roman" w:hAnsi="Calibri" w:cs="Calibri"/>
          <w:b/>
          <w:bCs/>
          <w:color w:val="3C3030"/>
          <w:sz w:val="24"/>
          <w:szCs w:val="24"/>
        </w:rPr>
        <w:t>State and Other Stockpiles</w:t>
      </w:r>
    </w:p>
    <w:p w14:paraId="2F2C36BE" w14:textId="77777777" w:rsidR="00206E4B" w:rsidRPr="00A6059A" w:rsidRDefault="00206E4B" w:rsidP="004A33A8">
      <w:pPr>
        <w:shd w:val="clear" w:color="auto" w:fill="FFFFFF"/>
        <w:spacing w:line="480" w:lineRule="auto"/>
        <w:textAlignment w:val="baseline"/>
        <w:rPr>
          <w:rFonts w:ascii="Calibri" w:eastAsia="Times New Roman" w:hAnsi="Calibri" w:cs="Calibri"/>
          <w:b/>
          <w:bCs/>
          <w:color w:val="3C3030"/>
          <w:sz w:val="24"/>
          <w:szCs w:val="24"/>
        </w:rPr>
      </w:pPr>
      <w:r w:rsidRPr="00A6059A">
        <w:rPr>
          <w:rFonts w:ascii="Calibri" w:eastAsia="Times New Roman" w:hAnsi="Calibri" w:cs="Calibri"/>
        </w:rPr>
        <w:t>In addition to the SNS, most states have their own stockpiles of medicines and supplies that were purchased either with partial federal funding or with state funds. State-maintained stockpiles are not currently eligible for participation in SLEP. The </w:t>
      </w:r>
      <w:hyperlink r:id="rId94" w:anchor="Cities-Readiness" w:tooltip="Cities Readiness Initiative (CRI)" w:history="1">
        <w:r w:rsidRPr="00A6059A">
          <w:rPr>
            <w:rFonts w:ascii="Calibri" w:eastAsia="Times New Roman" w:hAnsi="Calibri" w:cs="Calibri"/>
            <w:color w:val="0F88B8"/>
            <w:bdr w:val="none" w:sz="0" w:space="0" w:color="auto" w:frame="1"/>
          </w:rPr>
          <w:t>Cities Readiness Initiative (CRI)</w:t>
        </w:r>
      </w:hyperlink>
      <w:r w:rsidRPr="00A6059A">
        <w:rPr>
          <w:rFonts w:ascii="Calibri" w:eastAsia="Times New Roman" w:hAnsi="Calibri" w:cs="Calibri"/>
          <w:color w:val="737373"/>
        </w:rPr>
        <w:t> </w:t>
      </w:r>
      <w:r w:rsidRPr="00A6059A">
        <w:rPr>
          <w:rFonts w:ascii="Calibri" w:eastAsia="Times New Roman" w:hAnsi="Calibri" w:cs="Calibri"/>
        </w:rPr>
        <w:t>was created in 2004 to focus on emergency preparedness in the largest cities and metropolitan areas in the United States, where more than 50 percent of the nation’s population resides. The CRI has enabled public health departments in states and large metropolitan areas to develop plans to respond to large-scale bioterrorist events by dispensing antibiotics to the entire population of a specified metropolitan area within 48 hours.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b/>
          <w:bCs/>
          <w:color w:val="3C3030"/>
          <w:sz w:val="24"/>
          <w:szCs w:val="24"/>
        </w:rPr>
        <w:t> </w:t>
      </w:r>
    </w:p>
    <w:p w14:paraId="4E3CEA45" w14:textId="77777777" w:rsidR="00206E4B" w:rsidRPr="00A6059A" w:rsidRDefault="00206E4B" w:rsidP="004A33A8">
      <w:pPr>
        <w:keepNext/>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lastRenderedPageBreak/>
        <w:t>How the SNS Program Affects States</w:t>
      </w:r>
    </w:p>
    <w:p w14:paraId="11F42B57" w14:textId="77777777" w:rsidR="00206E4B" w:rsidRPr="00A6059A" w:rsidRDefault="00206E4B" w:rsidP="004A33A8">
      <w:pPr>
        <w:shd w:val="clear" w:color="auto" w:fill="FFFFFF"/>
        <w:spacing w:after="225" w:line="480" w:lineRule="auto"/>
        <w:textAlignment w:val="baseline"/>
        <w:rPr>
          <w:rFonts w:ascii="Calibri" w:eastAsia="Times New Roman" w:hAnsi="Calibri" w:cs="Calibri"/>
        </w:rPr>
      </w:pPr>
      <w:r w:rsidRPr="00A6059A">
        <w:rPr>
          <w:rFonts w:ascii="Calibri" w:eastAsia="Times New Roman" w:hAnsi="Calibri" w:cs="Calibri"/>
        </w:rPr>
        <w:t>All states are directly affected by the SNS program. All states have SNS programs and have received one or more deployments from the SNS. State and local health departments receive ongoing training about and regularly exercise SNS deployments.</w:t>
      </w:r>
    </w:p>
    <w:p w14:paraId="5F2F6D03" w14:textId="77777777" w:rsidR="00206E4B" w:rsidRPr="00A6059A" w:rsidRDefault="00206E4B"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Practice Notes</w:t>
      </w:r>
    </w:p>
    <w:p w14:paraId="39760613" w14:textId="77777777" w:rsidR="00206E4B" w:rsidRPr="001D7142" w:rsidRDefault="00206E4B" w:rsidP="00206E4B">
      <w:pPr>
        <w:pStyle w:val="ListParagraph"/>
        <w:numPr>
          <w:ilvl w:val="0"/>
          <w:numId w:val="35"/>
        </w:numPr>
        <w:spacing w:line="480" w:lineRule="auto"/>
        <w:ind w:left="360"/>
        <w:textAlignment w:val="baseline"/>
        <w:rPr>
          <w:rFonts w:ascii="Calibri" w:eastAsia="Times New Roman" w:hAnsi="Calibri" w:cs="Calibri"/>
        </w:rPr>
      </w:pPr>
      <w:r w:rsidRPr="001D7142">
        <w:rPr>
          <w:rFonts w:ascii="Calibri" w:eastAsia="Times New Roman" w:hAnsi="Calibri" w:cs="Calibri"/>
        </w:rPr>
        <w:t>Identify the agency and offices(s) responsible for managing your state’s SNS program and other medical stockpiles.</w:t>
      </w:r>
    </w:p>
    <w:p w14:paraId="7FD3D5A6" w14:textId="77777777" w:rsidR="00206E4B" w:rsidRPr="001D7142" w:rsidRDefault="00206E4B" w:rsidP="00206E4B">
      <w:pPr>
        <w:pStyle w:val="ListParagraph"/>
        <w:numPr>
          <w:ilvl w:val="0"/>
          <w:numId w:val="35"/>
        </w:numPr>
        <w:spacing w:line="480" w:lineRule="auto"/>
        <w:ind w:left="360"/>
        <w:textAlignment w:val="baseline"/>
        <w:rPr>
          <w:rFonts w:ascii="Calibri" w:eastAsia="Times New Roman" w:hAnsi="Calibri" w:cs="Calibri"/>
        </w:rPr>
      </w:pPr>
      <w:r w:rsidRPr="001D7142">
        <w:rPr>
          <w:rFonts w:ascii="Calibri" w:eastAsia="Times New Roman" w:hAnsi="Calibri" w:cs="Calibri"/>
        </w:rPr>
        <w:t>Understand the procedures, protocols, and legal requirements for receiving and managing an SNS deployment.</w:t>
      </w:r>
    </w:p>
    <w:p w14:paraId="7CB83DD5" w14:textId="77777777" w:rsidR="00206E4B" w:rsidRPr="001D7142" w:rsidRDefault="00206E4B" w:rsidP="00206E4B">
      <w:pPr>
        <w:pStyle w:val="ListParagraph"/>
        <w:numPr>
          <w:ilvl w:val="0"/>
          <w:numId w:val="35"/>
        </w:numPr>
        <w:spacing w:line="480" w:lineRule="auto"/>
        <w:ind w:left="360"/>
        <w:textAlignment w:val="baseline"/>
        <w:rPr>
          <w:rFonts w:ascii="Calibri" w:eastAsia="Times New Roman" w:hAnsi="Calibri" w:cs="Calibri"/>
        </w:rPr>
      </w:pPr>
      <w:r w:rsidRPr="001D7142">
        <w:rPr>
          <w:rFonts w:ascii="Calibri" w:eastAsia="Times New Roman" w:hAnsi="Calibri" w:cs="Calibri"/>
        </w:rPr>
        <w:t>Understand your state’s plan for distributing and dispensing medicines and supplies from the SNS, CRI, and state stockpiles.</w:t>
      </w:r>
    </w:p>
    <w:p w14:paraId="43291063" w14:textId="77777777" w:rsidR="00206E4B" w:rsidRPr="001D7142" w:rsidRDefault="00206E4B" w:rsidP="004A33A8">
      <w:pPr>
        <w:spacing w:line="480" w:lineRule="auto"/>
        <w:rPr>
          <w:rFonts w:ascii="Calibri" w:eastAsia="Times New Roman" w:hAnsi="Calibri" w:cs="Calibri"/>
          <w:b/>
          <w:bCs/>
        </w:rPr>
      </w:pPr>
    </w:p>
    <w:p w14:paraId="1966711F" w14:textId="77777777" w:rsidR="00206E4B" w:rsidRPr="00A6059A" w:rsidRDefault="00206E4B"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Sources</w:t>
      </w:r>
    </w:p>
    <w:p w14:paraId="0A0E6CDC"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The Strategic National Stockpile is authorized by Public Health Service Act §319F-2; 42 U.S.C. § 247d-6b.</w:t>
      </w:r>
    </w:p>
    <w:p w14:paraId="6672E90B"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CDC, Public Health Law Program. “Frequently Asked Questions About Federal Public Health Emergency Law.” September 2009. Available at </w:t>
      </w:r>
      <w:hyperlink r:id="rId95" w:tooltip="http://www2a.cdc.gov/phlp/docs/FAQs%20Fed%20PHE%20laws%20101409.pdf" w:history="1">
        <w:r w:rsidRPr="00A6059A">
          <w:rPr>
            <w:rFonts w:ascii="Calibri" w:eastAsia="Times New Roman" w:hAnsi="Calibri" w:cs="Calibri"/>
            <w:color w:val="0F88B8"/>
            <w:szCs w:val="20"/>
            <w:bdr w:val="none" w:sz="0" w:space="0" w:color="auto" w:frame="1"/>
          </w:rPr>
          <w:t>http://www2a.cdc.gov/phlp/docs/FAQs%20Fed%20PHE%20laws%20101409.pdf</w:t>
        </w:r>
      </w:hyperlink>
      <w:r w:rsidRPr="00A6059A">
        <w:rPr>
          <w:rFonts w:ascii="Calibri" w:eastAsia="Times New Roman" w:hAnsi="Calibri" w:cs="Calibri"/>
          <w:szCs w:val="20"/>
        </w:rPr>
        <w:t>. Accessed January 31, 2012.</w:t>
      </w:r>
    </w:p>
    <w:p w14:paraId="616342E1"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CDC. “Strategic National Stockpile (SNS)” webpage. Available at </w:t>
      </w:r>
      <w:hyperlink r:id="rId96" w:tooltip="www.cdc.gov/phpr/stockpile/stockpile.htm" w:history="1">
        <w:r w:rsidRPr="00A6059A">
          <w:rPr>
            <w:rFonts w:ascii="Calibri" w:eastAsia="Times New Roman" w:hAnsi="Calibri" w:cs="Calibri"/>
            <w:color w:val="0F88B8"/>
            <w:szCs w:val="20"/>
            <w:bdr w:val="none" w:sz="0" w:space="0" w:color="auto" w:frame="1"/>
          </w:rPr>
          <w:t>www.cdc.gov/phpr/stockpile/stockpile.htm</w:t>
        </w:r>
      </w:hyperlink>
      <w:r w:rsidRPr="00A6059A">
        <w:rPr>
          <w:rFonts w:ascii="Calibri" w:eastAsia="Times New Roman" w:hAnsi="Calibri" w:cs="Calibri"/>
          <w:szCs w:val="20"/>
        </w:rPr>
        <w:t>. Accessed January 31, 2012.</w:t>
      </w:r>
    </w:p>
    <w:p w14:paraId="3809A38E"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lastRenderedPageBreak/>
        <w:t>ASTHO. </w:t>
      </w:r>
      <w:r w:rsidRPr="00A6059A">
        <w:rPr>
          <w:rFonts w:ascii="Calibri" w:eastAsia="Times New Roman" w:hAnsi="Calibri" w:cs="Calibri"/>
          <w:i/>
          <w:iCs/>
          <w:szCs w:val="20"/>
          <w:bdr w:val="none" w:sz="0" w:space="0" w:color="auto" w:frame="1"/>
        </w:rPr>
        <w:t>The Strategic National Stockpile: From Concept to Achievement.</w:t>
      </w:r>
      <w:r>
        <w:rPr>
          <w:rFonts w:ascii="Calibri" w:eastAsia="Times New Roman" w:hAnsi="Calibri" w:cs="Calibri"/>
          <w:i/>
          <w:iCs/>
          <w:szCs w:val="20"/>
          <w:bdr w:val="none" w:sz="0" w:space="0" w:color="auto" w:frame="1"/>
        </w:rPr>
        <w:t xml:space="preserve"> </w:t>
      </w:r>
      <w:r w:rsidRPr="00A6059A">
        <w:rPr>
          <w:rFonts w:ascii="Calibri" w:eastAsia="Times New Roman" w:hAnsi="Calibri" w:cs="Calibri"/>
          <w:szCs w:val="20"/>
        </w:rPr>
        <w:t>August 2010. Available at </w:t>
      </w:r>
      <w:hyperlink r:id="rId97" w:tooltip="http://www.astho.org/Programs/Preparedness/Strategic-National-Stockpile/The-Strategic-National-Stockpile--From-Concept-to-Achievement/" w:history="1">
        <w:r w:rsidRPr="00A6059A">
          <w:rPr>
            <w:rFonts w:ascii="Calibri" w:eastAsia="Times New Roman" w:hAnsi="Calibri" w:cs="Calibri"/>
            <w:color w:val="0F88B8"/>
            <w:szCs w:val="20"/>
            <w:bdr w:val="none" w:sz="0" w:space="0" w:color="auto" w:frame="1"/>
          </w:rPr>
          <w:t>http://www.astho.org/Programs/Preparedness/Strategic-National-Stockpile/The-Strategic-National-Stockpile--From-Concept-to-Achievement/</w:t>
        </w:r>
      </w:hyperlink>
      <w:r w:rsidRPr="00A6059A">
        <w:rPr>
          <w:rFonts w:ascii="Calibri" w:eastAsia="Times New Roman" w:hAnsi="Calibri" w:cs="Calibri"/>
          <w:color w:val="737373"/>
          <w:szCs w:val="20"/>
        </w:rPr>
        <w:t xml:space="preserve">. </w:t>
      </w:r>
      <w:r w:rsidRPr="00A6059A">
        <w:rPr>
          <w:rFonts w:ascii="Calibri" w:eastAsia="Times New Roman" w:hAnsi="Calibri" w:cs="Calibri"/>
          <w:szCs w:val="20"/>
        </w:rPr>
        <w:t>Accessed January 31, 2012.</w:t>
      </w:r>
    </w:p>
    <w:p w14:paraId="64D4550D"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Institute of Medicine (US). Forum on Medical and Public Health Preparedness for Catastrophic Events. </w:t>
      </w:r>
      <w:r w:rsidRPr="00A6059A">
        <w:rPr>
          <w:rFonts w:ascii="Calibri" w:eastAsia="Times New Roman" w:hAnsi="Calibri" w:cs="Calibri"/>
          <w:i/>
          <w:iCs/>
          <w:szCs w:val="20"/>
          <w:bdr w:val="none" w:sz="0" w:space="0" w:color="auto" w:frame="1"/>
        </w:rPr>
        <w:t>Medical Countermeasures Dispensing: Emergency Use Authorization and the Postal Model. </w:t>
      </w:r>
      <w:r w:rsidRPr="00A6059A">
        <w:rPr>
          <w:rFonts w:ascii="Calibri" w:eastAsia="Times New Roman" w:hAnsi="Calibri" w:cs="Calibri"/>
          <w:szCs w:val="20"/>
        </w:rPr>
        <w:t>Washington, DC. National Academies Press. 2010. Available at </w:t>
      </w:r>
      <w:hyperlink r:id="rId98" w:tooltip="www.ncbi.nlm.nih.gov/books/NBK53126/pdf/TOC.pdf" w:history="1">
        <w:r w:rsidRPr="00A6059A">
          <w:rPr>
            <w:rFonts w:ascii="Calibri" w:eastAsia="Times New Roman" w:hAnsi="Calibri" w:cs="Calibri"/>
            <w:color w:val="0F88B8"/>
            <w:szCs w:val="20"/>
            <w:bdr w:val="none" w:sz="0" w:space="0" w:color="auto" w:frame="1"/>
          </w:rPr>
          <w:t>www.ncbi.nlm.nih.gov/books/NBK53126/pdf/TOC.pdf</w:t>
        </w:r>
      </w:hyperlink>
      <w:r w:rsidRPr="00A6059A">
        <w:rPr>
          <w:rFonts w:ascii="Calibri" w:eastAsia="Times New Roman" w:hAnsi="Calibri" w:cs="Calibri"/>
          <w:color w:val="737373"/>
          <w:szCs w:val="20"/>
        </w:rPr>
        <w:t xml:space="preserve">. </w:t>
      </w:r>
      <w:r w:rsidRPr="00A6059A">
        <w:rPr>
          <w:rFonts w:ascii="Calibri" w:eastAsia="Times New Roman" w:hAnsi="Calibri" w:cs="Calibri"/>
          <w:szCs w:val="20"/>
        </w:rPr>
        <w:t>Accessed January 31, 2012.</w:t>
      </w:r>
    </w:p>
    <w:p w14:paraId="40CFC517" w14:textId="77777777" w:rsidR="00206E4B" w:rsidRPr="00A6059A" w:rsidRDefault="00206E4B" w:rsidP="00206E4B">
      <w:pPr>
        <w:numPr>
          <w:ilvl w:val="0"/>
          <w:numId w:val="34"/>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FDA. “Emergency Use Authorizations Questions and Answers” webpage. At </w:t>
      </w:r>
      <w:hyperlink r:id="rId99" w:tooltip="www.fda.gov/NewsEvents/PublicHealthFocus/ucm153297.htm" w:history="1">
        <w:r w:rsidRPr="00A6059A">
          <w:rPr>
            <w:rFonts w:ascii="Calibri" w:eastAsia="Times New Roman" w:hAnsi="Calibri" w:cs="Calibri"/>
            <w:color w:val="0F88B8"/>
            <w:szCs w:val="20"/>
            <w:bdr w:val="none" w:sz="0" w:space="0" w:color="auto" w:frame="1"/>
          </w:rPr>
          <w:t>www.fda.gov/NewsEvents/PublicHealthFocus/ucm153297.htm</w:t>
        </w:r>
      </w:hyperlink>
      <w:r w:rsidRPr="00A6059A">
        <w:rPr>
          <w:rFonts w:ascii="Calibri" w:eastAsia="Times New Roman" w:hAnsi="Calibri" w:cs="Calibri"/>
          <w:szCs w:val="20"/>
        </w:rPr>
        <w:t>. Accessed January 31, 2012.</w:t>
      </w:r>
    </w:p>
    <w:p w14:paraId="7DC8D65F" w14:textId="1DE52EA8" w:rsidR="00206E4B" w:rsidRDefault="00206E4B" w:rsidP="004A33A8">
      <w:pPr>
        <w:spacing w:line="480" w:lineRule="auto"/>
        <w:rPr>
          <w:rFonts w:ascii="Calibri" w:hAnsi="Calibri" w:cs="Calibri"/>
          <w:sz w:val="24"/>
        </w:rPr>
      </w:pPr>
    </w:p>
    <w:p w14:paraId="21A3C101" w14:textId="77777777" w:rsidR="00EE766A" w:rsidRDefault="00EE766A" w:rsidP="00EE766A">
      <w:pPr>
        <w:rPr>
          <w:rFonts w:cstheme="minorHAnsi"/>
          <w:sz w:val="24"/>
        </w:rPr>
      </w:pPr>
      <w:r>
        <w:rPr>
          <w:rFonts w:cstheme="minorHAnsi"/>
          <w:sz w:val="24"/>
        </w:rPr>
        <w:t>[</w:t>
      </w:r>
      <w:hyperlink w:anchor="TOC_top" w:history="1">
        <w:r w:rsidRPr="008F1431">
          <w:rPr>
            <w:rStyle w:val="Hyperlink"/>
            <w:rFonts w:cstheme="minorHAnsi"/>
            <w:sz w:val="24"/>
          </w:rPr>
          <w:t>TOC to</w:t>
        </w:r>
        <w:r w:rsidRPr="008F1431">
          <w:rPr>
            <w:rStyle w:val="Hyperlink"/>
            <w:rFonts w:cstheme="minorHAnsi"/>
            <w:sz w:val="24"/>
          </w:rPr>
          <w:t>p</w:t>
        </w:r>
      </w:hyperlink>
      <w:r>
        <w:rPr>
          <w:rFonts w:cstheme="minorHAnsi"/>
          <w:sz w:val="24"/>
        </w:rPr>
        <w:t>]</w:t>
      </w:r>
    </w:p>
    <w:p w14:paraId="7C3B924F" w14:textId="1468D225" w:rsidR="00EE766A" w:rsidRDefault="00EE766A" w:rsidP="004A33A8">
      <w:pPr>
        <w:spacing w:line="480" w:lineRule="auto"/>
        <w:rPr>
          <w:rFonts w:ascii="Calibri" w:hAnsi="Calibri" w:cs="Calibri"/>
          <w:sz w:val="24"/>
        </w:rPr>
      </w:pPr>
    </w:p>
    <w:p w14:paraId="41B4A160" w14:textId="77777777" w:rsidR="00EE766A" w:rsidRDefault="00EE766A">
      <w:pPr>
        <w:rPr>
          <w:rFonts w:ascii="Calibri" w:hAnsi="Calibri" w:cs="Calibri"/>
          <w:sz w:val="24"/>
        </w:rPr>
        <w:sectPr w:rsidR="00EE766A">
          <w:footerReference w:type="default" r:id="rId100"/>
          <w:pgSz w:w="12240" w:h="15840"/>
          <w:pgMar w:top="1440" w:right="1440" w:bottom="1440" w:left="1440" w:header="720" w:footer="720" w:gutter="0"/>
          <w:cols w:space="720"/>
          <w:docGrid w:linePitch="360"/>
        </w:sectPr>
      </w:pPr>
    </w:p>
    <w:p w14:paraId="4CDD1A21" w14:textId="77777777" w:rsidR="00206E4B" w:rsidRPr="005C124C" w:rsidRDefault="00206E4B" w:rsidP="00540B61">
      <w:pPr>
        <w:spacing w:after="120"/>
        <w:jc w:val="center"/>
        <w:rPr>
          <w:rFonts w:ascii="Arial" w:hAnsi="Arial" w:cs="Arial"/>
          <w:sz w:val="24"/>
          <w:szCs w:val="24"/>
        </w:rPr>
      </w:pPr>
      <w:bookmarkStart w:id="9" w:name="State_Pharma_SAG"/>
      <w:r w:rsidRPr="006D54B7">
        <w:rPr>
          <w:rFonts w:ascii="Arial" w:hAnsi="Arial" w:cs="Arial"/>
          <w:sz w:val="24"/>
          <w:szCs w:val="24"/>
        </w:rPr>
        <w:lastRenderedPageBreak/>
        <w:t>State Analysis Guide</w:t>
      </w:r>
      <w:bookmarkEnd w:id="9"/>
    </w:p>
    <w:p w14:paraId="5940301D" w14:textId="77777777" w:rsidR="00206E4B" w:rsidRDefault="00206E4B" w:rsidP="009B1E2A">
      <w:pPr>
        <w:ind w:left="360"/>
        <w:jc w:val="center"/>
        <w:rPr>
          <w:rFonts w:ascii="Arial" w:hAnsi="Arial" w:cs="Arial"/>
          <w:b/>
          <w:sz w:val="26"/>
          <w:szCs w:val="26"/>
        </w:rPr>
      </w:pPr>
      <w:r w:rsidRPr="009B1E2A">
        <w:rPr>
          <w:rFonts w:ascii="Arial" w:hAnsi="Arial" w:cs="Arial"/>
          <w:b/>
          <w:sz w:val="26"/>
          <w:szCs w:val="26"/>
        </w:rPr>
        <w:t xml:space="preserve">State Pharmaceutical </w:t>
      </w:r>
      <w:r>
        <w:rPr>
          <w:rFonts w:ascii="Arial" w:hAnsi="Arial" w:cs="Arial"/>
          <w:b/>
          <w:sz w:val="26"/>
          <w:szCs w:val="26"/>
        </w:rPr>
        <w:t xml:space="preserve">Laws </w:t>
      </w:r>
      <w:r w:rsidRPr="009B1E2A">
        <w:rPr>
          <w:rFonts w:ascii="Arial" w:hAnsi="Arial" w:cs="Arial"/>
          <w:b/>
          <w:sz w:val="26"/>
          <w:szCs w:val="26"/>
        </w:rPr>
        <w:t>and Dispensing Authorities</w:t>
      </w:r>
    </w:p>
    <w:p w14:paraId="0E82B75C" w14:textId="77777777" w:rsidR="00206E4B" w:rsidRPr="000A4FF4" w:rsidRDefault="00206E4B" w:rsidP="001421B0">
      <w:pPr>
        <w:jc w:val="center"/>
        <w:rPr>
          <w:rFonts w:ascii="Arial" w:hAnsi="Arial" w:cs="Arial"/>
          <w:b/>
          <w:sz w:val="26"/>
          <w:szCs w:val="26"/>
        </w:rPr>
      </w:pPr>
    </w:p>
    <w:p w14:paraId="47C0EA56" w14:textId="77777777" w:rsidR="00206E4B" w:rsidRPr="008277E5" w:rsidRDefault="00206E4B" w:rsidP="001421B0">
      <w:pPr>
        <w:rPr>
          <w:rFonts w:ascii="Times New Roman" w:hAnsi="Times New Roman" w:cs="Times New Roman"/>
          <w:sz w:val="16"/>
          <w:szCs w:val="20"/>
        </w:rPr>
      </w:pPr>
    </w:p>
    <w:p w14:paraId="4EEABBA2" w14:textId="77777777" w:rsidR="00206E4B" w:rsidRDefault="00206E4B" w:rsidP="00870BDD">
      <w:pPr>
        <w:rPr>
          <w:color w:val="1F497D"/>
        </w:rPr>
      </w:pPr>
      <w:r w:rsidRPr="002A03E4">
        <w:rPr>
          <w:rFonts w:ascii="Arial" w:hAnsi="Arial" w:cs="Arial"/>
          <w:sz w:val="18"/>
          <w:szCs w:val="20"/>
        </w:rPr>
        <w:t xml:space="preserve">This </w:t>
      </w:r>
      <w:r w:rsidRPr="002A03E4">
        <w:rPr>
          <w:rFonts w:ascii="Arial" w:hAnsi="Arial" w:cs="Arial"/>
          <w:i/>
          <w:sz w:val="18"/>
          <w:szCs w:val="20"/>
        </w:rPr>
        <w:t>State Analysis Guide</w:t>
      </w:r>
      <w:r w:rsidRPr="002A03E4">
        <w:rPr>
          <w:rFonts w:ascii="Arial" w:hAnsi="Arial" w:cs="Arial"/>
          <w:sz w:val="18"/>
          <w:szCs w:val="20"/>
        </w:rPr>
        <w:t xml:space="preserve"> is intended to assist state health </w:t>
      </w:r>
      <w:r>
        <w:rPr>
          <w:rFonts w:ascii="Arial" w:hAnsi="Arial" w:cs="Arial"/>
          <w:sz w:val="18"/>
          <w:szCs w:val="20"/>
        </w:rPr>
        <w:t xml:space="preserve">agency staff and legal counsel in locating and </w:t>
      </w:r>
      <w:r w:rsidRPr="002A03E4">
        <w:rPr>
          <w:rFonts w:ascii="Arial" w:hAnsi="Arial" w:cs="Arial"/>
          <w:sz w:val="18"/>
          <w:szCs w:val="20"/>
        </w:rPr>
        <w:t>analyz</w:t>
      </w:r>
      <w:r>
        <w:rPr>
          <w:rFonts w:ascii="Arial" w:hAnsi="Arial" w:cs="Arial"/>
          <w:sz w:val="18"/>
          <w:szCs w:val="20"/>
        </w:rPr>
        <w:t>ing</w:t>
      </w:r>
      <w:r w:rsidRPr="002A03E4">
        <w:rPr>
          <w:rFonts w:ascii="Arial" w:hAnsi="Arial" w:cs="Arial"/>
          <w:sz w:val="18"/>
          <w:szCs w:val="20"/>
        </w:rPr>
        <w:t xml:space="preserve"> their state’s laws, rules, policies</w:t>
      </w:r>
      <w:r>
        <w:rPr>
          <w:rFonts w:ascii="Arial" w:hAnsi="Arial" w:cs="Arial"/>
          <w:sz w:val="18"/>
          <w:szCs w:val="20"/>
        </w:rPr>
        <w:t>,</w:t>
      </w:r>
      <w:r w:rsidRPr="002A03E4">
        <w:rPr>
          <w:rFonts w:ascii="Arial" w:hAnsi="Arial" w:cs="Arial"/>
          <w:sz w:val="18"/>
          <w:szCs w:val="20"/>
        </w:rPr>
        <w:t xml:space="preserve"> and implementation plans governing </w:t>
      </w:r>
      <w:r>
        <w:rPr>
          <w:rFonts w:ascii="Arial" w:hAnsi="Arial" w:cs="Arial"/>
          <w:sz w:val="18"/>
          <w:szCs w:val="20"/>
        </w:rPr>
        <w:t xml:space="preserve">the storage, distribution, dispensing, and administration of pharmaceuticals and other regulated medical products in the context of emergency preparedness and response activities. </w:t>
      </w:r>
      <w:r>
        <w:rPr>
          <w:rFonts w:ascii="Arial" w:hAnsi="Arial" w:cs="Arial"/>
          <w:sz w:val="18"/>
          <w:szCs w:val="18"/>
        </w:rPr>
        <w:t>Although the Federal Food, Drug, and Cosmetic Act (FD&amp;C Act) establishes the minimum regulation of medical products (e.g., drugs, devices, biologics), state laws may add more stringent requirements and generally govern the licensing of persons who distribute, compound, dispense, and administer medical products.</w:t>
      </w:r>
    </w:p>
    <w:p w14:paraId="1E2D2041" w14:textId="77777777" w:rsidR="00206E4B" w:rsidRDefault="00206E4B" w:rsidP="002A03E4">
      <w:pPr>
        <w:ind w:left="288" w:right="576"/>
        <w:jc w:val="both"/>
        <w:rPr>
          <w:rFonts w:ascii="Arial" w:hAnsi="Arial" w:cs="Arial"/>
          <w:sz w:val="18"/>
          <w:szCs w:val="20"/>
        </w:rPr>
      </w:pPr>
    </w:p>
    <w:p w14:paraId="443B0E64" w14:textId="77777777" w:rsidR="00206E4B" w:rsidRPr="002A03E4" w:rsidRDefault="00206E4B" w:rsidP="00870BDD">
      <w:pPr>
        <w:ind w:right="576"/>
        <w:jc w:val="both"/>
        <w:rPr>
          <w:rFonts w:ascii="Arial" w:hAnsi="Arial" w:cs="Arial"/>
          <w:sz w:val="18"/>
          <w:szCs w:val="20"/>
        </w:rPr>
      </w:pPr>
      <w:r w:rsidRPr="002A03E4">
        <w:rPr>
          <w:rFonts w:ascii="Arial" w:hAnsi="Arial" w:cs="Arial"/>
          <w:sz w:val="18"/>
          <w:szCs w:val="20"/>
        </w:rPr>
        <w:t xml:space="preserve">Space is provided on the document to insert references or summaries of appropriate state and/or local authorities. Because each state’s law is unique, this guide may not identify all issues that arise in the course of analyzing a state’s law. </w:t>
      </w:r>
      <w:r w:rsidRPr="002A03E4">
        <w:rPr>
          <w:rFonts w:ascii="Arial" w:hAnsi="Arial" w:cs="Arial"/>
          <w:b/>
          <w:sz w:val="18"/>
          <w:szCs w:val="20"/>
        </w:rPr>
        <w:t xml:space="preserve">In all instances the language and requirements of specific state/local laws, regulations, ordinances, rules, policies, </w:t>
      </w:r>
      <w:proofErr w:type="spellStart"/>
      <w:r w:rsidRPr="002A03E4">
        <w:rPr>
          <w:rFonts w:ascii="Arial" w:hAnsi="Arial" w:cs="Arial"/>
          <w:b/>
          <w:sz w:val="18"/>
          <w:szCs w:val="20"/>
        </w:rPr>
        <w:t>guidances</w:t>
      </w:r>
      <w:proofErr w:type="spellEnd"/>
      <w:r>
        <w:rPr>
          <w:rFonts w:ascii="Arial" w:hAnsi="Arial" w:cs="Arial"/>
          <w:b/>
          <w:sz w:val="18"/>
          <w:szCs w:val="20"/>
        </w:rPr>
        <w:t>, case law,</w:t>
      </w:r>
      <w:r w:rsidRPr="002A03E4">
        <w:rPr>
          <w:rFonts w:ascii="Arial" w:hAnsi="Arial" w:cs="Arial"/>
          <w:b/>
          <w:sz w:val="18"/>
          <w:szCs w:val="20"/>
        </w:rPr>
        <w:t xml:space="preserve">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28A3F5AF" w14:textId="77777777" w:rsidR="00206E4B" w:rsidRDefault="00206E4B" w:rsidP="001421B0">
      <w:pPr>
        <w:rPr>
          <w:rFonts w:ascii="Times New Roman" w:hAnsi="Times New Roman" w:cs="Times New Roman"/>
          <w:sz w:val="24"/>
          <w:szCs w:val="20"/>
        </w:rPr>
      </w:pPr>
    </w:p>
    <w:tbl>
      <w:tblPr>
        <w:tblStyle w:val="TableGrid"/>
        <w:tblW w:w="0" w:type="auto"/>
        <w:tblInd w:w="108" w:type="dxa"/>
        <w:tblCellMar>
          <w:left w:w="115" w:type="dxa"/>
          <w:right w:w="115" w:type="dxa"/>
        </w:tblCellMar>
        <w:tblLook w:val="04A0" w:firstRow="1" w:lastRow="0" w:firstColumn="1" w:lastColumn="0" w:noHBand="0" w:noVBand="1"/>
      </w:tblPr>
      <w:tblGrid>
        <w:gridCol w:w="398"/>
        <w:gridCol w:w="3697"/>
        <w:gridCol w:w="8482"/>
      </w:tblGrid>
      <w:tr w:rsidR="00206E4B" w:rsidRPr="00727041" w14:paraId="002F3A32" w14:textId="77777777" w:rsidTr="00EE766A">
        <w:trPr>
          <w:cantSplit/>
          <w:trHeight w:val="317"/>
          <w:tblHeader/>
        </w:trPr>
        <w:tc>
          <w:tcPr>
            <w:tcW w:w="4095" w:type="dxa"/>
            <w:gridSpan w:val="2"/>
            <w:shd w:val="clear" w:color="auto" w:fill="BFBFBF" w:themeFill="background1" w:themeFillShade="BF"/>
            <w:tcMar>
              <w:top w:w="58" w:type="dxa"/>
              <w:left w:w="130" w:type="dxa"/>
              <w:bottom w:w="58" w:type="dxa"/>
              <w:right w:w="115" w:type="dxa"/>
            </w:tcMar>
            <w:vAlign w:val="center"/>
          </w:tcPr>
          <w:p w14:paraId="35150EDF" w14:textId="77777777" w:rsidR="00206E4B" w:rsidRPr="00727041" w:rsidRDefault="00206E4B" w:rsidP="00E44C7F">
            <w:pPr>
              <w:rPr>
                <w:rFonts w:ascii="Arial" w:hAnsi="Arial" w:cs="Arial"/>
                <w:b/>
                <w:sz w:val="20"/>
                <w:szCs w:val="18"/>
              </w:rPr>
            </w:pPr>
            <w:r w:rsidRPr="009B334F">
              <w:rPr>
                <w:rFonts w:ascii="Arial" w:hAnsi="Arial" w:cs="Arial"/>
                <w:b/>
                <w:sz w:val="24"/>
                <w:szCs w:val="18"/>
              </w:rPr>
              <w:t>Issues for Analysis</w:t>
            </w:r>
          </w:p>
        </w:tc>
        <w:tc>
          <w:tcPr>
            <w:tcW w:w="8482" w:type="dxa"/>
            <w:shd w:val="clear" w:color="auto" w:fill="BFBFBF" w:themeFill="background1" w:themeFillShade="BF"/>
            <w:tcMar>
              <w:top w:w="58" w:type="dxa"/>
              <w:left w:w="130" w:type="dxa"/>
              <w:bottom w:w="58" w:type="dxa"/>
              <w:right w:w="115" w:type="dxa"/>
            </w:tcMar>
            <w:vAlign w:val="center"/>
          </w:tcPr>
          <w:p w14:paraId="03E841C1" w14:textId="77777777" w:rsidR="00206E4B" w:rsidRPr="00727041" w:rsidRDefault="00206E4B" w:rsidP="004E12E8">
            <w:pPr>
              <w:jc w:val="center"/>
              <w:rPr>
                <w:rFonts w:ascii="Arial" w:hAnsi="Arial" w:cs="Arial"/>
                <w:b/>
                <w:sz w:val="20"/>
                <w:szCs w:val="18"/>
              </w:rPr>
            </w:pPr>
            <w:r w:rsidRPr="009B334F">
              <w:rPr>
                <w:rFonts w:ascii="Arial" w:hAnsi="Arial" w:cs="Arial"/>
                <w:b/>
                <w:sz w:val="24"/>
                <w:szCs w:val="18"/>
              </w:rPr>
              <w:t>State/Local Information</w:t>
            </w:r>
          </w:p>
        </w:tc>
      </w:tr>
      <w:tr w:rsidR="00206E4B" w:rsidRPr="00727041" w14:paraId="39825DEF" w14:textId="77777777" w:rsidTr="00EE766A">
        <w:trPr>
          <w:cantSplit/>
          <w:trHeight w:val="403"/>
        </w:trPr>
        <w:tc>
          <w:tcPr>
            <w:tcW w:w="12577" w:type="dxa"/>
            <w:gridSpan w:val="3"/>
            <w:shd w:val="clear" w:color="auto" w:fill="F2F2F2" w:themeFill="background1" w:themeFillShade="F2"/>
            <w:tcMar>
              <w:top w:w="58" w:type="dxa"/>
              <w:left w:w="130" w:type="dxa"/>
              <w:bottom w:w="58" w:type="dxa"/>
              <w:right w:w="115" w:type="dxa"/>
            </w:tcMar>
            <w:vAlign w:val="center"/>
          </w:tcPr>
          <w:p w14:paraId="2ED842AB" w14:textId="77777777" w:rsidR="00206E4B" w:rsidRPr="00727041" w:rsidRDefault="00206E4B" w:rsidP="001421B0">
            <w:pPr>
              <w:rPr>
                <w:rFonts w:ascii="Arial" w:hAnsi="Arial" w:cs="Arial"/>
                <w:sz w:val="18"/>
                <w:szCs w:val="18"/>
              </w:rPr>
            </w:pPr>
            <w:r>
              <w:rPr>
                <w:rFonts w:ascii="Arial" w:hAnsi="Arial" w:cs="Arial"/>
                <w:b/>
                <w:sz w:val="20"/>
                <w:szCs w:val="20"/>
              </w:rPr>
              <w:t>Storage of Medical Products</w:t>
            </w:r>
          </w:p>
        </w:tc>
      </w:tr>
      <w:tr w:rsidR="00206E4B" w:rsidRPr="00727041" w14:paraId="673EFECC" w14:textId="77777777" w:rsidTr="00EE766A">
        <w:trPr>
          <w:cantSplit/>
        </w:trPr>
        <w:tc>
          <w:tcPr>
            <w:tcW w:w="4095" w:type="dxa"/>
            <w:gridSpan w:val="2"/>
            <w:tcMar>
              <w:top w:w="58" w:type="dxa"/>
              <w:left w:w="130" w:type="dxa"/>
              <w:bottom w:w="58" w:type="dxa"/>
              <w:right w:w="115" w:type="dxa"/>
            </w:tcMar>
            <w:vAlign w:val="center"/>
          </w:tcPr>
          <w:p w14:paraId="595A6A72" w14:textId="77777777" w:rsidR="00206E4B" w:rsidRPr="00727041" w:rsidRDefault="00206E4B" w:rsidP="009B334F">
            <w:pPr>
              <w:rPr>
                <w:rFonts w:ascii="Arial" w:hAnsi="Arial" w:cs="Arial"/>
                <w:sz w:val="18"/>
                <w:szCs w:val="18"/>
              </w:rPr>
            </w:pPr>
            <w:r>
              <w:rPr>
                <w:rFonts w:ascii="Arial" w:hAnsi="Arial" w:cs="Arial"/>
                <w:sz w:val="18"/>
                <w:szCs w:val="18"/>
              </w:rPr>
              <w:t>Identify state legal authorities governing the storage of medical products (e.g., drugs, devices, biologics).</w:t>
            </w:r>
          </w:p>
        </w:tc>
        <w:tc>
          <w:tcPr>
            <w:tcW w:w="8482" w:type="dxa"/>
            <w:tcMar>
              <w:top w:w="58" w:type="dxa"/>
              <w:left w:w="130" w:type="dxa"/>
              <w:bottom w:w="58" w:type="dxa"/>
              <w:right w:w="115" w:type="dxa"/>
            </w:tcMar>
            <w:vAlign w:val="center"/>
          </w:tcPr>
          <w:p w14:paraId="7CB28255" w14:textId="77777777" w:rsidR="00206E4B" w:rsidRPr="00727041" w:rsidRDefault="00206E4B" w:rsidP="001421B0">
            <w:pPr>
              <w:rPr>
                <w:rFonts w:ascii="Arial" w:hAnsi="Arial" w:cs="Arial"/>
                <w:sz w:val="18"/>
                <w:szCs w:val="18"/>
              </w:rPr>
            </w:pPr>
          </w:p>
        </w:tc>
      </w:tr>
      <w:tr w:rsidR="00206E4B" w:rsidRPr="00727041" w14:paraId="569A80FF" w14:textId="77777777" w:rsidTr="00EE766A">
        <w:trPr>
          <w:cantSplit/>
        </w:trPr>
        <w:tc>
          <w:tcPr>
            <w:tcW w:w="398" w:type="dxa"/>
            <w:tcMar>
              <w:top w:w="58" w:type="dxa"/>
              <w:left w:w="130" w:type="dxa"/>
              <w:bottom w:w="58" w:type="dxa"/>
              <w:right w:w="115" w:type="dxa"/>
            </w:tcMar>
            <w:vAlign w:val="center"/>
          </w:tcPr>
          <w:p w14:paraId="76C1C521"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02B467D9" w14:textId="77777777" w:rsidR="00206E4B" w:rsidRPr="00727041" w:rsidRDefault="00206E4B" w:rsidP="001421B0">
            <w:pPr>
              <w:rPr>
                <w:rFonts w:ascii="Arial" w:hAnsi="Arial" w:cs="Arial"/>
                <w:sz w:val="18"/>
                <w:szCs w:val="18"/>
              </w:rPr>
            </w:pPr>
            <w:r>
              <w:rPr>
                <w:rFonts w:ascii="Arial" w:hAnsi="Arial" w:cs="Arial"/>
                <w:sz w:val="18"/>
                <w:szCs w:val="18"/>
              </w:rPr>
              <w:t>How is the term “storage” defined?</w:t>
            </w:r>
          </w:p>
        </w:tc>
        <w:tc>
          <w:tcPr>
            <w:tcW w:w="8482" w:type="dxa"/>
            <w:tcMar>
              <w:top w:w="58" w:type="dxa"/>
              <w:left w:w="130" w:type="dxa"/>
              <w:bottom w:w="58" w:type="dxa"/>
              <w:right w:w="115" w:type="dxa"/>
            </w:tcMar>
            <w:vAlign w:val="center"/>
          </w:tcPr>
          <w:p w14:paraId="5E008FD3" w14:textId="77777777" w:rsidR="00206E4B" w:rsidRPr="00727041" w:rsidRDefault="00206E4B" w:rsidP="001421B0">
            <w:pPr>
              <w:rPr>
                <w:rFonts w:ascii="Arial" w:hAnsi="Arial" w:cs="Arial"/>
                <w:sz w:val="18"/>
                <w:szCs w:val="18"/>
              </w:rPr>
            </w:pPr>
          </w:p>
        </w:tc>
      </w:tr>
      <w:tr w:rsidR="00206E4B" w:rsidRPr="00727041" w14:paraId="1D04ABB1" w14:textId="77777777" w:rsidTr="00EE766A">
        <w:trPr>
          <w:cantSplit/>
        </w:trPr>
        <w:tc>
          <w:tcPr>
            <w:tcW w:w="4095" w:type="dxa"/>
            <w:gridSpan w:val="2"/>
            <w:tcMar>
              <w:top w:w="58" w:type="dxa"/>
              <w:left w:w="130" w:type="dxa"/>
              <w:bottom w:w="58" w:type="dxa"/>
              <w:right w:w="115" w:type="dxa"/>
            </w:tcMar>
            <w:vAlign w:val="center"/>
          </w:tcPr>
          <w:p w14:paraId="0053A456" w14:textId="77777777" w:rsidR="00206E4B" w:rsidRPr="00727041" w:rsidRDefault="00206E4B" w:rsidP="001421B0">
            <w:pPr>
              <w:rPr>
                <w:rFonts w:ascii="Arial" w:hAnsi="Arial" w:cs="Arial"/>
                <w:sz w:val="18"/>
                <w:szCs w:val="18"/>
              </w:rPr>
            </w:pPr>
            <w:r>
              <w:rPr>
                <w:rFonts w:ascii="Arial" w:hAnsi="Arial" w:cs="Arial"/>
                <w:sz w:val="18"/>
                <w:szCs w:val="18"/>
              </w:rPr>
              <w:t>Identify if and how the legal requirements for storage differ depending on the type of medical product.</w:t>
            </w:r>
          </w:p>
        </w:tc>
        <w:tc>
          <w:tcPr>
            <w:tcW w:w="8482" w:type="dxa"/>
            <w:tcMar>
              <w:top w:w="58" w:type="dxa"/>
              <w:left w:w="130" w:type="dxa"/>
              <w:bottom w:w="58" w:type="dxa"/>
              <w:right w:w="115" w:type="dxa"/>
            </w:tcMar>
            <w:vAlign w:val="center"/>
          </w:tcPr>
          <w:p w14:paraId="23D427B9" w14:textId="77777777" w:rsidR="00206E4B" w:rsidRPr="00727041" w:rsidRDefault="00206E4B" w:rsidP="001421B0">
            <w:pPr>
              <w:rPr>
                <w:rFonts w:ascii="Arial" w:hAnsi="Arial" w:cs="Arial"/>
                <w:sz w:val="18"/>
                <w:szCs w:val="18"/>
              </w:rPr>
            </w:pPr>
          </w:p>
        </w:tc>
      </w:tr>
      <w:tr w:rsidR="00206E4B" w:rsidRPr="00727041" w14:paraId="5C68FB2A" w14:textId="77777777" w:rsidTr="00EE766A">
        <w:trPr>
          <w:cantSplit/>
        </w:trPr>
        <w:tc>
          <w:tcPr>
            <w:tcW w:w="4095" w:type="dxa"/>
            <w:gridSpan w:val="2"/>
            <w:tcMar>
              <w:top w:w="58" w:type="dxa"/>
              <w:left w:w="130" w:type="dxa"/>
              <w:bottom w:w="58" w:type="dxa"/>
              <w:right w:w="115" w:type="dxa"/>
            </w:tcMar>
            <w:vAlign w:val="center"/>
          </w:tcPr>
          <w:p w14:paraId="573B721A" w14:textId="77777777" w:rsidR="00206E4B" w:rsidRPr="00727041" w:rsidRDefault="00206E4B" w:rsidP="007A4767">
            <w:pPr>
              <w:rPr>
                <w:rFonts w:ascii="Arial" w:hAnsi="Arial" w:cs="Arial"/>
                <w:sz w:val="18"/>
                <w:szCs w:val="18"/>
              </w:rPr>
            </w:pPr>
            <w:r>
              <w:rPr>
                <w:rFonts w:ascii="Arial" w:hAnsi="Arial" w:cs="Arial"/>
                <w:sz w:val="18"/>
                <w:szCs w:val="18"/>
              </w:rPr>
              <w:t>Identify if and how the legal authorities apply to caches and stockpiles of medical products.</w:t>
            </w:r>
          </w:p>
        </w:tc>
        <w:tc>
          <w:tcPr>
            <w:tcW w:w="8482" w:type="dxa"/>
            <w:tcMar>
              <w:top w:w="58" w:type="dxa"/>
              <w:left w:w="130" w:type="dxa"/>
              <w:bottom w:w="58" w:type="dxa"/>
              <w:right w:w="115" w:type="dxa"/>
            </w:tcMar>
            <w:vAlign w:val="center"/>
          </w:tcPr>
          <w:p w14:paraId="1E953041" w14:textId="77777777" w:rsidR="00206E4B" w:rsidRPr="00727041" w:rsidRDefault="00206E4B" w:rsidP="001421B0">
            <w:pPr>
              <w:rPr>
                <w:rFonts w:ascii="Arial" w:hAnsi="Arial" w:cs="Arial"/>
                <w:sz w:val="18"/>
                <w:szCs w:val="18"/>
              </w:rPr>
            </w:pPr>
          </w:p>
        </w:tc>
      </w:tr>
      <w:tr w:rsidR="00206E4B" w:rsidRPr="00727041" w14:paraId="1D8917E3" w14:textId="77777777" w:rsidTr="00EE766A">
        <w:trPr>
          <w:cantSplit/>
        </w:trPr>
        <w:tc>
          <w:tcPr>
            <w:tcW w:w="398" w:type="dxa"/>
            <w:tcMar>
              <w:top w:w="58" w:type="dxa"/>
              <w:left w:w="130" w:type="dxa"/>
              <w:bottom w:w="58" w:type="dxa"/>
              <w:right w:w="115" w:type="dxa"/>
            </w:tcMar>
            <w:vAlign w:val="center"/>
          </w:tcPr>
          <w:p w14:paraId="42785406"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1D3C34E3" w14:textId="77777777" w:rsidR="00206E4B" w:rsidRPr="00727041" w:rsidRDefault="00206E4B" w:rsidP="00C755B8">
            <w:pPr>
              <w:rPr>
                <w:rFonts w:ascii="Arial" w:hAnsi="Arial" w:cs="Arial"/>
                <w:sz w:val="18"/>
                <w:szCs w:val="18"/>
              </w:rPr>
            </w:pPr>
            <w:r>
              <w:rPr>
                <w:rFonts w:ascii="Arial" w:hAnsi="Arial" w:cs="Arial"/>
                <w:sz w:val="18"/>
                <w:szCs w:val="18"/>
              </w:rPr>
              <w:t>Are the legal requirements any different for government caches and stockpiles or private caches and stockpiles?</w:t>
            </w:r>
          </w:p>
        </w:tc>
        <w:tc>
          <w:tcPr>
            <w:tcW w:w="8482" w:type="dxa"/>
            <w:tcMar>
              <w:top w:w="58" w:type="dxa"/>
              <w:left w:w="130" w:type="dxa"/>
              <w:bottom w:w="58" w:type="dxa"/>
              <w:right w:w="115" w:type="dxa"/>
            </w:tcMar>
            <w:vAlign w:val="center"/>
          </w:tcPr>
          <w:p w14:paraId="29C59F9D" w14:textId="77777777" w:rsidR="00206E4B" w:rsidRPr="00727041" w:rsidRDefault="00206E4B" w:rsidP="001421B0">
            <w:pPr>
              <w:rPr>
                <w:rFonts w:ascii="Arial" w:hAnsi="Arial" w:cs="Arial"/>
                <w:sz w:val="18"/>
                <w:szCs w:val="18"/>
              </w:rPr>
            </w:pPr>
          </w:p>
        </w:tc>
      </w:tr>
      <w:tr w:rsidR="00206E4B" w:rsidRPr="00727041" w14:paraId="32331D89" w14:textId="77777777" w:rsidTr="00EE766A">
        <w:trPr>
          <w:cantSplit/>
        </w:trPr>
        <w:tc>
          <w:tcPr>
            <w:tcW w:w="398" w:type="dxa"/>
            <w:tcMar>
              <w:top w:w="58" w:type="dxa"/>
              <w:left w:w="130" w:type="dxa"/>
              <w:bottom w:w="58" w:type="dxa"/>
              <w:right w:w="115" w:type="dxa"/>
            </w:tcMar>
            <w:vAlign w:val="center"/>
          </w:tcPr>
          <w:p w14:paraId="2F662EBE"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7E1BE93D" w14:textId="77777777" w:rsidR="00206E4B" w:rsidRPr="00727041" w:rsidRDefault="00206E4B" w:rsidP="00C755B8">
            <w:pPr>
              <w:rPr>
                <w:rFonts w:ascii="Arial" w:hAnsi="Arial" w:cs="Arial"/>
                <w:sz w:val="18"/>
                <w:szCs w:val="18"/>
              </w:rPr>
            </w:pPr>
            <w:r>
              <w:rPr>
                <w:rFonts w:ascii="Arial" w:hAnsi="Arial" w:cs="Arial"/>
                <w:sz w:val="18"/>
                <w:szCs w:val="18"/>
              </w:rPr>
              <w:t>Are there different requirements if the government caches and stockpiles are stored/managed in a government-owned or -controlled facility? In a privately owned or controlled facility?</w:t>
            </w:r>
          </w:p>
        </w:tc>
        <w:tc>
          <w:tcPr>
            <w:tcW w:w="8482" w:type="dxa"/>
            <w:tcMar>
              <w:top w:w="58" w:type="dxa"/>
              <w:left w:w="130" w:type="dxa"/>
              <w:bottom w:w="58" w:type="dxa"/>
              <w:right w:w="115" w:type="dxa"/>
            </w:tcMar>
            <w:vAlign w:val="center"/>
          </w:tcPr>
          <w:p w14:paraId="0FCFCE89" w14:textId="77777777" w:rsidR="00206E4B" w:rsidRPr="00727041" w:rsidRDefault="00206E4B" w:rsidP="001421B0">
            <w:pPr>
              <w:rPr>
                <w:rFonts w:ascii="Arial" w:hAnsi="Arial" w:cs="Arial"/>
                <w:sz w:val="18"/>
                <w:szCs w:val="18"/>
              </w:rPr>
            </w:pPr>
          </w:p>
        </w:tc>
      </w:tr>
      <w:tr w:rsidR="00206E4B" w:rsidRPr="00727041" w14:paraId="7E762B28" w14:textId="77777777" w:rsidTr="00EE766A">
        <w:trPr>
          <w:cantSplit/>
        </w:trPr>
        <w:tc>
          <w:tcPr>
            <w:tcW w:w="4095" w:type="dxa"/>
            <w:gridSpan w:val="2"/>
            <w:tcMar>
              <w:top w:w="58" w:type="dxa"/>
              <w:left w:w="130" w:type="dxa"/>
              <w:bottom w:w="58" w:type="dxa"/>
              <w:right w:w="115" w:type="dxa"/>
            </w:tcMar>
            <w:vAlign w:val="center"/>
          </w:tcPr>
          <w:p w14:paraId="6E00DA59" w14:textId="77777777" w:rsidR="00206E4B" w:rsidRDefault="00206E4B" w:rsidP="00276CFD">
            <w:pPr>
              <w:rPr>
                <w:rFonts w:ascii="Arial" w:hAnsi="Arial" w:cs="Arial"/>
                <w:sz w:val="18"/>
                <w:szCs w:val="18"/>
              </w:rPr>
            </w:pPr>
            <w:r>
              <w:rPr>
                <w:rFonts w:ascii="Arial" w:hAnsi="Arial" w:cs="Arial"/>
                <w:sz w:val="18"/>
                <w:szCs w:val="18"/>
              </w:rPr>
              <w:lastRenderedPageBreak/>
              <w:t>Are there any state immunities or other liability protections available to those storing medical products? If so, identify the protected parties, protected actions, and any limits on the protections.</w:t>
            </w:r>
          </w:p>
        </w:tc>
        <w:tc>
          <w:tcPr>
            <w:tcW w:w="8482" w:type="dxa"/>
            <w:tcMar>
              <w:top w:w="58" w:type="dxa"/>
              <w:left w:w="130" w:type="dxa"/>
              <w:bottom w:w="58" w:type="dxa"/>
              <w:right w:w="115" w:type="dxa"/>
            </w:tcMar>
            <w:vAlign w:val="center"/>
          </w:tcPr>
          <w:p w14:paraId="31C57069" w14:textId="77777777" w:rsidR="00206E4B" w:rsidRPr="00727041" w:rsidRDefault="00206E4B" w:rsidP="001421B0">
            <w:pPr>
              <w:rPr>
                <w:rFonts w:ascii="Arial" w:hAnsi="Arial" w:cs="Arial"/>
                <w:sz w:val="18"/>
                <w:szCs w:val="18"/>
              </w:rPr>
            </w:pPr>
          </w:p>
        </w:tc>
      </w:tr>
      <w:tr w:rsidR="00206E4B" w:rsidRPr="00727041" w14:paraId="172550EF" w14:textId="77777777" w:rsidTr="00EE766A">
        <w:trPr>
          <w:cantSplit/>
        </w:trPr>
        <w:tc>
          <w:tcPr>
            <w:tcW w:w="4095" w:type="dxa"/>
            <w:gridSpan w:val="2"/>
            <w:tcMar>
              <w:top w:w="58" w:type="dxa"/>
              <w:left w:w="130" w:type="dxa"/>
              <w:bottom w:w="58" w:type="dxa"/>
              <w:right w:w="115" w:type="dxa"/>
            </w:tcMar>
            <w:vAlign w:val="center"/>
          </w:tcPr>
          <w:p w14:paraId="16629485" w14:textId="77777777" w:rsidR="00206E4B" w:rsidRDefault="00206E4B" w:rsidP="00C755B8">
            <w:pPr>
              <w:rPr>
                <w:rFonts w:ascii="Arial" w:hAnsi="Arial" w:cs="Arial"/>
                <w:sz w:val="18"/>
                <w:szCs w:val="18"/>
              </w:rPr>
            </w:pPr>
            <w:r>
              <w:rPr>
                <w:rFonts w:ascii="Arial" w:hAnsi="Arial" w:cs="Arial"/>
                <w:sz w:val="18"/>
                <w:szCs w:val="18"/>
              </w:rPr>
              <w:t>Identify if and how the legal requirements change when there is an emergency declaration.</w:t>
            </w:r>
          </w:p>
        </w:tc>
        <w:tc>
          <w:tcPr>
            <w:tcW w:w="8482" w:type="dxa"/>
            <w:tcMar>
              <w:top w:w="58" w:type="dxa"/>
              <w:left w:w="130" w:type="dxa"/>
              <w:bottom w:w="58" w:type="dxa"/>
              <w:right w:w="115" w:type="dxa"/>
            </w:tcMar>
            <w:vAlign w:val="center"/>
          </w:tcPr>
          <w:p w14:paraId="5EE876E0" w14:textId="77777777" w:rsidR="00206E4B" w:rsidRPr="00727041" w:rsidRDefault="00206E4B" w:rsidP="001421B0">
            <w:pPr>
              <w:rPr>
                <w:rFonts w:ascii="Arial" w:hAnsi="Arial" w:cs="Arial"/>
                <w:sz w:val="18"/>
                <w:szCs w:val="18"/>
              </w:rPr>
            </w:pPr>
          </w:p>
        </w:tc>
      </w:tr>
      <w:tr w:rsidR="00206E4B" w:rsidRPr="00727041" w14:paraId="2B23E690" w14:textId="77777777" w:rsidTr="00EE766A">
        <w:trPr>
          <w:cantSplit/>
        </w:trPr>
        <w:tc>
          <w:tcPr>
            <w:tcW w:w="4095" w:type="dxa"/>
            <w:gridSpan w:val="2"/>
            <w:tcMar>
              <w:top w:w="58" w:type="dxa"/>
              <w:left w:w="130" w:type="dxa"/>
              <w:bottom w:w="58" w:type="dxa"/>
              <w:right w:w="115" w:type="dxa"/>
            </w:tcMar>
            <w:vAlign w:val="center"/>
          </w:tcPr>
          <w:p w14:paraId="0D9EA756" w14:textId="77777777" w:rsidR="00206E4B" w:rsidRPr="00C755B8" w:rsidRDefault="00206E4B" w:rsidP="001421B0">
            <w:pPr>
              <w:rPr>
                <w:rFonts w:ascii="Arial" w:hAnsi="Arial" w:cs="Arial"/>
                <w:b/>
                <w:sz w:val="18"/>
                <w:szCs w:val="18"/>
              </w:rPr>
            </w:pPr>
            <w:r w:rsidRPr="00C755B8">
              <w:rPr>
                <w:rFonts w:ascii="Arial" w:hAnsi="Arial" w:cs="Arial"/>
                <w:b/>
                <w:sz w:val="18"/>
                <w:szCs w:val="18"/>
              </w:rPr>
              <w:t xml:space="preserve">Identify if </w:t>
            </w:r>
            <w:r>
              <w:rPr>
                <w:rFonts w:ascii="Arial" w:hAnsi="Arial" w:cs="Arial"/>
                <w:b/>
                <w:sz w:val="18"/>
                <w:szCs w:val="18"/>
              </w:rPr>
              <w:t xml:space="preserve">any </w:t>
            </w:r>
            <w:r w:rsidRPr="00C755B8">
              <w:rPr>
                <w:rFonts w:ascii="Arial" w:hAnsi="Arial" w:cs="Arial"/>
                <w:b/>
                <w:sz w:val="18"/>
                <w:szCs w:val="18"/>
              </w:rPr>
              <w:t>state legal authorities governing storage of medical products conflict with any federal legal requirements.</w:t>
            </w:r>
          </w:p>
        </w:tc>
        <w:tc>
          <w:tcPr>
            <w:tcW w:w="8482" w:type="dxa"/>
            <w:tcMar>
              <w:top w:w="58" w:type="dxa"/>
              <w:left w:w="130" w:type="dxa"/>
              <w:bottom w:w="58" w:type="dxa"/>
              <w:right w:w="115" w:type="dxa"/>
            </w:tcMar>
            <w:vAlign w:val="center"/>
          </w:tcPr>
          <w:p w14:paraId="1A863ECC" w14:textId="77777777" w:rsidR="00206E4B" w:rsidRPr="00727041" w:rsidRDefault="00206E4B" w:rsidP="001421B0">
            <w:pPr>
              <w:rPr>
                <w:rFonts w:ascii="Arial" w:hAnsi="Arial" w:cs="Arial"/>
                <w:sz w:val="18"/>
                <w:szCs w:val="18"/>
              </w:rPr>
            </w:pPr>
          </w:p>
        </w:tc>
      </w:tr>
      <w:tr w:rsidR="00206E4B" w:rsidRPr="00727041" w14:paraId="5F65BAFF" w14:textId="77777777" w:rsidTr="00EE766A">
        <w:trPr>
          <w:cantSplit/>
        </w:trPr>
        <w:tc>
          <w:tcPr>
            <w:tcW w:w="398" w:type="dxa"/>
            <w:tcMar>
              <w:top w:w="58" w:type="dxa"/>
              <w:left w:w="130" w:type="dxa"/>
              <w:bottom w:w="58" w:type="dxa"/>
              <w:right w:w="115" w:type="dxa"/>
            </w:tcMar>
            <w:vAlign w:val="center"/>
          </w:tcPr>
          <w:p w14:paraId="1B50DC9C"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082C0C4A" w14:textId="77777777" w:rsidR="00206E4B" w:rsidRPr="00727041" w:rsidRDefault="00206E4B" w:rsidP="001421B0">
            <w:pPr>
              <w:rPr>
                <w:rFonts w:ascii="Arial" w:hAnsi="Arial" w:cs="Arial"/>
                <w:sz w:val="18"/>
                <w:szCs w:val="18"/>
              </w:rPr>
            </w:pPr>
          </w:p>
        </w:tc>
        <w:tc>
          <w:tcPr>
            <w:tcW w:w="8482" w:type="dxa"/>
            <w:tcMar>
              <w:top w:w="58" w:type="dxa"/>
              <w:left w:w="130" w:type="dxa"/>
              <w:bottom w:w="58" w:type="dxa"/>
              <w:right w:w="115" w:type="dxa"/>
            </w:tcMar>
            <w:vAlign w:val="center"/>
          </w:tcPr>
          <w:p w14:paraId="1CE02E87" w14:textId="77777777" w:rsidR="00206E4B" w:rsidRPr="00727041" w:rsidRDefault="00206E4B" w:rsidP="001421B0">
            <w:pPr>
              <w:rPr>
                <w:rFonts w:ascii="Arial" w:hAnsi="Arial" w:cs="Arial"/>
                <w:sz w:val="18"/>
                <w:szCs w:val="18"/>
              </w:rPr>
            </w:pPr>
          </w:p>
        </w:tc>
      </w:tr>
      <w:tr w:rsidR="00206E4B" w:rsidRPr="00727041" w14:paraId="59D8017F" w14:textId="77777777" w:rsidTr="00EE766A">
        <w:trPr>
          <w:cantSplit/>
          <w:trHeight w:val="475"/>
        </w:trPr>
        <w:tc>
          <w:tcPr>
            <w:tcW w:w="12577" w:type="dxa"/>
            <w:gridSpan w:val="3"/>
            <w:shd w:val="clear" w:color="auto" w:fill="F2F2F2" w:themeFill="background1" w:themeFillShade="F2"/>
            <w:tcMar>
              <w:top w:w="58" w:type="dxa"/>
              <w:left w:w="130" w:type="dxa"/>
              <w:bottom w:w="58" w:type="dxa"/>
              <w:right w:w="115" w:type="dxa"/>
            </w:tcMar>
            <w:vAlign w:val="center"/>
          </w:tcPr>
          <w:p w14:paraId="5CC3AD30" w14:textId="77777777" w:rsidR="00206E4B" w:rsidRPr="005A36EE" w:rsidRDefault="00206E4B" w:rsidP="001421B0">
            <w:pPr>
              <w:rPr>
                <w:rFonts w:ascii="Arial" w:hAnsi="Arial" w:cs="Arial"/>
                <w:b/>
                <w:sz w:val="18"/>
                <w:szCs w:val="18"/>
              </w:rPr>
            </w:pPr>
            <w:r w:rsidRPr="005A36EE">
              <w:rPr>
                <w:rFonts w:ascii="Arial" w:hAnsi="Arial" w:cs="Arial"/>
                <w:b/>
                <w:sz w:val="20"/>
                <w:szCs w:val="18"/>
              </w:rPr>
              <w:t>Labeling and Packaging of Medical Products</w:t>
            </w:r>
          </w:p>
        </w:tc>
      </w:tr>
      <w:tr w:rsidR="00206E4B" w:rsidRPr="00727041" w14:paraId="42835811" w14:textId="77777777" w:rsidTr="00EE766A">
        <w:trPr>
          <w:cantSplit/>
        </w:trPr>
        <w:tc>
          <w:tcPr>
            <w:tcW w:w="4095" w:type="dxa"/>
            <w:gridSpan w:val="2"/>
            <w:tcMar>
              <w:top w:w="58" w:type="dxa"/>
              <w:left w:w="130" w:type="dxa"/>
              <w:bottom w:w="58" w:type="dxa"/>
              <w:right w:w="115" w:type="dxa"/>
            </w:tcMar>
            <w:vAlign w:val="center"/>
          </w:tcPr>
          <w:p w14:paraId="4EBE5707" w14:textId="77777777" w:rsidR="00206E4B" w:rsidRPr="00727041" w:rsidRDefault="00206E4B" w:rsidP="004E12E8">
            <w:pPr>
              <w:rPr>
                <w:rFonts w:ascii="Arial" w:hAnsi="Arial" w:cs="Arial"/>
                <w:sz w:val="18"/>
                <w:szCs w:val="18"/>
              </w:rPr>
            </w:pPr>
            <w:r>
              <w:rPr>
                <w:rFonts w:ascii="Arial" w:hAnsi="Arial" w:cs="Arial"/>
                <w:sz w:val="18"/>
                <w:szCs w:val="18"/>
              </w:rPr>
              <w:t>Identify state legal authorities governing the labeling/relabeling or packaging/repackaging of medical products.</w:t>
            </w:r>
          </w:p>
        </w:tc>
        <w:tc>
          <w:tcPr>
            <w:tcW w:w="8482" w:type="dxa"/>
            <w:tcMar>
              <w:top w:w="58" w:type="dxa"/>
              <w:left w:w="130" w:type="dxa"/>
              <w:bottom w:w="58" w:type="dxa"/>
              <w:right w:w="115" w:type="dxa"/>
            </w:tcMar>
            <w:vAlign w:val="center"/>
          </w:tcPr>
          <w:p w14:paraId="771D84FA" w14:textId="77777777" w:rsidR="00206E4B" w:rsidRPr="00727041" w:rsidRDefault="00206E4B" w:rsidP="001421B0">
            <w:pPr>
              <w:rPr>
                <w:rFonts w:ascii="Arial" w:hAnsi="Arial" w:cs="Arial"/>
                <w:sz w:val="18"/>
                <w:szCs w:val="18"/>
              </w:rPr>
            </w:pPr>
          </w:p>
        </w:tc>
      </w:tr>
      <w:tr w:rsidR="00206E4B" w:rsidRPr="00727041" w14:paraId="3B11E0A6" w14:textId="77777777" w:rsidTr="00EE766A">
        <w:trPr>
          <w:cantSplit/>
        </w:trPr>
        <w:tc>
          <w:tcPr>
            <w:tcW w:w="398" w:type="dxa"/>
            <w:tcMar>
              <w:top w:w="58" w:type="dxa"/>
              <w:left w:w="130" w:type="dxa"/>
              <w:bottom w:w="58" w:type="dxa"/>
              <w:right w:w="115" w:type="dxa"/>
            </w:tcMar>
            <w:vAlign w:val="center"/>
          </w:tcPr>
          <w:p w14:paraId="43D657B9"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10F01BFE" w14:textId="77777777" w:rsidR="00206E4B" w:rsidRPr="00727041" w:rsidRDefault="00206E4B" w:rsidP="004225BD">
            <w:pPr>
              <w:rPr>
                <w:rFonts w:ascii="Arial" w:hAnsi="Arial" w:cs="Arial"/>
                <w:sz w:val="18"/>
                <w:szCs w:val="18"/>
              </w:rPr>
            </w:pPr>
            <w:r>
              <w:rPr>
                <w:rFonts w:ascii="Arial" w:hAnsi="Arial" w:cs="Arial"/>
                <w:sz w:val="18"/>
                <w:szCs w:val="18"/>
              </w:rPr>
              <w:t>How are the terms “labeling/relabeling” and “packaging/repackaging” defined?</w:t>
            </w:r>
          </w:p>
        </w:tc>
        <w:tc>
          <w:tcPr>
            <w:tcW w:w="8482" w:type="dxa"/>
            <w:tcMar>
              <w:top w:w="58" w:type="dxa"/>
              <w:left w:w="130" w:type="dxa"/>
              <w:bottom w:w="58" w:type="dxa"/>
              <w:right w:w="115" w:type="dxa"/>
            </w:tcMar>
            <w:vAlign w:val="center"/>
          </w:tcPr>
          <w:p w14:paraId="666E9332" w14:textId="77777777" w:rsidR="00206E4B" w:rsidRPr="00727041" w:rsidRDefault="00206E4B" w:rsidP="001421B0">
            <w:pPr>
              <w:rPr>
                <w:rFonts w:ascii="Arial" w:hAnsi="Arial" w:cs="Arial"/>
                <w:sz w:val="18"/>
                <w:szCs w:val="18"/>
              </w:rPr>
            </w:pPr>
          </w:p>
        </w:tc>
      </w:tr>
      <w:tr w:rsidR="00206E4B" w:rsidRPr="00727041" w14:paraId="1D6A69AA" w14:textId="77777777" w:rsidTr="00EE766A">
        <w:trPr>
          <w:cantSplit/>
        </w:trPr>
        <w:tc>
          <w:tcPr>
            <w:tcW w:w="4095" w:type="dxa"/>
            <w:gridSpan w:val="2"/>
            <w:tcMar>
              <w:top w:w="58" w:type="dxa"/>
              <w:left w:w="130" w:type="dxa"/>
              <w:bottom w:w="58" w:type="dxa"/>
              <w:right w:w="115" w:type="dxa"/>
            </w:tcMar>
            <w:vAlign w:val="center"/>
          </w:tcPr>
          <w:p w14:paraId="37E400F8" w14:textId="77777777" w:rsidR="00206E4B" w:rsidRDefault="00206E4B" w:rsidP="003D6B21">
            <w:pPr>
              <w:rPr>
                <w:rFonts w:ascii="Arial" w:hAnsi="Arial" w:cs="Arial"/>
                <w:sz w:val="18"/>
                <w:szCs w:val="18"/>
              </w:rPr>
            </w:pPr>
            <w:r>
              <w:rPr>
                <w:rFonts w:ascii="Arial" w:hAnsi="Arial" w:cs="Arial"/>
                <w:sz w:val="18"/>
                <w:szCs w:val="18"/>
              </w:rPr>
              <w:t>Identify if and how the state legal authorities differ for governments and other actors (e.g., private organizations).</w:t>
            </w:r>
          </w:p>
        </w:tc>
        <w:tc>
          <w:tcPr>
            <w:tcW w:w="8482" w:type="dxa"/>
            <w:tcMar>
              <w:top w:w="58" w:type="dxa"/>
              <w:left w:w="130" w:type="dxa"/>
              <w:bottom w:w="58" w:type="dxa"/>
              <w:right w:w="115" w:type="dxa"/>
            </w:tcMar>
            <w:vAlign w:val="center"/>
          </w:tcPr>
          <w:p w14:paraId="4105FA91" w14:textId="77777777" w:rsidR="00206E4B" w:rsidRPr="00727041" w:rsidRDefault="00206E4B" w:rsidP="001421B0">
            <w:pPr>
              <w:rPr>
                <w:rFonts w:ascii="Arial" w:hAnsi="Arial" w:cs="Arial"/>
                <w:sz w:val="18"/>
                <w:szCs w:val="18"/>
              </w:rPr>
            </w:pPr>
          </w:p>
        </w:tc>
      </w:tr>
      <w:tr w:rsidR="00206E4B" w:rsidRPr="00727041" w14:paraId="42A984B2" w14:textId="77777777" w:rsidTr="00EE766A">
        <w:trPr>
          <w:cantSplit/>
        </w:trPr>
        <w:tc>
          <w:tcPr>
            <w:tcW w:w="4095" w:type="dxa"/>
            <w:gridSpan w:val="2"/>
            <w:tcMar>
              <w:top w:w="58" w:type="dxa"/>
              <w:left w:w="130" w:type="dxa"/>
              <w:bottom w:w="58" w:type="dxa"/>
              <w:right w:w="115" w:type="dxa"/>
            </w:tcMar>
            <w:vAlign w:val="center"/>
          </w:tcPr>
          <w:p w14:paraId="16646232" w14:textId="77777777" w:rsidR="00206E4B" w:rsidRDefault="00206E4B" w:rsidP="004A64E5">
            <w:pPr>
              <w:rPr>
                <w:rFonts w:ascii="Arial" w:hAnsi="Arial" w:cs="Arial"/>
                <w:sz w:val="18"/>
                <w:szCs w:val="18"/>
              </w:rPr>
            </w:pPr>
            <w:r>
              <w:rPr>
                <w:rFonts w:ascii="Arial" w:hAnsi="Arial" w:cs="Arial"/>
                <w:sz w:val="18"/>
                <w:szCs w:val="18"/>
              </w:rPr>
              <w:t>Are there any state immunities or other liability protections available to those labeling or packaging medical products? If so, identify the protected parties, protected actions, and any limits on the protections.</w:t>
            </w:r>
          </w:p>
        </w:tc>
        <w:tc>
          <w:tcPr>
            <w:tcW w:w="8482" w:type="dxa"/>
            <w:tcMar>
              <w:top w:w="58" w:type="dxa"/>
              <w:left w:w="130" w:type="dxa"/>
              <w:bottom w:w="58" w:type="dxa"/>
              <w:right w:w="115" w:type="dxa"/>
            </w:tcMar>
            <w:vAlign w:val="center"/>
          </w:tcPr>
          <w:p w14:paraId="2417DDED" w14:textId="77777777" w:rsidR="00206E4B" w:rsidRPr="00727041" w:rsidRDefault="00206E4B" w:rsidP="001421B0">
            <w:pPr>
              <w:rPr>
                <w:rFonts w:ascii="Arial" w:hAnsi="Arial" w:cs="Arial"/>
                <w:sz w:val="18"/>
                <w:szCs w:val="18"/>
              </w:rPr>
            </w:pPr>
          </w:p>
        </w:tc>
      </w:tr>
      <w:tr w:rsidR="00206E4B" w:rsidRPr="00727041" w14:paraId="227DD1A0" w14:textId="77777777" w:rsidTr="00EE766A">
        <w:trPr>
          <w:cantSplit/>
        </w:trPr>
        <w:tc>
          <w:tcPr>
            <w:tcW w:w="4095" w:type="dxa"/>
            <w:gridSpan w:val="2"/>
            <w:tcMar>
              <w:top w:w="58" w:type="dxa"/>
              <w:left w:w="130" w:type="dxa"/>
              <w:bottom w:w="58" w:type="dxa"/>
              <w:right w:w="115" w:type="dxa"/>
            </w:tcMar>
            <w:vAlign w:val="center"/>
          </w:tcPr>
          <w:p w14:paraId="7C5471F5" w14:textId="77777777" w:rsidR="00206E4B" w:rsidRDefault="00206E4B" w:rsidP="003D6B21">
            <w:pPr>
              <w:rPr>
                <w:rFonts w:ascii="Arial" w:hAnsi="Arial" w:cs="Arial"/>
                <w:sz w:val="18"/>
                <w:szCs w:val="18"/>
              </w:rPr>
            </w:pPr>
            <w:r>
              <w:rPr>
                <w:rFonts w:ascii="Arial" w:hAnsi="Arial" w:cs="Arial"/>
                <w:sz w:val="18"/>
                <w:szCs w:val="18"/>
              </w:rPr>
              <w:t>Identify if and how the legal requirements change when there is an emergency declaration.</w:t>
            </w:r>
          </w:p>
        </w:tc>
        <w:tc>
          <w:tcPr>
            <w:tcW w:w="8482" w:type="dxa"/>
            <w:tcMar>
              <w:top w:w="58" w:type="dxa"/>
              <w:left w:w="130" w:type="dxa"/>
              <w:bottom w:w="58" w:type="dxa"/>
              <w:right w:w="115" w:type="dxa"/>
            </w:tcMar>
            <w:vAlign w:val="center"/>
          </w:tcPr>
          <w:p w14:paraId="4EA4C747" w14:textId="77777777" w:rsidR="00206E4B" w:rsidRPr="00727041" w:rsidRDefault="00206E4B" w:rsidP="001421B0">
            <w:pPr>
              <w:rPr>
                <w:rFonts w:ascii="Arial" w:hAnsi="Arial" w:cs="Arial"/>
                <w:sz w:val="18"/>
                <w:szCs w:val="18"/>
              </w:rPr>
            </w:pPr>
          </w:p>
        </w:tc>
      </w:tr>
      <w:tr w:rsidR="00206E4B" w:rsidRPr="00727041" w14:paraId="48AC4F19" w14:textId="77777777" w:rsidTr="00EE766A">
        <w:trPr>
          <w:cantSplit/>
        </w:trPr>
        <w:tc>
          <w:tcPr>
            <w:tcW w:w="4095" w:type="dxa"/>
            <w:gridSpan w:val="2"/>
            <w:tcMar>
              <w:top w:w="58" w:type="dxa"/>
              <w:left w:w="130" w:type="dxa"/>
              <w:bottom w:w="58" w:type="dxa"/>
              <w:right w:w="115" w:type="dxa"/>
            </w:tcMar>
            <w:vAlign w:val="center"/>
          </w:tcPr>
          <w:p w14:paraId="4FDFB101" w14:textId="77777777" w:rsidR="00206E4B" w:rsidRPr="00727041" w:rsidRDefault="00206E4B" w:rsidP="009B334F">
            <w:pPr>
              <w:rPr>
                <w:rFonts w:ascii="Arial" w:hAnsi="Arial" w:cs="Arial"/>
                <w:sz w:val="18"/>
                <w:szCs w:val="18"/>
              </w:rPr>
            </w:pPr>
            <w:r w:rsidRPr="00C755B8">
              <w:rPr>
                <w:rFonts w:ascii="Arial" w:hAnsi="Arial" w:cs="Arial"/>
                <w:b/>
                <w:sz w:val="18"/>
                <w:szCs w:val="18"/>
              </w:rPr>
              <w:t xml:space="preserve">Identify if </w:t>
            </w:r>
            <w:r>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labeling/relabeling or packaging/repackaging of medical products </w:t>
            </w:r>
            <w:r w:rsidRPr="00C755B8">
              <w:rPr>
                <w:rFonts w:ascii="Arial" w:hAnsi="Arial" w:cs="Arial"/>
                <w:b/>
                <w:sz w:val="18"/>
                <w:szCs w:val="18"/>
              </w:rPr>
              <w:t>conflict with any federal legal requirements.</w:t>
            </w:r>
          </w:p>
        </w:tc>
        <w:tc>
          <w:tcPr>
            <w:tcW w:w="8482" w:type="dxa"/>
            <w:tcMar>
              <w:top w:w="58" w:type="dxa"/>
              <w:left w:w="130" w:type="dxa"/>
              <w:bottom w:w="58" w:type="dxa"/>
              <w:right w:w="115" w:type="dxa"/>
            </w:tcMar>
            <w:vAlign w:val="center"/>
          </w:tcPr>
          <w:p w14:paraId="539650F3" w14:textId="77777777" w:rsidR="00206E4B" w:rsidRPr="00727041" w:rsidRDefault="00206E4B" w:rsidP="001421B0">
            <w:pPr>
              <w:rPr>
                <w:rFonts w:ascii="Arial" w:hAnsi="Arial" w:cs="Arial"/>
                <w:sz w:val="18"/>
                <w:szCs w:val="18"/>
              </w:rPr>
            </w:pPr>
          </w:p>
        </w:tc>
      </w:tr>
      <w:tr w:rsidR="00206E4B" w:rsidRPr="00727041" w14:paraId="7184AF77" w14:textId="77777777" w:rsidTr="00EE766A">
        <w:trPr>
          <w:cantSplit/>
        </w:trPr>
        <w:tc>
          <w:tcPr>
            <w:tcW w:w="398" w:type="dxa"/>
            <w:tcMar>
              <w:top w:w="58" w:type="dxa"/>
              <w:left w:w="130" w:type="dxa"/>
              <w:bottom w:w="58" w:type="dxa"/>
              <w:right w:w="115" w:type="dxa"/>
            </w:tcMar>
            <w:vAlign w:val="center"/>
          </w:tcPr>
          <w:p w14:paraId="15633D3D"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1B3107C2" w14:textId="77777777" w:rsidR="00206E4B" w:rsidRDefault="00206E4B" w:rsidP="004E12E8">
            <w:pPr>
              <w:rPr>
                <w:rFonts w:ascii="Arial" w:hAnsi="Arial" w:cs="Arial"/>
                <w:sz w:val="18"/>
                <w:szCs w:val="18"/>
              </w:rPr>
            </w:pPr>
          </w:p>
        </w:tc>
        <w:tc>
          <w:tcPr>
            <w:tcW w:w="8482" w:type="dxa"/>
            <w:tcMar>
              <w:top w:w="58" w:type="dxa"/>
              <w:left w:w="130" w:type="dxa"/>
              <w:bottom w:w="58" w:type="dxa"/>
              <w:right w:w="115" w:type="dxa"/>
            </w:tcMar>
            <w:vAlign w:val="center"/>
          </w:tcPr>
          <w:p w14:paraId="4303529A" w14:textId="77777777" w:rsidR="00206E4B" w:rsidRPr="00727041" w:rsidRDefault="00206E4B" w:rsidP="001421B0">
            <w:pPr>
              <w:rPr>
                <w:rFonts w:ascii="Arial" w:hAnsi="Arial" w:cs="Arial"/>
                <w:sz w:val="18"/>
                <w:szCs w:val="18"/>
              </w:rPr>
            </w:pPr>
          </w:p>
        </w:tc>
      </w:tr>
      <w:tr w:rsidR="00206E4B" w:rsidRPr="00727041" w14:paraId="2E2754E7" w14:textId="77777777" w:rsidTr="00EE766A">
        <w:trPr>
          <w:cantSplit/>
          <w:trHeight w:val="439"/>
        </w:trPr>
        <w:tc>
          <w:tcPr>
            <w:tcW w:w="12577" w:type="dxa"/>
            <w:gridSpan w:val="3"/>
            <w:shd w:val="clear" w:color="auto" w:fill="F2F2F2" w:themeFill="background1" w:themeFillShade="F2"/>
            <w:tcMar>
              <w:top w:w="58" w:type="dxa"/>
              <w:left w:w="130" w:type="dxa"/>
              <w:bottom w:w="58" w:type="dxa"/>
              <w:right w:w="115" w:type="dxa"/>
            </w:tcMar>
            <w:vAlign w:val="center"/>
          </w:tcPr>
          <w:p w14:paraId="0A4C5A0D" w14:textId="77777777" w:rsidR="00206E4B" w:rsidRPr="00727041" w:rsidRDefault="00206E4B" w:rsidP="001421B0">
            <w:pPr>
              <w:rPr>
                <w:rFonts w:ascii="Arial" w:hAnsi="Arial" w:cs="Arial"/>
                <w:sz w:val="18"/>
                <w:szCs w:val="18"/>
              </w:rPr>
            </w:pPr>
            <w:r>
              <w:rPr>
                <w:rFonts w:ascii="Arial" w:hAnsi="Arial" w:cs="Arial"/>
                <w:b/>
                <w:sz w:val="20"/>
                <w:szCs w:val="20"/>
              </w:rPr>
              <w:lastRenderedPageBreak/>
              <w:t>Distribution of Medical Products</w:t>
            </w:r>
          </w:p>
        </w:tc>
      </w:tr>
      <w:tr w:rsidR="00206E4B" w:rsidRPr="00727041" w14:paraId="7EC503AC" w14:textId="77777777" w:rsidTr="00EE766A">
        <w:trPr>
          <w:cantSplit/>
        </w:trPr>
        <w:tc>
          <w:tcPr>
            <w:tcW w:w="4095" w:type="dxa"/>
            <w:gridSpan w:val="2"/>
            <w:tcMar>
              <w:top w:w="58" w:type="dxa"/>
              <w:left w:w="130" w:type="dxa"/>
              <w:bottom w:w="58" w:type="dxa"/>
              <w:right w:w="115" w:type="dxa"/>
            </w:tcMar>
            <w:vAlign w:val="center"/>
          </w:tcPr>
          <w:p w14:paraId="35F0F3E4" w14:textId="77777777" w:rsidR="00206E4B" w:rsidRPr="00727041" w:rsidRDefault="00206E4B" w:rsidP="009C258C">
            <w:pPr>
              <w:rPr>
                <w:rFonts w:ascii="Arial" w:hAnsi="Arial" w:cs="Arial"/>
                <w:sz w:val="18"/>
                <w:szCs w:val="18"/>
              </w:rPr>
            </w:pPr>
            <w:r>
              <w:rPr>
                <w:rFonts w:ascii="Arial" w:hAnsi="Arial" w:cs="Arial"/>
                <w:sz w:val="18"/>
                <w:szCs w:val="18"/>
              </w:rPr>
              <w:t>Identify state legal authorities governing the distribution of medical products.</w:t>
            </w:r>
          </w:p>
        </w:tc>
        <w:tc>
          <w:tcPr>
            <w:tcW w:w="8482" w:type="dxa"/>
            <w:tcMar>
              <w:top w:w="58" w:type="dxa"/>
              <w:left w:w="130" w:type="dxa"/>
              <w:bottom w:w="58" w:type="dxa"/>
              <w:right w:w="115" w:type="dxa"/>
            </w:tcMar>
            <w:vAlign w:val="center"/>
          </w:tcPr>
          <w:p w14:paraId="77C940B9" w14:textId="77777777" w:rsidR="00206E4B" w:rsidRPr="00727041" w:rsidRDefault="00206E4B" w:rsidP="001421B0">
            <w:pPr>
              <w:rPr>
                <w:rFonts w:ascii="Arial" w:hAnsi="Arial" w:cs="Arial"/>
                <w:sz w:val="18"/>
                <w:szCs w:val="18"/>
              </w:rPr>
            </w:pPr>
          </w:p>
        </w:tc>
      </w:tr>
      <w:tr w:rsidR="00206E4B" w:rsidRPr="00727041" w14:paraId="1376D804" w14:textId="77777777" w:rsidTr="00EE766A">
        <w:trPr>
          <w:cantSplit/>
        </w:trPr>
        <w:tc>
          <w:tcPr>
            <w:tcW w:w="398" w:type="dxa"/>
            <w:tcMar>
              <w:top w:w="58" w:type="dxa"/>
              <w:left w:w="130" w:type="dxa"/>
              <w:bottom w:w="58" w:type="dxa"/>
              <w:right w:w="115" w:type="dxa"/>
            </w:tcMar>
            <w:vAlign w:val="center"/>
          </w:tcPr>
          <w:p w14:paraId="672AD119" w14:textId="77777777" w:rsidR="00206E4B" w:rsidRPr="00727041" w:rsidRDefault="00206E4B" w:rsidP="001421B0">
            <w:pPr>
              <w:rPr>
                <w:rFonts w:ascii="Arial" w:hAnsi="Arial" w:cs="Arial"/>
                <w:sz w:val="18"/>
                <w:szCs w:val="18"/>
              </w:rPr>
            </w:pPr>
          </w:p>
        </w:tc>
        <w:tc>
          <w:tcPr>
            <w:tcW w:w="3697" w:type="dxa"/>
            <w:tcMar>
              <w:top w:w="58" w:type="dxa"/>
              <w:left w:w="130" w:type="dxa"/>
              <w:bottom w:w="58" w:type="dxa"/>
              <w:right w:w="115" w:type="dxa"/>
            </w:tcMar>
            <w:vAlign w:val="center"/>
          </w:tcPr>
          <w:p w14:paraId="70A49069" w14:textId="77777777" w:rsidR="00206E4B" w:rsidRPr="00727041" w:rsidRDefault="00206E4B" w:rsidP="001421B0">
            <w:pPr>
              <w:rPr>
                <w:rFonts w:ascii="Arial" w:hAnsi="Arial" w:cs="Arial"/>
                <w:sz w:val="18"/>
                <w:szCs w:val="18"/>
              </w:rPr>
            </w:pPr>
            <w:r>
              <w:rPr>
                <w:rFonts w:ascii="Arial" w:hAnsi="Arial" w:cs="Arial"/>
                <w:sz w:val="18"/>
                <w:szCs w:val="18"/>
              </w:rPr>
              <w:t>How is the term “distribution” defined?</w:t>
            </w:r>
          </w:p>
        </w:tc>
        <w:tc>
          <w:tcPr>
            <w:tcW w:w="8482" w:type="dxa"/>
            <w:tcMar>
              <w:top w:w="58" w:type="dxa"/>
              <w:left w:w="130" w:type="dxa"/>
              <w:bottom w:w="58" w:type="dxa"/>
              <w:right w:w="115" w:type="dxa"/>
            </w:tcMar>
            <w:vAlign w:val="center"/>
          </w:tcPr>
          <w:p w14:paraId="7444EE4C" w14:textId="77777777" w:rsidR="00206E4B" w:rsidRPr="00727041" w:rsidRDefault="00206E4B" w:rsidP="001421B0">
            <w:pPr>
              <w:rPr>
                <w:rFonts w:ascii="Arial" w:hAnsi="Arial" w:cs="Arial"/>
                <w:sz w:val="18"/>
                <w:szCs w:val="18"/>
              </w:rPr>
            </w:pPr>
          </w:p>
        </w:tc>
      </w:tr>
      <w:tr w:rsidR="00206E4B" w:rsidRPr="00727041" w14:paraId="7738E1AF" w14:textId="77777777" w:rsidTr="00EE766A">
        <w:trPr>
          <w:cantSplit/>
        </w:trPr>
        <w:tc>
          <w:tcPr>
            <w:tcW w:w="4095" w:type="dxa"/>
            <w:gridSpan w:val="2"/>
            <w:tcMar>
              <w:top w:w="58" w:type="dxa"/>
              <w:left w:w="130" w:type="dxa"/>
              <w:bottom w:w="58" w:type="dxa"/>
              <w:right w:w="115" w:type="dxa"/>
            </w:tcMar>
            <w:vAlign w:val="center"/>
          </w:tcPr>
          <w:p w14:paraId="5149D56A" w14:textId="77777777" w:rsidR="00206E4B" w:rsidRPr="00727041" w:rsidRDefault="00206E4B" w:rsidP="001421B0">
            <w:pPr>
              <w:rPr>
                <w:rFonts w:ascii="Arial" w:hAnsi="Arial" w:cs="Arial"/>
                <w:sz w:val="18"/>
                <w:szCs w:val="18"/>
              </w:rPr>
            </w:pPr>
            <w:r>
              <w:rPr>
                <w:rFonts w:ascii="Arial" w:hAnsi="Arial" w:cs="Arial"/>
                <w:sz w:val="18"/>
                <w:szCs w:val="18"/>
              </w:rPr>
              <w:t>Identify if state legal authorities specify or limit the types of persons or professions that can undertake distribution activities (e.g., breaking down pallet shipments of medical products, packing shipments for dispensing, transporting shipments to dispensing sites).</w:t>
            </w:r>
          </w:p>
        </w:tc>
        <w:tc>
          <w:tcPr>
            <w:tcW w:w="8482" w:type="dxa"/>
            <w:tcMar>
              <w:top w:w="58" w:type="dxa"/>
              <w:left w:w="130" w:type="dxa"/>
              <w:bottom w:w="58" w:type="dxa"/>
              <w:right w:w="115" w:type="dxa"/>
            </w:tcMar>
            <w:vAlign w:val="center"/>
          </w:tcPr>
          <w:p w14:paraId="188D13AF" w14:textId="77777777" w:rsidR="00206E4B" w:rsidRPr="00727041" w:rsidRDefault="00206E4B" w:rsidP="001421B0">
            <w:pPr>
              <w:rPr>
                <w:rFonts w:ascii="Arial" w:hAnsi="Arial" w:cs="Arial"/>
                <w:sz w:val="18"/>
                <w:szCs w:val="18"/>
              </w:rPr>
            </w:pPr>
          </w:p>
        </w:tc>
      </w:tr>
      <w:tr w:rsidR="00206E4B" w:rsidRPr="00727041" w14:paraId="4AEB8CC2" w14:textId="77777777" w:rsidTr="00EE766A">
        <w:trPr>
          <w:cantSplit/>
          <w:trHeight w:val="583"/>
        </w:trPr>
        <w:tc>
          <w:tcPr>
            <w:tcW w:w="4095" w:type="dxa"/>
            <w:gridSpan w:val="2"/>
            <w:tcMar>
              <w:top w:w="58" w:type="dxa"/>
              <w:left w:w="130" w:type="dxa"/>
              <w:bottom w:w="58" w:type="dxa"/>
              <w:right w:w="115" w:type="dxa"/>
            </w:tcMar>
            <w:vAlign w:val="center"/>
          </w:tcPr>
          <w:p w14:paraId="5C36F0DB" w14:textId="77777777" w:rsidR="00206E4B" w:rsidRPr="00727041" w:rsidRDefault="00206E4B" w:rsidP="001421B0">
            <w:pPr>
              <w:rPr>
                <w:rFonts w:ascii="Arial" w:hAnsi="Arial" w:cs="Arial"/>
                <w:sz w:val="18"/>
                <w:szCs w:val="18"/>
              </w:rPr>
            </w:pPr>
            <w:r>
              <w:rPr>
                <w:rFonts w:ascii="Arial" w:hAnsi="Arial" w:cs="Arial"/>
                <w:sz w:val="18"/>
                <w:szCs w:val="18"/>
              </w:rPr>
              <w:t>Identify if and how the legal authorities apply to the distribution of medical products from government caches or stockpiles.</w:t>
            </w:r>
          </w:p>
        </w:tc>
        <w:tc>
          <w:tcPr>
            <w:tcW w:w="8482" w:type="dxa"/>
            <w:tcMar>
              <w:top w:w="58" w:type="dxa"/>
              <w:left w:w="130" w:type="dxa"/>
              <w:bottom w:w="58" w:type="dxa"/>
              <w:right w:w="115" w:type="dxa"/>
            </w:tcMar>
            <w:vAlign w:val="center"/>
          </w:tcPr>
          <w:p w14:paraId="42C2EC2F" w14:textId="77777777" w:rsidR="00206E4B" w:rsidRPr="00727041" w:rsidRDefault="00206E4B" w:rsidP="001421B0">
            <w:pPr>
              <w:rPr>
                <w:rFonts w:ascii="Arial" w:hAnsi="Arial" w:cs="Arial"/>
                <w:sz w:val="18"/>
                <w:szCs w:val="18"/>
              </w:rPr>
            </w:pPr>
          </w:p>
        </w:tc>
      </w:tr>
      <w:tr w:rsidR="00206E4B" w:rsidRPr="00727041" w14:paraId="042BE9A1" w14:textId="77777777" w:rsidTr="00EE766A">
        <w:trPr>
          <w:cantSplit/>
        </w:trPr>
        <w:tc>
          <w:tcPr>
            <w:tcW w:w="4095" w:type="dxa"/>
            <w:gridSpan w:val="2"/>
            <w:tcMar>
              <w:top w:w="58" w:type="dxa"/>
              <w:left w:w="130" w:type="dxa"/>
              <w:bottom w:w="58" w:type="dxa"/>
              <w:right w:w="115" w:type="dxa"/>
            </w:tcMar>
            <w:vAlign w:val="center"/>
          </w:tcPr>
          <w:p w14:paraId="4983C578" w14:textId="77777777" w:rsidR="00206E4B" w:rsidRDefault="00206E4B" w:rsidP="004A64E5">
            <w:pPr>
              <w:rPr>
                <w:rFonts w:ascii="Arial" w:hAnsi="Arial" w:cs="Arial"/>
                <w:sz w:val="18"/>
                <w:szCs w:val="18"/>
              </w:rPr>
            </w:pPr>
            <w:r>
              <w:rPr>
                <w:rFonts w:ascii="Arial" w:hAnsi="Arial" w:cs="Arial"/>
                <w:sz w:val="18"/>
                <w:szCs w:val="18"/>
              </w:rPr>
              <w:t>Are there any state immunities or other liability protections available to those distributing medical products? If so, identify the protected parties, protected actions, and any limits on the protections.</w:t>
            </w:r>
          </w:p>
        </w:tc>
        <w:tc>
          <w:tcPr>
            <w:tcW w:w="8482" w:type="dxa"/>
            <w:tcMar>
              <w:top w:w="58" w:type="dxa"/>
              <w:left w:w="130" w:type="dxa"/>
              <w:bottom w:w="58" w:type="dxa"/>
              <w:right w:w="115" w:type="dxa"/>
            </w:tcMar>
            <w:vAlign w:val="center"/>
          </w:tcPr>
          <w:p w14:paraId="5F3B6203" w14:textId="77777777" w:rsidR="00206E4B" w:rsidRPr="00727041" w:rsidRDefault="00206E4B" w:rsidP="001421B0">
            <w:pPr>
              <w:rPr>
                <w:rFonts w:ascii="Arial" w:hAnsi="Arial" w:cs="Arial"/>
                <w:sz w:val="18"/>
                <w:szCs w:val="18"/>
              </w:rPr>
            </w:pPr>
          </w:p>
        </w:tc>
      </w:tr>
      <w:tr w:rsidR="00206E4B" w:rsidRPr="00727041" w14:paraId="2C57F58D" w14:textId="77777777" w:rsidTr="00EE766A">
        <w:trPr>
          <w:cantSplit/>
        </w:trPr>
        <w:tc>
          <w:tcPr>
            <w:tcW w:w="4095" w:type="dxa"/>
            <w:gridSpan w:val="2"/>
            <w:tcMar>
              <w:top w:w="58" w:type="dxa"/>
              <w:left w:w="130" w:type="dxa"/>
              <w:bottom w:w="58" w:type="dxa"/>
              <w:right w:w="115" w:type="dxa"/>
            </w:tcMar>
            <w:vAlign w:val="center"/>
          </w:tcPr>
          <w:p w14:paraId="23AE857B" w14:textId="77777777" w:rsidR="00206E4B" w:rsidRPr="00727041" w:rsidRDefault="00206E4B" w:rsidP="00506D2D">
            <w:pPr>
              <w:rPr>
                <w:rFonts w:ascii="Arial" w:hAnsi="Arial" w:cs="Arial"/>
                <w:sz w:val="18"/>
                <w:szCs w:val="18"/>
              </w:rPr>
            </w:pPr>
            <w:r>
              <w:rPr>
                <w:rFonts w:ascii="Arial" w:hAnsi="Arial" w:cs="Arial"/>
                <w:sz w:val="18"/>
                <w:szCs w:val="18"/>
              </w:rPr>
              <w:t>Identify if and how the legal requirements change when there is an emergency declaration.</w:t>
            </w:r>
          </w:p>
        </w:tc>
        <w:tc>
          <w:tcPr>
            <w:tcW w:w="8482" w:type="dxa"/>
            <w:tcMar>
              <w:top w:w="58" w:type="dxa"/>
              <w:left w:w="130" w:type="dxa"/>
              <w:bottom w:w="58" w:type="dxa"/>
              <w:right w:w="115" w:type="dxa"/>
            </w:tcMar>
            <w:vAlign w:val="center"/>
          </w:tcPr>
          <w:p w14:paraId="794377CD" w14:textId="77777777" w:rsidR="00206E4B" w:rsidRPr="00727041" w:rsidRDefault="00206E4B" w:rsidP="001421B0">
            <w:pPr>
              <w:rPr>
                <w:rFonts w:ascii="Arial" w:hAnsi="Arial" w:cs="Arial"/>
                <w:sz w:val="18"/>
                <w:szCs w:val="18"/>
              </w:rPr>
            </w:pPr>
          </w:p>
        </w:tc>
      </w:tr>
      <w:tr w:rsidR="00206E4B" w:rsidRPr="00727041" w14:paraId="304EFB0D" w14:textId="77777777" w:rsidTr="00EE766A">
        <w:trPr>
          <w:cantSplit/>
        </w:trPr>
        <w:tc>
          <w:tcPr>
            <w:tcW w:w="4095" w:type="dxa"/>
            <w:gridSpan w:val="2"/>
            <w:tcMar>
              <w:top w:w="58" w:type="dxa"/>
              <w:left w:w="130" w:type="dxa"/>
              <w:bottom w:w="58" w:type="dxa"/>
              <w:right w:w="115" w:type="dxa"/>
            </w:tcMar>
            <w:vAlign w:val="center"/>
          </w:tcPr>
          <w:p w14:paraId="4573E249" w14:textId="77777777" w:rsidR="00206E4B" w:rsidRPr="00727041" w:rsidRDefault="00206E4B" w:rsidP="00506D2D">
            <w:pPr>
              <w:rPr>
                <w:rFonts w:ascii="Arial" w:hAnsi="Arial" w:cs="Arial"/>
                <w:sz w:val="18"/>
                <w:szCs w:val="18"/>
              </w:rPr>
            </w:pPr>
            <w:r w:rsidRPr="00C755B8">
              <w:rPr>
                <w:rFonts w:ascii="Arial" w:hAnsi="Arial" w:cs="Arial"/>
                <w:b/>
                <w:sz w:val="18"/>
                <w:szCs w:val="18"/>
              </w:rPr>
              <w:t xml:space="preserve">Identify if </w:t>
            </w:r>
            <w:r>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distribution</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482" w:type="dxa"/>
            <w:tcMar>
              <w:top w:w="58" w:type="dxa"/>
              <w:left w:w="130" w:type="dxa"/>
              <w:bottom w:w="58" w:type="dxa"/>
              <w:right w:w="115" w:type="dxa"/>
            </w:tcMar>
            <w:vAlign w:val="center"/>
          </w:tcPr>
          <w:p w14:paraId="09BCEFFA" w14:textId="77777777" w:rsidR="00206E4B" w:rsidRPr="00727041" w:rsidRDefault="00206E4B" w:rsidP="001421B0">
            <w:pPr>
              <w:rPr>
                <w:rFonts w:ascii="Arial" w:hAnsi="Arial" w:cs="Arial"/>
                <w:sz w:val="18"/>
                <w:szCs w:val="18"/>
              </w:rPr>
            </w:pPr>
          </w:p>
        </w:tc>
      </w:tr>
      <w:tr w:rsidR="00206E4B" w:rsidRPr="00727041" w14:paraId="704E2800" w14:textId="77777777" w:rsidTr="00EE766A">
        <w:trPr>
          <w:cantSplit/>
        </w:trPr>
        <w:tc>
          <w:tcPr>
            <w:tcW w:w="4095" w:type="dxa"/>
            <w:gridSpan w:val="2"/>
            <w:tcMar>
              <w:top w:w="58" w:type="dxa"/>
              <w:left w:w="130" w:type="dxa"/>
              <w:bottom w:w="58" w:type="dxa"/>
              <w:right w:w="115" w:type="dxa"/>
            </w:tcMar>
            <w:vAlign w:val="center"/>
          </w:tcPr>
          <w:p w14:paraId="6101E229" w14:textId="77777777" w:rsidR="00206E4B" w:rsidRPr="00727041" w:rsidRDefault="00206E4B" w:rsidP="001421B0">
            <w:pPr>
              <w:rPr>
                <w:rFonts w:ascii="Arial" w:hAnsi="Arial" w:cs="Arial"/>
                <w:sz w:val="18"/>
                <w:szCs w:val="18"/>
              </w:rPr>
            </w:pPr>
          </w:p>
        </w:tc>
        <w:tc>
          <w:tcPr>
            <w:tcW w:w="8482" w:type="dxa"/>
            <w:tcMar>
              <w:top w:w="58" w:type="dxa"/>
              <w:left w:w="130" w:type="dxa"/>
              <w:bottom w:w="58" w:type="dxa"/>
              <w:right w:w="115" w:type="dxa"/>
            </w:tcMar>
            <w:vAlign w:val="center"/>
          </w:tcPr>
          <w:p w14:paraId="204E20D4" w14:textId="77777777" w:rsidR="00206E4B" w:rsidRPr="00727041" w:rsidRDefault="00206E4B" w:rsidP="001421B0">
            <w:pPr>
              <w:rPr>
                <w:rFonts w:ascii="Arial" w:hAnsi="Arial" w:cs="Arial"/>
                <w:sz w:val="18"/>
                <w:szCs w:val="18"/>
              </w:rPr>
            </w:pPr>
          </w:p>
        </w:tc>
      </w:tr>
      <w:tr w:rsidR="00206E4B" w:rsidRPr="00727041" w14:paraId="122C6D40" w14:textId="77777777" w:rsidTr="00EE766A">
        <w:trPr>
          <w:cantSplit/>
          <w:trHeight w:val="448"/>
        </w:trPr>
        <w:tc>
          <w:tcPr>
            <w:tcW w:w="12577" w:type="dxa"/>
            <w:gridSpan w:val="3"/>
            <w:shd w:val="clear" w:color="auto" w:fill="F2F2F2" w:themeFill="background1" w:themeFillShade="F2"/>
            <w:tcMar>
              <w:top w:w="58" w:type="dxa"/>
              <w:left w:w="130" w:type="dxa"/>
              <w:bottom w:w="58" w:type="dxa"/>
              <w:right w:w="115" w:type="dxa"/>
            </w:tcMar>
            <w:vAlign w:val="center"/>
          </w:tcPr>
          <w:p w14:paraId="016170AE" w14:textId="77777777" w:rsidR="00206E4B" w:rsidRPr="005A36EE" w:rsidRDefault="00206E4B" w:rsidP="009C258C">
            <w:pPr>
              <w:rPr>
                <w:rFonts w:ascii="Arial" w:hAnsi="Arial" w:cs="Arial"/>
                <w:b/>
                <w:sz w:val="18"/>
                <w:szCs w:val="18"/>
              </w:rPr>
            </w:pPr>
            <w:r w:rsidRPr="005A36EE">
              <w:rPr>
                <w:rFonts w:ascii="Arial" w:hAnsi="Arial" w:cs="Arial"/>
                <w:b/>
                <w:sz w:val="20"/>
                <w:szCs w:val="18"/>
              </w:rPr>
              <w:t>Compounding and Dispensing of Medical Products</w:t>
            </w:r>
          </w:p>
        </w:tc>
      </w:tr>
      <w:tr w:rsidR="00206E4B" w:rsidRPr="00727041" w14:paraId="62FECFAC" w14:textId="77777777" w:rsidTr="00EE766A">
        <w:trPr>
          <w:cantSplit/>
        </w:trPr>
        <w:tc>
          <w:tcPr>
            <w:tcW w:w="4095" w:type="dxa"/>
            <w:gridSpan w:val="2"/>
            <w:tcMar>
              <w:top w:w="58" w:type="dxa"/>
              <w:left w:w="130" w:type="dxa"/>
              <w:bottom w:w="58" w:type="dxa"/>
              <w:right w:w="115" w:type="dxa"/>
            </w:tcMar>
            <w:vAlign w:val="center"/>
          </w:tcPr>
          <w:p w14:paraId="4D67DFE8" w14:textId="77777777" w:rsidR="00206E4B" w:rsidRPr="00727041" w:rsidRDefault="00206E4B" w:rsidP="00925D0D">
            <w:pPr>
              <w:rPr>
                <w:rFonts w:ascii="Arial" w:hAnsi="Arial" w:cs="Arial"/>
                <w:sz w:val="18"/>
                <w:szCs w:val="18"/>
              </w:rPr>
            </w:pPr>
            <w:r>
              <w:rPr>
                <w:rFonts w:ascii="Arial" w:hAnsi="Arial" w:cs="Arial"/>
                <w:sz w:val="18"/>
                <w:szCs w:val="18"/>
              </w:rPr>
              <w:t>Identify state legal authorities governing the compounding and dispensing of medical products.</w:t>
            </w:r>
          </w:p>
        </w:tc>
        <w:tc>
          <w:tcPr>
            <w:tcW w:w="8482" w:type="dxa"/>
            <w:tcMar>
              <w:top w:w="58" w:type="dxa"/>
              <w:left w:w="130" w:type="dxa"/>
              <w:bottom w:w="58" w:type="dxa"/>
              <w:right w:w="115" w:type="dxa"/>
            </w:tcMar>
            <w:vAlign w:val="center"/>
          </w:tcPr>
          <w:p w14:paraId="25059A57" w14:textId="77777777" w:rsidR="00206E4B" w:rsidRPr="00727041" w:rsidRDefault="00206E4B" w:rsidP="001421B0">
            <w:pPr>
              <w:rPr>
                <w:rFonts w:ascii="Arial" w:hAnsi="Arial" w:cs="Arial"/>
                <w:sz w:val="18"/>
                <w:szCs w:val="18"/>
              </w:rPr>
            </w:pPr>
          </w:p>
        </w:tc>
      </w:tr>
      <w:tr w:rsidR="00206E4B" w:rsidRPr="00727041" w14:paraId="1320A75C" w14:textId="77777777" w:rsidTr="00EE766A">
        <w:trPr>
          <w:cantSplit/>
        </w:trPr>
        <w:tc>
          <w:tcPr>
            <w:tcW w:w="398" w:type="dxa"/>
            <w:tcMar>
              <w:top w:w="58" w:type="dxa"/>
              <w:left w:w="130" w:type="dxa"/>
              <w:bottom w:w="58" w:type="dxa"/>
              <w:right w:w="115" w:type="dxa"/>
            </w:tcMar>
            <w:vAlign w:val="center"/>
          </w:tcPr>
          <w:p w14:paraId="6471F20B" w14:textId="77777777" w:rsidR="00206E4B" w:rsidRPr="00727041" w:rsidRDefault="00206E4B" w:rsidP="00C92D96">
            <w:pPr>
              <w:rPr>
                <w:rFonts w:ascii="Arial" w:hAnsi="Arial" w:cs="Arial"/>
                <w:sz w:val="18"/>
                <w:szCs w:val="18"/>
              </w:rPr>
            </w:pPr>
          </w:p>
        </w:tc>
        <w:tc>
          <w:tcPr>
            <w:tcW w:w="3697" w:type="dxa"/>
            <w:tcMar>
              <w:top w:w="58" w:type="dxa"/>
              <w:left w:w="130" w:type="dxa"/>
              <w:bottom w:w="58" w:type="dxa"/>
              <w:right w:w="115" w:type="dxa"/>
            </w:tcMar>
            <w:vAlign w:val="center"/>
          </w:tcPr>
          <w:p w14:paraId="025F73CE" w14:textId="77777777" w:rsidR="00206E4B" w:rsidRPr="00727041" w:rsidRDefault="00206E4B" w:rsidP="00925D0D">
            <w:pPr>
              <w:rPr>
                <w:rFonts w:ascii="Arial" w:hAnsi="Arial" w:cs="Arial"/>
                <w:sz w:val="18"/>
                <w:szCs w:val="18"/>
              </w:rPr>
            </w:pPr>
            <w:r>
              <w:rPr>
                <w:rFonts w:ascii="Arial" w:hAnsi="Arial" w:cs="Arial"/>
                <w:sz w:val="18"/>
                <w:szCs w:val="18"/>
              </w:rPr>
              <w:t>How are the terms “compounding” and “dispensing” defined?</w:t>
            </w:r>
          </w:p>
        </w:tc>
        <w:tc>
          <w:tcPr>
            <w:tcW w:w="8482" w:type="dxa"/>
            <w:tcMar>
              <w:top w:w="58" w:type="dxa"/>
              <w:left w:w="130" w:type="dxa"/>
              <w:bottom w:w="58" w:type="dxa"/>
              <w:right w:w="115" w:type="dxa"/>
            </w:tcMar>
            <w:vAlign w:val="center"/>
          </w:tcPr>
          <w:p w14:paraId="22EA5737" w14:textId="77777777" w:rsidR="00206E4B" w:rsidRPr="00727041" w:rsidRDefault="00206E4B" w:rsidP="001421B0">
            <w:pPr>
              <w:rPr>
                <w:rFonts w:ascii="Arial" w:hAnsi="Arial" w:cs="Arial"/>
                <w:sz w:val="18"/>
                <w:szCs w:val="18"/>
              </w:rPr>
            </w:pPr>
          </w:p>
        </w:tc>
      </w:tr>
      <w:tr w:rsidR="00206E4B" w:rsidRPr="00727041" w14:paraId="426FD71D" w14:textId="77777777" w:rsidTr="00EE766A">
        <w:trPr>
          <w:cantSplit/>
        </w:trPr>
        <w:tc>
          <w:tcPr>
            <w:tcW w:w="4095" w:type="dxa"/>
            <w:gridSpan w:val="2"/>
            <w:tcMar>
              <w:top w:w="58" w:type="dxa"/>
              <w:left w:w="130" w:type="dxa"/>
              <w:bottom w:w="58" w:type="dxa"/>
              <w:right w:w="115" w:type="dxa"/>
            </w:tcMar>
            <w:vAlign w:val="center"/>
          </w:tcPr>
          <w:p w14:paraId="66C13EC0" w14:textId="77777777" w:rsidR="00206E4B" w:rsidRPr="00727041" w:rsidRDefault="00206E4B" w:rsidP="00506D2D">
            <w:pPr>
              <w:rPr>
                <w:rFonts w:ascii="Arial" w:hAnsi="Arial" w:cs="Arial"/>
                <w:sz w:val="18"/>
                <w:szCs w:val="18"/>
              </w:rPr>
            </w:pPr>
            <w:r>
              <w:rPr>
                <w:rFonts w:ascii="Arial" w:hAnsi="Arial" w:cs="Arial"/>
                <w:sz w:val="18"/>
                <w:szCs w:val="18"/>
              </w:rPr>
              <w:lastRenderedPageBreak/>
              <w:t xml:space="preserve">Identify the types of persons/professions permitted to compound or dispense medical products and the types of medical products each </w:t>
            </w:r>
            <w:proofErr w:type="gramStart"/>
            <w:r>
              <w:rPr>
                <w:rFonts w:ascii="Arial" w:hAnsi="Arial" w:cs="Arial"/>
                <w:sz w:val="18"/>
                <w:szCs w:val="18"/>
              </w:rPr>
              <w:t>is allowed to</w:t>
            </w:r>
            <w:proofErr w:type="gramEnd"/>
            <w:r>
              <w:rPr>
                <w:rFonts w:ascii="Arial" w:hAnsi="Arial" w:cs="Arial"/>
                <w:sz w:val="18"/>
                <w:szCs w:val="18"/>
              </w:rPr>
              <w:t xml:space="preserve"> compound or dispense.</w:t>
            </w:r>
          </w:p>
        </w:tc>
        <w:tc>
          <w:tcPr>
            <w:tcW w:w="8482" w:type="dxa"/>
            <w:tcMar>
              <w:top w:w="58" w:type="dxa"/>
              <w:left w:w="130" w:type="dxa"/>
              <w:bottom w:w="58" w:type="dxa"/>
              <w:right w:w="115" w:type="dxa"/>
            </w:tcMar>
            <w:vAlign w:val="center"/>
          </w:tcPr>
          <w:p w14:paraId="1E912CC9" w14:textId="77777777" w:rsidR="00206E4B" w:rsidRPr="00727041" w:rsidRDefault="00206E4B" w:rsidP="001421B0">
            <w:pPr>
              <w:rPr>
                <w:rFonts w:ascii="Arial" w:hAnsi="Arial" w:cs="Arial"/>
                <w:sz w:val="18"/>
                <w:szCs w:val="18"/>
              </w:rPr>
            </w:pPr>
          </w:p>
        </w:tc>
      </w:tr>
      <w:tr w:rsidR="00206E4B" w:rsidRPr="00727041" w14:paraId="1DA48367" w14:textId="77777777" w:rsidTr="00EE766A">
        <w:trPr>
          <w:cantSplit/>
        </w:trPr>
        <w:tc>
          <w:tcPr>
            <w:tcW w:w="4095" w:type="dxa"/>
            <w:gridSpan w:val="2"/>
            <w:tcMar>
              <w:top w:w="58" w:type="dxa"/>
              <w:left w:w="130" w:type="dxa"/>
              <w:bottom w:w="58" w:type="dxa"/>
              <w:right w:w="115" w:type="dxa"/>
            </w:tcMar>
            <w:vAlign w:val="center"/>
          </w:tcPr>
          <w:p w14:paraId="579C40EF" w14:textId="77777777" w:rsidR="00206E4B" w:rsidRDefault="00206E4B" w:rsidP="007A4767">
            <w:pPr>
              <w:rPr>
                <w:rFonts w:ascii="Arial" w:hAnsi="Arial" w:cs="Arial"/>
                <w:sz w:val="18"/>
                <w:szCs w:val="18"/>
              </w:rPr>
            </w:pPr>
            <w:r>
              <w:rPr>
                <w:rFonts w:ascii="Arial" w:hAnsi="Arial" w:cs="Arial"/>
                <w:sz w:val="18"/>
                <w:szCs w:val="18"/>
              </w:rPr>
              <w:t>Identify if state legal authorities specify or limit the types of persons or professions that can undertake compounding or dispensing activities (e.g., cannot compound but can dispense, can only dispense certain types of medical products).</w:t>
            </w:r>
          </w:p>
        </w:tc>
        <w:tc>
          <w:tcPr>
            <w:tcW w:w="8482" w:type="dxa"/>
            <w:tcMar>
              <w:top w:w="58" w:type="dxa"/>
              <w:left w:w="130" w:type="dxa"/>
              <w:bottom w:w="58" w:type="dxa"/>
              <w:right w:w="115" w:type="dxa"/>
            </w:tcMar>
            <w:vAlign w:val="center"/>
          </w:tcPr>
          <w:p w14:paraId="20740304" w14:textId="77777777" w:rsidR="00206E4B" w:rsidRPr="00727041" w:rsidRDefault="00206E4B" w:rsidP="001421B0">
            <w:pPr>
              <w:rPr>
                <w:rFonts w:ascii="Arial" w:hAnsi="Arial" w:cs="Arial"/>
                <w:sz w:val="18"/>
                <w:szCs w:val="18"/>
              </w:rPr>
            </w:pPr>
          </w:p>
        </w:tc>
      </w:tr>
      <w:tr w:rsidR="00206E4B" w:rsidRPr="00727041" w14:paraId="46D2B469" w14:textId="77777777" w:rsidTr="00EE766A">
        <w:trPr>
          <w:cantSplit/>
        </w:trPr>
        <w:tc>
          <w:tcPr>
            <w:tcW w:w="4095" w:type="dxa"/>
            <w:gridSpan w:val="2"/>
            <w:tcMar>
              <w:top w:w="58" w:type="dxa"/>
              <w:left w:w="130" w:type="dxa"/>
              <w:bottom w:w="58" w:type="dxa"/>
              <w:right w:w="115" w:type="dxa"/>
            </w:tcMar>
            <w:vAlign w:val="center"/>
          </w:tcPr>
          <w:p w14:paraId="4B51BCD1" w14:textId="77777777" w:rsidR="00206E4B" w:rsidRDefault="00206E4B" w:rsidP="004A64E5">
            <w:pPr>
              <w:rPr>
                <w:rFonts w:ascii="Arial" w:hAnsi="Arial" w:cs="Arial"/>
                <w:sz w:val="18"/>
                <w:szCs w:val="18"/>
              </w:rPr>
            </w:pPr>
            <w:r>
              <w:rPr>
                <w:rFonts w:ascii="Arial" w:hAnsi="Arial" w:cs="Arial"/>
                <w:sz w:val="18"/>
                <w:szCs w:val="18"/>
              </w:rPr>
              <w:t>Are there any state immunities or other liability protections available to those compounding or dispensing medical products? If so, identify the protected parties, protected actions, and any limits on the protections.</w:t>
            </w:r>
          </w:p>
        </w:tc>
        <w:tc>
          <w:tcPr>
            <w:tcW w:w="8482" w:type="dxa"/>
            <w:tcMar>
              <w:top w:w="58" w:type="dxa"/>
              <w:left w:w="130" w:type="dxa"/>
              <w:bottom w:w="58" w:type="dxa"/>
              <w:right w:w="115" w:type="dxa"/>
            </w:tcMar>
            <w:vAlign w:val="center"/>
          </w:tcPr>
          <w:p w14:paraId="19C572D2" w14:textId="77777777" w:rsidR="00206E4B" w:rsidRPr="00727041" w:rsidRDefault="00206E4B" w:rsidP="001421B0">
            <w:pPr>
              <w:rPr>
                <w:rFonts w:ascii="Arial" w:hAnsi="Arial" w:cs="Arial"/>
                <w:sz w:val="18"/>
                <w:szCs w:val="18"/>
              </w:rPr>
            </w:pPr>
          </w:p>
        </w:tc>
      </w:tr>
      <w:tr w:rsidR="00206E4B" w:rsidRPr="00727041" w14:paraId="22C36B5D" w14:textId="77777777" w:rsidTr="00EE766A">
        <w:trPr>
          <w:cantSplit/>
        </w:trPr>
        <w:tc>
          <w:tcPr>
            <w:tcW w:w="4095" w:type="dxa"/>
            <w:gridSpan w:val="2"/>
            <w:tcMar>
              <w:top w:w="58" w:type="dxa"/>
              <w:left w:w="130" w:type="dxa"/>
              <w:bottom w:w="58" w:type="dxa"/>
              <w:right w:w="115" w:type="dxa"/>
            </w:tcMar>
            <w:vAlign w:val="center"/>
          </w:tcPr>
          <w:p w14:paraId="1C5FFCFC" w14:textId="77777777" w:rsidR="00206E4B" w:rsidRPr="00727041" w:rsidRDefault="00206E4B" w:rsidP="005216DD">
            <w:pPr>
              <w:rPr>
                <w:rFonts w:ascii="Arial" w:hAnsi="Arial" w:cs="Arial"/>
                <w:sz w:val="18"/>
                <w:szCs w:val="18"/>
              </w:rPr>
            </w:pPr>
            <w:r>
              <w:rPr>
                <w:rFonts w:ascii="Arial" w:hAnsi="Arial" w:cs="Arial"/>
                <w:sz w:val="18"/>
                <w:szCs w:val="18"/>
              </w:rPr>
              <w:t>Do the persons/professions authorized to compound/dispense medical products, the types of medical products they are authorized to compound/dispense, or the conditions under which they are authorized to compound/dispense change when there is an emergency declaration? If so, identify the changes.</w:t>
            </w:r>
          </w:p>
        </w:tc>
        <w:tc>
          <w:tcPr>
            <w:tcW w:w="8482" w:type="dxa"/>
            <w:tcMar>
              <w:top w:w="58" w:type="dxa"/>
              <w:left w:w="130" w:type="dxa"/>
              <w:bottom w:w="58" w:type="dxa"/>
              <w:right w:w="115" w:type="dxa"/>
            </w:tcMar>
            <w:vAlign w:val="center"/>
          </w:tcPr>
          <w:p w14:paraId="2979050C" w14:textId="77777777" w:rsidR="00206E4B" w:rsidRPr="00727041" w:rsidRDefault="00206E4B" w:rsidP="001421B0">
            <w:pPr>
              <w:rPr>
                <w:rFonts w:ascii="Arial" w:hAnsi="Arial" w:cs="Arial"/>
                <w:sz w:val="18"/>
                <w:szCs w:val="18"/>
              </w:rPr>
            </w:pPr>
          </w:p>
        </w:tc>
      </w:tr>
      <w:tr w:rsidR="00206E4B" w:rsidRPr="00727041" w14:paraId="530DE78F" w14:textId="77777777" w:rsidTr="00EE766A">
        <w:trPr>
          <w:cantSplit/>
        </w:trPr>
        <w:tc>
          <w:tcPr>
            <w:tcW w:w="4095" w:type="dxa"/>
            <w:gridSpan w:val="2"/>
            <w:tcMar>
              <w:top w:w="58" w:type="dxa"/>
              <w:left w:w="130" w:type="dxa"/>
              <w:bottom w:w="58" w:type="dxa"/>
              <w:right w:w="115" w:type="dxa"/>
            </w:tcMar>
            <w:vAlign w:val="center"/>
          </w:tcPr>
          <w:p w14:paraId="3DFA85A2" w14:textId="77777777" w:rsidR="00206E4B" w:rsidRDefault="00206E4B" w:rsidP="00925D0D">
            <w:pPr>
              <w:rPr>
                <w:rFonts w:ascii="Arial" w:hAnsi="Arial" w:cs="Arial"/>
                <w:sz w:val="18"/>
                <w:szCs w:val="18"/>
              </w:rPr>
            </w:pPr>
            <w:r w:rsidRPr="00C755B8">
              <w:rPr>
                <w:rFonts w:ascii="Arial" w:hAnsi="Arial" w:cs="Arial"/>
                <w:b/>
                <w:sz w:val="18"/>
                <w:szCs w:val="18"/>
              </w:rPr>
              <w:t xml:space="preserve">Identify if </w:t>
            </w:r>
            <w:r>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compounding or dispensing</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482" w:type="dxa"/>
            <w:tcMar>
              <w:top w:w="58" w:type="dxa"/>
              <w:left w:w="130" w:type="dxa"/>
              <w:bottom w:w="58" w:type="dxa"/>
              <w:right w:w="115" w:type="dxa"/>
            </w:tcMar>
            <w:vAlign w:val="center"/>
          </w:tcPr>
          <w:p w14:paraId="4EE57031" w14:textId="77777777" w:rsidR="00206E4B" w:rsidRPr="00727041" w:rsidRDefault="00206E4B" w:rsidP="001421B0">
            <w:pPr>
              <w:rPr>
                <w:rFonts w:ascii="Arial" w:hAnsi="Arial" w:cs="Arial"/>
                <w:sz w:val="18"/>
                <w:szCs w:val="18"/>
              </w:rPr>
            </w:pPr>
          </w:p>
        </w:tc>
      </w:tr>
      <w:tr w:rsidR="00206E4B" w:rsidRPr="00727041" w14:paraId="7694F7BC" w14:textId="77777777" w:rsidTr="00EE766A">
        <w:trPr>
          <w:cantSplit/>
        </w:trPr>
        <w:tc>
          <w:tcPr>
            <w:tcW w:w="4095" w:type="dxa"/>
            <w:gridSpan w:val="2"/>
            <w:tcMar>
              <w:top w:w="58" w:type="dxa"/>
              <w:left w:w="130" w:type="dxa"/>
              <w:bottom w:w="58" w:type="dxa"/>
              <w:right w:w="115" w:type="dxa"/>
            </w:tcMar>
            <w:vAlign w:val="center"/>
          </w:tcPr>
          <w:p w14:paraId="57793808" w14:textId="77777777" w:rsidR="00206E4B" w:rsidRDefault="00206E4B" w:rsidP="00506D2D">
            <w:pPr>
              <w:rPr>
                <w:rFonts w:ascii="Arial" w:hAnsi="Arial" w:cs="Arial"/>
                <w:sz w:val="18"/>
                <w:szCs w:val="18"/>
              </w:rPr>
            </w:pPr>
          </w:p>
          <w:p w14:paraId="60677800" w14:textId="77777777" w:rsidR="00206E4B" w:rsidRPr="00727041" w:rsidRDefault="00206E4B" w:rsidP="00506D2D">
            <w:pPr>
              <w:rPr>
                <w:rFonts w:ascii="Arial" w:hAnsi="Arial" w:cs="Arial"/>
                <w:sz w:val="18"/>
                <w:szCs w:val="18"/>
              </w:rPr>
            </w:pPr>
          </w:p>
        </w:tc>
        <w:tc>
          <w:tcPr>
            <w:tcW w:w="8482" w:type="dxa"/>
            <w:tcMar>
              <w:top w:w="58" w:type="dxa"/>
              <w:left w:w="130" w:type="dxa"/>
              <w:bottom w:w="58" w:type="dxa"/>
              <w:right w:w="115" w:type="dxa"/>
            </w:tcMar>
            <w:vAlign w:val="center"/>
          </w:tcPr>
          <w:p w14:paraId="7C7383D2" w14:textId="77777777" w:rsidR="00206E4B" w:rsidRPr="00727041" w:rsidRDefault="00206E4B" w:rsidP="001421B0">
            <w:pPr>
              <w:rPr>
                <w:rFonts w:ascii="Arial" w:hAnsi="Arial" w:cs="Arial"/>
                <w:sz w:val="18"/>
                <w:szCs w:val="18"/>
              </w:rPr>
            </w:pPr>
          </w:p>
        </w:tc>
      </w:tr>
      <w:tr w:rsidR="00206E4B" w:rsidRPr="00727041" w14:paraId="75245D47" w14:textId="77777777" w:rsidTr="00EE766A">
        <w:trPr>
          <w:cantSplit/>
          <w:trHeight w:val="484"/>
        </w:trPr>
        <w:tc>
          <w:tcPr>
            <w:tcW w:w="12577" w:type="dxa"/>
            <w:gridSpan w:val="3"/>
            <w:shd w:val="clear" w:color="auto" w:fill="F2F2F2" w:themeFill="background1" w:themeFillShade="F2"/>
            <w:tcMar>
              <w:top w:w="58" w:type="dxa"/>
              <w:left w:w="130" w:type="dxa"/>
              <w:bottom w:w="58" w:type="dxa"/>
              <w:right w:w="115" w:type="dxa"/>
            </w:tcMar>
            <w:vAlign w:val="center"/>
          </w:tcPr>
          <w:p w14:paraId="4BF0EF97" w14:textId="77777777" w:rsidR="00206E4B" w:rsidRPr="00727041" w:rsidRDefault="00206E4B" w:rsidP="001421B0">
            <w:pPr>
              <w:rPr>
                <w:rFonts w:ascii="Arial" w:hAnsi="Arial" w:cs="Arial"/>
                <w:sz w:val="18"/>
                <w:szCs w:val="18"/>
              </w:rPr>
            </w:pPr>
            <w:r>
              <w:rPr>
                <w:rFonts w:ascii="Arial" w:hAnsi="Arial" w:cs="Arial"/>
                <w:b/>
                <w:sz w:val="20"/>
                <w:szCs w:val="20"/>
              </w:rPr>
              <w:t>Administration of Medical Products</w:t>
            </w:r>
          </w:p>
        </w:tc>
      </w:tr>
      <w:tr w:rsidR="00206E4B" w:rsidRPr="00727041" w14:paraId="0C52B9FF" w14:textId="77777777" w:rsidTr="00EE766A">
        <w:trPr>
          <w:cantSplit/>
        </w:trPr>
        <w:tc>
          <w:tcPr>
            <w:tcW w:w="4095" w:type="dxa"/>
            <w:gridSpan w:val="2"/>
            <w:tcMar>
              <w:top w:w="58" w:type="dxa"/>
              <w:left w:w="130" w:type="dxa"/>
              <w:bottom w:w="58" w:type="dxa"/>
              <w:right w:w="115" w:type="dxa"/>
            </w:tcMar>
            <w:vAlign w:val="center"/>
          </w:tcPr>
          <w:p w14:paraId="0F1B5C70" w14:textId="77777777" w:rsidR="00206E4B" w:rsidRPr="00727041" w:rsidRDefault="00206E4B" w:rsidP="00C92D96">
            <w:pPr>
              <w:rPr>
                <w:rFonts w:ascii="Arial" w:hAnsi="Arial" w:cs="Arial"/>
                <w:sz w:val="18"/>
                <w:szCs w:val="18"/>
              </w:rPr>
            </w:pPr>
            <w:r>
              <w:rPr>
                <w:rFonts w:ascii="Arial" w:hAnsi="Arial" w:cs="Arial"/>
                <w:sz w:val="18"/>
                <w:szCs w:val="18"/>
              </w:rPr>
              <w:t>Identify state legal authorities governing the administration of medical products.</w:t>
            </w:r>
          </w:p>
        </w:tc>
        <w:tc>
          <w:tcPr>
            <w:tcW w:w="8482" w:type="dxa"/>
            <w:tcMar>
              <w:top w:w="58" w:type="dxa"/>
              <w:left w:w="130" w:type="dxa"/>
              <w:bottom w:w="58" w:type="dxa"/>
              <w:right w:w="115" w:type="dxa"/>
            </w:tcMar>
            <w:vAlign w:val="center"/>
          </w:tcPr>
          <w:p w14:paraId="27B6010B" w14:textId="77777777" w:rsidR="00206E4B" w:rsidRPr="00727041" w:rsidRDefault="00206E4B" w:rsidP="001421B0">
            <w:pPr>
              <w:rPr>
                <w:rFonts w:ascii="Arial" w:hAnsi="Arial" w:cs="Arial"/>
                <w:sz w:val="18"/>
                <w:szCs w:val="18"/>
              </w:rPr>
            </w:pPr>
          </w:p>
        </w:tc>
      </w:tr>
      <w:tr w:rsidR="00206E4B" w:rsidRPr="00727041" w14:paraId="126D80D4" w14:textId="77777777" w:rsidTr="00EE766A">
        <w:trPr>
          <w:cantSplit/>
        </w:trPr>
        <w:tc>
          <w:tcPr>
            <w:tcW w:w="398" w:type="dxa"/>
            <w:tcMar>
              <w:top w:w="58" w:type="dxa"/>
              <w:left w:w="130" w:type="dxa"/>
              <w:bottom w:w="58" w:type="dxa"/>
              <w:right w:w="115" w:type="dxa"/>
            </w:tcMar>
            <w:vAlign w:val="center"/>
          </w:tcPr>
          <w:p w14:paraId="5CB62B8D" w14:textId="77777777" w:rsidR="00206E4B" w:rsidRPr="00727041" w:rsidRDefault="00206E4B" w:rsidP="00C92D96">
            <w:pPr>
              <w:rPr>
                <w:rFonts w:ascii="Arial" w:hAnsi="Arial" w:cs="Arial"/>
                <w:sz w:val="18"/>
                <w:szCs w:val="18"/>
              </w:rPr>
            </w:pPr>
          </w:p>
        </w:tc>
        <w:tc>
          <w:tcPr>
            <w:tcW w:w="3697" w:type="dxa"/>
            <w:tcMar>
              <w:top w:w="58" w:type="dxa"/>
              <w:left w:w="130" w:type="dxa"/>
              <w:bottom w:w="58" w:type="dxa"/>
              <w:right w:w="115" w:type="dxa"/>
            </w:tcMar>
            <w:vAlign w:val="center"/>
          </w:tcPr>
          <w:p w14:paraId="53B197BD" w14:textId="77777777" w:rsidR="00206E4B" w:rsidRPr="00727041" w:rsidRDefault="00206E4B" w:rsidP="00C92D96">
            <w:pPr>
              <w:rPr>
                <w:rFonts w:ascii="Arial" w:hAnsi="Arial" w:cs="Arial"/>
                <w:sz w:val="18"/>
                <w:szCs w:val="18"/>
              </w:rPr>
            </w:pPr>
            <w:r>
              <w:rPr>
                <w:rFonts w:ascii="Arial" w:hAnsi="Arial" w:cs="Arial"/>
                <w:sz w:val="18"/>
                <w:szCs w:val="18"/>
              </w:rPr>
              <w:t>How is the term “administration” defined?</w:t>
            </w:r>
          </w:p>
        </w:tc>
        <w:tc>
          <w:tcPr>
            <w:tcW w:w="8482" w:type="dxa"/>
            <w:tcMar>
              <w:top w:w="58" w:type="dxa"/>
              <w:left w:w="130" w:type="dxa"/>
              <w:bottom w:w="58" w:type="dxa"/>
              <w:right w:w="115" w:type="dxa"/>
            </w:tcMar>
            <w:vAlign w:val="center"/>
          </w:tcPr>
          <w:p w14:paraId="5F170D7E" w14:textId="77777777" w:rsidR="00206E4B" w:rsidRPr="00727041" w:rsidRDefault="00206E4B" w:rsidP="001421B0">
            <w:pPr>
              <w:rPr>
                <w:rFonts w:ascii="Arial" w:hAnsi="Arial" w:cs="Arial"/>
                <w:sz w:val="18"/>
                <w:szCs w:val="18"/>
              </w:rPr>
            </w:pPr>
          </w:p>
        </w:tc>
      </w:tr>
      <w:tr w:rsidR="00206E4B" w:rsidRPr="00727041" w14:paraId="48693BB8" w14:textId="77777777" w:rsidTr="00EE766A">
        <w:trPr>
          <w:cantSplit/>
        </w:trPr>
        <w:tc>
          <w:tcPr>
            <w:tcW w:w="4095" w:type="dxa"/>
            <w:gridSpan w:val="2"/>
            <w:tcMar>
              <w:top w:w="58" w:type="dxa"/>
              <w:left w:w="130" w:type="dxa"/>
              <w:bottom w:w="58" w:type="dxa"/>
              <w:right w:w="115" w:type="dxa"/>
            </w:tcMar>
            <w:vAlign w:val="center"/>
          </w:tcPr>
          <w:p w14:paraId="0DF407A1" w14:textId="77777777" w:rsidR="00206E4B" w:rsidRPr="00727041" w:rsidRDefault="00206E4B" w:rsidP="00C92D96">
            <w:pPr>
              <w:rPr>
                <w:rFonts w:ascii="Arial" w:hAnsi="Arial" w:cs="Arial"/>
                <w:sz w:val="18"/>
                <w:szCs w:val="18"/>
              </w:rPr>
            </w:pPr>
            <w:r>
              <w:rPr>
                <w:rFonts w:ascii="Arial" w:hAnsi="Arial" w:cs="Arial"/>
                <w:sz w:val="18"/>
                <w:szCs w:val="18"/>
              </w:rPr>
              <w:lastRenderedPageBreak/>
              <w:t xml:space="preserve">Identify the types of persons/professions permitted to administer medical products and the types of medical products each </w:t>
            </w:r>
            <w:proofErr w:type="gramStart"/>
            <w:r>
              <w:rPr>
                <w:rFonts w:ascii="Arial" w:hAnsi="Arial" w:cs="Arial"/>
                <w:sz w:val="18"/>
                <w:szCs w:val="18"/>
              </w:rPr>
              <w:t>is allowed to</w:t>
            </w:r>
            <w:proofErr w:type="gramEnd"/>
            <w:r>
              <w:rPr>
                <w:rFonts w:ascii="Arial" w:hAnsi="Arial" w:cs="Arial"/>
                <w:sz w:val="18"/>
                <w:szCs w:val="18"/>
              </w:rPr>
              <w:t xml:space="preserve"> administer.</w:t>
            </w:r>
          </w:p>
        </w:tc>
        <w:tc>
          <w:tcPr>
            <w:tcW w:w="8482" w:type="dxa"/>
            <w:tcMar>
              <w:top w:w="58" w:type="dxa"/>
              <w:left w:w="130" w:type="dxa"/>
              <w:bottom w:w="58" w:type="dxa"/>
              <w:right w:w="115" w:type="dxa"/>
            </w:tcMar>
            <w:vAlign w:val="center"/>
          </w:tcPr>
          <w:p w14:paraId="65D57152" w14:textId="77777777" w:rsidR="00206E4B" w:rsidRPr="00727041" w:rsidRDefault="00206E4B" w:rsidP="001421B0">
            <w:pPr>
              <w:rPr>
                <w:rFonts w:ascii="Arial" w:hAnsi="Arial" w:cs="Arial"/>
                <w:sz w:val="18"/>
                <w:szCs w:val="18"/>
              </w:rPr>
            </w:pPr>
          </w:p>
        </w:tc>
      </w:tr>
      <w:tr w:rsidR="00206E4B" w:rsidRPr="00727041" w14:paraId="770A54C0" w14:textId="77777777" w:rsidTr="00EE766A">
        <w:trPr>
          <w:cantSplit/>
        </w:trPr>
        <w:tc>
          <w:tcPr>
            <w:tcW w:w="4095" w:type="dxa"/>
            <w:gridSpan w:val="2"/>
            <w:tcMar>
              <w:top w:w="58" w:type="dxa"/>
              <w:left w:w="130" w:type="dxa"/>
              <w:bottom w:w="58" w:type="dxa"/>
              <w:right w:w="115" w:type="dxa"/>
            </w:tcMar>
            <w:vAlign w:val="center"/>
          </w:tcPr>
          <w:p w14:paraId="0824CF06" w14:textId="77777777" w:rsidR="00206E4B" w:rsidRDefault="00206E4B" w:rsidP="005E7DB7">
            <w:pPr>
              <w:rPr>
                <w:rFonts w:ascii="Arial" w:hAnsi="Arial" w:cs="Arial"/>
                <w:sz w:val="18"/>
                <w:szCs w:val="18"/>
              </w:rPr>
            </w:pPr>
            <w:r>
              <w:rPr>
                <w:rFonts w:ascii="Arial" w:hAnsi="Arial" w:cs="Arial"/>
                <w:sz w:val="18"/>
                <w:szCs w:val="18"/>
              </w:rPr>
              <w:t xml:space="preserve">Identify if state legal authorities specify or limit the types of persons or professions that can administer medical products (e.g., only administer to adults, only give pills, but not vaccinate). </w:t>
            </w:r>
          </w:p>
        </w:tc>
        <w:tc>
          <w:tcPr>
            <w:tcW w:w="8482" w:type="dxa"/>
            <w:tcMar>
              <w:top w:w="58" w:type="dxa"/>
              <w:left w:w="130" w:type="dxa"/>
              <w:bottom w:w="58" w:type="dxa"/>
              <w:right w:w="115" w:type="dxa"/>
            </w:tcMar>
            <w:vAlign w:val="center"/>
          </w:tcPr>
          <w:p w14:paraId="0726D01B" w14:textId="77777777" w:rsidR="00206E4B" w:rsidRPr="00727041" w:rsidRDefault="00206E4B" w:rsidP="001421B0">
            <w:pPr>
              <w:rPr>
                <w:rFonts w:ascii="Arial" w:hAnsi="Arial" w:cs="Arial"/>
                <w:sz w:val="18"/>
                <w:szCs w:val="18"/>
              </w:rPr>
            </w:pPr>
          </w:p>
        </w:tc>
      </w:tr>
      <w:tr w:rsidR="00206E4B" w:rsidRPr="00727041" w14:paraId="6D428EB2" w14:textId="77777777" w:rsidTr="00EE766A">
        <w:trPr>
          <w:cantSplit/>
        </w:trPr>
        <w:tc>
          <w:tcPr>
            <w:tcW w:w="4095" w:type="dxa"/>
            <w:gridSpan w:val="2"/>
            <w:tcMar>
              <w:top w:w="58" w:type="dxa"/>
              <w:left w:w="130" w:type="dxa"/>
              <w:bottom w:w="58" w:type="dxa"/>
              <w:right w:w="115" w:type="dxa"/>
            </w:tcMar>
            <w:vAlign w:val="center"/>
          </w:tcPr>
          <w:p w14:paraId="62624BC0" w14:textId="77777777" w:rsidR="00206E4B" w:rsidRPr="00727041" w:rsidRDefault="00206E4B" w:rsidP="009B334F">
            <w:pPr>
              <w:rPr>
                <w:rFonts w:ascii="Arial" w:hAnsi="Arial" w:cs="Arial"/>
                <w:sz w:val="18"/>
                <w:szCs w:val="18"/>
              </w:rPr>
            </w:pPr>
            <w:r>
              <w:rPr>
                <w:rFonts w:ascii="Arial" w:hAnsi="Arial" w:cs="Arial"/>
                <w:sz w:val="18"/>
                <w:szCs w:val="18"/>
              </w:rPr>
              <w:t>Identify if and how the state legal authorities apply to administering medical products from government caches/stockpiles.</w:t>
            </w:r>
          </w:p>
        </w:tc>
        <w:tc>
          <w:tcPr>
            <w:tcW w:w="8482" w:type="dxa"/>
            <w:tcMar>
              <w:top w:w="58" w:type="dxa"/>
              <w:left w:w="130" w:type="dxa"/>
              <w:bottom w:w="58" w:type="dxa"/>
              <w:right w:w="115" w:type="dxa"/>
            </w:tcMar>
            <w:vAlign w:val="center"/>
          </w:tcPr>
          <w:p w14:paraId="7000E448" w14:textId="77777777" w:rsidR="00206E4B" w:rsidRPr="00727041" w:rsidRDefault="00206E4B" w:rsidP="001421B0">
            <w:pPr>
              <w:rPr>
                <w:rFonts w:ascii="Arial" w:hAnsi="Arial" w:cs="Arial"/>
                <w:sz w:val="18"/>
                <w:szCs w:val="18"/>
              </w:rPr>
            </w:pPr>
          </w:p>
        </w:tc>
      </w:tr>
      <w:tr w:rsidR="00206E4B" w:rsidRPr="00727041" w14:paraId="05486CAD" w14:textId="77777777" w:rsidTr="00EE766A">
        <w:trPr>
          <w:cantSplit/>
        </w:trPr>
        <w:tc>
          <w:tcPr>
            <w:tcW w:w="4095" w:type="dxa"/>
            <w:gridSpan w:val="2"/>
            <w:tcMar>
              <w:top w:w="58" w:type="dxa"/>
              <w:left w:w="130" w:type="dxa"/>
              <w:bottom w:w="58" w:type="dxa"/>
              <w:right w:w="115" w:type="dxa"/>
            </w:tcMar>
            <w:vAlign w:val="center"/>
          </w:tcPr>
          <w:p w14:paraId="2D693C46" w14:textId="77777777" w:rsidR="00206E4B" w:rsidRPr="00727041" w:rsidRDefault="00206E4B" w:rsidP="001421B0">
            <w:pPr>
              <w:rPr>
                <w:rFonts w:ascii="Arial" w:hAnsi="Arial" w:cs="Arial"/>
                <w:sz w:val="18"/>
                <w:szCs w:val="18"/>
              </w:rPr>
            </w:pPr>
            <w:r>
              <w:rPr>
                <w:rFonts w:ascii="Arial" w:hAnsi="Arial" w:cs="Arial"/>
                <w:sz w:val="18"/>
                <w:szCs w:val="18"/>
              </w:rPr>
              <w:t>Identify if and how state legal authorities apply to administration of medical products at government-controlled open points of dispensing (PODs?) Government-controlled closed PODs? Privately controlled PODs?</w:t>
            </w:r>
          </w:p>
        </w:tc>
        <w:tc>
          <w:tcPr>
            <w:tcW w:w="8482" w:type="dxa"/>
            <w:tcMar>
              <w:top w:w="58" w:type="dxa"/>
              <w:left w:w="130" w:type="dxa"/>
              <w:bottom w:w="58" w:type="dxa"/>
              <w:right w:w="115" w:type="dxa"/>
            </w:tcMar>
            <w:vAlign w:val="center"/>
          </w:tcPr>
          <w:p w14:paraId="393A1BC7" w14:textId="77777777" w:rsidR="00206E4B" w:rsidRPr="00727041" w:rsidRDefault="00206E4B" w:rsidP="001421B0">
            <w:pPr>
              <w:rPr>
                <w:rFonts w:ascii="Arial" w:hAnsi="Arial" w:cs="Arial"/>
                <w:sz w:val="18"/>
                <w:szCs w:val="18"/>
              </w:rPr>
            </w:pPr>
          </w:p>
        </w:tc>
      </w:tr>
      <w:tr w:rsidR="00206E4B" w:rsidRPr="00727041" w14:paraId="2947BC22" w14:textId="77777777" w:rsidTr="00EE766A">
        <w:trPr>
          <w:cantSplit/>
        </w:trPr>
        <w:tc>
          <w:tcPr>
            <w:tcW w:w="4095" w:type="dxa"/>
            <w:gridSpan w:val="2"/>
            <w:tcMar>
              <w:top w:w="58" w:type="dxa"/>
              <w:left w:w="130" w:type="dxa"/>
              <w:bottom w:w="58" w:type="dxa"/>
              <w:right w:w="115" w:type="dxa"/>
            </w:tcMar>
            <w:vAlign w:val="center"/>
          </w:tcPr>
          <w:p w14:paraId="467DD1FC" w14:textId="77777777" w:rsidR="00206E4B" w:rsidRPr="00727041" w:rsidRDefault="00206E4B" w:rsidP="007C669C">
            <w:pPr>
              <w:rPr>
                <w:rFonts w:ascii="Arial" w:hAnsi="Arial" w:cs="Arial"/>
                <w:sz w:val="18"/>
                <w:szCs w:val="18"/>
              </w:rPr>
            </w:pPr>
            <w:r>
              <w:rPr>
                <w:rFonts w:ascii="Arial" w:hAnsi="Arial" w:cs="Arial"/>
                <w:sz w:val="18"/>
                <w:szCs w:val="18"/>
              </w:rPr>
              <w:t>Do the persons/professions authorized to administer medical products, the types of medical products they are authorized to administer, or the conditions in which they can administer them change when there is an emergency declaration? If so, identify the changes.</w:t>
            </w:r>
          </w:p>
        </w:tc>
        <w:tc>
          <w:tcPr>
            <w:tcW w:w="8482" w:type="dxa"/>
            <w:tcMar>
              <w:top w:w="58" w:type="dxa"/>
              <w:left w:w="130" w:type="dxa"/>
              <w:bottom w:w="58" w:type="dxa"/>
              <w:right w:w="115" w:type="dxa"/>
            </w:tcMar>
            <w:vAlign w:val="center"/>
          </w:tcPr>
          <w:p w14:paraId="63ED7FAB" w14:textId="77777777" w:rsidR="00206E4B" w:rsidRPr="00727041" w:rsidRDefault="00206E4B" w:rsidP="001421B0">
            <w:pPr>
              <w:rPr>
                <w:rFonts w:ascii="Arial" w:hAnsi="Arial" w:cs="Arial"/>
                <w:sz w:val="18"/>
                <w:szCs w:val="18"/>
              </w:rPr>
            </w:pPr>
          </w:p>
        </w:tc>
      </w:tr>
      <w:tr w:rsidR="00206E4B" w:rsidRPr="00727041" w14:paraId="59F7D0C1" w14:textId="77777777" w:rsidTr="00EE766A">
        <w:trPr>
          <w:cantSplit/>
        </w:trPr>
        <w:tc>
          <w:tcPr>
            <w:tcW w:w="4095" w:type="dxa"/>
            <w:gridSpan w:val="2"/>
            <w:tcMar>
              <w:top w:w="58" w:type="dxa"/>
              <w:left w:w="130" w:type="dxa"/>
              <w:bottom w:w="58" w:type="dxa"/>
              <w:right w:w="115" w:type="dxa"/>
            </w:tcMar>
            <w:vAlign w:val="center"/>
          </w:tcPr>
          <w:p w14:paraId="4009253D" w14:textId="77777777" w:rsidR="00206E4B" w:rsidRPr="00727041" w:rsidRDefault="00206E4B" w:rsidP="000D7A7E">
            <w:pPr>
              <w:rPr>
                <w:rFonts w:ascii="Arial" w:hAnsi="Arial" w:cs="Arial"/>
                <w:sz w:val="18"/>
                <w:szCs w:val="18"/>
              </w:rPr>
            </w:pPr>
            <w:r>
              <w:rPr>
                <w:rFonts w:ascii="Arial" w:hAnsi="Arial" w:cs="Arial"/>
                <w:sz w:val="18"/>
                <w:szCs w:val="18"/>
              </w:rPr>
              <w:t>Are there any state immunities or other liability protections available to those administering medical products? If so, identify the protected parties, protected actions, and any limits on the protections.</w:t>
            </w:r>
          </w:p>
        </w:tc>
        <w:tc>
          <w:tcPr>
            <w:tcW w:w="8482" w:type="dxa"/>
            <w:tcMar>
              <w:top w:w="58" w:type="dxa"/>
              <w:left w:w="130" w:type="dxa"/>
              <w:bottom w:w="58" w:type="dxa"/>
              <w:right w:w="115" w:type="dxa"/>
            </w:tcMar>
            <w:vAlign w:val="center"/>
          </w:tcPr>
          <w:p w14:paraId="39E67A8A" w14:textId="77777777" w:rsidR="00206E4B" w:rsidRPr="00727041" w:rsidRDefault="00206E4B" w:rsidP="001421B0">
            <w:pPr>
              <w:rPr>
                <w:rFonts w:ascii="Arial" w:hAnsi="Arial" w:cs="Arial"/>
                <w:sz w:val="18"/>
                <w:szCs w:val="18"/>
              </w:rPr>
            </w:pPr>
          </w:p>
        </w:tc>
      </w:tr>
      <w:tr w:rsidR="00206E4B" w:rsidRPr="00727041" w14:paraId="78DF7C85" w14:textId="77777777" w:rsidTr="00EE766A">
        <w:trPr>
          <w:cantSplit/>
        </w:trPr>
        <w:tc>
          <w:tcPr>
            <w:tcW w:w="4095" w:type="dxa"/>
            <w:gridSpan w:val="2"/>
            <w:tcMar>
              <w:top w:w="58" w:type="dxa"/>
              <w:left w:w="130" w:type="dxa"/>
              <w:bottom w:w="58" w:type="dxa"/>
              <w:right w:w="115" w:type="dxa"/>
            </w:tcMar>
            <w:vAlign w:val="center"/>
          </w:tcPr>
          <w:p w14:paraId="1310670A" w14:textId="77777777" w:rsidR="00206E4B" w:rsidRDefault="00206E4B" w:rsidP="000D7A7E">
            <w:pPr>
              <w:rPr>
                <w:rFonts w:ascii="Arial" w:hAnsi="Arial" w:cs="Arial"/>
                <w:sz w:val="18"/>
                <w:szCs w:val="18"/>
              </w:rPr>
            </w:pPr>
            <w:r>
              <w:rPr>
                <w:rFonts w:ascii="Arial" w:hAnsi="Arial" w:cs="Arial"/>
                <w:sz w:val="18"/>
                <w:szCs w:val="18"/>
              </w:rPr>
              <w:t>Are there any state legal authorities governing informed consent requirements? If so, what are they?</w:t>
            </w:r>
          </w:p>
        </w:tc>
        <w:tc>
          <w:tcPr>
            <w:tcW w:w="8482" w:type="dxa"/>
            <w:tcMar>
              <w:top w:w="58" w:type="dxa"/>
              <w:left w:w="130" w:type="dxa"/>
              <w:bottom w:w="58" w:type="dxa"/>
              <w:right w:w="115" w:type="dxa"/>
            </w:tcMar>
            <w:vAlign w:val="center"/>
          </w:tcPr>
          <w:p w14:paraId="774DA5D3" w14:textId="77777777" w:rsidR="00206E4B" w:rsidRPr="00727041" w:rsidRDefault="00206E4B" w:rsidP="001421B0">
            <w:pPr>
              <w:rPr>
                <w:rFonts w:ascii="Arial" w:hAnsi="Arial" w:cs="Arial"/>
                <w:sz w:val="18"/>
                <w:szCs w:val="18"/>
              </w:rPr>
            </w:pPr>
          </w:p>
        </w:tc>
      </w:tr>
      <w:tr w:rsidR="00206E4B" w:rsidRPr="00727041" w14:paraId="4BCF9853" w14:textId="77777777" w:rsidTr="00EE766A">
        <w:trPr>
          <w:cantSplit/>
        </w:trPr>
        <w:tc>
          <w:tcPr>
            <w:tcW w:w="4095" w:type="dxa"/>
            <w:gridSpan w:val="2"/>
            <w:tcMar>
              <w:top w:w="58" w:type="dxa"/>
              <w:left w:w="130" w:type="dxa"/>
              <w:bottom w:w="58" w:type="dxa"/>
              <w:right w:w="115" w:type="dxa"/>
            </w:tcMar>
            <w:vAlign w:val="center"/>
          </w:tcPr>
          <w:p w14:paraId="30B8F7AC" w14:textId="77777777" w:rsidR="00206E4B" w:rsidRPr="00727041" w:rsidRDefault="00206E4B" w:rsidP="001421B0">
            <w:pPr>
              <w:rPr>
                <w:rFonts w:ascii="Arial" w:hAnsi="Arial" w:cs="Arial"/>
                <w:sz w:val="18"/>
                <w:szCs w:val="18"/>
              </w:rPr>
            </w:pPr>
            <w:r>
              <w:rPr>
                <w:rFonts w:ascii="Arial" w:hAnsi="Arial" w:cs="Arial"/>
                <w:sz w:val="18"/>
                <w:szCs w:val="18"/>
              </w:rPr>
              <w:t>Are there any state legal authorities requiring that certain information or literature be given to patients/recipients before or after the administration of a medical product? If so, is the required content specified?</w:t>
            </w:r>
          </w:p>
        </w:tc>
        <w:tc>
          <w:tcPr>
            <w:tcW w:w="8482" w:type="dxa"/>
            <w:tcMar>
              <w:top w:w="58" w:type="dxa"/>
              <w:left w:w="130" w:type="dxa"/>
              <w:bottom w:w="58" w:type="dxa"/>
              <w:right w:w="115" w:type="dxa"/>
            </w:tcMar>
            <w:vAlign w:val="center"/>
          </w:tcPr>
          <w:p w14:paraId="430256FA" w14:textId="77777777" w:rsidR="00206E4B" w:rsidRPr="00727041" w:rsidRDefault="00206E4B" w:rsidP="001421B0">
            <w:pPr>
              <w:rPr>
                <w:rFonts w:ascii="Arial" w:hAnsi="Arial" w:cs="Arial"/>
                <w:sz w:val="18"/>
                <w:szCs w:val="18"/>
              </w:rPr>
            </w:pPr>
          </w:p>
        </w:tc>
      </w:tr>
      <w:tr w:rsidR="00206E4B" w:rsidRPr="00727041" w14:paraId="236E7736" w14:textId="77777777" w:rsidTr="00EE766A">
        <w:trPr>
          <w:cantSplit/>
        </w:trPr>
        <w:tc>
          <w:tcPr>
            <w:tcW w:w="4095" w:type="dxa"/>
            <w:gridSpan w:val="2"/>
            <w:tcMar>
              <w:top w:w="58" w:type="dxa"/>
              <w:left w:w="130" w:type="dxa"/>
              <w:bottom w:w="58" w:type="dxa"/>
              <w:right w:w="115" w:type="dxa"/>
            </w:tcMar>
            <w:vAlign w:val="center"/>
          </w:tcPr>
          <w:p w14:paraId="76138A61" w14:textId="77777777" w:rsidR="00206E4B" w:rsidRPr="00727041" w:rsidRDefault="00206E4B" w:rsidP="001421B0">
            <w:pPr>
              <w:rPr>
                <w:rFonts w:ascii="Arial" w:hAnsi="Arial" w:cs="Arial"/>
                <w:sz w:val="18"/>
                <w:szCs w:val="18"/>
              </w:rPr>
            </w:pPr>
            <w:r>
              <w:rPr>
                <w:rFonts w:ascii="Arial" w:hAnsi="Arial" w:cs="Arial"/>
                <w:sz w:val="18"/>
                <w:szCs w:val="18"/>
              </w:rPr>
              <w:lastRenderedPageBreak/>
              <w:t>Are there any state legal authorities requiring the reporting of adverse events from the administration of a medical product to state or federal agencies? If so, identify the information to be reported, the person required to make the report, and the agency(</w:t>
            </w:r>
            <w:proofErr w:type="spellStart"/>
            <w:r>
              <w:rPr>
                <w:rFonts w:ascii="Arial" w:hAnsi="Arial" w:cs="Arial"/>
                <w:sz w:val="18"/>
                <w:szCs w:val="18"/>
              </w:rPr>
              <w:t>ies</w:t>
            </w:r>
            <w:proofErr w:type="spellEnd"/>
            <w:r>
              <w:rPr>
                <w:rFonts w:ascii="Arial" w:hAnsi="Arial" w:cs="Arial"/>
                <w:sz w:val="18"/>
                <w:szCs w:val="18"/>
              </w:rPr>
              <w:t>) to report to.</w:t>
            </w:r>
          </w:p>
        </w:tc>
        <w:tc>
          <w:tcPr>
            <w:tcW w:w="8482" w:type="dxa"/>
            <w:tcMar>
              <w:top w:w="58" w:type="dxa"/>
              <w:left w:w="130" w:type="dxa"/>
              <w:bottom w:w="58" w:type="dxa"/>
              <w:right w:w="115" w:type="dxa"/>
            </w:tcMar>
            <w:vAlign w:val="center"/>
          </w:tcPr>
          <w:p w14:paraId="66B0B075" w14:textId="77777777" w:rsidR="00206E4B" w:rsidRPr="00727041" w:rsidRDefault="00206E4B" w:rsidP="001421B0">
            <w:pPr>
              <w:rPr>
                <w:rFonts w:ascii="Arial" w:hAnsi="Arial" w:cs="Arial"/>
                <w:sz w:val="18"/>
                <w:szCs w:val="18"/>
              </w:rPr>
            </w:pPr>
          </w:p>
        </w:tc>
      </w:tr>
      <w:tr w:rsidR="00206E4B" w:rsidRPr="00727041" w14:paraId="0CDBBB15" w14:textId="77777777" w:rsidTr="00EE766A">
        <w:trPr>
          <w:cantSplit/>
        </w:trPr>
        <w:tc>
          <w:tcPr>
            <w:tcW w:w="4095" w:type="dxa"/>
            <w:gridSpan w:val="2"/>
            <w:tcMar>
              <w:top w:w="58" w:type="dxa"/>
              <w:left w:w="130" w:type="dxa"/>
              <w:bottom w:w="58" w:type="dxa"/>
              <w:right w:w="115" w:type="dxa"/>
            </w:tcMar>
            <w:vAlign w:val="center"/>
          </w:tcPr>
          <w:p w14:paraId="5FE00C03" w14:textId="77777777" w:rsidR="00206E4B" w:rsidRDefault="00206E4B" w:rsidP="007011F0">
            <w:pPr>
              <w:rPr>
                <w:rFonts w:ascii="Arial" w:hAnsi="Arial" w:cs="Arial"/>
                <w:sz w:val="18"/>
                <w:szCs w:val="18"/>
              </w:rPr>
            </w:pPr>
            <w:r w:rsidRPr="00C755B8">
              <w:rPr>
                <w:rFonts w:ascii="Arial" w:hAnsi="Arial" w:cs="Arial"/>
                <w:b/>
                <w:sz w:val="18"/>
                <w:szCs w:val="18"/>
              </w:rPr>
              <w:t xml:space="preserve">Identify if </w:t>
            </w:r>
            <w:r>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administration</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482" w:type="dxa"/>
            <w:tcMar>
              <w:top w:w="58" w:type="dxa"/>
              <w:left w:w="130" w:type="dxa"/>
              <w:bottom w:w="58" w:type="dxa"/>
              <w:right w:w="115" w:type="dxa"/>
            </w:tcMar>
            <w:vAlign w:val="center"/>
          </w:tcPr>
          <w:p w14:paraId="3139AE2D" w14:textId="77777777" w:rsidR="00206E4B" w:rsidRPr="00727041" w:rsidRDefault="00206E4B" w:rsidP="001421B0">
            <w:pPr>
              <w:rPr>
                <w:rFonts w:ascii="Arial" w:hAnsi="Arial" w:cs="Arial"/>
                <w:sz w:val="18"/>
                <w:szCs w:val="18"/>
              </w:rPr>
            </w:pPr>
          </w:p>
        </w:tc>
      </w:tr>
      <w:tr w:rsidR="00206E4B" w:rsidRPr="00727041" w14:paraId="3819DED5" w14:textId="77777777" w:rsidTr="00EE766A">
        <w:trPr>
          <w:cantSplit/>
        </w:trPr>
        <w:tc>
          <w:tcPr>
            <w:tcW w:w="4095" w:type="dxa"/>
            <w:gridSpan w:val="2"/>
            <w:tcMar>
              <w:top w:w="58" w:type="dxa"/>
              <w:left w:w="130" w:type="dxa"/>
              <w:bottom w:w="58" w:type="dxa"/>
              <w:right w:w="115" w:type="dxa"/>
            </w:tcMar>
            <w:vAlign w:val="center"/>
          </w:tcPr>
          <w:p w14:paraId="64A4DA16" w14:textId="77777777" w:rsidR="00206E4B" w:rsidRPr="00C755B8" w:rsidRDefault="00206E4B" w:rsidP="007011F0">
            <w:pPr>
              <w:rPr>
                <w:rFonts w:ascii="Arial" w:hAnsi="Arial" w:cs="Arial"/>
                <w:b/>
                <w:sz w:val="18"/>
                <w:szCs w:val="18"/>
              </w:rPr>
            </w:pPr>
          </w:p>
        </w:tc>
        <w:tc>
          <w:tcPr>
            <w:tcW w:w="8482" w:type="dxa"/>
            <w:tcMar>
              <w:top w:w="58" w:type="dxa"/>
              <w:left w:w="130" w:type="dxa"/>
              <w:bottom w:w="58" w:type="dxa"/>
              <w:right w:w="115" w:type="dxa"/>
            </w:tcMar>
            <w:vAlign w:val="center"/>
          </w:tcPr>
          <w:p w14:paraId="234F6672" w14:textId="77777777" w:rsidR="00206E4B" w:rsidRPr="00727041" w:rsidRDefault="00206E4B" w:rsidP="001421B0">
            <w:pPr>
              <w:rPr>
                <w:rFonts w:ascii="Arial" w:hAnsi="Arial" w:cs="Arial"/>
                <w:sz w:val="18"/>
                <w:szCs w:val="18"/>
              </w:rPr>
            </w:pPr>
          </w:p>
        </w:tc>
      </w:tr>
    </w:tbl>
    <w:p w14:paraId="21813894" w14:textId="77777777" w:rsidR="00EE766A" w:rsidRDefault="00EE766A" w:rsidP="00EE766A">
      <w:pPr>
        <w:rPr>
          <w:rFonts w:cstheme="minorHAnsi"/>
          <w:sz w:val="24"/>
        </w:rPr>
      </w:pPr>
      <w:r>
        <w:rPr>
          <w:rFonts w:cstheme="minorHAnsi"/>
          <w:sz w:val="24"/>
        </w:rPr>
        <w:t>[</w:t>
      </w:r>
      <w:hyperlink w:anchor="TOC_top" w:history="1">
        <w:r w:rsidRPr="008F1431">
          <w:rPr>
            <w:rStyle w:val="Hyperlink"/>
            <w:rFonts w:cstheme="minorHAnsi"/>
            <w:sz w:val="24"/>
          </w:rPr>
          <w:t xml:space="preserve">TOC </w:t>
        </w:r>
        <w:r w:rsidRPr="008F1431">
          <w:rPr>
            <w:rStyle w:val="Hyperlink"/>
            <w:rFonts w:cstheme="minorHAnsi"/>
            <w:sz w:val="24"/>
          </w:rPr>
          <w:t>t</w:t>
        </w:r>
        <w:r w:rsidRPr="008F1431">
          <w:rPr>
            <w:rStyle w:val="Hyperlink"/>
            <w:rFonts w:cstheme="minorHAnsi"/>
            <w:sz w:val="24"/>
          </w:rPr>
          <w:t>op</w:t>
        </w:r>
      </w:hyperlink>
      <w:r>
        <w:rPr>
          <w:rFonts w:cstheme="minorHAnsi"/>
          <w:sz w:val="24"/>
        </w:rPr>
        <w:t>]</w:t>
      </w:r>
    </w:p>
    <w:p w14:paraId="7D8CE6DA" w14:textId="77777777" w:rsidR="00EE766A" w:rsidRDefault="00EE766A" w:rsidP="001421B0">
      <w:pPr>
        <w:rPr>
          <w:rFonts w:ascii="Times New Roman" w:hAnsi="Times New Roman" w:cs="Times New Roman"/>
          <w:sz w:val="24"/>
          <w:szCs w:val="20"/>
        </w:rPr>
        <w:sectPr w:rsidR="00EE766A" w:rsidSect="00EE766A">
          <w:pgSz w:w="15840" w:h="12240" w:orient="landscape"/>
          <w:pgMar w:top="1440" w:right="1440" w:bottom="1440" w:left="1440" w:header="720" w:footer="720" w:gutter="0"/>
          <w:cols w:space="720"/>
          <w:docGrid w:linePitch="360"/>
        </w:sectPr>
      </w:pPr>
    </w:p>
    <w:p w14:paraId="53866CCA" w14:textId="51FE3556" w:rsidR="00206E4B" w:rsidRPr="001421B0" w:rsidRDefault="00206E4B" w:rsidP="001421B0">
      <w:pPr>
        <w:rPr>
          <w:rFonts w:ascii="Times New Roman" w:hAnsi="Times New Roman" w:cs="Times New Roman"/>
          <w:sz w:val="24"/>
          <w:szCs w:val="20"/>
        </w:rPr>
      </w:pPr>
    </w:p>
    <w:p w14:paraId="0F491A59" w14:textId="77777777" w:rsidR="00206E4B" w:rsidRPr="00A438F0" w:rsidRDefault="00206E4B">
      <w:pPr>
        <w:rPr>
          <w:rFonts w:ascii="Arial" w:hAnsi="Arial" w:cs="Arial"/>
          <w:b/>
          <w:color w:val="C00000"/>
          <w:sz w:val="24"/>
        </w:rPr>
      </w:pPr>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02847272" w14:textId="77777777" w:rsidR="00206E4B" w:rsidRDefault="00206E4B"/>
    <w:p w14:paraId="2E27360A" w14:textId="77777777" w:rsidR="00206E4B" w:rsidRPr="00133731" w:rsidRDefault="00206E4B" w:rsidP="00133731">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bookmarkStart w:id="10" w:name="Winter2012_CIU"/>
      <w:r w:rsidRPr="00133731">
        <w:rPr>
          <w:rFonts w:ascii="Helvetica" w:eastAsia="Times New Roman" w:hAnsi="Helvetica" w:cs="Helvetica"/>
          <w:b/>
          <w:bCs/>
          <w:color w:val="333333"/>
          <w:spacing w:val="15"/>
          <w:kern w:val="36"/>
          <w:sz w:val="36"/>
          <w:szCs w:val="36"/>
        </w:rPr>
        <w:t>Current Issues and Updates</w:t>
      </w:r>
      <w:bookmarkEnd w:id="10"/>
    </w:p>
    <w:p w14:paraId="3150E112" w14:textId="77777777" w:rsidR="00206E4B" w:rsidRPr="00133731" w:rsidRDefault="00206E4B"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Winter 2012</w:t>
      </w:r>
    </w:p>
    <w:p w14:paraId="06D74C4E" w14:textId="77777777" w:rsidR="00206E4B" w:rsidRPr="00133731" w:rsidRDefault="00206E4B"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Use Authorization Toolkit. </w:t>
      </w:r>
      <w:r w:rsidRPr="00133731">
        <w:rPr>
          <w:rFonts w:ascii="Arial" w:eastAsia="Times New Roman" w:hAnsi="Arial" w:cs="Arial"/>
          <w:color w:val="737373"/>
          <w:sz w:val="20"/>
          <w:szCs w:val="20"/>
        </w:rPr>
        <w:t> (</w:t>
      </w:r>
      <w:hyperlink r:id="rId101" w:tooltip="Download a printable PDF." w:history="1">
        <w:r w:rsidRPr="00133731">
          <w:rPr>
            <w:rFonts w:ascii="Arial" w:eastAsia="Times New Roman" w:hAnsi="Arial" w:cs="Arial"/>
            <w:color w:val="0F88B8"/>
            <w:sz w:val="20"/>
            <w:szCs w:val="20"/>
            <w:u w:val="single"/>
            <w:bdr w:val="none" w:sz="0" w:space="0" w:color="auto" w:frame="1"/>
          </w:rPr>
          <w:t>Download a printable PDF.</w:t>
        </w:r>
      </w:hyperlink>
      <w:r w:rsidRPr="00133731">
        <w:rPr>
          <w:rFonts w:ascii="Arial" w:eastAsia="Times New Roman" w:hAnsi="Arial" w:cs="Arial"/>
          <w:color w:val="737373"/>
          <w:sz w:val="20"/>
          <w:szCs w:val="20"/>
        </w:rPr>
        <w:t>)</w:t>
      </w:r>
    </w:p>
    <w:p w14:paraId="0C96FADF" w14:textId="77777777" w:rsidR="00206E4B" w:rsidRPr="00133731" w:rsidRDefault="00206E4B"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Pandemic and All-Hazards Preparedness Act Reauthorization</w:t>
      </w:r>
    </w:p>
    <w:p w14:paraId="1722E8C6" w14:textId="77777777" w:rsidR="00206E4B" w:rsidRPr="00133731" w:rsidRDefault="00206E4B"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Congress is continuing the process of reauthorizing the Pandemic and All-Hazards Preparedness Act (PAHPA), which was scheduled for reauthorization in 2011. As of March 2012, both the House and Senate have passed their own versions of the reauthorizing legislation, including provisions relevant to emergency use of medical products. While there are many similarities between the two bills, Congress is likely to convene a conference committee to reconcile the differences. Once passed, the programs and authorities in PAHPA will be reauthorized for another five years.</w:t>
      </w:r>
    </w:p>
    <w:p w14:paraId="3148AA67" w14:textId="77777777" w:rsidR="00206E4B" w:rsidRPr="00133731" w:rsidRDefault="00206E4B"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What PAHPA Currently Addresses</w:t>
      </w:r>
    </w:p>
    <w:p w14:paraId="4BBE0D48" w14:textId="77777777" w:rsidR="00206E4B" w:rsidRPr="00133731" w:rsidRDefault="00206E4B"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PAHPA was first enacted in 2006 to improve the nation’s public health and medical preparedness and response capabilities for natural and manmade disasters. Specifically, PAHPA amended the Public Health Service Act to address the organization of public health emergency preparedness and response activities and authorized new programs and initiatives concerning medical surge capacity, the development of countermeasures to biological threats, and the capacity of states and localities to prepare for and respond to public health emergencies.</w:t>
      </w:r>
    </w:p>
    <w:p w14:paraId="55105128" w14:textId="77777777" w:rsidR="00206E4B" w:rsidRPr="00133731" w:rsidRDefault="00206E4B"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PAHPA impacts the states through the organizational structures and programs it established within the Department of Health and Human Services (HHS). Many of the offices and programs within the HHS that state public health preparedness programs interact with on a daily basis were developed or refined through PAHPA, including:</w:t>
      </w:r>
    </w:p>
    <w:p w14:paraId="6E0648BD" w14:textId="77777777" w:rsidR="00206E4B" w:rsidRDefault="00206E4B" w:rsidP="00206E4B">
      <w:pPr>
        <w:numPr>
          <w:ilvl w:val="0"/>
          <w:numId w:val="36"/>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The Office of the Assistant Secretary for Preparedness and Response.</w:t>
      </w:r>
    </w:p>
    <w:p w14:paraId="0221795E" w14:textId="77777777" w:rsidR="00206E4B" w:rsidRPr="00133731" w:rsidRDefault="00206E4B" w:rsidP="00A438F0">
      <w:pPr>
        <w:spacing w:line="255" w:lineRule="atLeast"/>
        <w:ind w:left="360"/>
        <w:textAlignment w:val="baseline"/>
        <w:rPr>
          <w:rFonts w:ascii="Arial" w:eastAsia="Times New Roman" w:hAnsi="Arial" w:cs="Arial"/>
          <w:color w:val="737373"/>
          <w:sz w:val="20"/>
          <w:szCs w:val="20"/>
        </w:rPr>
      </w:pPr>
    </w:p>
    <w:p w14:paraId="5939C49E" w14:textId="77777777" w:rsidR="00206E4B" w:rsidRDefault="00206E4B" w:rsidP="00206E4B">
      <w:pPr>
        <w:numPr>
          <w:ilvl w:val="0"/>
          <w:numId w:val="36"/>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Grant programs such as the Public Health Emergency Preparedness Program, Hospital Preparedness Program, and Healthcare Facility Partnership Program</w:t>
      </w:r>
      <w:r>
        <w:rPr>
          <w:rFonts w:ascii="Arial" w:eastAsia="Times New Roman" w:hAnsi="Arial" w:cs="Arial"/>
          <w:color w:val="737373"/>
          <w:sz w:val="20"/>
          <w:szCs w:val="20"/>
        </w:rPr>
        <w:t>.</w:t>
      </w:r>
    </w:p>
    <w:p w14:paraId="1838C775" w14:textId="77777777" w:rsidR="00206E4B" w:rsidRPr="00133731" w:rsidRDefault="00206E4B" w:rsidP="00A438F0">
      <w:pPr>
        <w:spacing w:line="255" w:lineRule="atLeast"/>
        <w:textAlignment w:val="baseline"/>
        <w:rPr>
          <w:rFonts w:ascii="Arial" w:eastAsia="Times New Roman" w:hAnsi="Arial" w:cs="Arial"/>
          <w:color w:val="737373"/>
          <w:sz w:val="20"/>
          <w:szCs w:val="20"/>
        </w:rPr>
      </w:pPr>
    </w:p>
    <w:p w14:paraId="554886C1" w14:textId="77777777" w:rsidR="00206E4B" w:rsidRDefault="00206E4B" w:rsidP="00206E4B">
      <w:pPr>
        <w:numPr>
          <w:ilvl w:val="0"/>
          <w:numId w:val="36"/>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Guidance regarding at-risk populations.</w:t>
      </w:r>
    </w:p>
    <w:p w14:paraId="5A667D3E" w14:textId="77777777" w:rsidR="00206E4B" w:rsidRPr="00133731" w:rsidRDefault="00206E4B" w:rsidP="00A438F0">
      <w:pPr>
        <w:spacing w:line="255" w:lineRule="atLeast"/>
        <w:textAlignment w:val="baseline"/>
        <w:rPr>
          <w:rFonts w:ascii="Arial" w:eastAsia="Times New Roman" w:hAnsi="Arial" w:cs="Arial"/>
          <w:color w:val="737373"/>
          <w:sz w:val="20"/>
          <w:szCs w:val="20"/>
        </w:rPr>
      </w:pPr>
    </w:p>
    <w:p w14:paraId="28DF9947" w14:textId="77777777" w:rsidR="00206E4B" w:rsidRDefault="00206E4B" w:rsidP="00206E4B">
      <w:pPr>
        <w:numPr>
          <w:ilvl w:val="0"/>
          <w:numId w:val="36"/>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Registration of volunteer health professionals into databases that comply with the HHS ESAR-VHP system (Emergency System for Advance Registration of Volunteer Health Professionals).</w:t>
      </w:r>
    </w:p>
    <w:p w14:paraId="250805E5" w14:textId="77777777" w:rsidR="00206E4B" w:rsidRPr="00133731" w:rsidRDefault="00206E4B" w:rsidP="00A438F0">
      <w:pPr>
        <w:spacing w:line="255" w:lineRule="atLeast"/>
        <w:textAlignment w:val="baseline"/>
        <w:rPr>
          <w:rFonts w:ascii="Arial" w:eastAsia="Times New Roman" w:hAnsi="Arial" w:cs="Arial"/>
          <w:color w:val="737373"/>
          <w:sz w:val="20"/>
          <w:szCs w:val="20"/>
        </w:rPr>
      </w:pPr>
    </w:p>
    <w:p w14:paraId="3FD6F882" w14:textId="77777777" w:rsidR="00206E4B" w:rsidRPr="00A438F0" w:rsidRDefault="00206E4B" w:rsidP="00206E4B">
      <w:pPr>
        <w:pStyle w:val="ListParagraph"/>
        <w:numPr>
          <w:ilvl w:val="0"/>
          <w:numId w:val="36"/>
        </w:numPr>
        <w:shd w:val="clear" w:color="auto" w:fill="FFFFFF"/>
        <w:spacing w:after="225" w:line="240" w:lineRule="atLeast"/>
        <w:textAlignment w:val="baseline"/>
        <w:rPr>
          <w:rFonts w:ascii="Arial" w:eastAsia="Times New Roman" w:hAnsi="Arial" w:cs="Arial"/>
          <w:color w:val="737373"/>
          <w:sz w:val="20"/>
          <w:szCs w:val="20"/>
        </w:rPr>
      </w:pPr>
      <w:r w:rsidRPr="00A438F0">
        <w:rPr>
          <w:rFonts w:ascii="Arial" w:eastAsia="Times New Roman" w:hAnsi="Arial" w:cs="Arial"/>
          <w:color w:val="737373"/>
          <w:sz w:val="20"/>
          <w:szCs w:val="20"/>
        </w:rPr>
        <w:t>PAHPA also established the Biomedical Advanced Research and Development Authority (BARDA) within the HHS to foster the rapid development of drugs and vaccines (countermeasures) against highly infectious pathogens. The act established the Biodefense Medical Countermeasure Development Fund to pay for development contracts with the makers of the countermeasures.</w:t>
      </w:r>
    </w:p>
    <w:p w14:paraId="350876A8" w14:textId="77777777" w:rsidR="00206E4B" w:rsidRPr="00133731" w:rsidRDefault="00206E4B" w:rsidP="00A438F0">
      <w:pPr>
        <w:keepNext/>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lastRenderedPageBreak/>
        <w:t>What PAHPA Reauthorization Addresses</w:t>
      </w:r>
    </w:p>
    <w:p w14:paraId="20BCE64C" w14:textId="77777777" w:rsidR="00206E4B" w:rsidRPr="00133731" w:rsidRDefault="00206E4B"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The House passed the “Pandemic and All-Hazards Preparedness Reauthorization Act of 2011” (HR 2405) on December 11, 2011. The Senate passed its version of the legislation, S 1855, on March 7, 2012. The text of HR 2405 and S 1855 are available through the Library of Congress’s Thomas website at www.thomas.gov.</w:t>
      </w:r>
    </w:p>
    <w:p w14:paraId="09DBAE3B" w14:textId="77777777" w:rsidR="00206E4B" w:rsidRPr="00133731" w:rsidRDefault="00206E4B"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Overall, the House and Senate versions have similar provisions and funding levels, but the Senate version adds a number of provisions that are not in the House version. Both bills do not significantly rework existing programs authorized by the 2006 PAHPA; rather, the reauthorization bills increase responsibilities for HHS, clarify legal authorities and requirements, and reauthorize and fund key public health preparedness programs. The following list highlights some of the key provisions of the reauthorization bills relevant to public health but is not a comprehensive analysis. Please refer to the actual text of the reauthorization bills.</w:t>
      </w:r>
    </w:p>
    <w:p w14:paraId="4BB7BEE3" w14:textId="77777777" w:rsidR="00206E4B" w:rsidRPr="00A438F0" w:rsidRDefault="00206E4B" w:rsidP="00206E4B">
      <w:pPr>
        <w:pStyle w:val="ListParagraph"/>
        <w:numPr>
          <w:ilvl w:val="0"/>
          <w:numId w:val="37"/>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Reauthorizes key public health preparedness programs—</w:t>
      </w:r>
      <w:r w:rsidRPr="00A438F0">
        <w:rPr>
          <w:rFonts w:ascii="Arial" w:eastAsia="Times New Roman" w:hAnsi="Arial" w:cs="Arial"/>
          <w:color w:val="737373"/>
          <w:sz w:val="20"/>
          <w:szCs w:val="20"/>
        </w:rPr>
        <w:t>Both the House and Senate bills reauthorize the Public Health Preparedness Cooperative Agreement Program, the Hospital Preparedness Program, influenza pandemic vaccine tracking and distribution program, ESAR-VHP, the Medical Reserve Corps, and the Strategic National Stockpile.</w:t>
      </w:r>
    </w:p>
    <w:p w14:paraId="6322DFCE" w14:textId="77777777" w:rsidR="00206E4B" w:rsidRPr="00133731" w:rsidRDefault="00206E4B" w:rsidP="00A438F0">
      <w:pPr>
        <w:spacing w:line="255" w:lineRule="atLeast"/>
        <w:textAlignment w:val="baseline"/>
        <w:rPr>
          <w:rFonts w:ascii="Arial" w:eastAsia="Times New Roman" w:hAnsi="Arial" w:cs="Arial"/>
          <w:color w:val="737373"/>
          <w:sz w:val="20"/>
          <w:szCs w:val="20"/>
        </w:rPr>
      </w:pPr>
    </w:p>
    <w:p w14:paraId="4BF0DDC4" w14:textId="77777777" w:rsidR="00206E4B" w:rsidRPr="00A438F0" w:rsidRDefault="00206E4B" w:rsidP="00206E4B">
      <w:pPr>
        <w:pStyle w:val="ListParagraph"/>
        <w:numPr>
          <w:ilvl w:val="0"/>
          <w:numId w:val="37"/>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Funds public health preparedness and medical countermeasures activities—</w:t>
      </w:r>
      <w:r w:rsidRPr="00A438F0">
        <w:rPr>
          <w:rFonts w:ascii="Arial" w:eastAsia="Times New Roman" w:hAnsi="Arial" w:cs="Arial"/>
          <w:color w:val="737373"/>
          <w:sz w:val="20"/>
          <w:szCs w:val="20"/>
        </w:rPr>
        <w:t>Both bills contain the same funding levels; however, the Senate version provides $522 million per year from FY 2012 to FY 2016 for the Strategic National Stockpile.</w:t>
      </w:r>
    </w:p>
    <w:p w14:paraId="727892AC" w14:textId="77777777" w:rsidR="00206E4B" w:rsidRPr="00133731" w:rsidRDefault="00206E4B" w:rsidP="00A438F0">
      <w:pPr>
        <w:spacing w:line="255" w:lineRule="atLeast"/>
        <w:textAlignment w:val="baseline"/>
        <w:rPr>
          <w:rFonts w:ascii="Arial" w:eastAsia="Times New Roman" w:hAnsi="Arial" w:cs="Arial"/>
          <w:color w:val="737373"/>
          <w:sz w:val="20"/>
          <w:szCs w:val="20"/>
        </w:rPr>
      </w:pPr>
    </w:p>
    <w:p w14:paraId="169FD4F6" w14:textId="77777777" w:rsidR="00206E4B" w:rsidRPr="00A438F0" w:rsidRDefault="00206E4B" w:rsidP="00206E4B">
      <w:pPr>
        <w:pStyle w:val="ListParagraph"/>
        <w:numPr>
          <w:ilvl w:val="0"/>
          <w:numId w:val="37"/>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Provides increased flexibility and authority for emergency use of medical products—</w:t>
      </w:r>
      <w:r w:rsidRPr="00A438F0">
        <w:rPr>
          <w:rFonts w:ascii="Arial" w:eastAsia="Times New Roman" w:hAnsi="Arial" w:cs="Arial"/>
          <w:color w:val="737373"/>
          <w:sz w:val="20"/>
          <w:szCs w:val="20"/>
        </w:rPr>
        <w:t>Both versions of the bill provider greater flexibility for the HHS and the FDA to approve the use of medical products in emergencies but differ in some of their specific provisions. One or both of the bills address key emergency use issues including but not limited to: permitting the FDA to waive or limit Current Good Manufacturing Practice (CGMP) requirements for emergency use of a medical product, extending the expiration dates of stockpiled medical products (e.g., drugs) without issuing an Emergency Use Authorization (EUA), authorizing the mass dispensing of medical products without individual prescriptions for FDA-approved products, and authorizing the FDA to issue EUAs before an emergency is declared.</w:t>
      </w:r>
    </w:p>
    <w:p w14:paraId="0CB99A3E" w14:textId="77777777" w:rsidR="00206E4B" w:rsidRDefault="00206E4B" w:rsidP="00133731">
      <w:pPr>
        <w:shd w:val="clear" w:color="auto" w:fill="FFFFFF"/>
        <w:spacing w:line="240" w:lineRule="atLeast"/>
        <w:textAlignment w:val="baseline"/>
        <w:rPr>
          <w:rFonts w:ascii="Arial" w:eastAsia="Times New Roman" w:hAnsi="Arial" w:cs="Arial"/>
          <w:color w:val="737373"/>
          <w:sz w:val="20"/>
          <w:szCs w:val="20"/>
        </w:rPr>
      </w:pPr>
    </w:p>
    <w:p w14:paraId="475EEAD4" w14:textId="77777777" w:rsidR="00206E4B" w:rsidRPr="00133731" w:rsidRDefault="00206E4B"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More information about EUAs and PAHPA is available in the ASTHO </w:t>
      </w:r>
      <w:hyperlink r:id="rId102" w:tooltip="Emergency Use Authorization" w:history="1">
        <w:r w:rsidRPr="00133731">
          <w:rPr>
            <w:rFonts w:ascii="Arial" w:eastAsia="Times New Roman" w:hAnsi="Arial" w:cs="Arial"/>
            <w:color w:val="0F88B8"/>
            <w:sz w:val="20"/>
            <w:szCs w:val="20"/>
            <w:u w:val="single"/>
            <w:bdr w:val="none" w:sz="0" w:space="0" w:color="auto" w:frame="1"/>
          </w:rPr>
          <w:t>Emergency Use Authorization</w:t>
        </w:r>
      </w:hyperlink>
      <w:r w:rsidRPr="00133731">
        <w:rPr>
          <w:rFonts w:ascii="Arial" w:eastAsia="Times New Roman" w:hAnsi="Arial" w:cs="Arial"/>
          <w:color w:val="737373"/>
          <w:sz w:val="20"/>
          <w:szCs w:val="20"/>
        </w:rPr>
        <w:t> and </w:t>
      </w:r>
      <w:hyperlink r:id="rId103" w:tooltip="Emergency Authority and Immunity" w:history="1">
        <w:r w:rsidRPr="00133731">
          <w:rPr>
            <w:rFonts w:ascii="Arial" w:eastAsia="Times New Roman" w:hAnsi="Arial" w:cs="Arial"/>
            <w:color w:val="0F88B8"/>
            <w:sz w:val="20"/>
            <w:szCs w:val="20"/>
            <w:u w:val="single"/>
            <w:bdr w:val="none" w:sz="0" w:space="0" w:color="auto" w:frame="1"/>
          </w:rPr>
          <w:t>Emergency Authority and Immunity</w:t>
        </w:r>
      </w:hyperlink>
      <w:r w:rsidRPr="00133731">
        <w:rPr>
          <w:rFonts w:ascii="Arial" w:eastAsia="Times New Roman" w:hAnsi="Arial" w:cs="Arial"/>
          <w:color w:val="737373"/>
          <w:sz w:val="20"/>
          <w:szCs w:val="20"/>
        </w:rPr>
        <w:t> Toolkits.</w:t>
      </w:r>
    </w:p>
    <w:p w14:paraId="1F63AA99" w14:textId="77777777" w:rsidR="00206E4B" w:rsidRDefault="00206E4B" w:rsidP="00133731">
      <w:pPr>
        <w:shd w:val="clear" w:color="auto" w:fill="FFFFFF"/>
        <w:spacing w:line="240" w:lineRule="atLeast"/>
        <w:textAlignment w:val="baseline"/>
        <w:rPr>
          <w:rFonts w:ascii="Arial" w:eastAsia="Times New Roman" w:hAnsi="Arial" w:cs="Arial"/>
          <w:color w:val="737373"/>
          <w:sz w:val="20"/>
          <w:szCs w:val="20"/>
        </w:rPr>
      </w:pPr>
    </w:p>
    <w:p w14:paraId="4D94726B" w14:textId="77777777" w:rsidR="00206E4B" w:rsidRPr="00133731" w:rsidRDefault="00206E4B"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Information about ongoing EUA activities and policies at the FDA is available on the agency’s Emergency Preparedness and Response website at </w:t>
      </w:r>
      <w:hyperlink r:id="rId104" w:tooltip="www.fda.gov/EmergencyPreparedness/Counterterrorism/ucm182568.htm" w:history="1">
        <w:r w:rsidRPr="00133731">
          <w:rPr>
            <w:rFonts w:ascii="Arial" w:eastAsia="Times New Roman" w:hAnsi="Arial" w:cs="Arial"/>
            <w:color w:val="0F88B8"/>
            <w:sz w:val="20"/>
            <w:szCs w:val="20"/>
            <w:u w:val="single"/>
            <w:bdr w:val="none" w:sz="0" w:space="0" w:color="auto" w:frame="1"/>
          </w:rPr>
          <w:t>www.fda.gov/EmergencyPreparedness/Counterterrorism/ucm182568.htm</w:t>
        </w:r>
      </w:hyperlink>
      <w:r w:rsidRPr="00133731">
        <w:rPr>
          <w:rFonts w:ascii="Arial" w:eastAsia="Times New Roman" w:hAnsi="Arial" w:cs="Arial"/>
          <w:color w:val="737373"/>
          <w:sz w:val="20"/>
          <w:szCs w:val="20"/>
        </w:rPr>
        <w:t>.</w:t>
      </w:r>
    </w:p>
    <w:p w14:paraId="52F64D9C" w14:textId="77777777" w:rsidR="00206E4B" w:rsidRDefault="00206E4B" w:rsidP="00133731">
      <w:pPr>
        <w:shd w:val="clear" w:color="auto" w:fill="FFFFFF"/>
        <w:spacing w:line="240" w:lineRule="atLeast"/>
        <w:textAlignment w:val="baseline"/>
        <w:rPr>
          <w:rFonts w:ascii="Arial" w:eastAsia="Times New Roman" w:hAnsi="Arial" w:cs="Arial"/>
          <w:color w:val="737373"/>
          <w:sz w:val="20"/>
          <w:szCs w:val="20"/>
        </w:rPr>
      </w:pPr>
    </w:p>
    <w:p w14:paraId="4E0C323D" w14:textId="77777777" w:rsidR="00206E4B" w:rsidRPr="00133731" w:rsidRDefault="00206E4B"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Information about ongoing PAHPA implementation at the HHS is available on the Office of the Assistant Secretary for Preparedness and Response website at </w:t>
      </w:r>
      <w:hyperlink r:id="rId105" w:tooltip="www.phe.gov" w:history="1">
        <w:r w:rsidRPr="00133731">
          <w:rPr>
            <w:rFonts w:ascii="Arial" w:eastAsia="Times New Roman" w:hAnsi="Arial" w:cs="Arial"/>
            <w:color w:val="0F88B8"/>
            <w:sz w:val="20"/>
            <w:szCs w:val="20"/>
            <w:u w:val="single"/>
            <w:bdr w:val="none" w:sz="0" w:space="0" w:color="auto" w:frame="1"/>
          </w:rPr>
          <w:t>www.phe.gov</w:t>
        </w:r>
      </w:hyperlink>
      <w:r w:rsidRPr="00133731">
        <w:rPr>
          <w:rFonts w:ascii="Arial" w:eastAsia="Times New Roman" w:hAnsi="Arial" w:cs="Arial"/>
          <w:color w:val="737373"/>
          <w:sz w:val="20"/>
          <w:szCs w:val="20"/>
        </w:rPr>
        <w:t>.</w:t>
      </w:r>
    </w:p>
    <w:p w14:paraId="44F01C76" w14:textId="77777777" w:rsidR="00206E4B" w:rsidRDefault="00206E4B"/>
    <w:p w14:paraId="441C718B" w14:textId="77777777" w:rsidR="0037434E" w:rsidRDefault="0037434E" w:rsidP="0037434E">
      <w:pPr>
        <w:rPr>
          <w:rFonts w:cstheme="minorHAnsi"/>
          <w:sz w:val="24"/>
        </w:rPr>
      </w:pPr>
      <w:r>
        <w:rPr>
          <w:rFonts w:cstheme="minorHAnsi"/>
          <w:sz w:val="24"/>
        </w:rPr>
        <w:t>[</w:t>
      </w:r>
      <w:hyperlink w:anchor="TOC_top" w:history="1">
        <w:r w:rsidRPr="008F1431">
          <w:rPr>
            <w:rStyle w:val="Hyperlink"/>
            <w:rFonts w:cstheme="minorHAnsi"/>
            <w:sz w:val="24"/>
          </w:rPr>
          <w:t xml:space="preserve">TOC </w:t>
        </w:r>
        <w:r w:rsidRPr="008F1431">
          <w:rPr>
            <w:rStyle w:val="Hyperlink"/>
            <w:rFonts w:cstheme="minorHAnsi"/>
            <w:sz w:val="24"/>
          </w:rPr>
          <w:t>t</w:t>
        </w:r>
        <w:r w:rsidRPr="008F1431">
          <w:rPr>
            <w:rStyle w:val="Hyperlink"/>
            <w:rFonts w:cstheme="minorHAnsi"/>
            <w:sz w:val="24"/>
          </w:rPr>
          <w:t>op</w:t>
        </w:r>
      </w:hyperlink>
      <w:r>
        <w:rPr>
          <w:rFonts w:cstheme="minorHAnsi"/>
          <w:sz w:val="24"/>
        </w:rPr>
        <w:t>]</w:t>
      </w:r>
    </w:p>
    <w:p w14:paraId="60BCBFF1" w14:textId="77777777" w:rsidR="0037434E" w:rsidRDefault="0037434E">
      <w:pPr>
        <w:rPr>
          <w:rFonts w:cstheme="minorHAnsi"/>
          <w:sz w:val="24"/>
        </w:rPr>
      </w:pPr>
    </w:p>
    <w:p w14:paraId="481BDC98" w14:textId="20510F18" w:rsidR="00151A2B" w:rsidRDefault="00151A2B">
      <w:pPr>
        <w:rPr>
          <w:rFonts w:cstheme="minorHAnsi"/>
          <w:sz w:val="24"/>
        </w:rPr>
      </w:pPr>
      <w:r>
        <w:rPr>
          <w:rFonts w:cstheme="minorHAnsi"/>
          <w:sz w:val="24"/>
        </w:rPr>
        <w:br w:type="page"/>
      </w:r>
    </w:p>
    <w:p w14:paraId="59E508C5" w14:textId="77777777" w:rsidR="00EC67E4" w:rsidRDefault="00EC67E4" w:rsidP="00D61119">
      <w:pPr>
        <w:rPr>
          <w:rFonts w:ascii="Arial" w:hAnsi="Arial" w:cs="Arial"/>
          <w:b/>
          <w:color w:val="C00000"/>
          <w:sz w:val="24"/>
        </w:rPr>
      </w:pPr>
      <w:r>
        <w:rPr>
          <w:rFonts w:ascii="Arial" w:hAnsi="Arial" w:cs="Arial"/>
          <w:b/>
          <w:color w:val="C00000"/>
          <w:sz w:val="24"/>
        </w:rPr>
        <w:lastRenderedPageBreak/>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428E5A5D" w14:textId="77777777" w:rsidR="00EC67E4" w:rsidRDefault="00EC67E4"/>
    <w:p w14:paraId="6A2D71BB" w14:textId="77777777" w:rsidR="00EC67E4" w:rsidRPr="00D61119" w:rsidRDefault="00EC67E4" w:rsidP="00D61119">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bookmarkStart w:id="11" w:name="Fall2011_CIU"/>
      <w:r w:rsidRPr="00D61119">
        <w:rPr>
          <w:rFonts w:ascii="Helvetica" w:eastAsia="Times New Roman" w:hAnsi="Helvetica" w:cs="Helvetica"/>
          <w:b/>
          <w:bCs/>
          <w:color w:val="333333"/>
          <w:spacing w:val="15"/>
          <w:kern w:val="36"/>
          <w:sz w:val="36"/>
          <w:szCs w:val="36"/>
        </w:rPr>
        <w:t>Current Issues and Updates</w:t>
      </w:r>
      <w:r w:rsidRPr="00D61119">
        <w:rPr>
          <w:rFonts w:ascii="Arial" w:eastAsia="Times New Roman" w:hAnsi="Arial" w:cs="Arial"/>
          <w:color w:val="737373"/>
          <w:sz w:val="20"/>
          <w:szCs w:val="20"/>
        </w:rPr>
        <w:t> </w:t>
      </w:r>
      <w:bookmarkEnd w:id="11"/>
    </w:p>
    <w:p w14:paraId="6C710BDE" w14:textId="77777777" w:rsidR="00EC67E4" w:rsidRPr="00D61119" w:rsidRDefault="00EC67E4"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t>Fall 2011</w:t>
      </w:r>
    </w:p>
    <w:p w14:paraId="47E123EE" w14:textId="77777777" w:rsidR="00EC67E4" w:rsidRPr="00D61119" w:rsidRDefault="00EC67E4" w:rsidP="00D61119">
      <w:pPr>
        <w:shd w:val="clear" w:color="auto" w:fill="FFFFFF"/>
        <w:spacing w:line="240" w:lineRule="atLeast"/>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br/>
      </w:r>
      <w:r w:rsidRPr="00D61119">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Use Authorization Toolkit.  </w:t>
      </w:r>
      <w:r w:rsidRPr="00D61119">
        <w:rPr>
          <w:rFonts w:ascii="Arial" w:eastAsia="Times New Roman" w:hAnsi="Arial" w:cs="Arial"/>
          <w:color w:val="737373"/>
          <w:sz w:val="20"/>
          <w:szCs w:val="20"/>
        </w:rPr>
        <w:t>(</w:t>
      </w:r>
      <w:hyperlink r:id="rId106" w:tooltip="Download a printable PDF." w:history="1">
        <w:r w:rsidRPr="00D61119">
          <w:rPr>
            <w:rFonts w:ascii="Arial" w:eastAsia="Times New Roman" w:hAnsi="Arial" w:cs="Arial"/>
            <w:color w:val="0F88B8"/>
            <w:sz w:val="20"/>
            <w:szCs w:val="20"/>
            <w:bdr w:val="none" w:sz="0" w:space="0" w:color="auto" w:frame="1"/>
          </w:rPr>
          <w:t>Download a printable PDF.</w:t>
        </w:r>
      </w:hyperlink>
      <w:r w:rsidRPr="00D61119">
        <w:rPr>
          <w:rFonts w:ascii="Arial" w:eastAsia="Times New Roman" w:hAnsi="Arial" w:cs="Arial"/>
          <w:color w:val="737373"/>
          <w:sz w:val="20"/>
          <w:szCs w:val="20"/>
        </w:rPr>
        <w:t>)</w:t>
      </w:r>
      <w:r w:rsidRPr="00D61119">
        <w:rPr>
          <w:rFonts w:ascii="Arial" w:eastAsia="Times New Roman" w:hAnsi="Arial" w:cs="Arial"/>
          <w:color w:val="737373"/>
          <w:sz w:val="20"/>
          <w:szCs w:val="20"/>
        </w:rPr>
        <w:br/>
        <w:t> </w:t>
      </w:r>
    </w:p>
    <w:p w14:paraId="232C4B09" w14:textId="77777777" w:rsidR="00EC67E4" w:rsidRPr="00D61119" w:rsidRDefault="00EC67E4"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t>Emergency Use Authorization</w:t>
      </w:r>
    </w:p>
    <w:p w14:paraId="75476F7C" w14:textId="77777777" w:rsidR="00EC67E4" w:rsidRPr="00D61119" w:rsidRDefault="00EC67E4" w:rsidP="00D61119">
      <w:pPr>
        <w:shd w:val="clear" w:color="auto" w:fill="FFFFFF"/>
        <w:textAlignment w:val="baseline"/>
        <w:outlineLvl w:val="2"/>
        <w:rPr>
          <w:rFonts w:ascii="Arial" w:eastAsia="Times New Roman" w:hAnsi="Arial" w:cs="Arial"/>
          <w:b/>
          <w:bCs/>
          <w:color w:val="737373"/>
          <w:sz w:val="20"/>
          <w:szCs w:val="20"/>
        </w:rPr>
      </w:pPr>
      <w:r w:rsidRPr="00D61119">
        <w:rPr>
          <w:rFonts w:ascii="Arial" w:eastAsia="Times New Roman" w:hAnsi="Arial" w:cs="Arial"/>
          <w:b/>
          <w:bCs/>
          <w:color w:val="737373"/>
          <w:sz w:val="20"/>
          <w:szCs w:val="20"/>
        </w:rPr>
        <w:t>Doxycycline Mass Dispensing EUA</w:t>
      </w:r>
    </w:p>
    <w:p w14:paraId="508CD25F" w14:textId="77777777" w:rsidR="00EC67E4" w:rsidRPr="00D61119" w:rsidRDefault="00EC67E4" w:rsidP="00D61119">
      <w:pPr>
        <w:shd w:val="clear" w:color="auto" w:fill="FFFFFF"/>
        <w:spacing w:line="240" w:lineRule="atLeast"/>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The FDA issued an EUA for oral formulations of doxycycline for post-exposure prophylaxis (PEP) of inhalational anthrax in July 2011.</w:t>
      </w:r>
      <w:r w:rsidRPr="00D61119">
        <w:rPr>
          <w:rFonts w:ascii="Arial" w:eastAsia="Times New Roman" w:hAnsi="Arial" w:cs="Arial"/>
          <w:color w:val="737373"/>
          <w:sz w:val="14"/>
          <w:szCs w:val="14"/>
          <w:bdr w:val="none" w:sz="0" w:space="0" w:color="auto" w:frame="1"/>
          <w:vertAlign w:val="superscript"/>
        </w:rPr>
        <w:t>1</w:t>
      </w:r>
      <w:r w:rsidRPr="00D61119">
        <w:rPr>
          <w:rFonts w:ascii="Arial" w:eastAsia="Times New Roman" w:hAnsi="Arial" w:cs="Arial"/>
          <w:color w:val="737373"/>
          <w:sz w:val="20"/>
          <w:szCs w:val="20"/>
        </w:rPr>
        <w:t> The FDA reported that the doxycycline EUA was not issued in “response to a current immediate threat or increased risk of exposure to </w:t>
      </w:r>
      <w:r w:rsidRPr="00D61119">
        <w:rPr>
          <w:rFonts w:ascii="Arial" w:eastAsia="Times New Roman" w:hAnsi="Arial" w:cs="Arial"/>
          <w:i/>
          <w:iCs/>
          <w:color w:val="737373"/>
          <w:sz w:val="20"/>
          <w:szCs w:val="20"/>
          <w:bdr w:val="none" w:sz="0" w:space="0" w:color="auto" w:frame="1"/>
        </w:rPr>
        <w:t>Bacillus anthracis</w:t>
      </w:r>
      <w:r w:rsidRPr="00D61119">
        <w:rPr>
          <w:rFonts w:ascii="Arial" w:eastAsia="Times New Roman" w:hAnsi="Arial" w:cs="Arial"/>
          <w:color w:val="737373"/>
          <w:sz w:val="20"/>
          <w:szCs w:val="20"/>
        </w:rPr>
        <w:t> (</w:t>
      </w:r>
      <w:r w:rsidRPr="00D61119">
        <w:rPr>
          <w:rFonts w:ascii="Arial" w:eastAsia="Times New Roman" w:hAnsi="Arial" w:cs="Arial"/>
          <w:i/>
          <w:iCs/>
          <w:color w:val="737373"/>
          <w:sz w:val="20"/>
          <w:szCs w:val="20"/>
          <w:bdr w:val="none" w:sz="0" w:space="0" w:color="auto" w:frame="1"/>
        </w:rPr>
        <w:t>B. anthracis</w:t>
      </w:r>
      <w:r w:rsidRPr="00D61119">
        <w:rPr>
          <w:rFonts w:ascii="Arial" w:eastAsia="Times New Roman" w:hAnsi="Arial" w:cs="Arial"/>
          <w:color w:val="737373"/>
          <w:sz w:val="20"/>
          <w:szCs w:val="20"/>
        </w:rPr>
        <w:t>), the agent that causes anthrax.”</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The EUA permits stakeholders such as state and local health agencies to “dispense oral formulations of doxycycline in circumstances when they reasonably believe that there is a need for mass dispensing because their constituents have been, are suspected to have been, or are imminently likely to be exposed to </w:t>
      </w:r>
      <w:r w:rsidRPr="00D61119">
        <w:rPr>
          <w:rFonts w:ascii="Arial" w:eastAsia="Times New Roman" w:hAnsi="Arial" w:cs="Arial"/>
          <w:i/>
          <w:iCs/>
          <w:color w:val="737373"/>
          <w:sz w:val="20"/>
          <w:szCs w:val="20"/>
          <w:bdr w:val="none" w:sz="0" w:space="0" w:color="auto" w:frame="1"/>
        </w:rPr>
        <w:t>B. anthracis</w:t>
      </w:r>
      <w:r w:rsidRPr="00D61119">
        <w:rPr>
          <w:rFonts w:ascii="Arial" w:eastAsia="Times New Roman" w:hAnsi="Arial" w:cs="Arial"/>
          <w:color w:val="737373"/>
          <w:sz w:val="20"/>
          <w:szCs w:val="20"/>
        </w:rPr>
        <w:t> spores.”</w:t>
      </w:r>
      <w:r w:rsidRPr="00D61119">
        <w:rPr>
          <w:rFonts w:ascii="Arial" w:eastAsia="Times New Roman" w:hAnsi="Arial" w:cs="Arial"/>
          <w:color w:val="737373"/>
          <w:sz w:val="14"/>
          <w:szCs w:val="14"/>
          <w:bdr w:val="none" w:sz="0" w:space="0" w:color="auto" w:frame="1"/>
          <w:vertAlign w:val="superscript"/>
        </w:rPr>
        <w:t>2 </w:t>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20"/>
          <w:szCs w:val="20"/>
        </w:rPr>
        <w:t>The FDA issued the doxycycline EUA in response to a request by the CDC to facilitate the nation’s preparedness and response efforts.</w:t>
      </w:r>
      <w:r w:rsidRPr="00D61119">
        <w:rPr>
          <w:rFonts w:ascii="Arial" w:eastAsia="Times New Roman" w:hAnsi="Arial" w:cs="Arial"/>
          <w:color w:val="737373"/>
          <w:sz w:val="14"/>
          <w:szCs w:val="14"/>
          <w:bdr w:val="none" w:sz="0" w:space="0" w:color="auto" w:frame="1"/>
          <w:vertAlign w:val="superscript"/>
        </w:rPr>
        <w:t>1</w:t>
      </w:r>
      <w:r w:rsidRPr="00D61119">
        <w:rPr>
          <w:rFonts w:ascii="Arial" w:eastAsia="Times New Roman" w:hAnsi="Arial" w:cs="Arial"/>
          <w:color w:val="737373"/>
          <w:sz w:val="20"/>
          <w:szCs w:val="20"/>
        </w:rPr>
        <w:t> This EUA supports pre-event planning and preparedness activities (e.g., stockpiling of oral formulations of doxycycline) by state and local health agencies.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Should an actual anthrax emergency arise, this EUA also enables public health officials and other responders to rapidly initiate treatment without delay through various distribution and dispensing mechanisms, such as open and closed points of distribution.</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In issuing the EUA, the FDA stated that an EUA was needed because “such preparedness and response activities may include elements that could otherwise violate provisions of the FD&amp;C Act [Federal Food, Drug, and Cosmetic Act] under FDA’s legal interpretations.”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While doxycycline is “FDA-approved for PEP for inhalational anthrax, certain aspects of emergency distribution, dispensing, and use of oral formulations of doxycycline products are not approved by FDA (i.e., not covered by their FDA-approved applications).”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Thus, this EUA allows the covered doxycycline products “to be legally distributed, stockpiled, and dispensed for the unapproved uses for which they are being authorized.”</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For example, during an anthrax emergency, “doxycycline may be dispensed without individual patient prescriptions, which would not be consistent with FDA’s legal interpretations of the FD&amp;C Act.”</w:t>
      </w:r>
      <w:r w:rsidRPr="00D61119">
        <w:rPr>
          <w:rFonts w:ascii="Arial" w:eastAsia="Times New Roman" w:hAnsi="Arial" w:cs="Arial"/>
          <w:color w:val="737373"/>
          <w:sz w:val="14"/>
          <w:szCs w:val="14"/>
          <w:bdr w:val="none" w:sz="0" w:space="0" w:color="auto" w:frame="1"/>
          <w:vertAlign w:val="superscript"/>
        </w:rPr>
        <w:t>2 </w:t>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20"/>
          <w:szCs w:val="20"/>
        </w:rPr>
        <w:br/>
        <w:t>The FDA noted that “this EUA differs from previously issued EUAs because it is intended to facilitate pre-event planning and preparedness activities for an anthrax emergency, as well as response efforts should an actual anthrax emergency occur.”</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This EUA also allows for “flexibility in developing some of the information materials for health care professionals and for recipients by providing a minimum set of elements that must be provided to them; previous EUAs required that specific fact sheets be used.”</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The text of the EUA for doxycycline mass dispensing, fact sheets for healthcare practitioners and consumers, and other supporting materials are available at </w:t>
      </w:r>
      <w:hyperlink r:id="rId107" w:tooltip="www.fda.gov/emergencypreparedness/counterterrorism/ucm182568.htm" w:history="1">
        <w:r w:rsidRPr="00D61119">
          <w:rPr>
            <w:rFonts w:ascii="Arial" w:eastAsia="Times New Roman" w:hAnsi="Arial" w:cs="Arial"/>
            <w:color w:val="0F88B8"/>
            <w:sz w:val="20"/>
            <w:szCs w:val="20"/>
            <w:bdr w:val="none" w:sz="0" w:space="0" w:color="auto" w:frame="1"/>
          </w:rPr>
          <w:t>www.fda.gov/emergencypreparedness/counterterrorism/ucm182568.htm</w:t>
        </w:r>
      </w:hyperlink>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 </w:t>
      </w:r>
    </w:p>
    <w:p w14:paraId="456F56C3" w14:textId="77777777" w:rsidR="00EC67E4" w:rsidRPr="00D61119" w:rsidRDefault="00EC67E4"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lastRenderedPageBreak/>
        <w:t>EUA Sources</w:t>
      </w:r>
    </w:p>
    <w:p w14:paraId="5B603EEB" w14:textId="77777777" w:rsidR="00EC67E4" w:rsidRPr="00D61119" w:rsidRDefault="00EC67E4" w:rsidP="00EC67E4">
      <w:pPr>
        <w:numPr>
          <w:ilvl w:val="0"/>
          <w:numId w:val="38"/>
        </w:numPr>
        <w:spacing w:line="255" w:lineRule="atLeast"/>
        <w:ind w:left="450"/>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Hamburg M. FDA. Letter to Thomas Frieden, CDC, authorizing doxycycline mass dispensing EUA. July 21, 2011.</w:t>
      </w:r>
    </w:p>
    <w:p w14:paraId="165AB389" w14:textId="77777777" w:rsidR="00EC67E4" w:rsidRPr="00D61119" w:rsidRDefault="00EC67E4" w:rsidP="00EC67E4">
      <w:pPr>
        <w:numPr>
          <w:ilvl w:val="0"/>
          <w:numId w:val="38"/>
        </w:numPr>
        <w:spacing w:line="255" w:lineRule="atLeast"/>
        <w:ind w:left="450"/>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FDA. “Interim Questions and Answers: Emergency Use Authorization for Oral Formulations of Doxycycline for Post-Exposure Prophylaxis of Inhalational Anthrax.” Available at </w:t>
      </w:r>
      <w:hyperlink r:id="rId108" w:tooltip="www.fda.gov/EmergencyPreparedness/Counterterrorism/ucm269226.htm" w:history="1">
        <w:r w:rsidRPr="00D61119">
          <w:rPr>
            <w:rFonts w:ascii="Arial" w:eastAsia="Times New Roman" w:hAnsi="Arial" w:cs="Arial"/>
            <w:color w:val="0F88B8"/>
            <w:sz w:val="20"/>
            <w:szCs w:val="20"/>
            <w:bdr w:val="none" w:sz="0" w:space="0" w:color="auto" w:frame="1"/>
          </w:rPr>
          <w:t>www.fda.gov/EmergencyPreparedness/Counterterrorism/ucm269226.htm</w:t>
        </w:r>
      </w:hyperlink>
      <w:r w:rsidRPr="00D61119">
        <w:rPr>
          <w:rFonts w:ascii="Arial" w:eastAsia="Times New Roman" w:hAnsi="Arial" w:cs="Arial"/>
          <w:color w:val="737373"/>
          <w:sz w:val="20"/>
          <w:szCs w:val="20"/>
        </w:rPr>
        <w:t>. Accessed March 9, 2012.</w:t>
      </w:r>
    </w:p>
    <w:p w14:paraId="30A65368" w14:textId="7563D5AC" w:rsidR="00EC67E4" w:rsidRDefault="00EC67E4"/>
    <w:p w14:paraId="001443EE" w14:textId="77777777" w:rsidR="0037434E" w:rsidRDefault="0037434E" w:rsidP="0037434E">
      <w:pPr>
        <w:rPr>
          <w:rFonts w:cstheme="minorHAnsi"/>
          <w:sz w:val="24"/>
        </w:rPr>
      </w:pPr>
      <w:r>
        <w:rPr>
          <w:rFonts w:cstheme="minorHAnsi"/>
          <w:sz w:val="24"/>
        </w:rPr>
        <w:t>[</w:t>
      </w:r>
      <w:hyperlink w:anchor="TOC_top" w:history="1">
        <w:r w:rsidRPr="008F1431">
          <w:rPr>
            <w:rStyle w:val="Hyperlink"/>
            <w:rFonts w:cstheme="minorHAnsi"/>
            <w:sz w:val="24"/>
          </w:rPr>
          <w:t>TO</w:t>
        </w:r>
        <w:r w:rsidRPr="008F1431">
          <w:rPr>
            <w:rStyle w:val="Hyperlink"/>
            <w:rFonts w:cstheme="minorHAnsi"/>
            <w:sz w:val="24"/>
          </w:rPr>
          <w:t>C</w:t>
        </w:r>
        <w:r w:rsidRPr="008F1431">
          <w:rPr>
            <w:rStyle w:val="Hyperlink"/>
            <w:rFonts w:cstheme="minorHAnsi"/>
            <w:sz w:val="24"/>
          </w:rPr>
          <w:t xml:space="preserve"> top</w:t>
        </w:r>
      </w:hyperlink>
      <w:r>
        <w:rPr>
          <w:rFonts w:cstheme="minorHAnsi"/>
          <w:sz w:val="24"/>
        </w:rPr>
        <w:t>]</w:t>
      </w:r>
    </w:p>
    <w:p w14:paraId="12090BBE" w14:textId="77777777" w:rsidR="0037434E" w:rsidRDefault="0037434E"/>
    <w:p w14:paraId="3E6D299B" w14:textId="7CE1EE34" w:rsidR="0037434E" w:rsidRDefault="0037434E">
      <w:r>
        <w:br w:type="page"/>
      </w:r>
    </w:p>
    <w:p w14:paraId="027C4B5D" w14:textId="77777777" w:rsidR="0037434E" w:rsidRDefault="0037434E"/>
    <w:p w14:paraId="30CE23CC" w14:textId="77777777" w:rsidR="00EC67E4" w:rsidRPr="00A438F0" w:rsidRDefault="00EC67E4" w:rsidP="00640C07">
      <w:pPr>
        <w:rPr>
          <w:rFonts w:ascii="Arial" w:hAnsi="Arial" w:cs="Arial"/>
          <w:b/>
          <w:color w:val="C00000"/>
          <w:sz w:val="24"/>
        </w:rPr>
      </w:pPr>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6F4026D8" w14:textId="77777777" w:rsidR="00EC67E4" w:rsidRDefault="00EC67E4"/>
    <w:p w14:paraId="0B1F0F3A" w14:textId="77777777" w:rsidR="00EC67E4" w:rsidRPr="00640C07" w:rsidRDefault="00EC67E4" w:rsidP="00640C07">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bookmarkStart w:id="12" w:name="Summer2011_CIU"/>
      <w:r w:rsidRPr="00640C07">
        <w:rPr>
          <w:rFonts w:ascii="Helvetica" w:eastAsia="Times New Roman" w:hAnsi="Helvetica" w:cs="Helvetica"/>
          <w:b/>
          <w:bCs/>
          <w:color w:val="333333"/>
          <w:spacing w:val="15"/>
          <w:kern w:val="36"/>
          <w:sz w:val="36"/>
          <w:szCs w:val="36"/>
        </w:rPr>
        <w:t>Evolving Policy Issues</w:t>
      </w:r>
      <w:bookmarkEnd w:id="12"/>
    </w:p>
    <w:p w14:paraId="4197E722"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Summer 2011</w:t>
      </w:r>
    </w:p>
    <w:p w14:paraId="7B8ACCA1" w14:textId="77777777" w:rsidR="00EC67E4" w:rsidRPr="00640C07" w:rsidRDefault="00EC67E4" w:rsidP="00640C07">
      <w:pPr>
        <w:shd w:val="clear" w:color="auto" w:fill="FFFFFF"/>
        <w:spacing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br/>
        <w:t>The public health response to the 2009 H1N1 influenza pandemic made clear a number of challenges, gaps, and barriers associated with the increased use of </w:t>
      </w:r>
      <w:hyperlink r:id="rId109" w:anchor="Emergency-Use" w:tooltip="Emergency Use Authorizations" w:history="1">
        <w:r w:rsidRPr="00640C07">
          <w:rPr>
            <w:rFonts w:ascii="Arial" w:eastAsia="Times New Roman" w:hAnsi="Arial" w:cs="Arial"/>
            <w:color w:val="0F88B8"/>
            <w:sz w:val="20"/>
            <w:szCs w:val="20"/>
            <w:bdr w:val="none" w:sz="0" w:space="0" w:color="auto" w:frame="1"/>
          </w:rPr>
          <w:t>Emergency Use Authorizations</w:t>
        </w:r>
      </w:hyperlink>
      <w:r w:rsidRPr="00640C07">
        <w:rPr>
          <w:rFonts w:ascii="Arial" w:eastAsia="Times New Roman" w:hAnsi="Arial" w:cs="Arial"/>
          <w:color w:val="737373"/>
          <w:sz w:val="20"/>
          <w:szCs w:val="20"/>
        </w:rPr>
        <w:t> (EUA) during the response. The HHS, FDA, and CDC have been actively working with state and local public health agencies to understand and address the issues identified. This document highlights some of the evolving legal and policy issues related to EUAs and medical countermeasures generally.</w:t>
      </w:r>
      <w:r w:rsidRPr="00640C07">
        <w:rPr>
          <w:rFonts w:ascii="Arial" w:eastAsia="Times New Roman" w:hAnsi="Arial" w:cs="Arial"/>
          <w:color w:val="737373"/>
          <w:sz w:val="14"/>
          <w:szCs w:val="14"/>
          <w:bdr w:val="none" w:sz="0" w:space="0" w:color="auto" w:frame="1"/>
          <w:vertAlign w:val="superscript"/>
        </w:rPr>
        <w:t>1  </w:t>
      </w:r>
      <w:r w:rsidRPr="00640C07">
        <w:rPr>
          <w:rFonts w:ascii="Arial" w:eastAsia="Times New Roman" w:hAnsi="Arial" w:cs="Arial"/>
          <w:color w:val="737373"/>
          <w:sz w:val="20"/>
          <w:szCs w:val="20"/>
        </w:rPr>
        <w:t>(</w:t>
      </w:r>
      <w:hyperlink r:id="rId110" w:tooltip="Download a printable PDF." w:history="1">
        <w:r w:rsidRPr="00640C07">
          <w:rPr>
            <w:rFonts w:ascii="Arial" w:eastAsia="Times New Roman" w:hAnsi="Arial" w:cs="Arial"/>
            <w:color w:val="0F88B8"/>
            <w:sz w:val="20"/>
            <w:szCs w:val="20"/>
            <w:bdr w:val="none" w:sz="0" w:space="0" w:color="auto" w:frame="1"/>
          </w:rPr>
          <w:t>Download a printable PDF.</w:t>
        </w:r>
      </w:hyperlink>
      <w:r w:rsidRPr="00640C07">
        <w:rPr>
          <w:rFonts w:ascii="Arial" w:eastAsia="Times New Roman" w:hAnsi="Arial" w:cs="Arial"/>
          <w:color w:val="737373"/>
          <w:sz w:val="20"/>
          <w:szCs w:val="20"/>
        </w:rPr>
        <w:t>)</w:t>
      </w:r>
      <w:r w:rsidRPr="00640C07">
        <w:rPr>
          <w:rFonts w:ascii="Arial" w:eastAsia="Times New Roman" w:hAnsi="Arial" w:cs="Arial"/>
          <w:color w:val="737373"/>
          <w:sz w:val="20"/>
          <w:szCs w:val="20"/>
        </w:rPr>
        <w:br/>
        <w:t> </w:t>
      </w:r>
    </w:p>
    <w:p w14:paraId="16D92F0E"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Emergency Use Authorizations</w:t>
      </w:r>
    </w:p>
    <w:p w14:paraId="24EEFB96" w14:textId="77777777" w:rsidR="00EC67E4" w:rsidRPr="00640C07" w:rsidRDefault="00EC67E4"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Circumstances for Issuing an EUA and State/Local Planning</w:t>
      </w:r>
    </w:p>
    <w:p w14:paraId="7F36789D" w14:textId="77777777" w:rsidR="00EC67E4" w:rsidRPr="00640C07" w:rsidRDefault="00EC67E4"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br/>
        <w:t>States have consistently raised concerns about the need for advanced or earlier information about what countermeasures will be subject to an EUA and the requirements for states in storing, distributing, and dispensing these products. While acknowledging that the EUA process is still a relatively new one for all parties, states are seeking earlier information from which they can better prepare for operating under an EUA. Since final EUA conditions are established when the EUA is issued, public health officials will not know all of the expected requirements of a particular authorization in advance of an emergency. As a result, state and local officials will have to comply with EUA conditions for which they might not be able to effectively plan.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t>It is not possible to anticipate all the possible EUAs that might arise because the decision to issue an EUA is event-specific. In addition to issuing EUAs (e.g., during the H1N1 pandemic; for mass dispensing of doxycycline), the FDA has been working with other federal agencies to develop “pre-EUAs” to minimize delays in issuing EUAs during an emergency. While the law does not allow the FDA to preauthorize an EUA before the determination and declaration of an emergency, the process of submitting an EUA request can begin before the actual emergency occurs. A pre-EUA request can be submitted to the FDA based on likely situations such as potential anthrax attacks or smallpox outbreaks. Planners speculate about what the emergency might be and the products that could be used in those situations. A pre-EUA allows the FDA to begin work on fact sheets and other documentation. If an emergency is declared and the EUA is formally requested, the FDA can conduct a final review of the pre-EUA materials and make any substantive changes as needed. </w:t>
      </w:r>
      <w:r w:rsidRPr="00640C07">
        <w:rPr>
          <w:rFonts w:ascii="Arial" w:eastAsia="Times New Roman" w:hAnsi="Arial" w:cs="Arial"/>
          <w:color w:val="737373"/>
          <w:sz w:val="20"/>
          <w:szCs w:val="20"/>
        </w:rPr>
        <w:br/>
      </w:r>
    </w:p>
    <w:p w14:paraId="67BE180B"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Stockpile Issues</w:t>
      </w:r>
    </w:p>
    <w:p w14:paraId="02AD4554" w14:textId="77777777" w:rsidR="00EC67E4" w:rsidRPr="00640C07" w:rsidRDefault="00EC67E4"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Storing SNS Assets</w:t>
      </w:r>
    </w:p>
    <w:p w14:paraId="4C494723" w14:textId="77777777" w:rsidR="00EC67E4" w:rsidRPr="00640C07" w:rsidRDefault="00EC67E4" w:rsidP="00640C07">
      <w:pPr>
        <w:shd w:val="clear" w:color="auto" w:fill="FFFFFF"/>
        <w:spacing w:line="240" w:lineRule="atLeast"/>
        <w:textAlignment w:val="baseline"/>
        <w:rPr>
          <w:rFonts w:ascii="Arial" w:eastAsia="Times New Roman" w:hAnsi="Arial" w:cs="Arial"/>
          <w:b/>
          <w:bCs/>
          <w:color w:val="737373"/>
          <w:sz w:val="20"/>
          <w:szCs w:val="20"/>
        </w:rPr>
      </w:pPr>
      <w:r w:rsidRPr="00640C07">
        <w:rPr>
          <w:rFonts w:ascii="Arial" w:eastAsia="Times New Roman" w:hAnsi="Arial" w:cs="Arial"/>
          <w:color w:val="737373"/>
          <w:sz w:val="20"/>
          <w:szCs w:val="20"/>
        </w:rPr>
        <w:br/>
        <w:t>Ongoing questions have arisen about who is responsible at the state and local levels for storing unused </w:t>
      </w:r>
      <w:hyperlink r:id="rId111" w:anchor="Strategic-National" w:tooltip="Strategic National Stockpile (SNS)" w:history="1">
        <w:r w:rsidRPr="00640C07">
          <w:rPr>
            <w:rFonts w:ascii="Arial" w:eastAsia="Times New Roman" w:hAnsi="Arial" w:cs="Arial"/>
            <w:color w:val="0F88B8"/>
            <w:sz w:val="20"/>
            <w:szCs w:val="20"/>
            <w:bdr w:val="none" w:sz="0" w:space="0" w:color="auto" w:frame="1"/>
          </w:rPr>
          <w:t>Strategic National Stockpile (SNS)</w:t>
        </w:r>
      </w:hyperlink>
      <w:r w:rsidRPr="00640C07">
        <w:rPr>
          <w:rFonts w:ascii="Arial" w:eastAsia="Times New Roman" w:hAnsi="Arial" w:cs="Arial"/>
          <w:color w:val="737373"/>
          <w:sz w:val="20"/>
          <w:szCs w:val="20"/>
        </w:rPr>
        <w:t xml:space="preserve"> countermeasures before, during, and after an event. Especially of concern has been the costs for storage and if these will be paid for or reimbursed by the </w:t>
      </w:r>
      <w:r w:rsidRPr="00640C07">
        <w:rPr>
          <w:rFonts w:ascii="Arial" w:eastAsia="Times New Roman" w:hAnsi="Arial" w:cs="Arial"/>
          <w:color w:val="737373"/>
          <w:sz w:val="20"/>
          <w:szCs w:val="20"/>
        </w:rPr>
        <w:lastRenderedPageBreak/>
        <w:t>federal government. State and local public health authorities are responsible for the costs associated with items that have been distributed from SNS stockpiles. The FDA requires that all medical countermeasures such as antivirals—including those received from the SNS—must be stored according to Current Good Manufacturing Practices (CGMPs), including labeled storage conditions. In certain circumstances, such as some of the antiviral medications covered under the H1N1 EUAs, CGMP and labeled storage condition requirements were waived based on FDA’s knowledge about product stability for specified durations of time (e.g., two weeks) to facilitate movement of product.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r>
      <w:r w:rsidRPr="00640C07">
        <w:rPr>
          <w:rFonts w:ascii="Arial" w:eastAsia="Times New Roman" w:hAnsi="Arial" w:cs="Arial"/>
          <w:b/>
          <w:bCs/>
          <w:color w:val="737373"/>
          <w:sz w:val="20"/>
          <w:szCs w:val="20"/>
        </w:rPr>
        <w:t>Impact of State Pharmacy Laws on Stored SNS Assets</w:t>
      </w:r>
    </w:p>
    <w:p w14:paraId="323AD638" w14:textId="77777777" w:rsidR="00EC67E4" w:rsidRPr="00640C07" w:rsidRDefault="00EC67E4"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For SNS assets stored in the states, states have questioned whether states’ pharmacy laws for conditions of storage, monitoring, and accounting for pharmaceuticals apply to these countermeasures. The FDA has stated that state restrictions that directly conflict with what is permitted in the EUA are preempted by federal law. States should review their applicable pharmacy laws to determine where state law may or may not conflict with federal requirements. </w:t>
      </w:r>
      <w:r w:rsidRPr="00640C07">
        <w:rPr>
          <w:rFonts w:ascii="Arial" w:eastAsia="Times New Roman" w:hAnsi="Arial" w:cs="Arial"/>
          <w:color w:val="737373"/>
          <w:sz w:val="20"/>
          <w:szCs w:val="20"/>
        </w:rPr>
        <w:br/>
      </w:r>
    </w:p>
    <w:p w14:paraId="1638FE49"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Shelf Life Extension Program</w:t>
      </w:r>
    </w:p>
    <w:p w14:paraId="237FE521" w14:textId="77777777" w:rsidR="00EC67E4" w:rsidRPr="00640C07" w:rsidRDefault="00EC67E4"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Developing a SLEP-Like Program for States</w:t>
      </w:r>
    </w:p>
    <w:p w14:paraId="7C85D5B6" w14:textId="77777777" w:rsidR="00EC67E4" w:rsidRPr="00640C07" w:rsidRDefault="00EC67E4" w:rsidP="00640C07">
      <w:pPr>
        <w:shd w:val="clear" w:color="auto" w:fill="FFFFFF"/>
        <w:spacing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State-maintained stockpiles are not currently eligible for participation in the federal </w:t>
      </w:r>
      <w:hyperlink r:id="rId112" w:anchor="Shelf-Life" w:tooltip="Shelf Life Extension Program (SLEP)" w:history="1">
        <w:r w:rsidRPr="00640C07">
          <w:rPr>
            <w:rFonts w:ascii="Arial" w:eastAsia="Times New Roman" w:hAnsi="Arial" w:cs="Arial"/>
            <w:color w:val="0F88B8"/>
            <w:sz w:val="20"/>
            <w:szCs w:val="20"/>
            <w:bdr w:val="none" w:sz="0" w:space="0" w:color="auto" w:frame="1"/>
          </w:rPr>
          <w:t>Shelf Life Extension Program (SLEP)</w:t>
        </w:r>
      </w:hyperlink>
      <w:r w:rsidRPr="00640C07">
        <w:rPr>
          <w:rFonts w:ascii="Arial" w:eastAsia="Times New Roman" w:hAnsi="Arial" w:cs="Arial"/>
          <w:color w:val="737373"/>
          <w:sz w:val="20"/>
          <w:szCs w:val="20"/>
        </w:rPr>
        <w:t>. As required by the May 2006 National Strategy for Pandemic Influenza: Implementation Plan, a work group of federal agencies and the states conducted preliminary assessments of including state stockpiles in the federal SLEP program; however, the group determined that it is not currently feasible to add states to SLEP. In addition to the 2006 evaluation, the HHS has been analyzing the feasibility of creating a separate SLEP-like program for extending state stockpiles. The Biomedical Advanced Research and Development Authority (BARDA) within the </w:t>
      </w:r>
      <w:hyperlink r:id="rId113" w:anchor="HHS-Office" w:tooltip="HHS Office of the Assistant Secretary for Preparedness and Response (ASPR)" w:history="1">
        <w:r w:rsidRPr="00640C07">
          <w:rPr>
            <w:rFonts w:ascii="Arial" w:eastAsia="Times New Roman" w:hAnsi="Arial" w:cs="Arial"/>
            <w:color w:val="0F88B8"/>
            <w:sz w:val="20"/>
            <w:szCs w:val="20"/>
            <w:bdr w:val="none" w:sz="0" w:space="0" w:color="auto" w:frame="1"/>
          </w:rPr>
          <w:t>HHS Office of the Assistant Secretary for Preparedness and Response (ASPR)</w:t>
        </w:r>
      </w:hyperlink>
      <w:r w:rsidRPr="00640C07">
        <w:rPr>
          <w:rFonts w:ascii="Arial" w:eastAsia="Times New Roman" w:hAnsi="Arial" w:cs="Arial"/>
          <w:color w:val="737373"/>
          <w:sz w:val="20"/>
          <w:szCs w:val="20"/>
        </w:rPr>
        <w:t> has been evaluating the infrastructure necessary to support a new program for states and analyzing the comparative cost effectiveness of shelf-life testing to repurchasing for state inventories. Cost factors to be considered include laboratory testing, storage site inspection, state personnel, relabeling for extended products, destruction for products not extended, and transportation for products being tested or destroyed. The HHS, BARDA, and the states are conducting a detailed analysis with state-specific data in 2011. </w:t>
      </w:r>
      <w:r w:rsidRPr="00640C07">
        <w:rPr>
          <w:rFonts w:ascii="Arial" w:eastAsia="Times New Roman" w:hAnsi="Arial" w:cs="Arial"/>
          <w:color w:val="737373"/>
          <w:sz w:val="20"/>
          <w:szCs w:val="20"/>
        </w:rPr>
        <w:br/>
        <w:t> </w:t>
      </w:r>
    </w:p>
    <w:p w14:paraId="3564A632"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Labeling and Relabeling of Medical Countermeasures</w:t>
      </w:r>
    </w:p>
    <w:p w14:paraId="7148A866" w14:textId="77777777" w:rsidR="00EC67E4" w:rsidRPr="00640C07" w:rsidRDefault="00EC67E4"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w:t>
      </w:r>
    </w:p>
    <w:p w14:paraId="0B7141E6" w14:textId="77777777" w:rsidR="00EC67E4" w:rsidRPr="00640C07" w:rsidRDefault="00EC67E4"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Relabeling Stored Countermeasures</w:t>
      </w:r>
    </w:p>
    <w:p w14:paraId="12F9DD50" w14:textId="77777777" w:rsidR="00EC67E4" w:rsidRPr="00640C07" w:rsidRDefault="00EC67E4"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xml:space="preserve">States have raised questions about the requirement to relabel medications held in non-SNS stockpiles (i.e., state, local, or regional caches) that have been shelf-life-extended through an EUA (e.g., Tamiflu). Because of the financial costs involved in relabeling, states have expressed interest in including information for consumers, healthcare professionals, and other dispensers when such medications are distributed indicating that a particular product/lot number has an extended shelf life in lieu of relabeling the products. The FDA has expressed its intention to forego enforcement action regarding relabeling requirements for specific products that had been shelf-life-extended so long as these products were stored under labeled storage conditions. The agency did this last year when it provided disposition information on its website on June 22, 2010, regarding the specified lots of Tamiflu and Relenza that had been authorized for use beyond their labeled expiration date during the H1N1 response. However, to minimize confusion on the part of healthcare professionals and patients, the FDA recommended that, before dispensing, the identified lots be relabeled/repackaged by an FDA-registered firm in accordance with applicable CGMP requirements. FDA has included information in authorized fact sheets for recipients </w:t>
      </w:r>
      <w:r w:rsidRPr="00640C07">
        <w:rPr>
          <w:rFonts w:ascii="Arial" w:eastAsia="Times New Roman" w:hAnsi="Arial" w:cs="Arial"/>
          <w:color w:val="737373"/>
          <w:sz w:val="20"/>
          <w:szCs w:val="20"/>
        </w:rPr>
        <w:lastRenderedPageBreak/>
        <w:t>indicating that certain products are authorized for use even though they have an expired date on the package. </w:t>
      </w:r>
      <w:r w:rsidRPr="00640C07">
        <w:rPr>
          <w:rFonts w:ascii="Arial" w:eastAsia="Times New Roman" w:hAnsi="Arial" w:cs="Arial"/>
          <w:color w:val="737373"/>
          <w:sz w:val="20"/>
          <w:szCs w:val="20"/>
        </w:rPr>
        <w:br/>
        <w:t> </w:t>
      </w:r>
    </w:p>
    <w:p w14:paraId="16AC07DA" w14:textId="77777777" w:rsidR="00EC67E4" w:rsidRPr="00640C07" w:rsidRDefault="00EC67E4"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 xml:space="preserve">States as Certified </w:t>
      </w:r>
      <w:proofErr w:type="spellStart"/>
      <w:r w:rsidRPr="00640C07">
        <w:rPr>
          <w:rFonts w:ascii="Arial" w:eastAsia="Times New Roman" w:hAnsi="Arial" w:cs="Arial"/>
          <w:b/>
          <w:bCs/>
          <w:color w:val="737373"/>
          <w:sz w:val="20"/>
          <w:szCs w:val="20"/>
        </w:rPr>
        <w:t>Relabelers</w:t>
      </w:r>
      <w:proofErr w:type="spellEnd"/>
    </w:p>
    <w:p w14:paraId="60B5FC1A" w14:textId="77777777" w:rsidR="00EC67E4" w:rsidRPr="00640C07" w:rsidRDefault="00EC67E4"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xml:space="preserve">Given FDA requirements for relabeling countermeasures and significant budget constraints, some states have inquired about whether it is possible for states to become certified </w:t>
      </w:r>
      <w:proofErr w:type="spellStart"/>
      <w:r w:rsidRPr="00640C07">
        <w:rPr>
          <w:rFonts w:ascii="Arial" w:eastAsia="Times New Roman" w:hAnsi="Arial" w:cs="Arial"/>
          <w:color w:val="737373"/>
          <w:sz w:val="20"/>
          <w:szCs w:val="20"/>
        </w:rPr>
        <w:t>relabelers</w:t>
      </w:r>
      <w:proofErr w:type="spellEnd"/>
      <w:r w:rsidRPr="00640C07">
        <w:rPr>
          <w:rFonts w:ascii="Arial" w:eastAsia="Times New Roman" w:hAnsi="Arial" w:cs="Arial"/>
          <w:color w:val="737373"/>
          <w:sz w:val="20"/>
          <w:szCs w:val="20"/>
        </w:rPr>
        <w:t xml:space="preserve"> as a cost saving measure. The FDA has reported that medical product </w:t>
      </w:r>
      <w:proofErr w:type="spellStart"/>
      <w:r w:rsidRPr="00640C07">
        <w:rPr>
          <w:rFonts w:ascii="Arial" w:eastAsia="Times New Roman" w:hAnsi="Arial" w:cs="Arial"/>
          <w:color w:val="737373"/>
          <w:sz w:val="20"/>
          <w:szCs w:val="20"/>
        </w:rPr>
        <w:t>relabelers</w:t>
      </w:r>
      <w:proofErr w:type="spellEnd"/>
      <w:r w:rsidRPr="00640C07">
        <w:rPr>
          <w:rFonts w:ascii="Arial" w:eastAsia="Times New Roman" w:hAnsi="Arial" w:cs="Arial"/>
          <w:color w:val="737373"/>
          <w:sz w:val="20"/>
          <w:szCs w:val="20"/>
        </w:rPr>
        <w:t xml:space="preserve"> must be registered with the FDA and comply with all CGMP requirements that apply to their operations, among other things. The FDA also inspects establishments engaged in relabeling or other manufacturing or processing activities to ensure compliance with applicable CGMP requirements.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t>States have also inquired if it is possible for the states to self-certify that they meet CGMP requirements. The FDA has stated that the feasibility of any alternative mechanisms for ensuring that state relabeling efforts comply with applicable CGMPs (i.e., self-certification) must be further evaluated and will likely depend on a number of factors, such as the nature of the products or operations involved. Aside from self-certification, states will first need to assess their ability to comply with the applicable CGMP requirements, including whether it is cost-effective for them to do so.</w:t>
      </w:r>
    </w:p>
    <w:p w14:paraId="40955D58" w14:textId="77777777" w:rsidR="00EC67E4" w:rsidRPr="00640C07" w:rsidRDefault="00EC67E4"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Notes</w:t>
      </w:r>
    </w:p>
    <w:p w14:paraId="3D2AC206" w14:textId="77777777" w:rsidR="00EC67E4" w:rsidRPr="00640C07" w:rsidRDefault="00EC67E4" w:rsidP="00EC67E4">
      <w:pPr>
        <w:numPr>
          <w:ilvl w:val="0"/>
          <w:numId w:val="39"/>
        </w:numPr>
        <w:spacing w:line="255" w:lineRule="atLeast"/>
        <w:ind w:left="450"/>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xml:space="preserve">Materials relating to FDA views were adapted from </w:t>
      </w:r>
      <w:proofErr w:type="spellStart"/>
      <w:r w:rsidRPr="00640C07">
        <w:rPr>
          <w:rFonts w:ascii="Arial" w:eastAsia="Times New Roman" w:hAnsi="Arial" w:cs="Arial"/>
          <w:color w:val="737373"/>
          <w:sz w:val="20"/>
          <w:szCs w:val="20"/>
        </w:rPr>
        <w:t>Borio</w:t>
      </w:r>
      <w:proofErr w:type="spellEnd"/>
      <w:r w:rsidRPr="00640C07">
        <w:rPr>
          <w:rFonts w:ascii="Arial" w:eastAsia="Times New Roman" w:hAnsi="Arial" w:cs="Arial"/>
          <w:color w:val="737373"/>
          <w:sz w:val="20"/>
          <w:szCs w:val="20"/>
        </w:rPr>
        <w:t xml:space="preserve"> L. Food and Drug Administration. July 25, 2011 Letter to William G. </w:t>
      </w:r>
      <w:proofErr w:type="spellStart"/>
      <w:r w:rsidRPr="00640C07">
        <w:rPr>
          <w:rFonts w:ascii="Arial" w:eastAsia="Times New Roman" w:hAnsi="Arial" w:cs="Arial"/>
          <w:color w:val="737373"/>
          <w:sz w:val="20"/>
          <w:szCs w:val="20"/>
        </w:rPr>
        <w:t>Burel</w:t>
      </w:r>
      <w:proofErr w:type="spellEnd"/>
      <w:r w:rsidRPr="00640C07">
        <w:rPr>
          <w:rFonts w:ascii="Arial" w:eastAsia="Times New Roman" w:hAnsi="Arial" w:cs="Arial"/>
          <w:color w:val="737373"/>
          <w:sz w:val="20"/>
          <w:szCs w:val="20"/>
        </w:rPr>
        <w:t>, CDC et al regarding answers to questions raised during December 2010 Federal, State, and Local Public Health Preparedness meeting in Baltimore, MD. Available at </w:t>
      </w:r>
      <w:hyperlink r:id="rId114" w:tooltip="www.fda.gov/EmergencyPreparedness/Counterterrorism/ucm234336.htm" w:history="1">
        <w:r w:rsidRPr="00640C07">
          <w:rPr>
            <w:rFonts w:ascii="Arial" w:eastAsia="Times New Roman" w:hAnsi="Arial" w:cs="Arial"/>
            <w:color w:val="0F88B8"/>
            <w:sz w:val="20"/>
            <w:szCs w:val="20"/>
            <w:bdr w:val="none" w:sz="0" w:space="0" w:color="auto" w:frame="1"/>
          </w:rPr>
          <w:t>www.fda.gov/EmergencyPreparedness/Counterterrorism/ucm234336.htm</w:t>
        </w:r>
      </w:hyperlink>
      <w:r w:rsidRPr="00640C07">
        <w:rPr>
          <w:rFonts w:ascii="Arial" w:eastAsia="Times New Roman" w:hAnsi="Arial" w:cs="Arial"/>
          <w:color w:val="737373"/>
          <w:sz w:val="20"/>
          <w:szCs w:val="20"/>
        </w:rPr>
        <w:t>. Accessed January 31, 2012.</w:t>
      </w:r>
    </w:p>
    <w:p w14:paraId="2C623DD7" w14:textId="634DF7D9" w:rsidR="00EC67E4" w:rsidRDefault="00EC67E4"/>
    <w:p w14:paraId="460FE532" w14:textId="77777777" w:rsidR="000125F5" w:rsidRDefault="000125F5" w:rsidP="000125F5">
      <w:pPr>
        <w:rPr>
          <w:rFonts w:cstheme="minorHAnsi"/>
          <w:sz w:val="24"/>
        </w:rPr>
      </w:pPr>
      <w:r>
        <w:rPr>
          <w:rFonts w:cstheme="minorHAnsi"/>
          <w:sz w:val="24"/>
        </w:rPr>
        <w:t>[</w:t>
      </w:r>
      <w:hyperlink w:anchor="TOC_top" w:history="1">
        <w:r w:rsidRPr="008F1431">
          <w:rPr>
            <w:rStyle w:val="Hyperlink"/>
            <w:rFonts w:cstheme="minorHAnsi"/>
            <w:sz w:val="24"/>
          </w:rPr>
          <w:t xml:space="preserve">TOC </w:t>
        </w:r>
        <w:r w:rsidRPr="008F1431">
          <w:rPr>
            <w:rStyle w:val="Hyperlink"/>
            <w:rFonts w:cstheme="minorHAnsi"/>
            <w:sz w:val="24"/>
          </w:rPr>
          <w:t>t</w:t>
        </w:r>
        <w:r w:rsidRPr="008F1431">
          <w:rPr>
            <w:rStyle w:val="Hyperlink"/>
            <w:rFonts w:cstheme="minorHAnsi"/>
            <w:sz w:val="24"/>
          </w:rPr>
          <w:t>op</w:t>
        </w:r>
      </w:hyperlink>
      <w:r>
        <w:rPr>
          <w:rFonts w:cstheme="minorHAnsi"/>
          <w:sz w:val="24"/>
        </w:rPr>
        <w:t>]</w:t>
      </w:r>
    </w:p>
    <w:p w14:paraId="412A39BE" w14:textId="0BF5F5CF" w:rsidR="000125F5" w:rsidRDefault="000125F5"/>
    <w:p w14:paraId="75E3BA1F" w14:textId="3C6832BE" w:rsidR="000125F5" w:rsidRDefault="000125F5">
      <w:r>
        <w:br w:type="page"/>
      </w:r>
    </w:p>
    <w:p w14:paraId="73103AA9" w14:textId="77777777" w:rsidR="00EC67E4" w:rsidRPr="00FC64BC" w:rsidRDefault="00EC67E4" w:rsidP="003F4B92">
      <w:pPr>
        <w:shd w:val="clear" w:color="auto" w:fill="FFFFFF"/>
        <w:spacing w:after="225"/>
        <w:textAlignment w:val="baseline"/>
        <w:outlineLvl w:val="0"/>
        <w:rPr>
          <w:rFonts w:eastAsia="Times New Roman" w:cstheme="minorHAnsi"/>
          <w:b/>
          <w:bCs/>
          <w:color w:val="333333"/>
          <w:spacing w:val="15"/>
          <w:kern w:val="36"/>
          <w:sz w:val="28"/>
          <w:szCs w:val="28"/>
        </w:rPr>
      </w:pPr>
      <w:bookmarkStart w:id="13" w:name="SuppMats"/>
      <w:r w:rsidRPr="00FC64BC">
        <w:rPr>
          <w:rFonts w:eastAsia="Times New Roman" w:cstheme="minorHAnsi"/>
          <w:b/>
          <w:bCs/>
          <w:color w:val="333333"/>
          <w:spacing w:val="15"/>
          <w:kern w:val="36"/>
          <w:sz w:val="28"/>
          <w:szCs w:val="28"/>
        </w:rPr>
        <w:lastRenderedPageBreak/>
        <w:t>Supplemental Materials</w:t>
      </w:r>
      <w:bookmarkEnd w:id="13"/>
    </w:p>
    <w:p w14:paraId="50A75E07" w14:textId="77777777" w:rsidR="00EC67E4" w:rsidRPr="00FC64BC" w:rsidRDefault="00EC67E4" w:rsidP="003F4B92">
      <w:pPr>
        <w:shd w:val="clear" w:color="auto" w:fill="FFFFFF"/>
        <w:spacing w:after="240" w:line="240" w:lineRule="atLeast"/>
        <w:textAlignment w:val="baseline"/>
        <w:rPr>
          <w:rFonts w:eastAsia="Times New Roman" w:cstheme="minorHAnsi"/>
          <w:sz w:val="20"/>
          <w:szCs w:val="20"/>
        </w:rPr>
      </w:pPr>
      <w:r w:rsidRPr="003F2816">
        <w:rPr>
          <w:rFonts w:eastAsia="Times New Roman" w:cstheme="minorHAnsi"/>
          <w:szCs w:val="20"/>
        </w:rPr>
        <w:t>The Supplemental Materials compilation lists key documents and additional resources about the issues raised in the Emergency Use Authorization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January 31, 2012. Please report broken links to ASTHO at </w:t>
      </w:r>
      <w:hyperlink r:id="rId115" w:history="1">
        <w:r w:rsidRPr="00FC64BC">
          <w:rPr>
            <w:rFonts w:eastAsia="Times New Roman" w:cstheme="minorHAnsi"/>
            <w:sz w:val="20"/>
            <w:szCs w:val="20"/>
            <w:u w:val="single"/>
            <w:bdr w:val="none" w:sz="0" w:space="0" w:color="auto" w:frame="1"/>
          </w:rPr>
          <w:t>communications@astho.org</w:t>
        </w:r>
      </w:hyperlink>
      <w:r w:rsidRPr="00FC64BC">
        <w:rPr>
          <w:rFonts w:eastAsia="Times New Roman" w:cstheme="minorHAnsi"/>
          <w:sz w:val="20"/>
          <w:szCs w:val="20"/>
        </w:rPr>
        <w:t>.  </w:t>
      </w:r>
    </w:p>
    <w:p w14:paraId="3FCF1D77" w14:textId="77777777" w:rsidR="00EC67E4" w:rsidRPr="00FC64BC" w:rsidRDefault="00EC67E4" w:rsidP="00FC64BC">
      <w:pPr>
        <w:rPr>
          <w:rFonts w:eastAsia="Times New Roman" w:cstheme="minorHAnsi"/>
          <w:b/>
          <w:bCs/>
          <w:sz w:val="24"/>
          <w:szCs w:val="24"/>
        </w:rPr>
      </w:pPr>
      <w:r w:rsidRPr="00FC64BC">
        <w:rPr>
          <w:rFonts w:eastAsia="Times New Roman" w:cstheme="minorHAnsi"/>
          <w:b/>
          <w:bCs/>
          <w:sz w:val="24"/>
          <w:szCs w:val="24"/>
        </w:rPr>
        <w:t>Index</w:t>
      </w:r>
    </w:p>
    <w:p w14:paraId="07AA3FCA" w14:textId="77777777" w:rsidR="00EC67E4" w:rsidRPr="00FC64BC" w:rsidRDefault="00EC67E4" w:rsidP="003F4B92">
      <w:pPr>
        <w:shd w:val="clear" w:color="auto" w:fill="FFFFFF"/>
        <w:spacing w:after="225" w:line="240" w:lineRule="atLeast"/>
        <w:textAlignment w:val="baseline"/>
        <w:rPr>
          <w:rFonts w:eastAsia="Times New Roman" w:cstheme="minorHAnsi"/>
          <w:sz w:val="20"/>
          <w:szCs w:val="20"/>
        </w:rPr>
      </w:pPr>
    </w:p>
    <w:p w14:paraId="295DEEE4" w14:textId="77777777" w:rsidR="00EC67E4" w:rsidRPr="009C4E9A" w:rsidRDefault="00EC67E4" w:rsidP="00FC64BC">
      <w:pPr>
        <w:rPr>
          <w:rFonts w:eastAsia="Times New Roman" w:cstheme="minorHAnsi"/>
          <w:b/>
          <w:bCs/>
        </w:rPr>
      </w:pPr>
      <w:r w:rsidRPr="009C4E9A">
        <w:rPr>
          <w:rFonts w:eastAsia="Times New Roman" w:cstheme="minorHAnsi"/>
          <w:b/>
          <w:bCs/>
        </w:rPr>
        <w:t>General Resources and Compilations</w:t>
      </w:r>
    </w:p>
    <w:p w14:paraId="13A277BF"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A—K </w:t>
      </w:r>
      <w:r w:rsidRPr="009C4E9A">
        <w:rPr>
          <w:rFonts w:eastAsia="Times New Roman" w:cstheme="minorHAnsi"/>
          <w:b/>
          <w:bCs/>
          <w:bdr w:val="none" w:sz="0" w:space="0" w:color="auto" w:frame="1"/>
        </w:rPr>
        <w:br/>
      </w:r>
      <w:hyperlink r:id="rId116" w:anchor="At-Risk" w:history="1">
        <w:r w:rsidRPr="009C4E9A">
          <w:rPr>
            <w:rFonts w:eastAsia="Times New Roman" w:cstheme="minorHAnsi"/>
            <w:color w:val="0F88B8"/>
            <w:u w:val="single"/>
            <w:bdr w:val="none" w:sz="0" w:space="0" w:color="auto" w:frame="1"/>
          </w:rPr>
          <w:t>At-Risk Individuals and Communities </w:t>
        </w:r>
      </w:hyperlink>
      <w:r w:rsidRPr="009C4E9A">
        <w:rPr>
          <w:rFonts w:eastAsia="Times New Roman" w:cstheme="minorHAnsi"/>
          <w:color w:val="737373"/>
        </w:rPr>
        <w:br/>
      </w:r>
      <w:hyperlink r:id="rId117" w:anchor="Biomedical-Advanced" w:history="1">
        <w:r w:rsidRPr="009C4E9A">
          <w:rPr>
            <w:rFonts w:eastAsia="Times New Roman" w:cstheme="minorHAnsi"/>
            <w:color w:val="0F88B8"/>
            <w:u w:val="single"/>
            <w:bdr w:val="none" w:sz="0" w:space="0" w:color="auto" w:frame="1"/>
          </w:rPr>
          <w:t>Biomedical Advanced Research and Development Authority (BARDA)</w:t>
        </w:r>
      </w:hyperlink>
      <w:r w:rsidRPr="009C4E9A">
        <w:rPr>
          <w:rFonts w:eastAsia="Times New Roman" w:cstheme="minorHAnsi"/>
          <w:color w:val="737373"/>
        </w:rPr>
        <w:t> </w:t>
      </w:r>
      <w:r w:rsidRPr="009C4E9A">
        <w:rPr>
          <w:rFonts w:eastAsia="Times New Roman" w:cstheme="minorHAnsi"/>
          <w:color w:val="737373"/>
        </w:rPr>
        <w:br/>
      </w:r>
      <w:hyperlink r:id="rId118" w:anchor="Cities-Readiness" w:history="1">
        <w:r w:rsidRPr="009C4E9A">
          <w:rPr>
            <w:rFonts w:eastAsia="Times New Roman" w:cstheme="minorHAnsi"/>
            <w:color w:val="0F88B8"/>
            <w:u w:val="single"/>
            <w:bdr w:val="none" w:sz="0" w:space="0" w:color="auto" w:frame="1"/>
          </w:rPr>
          <w:t>Cities Readiness Initiative (CRI)</w:t>
        </w:r>
      </w:hyperlink>
      <w:r w:rsidRPr="009C4E9A">
        <w:rPr>
          <w:rFonts w:eastAsia="Times New Roman" w:cstheme="minorHAnsi"/>
          <w:color w:val="737373"/>
        </w:rPr>
        <w:t> </w:t>
      </w:r>
      <w:r w:rsidRPr="009C4E9A">
        <w:rPr>
          <w:rFonts w:eastAsia="Times New Roman" w:cstheme="minorHAnsi"/>
          <w:color w:val="737373"/>
        </w:rPr>
        <w:br/>
      </w:r>
      <w:hyperlink r:id="rId119" w:anchor="Countermeasures-Injury" w:history="1">
        <w:r w:rsidRPr="009C4E9A">
          <w:rPr>
            <w:rFonts w:eastAsia="Times New Roman" w:cstheme="minorHAnsi"/>
            <w:color w:val="0F88B8"/>
            <w:u w:val="single"/>
            <w:bdr w:val="none" w:sz="0" w:space="0" w:color="auto" w:frame="1"/>
          </w:rPr>
          <w:t>Countermeasures Injury Compensation Program (CICP)</w:t>
        </w:r>
      </w:hyperlink>
      <w:r w:rsidRPr="009C4E9A">
        <w:rPr>
          <w:rFonts w:eastAsia="Times New Roman" w:cstheme="minorHAnsi"/>
          <w:color w:val="737373"/>
        </w:rPr>
        <w:t> </w:t>
      </w:r>
      <w:r w:rsidRPr="009C4E9A">
        <w:rPr>
          <w:rFonts w:eastAsia="Times New Roman" w:cstheme="minorHAnsi"/>
          <w:color w:val="737373"/>
        </w:rPr>
        <w:br/>
      </w:r>
      <w:hyperlink r:id="rId120" w:anchor="Defense-Medical" w:history="1">
        <w:r w:rsidRPr="009C4E9A">
          <w:rPr>
            <w:rFonts w:eastAsia="Times New Roman" w:cstheme="minorHAnsi"/>
            <w:color w:val="0F88B8"/>
            <w:u w:val="single"/>
            <w:bdr w:val="none" w:sz="0" w:space="0" w:color="auto" w:frame="1"/>
          </w:rPr>
          <w:t>Defense Medical Materiel Program Office (DMMPO)</w:t>
        </w:r>
      </w:hyperlink>
      <w:r w:rsidRPr="009C4E9A">
        <w:rPr>
          <w:rFonts w:eastAsia="Times New Roman" w:cstheme="minorHAnsi"/>
          <w:color w:val="737373"/>
        </w:rPr>
        <w:t> </w:t>
      </w:r>
      <w:r w:rsidRPr="009C4E9A">
        <w:rPr>
          <w:rFonts w:eastAsia="Times New Roman" w:cstheme="minorHAnsi"/>
          <w:color w:val="737373"/>
        </w:rPr>
        <w:br/>
      </w:r>
      <w:hyperlink r:id="rId121" w:anchor="Emergency-Use" w:history="1">
        <w:r w:rsidRPr="009C4E9A">
          <w:rPr>
            <w:rFonts w:eastAsia="Times New Roman" w:cstheme="minorHAnsi"/>
            <w:color w:val="0F88B8"/>
            <w:u w:val="single"/>
            <w:bdr w:val="none" w:sz="0" w:space="0" w:color="auto" w:frame="1"/>
          </w:rPr>
          <w:t>Emergency Use Authorization (EUA)</w:t>
        </w:r>
      </w:hyperlink>
      <w:r w:rsidRPr="009C4E9A">
        <w:rPr>
          <w:rFonts w:eastAsia="Times New Roman" w:cstheme="minorHAnsi"/>
          <w:color w:val="737373"/>
        </w:rPr>
        <w:t> </w:t>
      </w:r>
      <w:r w:rsidRPr="009C4E9A">
        <w:rPr>
          <w:rFonts w:eastAsia="Times New Roman" w:cstheme="minorHAnsi"/>
          <w:color w:val="737373"/>
        </w:rPr>
        <w:br/>
      </w:r>
      <w:hyperlink r:id="rId122" w:anchor="Federal-Food" w:history="1">
        <w:r w:rsidRPr="009C4E9A">
          <w:rPr>
            <w:rFonts w:eastAsia="Times New Roman" w:cstheme="minorHAnsi"/>
            <w:color w:val="0F88B8"/>
            <w:u w:val="single"/>
            <w:bdr w:val="none" w:sz="0" w:space="0" w:color="auto" w:frame="1"/>
          </w:rPr>
          <w:t>Federal Food, Drug, and Cosmetics Act (FD&amp;C Act)</w:t>
        </w:r>
      </w:hyperlink>
      <w:r w:rsidRPr="009C4E9A">
        <w:rPr>
          <w:rFonts w:eastAsia="Times New Roman" w:cstheme="minorHAnsi"/>
          <w:color w:val="737373"/>
        </w:rPr>
        <w:t> </w:t>
      </w:r>
      <w:r w:rsidRPr="009C4E9A">
        <w:rPr>
          <w:rFonts w:eastAsia="Times New Roman" w:cstheme="minorHAnsi"/>
          <w:color w:val="737373"/>
        </w:rPr>
        <w:br/>
      </w:r>
      <w:hyperlink r:id="rId123" w:anchor="Federal-Tort" w:history="1">
        <w:r w:rsidRPr="009C4E9A">
          <w:rPr>
            <w:rFonts w:eastAsia="Times New Roman" w:cstheme="minorHAnsi"/>
            <w:color w:val="0F88B8"/>
            <w:u w:val="single"/>
            <w:bdr w:val="none" w:sz="0" w:space="0" w:color="auto" w:frame="1"/>
          </w:rPr>
          <w:t>Federal Tort Claims Act (FTCA)</w:t>
        </w:r>
      </w:hyperlink>
      <w:r w:rsidRPr="009C4E9A">
        <w:rPr>
          <w:rFonts w:eastAsia="Times New Roman" w:cstheme="minorHAnsi"/>
          <w:color w:val="737373"/>
        </w:rPr>
        <w:t> </w:t>
      </w:r>
      <w:r w:rsidRPr="009C4E9A">
        <w:rPr>
          <w:rFonts w:eastAsia="Times New Roman" w:cstheme="minorHAnsi"/>
          <w:color w:val="737373"/>
        </w:rPr>
        <w:br/>
      </w:r>
      <w:hyperlink r:id="rId124" w:anchor="Food-And-Drug" w:history="1">
        <w:r w:rsidRPr="009C4E9A">
          <w:rPr>
            <w:rFonts w:eastAsia="Times New Roman" w:cstheme="minorHAnsi"/>
            <w:color w:val="0F88B8"/>
            <w:u w:val="single"/>
            <w:bdr w:val="none" w:sz="0" w:space="0" w:color="auto" w:frame="1"/>
          </w:rPr>
          <w:t>Food and Drug Administration (FDA)</w:t>
        </w:r>
      </w:hyperlink>
      <w:r w:rsidRPr="009C4E9A">
        <w:rPr>
          <w:rFonts w:eastAsia="Times New Roman" w:cstheme="minorHAnsi"/>
          <w:color w:val="737373"/>
        </w:rPr>
        <w:t> </w:t>
      </w:r>
      <w:r w:rsidRPr="009C4E9A">
        <w:rPr>
          <w:rFonts w:eastAsia="Times New Roman" w:cstheme="minorHAnsi"/>
          <w:color w:val="737373"/>
        </w:rPr>
        <w:br/>
      </w:r>
      <w:hyperlink r:id="rId125" w:anchor="HHS-Office" w:history="1">
        <w:r w:rsidRPr="009C4E9A">
          <w:rPr>
            <w:rFonts w:eastAsia="Times New Roman" w:cstheme="minorHAnsi"/>
            <w:color w:val="0F88B8"/>
            <w:u w:val="single"/>
            <w:bdr w:val="none" w:sz="0" w:space="0" w:color="auto" w:frame="1"/>
          </w:rPr>
          <w:t>HHS Office of the Assistant Secretary for Preparedness and Response (ASPR)</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O—Z </w:t>
      </w:r>
      <w:r w:rsidRPr="009C4E9A">
        <w:rPr>
          <w:rFonts w:eastAsia="Times New Roman" w:cstheme="minorHAnsi"/>
          <w:b/>
          <w:bCs/>
          <w:bdr w:val="none" w:sz="0" w:space="0" w:color="auto" w:frame="1"/>
        </w:rPr>
        <w:br/>
      </w:r>
      <w:hyperlink r:id="rId126" w:anchor="Pandemic-And" w:history="1">
        <w:r w:rsidRPr="009C4E9A">
          <w:rPr>
            <w:rFonts w:eastAsia="Times New Roman" w:cstheme="minorHAnsi"/>
            <w:color w:val="0F88B8"/>
            <w:u w:val="single"/>
            <w:bdr w:val="none" w:sz="0" w:space="0" w:color="auto" w:frame="1"/>
          </w:rPr>
          <w:t>Pandemic and All-Hazards Preparedness Act (PAHPA)</w:t>
        </w:r>
      </w:hyperlink>
      <w:r w:rsidRPr="009C4E9A">
        <w:rPr>
          <w:rFonts w:eastAsia="Times New Roman" w:cstheme="minorHAnsi"/>
          <w:color w:val="737373"/>
        </w:rPr>
        <w:t> </w:t>
      </w:r>
      <w:r w:rsidRPr="009C4E9A">
        <w:rPr>
          <w:rFonts w:eastAsia="Times New Roman" w:cstheme="minorHAnsi"/>
          <w:color w:val="737373"/>
        </w:rPr>
        <w:br/>
      </w:r>
      <w:hyperlink r:id="rId127" w:anchor="Pandemic-Strategies" w:history="1">
        <w:r w:rsidRPr="009C4E9A">
          <w:rPr>
            <w:rFonts w:eastAsia="Times New Roman" w:cstheme="minorHAnsi"/>
            <w:color w:val="0F88B8"/>
            <w:u w:val="single"/>
            <w:bdr w:val="none" w:sz="0" w:space="0" w:color="auto" w:frame="1"/>
          </w:rPr>
          <w:t>Pandemic Strategies and Plans</w:t>
        </w:r>
      </w:hyperlink>
      <w:r w:rsidRPr="009C4E9A">
        <w:rPr>
          <w:rFonts w:eastAsia="Times New Roman" w:cstheme="minorHAnsi"/>
          <w:color w:val="737373"/>
        </w:rPr>
        <w:t> </w:t>
      </w:r>
      <w:r w:rsidRPr="009C4E9A">
        <w:rPr>
          <w:rFonts w:eastAsia="Times New Roman" w:cstheme="minorHAnsi"/>
          <w:color w:val="737373"/>
        </w:rPr>
        <w:br/>
      </w:r>
      <w:hyperlink r:id="rId128" w:anchor="Project-BioShield" w:history="1">
        <w:r w:rsidRPr="009C4E9A">
          <w:rPr>
            <w:rFonts w:eastAsia="Times New Roman" w:cstheme="minorHAnsi"/>
            <w:color w:val="0F88B8"/>
            <w:u w:val="single"/>
            <w:bdr w:val="none" w:sz="0" w:space="0" w:color="auto" w:frame="1"/>
          </w:rPr>
          <w:t xml:space="preserve">Project </w:t>
        </w:r>
        <w:proofErr w:type="spellStart"/>
        <w:r w:rsidRPr="009C4E9A">
          <w:rPr>
            <w:rFonts w:eastAsia="Times New Roman" w:cstheme="minorHAnsi"/>
            <w:color w:val="0F88B8"/>
            <w:u w:val="single"/>
            <w:bdr w:val="none" w:sz="0" w:space="0" w:color="auto" w:frame="1"/>
          </w:rPr>
          <w:t>BioShield</w:t>
        </w:r>
        <w:proofErr w:type="spellEnd"/>
        <w:r w:rsidRPr="009C4E9A">
          <w:rPr>
            <w:rFonts w:eastAsia="Times New Roman" w:cstheme="minorHAnsi"/>
            <w:color w:val="0F88B8"/>
            <w:u w:val="single"/>
            <w:bdr w:val="none" w:sz="0" w:space="0" w:color="auto" w:frame="1"/>
          </w:rPr>
          <w:t xml:space="preserve"> Act</w:t>
        </w:r>
      </w:hyperlink>
      <w:r w:rsidRPr="009C4E9A">
        <w:rPr>
          <w:rFonts w:eastAsia="Times New Roman" w:cstheme="minorHAnsi"/>
          <w:color w:val="737373"/>
        </w:rPr>
        <w:t> </w:t>
      </w:r>
      <w:r w:rsidRPr="009C4E9A">
        <w:rPr>
          <w:rFonts w:eastAsia="Times New Roman" w:cstheme="minorHAnsi"/>
          <w:color w:val="737373"/>
        </w:rPr>
        <w:br/>
      </w:r>
      <w:hyperlink r:id="rId129" w:anchor="Public-Health-Service" w:history="1">
        <w:r w:rsidRPr="009C4E9A">
          <w:rPr>
            <w:rFonts w:eastAsia="Times New Roman" w:cstheme="minorHAnsi"/>
            <w:color w:val="0F88B8"/>
            <w:u w:val="single"/>
            <w:bdr w:val="none" w:sz="0" w:space="0" w:color="auto" w:frame="1"/>
          </w:rPr>
          <w:t>Public Health Service Act, Section 319—Authorities Related to Public Health Emergencies</w:t>
        </w:r>
      </w:hyperlink>
      <w:r w:rsidRPr="009C4E9A">
        <w:rPr>
          <w:rFonts w:eastAsia="Times New Roman" w:cstheme="minorHAnsi"/>
          <w:color w:val="737373"/>
        </w:rPr>
        <w:t> </w:t>
      </w:r>
      <w:r w:rsidRPr="009C4E9A">
        <w:rPr>
          <w:rFonts w:eastAsia="Times New Roman" w:cstheme="minorHAnsi"/>
          <w:color w:val="737373"/>
        </w:rPr>
        <w:br/>
      </w:r>
      <w:hyperlink r:id="rId130" w:anchor="Public-Readiness" w:history="1">
        <w:r w:rsidRPr="009C4E9A">
          <w:rPr>
            <w:rFonts w:eastAsia="Times New Roman" w:cstheme="minorHAnsi"/>
            <w:color w:val="0F88B8"/>
            <w:u w:val="single"/>
            <w:bdr w:val="none" w:sz="0" w:space="0" w:color="auto" w:frame="1"/>
          </w:rPr>
          <w:t>Public Readiness and Emergency Preparedness Act (PREP Act)</w:t>
        </w:r>
      </w:hyperlink>
      <w:r w:rsidRPr="009C4E9A">
        <w:rPr>
          <w:rFonts w:eastAsia="Times New Roman" w:cstheme="minorHAnsi"/>
          <w:color w:val="737373"/>
        </w:rPr>
        <w:t> </w:t>
      </w:r>
      <w:r w:rsidRPr="009C4E9A">
        <w:rPr>
          <w:rFonts w:eastAsia="Times New Roman" w:cstheme="minorHAnsi"/>
          <w:color w:val="737373"/>
        </w:rPr>
        <w:br/>
      </w:r>
      <w:hyperlink r:id="rId131" w:anchor="Shelf-Life" w:history="1">
        <w:r w:rsidRPr="009C4E9A">
          <w:rPr>
            <w:rFonts w:eastAsia="Times New Roman" w:cstheme="minorHAnsi"/>
            <w:color w:val="0F88B8"/>
            <w:u w:val="single"/>
            <w:bdr w:val="none" w:sz="0" w:space="0" w:color="auto" w:frame="1"/>
          </w:rPr>
          <w:t>Shelf Life Extension Program (SLEP)</w:t>
        </w:r>
      </w:hyperlink>
      <w:r w:rsidRPr="009C4E9A">
        <w:rPr>
          <w:rFonts w:eastAsia="Times New Roman" w:cstheme="minorHAnsi"/>
          <w:color w:val="737373"/>
        </w:rPr>
        <w:t> </w:t>
      </w:r>
      <w:r w:rsidRPr="009C4E9A">
        <w:rPr>
          <w:rFonts w:eastAsia="Times New Roman" w:cstheme="minorHAnsi"/>
          <w:color w:val="737373"/>
        </w:rPr>
        <w:br/>
      </w:r>
      <w:hyperlink r:id="rId132" w:anchor="Strategic-National" w:history="1">
        <w:r w:rsidRPr="009C4E9A">
          <w:rPr>
            <w:rFonts w:eastAsia="Times New Roman" w:cstheme="minorHAnsi"/>
            <w:color w:val="0F88B8"/>
            <w:u w:val="single"/>
            <w:bdr w:val="none" w:sz="0" w:space="0" w:color="auto" w:frame="1"/>
          </w:rPr>
          <w:t>Strategic National Stockpile (SNS)</w:t>
        </w:r>
      </w:hyperlink>
      <w:r w:rsidRPr="009C4E9A">
        <w:rPr>
          <w:rFonts w:eastAsia="Times New Roman" w:cstheme="minorHAnsi"/>
          <w:color w:val="737373"/>
        </w:rPr>
        <w:t> </w:t>
      </w:r>
      <w:r w:rsidRPr="009C4E9A">
        <w:rPr>
          <w:rFonts w:eastAsia="Times New Roman" w:cstheme="minorHAnsi"/>
          <w:color w:val="737373"/>
        </w:rPr>
        <w:br/>
      </w:r>
      <w:hyperlink r:id="rId133" w:anchor="Vaccine-Injury" w:history="1">
        <w:r w:rsidRPr="009C4E9A">
          <w:rPr>
            <w:rFonts w:eastAsia="Times New Roman" w:cstheme="minorHAnsi"/>
            <w:color w:val="0F88B8"/>
            <w:u w:val="single"/>
            <w:bdr w:val="none" w:sz="0" w:space="0" w:color="auto" w:frame="1"/>
          </w:rPr>
          <w:t>Vaccine Injury Compensation Program (VICP)</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p>
    <w:p w14:paraId="5AD8A8D6" w14:textId="77777777" w:rsidR="00EC67E4" w:rsidRPr="009C4E9A" w:rsidRDefault="00EC67E4" w:rsidP="00FC64BC">
      <w:pPr>
        <w:rPr>
          <w:rFonts w:eastAsia="Times New Roman" w:cstheme="minorHAnsi"/>
          <w:b/>
          <w:bCs/>
        </w:rPr>
      </w:pPr>
      <w:r w:rsidRPr="009C4E9A">
        <w:rPr>
          <w:rFonts w:eastAsia="Times New Roman" w:cstheme="minorHAnsi"/>
          <w:b/>
          <w:bCs/>
        </w:rPr>
        <w:t>General Resources and Compilations</w:t>
      </w:r>
    </w:p>
    <w:p w14:paraId="44D1FA66"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Governmental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“Legal Authority and Related Guidance” webpage. Available at </w:t>
      </w:r>
      <w:hyperlink r:id="rId134" w:tgtFrame="_blank" w:tooltip="http://www.phe.gov/Preparedness/planning/authority/Pages/default.aspx" w:history="1">
        <w:r w:rsidRPr="009C4E9A">
          <w:rPr>
            <w:rFonts w:eastAsia="Times New Roman" w:cstheme="minorHAnsi"/>
            <w:color w:val="0F88B8"/>
            <w:u w:val="single"/>
            <w:bdr w:val="none" w:sz="0" w:space="0" w:color="auto" w:frame="1"/>
          </w:rPr>
          <w:t>http://www.phe.gov/Preparedness/planning/authority/Pages/default.aspx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Office of the Assistant Secretary for Preparedness and Response. “Legal Authority of the Secretary” webpage. Available at</w:t>
      </w:r>
      <w:r w:rsidRPr="009C4E9A">
        <w:rPr>
          <w:rFonts w:eastAsia="Times New Roman" w:cstheme="minorHAnsi"/>
          <w:color w:val="737373"/>
        </w:rPr>
        <w:t> </w:t>
      </w:r>
      <w:hyperlink r:id="rId135" w:tgtFrame="_blank" w:tooltip="http://www.phe.gov/preparedness/support/secauthority/Pages/default.aspx" w:history="1">
        <w:r w:rsidRPr="009C4E9A">
          <w:rPr>
            <w:rFonts w:eastAsia="Times New Roman" w:cstheme="minorHAnsi"/>
            <w:color w:val="0F88B8"/>
            <w:u w:val="single"/>
            <w:bdr w:val="none" w:sz="0" w:space="0" w:color="auto" w:frame="1"/>
          </w:rPr>
          <w:t>http://www.phe.gov/preparedness/support/secauthority/Pages/default.aspx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rPr>
        <w:lastRenderedPageBreak/>
        <w:t>Lister SA. Congressional Research Service. </w:t>
      </w:r>
      <w:r w:rsidRPr="009C4E9A">
        <w:rPr>
          <w:rFonts w:eastAsia="Times New Roman" w:cstheme="minorHAnsi"/>
          <w:i/>
          <w:iCs/>
          <w:bdr w:val="none" w:sz="0" w:space="0" w:color="auto" w:frame="1"/>
        </w:rPr>
        <w:t>The Public Health and Medical Response to Disasters: Federal Authority and Funding</w:t>
      </w:r>
      <w:r w:rsidRPr="009C4E9A">
        <w:rPr>
          <w:rFonts w:eastAsia="Times New Roman" w:cstheme="minorHAnsi"/>
        </w:rPr>
        <w:t> (RL33579). August 1, 2008. Available at </w:t>
      </w:r>
      <w:hyperlink r:id="rId136" w:tooltip="http://digital.library.unt.edu/ark:/67531/metacrs9495/m1/1/high_res_d/RL33579_2006Jul28.pdf" w:history="1">
        <w:r w:rsidRPr="009C4E9A">
          <w:rPr>
            <w:rFonts w:eastAsia="Times New Roman" w:cstheme="minorHAnsi"/>
            <w:color w:val="0F88B8"/>
            <w:u w:val="single"/>
            <w:bdr w:val="none" w:sz="0" w:space="0" w:color="auto" w:frame="1"/>
          </w:rPr>
          <w:t>http://digital.library.unt.edu/ark:/67531/metacrs9495/m1/1/high_res_d/RL33579_2006Jul28.pdf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proofErr w:type="spellStart"/>
      <w:r w:rsidRPr="009C4E9A">
        <w:rPr>
          <w:rFonts w:eastAsia="Times New Roman" w:cstheme="minorHAnsi"/>
        </w:rPr>
        <w:t>Swendiman</w:t>
      </w:r>
      <w:proofErr w:type="spellEnd"/>
      <w:r w:rsidRPr="009C4E9A">
        <w:rPr>
          <w:rFonts w:eastAsia="Times New Roman" w:cstheme="minorHAnsi"/>
        </w:rPr>
        <w:t xml:space="preserve"> KS and Jones NL. Congressional Research Service. </w:t>
      </w:r>
      <w:r w:rsidRPr="009C4E9A">
        <w:rPr>
          <w:rFonts w:eastAsia="Times New Roman" w:cstheme="minorHAnsi"/>
          <w:i/>
          <w:iCs/>
          <w:bdr w:val="none" w:sz="0" w:space="0" w:color="auto" w:frame="1"/>
        </w:rPr>
        <w:t>The 2009 Influenza Pandemic: Selected Legal Issues</w:t>
      </w:r>
      <w:r w:rsidRPr="009C4E9A">
        <w:rPr>
          <w:rFonts w:eastAsia="Times New Roman" w:cstheme="minorHAnsi"/>
        </w:rPr>
        <w:t> (R40560). June 15, 2009. Available at </w:t>
      </w:r>
      <w:hyperlink r:id="rId137" w:tooltip="http://digital.library.unt.edu/ark:/67531/metadc26152/m1/1/high_res_d/R40560_2009Jun15.pdf" w:history="1">
        <w:r w:rsidRPr="009C4E9A">
          <w:rPr>
            <w:rFonts w:eastAsia="Times New Roman" w:cstheme="minorHAnsi"/>
            <w:color w:val="0F88B8"/>
            <w:u w:val="single"/>
            <w:bdr w:val="none" w:sz="0" w:space="0" w:color="auto" w:frame="1"/>
          </w:rPr>
          <w:t>http://digital.library.unt.edu/ark:/67531/metadc26152/m1/1/high_res_d/R40560_2009Jun15.pdf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Sources </w:t>
      </w:r>
      <w:r w:rsidRPr="009C4E9A">
        <w:rPr>
          <w:rFonts w:eastAsia="Times New Roman" w:cstheme="minorHAnsi"/>
          <w:b/>
          <w:bCs/>
          <w:bdr w:val="none" w:sz="0" w:space="0" w:color="auto" w:frame="1"/>
        </w:rPr>
        <w:br/>
      </w:r>
      <w:r w:rsidRPr="009C4E9A">
        <w:rPr>
          <w:rFonts w:eastAsia="Times New Roman" w:cstheme="minorHAnsi"/>
        </w:rPr>
        <w:t>American Health Lawyers Association. Emergency Preparedness Toolkit. May 4, 2010. Available at </w:t>
      </w:r>
      <w:hyperlink r:id="rId138" w:tgtFrame="_blank" w:tooltip="http://www.healthlawyers.org/Members/PracticeGroups/THAMC/EmergencyPreparednessToolkit/Pages/default.aspx" w:history="1">
        <w:r w:rsidRPr="009C4E9A">
          <w:rPr>
            <w:rFonts w:eastAsia="Times New Roman" w:cstheme="minorHAnsi"/>
            <w:color w:val="0F88B8"/>
            <w:u w:val="single"/>
            <w:bdr w:val="none" w:sz="0" w:space="0" w:color="auto" w:frame="1"/>
          </w:rPr>
          <w:t>http://www.healthlawyers.org/Members/PracticeGroups/THAMC/EmergencyPreparednessToolkit/Pages/default.aspx</w:t>
        </w:r>
      </w:hyperlink>
      <w:r w:rsidRPr="009C4E9A">
        <w:rPr>
          <w:rFonts w:eastAsia="Times New Roman" w:cstheme="minorHAnsi"/>
          <w:color w:val="737373"/>
        </w:rPr>
        <w:t>. </w:t>
      </w:r>
      <w:r w:rsidRPr="009C4E9A">
        <w:rPr>
          <w:rFonts w:eastAsia="Times New Roman" w:cstheme="minorHAnsi"/>
          <w:color w:val="737373"/>
        </w:rPr>
        <w:br/>
      </w:r>
    </w:p>
    <w:p w14:paraId="46800108" w14:textId="77777777" w:rsidR="00EC67E4" w:rsidRPr="009C4E9A" w:rsidRDefault="00EC67E4" w:rsidP="00FC64BC">
      <w:pPr>
        <w:rPr>
          <w:rFonts w:eastAsia="Times New Roman" w:cstheme="minorHAnsi"/>
          <w:b/>
          <w:bCs/>
        </w:rPr>
      </w:pPr>
      <w:r w:rsidRPr="009C4E9A">
        <w:rPr>
          <w:rFonts w:eastAsia="Times New Roman" w:cstheme="minorHAnsi"/>
          <w:b/>
          <w:bCs/>
        </w:rPr>
        <w:t>At-Risk Individuals and Communities</w:t>
      </w:r>
    </w:p>
    <w:p w14:paraId="37B471EA"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rPr>
        <w:br/>
        <w:t>HHS Office of the Assistant Secretary for Preparedness and Response. “At-Risk Individuals, Behavioral Health, and Human Services Coordination” webpage. Available at </w:t>
      </w:r>
      <w:hyperlink r:id="rId139" w:tgtFrame="_blank" w:tooltip="http://www.phe.gov/Preparedness/planning/abc/Pages/default.aspx" w:history="1">
        <w:r w:rsidRPr="009C4E9A">
          <w:rPr>
            <w:rFonts w:eastAsia="Times New Roman" w:cstheme="minorHAnsi"/>
            <w:color w:val="0F88B8"/>
            <w:u w:val="single"/>
            <w:bdr w:val="none" w:sz="0" w:space="0" w:color="auto" w:frame="1"/>
          </w:rPr>
          <w:t>http://www.phe.gov/Preparedness/planning/abc/Pages/default.aspx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rPr>
        <w:br/>
        <w:t>Association of State and Territorial Health Officials. “At-Risk Populations Project” webpage. Available at </w:t>
      </w:r>
      <w:hyperlink r:id="rId140" w:tooltip="http://www.astho.org/Programs/Infectious-Disease/At-Risk-Populations/" w:history="1">
        <w:r w:rsidRPr="009C4E9A">
          <w:rPr>
            <w:rFonts w:eastAsia="Times New Roman" w:cstheme="minorHAnsi"/>
            <w:color w:val="0F88B8"/>
            <w:u w:val="single"/>
            <w:bdr w:val="none" w:sz="0" w:space="0" w:color="auto" w:frame="1"/>
          </w:rPr>
          <w:t>http://www.astho.org/Programs/Infectious-Disease/At-Risk-Populations/</w:t>
        </w:r>
      </w:hyperlink>
      <w:r w:rsidRPr="009C4E9A">
        <w:rPr>
          <w:rFonts w:eastAsia="Times New Roman" w:cstheme="minorHAnsi"/>
          <w:color w:val="737373"/>
        </w:rPr>
        <w:t>. </w:t>
      </w:r>
      <w:r w:rsidRPr="009C4E9A">
        <w:rPr>
          <w:rFonts w:eastAsia="Times New Roman" w:cstheme="minorHAnsi"/>
          <w:color w:val="737373"/>
        </w:rPr>
        <w:br/>
      </w:r>
    </w:p>
    <w:p w14:paraId="2082E7F7" w14:textId="77777777" w:rsidR="00EC67E4" w:rsidRPr="009C4E9A" w:rsidRDefault="00EC67E4" w:rsidP="00FC64BC">
      <w:pPr>
        <w:rPr>
          <w:rFonts w:eastAsia="Times New Roman" w:cstheme="minorHAnsi"/>
          <w:b/>
          <w:bCs/>
        </w:rPr>
      </w:pPr>
      <w:r w:rsidRPr="009C4E9A">
        <w:rPr>
          <w:rFonts w:eastAsia="Times New Roman" w:cstheme="minorHAnsi"/>
          <w:b/>
          <w:bCs/>
        </w:rPr>
        <w:t>Biomedical Advanced Research and Development Authority (BARDA)</w:t>
      </w:r>
    </w:p>
    <w:p w14:paraId="5909ACEB"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also </w:t>
      </w:r>
      <w:hyperlink r:id="rId141" w:anchor="Countermeasures-Injury" w:history="1">
        <w:r w:rsidRPr="009C4E9A">
          <w:rPr>
            <w:rFonts w:eastAsia="Times New Roman" w:cstheme="minorHAnsi"/>
            <w:i/>
            <w:iCs/>
            <w:color w:val="0F88B8"/>
            <w:u w:val="single"/>
            <w:bdr w:val="none" w:sz="0" w:space="0" w:color="auto" w:frame="1"/>
          </w:rPr>
          <w:t>“Countermeasures Injury Compensation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“Biomedical Advanced Research and Development Authority (BARDA)” webpage. Available at </w:t>
      </w:r>
      <w:hyperlink r:id="rId142" w:tgtFrame="_blank" w:tooltip="http://www.phe.gov/about/barda/Pages/default.aspx" w:history="1">
        <w:r w:rsidRPr="009C4E9A">
          <w:rPr>
            <w:rFonts w:eastAsia="Times New Roman" w:cstheme="minorHAnsi"/>
            <w:color w:val="0F88B8"/>
            <w:u w:val="single"/>
            <w:bdr w:val="none" w:sz="0" w:space="0" w:color="auto" w:frame="1"/>
          </w:rPr>
          <w:t>http://www.phe.gov/about/barda/Pages/default.aspx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MedicalCountermeasures.gov webpage available at </w:t>
      </w:r>
      <w:hyperlink r:id="rId143" w:tgtFrame="_blank" w:tooltip="https://www.medicalcountermeasures.gov/default.aspx" w:history="1">
        <w:r w:rsidRPr="009C4E9A">
          <w:rPr>
            <w:rFonts w:eastAsia="Times New Roman" w:cstheme="minorHAnsi"/>
            <w:color w:val="0F88B8"/>
            <w:u w:val="single"/>
            <w:bdr w:val="none" w:sz="0" w:space="0" w:color="auto" w:frame="1"/>
          </w:rPr>
          <w:t>https://www.medicalcountermeasures.gov/default.aspx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Authorities, Appropriations, Acquisitions, and Issues for Congress</w:t>
      </w:r>
      <w:r w:rsidRPr="009C4E9A">
        <w:rPr>
          <w:rFonts w:eastAsia="Times New Roman" w:cstheme="minorHAnsi"/>
        </w:rPr>
        <w:t> (R41033). March 3, 2011. Available at </w:t>
      </w:r>
      <w:hyperlink r:id="rId144" w:tgtFrame="_blank" w:tooltip="http://assets.opencrs.com/rpts/R41033_20110303.pdf" w:history="1">
        <w:r w:rsidRPr="009C4E9A">
          <w:rPr>
            <w:rFonts w:eastAsia="Times New Roman" w:cstheme="minorHAnsi"/>
            <w:color w:val="0F88B8"/>
            <w:u w:val="single"/>
            <w:bdr w:val="none" w:sz="0" w:space="0" w:color="auto" w:frame="1"/>
          </w:rPr>
          <w:t>http://assets.opencrs.com/rpts/R41033_20110303.pdf</w:t>
        </w:r>
      </w:hyperlink>
      <w:r w:rsidRPr="009C4E9A">
        <w:rPr>
          <w:rFonts w:eastAsia="Times New Roman" w:cstheme="minorHAnsi"/>
          <w:color w:val="737373"/>
        </w:rPr>
        <w:t>. </w:t>
      </w:r>
      <w:r w:rsidRPr="009C4E9A">
        <w:rPr>
          <w:rFonts w:eastAsia="Times New Roman" w:cstheme="minorHAnsi"/>
          <w:color w:val="737373"/>
        </w:rPr>
        <w:br/>
      </w:r>
    </w:p>
    <w:p w14:paraId="633BAA6E" w14:textId="77777777" w:rsidR="00EC67E4" w:rsidRPr="009C4E9A" w:rsidRDefault="00EC67E4" w:rsidP="00FC64BC">
      <w:pPr>
        <w:rPr>
          <w:rFonts w:eastAsia="Times New Roman" w:cstheme="minorHAnsi"/>
          <w:b/>
          <w:bCs/>
        </w:rPr>
      </w:pPr>
      <w:r w:rsidRPr="009C4E9A">
        <w:rPr>
          <w:rFonts w:eastAsia="Times New Roman" w:cstheme="minorHAnsi"/>
          <w:b/>
          <w:bCs/>
        </w:rPr>
        <w:t>Cities Readiness Initiative (CRI)</w:t>
      </w:r>
    </w:p>
    <w:p w14:paraId="03062FDB"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 xml:space="preserve">Centers for Disease Control and Prevention. “Cities Readiness Initiative” webpage. Available </w:t>
      </w:r>
      <w:r w:rsidRPr="009C4E9A">
        <w:rPr>
          <w:rFonts w:eastAsia="Times New Roman" w:cstheme="minorHAnsi"/>
        </w:rPr>
        <w:lastRenderedPageBreak/>
        <w:t>at </w:t>
      </w:r>
      <w:hyperlink r:id="rId145" w:tgtFrame="_blank" w:tooltip="http://www.cdc.gov/phpr/stockpile/cri/" w:history="1">
        <w:r w:rsidRPr="009C4E9A">
          <w:rPr>
            <w:rFonts w:eastAsia="Times New Roman" w:cstheme="minorHAnsi"/>
            <w:color w:val="0F88B8"/>
            <w:u w:val="single"/>
            <w:bdr w:val="none" w:sz="0" w:space="0" w:color="auto" w:frame="1"/>
          </w:rPr>
          <w:t>http://www.cdc.gov/phpr/stockpile/cri/</w:t>
        </w:r>
      </w:hyperlink>
      <w:r w:rsidRPr="009C4E9A">
        <w:rPr>
          <w:rFonts w:eastAsia="Times New Roman" w:cstheme="minorHAnsi"/>
          <w:color w:val="737373"/>
        </w:rPr>
        <w:t>. </w:t>
      </w:r>
      <w:r w:rsidRPr="009C4E9A">
        <w:rPr>
          <w:rFonts w:eastAsia="Times New Roman" w:cstheme="minorHAnsi"/>
          <w:color w:val="737373"/>
        </w:rPr>
        <w:br/>
      </w:r>
    </w:p>
    <w:p w14:paraId="1F669BA2" w14:textId="77777777" w:rsidR="00EC67E4" w:rsidRPr="009C4E9A" w:rsidRDefault="00EC67E4" w:rsidP="00FC64BC">
      <w:pPr>
        <w:rPr>
          <w:rFonts w:eastAsia="Times New Roman" w:cstheme="minorHAnsi"/>
          <w:b/>
          <w:bCs/>
        </w:rPr>
      </w:pPr>
      <w:r w:rsidRPr="009C4E9A">
        <w:rPr>
          <w:rFonts w:eastAsia="Times New Roman" w:cstheme="minorHAnsi"/>
          <w:b/>
          <w:bCs/>
        </w:rPr>
        <w:t>Countermeasures Injury Compensation Program (CICP)</w:t>
      </w:r>
    </w:p>
    <w:p w14:paraId="3E6D5CBD" w14:textId="77777777" w:rsidR="00EC67E4" w:rsidRPr="009C4E9A" w:rsidRDefault="00EC67E4" w:rsidP="00FC64BC">
      <w:pPr>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Health Resources and Services Administration. “Countermeasures Injury Compensation Program” webpage. Available at </w:t>
      </w:r>
      <w:hyperlink r:id="rId146" w:tgtFrame="_blank" w:tooltip="http://www.hrsa.gov/cicp/" w:history="1">
        <w:r w:rsidRPr="009C4E9A">
          <w:rPr>
            <w:rFonts w:eastAsia="Times New Roman" w:cstheme="minorHAnsi"/>
            <w:color w:val="0F88B8"/>
            <w:u w:val="single"/>
            <w:bdr w:val="none" w:sz="0" w:space="0" w:color="auto" w:frame="1"/>
          </w:rPr>
          <w:t>http://www.hrsa.gov/cicp/</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Rules and Regulations </w:t>
      </w:r>
      <w:r w:rsidRPr="009C4E9A">
        <w:rPr>
          <w:rFonts w:eastAsia="Times New Roman" w:cstheme="minorHAnsi"/>
          <w:b/>
          <w:bCs/>
          <w:bdr w:val="none" w:sz="0" w:space="0" w:color="auto" w:frame="1"/>
        </w:rPr>
        <w:br/>
        <w:t>CICP Administrative Rules </w:t>
      </w:r>
      <w:r w:rsidRPr="009C4E9A">
        <w:rPr>
          <w:rFonts w:eastAsia="Times New Roman" w:cstheme="minorHAnsi"/>
          <w:b/>
          <w:bCs/>
          <w:bdr w:val="none" w:sz="0" w:space="0" w:color="auto" w:frame="1"/>
        </w:rPr>
        <w:br/>
      </w:r>
      <w:r w:rsidRPr="009C4E9A">
        <w:rPr>
          <w:rFonts w:eastAsia="Times New Roman" w:cstheme="minorHAnsi"/>
        </w:rPr>
        <w:t>A correction to the Interim Final Rule was published on October 21, 2010. Available at </w:t>
      </w:r>
      <w:hyperlink r:id="rId147" w:tgtFrame="_blank" w:tooltip="http://www.hrsa.gov/gethealthcare/conditions/countermeasurescomp/cicp_final_rule_correction.pdf" w:history="1">
        <w:r w:rsidRPr="009C4E9A">
          <w:rPr>
            <w:rFonts w:eastAsia="Times New Roman" w:cstheme="minorHAnsi"/>
            <w:color w:val="0F88B8"/>
            <w:u w:val="single"/>
            <w:bdr w:val="none" w:sz="0" w:space="0" w:color="auto" w:frame="1"/>
          </w:rPr>
          <w:t>http://www.hrsa.gov/gethealthcare/conditions/countermeasurescomp/cicp_final_rule_correction.pdf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The CICP Administrative Implementation Interim Final Rule was published in the Federal Register on October 15, 2010. Available at </w:t>
      </w:r>
      <w:hyperlink r:id="rId148" w:tgtFrame="_blank" w:tooltip="http://www.hrsa.gov/gethealthcare/conditions/countermeasurescomp/cicp_admin_final_rule.pdf" w:history="1">
        <w:r w:rsidRPr="009C4E9A">
          <w:rPr>
            <w:rFonts w:eastAsia="Times New Roman" w:cstheme="minorHAnsi"/>
            <w:color w:val="0F88B8"/>
            <w:u w:val="single"/>
            <w:bdr w:val="none" w:sz="0" w:space="0" w:color="auto" w:frame="1"/>
          </w:rPr>
          <w:t>http://www.hrsa.gov/gethealthcare/conditions/countermeasurescomp/cicp_admin_final_rule.pdf</w:t>
        </w:r>
      </w:hyperlink>
      <w:r w:rsidRPr="009C4E9A">
        <w:rPr>
          <w:rFonts w:eastAsia="Times New Roman" w:cstheme="minorHAnsi"/>
          <w:color w:val="737373"/>
        </w:rPr>
        <w:t>. </w:t>
      </w:r>
      <w:r w:rsidRPr="009C4E9A">
        <w:rPr>
          <w:rFonts w:eastAsia="Times New Roman" w:cstheme="minorHAnsi"/>
          <w:color w:val="737373"/>
        </w:rPr>
        <w:br/>
      </w:r>
    </w:p>
    <w:p w14:paraId="048B82B3" w14:textId="77777777" w:rsidR="00EC67E4" w:rsidRPr="009C4E9A" w:rsidRDefault="00EC67E4" w:rsidP="00FC64BC">
      <w:pPr>
        <w:rPr>
          <w:rFonts w:eastAsia="Times New Roman" w:cstheme="minorHAnsi"/>
          <w:b/>
          <w:bCs/>
        </w:rPr>
      </w:pPr>
      <w:r w:rsidRPr="009C4E9A">
        <w:rPr>
          <w:rFonts w:eastAsia="Times New Roman" w:cstheme="minorHAnsi"/>
          <w:b/>
          <w:bCs/>
        </w:rPr>
        <w:t>Defense Medical Materiel Program Office (DMMPO)</w:t>
      </w:r>
    </w:p>
    <w:p w14:paraId="7721BDCD"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w:t>
      </w:r>
      <w:hyperlink r:id="rId149" w:anchor="Shelf-Life" w:history="1">
        <w:r w:rsidRPr="009C4E9A">
          <w:rPr>
            <w:rFonts w:eastAsia="Times New Roman" w:cstheme="minorHAnsi"/>
            <w:i/>
            <w:iCs/>
            <w:color w:val="0F88B8"/>
            <w:u w:val="single"/>
            <w:bdr w:val="none" w:sz="0" w:space="0" w:color="auto" w:frame="1"/>
          </w:rPr>
          <w:t>“Shelf Life Extension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p>
    <w:p w14:paraId="647B6B30" w14:textId="77777777" w:rsidR="00EC67E4" w:rsidRPr="009C4E9A" w:rsidRDefault="00EC67E4" w:rsidP="00FC64BC">
      <w:pPr>
        <w:rPr>
          <w:rFonts w:eastAsia="Times New Roman" w:cstheme="minorHAnsi"/>
          <w:b/>
          <w:bCs/>
        </w:rPr>
      </w:pPr>
      <w:r w:rsidRPr="009C4E9A">
        <w:rPr>
          <w:rFonts w:eastAsia="Times New Roman" w:cstheme="minorHAnsi"/>
          <w:b/>
          <w:bCs/>
        </w:rPr>
        <w:t>Emergency Use Authorization (EUA)</w:t>
      </w:r>
    </w:p>
    <w:p w14:paraId="6DCC0B3E" w14:textId="77777777" w:rsidR="00EC67E4" w:rsidRPr="009C4E9A" w:rsidRDefault="00EC67E4" w:rsidP="003F4B92">
      <w:pPr>
        <w:shd w:val="clear" w:color="auto" w:fill="FFFFFF"/>
        <w:spacing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Federal Food, Drug, and Cosmetic Act §564, as amended. Codified at 21 U.S.C. §564.</w:t>
      </w:r>
    </w:p>
    <w:p w14:paraId="47D83E90" w14:textId="77777777" w:rsidR="00EC67E4" w:rsidRPr="009C4E9A" w:rsidRDefault="00EC67E4" w:rsidP="009C4E9A">
      <w:pPr>
        <w:shd w:val="clear" w:color="auto" w:fill="FFFFFF"/>
        <w:spacing w:line="240" w:lineRule="atLeast"/>
        <w:textAlignment w:val="baseline"/>
        <w:rPr>
          <w:rFonts w:eastAsia="Times New Roman" w:cstheme="minorHAnsi"/>
          <w:b/>
          <w:bCs/>
          <w:bdr w:val="none" w:sz="0" w:space="0" w:color="auto" w:frame="1"/>
        </w:rPr>
      </w:pPr>
    </w:p>
    <w:p w14:paraId="4DE4E9A9"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b/>
          <w:bCs/>
          <w:bdr w:val="none" w:sz="0" w:space="0" w:color="auto" w:frame="1"/>
        </w:rPr>
        <w:t>Guidance Documents </w:t>
      </w:r>
      <w:r w:rsidRPr="009C4E9A">
        <w:rPr>
          <w:rFonts w:eastAsia="Times New Roman" w:cstheme="minorHAnsi"/>
        </w:rPr>
        <w:br/>
        <w:t>U.S. Food and Drug Administration. Emergency Use Authorization of Medical Products Guidance. July 2007. Available at </w:t>
      </w:r>
      <w:hyperlink r:id="rId150" w:tgtFrame="_blank" w:tooltip="http://www.fda.gov/RegulatoryInformation/Guidances/ucm125127.htm" w:history="1">
        <w:r w:rsidRPr="009C4E9A">
          <w:rPr>
            <w:rFonts w:eastAsia="Times New Roman" w:cstheme="minorHAnsi"/>
            <w:color w:val="0F88B8"/>
            <w:u w:val="single"/>
            <w:bdr w:val="none" w:sz="0" w:space="0" w:color="auto" w:frame="1"/>
          </w:rPr>
          <w:t>http://www.fda.gov/RegulatoryInformation/Guidances/ucm125127.htm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U.S. Food and Drug Administration. “Emergency Use Authorization” webpage. Available at </w:t>
      </w:r>
      <w:hyperlink r:id="rId151" w:tgtFrame="_blank" w:tooltip="http://www.fda.gov/emergencypreparedness/counterterrorism/ucm182568.htm" w:history="1">
        <w:r w:rsidRPr="009C4E9A">
          <w:rPr>
            <w:rFonts w:eastAsia="Times New Roman" w:cstheme="minorHAnsi"/>
            <w:color w:val="0F88B8"/>
            <w:u w:val="single"/>
            <w:bdr w:val="none" w:sz="0" w:space="0" w:color="auto" w:frame="1"/>
          </w:rPr>
          <w:t>http://www.fda.gov/emergencypreparedness/counterterrorism/ucm182568.htm</w:t>
        </w:r>
      </w:hyperlink>
      <w:r w:rsidRPr="009C4E9A">
        <w:rPr>
          <w:rFonts w:eastAsia="Times New Roman" w:cstheme="minorHAnsi"/>
          <w:color w:val="737373"/>
        </w:rPr>
        <w:t xml:space="preserve">. </w:t>
      </w:r>
      <w:r w:rsidRPr="009C4E9A">
        <w:rPr>
          <w:rFonts w:eastAsia="Times New Roman" w:cstheme="minorHAnsi"/>
        </w:rPr>
        <w:t>Webpage includes all current and archived EUAs. </w:t>
      </w:r>
      <w:r w:rsidRPr="009C4E9A">
        <w:rPr>
          <w:rFonts w:eastAsia="Times New Roman" w:cstheme="minorHAnsi"/>
          <w:color w:val="737373"/>
        </w:rPr>
        <w:br/>
      </w:r>
      <w:r w:rsidRPr="009C4E9A">
        <w:rPr>
          <w:rFonts w:eastAsia="Times New Roman" w:cstheme="minorHAnsi"/>
        </w:rPr>
        <w:br/>
        <w:t>U.S. Food and Drug Administration. “Emergency Use Authorizations Questions and Answers” webpage. Available at </w:t>
      </w:r>
      <w:hyperlink r:id="rId152" w:tgtFrame="_blank" w:tooltip="http://www.fda.gov/NewsEvents/PublicHealthFocus/ucm153297.htm" w:history="1">
        <w:r w:rsidRPr="009C4E9A">
          <w:rPr>
            <w:rFonts w:eastAsia="Times New Roman" w:cstheme="minorHAnsi"/>
            <w:color w:val="0F88B8"/>
            <w:u w:val="single"/>
            <w:bdr w:val="none" w:sz="0" w:space="0" w:color="auto" w:frame="1"/>
          </w:rPr>
          <w:t>http://www.fda.gov/NewsEvents/PublicHealthFocus/ucm153297.htm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Food and Drug Administration and the U.S. Centers for Disease Control and Prevention. “Emergency Use Authorization” online course. Available at </w:t>
      </w:r>
      <w:hyperlink r:id="rId153" w:tgtFrame="_blank" w:tooltip="http://www.bt.cdc.gov/training/eua/index.html" w:history="1">
        <w:r w:rsidRPr="009C4E9A">
          <w:rPr>
            <w:rFonts w:eastAsia="Times New Roman" w:cstheme="minorHAnsi"/>
            <w:color w:val="0F88B8"/>
            <w:u w:val="single"/>
            <w:bdr w:val="none" w:sz="0" w:space="0" w:color="auto" w:frame="1"/>
          </w:rPr>
          <w:t>http://www.bt.cdc.gov/training/eua/index.html</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Beers D. U.S. Food and Drug Administration. “FDA Regulation of Medical Products.”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154"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proofErr w:type="spellStart"/>
      <w:r w:rsidRPr="009C4E9A">
        <w:rPr>
          <w:rFonts w:eastAsia="Times New Roman" w:cstheme="minorHAnsi"/>
        </w:rPr>
        <w:t>Sadove</w:t>
      </w:r>
      <w:proofErr w:type="spellEnd"/>
      <w:r w:rsidRPr="009C4E9A">
        <w:rPr>
          <w:rFonts w:eastAsia="Times New Roman" w:cstheme="minorHAnsi"/>
        </w:rPr>
        <w:t xml:space="preserve"> E. Food and Drug Administration. “Emergency Use of FDA Regulated Medical Products.” </w:t>
      </w:r>
      <w:r w:rsidRPr="009C4E9A">
        <w:rPr>
          <w:rFonts w:eastAsia="Times New Roman" w:cstheme="minorHAnsi"/>
        </w:rPr>
        <w:lastRenderedPageBreak/>
        <w:t>Presentation at</w:t>
      </w:r>
      <w:r w:rsidRPr="009C4E9A">
        <w:rPr>
          <w:rFonts w:eastAsia="Times New Roman" w:cstheme="minorHAnsi"/>
          <w:i/>
          <w:iCs/>
          <w:bdr w:val="none" w:sz="0" w:space="0" w:color="auto" w:frame="1"/>
        </w:rPr>
        <w:t> Federal, State, and Local Public Health Preparedness </w:t>
      </w:r>
      <w:r w:rsidRPr="009C4E9A">
        <w:rPr>
          <w:rFonts w:eastAsia="Times New Roman" w:cstheme="minorHAnsi"/>
        </w:rPr>
        <w:t>meeting. Baltimore, Maryland. December 14-15, 2010. Available at </w:t>
      </w:r>
      <w:hyperlink r:id="rId155"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Yu Y. Centers for Disease Control and Prevention. “EUA: CDC’s Roles and Responsibilities.”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156"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Sherman S. Dept. of Health and Human Services. “Public Health Emergency Authorities: Determinations and Declarations.”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157"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i/>
          <w:iCs/>
          <w:bdr w:val="none" w:sz="0" w:space="0" w:color="auto" w:frame="1"/>
        </w:rPr>
        <w:t>Medical Countermeasures Dispensing: Emergency Use Authorization and the Postal Model</w:t>
      </w:r>
      <w:r w:rsidRPr="009C4E9A">
        <w:rPr>
          <w:rFonts w:eastAsia="Times New Roman" w:cstheme="minorHAnsi"/>
        </w:rPr>
        <w:t>. Workshop Summary. Institute of Medicine (US). Forum on Medical and Public Health Preparedness for Catastrophic Events. Washington, DC. National Academies Press. 2010. Available at </w:t>
      </w:r>
      <w:hyperlink r:id="rId158" w:tgtFrame="_blank" w:tooltip="http://www.ncbi.nlm.nih.gov/books/NBK53126/pdf/TOC.pdf" w:history="1">
        <w:r w:rsidRPr="009C4E9A">
          <w:rPr>
            <w:rFonts w:eastAsia="Times New Roman" w:cstheme="minorHAnsi"/>
            <w:color w:val="0F88B8"/>
            <w:u w:val="single"/>
            <w:bdr w:val="none" w:sz="0" w:space="0" w:color="auto" w:frame="1"/>
          </w:rPr>
          <w:t>http://www.ncbi.nlm.nih.gov/books/NBK53126/pdf/TOC.pdf</w:t>
        </w:r>
      </w:hyperlink>
      <w:r w:rsidRPr="009C4E9A">
        <w:rPr>
          <w:rFonts w:eastAsia="Times New Roman" w:cstheme="minorHAnsi"/>
          <w:color w:val="737373"/>
        </w:rPr>
        <w:t>. </w:t>
      </w:r>
      <w:r w:rsidRPr="009C4E9A">
        <w:rPr>
          <w:rFonts w:eastAsia="Times New Roman" w:cstheme="minorHAnsi"/>
          <w:color w:val="737373"/>
        </w:rPr>
        <w:br/>
      </w:r>
    </w:p>
    <w:p w14:paraId="61E4DFF2" w14:textId="77777777" w:rsidR="00EC67E4" w:rsidRPr="009C4E9A" w:rsidRDefault="00EC67E4" w:rsidP="00FC64BC">
      <w:pPr>
        <w:rPr>
          <w:rFonts w:eastAsia="Times New Roman" w:cstheme="minorHAnsi"/>
          <w:b/>
          <w:bCs/>
        </w:rPr>
      </w:pPr>
      <w:r w:rsidRPr="009C4E9A">
        <w:rPr>
          <w:rFonts w:eastAsia="Times New Roman" w:cstheme="minorHAnsi"/>
          <w:b/>
          <w:bCs/>
        </w:rPr>
        <w:t>Federal Food, Drug, and Cosmetic Act (FD&amp;C Act)</w:t>
      </w:r>
    </w:p>
    <w:p w14:paraId="247021CE"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color w:val="737373"/>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Federal Food, Drug, and Cosmetic Act, as amended. Codified at 21 U.S.C. 301 et seq. Available at </w:t>
      </w:r>
      <w:hyperlink r:id="rId159" w:tgtFrame="_blank" w:tooltip="http://www.fda.gov/RegulatoryInformation/Legislation/FederalFoodDrugandCosmeticActFDCAct/default.htm" w:history="1">
        <w:r w:rsidRPr="009C4E9A">
          <w:rPr>
            <w:rFonts w:eastAsia="Times New Roman" w:cstheme="minorHAnsi"/>
            <w:color w:val="0F88B8"/>
            <w:u w:val="single"/>
            <w:bdr w:val="none" w:sz="0" w:space="0" w:color="auto" w:frame="1"/>
          </w:rPr>
          <w:t>http://www.fda.gov/RegulatoryInformation/Legislation/FederalFoodDrugandCosmeticActFDCAct/default.htm</w:t>
        </w:r>
      </w:hyperlink>
      <w:r w:rsidRPr="009C4E9A">
        <w:rPr>
          <w:rFonts w:eastAsia="Times New Roman" w:cstheme="minorHAnsi"/>
          <w:color w:val="737373"/>
        </w:rPr>
        <w:t>. </w:t>
      </w:r>
      <w:r w:rsidRPr="009C4E9A">
        <w:rPr>
          <w:rFonts w:eastAsia="Times New Roman" w:cstheme="minorHAnsi"/>
          <w:color w:val="737373"/>
        </w:rPr>
        <w:br/>
      </w:r>
    </w:p>
    <w:p w14:paraId="7CCD9BF9" w14:textId="77777777" w:rsidR="00EC67E4" w:rsidRPr="009C4E9A" w:rsidRDefault="00EC67E4" w:rsidP="00FC64BC">
      <w:pPr>
        <w:rPr>
          <w:rFonts w:eastAsia="Times New Roman" w:cstheme="minorHAnsi"/>
          <w:b/>
          <w:bCs/>
        </w:rPr>
      </w:pPr>
      <w:r w:rsidRPr="009C4E9A">
        <w:rPr>
          <w:rFonts w:eastAsia="Times New Roman" w:cstheme="minorHAnsi"/>
          <w:b/>
          <w:bCs/>
        </w:rPr>
        <w:t>Federal Tort Claims Act (FTCA)</w:t>
      </w:r>
    </w:p>
    <w:p w14:paraId="76E58BE0"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w:t>
      </w:r>
      <w:r w:rsidRPr="009C4E9A">
        <w:rPr>
          <w:rFonts w:eastAsia="Times New Roman" w:cstheme="minorHAnsi"/>
        </w:rPr>
        <w:t> </w:t>
      </w:r>
      <w:r w:rsidRPr="009C4E9A">
        <w:rPr>
          <w:rFonts w:eastAsia="Times New Roman" w:cstheme="minorHAnsi"/>
        </w:rPr>
        <w:br/>
        <w:t>Federal Tort Claims Act, as amended. Codified at 28 U.S.C. §§1346(b), 2671-2680. Available at </w:t>
      </w:r>
      <w:hyperlink r:id="rId160" w:tgtFrame="_blank" w:tooltip="http://origin.www.gpo.gov/fdsys/pkg/USCODE-2009-title28/pdf/USCODE-2009-title28-partIV-chap85-sec1346.pdf " w:history="1">
        <w:r w:rsidRPr="009C4E9A">
          <w:rPr>
            <w:rFonts w:eastAsia="Times New Roman" w:cstheme="minorHAnsi"/>
            <w:color w:val="0F88B8"/>
            <w:u w:val="single"/>
            <w:bdr w:val="none" w:sz="0" w:space="0" w:color="auto" w:frame="1"/>
          </w:rPr>
          <w:t>http://origin.www.gpo.gov/fdsys/pkg/USCODE-2009-title28/pdf/USCODE-2009-title28-partIV-chap85-sec1346.pdf </w:t>
        </w:r>
      </w:hyperlink>
      <w:r w:rsidRPr="009C4E9A">
        <w:rPr>
          <w:rFonts w:eastAsia="Times New Roman" w:cstheme="minorHAnsi"/>
          <w:color w:val="737373"/>
        </w:rPr>
        <w:t>. </w:t>
      </w:r>
      <w:r w:rsidRPr="009C4E9A">
        <w:rPr>
          <w:rFonts w:eastAsia="Times New Roman" w:cstheme="minorHAnsi"/>
          <w:color w:val="737373"/>
        </w:rPr>
        <w:br/>
      </w:r>
    </w:p>
    <w:p w14:paraId="5F340A48" w14:textId="77777777" w:rsidR="00EC67E4" w:rsidRPr="009C4E9A" w:rsidRDefault="00EC67E4" w:rsidP="00FC64BC">
      <w:pPr>
        <w:rPr>
          <w:rFonts w:eastAsia="Times New Roman" w:cstheme="minorHAnsi"/>
          <w:b/>
          <w:bCs/>
        </w:rPr>
      </w:pPr>
      <w:r w:rsidRPr="009C4E9A">
        <w:rPr>
          <w:rFonts w:eastAsia="Times New Roman" w:cstheme="minorHAnsi"/>
          <w:b/>
          <w:bCs/>
        </w:rPr>
        <w:t>Food and Drug Administration (FDA)</w:t>
      </w:r>
    </w:p>
    <w:p w14:paraId="6A7B5A60"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Food and Drug Administration. Emergency Preparedness and Response website. Available at </w:t>
      </w:r>
      <w:hyperlink r:id="rId161" w:tgtFrame="_blank" w:tooltip="http://www.fda.gov/EmergencyPreparedness/default.htm" w:history="1">
        <w:r w:rsidRPr="009C4E9A">
          <w:rPr>
            <w:rFonts w:eastAsia="Times New Roman" w:cstheme="minorHAnsi"/>
            <w:color w:val="0F88B8"/>
            <w:u w:val="single"/>
            <w:bdr w:val="none" w:sz="0" w:space="0" w:color="auto" w:frame="1"/>
          </w:rPr>
          <w:t>http://www.fda.gov/EmergencyPreparedness/default.htm</w:t>
        </w:r>
      </w:hyperlink>
      <w:r w:rsidRPr="009C4E9A">
        <w:rPr>
          <w:rFonts w:eastAsia="Times New Roman" w:cstheme="minorHAnsi"/>
          <w:color w:val="737373"/>
        </w:rPr>
        <w:t>. </w:t>
      </w:r>
      <w:r w:rsidRPr="009C4E9A">
        <w:rPr>
          <w:rFonts w:eastAsia="Times New Roman" w:cstheme="minorHAnsi"/>
          <w:color w:val="737373"/>
        </w:rPr>
        <w:br/>
      </w:r>
    </w:p>
    <w:p w14:paraId="1946F622" w14:textId="77777777" w:rsidR="00EC67E4" w:rsidRPr="009C4E9A" w:rsidRDefault="00EC67E4" w:rsidP="00FC64BC">
      <w:pPr>
        <w:rPr>
          <w:rFonts w:eastAsia="Times New Roman" w:cstheme="minorHAnsi"/>
          <w:b/>
          <w:bCs/>
        </w:rPr>
      </w:pPr>
      <w:r w:rsidRPr="009C4E9A">
        <w:rPr>
          <w:rFonts w:eastAsia="Times New Roman" w:cstheme="minorHAnsi"/>
          <w:b/>
          <w:bCs/>
        </w:rPr>
        <w:t>HHS Office of the Assistant Secretary for Preparedness and Response (ASPR)</w:t>
      </w:r>
    </w:p>
    <w:p w14:paraId="525D4759"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website. Available at</w:t>
      </w:r>
      <w:r w:rsidRPr="009C4E9A">
        <w:rPr>
          <w:rFonts w:eastAsia="Times New Roman" w:cstheme="minorHAnsi"/>
          <w:color w:val="737373"/>
        </w:rPr>
        <w:t> </w:t>
      </w:r>
      <w:hyperlink r:id="rId162" w:tgtFrame="_blank" w:tooltip="http://www.phe.gov/preparedness/support/secauthority/Pages/default.aspx" w:history="1">
        <w:r w:rsidRPr="009C4E9A">
          <w:rPr>
            <w:rFonts w:eastAsia="Times New Roman" w:cstheme="minorHAnsi"/>
            <w:color w:val="0F88B8"/>
            <w:u w:val="single"/>
            <w:bdr w:val="none" w:sz="0" w:space="0" w:color="auto" w:frame="1"/>
          </w:rPr>
          <w:t>http://www.phe.gov/preparedness/support/secauthority/Pages/default.aspx</w:t>
        </w:r>
      </w:hyperlink>
      <w:r w:rsidRPr="009C4E9A">
        <w:rPr>
          <w:rFonts w:eastAsia="Times New Roman" w:cstheme="minorHAnsi"/>
          <w:color w:val="737373"/>
        </w:rPr>
        <w:t>. </w:t>
      </w:r>
      <w:r w:rsidRPr="009C4E9A">
        <w:rPr>
          <w:rFonts w:eastAsia="Times New Roman" w:cstheme="minorHAnsi"/>
          <w:color w:val="737373"/>
        </w:rPr>
        <w:br/>
      </w:r>
    </w:p>
    <w:p w14:paraId="5F8708BB" w14:textId="77777777" w:rsidR="00EC67E4" w:rsidRPr="009C4E9A" w:rsidRDefault="00EC67E4" w:rsidP="009C4E9A">
      <w:pPr>
        <w:keepNext/>
        <w:rPr>
          <w:rFonts w:eastAsia="Times New Roman" w:cstheme="minorHAnsi"/>
          <w:b/>
          <w:bCs/>
        </w:rPr>
      </w:pPr>
      <w:r w:rsidRPr="009C4E9A">
        <w:rPr>
          <w:rFonts w:eastAsia="Times New Roman" w:cstheme="minorHAnsi"/>
          <w:b/>
          <w:bCs/>
        </w:rPr>
        <w:lastRenderedPageBreak/>
        <w:t>Pandemic and All-Hazards Preparedness Act (PAHPA)</w:t>
      </w:r>
    </w:p>
    <w:p w14:paraId="5A66E13F"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Pandemic and All-Hazards Preparedness Act of 2006. Pub. L. No. 109-417 (120 STAT. 2831). Available at</w:t>
      </w:r>
      <w:r w:rsidRPr="009C4E9A">
        <w:rPr>
          <w:rFonts w:eastAsia="Times New Roman" w:cstheme="minorHAnsi"/>
          <w:color w:val="737373"/>
        </w:rPr>
        <w:t> </w:t>
      </w:r>
      <w:hyperlink r:id="rId163" w:tgtFrame="_blank" w:tooltip="http://www.gpo.gov/fdsys/pkg/PLAW-109publ417/pdf/PLAW-109publ417.pdf" w:history="1">
        <w:r w:rsidRPr="009C4E9A">
          <w:rPr>
            <w:rFonts w:eastAsia="Times New Roman" w:cstheme="minorHAnsi"/>
            <w:color w:val="0F88B8"/>
            <w:u w:val="single"/>
            <w:bdr w:val="none" w:sz="0" w:space="0" w:color="auto" w:frame="1"/>
          </w:rPr>
          <w:t>http://www.gpo.gov/fdsys/pkg/PLAW-109publ417/pdf/PLAW-109publ417.pdf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Codified, in part, in the Public Health Service Act, 42 U.S.C. 201 et seq. Available at </w:t>
      </w:r>
      <w:hyperlink r:id="rId164" w:tgtFrame="_blank" w:tooltip="http://www.gpo.gov/fdsys/pkg/USCODE-2009-title42/pdf/USCODE-2009-title42-chap6A.pdf" w:history="1">
        <w:r w:rsidRPr="009C4E9A">
          <w:rPr>
            <w:rFonts w:eastAsia="Times New Roman" w:cstheme="minorHAnsi"/>
            <w:color w:val="0F88B8"/>
            <w:u w:val="single"/>
            <w:bdr w:val="none" w:sz="0" w:space="0" w:color="auto" w:frame="1"/>
          </w:rPr>
          <w:t>http://www.gpo.gov/fdsys/pkg/USCODE-2009-title42/pdf/USCODE-2009-title42-chap6A.pdf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Summaries of Law, Statute, and Regulations </w:t>
      </w:r>
      <w:r w:rsidRPr="009C4E9A">
        <w:rPr>
          <w:rFonts w:eastAsia="Times New Roman" w:cstheme="minorHAnsi"/>
          <w:b/>
          <w:bCs/>
          <w:bdr w:val="none" w:sz="0" w:space="0" w:color="auto" w:frame="1"/>
        </w:rPr>
        <w:br/>
      </w:r>
      <w:r w:rsidRPr="009C4E9A">
        <w:rPr>
          <w:rFonts w:eastAsia="Times New Roman" w:cstheme="minorHAnsi"/>
        </w:rPr>
        <w:t>Department of Health and Human Services. “Pandemic and All Hazards Preparedness Act” webpage. Available at </w:t>
      </w:r>
      <w:hyperlink r:id="rId165" w:tgtFrame="_blank" w:tooltip="http://www.phe.gov/Preparedness/legal/pahpa/Pages/default.aspx" w:history="1">
        <w:r w:rsidRPr="009C4E9A">
          <w:rPr>
            <w:rFonts w:eastAsia="Times New Roman" w:cstheme="minorHAnsi"/>
            <w:color w:val="0F88B8"/>
            <w:u w:val="single"/>
            <w:bdr w:val="none" w:sz="0" w:space="0" w:color="auto" w:frame="1"/>
          </w:rPr>
          <w:t>http://www.phe.gov/Preparedness/legal/pahpa/Pages/default.aspx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 xml:space="preserve">Lister SA and </w:t>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The Pandemic and All-Hazards Preparedness Act (P.L. 109-417): Provisions and Changes to Preexisting Law </w:t>
      </w:r>
      <w:r w:rsidRPr="009C4E9A">
        <w:rPr>
          <w:rFonts w:eastAsia="Times New Roman" w:cstheme="minorHAnsi"/>
        </w:rPr>
        <w:t>(RL33589). March 12, 2007. Available at </w:t>
      </w:r>
      <w:hyperlink r:id="rId166" w:tgtFrame="_blank" w:tooltip="http://www.fas.org/programs/bio/resource/documents/CRS%20-%20PAHPA%203-07.pdf" w:history="1">
        <w:r w:rsidRPr="009C4E9A">
          <w:rPr>
            <w:rFonts w:eastAsia="Times New Roman" w:cstheme="minorHAnsi"/>
            <w:color w:val="0F88B8"/>
            <w:u w:val="single"/>
            <w:bdr w:val="none" w:sz="0" w:space="0" w:color="auto" w:frame="1"/>
          </w:rPr>
          <w:t>http://www.fas.org/programs/bio/resource/documents/CRS%20-%20PAHPA%203-07.pdf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Assistant Secretary for Preparedness and Response website. Available at </w:t>
      </w:r>
      <w:hyperlink r:id="rId167" w:tgtFrame="_blank" w:tooltip="http://www.phe.gov/preparedness/pages/default.aspx" w:history="1">
        <w:r w:rsidRPr="009C4E9A">
          <w:rPr>
            <w:rFonts w:eastAsia="Times New Roman" w:cstheme="minorHAnsi"/>
            <w:color w:val="0F88B8"/>
            <w:u w:val="single"/>
            <w:bdr w:val="none" w:sz="0" w:space="0" w:color="auto" w:frame="1"/>
          </w:rPr>
          <w:t>http://www.phe.gov/preparedness/pages/default.aspx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HHS Status Reports on PAHPA Implementation </w:t>
      </w:r>
      <w:r w:rsidRPr="009C4E9A">
        <w:rPr>
          <w:rFonts w:eastAsia="Times New Roman" w:cstheme="minorHAnsi"/>
        </w:rPr>
        <w:br/>
        <w:t>HHS Assistant Secretary for Preparedness and Response. Pandemic and All-Hazards Preparedness Act Public Law 109-417 Progress Report. November 2007. Available at </w:t>
      </w:r>
      <w:hyperlink r:id="rId168" w:tgtFrame="_blank" w:tooltip="http://healthyamericans.org/reports/bioterror07/PAHPAProgressReport.pdf" w:history="1">
        <w:r w:rsidRPr="009C4E9A">
          <w:rPr>
            <w:rFonts w:eastAsia="Times New Roman" w:cstheme="minorHAnsi"/>
            <w:color w:val="0F88B8"/>
            <w:u w:val="single"/>
            <w:bdr w:val="none" w:sz="0" w:space="0" w:color="auto" w:frame="1"/>
          </w:rPr>
          <w:t>http://healthyamericans.org/reports/bioterror07/PAHPAProgressReport.pdf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Assistant Secretary for Preparedness and Response. </w:t>
      </w:r>
      <w:r w:rsidRPr="009C4E9A">
        <w:rPr>
          <w:rFonts w:eastAsia="Times New Roman" w:cstheme="minorHAnsi"/>
          <w:i/>
          <w:iCs/>
          <w:bdr w:val="none" w:sz="0" w:space="0" w:color="auto" w:frame="1"/>
        </w:rPr>
        <w:t>Progress Report on the Implementation of Provisions Addressing At-Risk Individuals</w:t>
      </w:r>
      <w:r w:rsidRPr="009C4E9A">
        <w:rPr>
          <w:rFonts w:eastAsia="Times New Roman" w:cstheme="minorHAnsi"/>
        </w:rPr>
        <w:t>. August 2008. Available at </w:t>
      </w:r>
      <w:hyperlink r:id="rId169" w:tgtFrame="_blank" w:tooltip="http://www.phe.gov/Preparedness/legal/pahpa/Documents/pahpa-at-risk-report0901.pdf" w:history="1">
        <w:r w:rsidRPr="009C4E9A">
          <w:rPr>
            <w:rFonts w:eastAsia="Times New Roman" w:cstheme="minorHAnsi"/>
            <w:color w:val="0F88B8"/>
            <w:u w:val="single"/>
            <w:bdr w:val="none" w:sz="0" w:space="0" w:color="auto" w:frame="1"/>
          </w:rPr>
          <w:t>http://www.phe.gov/Preparedness/legal/pahpa/Documents/pahpa-at-risk-report0901.pdf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Assistant Secretary for Preparedness and Response. </w:t>
      </w:r>
      <w:r w:rsidRPr="009C4E9A">
        <w:rPr>
          <w:rFonts w:eastAsia="Times New Roman" w:cstheme="minorHAnsi"/>
          <w:i/>
          <w:iCs/>
          <w:bdr w:val="none" w:sz="0" w:space="0" w:color="auto" w:frame="1"/>
        </w:rPr>
        <w:t>Telehealth Report to Congress</w:t>
      </w:r>
      <w:r w:rsidRPr="009C4E9A">
        <w:rPr>
          <w:rFonts w:eastAsia="Times New Roman" w:cstheme="minorHAnsi"/>
        </w:rPr>
        <w:t>. January 2009. Available at </w:t>
      </w:r>
      <w:hyperlink r:id="rId170" w:tgtFrame="_blank" w:tooltip="http://www.phe.gov/Preparedness/legal/pahpa/Documents/telehealthrtc-091207.pdf" w:history="1">
        <w:r w:rsidRPr="009C4E9A">
          <w:rPr>
            <w:rFonts w:eastAsia="Times New Roman" w:cstheme="minorHAnsi"/>
            <w:color w:val="0F88B8"/>
            <w:u w:val="single"/>
            <w:bdr w:val="none" w:sz="0" w:space="0" w:color="auto" w:frame="1"/>
          </w:rPr>
          <w:t>http://www.phe.gov/Preparedness/legal/pahpa/Documents/telehealthrtc-091207.pdf</w:t>
        </w:r>
      </w:hyperlink>
      <w:r w:rsidRPr="009C4E9A">
        <w:rPr>
          <w:rFonts w:eastAsia="Times New Roman" w:cstheme="minorHAnsi"/>
          <w:color w:val="737373"/>
        </w:rPr>
        <w:t>. </w:t>
      </w:r>
      <w:r w:rsidRPr="009C4E9A">
        <w:rPr>
          <w:rFonts w:eastAsia="Times New Roman" w:cstheme="minorHAnsi"/>
          <w:color w:val="737373"/>
        </w:rPr>
        <w:br/>
      </w:r>
    </w:p>
    <w:p w14:paraId="37DC1CA2" w14:textId="77777777" w:rsidR="00EC67E4" w:rsidRPr="009C4E9A" w:rsidRDefault="00EC67E4" w:rsidP="00FC64BC">
      <w:pPr>
        <w:rPr>
          <w:rFonts w:eastAsia="Times New Roman" w:cstheme="minorHAnsi"/>
          <w:b/>
          <w:bCs/>
        </w:rPr>
      </w:pPr>
      <w:r w:rsidRPr="009C4E9A">
        <w:rPr>
          <w:rFonts w:eastAsia="Times New Roman" w:cstheme="minorHAnsi"/>
          <w:b/>
          <w:bCs/>
        </w:rPr>
        <w:t>Pandemic Strategies and Plans</w:t>
      </w:r>
    </w:p>
    <w:p w14:paraId="1243382A"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Key Documents </w:t>
      </w:r>
      <w:r w:rsidRPr="009C4E9A">
        <w:rPr>
          <w:rFonts w:eastAsia="Times New Roman" w:cstheme="minorHAnsi"/>
          <w:b/>
          <w:bCs/>
          <w:bdr w:val="none" w:sz="0" w:space="0" w:color="auto" w:frame="1"/>
        </w:rPr>
        <w:br/>
      </w:r>
      <w:r w:rsidRPr="009C4E9A">
        <w:rPr>
          <w:rFonts w:eastAsia="Times New Roman" w:cstheme="minorHAnsi"/>
        </w:rPr>
        <w:t>Homeland Security Council. </w:t>
      </w:r>
      <w:r w:rsidRPr="009C4E9A">
        <w:rPr>
          <w:rFonts w:eastAsia="Times New Roman" w:cstheme="minorHAnsi"/>
          <w:i/>
          <w:iCs/>
          <w:bdr w:val="none" w:sz="0" w:space="0" w:color="auto" w:frame="1"/>
        </w:rPr>
        <w:t xml:space="preserve">The National Strategy for Pandemic </w:t>
      </w:r>
      <w:proofErr w:type="spellStart"/>
      <w:r w:rsidRPr="009C4E9A">
        <w:rPr>
          <w:rFonts w:eastAsia="Times New Roman" w:cstheme="minorHAnsi"/>
          <w:i/>
          <w:iCs/>
          <w:bdr w:val="none" w:sz="0" w:space="0" w:color="auto" w:frame="1"/>
        </w:rPr>
        <w:t>Influenza.</w:t>
      </w:r>
      <w:r w:rsidRPr="009C4E9A">
        <w:rPr>
          <w:rFonts w:eastAsia="Times New Roman" w:cstheme="minorHAnsi"/>
        </w:rPr>
        <w:t>November</w:t>
      </w:r>
      <w:proofErr w:type="spellEnd"/>
      <w:r w:rsidRPr="009C4E9A">
        <w:rPr>
          <w:rFonts w:eastAsia="Times New Roman" w:cstheme="minorHAnsi"/>
        </w:rPr>
        <w:t xml:space="preserve"> 2005. Available at</w:t>
      </w:r>
      <w:r w:rsidRPr="009C4E9A">
        <w:rPr>
          <w:rFonts w:eastAsia="Times New Roman" w:cstheme="minorHAnsi"/>
          <w:color w:val="737373"/>
        </w:rPr>
        <w:t> </w:t>
      </w:r>
      <w:hyperlink r:id="rId171" w:tgtFrame="_blank" w:tooltip="http://www.flu.gov/professional/federal/pandemic-influenza.pdf" w:history="1">
        <w:r w:rsidRPr="009C4E9A">
          <w:rPr>
            <w:rFonts w:eastAsia="Times New Roman" w:cstheme="minorHAnsi"/>
            <w:color w:val="0F88B8"/>
            <w:u w:val="single"/>
            <w:bdr w:val="none" w:sz="0" w:space="0" w:color="auto" w:frame="1"/>
          </w:rPr>
          <w:t>http://www.flu.gov/professional/federal/pandemic-influenza.pdf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Homeland Security Council. </w:t>
      </w:r>
      <w:r w:rsidRPr="009C4E9A">
        <w:rPr>
          <w:rFonts w:eastAsia="Times New Roman" w:cstheme="minorHAnsi"/>
          <w:i/>
          <w:iCs/>
          <w:bdr w:val="none" w:sz="0" w:space="0" w:color="auto" w:frame="1"/>
        </w:rPr>
        <w:t>National Strategy for Pandemic Influenza: Implementation Plan</w:t>
      </w:r>
      <w:r w:rsidRPr="009C4E9A">
        <w:rPr>
          <w:rFonts w:eastAsia="Times New Roman" w:cstheme="minorHAnsi"/>
        </w:rPr>
        <w:t>. May 2006. Available at </w:t>
      </w:r>
      <w:hyperlink r:id="rId172" w:tgtFrame="_blank" w:tooltip="http://www.flu.gov/professional/federal/pandemic-influenza-implementation.pdf" w:history="1">
        <w:r w:rsidRPr="009C4E9A">
          <w:rPr>
            <w:rFonts w:eastAsia="Times New Roman" w:cstheme="minorHAnsi"/>
            <w:color w:val="0F88B8"/>
            <w:u w:val="single"/>
            <w:bdr w:val="none" w:sz="0" w:space="0" w:color="auto" w:frame="1"/>
          </w:rPr>
          <w:t>http://www.flu.gov/professional/federal/pandemic-influenza-implementation.pdf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w:t>
      </w:r>
      <w:r w:rsidRPr="009C4E9A">
        <w:rPr>
          <w:rFonts w:eastAsia="Times New Roman" w:cstheme="minorHAnsi"/>
          <w:i/>
          <w:iCs/>
          <w:bdr w:val="none" w:sz="0" w:space="0" w:color="auto" w:frame="1"/>
        </w:rPr>
        <w:t>HHS Pandemic Influenza Plan</w:t>
      </w:r>
      <w:r w:rsidRPr="009C4E9A">
        <w:rPr>
          <w:rFonts w:eastAsia="Times New Roman" w:cstheme="minorHAnsi"/>
        </w:rPr>
        <w:t>. November 2005. Available at </w:t>
      </w:r>
      <w:hyperlink r:id="rId173" w:tgtFrame="_blank" w:tooltip="http://www.flu.gov/planning-preparedness/federal/hhspandemicinfluenzaplan.pdf" w:history="1">
        <w:r w:rsidRPr="009C4E9A">
          <w:rPr>
            <w:rFonts w:eastAsia="Times New Roman" w:cstheme="minorHAnsi"/>
            <w:color w:val="0F88B8"/>
            <w:u w:val="single"/>
            <w:bdr w:val="none" w:sz="0" w:space="0" w:color="auto" w:frame="1"/>
          </w:rPr>
          <w:t>http://www.flu.gov/planning-preparedness/federal/hhspandemicinfluenzaplan.pdf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Homeland Security. </w:t>
      </w:r>
      <w:r w:rsidRPr="009C4E9A">
        <w:rPr>
          <w:rFonts w:eastAsia="Times New Roman" w:cstheme="minorHAnsi"/>
          <w:i/>
          <w:iCs/>
          <w:bdr w:val="none" w:sz="0" w:space="0" w:color="auto" w:frame="1"/>
        </w:rPr>
        <w:t>Pandemic Influenza Preparedness, Response, and Recovery Guide for Critical Infrastructure and Key Resources</w:t>
      </w:r>
      <w:r w:rsidRPr="009C4E9A">
        <w:rPr>
          <w:rFonts w:eastAsia="Times New Roman" w:cstheme="minorHAnsi"/>
        </w:rPr>
        <w:t xml:space="preserve">. September 2006. Available </w:t>
      </w:r>
      <w:r w:rsidRPr="009C4E9A">
        <w:rPr>
          <w:rFonts w:eastAsia="Times New Roman" w:cstheme="minorHAnsi"/>
        </w:rPr>
        <w:lastRenderedPageBreak/>
        <w:t>at </w:t>
      </w:r>
      <w:hyperlink r:id="rId174" w:tgtFrame="_blank" w:tooltip="http://www.flu.gov/professional/pdf/cikrpandemicinfluenzaguide.pdf" w:history="1">
        <w:r w:rsidRPr="009C4E9A">
          <w:rPr>
            <w:rFonts w:eastAsia="Times New Roman" w:cstheme="minorHAnsi"/>
            <w:color w:val="0F88B8"/>
            <w:u w:val="single"/>
            <w:bdr w:val="none" w:sz="0" w:space="0" w:color="auto" w:frame="1"/>
          </w:rPr>
          <w:t>http://www.flu.gov/professional/pdf/cikrpandemicinfluenzaguide.pdf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CDC. </w:t>
      </w:r>
      <w:r w:rsidRPr="009C4E9A">
        <w:rPr>
          <w:rFonts w:eastAsia="Times New Roman" w:cstheme="minorHAnsi"/>
          <w:i/>
          <w:iCs/>
          <w:bdr w:val="none" w:sz="0" w:space="0" w:color="auto" w:frame="1"/>
        </w:rPr>
        <w:t xml:space="preserve">National </w:t>
      </w:r>
      <w:proofErr w:type="spellStart"/>
      <w:r w:rsidRPr="009C4E9A">
        <w:rPr>
          <w:rFonts w:eastAsia="Times New Roman" w:cstheme="minorHAnsi"/>
          <w:i/>
          <w:iCs/>
          <w:bdr w:val="none" w:sz="0" w:space="0" w:color="auto" w:frame="1"/>
        </w:rPr>
        <w:t>Biosurveillance</w:t>
      </w:r>
      <w:proofErr w:type="spellEnd"/>
      <w:r w:rsidRPr="009C4E9A">
        <w:rPr>
          <w:rFonts w:eastAsia="Times New Roman" w:cstheme="minorHAnsi"/>
          <w:i/>
          <w:iCs/>
          <w:bdr w:val="none" w:sz="0" w:space="0" w:color="auto" w:frame="1"/>
        </w:rPr>
        <w:t xml:space="preserve"> Strategy for Human Health</w:t>
      </w:r>
      <w:r w:rsidRPr="009C4E9A">
        <w:rPr>
          <w:rFonts w:eastAsia="Times New Roman" w:cstheme="minorHAnsi"/>
        </w:rPr>
        <w:t> (NBSHH). July 2012. Available at </w:t>
      </w:r>
      <w:hyperlink r:id="rId175" w:tgtFrame="_blank" w:tooltip="https://www.whitehouse.gov/sites/default/files/National_Strategy_for_Biosurveillance_July_2012.pdf" w:history="1">
        <w:r w:rsidRPr="009C4E9A">
          <w:rPr>
            <w:rFonts w:eastAsia="Times New Roman" w:cstheme="minorHAnsi"/>
            <w:color w:val="0F88B8"/>
            <w:u w:val="single"/>
            <w:bdr w:val="none" w:sz="0" w:space="0" w:color="auto" w:frame="1"/>
          </w:rPr>
          <w:t>https://www.whitehouse.gov/sites/default/files/National_Strategy_for_Biosurveillance_July_2012.pdf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Flu.gov. Available at </w:t>
      </w:r>
      <w:hyperlink r:id="rId176" w:tgtFrame="_blank" w:tooltip="http://www.flu.gov" w:history="1">
        <w:r w:rsidRPr="009C4E9A">
          <w:rPr>
            <w:rFonts w:eastAsia="Times New Roman" w:cstheme="minorHAnsi"/>
            <w:color w:val="0F88B8"/>
            <w:u w:val="single"/>
            <w:bdr w:val="none" w:sz="0" w:space="0" w:color="auto" w:frame="1"/>
          </w:rPr>
          <w:t>http://www.flu.gov</w:t>
        </w:r>
      </w:hyperlink>
      <w:r w:rsidRPr="009C4E9A">
        <w:rPr>
          <w:rFonts w:eastAsia="Times New Roman" w:cstheme="minorHAnsi"/>
          <w:color w:val="737373"/>
        </w:rPr>
        <w:t>. </w:t>
      </w:r>
      <w:r w:rsidRPr="009C4E9A">
        <w:rPr>
          <w:rFonts w:eastAsia="Times New Roman" w:cstheme="minorHAnsi"/>
          <w:color w:val="737373"/>
        </w:rPr>
        <w:br/>
      </w:r>
    </w:p>
    <w:p w14:paraId="37CE5769" w14:textId="77777777" w:rsidR="00EC67E4" w:rsidRPr="009C4E9A" w:rsidRDefault="00EC67E4" w:rsidP="00FC64BC">
      <w:pPr>
        <w:rPr>
          <w:rFonts w:eastAsia="Times New Roman" w:cstheme="minorHAnsi"/>
          <w:b/>
          <w:bCs/>
        </w:rPr>
      </w:pPr>
      <w:r w:rsidRPr="009C4E9A">
        <w:rPr>
          <w:rFonts w:eastAsia="Times New Roman" w:cstheme="minorHAnsi"/>
          <w:b/>
          <w:bCs/>
        </w:rPr>
        <w:t xml:space="preserve">Project </w:t>
      </w:r>
      <w:proofErr w:type="spellStart"/>
      <w:r w:rsidRPr="009C4E9A">
        <w:rPr>
          <w:rFonts w:eastAsia="Times New Roman" w:cstheme="minorHAnsi"/>
          <w:b/>
          <w:bCs/>
        </w:rPr>
        <w:t>BioShield</w:t>
      </w:r>
      <w:proofErr w:type="spellEnd"/>
      <w:r w:rsidRPr="009C4E9A">
        <w:rPr>
          <w:rFonts w:eastAsia="Times New Roman" w:cstheme="minorHAnsi"/>
          <w:b/>
          <w:bCs/>
        </w:rPr>
        <w:t xml:space="preserve"> Act of 2004</w:t>
      </w:r>
    </w:p>
    <w:p w14:paraId="01FC1ACF" w14:textId="77777777" w:rsidR="00EC67E4" w:rsidRPr="009C4E9A" w:rsidRDefault="00EC67E4" w:rsidP="003F4B92">
      <w:pPr>
        <w:shd w:val="clear" w:color="auto" w:fill="FFFFFF"/>
        <w:spacing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 xml:space="preserve">Project </w:t>
      </w:r>
      <w:proofErr w:type="spellStart"/>
      <w:r w:rsidRPr="009C4E9A">
        <w:rPr>
          <w:rFonts w:eastAsia="Times New Roman" w:cstheme="minorHAnsi"/>
        </w:rPr>
        <w:t>BioShield</w:t>
      </w:r>
      <w:proofErr w:type="spellEnd"/>
      <w:r w:rsidRPr="009C4E9A">
        <w:rPr>
          <w:rFonts w:eastAsia="Times New Roman" w:cstheme="minorHAnsi"/>
        </w:rPr>
        <w:t xml:space="preserve"> Act of 2004. Pub. L. No. 108-276. </w:t>
      </w:r>
      <w:r w:rsidRPr="009C4E9A">
        <w:rPr>
          <w:rFonts w:eastAsia="Times New Roman" w:cstheme="minorHAnsi"/>
        </w:rPr>
        <w:br/>
      </w:r>
    </w:p>
    <w:p w14:paraId="3F9D2B80" w14:textId="77777777" w:rsidR="00EC67E4" w:rsidRPr="009C4E9A" w:rsidRDefault="00EC67E4" w:rsidP="003F4B92">
      <w:pPr>
        <w:shd w:val="clear" w:color="auto" w:fill="FFFFFF"/>
        <w:spacing w:after="240" w:line="240" w:lineRule="atLeast"/>
        <w:textAlignment w:val="baseline"/>
        <w:rPr>
          <w:rFonts w:eastAsia="Times New Roman" w:cstheme="minorHAnsi"/>
          <w:color w:val="737373"/>
        </w:rPr>
      </w:pP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Department of Health and Human Services. “Medical Countermeasures” webpage available at</w:t>
      </w:r>
      <w:r w:rsidRPr="009C4E9A">
        <w:rPr>
          <w:rFonts w:eastAsia="Times New Roman" w:cstheme="minorHAnsi"/>
          <w:color w:val="737373"/>
        </w:rPr>
        <w:t> </w:t>
      </w:r>
      <w:hyperlink r:id="rId177" w:tgtFrame="_blank" w:tooltip="http://www.phe.gov/preparedness/mcm/pages/default.aspx" w:history="1">
        <w:r w:rsidRPr="009C4E9A">
          <w:rPr>
            <w:rFonts w:eastAsia="Times New Roman" w:cstheme="minorHAnsi"/>
            <w:color w:val="0F88B8"/>
            <w:u w:val="single"/>
            <w:bdr w:val="none" w:sz="0" w:space="0" w:color="auto" w:frame="1"/>
          </w:rPr>
          <w:t>http://www.phe.gov/preparedness/mcm/pages/default.aspx</w:t>
        </w:r>
      </w:hyperlink>
      <w:r w:rsidRPr="009C4E9A">
        <w:rPr>
          <w:rFonts w:eastAsia="Times New Roman" w:cstheme="minorHAnsi"/>
          <w:color w:val="0F88B8"/>
          <w:u w:val="single"/>
          <w:bdr w:val="none" w:sz="0" w:space="0" w:color="auto" w:frame="1"/>
        </w:rPr>
        <w:t xml:space="preserve"> </w:t>
      </w:r>
      <w:r w:rsidRPr="009C4E9A">
        <w:rPr>
          <w:rFonts w:eastAsia="Times New Roman" w:cstheme="minorHAnsi"/>
        </w:rPr>
        <w:t>and “Medical Countermeasures.gov” website at</w:t>
      </w:r>
      <w:r w:rsidRPr="009C4E9A">
        <w:rPr>
          <w:rFonts w:eastAsia="Times New Roman" w:cstheme="minorHAnsi"/>
          <w:color w:val="737373"/>
        </w:rPr>
        <w:t> </w:t>
      </w:r>
      <w:hyperlink r:id="rId178" w:tgtFrame="_blank" w:tooltip="http://www.medicalcountermeasures.gov" w:history="1">
        <w:r w:rsidRPr="009C4E9A">
          <w:rPr>
            <w:rFonts w:eastAsia="Times New Roman" w:cstheme="minorHAnsi"/>
            <w:color w:val="0F88B8"/>
            <w:u w:val="single"/>
            <w:bdr w:val="none" w:sz="0" w:space="0" w:color="auto" w:frame="1"/>
          </w:rPr>
          <w:t>http://www.medicalcountermeasures.gov</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Health and Human Services, Office of the Assistant Secretary of Preparedness and Response. “Public Health Emergency” webpage. Available at</w:t>
      </w:r>
      <w:r w:rsidRPr="009C4E9A">
        <w:rPr>
          <w:rFonts w:eastAsia="Times New Roman" w:cstheme="minorHAnsi"/>
          <w:color w:val="737373"/>
        </w:rPr>
        <w:t> </w:t>
      </w:r>
      <w:hyperlink r:id="rId179" w:tgtFrame="_blank" w:tooltip="http://www.phe.gov/Preparedness/pages/default.aspx" w:history="1">
        <w:r w:rsidRPr="009C4E9A">
          <w:rPr>
            <w:rFonts w:eastAsia="Times New Roman" w:cstheme="minorHAnsi"/>
            <w:color w:val="0F88B8"/>
            <w:u w:val="single"/>
            <w:bdr w:val="none" w:sz="0" w:space="0" w:color="auto" w:frame="1"/>
          </w:rPr>
          <w:t>http://www.phe.gov/Preparedness/pages/default.aspx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Purposes and Authorities </w:t>
      </w:r>
      <w:r w:rsidRPr="009C4E9A">
        <w:rPr>
          <w:rFonts w:eastAsia="Times New Roman" w:cstheme="minorHAnsi"/>
        </w:rPr>
        <w:t>(RS21507). July 6, 2009. Available at </w:t>
      </w:r>
      <w:hyperlink r:id="rId180" w:tgtFrame="_blank" w:tooltip="http://www.hsdl.org/?view&amp;amp;did=15074" w:history="1">
        <w:r w:rsidRPr="009C4E9A">
          <w:rPr>
            <w:rFonts w:eastAsia="Times New Roman" w:cstheme="minorHAnsi"/>
            <w:color w:val="0F88B8"/>
            <w:u w:val="single"/>
            <w:bdr w:val="none" w:sz="0" w:space="0" w:color="auto" w:frame="1"/>
          </w:rPr>
          <w:t>http://www.hsdl.org/?view&amp;did=15074</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Food and Drug Administration and the U.S. Centers for Disease Control and Prevention. “Emergency Use Authorization” online course. Available at </w:t>
      </w:r>
      <w:hyperlink r:id="rId181" w:tgtFrame="_blank" w:tooltip="http://www.bt.cdc.gov/training/eua/index.html" w:history="1">
        <w:r w:rsidRPr="009C4E9A">
          <w:rPr>
            <w:rFonts w:eastAsia="Times New Roman" w:cstheme="minorHAnsi"/>
            <w:color w:val="0F88B8"/>
            <w:u w:val="single"/>
            <w:bdr w:val="none" w:sz="0" w:space="0" w:color="auto" w:frame="1"/>
          </w:rPr>
          <w:t>http://www.bt.cdc.gov/training/eua/index.html</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Government Accountability Office.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HHS Can Improve Agency Internal Controls for Its New Contracting Authorities</w:t>
      </w:r>
      <w:r w:rsidRPr="009C4E9A">
        <w:rPr>
          <w:rFonts w:eastAsia="Times New Roman" w:cstheme="minorHAnsi"/>
        </w:rPr>
        <w:t> (GAO-09-820). July 21, 2009. Available at </w:t>
      </w:r>
      <w:hyperlink r:id="rId182" w:tgtFrame="_blank" w:tooltip="http://www.gao.gov/new.items/d09820.pdf" w:history="1">
        <w:r w:rsidRPr="009C4E9A">
          <w:rPr>
            <w:rFonts w:eastAsia="Times New Roman" w:cstheme="minorHAnsi"/>
            <w:color w:val="0F88B8"/>
            <w:u w:val="single"/>
            <w:bdr w:val="none" w:sz="0" w:space="0" w:color="auto" w:frame="1"/>
          </w:rPr>
          <w:t>http://www.gao.gov/new.items/d09820.pdf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Government Accountability Office.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xml:space="preserve"> Act: HHS Has Supported Development, Procurement, and Emergency Use of Medical Countermeasures to Address Health Threats </w:t>
      </w:r>
      <w:r w:rsidRPr="009C4E9A">
        <w:rPr>
          <w:rFonts w:eastAsia="Times New Roman" w:cstheme="minorHAnsi"/>
        </w:rPr>
        <w:t>(GAO-09-878R). July 24, 2009. Available at</w:t>
      </w:r>
      <w:r w:rsidRPr="009C4E9A">
        <w:rPr>
          <w:rFonts w:eastAsia="Times New Roman" w:cstheme="minorHAnsi"/>
          <w:color w:val="737373"/>
        </w:rPr>
        <w:t> </w:t>
      </w:r>
      <w:hyperlink r:id="rId183" w:tgtFrame="_blank" w:tooltip="http://www.gao.gov/new.items/d09878r.pdf" w:history="1">
        <w:r w:rsidRPr="009C4E9A">
          <w:rPr>
            <w:rFonts w:eastAsia="Times New Roman" w:cstheme="minorHAnsi"/>
            <w:color w:val="0F88B8"/>
            <w:u w:val="single"/>
            <w:bdr w:val="none" w:sz="0" w:space="0" w:color="auto" w:frame="1"/>
          </w:rPr>
          <w:t>http://www.gao.gov/new.items/d09878r.pdf</w:t>
        </w:r>
      </w:hyperlink>
      <w:r w:rsidRPr="009C4E9A">
        <w:rPr>
          <w:rFonts w:eastAsia="Times New Roman" w:cstheme="minorHAnsi"/>
          <w:color w:val="737373"/>
        </w:rPr>
        <w:t>. </w:t>
      </w:r>
      <w:r w:rsidRPr="009C4E9A">
        <w:rPr>
          <w:rFonts w:eastAsia="Times New Roman" w:cstheme="minorHAnsi"/>
          <w:color w:val="737373"/>
        </w:rPr>
        <w:br/>
      </w:r>
    </w:p>
    <w:p w14:paraId="0B9A9F1A" w14:textId="77777777" w:rsidR="00EC67E4" w:rsidRPr="009C4E9A" w:rsidRDefault="00EC67E4" w:rsidP="00FC64BC">
      <w:pPr>
        <w:rPr>
          <w:rFonts w:eastAsia="Times New Roman" w:cstheme="minorHAnsi"/>
          <w:b/>
          <w:bCs/>
        </w:rPr>
      </w:pPr>
      <w:r w:rsidRPr="009C4E9A">
        <w:rPr>
          <w:rFonts w:eastAsia="Times New Roman" w:cstheme="minorHAnsi"/>
          <w:b/>
          <w:bCs/>
        </w:rPr>
        <w:t>Public Health Service Act, Section 319—Authorities Related to Public Health Emergencies</w:t>
      </w:r>
    </w:p>
    <w:p w14:paraId="45D66B82"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PHS Act Sec. 319. Codified at 42 U.S.C. § 247d. Available at </w:t>
      </w:r>
      <w:hyperlink r:id="rId184" w:tgtFrame="_blank" w:tooltip="http://www.gpo.gov/fdsys/pkg/USCODE-2009-title42/html/USCODE-2009-title42-chap6A-subchapII.htm" w:history="1">
        <w:r w:rsidRPr="009C4E9A">
          <w:rPr>
            <w:rFonts w:eastAsia="Times New Roman" w:cstheme="minorHAnsi"/>
            <w:color w:val="0F88B8"/>
            <w:u w:val="single"/>
            <w:bdr w:val="none" w:sz="0" w:space="0" w:color="auto" w:frame="1"/>
          </w:rPr>
          <w:t>http://www.gpo.gov/fdsys/pkg/USCODE-2009-title42/html/USCODE-2009-title42-chap6A-subchapII.htm</w:t>
        </w:r>
      </w:hyperlink>
      <w:r w:rsidRPr="009C4E9A">
        <w:rPr>
          <w:rFonts w:eastAsia="Times New Roman" w:cstheme="minorHAnsi"/>
          <w:color w:val="737373"/>
        </w:rPr>
        <w:t>. </w:t>
      </w:r>
      <w:r w:rsidRPr="009C4E9A">
        <w:rPr>
          <w:rFonts w:eastAsia="Times New Roman" w:cstheme="minorHAnsi"/>
          <w:color w:val="737373"/>
        </w:rPr>
        <w:br/>
      </w:r>
    </w:p>
    <w:p w14:paraId="4DE72382" w14:textId="77777777" w:rsidR="00EC67E4" w:rsidRPr="009C4E9A" w:rsidRDefault="00EC67E4" w:rsidP="009C4E9A">
      <w:pPr>
        <w:keepNext/>
        <w:rPr>
          <w:rFonts w:eastAsia="Times New Roman" w:cstheme="minorHAnsi"/>
          <w:b/>
          <w:bCs/>
        </w:rPr>
      </w:pPr>
      <w:r w:rsidRPr="009C4E9A">
        <w:rPr>
          <w:rFonts w:eastAsia="Times New Roman" w:cstheme="minorHAnsi"/>
          <w:b/>
          <w:bCs/>
        </w:rPr>
        <w:lastRenderedPageBreak/>
        <w:t>Public Readiness and Emergency Preparedness Act (PREP Act)</w:t>
      </w:r>
    </w:p>
    <w:p w14:paraId="3749FE6E"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also </w:t>
      </w:r>
      <w:hyperlink r:id="rId185" w:anchor="Countermeasures-Injury" w:history="1">
        <w:r w:rsidRPr="009C4E9A">
          <w:rPr>
            <w:rFonts w:eastAsia="Times New Roman" w:cstheme="minorHAnsi"/>
            <w:i/>
            <w:iCs/>
            <w:color w:val="0F88B8"/>
            <w:u w:val="single"/>
            <w:bdr w:val="none" w:sz="0" w:space="0" w:color="auto" w:frame="1"/>
          </w:rPr>
          <w:t>“Countermeasures Injury Compensation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r w:rsidRPr="009C4E9A">
        <w:rPr>
          <w:rFonts w:eastAsia="Times New Roman" w:cstheme="minorHAnsi"/>
          <w:color w:val="737373"/>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Public Readiness and Emergency Preparedness Act of 2005. Pub. L. No. 109-417 (120 STAT. 2831). Available at </w:t>
      </w:r>
      <w:hyperlink r:id="rId186" w:tgtFrame="_blank" w:tooltip="http://www.gpo.gov/fdsys/pkg/PLAW-109publ417/pdf/PLAW-109publ417.pdf" w:history="1">
        <w:r w:rsidRPr="009C4E9A">
          <w:rPr>
            <w:rFonts w:eastAsia="Times New Roman" w:cstheme="minorHAnsi"/>
            <w:color w:val="0F88B8"/>
            <w:u w:val="single"/>
            <w:bdr w:val="none" w:sz="0" w:space="0" w:color="auto" w:frame="1"/>
          </w:rPr>
          <w:t>http://www.gpo.gov/fdsys/pkg/PLAW-109publ417/pdf/PLAW-109publ417.pdf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Codified in the Public Health Service Act at 42 U.S.C. §§ 247d-6d, 247d-6e. Available at </w:t>
      </w:r>
      <w:hyperlink r:id="rId187" w:tgtFrame="_blank" w:tooltip="http://www.gpo.gov/fdsys/pkg/USCODE-2009-title42/html/USCODE-2009-title42-chap6A-subchapII.htm" w:history="1">
        <w:r w:rsidRPr="009C4E9A">
          <w:rPr>
            <w:rFonts w:eastAsia="Times New Roman" w:cstheme="minorHAnsi"/>
            <w:color w:val="0F88B8"/>
            <w:u w:val="single"/>
            <w:bdr w:val="none" w:sz="0" w:space="0" w:color="auto" w:frame="1"/>
          </w:rPr>
          <w:t>http://www.gpo.gov/fdsys/pkg/USCODE-2009-title42/html/USCODE-2009-title42-chap6A-subchapII.htm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Offices/Programs/Activities </w:t>
      </w:r>
      <w:r w:rsidRPr="009C4E9A">
        <w:rPr>
          <w:rFonts w:eastAsia="Times New Roman" w:cstheme="minorHAnsi"/>
        </w:rPr>
        <w:br/>
        <w:t>Department of Health and Human Services. “Public Readiness and Emergency Preparedness Act” webpage. Available at </w:t>
      </w:r>
      <w:hyperlink r:id="rId188" w:tgtFrame="_blank" w:tooltip="http://www.phe.gov/Preparedness/legal/prepact/Pages/default.aspx" w:history="1">
        <w:r w:rsidRPr="009C4E9A">
          <w:rPr>
            <w:rFonts w:eastAsia="Times New Roman" w:cstheme="minorHAnsi"/>
            <w:color w:val="0F88B8"/>
            <w:u w:val="single"/>
            <w:bdr w:val="none" w:sz="0" w:space="0" w:color="auto" w:frame="1"/>
          </w:rPr>
          <w:t>http://www.phe.gov/Preparedness/legal/prepact/Pages/default.aspx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Health and Human Services. “Public Readiness and Emergency Preparedness Act Questions and Answers” webpage. Available at </w:t>
      </w:r>
      <w:hyperlink r:id="rId189" w:tgtFrame="_blank" w:tooltip="http://www.phe.gov/Preparedness/legal/prepact/Pages/prepqa.aspx" w:history="1">
        <w:r w:rsidRPr="009C4E9A">
          <w:rPr>
            <w:rFonts w:eastAsia="Times New Roman" w:cstheme="minorHAnsi"/>
            <w:color w:val="0F88B8"/>
            <w:u w:val="single"/>
            <w:bdr w:val="none" w:sz="0" w:space="0" w:color="auto" w:frame="1"/>
          </w:rPr>
          <w:t>http://www.phe.gov/Preparedness/legal/prepact/Pages/prepqa.aspx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Public Readiness and Emergency Preparedness Act (PREP) Act Declarations </w:t>
      </w:r>
      <w:r w:rsidRPr="009C4E9A">
        <w:rPr>
          <w:rFonts w:eastAsia="Times New Roman" w:cstheme="minorHAnsi"/>
          <w:b/>
          <w:bCs/>
          <w:bdr w:val="none" w:sz="0" w:space="0" w:color="auto" w:frame="1"/>
        </w:rPr>
        <w:br/>
      </w:r>
      <w:r w:rsidRPr="009C4E9A">
        <w:rPr>
          <w:rFonts w:eastAsia="Times New Roman" w:cstheme="minorHAnsi"/>
        </w:rPr>
        <w:t>Current and expired PREP Act Declarations. Available at </w:t>
      </w:r>
      <w:hyperlink r:id="rId190" w:tgtFrame="_blank" w:tooltip="http://www.phe.gov/Preparedness/legal/prepact/Pages/default.aspx" w:history="1">
        <w:r w:rsidRPr="009C4E9A">
          <w:rPr>
            <w:rFonts w:eastAsia="Times New Roman" w:cstheme="minorHAnsi"/>
            <w:color w:val="0F88B8"/>
            <w:u w:val="single"/>
            <w:bdr w:val="none" w:sz="0" w:space="0" w:color="auto" w:frame="1"/>
          </w:rPr>
          <w:t>http://www.phe.gov/Preparedness/legal/prepact/Pages/default.aspx</w:t>
        </w:r>
      </w:hyperlink>
      <w:r w:rsidRPr="009C4E9A">
        <w:rPr>
          <w:rFonts w:eastAsia="Times New Roman" w:cstheme="minorHAnsi"/>
          <w:color w:val="737373"/>
        </w:rPr>
        <w:t>. </w:t>
      </w:r>
      <w:r w:rsidRPr="009C4E9A">
        <w:rPr>
          <w:rFonts w:eastAsia="Times New Roman" w:cstheme="minorHAnsi"/>
          <w:color w:val="737373"/>
        </w:rPr>
        <w:br/>
      </w:r>
    </w:p>
    <w:p w14:paraId="2CB29163" w14:textId="77777777" w:rsidR="00EC67E4" w:rsidRPr="009C4E9A" w:rsidRDefault="00EC67E4" w:rsidP="00FC64BC">
      <w:pPr>
        <w:rPr>
          <w:rFonts w:eastAsia="Times New Roman" w:cstheme="minorHAnsi"/>
          <w:b/>
          <w:bCs/>
        </w:rPr>
      </w:pPr>
      <w:r w:rsidRPr="009C4E9A">
        <w:rPr>
          <w:rFonts w:eastAsia="Times New Roman" w:cstheme="minorHAnsi"/>
          <w:b/>
          <w:bCs/>
        </w:rPr>
        <w:t>Shelf Life Extension Program (SLEP)</w:t>
      </w:r>
    </w:p>
    <w:p w14:paraId="59804B1F"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Shelf Life Extension Program website. Available at</w:t>
      </w:r>
      <w:r w:rsidRPr="009C4E9A">
        <w:rPr>
          <w:rFonts w:eastAsia="Times New Roman" w:cstheme="minorHAnsi"/>
          <w:color w:val="737373"/>
        </w:rPr>
        <w:t> </w:t>
      </w:r>
      <w:hyperlink r:id="rId191" w:tgtFrame="_blank" w:tooltip="https://slep.dmsbfda.army.mil/portal/page/portal/SLEP_PAGE_GRP/SLEP_HOME" w:history="1">
        <w:r w:rsidRPr="009C4E9A">
          <w:rPr>
            <w:rFonts w:eastAsia="Times New Roman" w:cstheme="minorHAnsi"/>
            <w:color w:val="0F88B8"/>
            <w:u w:val="single"/>
            <w:bdr w:val="none" w:sz="0" w:space="0" w:color="auto" w:frame="1"/>
          </w:rPr>
          <w:t>https://slep.dmsbfda.army.mil/portal/page/portal/SLEP_PAGE_GRP/SLEP_HOME</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Defense Medical Materiel Program Office website available at </w:t>
      </w:r>
      <w:hyperlink r:id="rId192" w:tgtFrame="_blank" w:tooltip="http://www.dmsb.mil/aboutUs.asp" w:history="1">
        <w:r w:rsidRPr="009C4E9A">
          <w:rPr>
            <w:rFonts w:eastAsia="Times New Roman" w:cstheme="minorHAnsi"/>
            <w:u w:val="single"/>
            <w:bdr w:val="none" w:sz="0" w:space="0" w:color="auto" w:frame="1"/>
          </w:rPr>
          <w:t>http://www.dmsb.mil/aboutUs.asp</w:t>
        </w:r>
      </w:hyperlink>
      <w:r w:rsidRPr="009C4E9A">
        <w:rPr>
          <w:rFonts w:eastAsia="Times New Roman" w:cstheme="minorHAnsi"/>
        </w:rPr>
        <w:t> and DMMPO SLEP webpage at </w:t>
      </w:r>
      <w:hyperlink r:id="rId193" w:tgtFrame="_blank" w:tooltip="http://www.dmsb.mil/slep.asp." w:history="1">
        <w:r w:rsidRPr="009C4E9A">
          <w:rPr>
            <w:rFonts w:eastAsia="Times New Roman" w:cstheme="minorHAnsi"/>
            <w:color w:val="0F88B8"/>
            <w:u w:val="single"/>
            <w:bdr w:val="none" w:sz="0" w:space="0" w:color="auto" w:frame="1"/>
          </w:rPr>
          <w:t>http://www.dmsb.mil/slep.asp.</w:t>
        </w:r>
      </w:hyperlink>
      <w:r w:rsidRPr="009C4E9A">
        <w:rPr>
          <w:rFonts w:eastAsia="Times New Roman" w:cstheme="minorHAnsi"/>
          <w:color w:val="737373"/>
        </w:rPr>
        <w:t> </w:t>
      </w:r>
      <w:r w:rsidRPr="009C4E9A">
        <w:rPr>
          <w:rFonts w:eastAsia="Times New Roman" w:cstheme="minorHAnsi"/>
        </w:rPr>
        <w:t>[Note: Sites may contain security warnings.] </w:t>
      </w:r>
      <w:r w:rsidRPr="009C4E9A">
        <w:rPr>
          <w:rFonts w:eastAsia="Times New Roman" w:cstheme="minorHAnsi"/>
          <w:color w:val="737373"/>
        </w:rPr>
        <w:br/>
      </w:r>
      <w:r w:rsidRPr="009C4E9A">
        <w:rPr>
          <w:rFonts w:eastAsia="Times New Roman" w:cstheme="minorHAnsi"/>
        </w:rPr>
        <w:br/>
        <w:t>Defense Medical Materiel Program Office. “Extending the Shelf Life of Critical Chemical, Biological, Nuclear, and Radiological (CBRN) Medical Materiel Using the FDA/DOD Shelf Life Extension Program.” January 24, 2006. Available at </w:t>
      </w:r>
      <w:hyperlink r:id="rId194" w:tgtFrame="_blank" w:tooltip="https://slep.dmsbfda.army.mil/slep/slep_info_paper_JAN_2006.doc" w:history="1">
        <w:r w:rsidRPr="009C4E9A">
          <w:rPr>
            <w:rFonts w:eastAsia="Times New Roman" w:cstheme="minorHAnsi"/>
            <w:color w:val="0F88B8"/>
            <w:u w:val="single"/>
            <w:bdr w:val="none" w:sz="0" w:space="0" w:color="auto" w:frame="1"/>
          </w:rPr>
          <w:t>https://slep.dmsbfda.army.mil/slep/slep_info_paper_JAN_2006.doc</w:t>
        </w:r>
      </w:hyperlink>
      <w:r w:rsidRPr="009C4E9A">
        <w:rPr>
          <w:rFonts w:eastAsia="Times New Roman" w:cstheme="minorHAnsi"/>
          <w:color w:val="737373"/>
        </w:rPr>
        <w:t xml:space="preserve">. </w:t>
      </w:r>
      <w:r w:rsidRPr="009C4E9A">
        <w:rPr>
          <w:rFonts w:eastAsia="Times New Roman" w:cstheme="minorHAnsi"/>
        </w:rPr>
        <w:t>[Note: Site may contain security warnings.] </w:t>
      </w:r>
      <w:r w:rsidRPr="009C4E9A">
        <w:rPr>
          <w:rFonts w:eastAsia="Times New Roman" w:cstheme="minorHAnsi"/>
        </w:rPr>
        <w:br/>
      </w:r>
      <w:r w:rsidRPr="009C4E9A">
        <w:rPr>
          <w:rFonts w:eastAsia="Times New Roman" w:cstheme="minorHAnsi"/>
        </w:rPr>
        <w:br/>
        <w:t>Food and Drug Administration. “Drug Applications and Current Good Manufacturing Practice (CGMP) Regulations” website. Available at </w:t>
      </w:r>
      <w:hyperlink r:id="rId195" w:tgtFrame="_blank" w:tooltip="http://www.fda.gov/Drugs/DevelopmentApprovalProcess/Manufacturing/ucm090016.htm" w:history="1">
        <w:r w:rsidRPr="009C4E9A">
          <w:rPr>
            <w:rFonts w:eastAsia="Times New Roman" w:cstheme="minorHAnsi"/>
            <w:color w:val="0F88B8"/>
            <w:u w:val="single"/>
            <w:bdr w:val="none" w:sz="0" w:space="0" w:color="auto" w:frame="1"/>
          </w:rPr>
          <w:t>http://www.fda.gov/Drugs/DevelopmentApprovalProcess/Manufacturing/ucm090016.htm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Food and Drug Administration. CGMP in Manufacturing, Processing, Packing, or Holding of Drugs. 21 CFR Part 210. Available at </w:t>
      </w:r>
      <w:hyperlink r:id="rId196" w:tgtFrame="_blank" w:tooltip="http://www.accessdata.fda.gov/scripts/cdrh/cfdocs/cfcfr/cfrsearch.cfm?cfrpart=210" w:history="1">
        <w:r w:rsidRPr="009C4E9A">
          <w:rPr>
            <w:rFonts w:eastAsia="Times New Roman" w:cstheme="minorHAnsi"/>
            <w:color w:val="0F88B8"/>
            <w:u w:val="single"/>
            <w:bdr w:val="none" w:sz="0" w:space="0" w:color="auto" w:frame="1"/>
          </w:rPr>
          <w:t>http://www.accessdata.fda.gov/scripts/cdrh/cfdocs/cfcfr/cfrsearch.cfm?cfrpart=210</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Food and Drug Administration. CGMP for Finished Pharmaceuticals. 21 CFR Part 211. Available at </w:t>
      </w:r>
      <w:hyperlink r:id="rId197" w:tgtFrame="_blank" w:tooltip="http://www.accessdata.fda.gov/scripts/cdrh/cfdocs/cfcfr/cfrsearch.cfm?cfrpart=211" w:history="1">
        <w:r w:rsidRPr="009C4E9A">
          <w:rPr>
            <w:rFonts w:eastAsia="Times New Roman" w:cstheme="minorHAnsi"/>
            <w:color w:val="0F88B8"/>
            <w:u w:val="single"/>
            <w:bdr w:val="none" w:sz="0" w:space="0" w:color="auto" w:frame="1"/>
          </w:rPr>
          <w:t>http://www.accessdata.fda.gov/scripts/cdrh/cfdocs/cfcfr/cfrsearch.cfm?cfrpart=211</w:t>
        </w:r>
      </w:hyperlink>
      <w:r w:rsidRPr="009C4E9A">
        <w:rPr>
          <w:rFonts w:eastAsia="Times New Roman" w:cstheme="minorHAnsi"/>
          <w:color w:val="737373"/>
        </w:rPr>
        <w:t>. </w:t>
      </w:r>
      <w:r w:rsidRPr="009C4E9A">
        <w:rPr>
          <w:rFonts w:eastAsia="Times New Roman" w:cstheme="minorHAnsi"/>
          <w:color w:val="737373"/>
        </w:rPr>
        <w:br/>
      </w:r>
      <w:r w:rsidRPr="005C5350">
        <w:rPr>
          <w:rFonts w:eastAsia="Times New Roman" w:cstheme="minorHAnsi"/>
        </w:rPr>
        <w:lastRenderedPageBreak/>
        <w:br/>
      </w:r>
      <w:r w:rsidRPr="005C5350">
        <w:rPr>
          <w:rFonts w:eastAsia="Times New Roman" w:cstheme="minorHAnsi"/>
          <w:b/>
          <w:bCs/>
          <w:bdr w:val="none" w:sz="0" w:space="0" w:color="auto" w:frame="1"/>
        </w:rPr>
        <w:t>Other Resources </w:t>
      </w:r>
      <w:r w:rsidRPr="005C5350">
        <w:rPr>
          <w:rFonts w:eastAsia="Times New Roman" w:cstheme="minorHAnsi"/>
        </w:rPr>
        <w:br/>
      </w:r>
      <w:proofErr w:type="spellStart"/>
      <w:r w:rsidRPr="009C4E9A">
        <w:rPr>
          <w:rFonts w:eastAsia="Times New Roman" w:cstheme="minorHAnsi"/>
        </w:rPr>
        <w:t>Borio</w:t>
      </w:r>
      <w:proofErr w:type="spellEnd"/>
      <w:r w:rsidRPr="009C4E9A">
        <w:rPr>
          <w:rFonts w:eastAsia="Times New Roman" w:cstheme="minorHAnsi"/>
        </w:rPr>
        <w:t xml:space="preserve"> L. Food and Drug Administration. July 25, 2011 Letter to William G. </w:t>
      </w:r>
      <w:proofErr w:type="spellStart"/>
      <w:r w:rsidRPr="009C4E9A">
        <w:rPr>
          <w:rFonts w:eastAsia="Times New Roman" w:cstheme="minorHAnsi"/>
        </w:rPr>
        <w:t>Burel</w:t>
      </w:r>
      <w:proofErr w:type="spellEnd"/>
      <w:r w:rsidRPr="009C4E9A">
        <w:rPr>
          <w:rFonts w:eastAsia="Times New Roman" w:cstheme="minorHAnsi"/>
        </w:rPr>
        <w:t>, CDC et al regarding answers to questions raised during December 2010 </w:t>
      </w:r>
      <w:r w:rsidRPr="009C4E9A">
        <w:rPr>
          <w:rFonts w:eastAsia="Times New Roman" w:cstheme="minorHAnsi"/>
          <w:i/>
          <w:iCs/>
          <w:bdr w:val="none" w:sz="0" w:space="0" w:color="auto" w:frame="1"/>
        </w:rPr>
        <w:t>Federal, State, and Local Public Health Preparedness</w:t>
      </w:r>
      <w:r w:rsidRPr="009C4E9A">
        <w:rPr>
          <w:rFonts w:eastAsia="Times New Roman" w:cstheme="minorHAnsi"/>
        </w:rPr>
        <w:t> meeting in Baltimore, MD. Available at </w:t>
      </w:r>
      <w:hyperlink r:id="rId198" w:tgtFrame="_blank" w:tooltip="http://www.fda.gov/EmergencyPreparedness/Counterterrorism/ucm234336.htm" w:history="1">
        <w:r w:rsidRPr="009C4E9A">
          <w:rPr>
            <w:rFonts w:eastAsia="Times New Roman" w:cstheme="minorHAnsi"/>
            <w:color w:val="0F88B8"/>
            <w:u w:val="single"/>
            <w:bdr w:val="none" w:sz="0" w:space="0" w:color="auto" w:frame="1"/>
          </w:rPr>
          <w:t>http://www.fda.gov/EmergencyPreparedness/Counterterrorism/ucm234336.htm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Committee on Implementation of Antiviral Medication Strategies for an Influenza Pandemic. Institute of Medicine. </w:t>
      </w:r>
      <w:r w:rsidRPr="009C4E9A">
        <w:rPr>
          <w:rFonts w:eastAsia="Times New Roman" w:cstheme="minorHAnsi"/>
          <w:i/>
          <w:iCs/>
          <w:bdr w:val="none" w:sz="0" w:space="0" w:color="auto" w:frame="1"/>
        </w:rPr>
        <w:t>Antivirals for Pandemic Influenza: Guidance on Developing a Distribution and Dispensing Program</w:t>
      </w:r>
      <w:r w:rsidRPr="009C4E9A">
        <w:rPr>
          <w:rFonts w:eastAsia="Times New Roman" w:cstheme="minorHAnsi"/>
        </w:rPr>
        <w:t>. National Academies Press. 2008. </w:t>
      </w:r>
      <w:r w:rsidRPr="009C4E9A">
        <w:rPr>
          <w:rFonts w:eastAsia="Times New Roman" w:cstheme="minorHAnsi"/>
        </w:rPr>
        <w:br/>
      </w:r>
      <w:r w:rsidRPr="009C4E9A">
        <w:rPr>
          <w:rFonts w:eastAsia="Times New Roman" w:cstheme="minorHAnsi"/>
        </w:rPr>
        <w:br/>
        <w:t>Courtney B et al. “Maximizing State and Local Medical Countermeasure Stockpile Investments Through the Shelf Life Extension Program.” </w:t>
      </w:r>
      <w:r w:rsidRPr="009C4E9A">
        <w:rPr>
          <w:rFonts w:eastAsia="Times New Roman" w:cstheme="minorHAnsi"/>
          <w:i/>
          <w:iCs/>
          <w:bdr w:val="none" w:sz="0" w:space="0" w:color="auto" w:frame="1"/>
        </w:rPr>
        <w:t>Biosecurity and Bioterrorism</w:t>
      </w:r>
      <w:r w:rsidRPr="009C4E9A">
        <w:rPr>
          <w:rFonts w:eastAsia="Times New Roman" w:cstheme="minorHAnsi"/>
        </w:rPr>
        <w:t>. Vol. 7 No. 1. 2009. </w:t>
      </w:r>
      <w:r w:rsidRPr="009C4E9A">
        <w:rPr>
          <w:rFonts w:eastAsia="Times New Roman" w:cstheme="minorHAnsi"/>
        </w:rPr>
        <w:br/>
      </w:r>
      <w:r w:rsidRPr="009C4E9A">
        <w:rPr>
          <w:rFonts w:eastAsia="Times New Roman" w:cstheme="minorHAnsi"/>
        </w:rPr>
        <w:br/>
        <w:t>Homeland Security Council. </w:t>
      </w:r>
      <w:r w:rsidRPr="009C4E9A">
        <w:rPr>
          <w:rFonts w:eastAsia="Times New Roman" w:cstheme="minorHAnsi"/>
          <w:i/>
          <w:iCs/>
          <w:bdr w:val="none" w:sz="0" w:space="0" w:color="auto" w:frame="1"/>
        </w:rPr>
        <w:t>National Strategy for Pandemic Influenza: Implementation Plan</w:t>
      </w:r>
      <w:r w:rsidRPr="009C4E9A">
        <w:rPr>
          <w:rFonts w:eastAsia="Times New Roman" w:cstheme="minorHAnsi"/>
        </w:rPr>
        <w:t> (May 2006) (</w:t>
      </w:r>
      <w:r w:rsidRPr="009C4E9A">
        <w:rPr>
          <w:rFonts w:eastAsia="Times New Roman" w:cstheme="minorHAnsi"/>
          <w:i/>
          <w:iCs/>
          <w:bdr w:val="none" w:sz="0" w:space="0" w:color="auto" w:frame="1"/>
        </w:rPr>
        <w:t>see Pandemic Plans section above</w:t>
      </w:r>
      <w:r w:rsidRPr="009C4E9A">
        <w:rPr>
          <w:rFonts w:eastAsia="Times New Roman" w:cstheme="minorHAnsi"/>
        </w:rPr>
        <w:t>). </w:t>
      </w:r>
      <w:r w:rsidRPr="009C4E9A">
        <w:rPr>
          <w:rFonts w:eastAsia="Times New Roman" w:cstheme="minorHAnsi"/>
        </w:rPr>
        <w:br/>
      </w:r>
      <w:r w:rsidRPr="009C4E9A">
        <w:rPr>
          <w:rFonts w:eastAsia="Times New Roman" w:cstheme="minorHAnsi"/>
        </w:rPr>
        <w:br/>
      </w:r>
      <w:proofErr w:type="spellStart"/>
      <w:r w:rsidRPr="009C4E9A">
        <w:rPr>
          <w:rFonts w:eastAsia="Times New Roman" w:cstheme="minorHAnsi"/>
        </w:rPr>
        <w:t>Leissa</w:t>
      </w:r>
      <w:proofErr w:type="spellEnd"/>
      <w:r w:rsidRPr="009C4E9A">
        <w:rPr>
          <w:rFonts w:eastAsia="Times New Roman" w:cstheme="minorHAnsi"/>
        </w:rPr>
        <w:t xml:space="preserve"> B. U.S. Food and Drug Administration. “Shelf Life Extension Program”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199"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Lyon RC et al. Stability profiles of drug products extended beyond labeled expiration dates. </w:t>
      </w:r>
      <w:r w:rsidRPr="009C4E9A">
        <w:rPr>
          <w:rFonts w:eastAsia="Times New Roman" w:cstheme="minorHAnsi"/>
          <w:i/>
          <w:iCs/>
          <w:bdr w:val="none" w:sz="0" w:space="0" w:color="auto" w:frame="1"/>
        </w:rPr>
        <w:t>J Pharm Sci </w:t>
      </w:r>
      <w:r w:rsidRPr="009C4E9A">
        <w:rPr>
          <w:rFonts w:eastAsia="Times New Roman" w:cstheme="minorHAnsi"/>
        </w:rPr>
        <w:t>2006;95(7):1549-1560. </w:t>
      </w:r>
      <w:r w:rsidRPr="009C4E9A">
        <w:rPr>
          <w:rFonts w:eastAsia="Times New Roman" w:cstheme="minorHAnsi"/>
        </w:rPr>
        <w:br/>
      </w:r>
      <w:r w:rsidRPr="009C4E9A">
        <w:rPr>
          <w:rFonts w:eastAsia="Times New Roman" w:cstheme="minorHAnsi"/>
        </w:rPr>
        <w:br/>
      </w:r>
      <w:proofErr w:type="spellStart"/>
      <w:r w:rsidRPr="009C4E9A">
        <w:rPr>
          <w:rFonts w:eastAsia="Times New Roman" w:cstheme="minorHAnsi"/>
        </w:rPr>
        <w:t>Tegeris</w:t>
      </w:r>
      <w:proofErr w:type="spellEnd"/>
      <w:r w:rsidRPr="009C4E9A">
        <w:rPr>
          <w:rFonts w:eastAsia="Times New Roman" w:cstheme="minorHAnsi"/>
        </w:rPr>
        <w:t xml:space="preserve"> J. Dept. of Health and Human Services. “Cost Comparison: Shelf Life Extension Program (SLEP) vs. Repurchase for State Stockpiles.”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w:t>
      </w:r>
      <w:r w:rsidRPr="009C4E9A">
        <w:rPr>
          <w:rFonts w:eastAsia="Times New Roman" w:cstheme="minorHAnsi"/>
          <w:color w:val="737373"/>
        </w:rPr>
        <w:t> </w:t>
      </w:r>
      <w:hyperlink r:id="rId200"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United States Pharmacopeia Convention (USP) website. Available at </w:t>
      </w:r>
      <w:hyperlink r:id="rId201" w:tgtFrame="_blank" w:tooltip="http://www.usp.org/aboutUSP/" w:history="1">
        <w:r w:rsidRPr="009C4E9A">
          <w:rPr>
            <w:rFonts w:eastAsia="Times New Roman" w:cstheme="minorHAnsi"/>
            <w:color w:val="0F88B8"/>
            <w:u w:val="single"/>
            <w:bdr w:val="none" w:sz="0" w:space="0" w:color="auto" w:frame="1"/>
          </w:rPr>
          <w:t>http://www.usp.org/aboutUSP/</w:t>
        </w:r>
      </w:hyperlink>
      <w:r w:rsidRPr="009C4E9A">
        <w:rPr>
          <w:rFonts w:eastAsia="Times New Roman" w:cstheme="minorHAnsi"/>
          <w:color w:val="737373"/>
        </w:rPr>
        <w:t>. </w:t>
      </w:r>
      <w:r w:rsidRPr="009C4E9A">
        <w:rPr>
          <w:rFonts w:eastAsia="Times New Roman" w:cstheme="minorHAnsi"/>
          <w:color w:val="737373"/>
        </w:rPr>
        <w:br/>
      </w:r>
    </w:p>
    <w:p w14:paraId="29CEBB08" w14:textId="77777777" w:rsidR="00EC67E4" w:rsidRPr="009C4E9A" w:rsidRDefault="00EC67E4" w:rsidP="00FC64BC">
      <w:pPr>
        <w:rPr>
          <w:rFonts w:eastAsia="Times New Roman" w:cstheme="minorHAnsi"/>
          <w:b/>
          <w:bCs/>
        </w:rPr>
      </w:pPr>
      <w:r w:rsidRPr="009C4E9A">
        <w:rPr>
          <w:rFonts w:eastAsia="Times New Roman" w:cstheme="minorHAnsi"/>
          <w:b/>
          <w:bCs/>
        </w:rPr>
        <w:t>Strategic National Stockpile (SNS)</w:t>
      </w:r>
    </w:p>
    <w:p w14:paraId="7AE9E26B" w14:textId="77777777" w:rsidR="00EC67E4" w:rsidRPr="009C4E9A" w:rsidRDefault="00EC67E4"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The Strategic National Stockpile is authorized by Public Health Service Act §319F-2; 42 U.S.C. § 247d-6b. </w:t>
      </w:r>
      <w:r w:rsidRPr="009C4E9A">
        <w:rPr>
          <w:rFonts w:eastAsia="Times New Roman" w:cstheme="minorHAnsi"/>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CDC. “Strategic National Stockpile” website. Available at </w:t>
      </w:r>
      <w:hyperlink r:id="rId202" w:tgtFrame="_blank" w:tooltip="http://www.cdc.gov/phpr/stockpile/stockpile.htm" w:history="1">
        <w:r w:rsidRPr="009C4E9A">
          <w:rPr>
            <w:rFonts w:eastAsia="Times New Roman" w:cstheme="minorHAnsi"/>
            <w:color w:val="0F88B8"/>
            <w:u w:val="single"/>
            <w:bdr w:val="none" w:sz="0" w:space="0" w:color="auto" w:frame="1"/>
          </w:rPr>
          <w:t>http://www.cdc.gov/phpr/stockpile/stockpile.htm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r w:rsidRPr="009C4E9A">
        <w:rPr>
          <w:rFonts w:eastAsia="Times New Roman" w:cstheme="minorHAnsi"/>
        </w:rPr>
        <w:t>Institute of Medicine (US). Forum on Medical and Public Health Preparedness for Catastrophic Events. </w:t>
      </w:r>
      <w:r w:rsidRPr="009C4E9A">
        <w:rPr>
          <w:rFonts w:eastAsia="Times New Roman" w:cstheme="minorHAnsi"/>
          <w:i/>
          <w:iCs/>
          <w:bdr w:val="none" w:sz="0" w:space="0" w:color="auto" w:frame="1"/>
        </w:rPr>
        <w:t>Medical Countermeasures Dispensing: Emergency Use Authorization and the Postal Model</w:t>
      </w:r>
      <w:r w:rsidRPr="009C4E9A">
        <w:rPr>
          <w:rFonts w:eastAsia="Times New Roman" w:cstheme="minorHAnsi"/>
        </w:rPr>
        <w:t>. Workshop Summary. Washington, DC. National Academies Press. 2010. Available at </w:t>
      </w:r>
      <w:hyperlink r:id="rId203" w:tooltip="www.ncbi.nlm.nih.gov/books/NBK53126/pdf/TOC.pdf" w:history="1">
        <w:r w:rsidRPr="009C4E9A">
          <w:rPr>
            <w:rFonts w:eastAsia="Times New Roman" w:cstheme="minorHAnsi"/>
            <w:color w:val="0F88B8"/>
            <w:u w:val="single"/>
            <w:bdr w:val="none" w:sz="0" w:space="0" w:color="auto" w:frame="1"/>
          </w:rPr>
          <w:t>www.ncbi.nlm.nih.gov/books/NBK53126/pdf/TOC.pdf</w:t>
        </w:r>
      </w:hyperlink>
      <w:r w:rsidRPr="009C4E9A">
        <w:rPr>
          <w:rFonts w:eastAsia="Times New Roman" w:cstheme="minorHAnsi"/>
          <w:color w:val="737373"/>
        </w:rPr>
        <w:t>. </w:t>
      </w:r>
      <w:r w:rsidRPr="009C4E9A">
        <w:rPr>
          <w:rFonts w:eastAsia="Times New Roman" w:cstheme="minorHAnsi"/>
          <w:color w:val="737373"/>
        </w:rPr>
        <w:br/>
      </w:r>
    </w:p>
    <w:p w14:paraId="79A00BC4" w14:textId="77777777" w:rsidR="00EC67E4" w:rsidRPr="009C4E9A" w:rsidRDefault="00EC67E4" w:rsidP="00FC64BC">
      <w:pPr>
        <w:rPr>
          <w:rFonts w:eastAsia="Times New Roman" w:cstheme="minorHAnsi"/>
          <w:b/>
          <w:bCs/>
        </w:rPr>
      </w:pPr>
      <w:r w:rsidRPr="009C4E9A">
        <w:rPr>
          <w:rFonts w:eastAsia="Times New Roman" w:cstheme="minorHAnsi"/>
          <w:b/>
          <w:bCs/>
        </w:rPr>
        <w:lastRenderedPageBreak/>
        <w:t>Vaccine Injury Compensation Program (VICP)</w:t>
      </w:r>
    </w:p>
    <w:p w14:paraId="0BF069CC" w14:textId="77777777" w:rsidR="00EC67E4" w:rsidRPr="009C4E9A" w:rsidRDefault="00EC67E4" w:rsidP="003F4B92">
      <w:pPr>
        <w:shd w:val="clear" w:color="auto" w:fill="FFFFFF"/>
        <w:spacing w:line="240" w:lineRule="atLeast"/>
        <w:textAlignment w:val="baseline"/>
        <w:rPr>
          <w:rFonts w:eastAsia="Times New Roman" w:cstheme="minorHAnsi"/>
          <w:color w:val="737373"/>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Health Resources and Services Administration. “National Vaccine Injury Compensation Program (VICP)” webpage. Available at </w:t>
      </w:r>
      <w:hyperlink r:id="rId204" w:tgtFrame="_blank" w:tooltip="http://www.hrsa.gov/vaccinecompensation/default.htm" w:history="1">
        <w:r w:rsidRPr="009C4E9A">
          <w:rPr>
            <w:rFonts w:eastAsia="Times New Roman" w:cstheme="minorHAnsi"/>
            <w:color w:val="0F88B8"/>
            <w:u w:val="single"/>
            <w:bdr w:val="none" w:sz="0" w:space="0" w:color="auto" w:frame="1"/>
          </w:rPr>
          <w:t>http://www.hrsa.gov/vaccinecompensation/default.htm</w:t>
        </w:r>
      </w:hyperlink>
      <w:r w:rsidRPr="009C4E9A">
        <w:rPr>
          <w:rFonts w:eastAsia="Times New Roman" w:cstheme="minorHAnsi"/>
          <w:color w:val="737373"/>
        </w:rPr>
        <w:t>. </w:t>
      </w:r>
    </w:p>
    <w:p w14:paraId="211779DF" w14:textId="77777777" w:rsidR="00EC67E4" w:rsidRPr="009C4E9A" w:rsidRDefault="00EC67E4">
      <w:pPr>
        <w:rPr>
          <w:rFonts w:cstheme="minorHAnsi"/>
        </w:rPr>
      </w:pPr>
    </w:p>
    <w:p w14:paraId="6B4A3B11" w14:textId="77777777" w:rsidR="000125F5" w:rsidRDefault="000125F5" w:rsidP="000125F5">
      <w:pPr>
        <w:rPr>
          <w:rFonts w:cstheme="minorHAnsi"/>
          <w:sz w:val="24"/>
        </w:rPr>
      </w:pPr>
      <w:r>
        <w:rPr>
          <w:rFonts w:cstheme="minorHAnsi"/>
          <w:sz w:val="24"/>
        </w:rPr>
        <w:t>[</w:t>
      </w:r>
      <w:hyperlink w:anchor="TOC_top" w:history="1">
        <w:r w:rsidRPr="008F1431">
          <w:rPr>
            <w:rStyle w:val="Hyperlink"/>
            <w:rFonts w:cstheme="minorHAnsi"/>
            <w:sz w:val="24"/>
          </w:rPr>
          <w:t>TOC top</w:t>
        </w:r>
      </w:hyperlink>
      <w:r>
        <w:rPr>
          <w:rFonts w:cstheme="minorHAnsi"/>
          <w:sz w:val="24"/>
        </w:rPr>
        <w:t>]</w:t>
      </w:r>
    </w:p>
    <w:p w14:paraId="047D1611" w14:textId="77777777" w:rsidR="0028359E" w:rsidRPr="00692E81" w:rsidRDefault="0028359E" w:rsidP="00176400">
      <w:pPr>
        <w:spacing w:line="480" w:lineRule="auto"/>
        <w:rPr>
          <w:rFonts w:cstheme="minorHAnsi"/>
          <w:sz w:val="24"/>
        </w:rPr>
      </w:pPr>
    </w:p>
    <w:sectPr w:rsidR="0028359E" w:rsidRPr="00692E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44397" w14:textId="77777777" w:rsidR="00176400" w:rsidRDefault="00176400" w:rsidP="00176400">
      <w:r>
        <w:separator/>
      </w:r>
    </w:p>
  </w:endnote>
  <w:endnote w:type="continuationSeparator" w:id="0">
    <w:p w14:paraId="2F776F79" w14:textId="77777777" w:rsidR="00176400" w:rsidRDefault="00176400" w:rsidP="0017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721138"/>
      <w:docPartObj>
        <w:docPartGallery w:val="Page Numbers (Bottom of Page)"/>
        <w:docPartUnique/>
      </w:docPartObj>
    </w:sdtPr>
    <w:sdtEndPr>
      <w:rPr>
        <w:noProof/>
      </w:rPr>
    </w:sdtEndPr>
    <w:sdtContent>
      <w:p w14:paraId="3CE981FB" w14:textId="6F304C67" w:rsidR="00176400" w:rsidRDefault="001764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BBEB3D" w14:textId="77777777" w:rsidR="00176400" w:rsidRDefault="00176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5AC07" w14:textId="77777777" w:rsidR="00176400" w:rsidRDefault="00176400" w:rsidP="00176400">
      <w:r>
        <w:separator/>
      </w:r>
    </w:p>
  </w:footnote>
  <w:footnote w:type="continuationSeparator" w:id="0">
    <w:p w14:paraId="64800D4D" w14:textId="77777777" w:rsidR="00176400" w:rsidRDefault="00176400" w:rsidP="0017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50E"/>
    <w:multiLevelType w:val="multilevel"/>
    <w:tmpl w:val="AC1C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E1F3E"/>
    <w:multiLevelType w:val="hybridMultilevel"/>
    <w:tmpl w:val="A6B05E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7C4839"/>
    <w:multiLevelType w:val="hybridMultilevel"/>
    <w:tmpl w:val="062E80BA"/>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87270"/>
    <w:multiLevelType w:val="multilevel"/>
    <w:tmpl w:val="122A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E4970"/>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C826AC9"/>
    <w:multiLevelType w:val="multilevel"/>
    <w:tmpl w:val="84B20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1743A6"/>
    <w:multiLevelType w:val="multilevel"/>
    <w:tmpl w:val="F6AAA30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CC41C6C"/>
    <w:multiLevelType w:val="hybridMultilevel"/>
    <w:tmpl w:val="15F25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6F34A8"/>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D96156D"/>
    <w:multiLevelType w:val="hybridMultilevel"/>
    <w:tmpl w:val="6C50D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1F038A"/>
    <w:multiLevelType w:val="multilevel"/>
    <w:tmpl w:val="FBBAB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265B5C"/>
    <w:multiLevelType w:val="multilevel"/>
    <w:tmpl w:val="485C7E0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000785"/>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FA305AF"/>
    <w:multiLevelType w:val="hybridMultilevel"/>
    <w:tmpl w:val="7B78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B81CE6"/>
    <w:multiLevelType w:val="multilevel"/>
    <w:tmpl w:val="8EA6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93A33"/>
    <w:multiLevelType w:val="multilevel"/>
    <w:tmpl w:val="C8448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4C5108"/>
    <w:multiLevelType w:val="hybridMultilevel"/>
    <w:tmpl w:val="BD528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E673E"/>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8785B13"/>
    <w:multiLevelType w:val="hybridMultilevel"/>
    <w:tmpl w:val="4EF69D4A"/>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B62AA8"/>
    <w:multiLevelType w:val="hybridMultilevel"/>
    <w:tmpl w:val="382E8D42"/>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B7EE0"/>
    <w:multiLevelType w:val="multilevel"/>
    <w:tmpl w:val="55AC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22CDD"/>
    <w:multiLevelType w:val="hybridMultilevel"/>
    <w:tmpl w:val="98D25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A6357"/>
    <w:multiLevelType w:val="multilevel"/>
    <w:tmpl w:val="7B32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796DFA"/>
    <w:multiLevelType w:val="multilevel"/>
    <w:tmpl w:val="B85E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405CBC"/>
    <w:multiLevelType w:val="multilevel"/>
    <w:tmpl w:val="CF4C3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D42123"/>
    <w:multiLevelType w:val="multilevel"/>
    <w:tmpl w:val="EC2C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A17FDD"/>
    <w:multiLevelType w:val="hybridMultilevel"/>
    <w:tmpl w:val="11CE8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7F1F74"/>
    <w:multiLevelType w:val="multilevel"/>
    <w:tmpl w:val="CE007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5456A"/>
    <w:multiLevelType w:val="hybridMultilevel"/>
    <w:tmpl w:val="D25CBBF4"/>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E381D8C"/>
    <w:multiLevelType w:val="multilevel"/>
    <w:tmpl w:val="5482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E33722"/>
    <w:multiLevelType w:val="hybridMultilevel"/>
    <w:tmpl w:val="B2560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79C00C3"/>
    <w:multiLevelType w:val="hybridMultilevel"/>
    <w:tmpl w:val="BEE01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B0F99"/>
    <w:multiLevelType w:val="hybridMultilevel"/>
    <w:tmpl w:val="02F48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E66C4A"/>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D284DFC"/>
    <w:multiLevelType w:val="hybridMultilevel"/>
    <w:tmpl w:val="E0E2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D206B"/>
    <w:multiLevelType w:val="multilevel"/>
    <w:tmpl w:val="BBD0B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22437E"/>
    <w:multiLevelType w:val="hybridMultilevel"/>
    <w:tmpl w:val="FA7AD0A2"/>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4058D"/>
    <w:multiLevelType w:val="hybridMultilevel"/>
    <w:tmpl w:val="4B1E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55BD1"/>
    <w:multiLevelType w:val="multilevel"/>
    <w:tmpl w:val="1BA4C3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9"/>
  </w:num>
  <w:num w:numId="3">
    <w:abstractNumId w:val="3"/>
  </w:num>
  <w:num w:numId="4">
    <w:abstractNumId w:val="4"/>
  </w:num>
  <w:num w:numId="5">
    <w:abstractNumId w:val="22"/>
  </w:num>
  <w:num w:numId="6">
    <w:abstractNumId w:val="14"/>
  </w:num>
  <w:num w:numId="7">
    <w:abstractNumId w:val="25"/>
  </w:num>
  <w:num w:numId="8">
    <w:abstractNumId w:val="6"/>
  </w:num>
  <w:num w:numId="9">
    <w:abstractNumId w:val="32"/>
  </w:num>
  <w:num w:numId="10">
    <w:abstractNumId w:val="26"/>
  </w:num>
  <w:num w:numId="11">
    <w:abstractNumId w:val="33"/>
  </w:num>
  <w:num w:numId="12">
    <w:abstractNumId w:val="8"/>
  </w:num>
  <w:num w:numId="13">
    <w:abstractNumId w:val="12"/>
  </w:num>
  <w:num w:numId="14">
    <w:abstractNumId w:val="17"/>
  </w:num>
  <w:num w:numId="15">
    <w:abstractNumId w:val="11"/>
  </w:num>
  <w:num w:numId="16">
    <w:abstractNumId w:val="28"/>
  </w:num>
  <w:num w:numId="17">
    <w:abstractNumId w:val="19"/>
  </w:num>
  <w:num w:numId="18">
    <w:abstractNumId w:val="18"/>
  </w:num>
  <w:num w:numId="19">
    <w:abstractNumId w:val="36"/>
  </w:num>
  <w:num w:numId="20">
    <w:abstractNumId w:val="2"/>
  </w:num>
  <w:num w:numId="21">
    <w:abstractNumId w:val="20"/>
  </w:num>
  <w:num w:numId="22">
    <w:abstractNumId w:val="23"/>
  </w:num>
  <w:num w:numId="23">
    <w:abstractNumId w:val="5"/>
  </w:num>
  <w:num w:numId="24">
    <w:abstractNumId w:val="1"/>
  </w:num>
  <w:num w:numId="25">
    <w:abstractNumId w:val="38"/>
  </w:num>
  <w:num w:numId="26">
    <w:abstractNumId w:val="13"/>
  </w:num>
  <w:num w:numId="27">
    <w:abstractNumId w:val="31"/>
  </w:num>
  <w:num w:numId="28">
    <w:abstractNumId w:val="16"/>
  </w:num>
  <w:num w:numId="29">
    <w:abstractNumId w:val="35"/>
  </w:num>
  <w:num w:numId="30">
    <w:abstractNumId w:val="24"/>
  </w:num>
  <w:num w:numId="31">
    <w:abstractNumId w:val="7"/>
  </w:num>
  <w:num w:numId="32">
    <w:abstractNumId w:val="21"/>
  </w:num>
  <w:num w:numId="33">
    <w:abstractNumId w:val="30"/>
  </w:num>
  <w:num w:numId="34">
    <w:abstractNumId w:val="0"/>
  </w:num>
  <w:num w:numId="35">
    <w:abstractNumId w:val="37"/>
  </w:num>
  <w:num w:numId="36">
    <w:abstractNumId w:val="9"/>
  </w:num>
  <w:num w:numId="37">
    <w:abstractNumId w:val="34"/>
  </w:num>
  <w:num w:numId="38">
    <w:abstractNumId w:val="15"/>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59E"/>
    <w:rsid w:val="000125F5"/>
    <w:rsid w:val="00042859"/>
    <w:rsid w:val="000A016F"/>
    <w:rsid w:val="00151278"/>
    <w:rsid w:val="00151A2B"/>
    <w:rsid w:val="00176400"/>
    <w:rsid w:val="00206E4B"/>
    <w:rsid w:val="00213D00"/>
    <w:rsid w:val="00222579"/>
    <w:rsid w:val="0028359E"/>
    <w:rsid w:val="0037434E"/>
    <w:rsid w:val="00476446"/>
    <w:rsid w:val="00476F93"/>
    <w:rsid w:val="00541C94"/>
    <w:rsid w:val="00552871"/>
    <w:rsid w:val="00692E81"/>
    <w:rsid w:val="006C0233"/>
    <w:rsid w:val="00763925"/>
    <w:rsid w:val="00784CF8"/>
    <w:rsid w:val="008F1431"/>
    <w:rsid w:val="00B75B7F"/>
    <w:rsid w:val="00C831DC"/>
    <w:rsid w:val="00D520A1"/>
    <w:rsid w:val="00D81426"/>
    <w:rsid w:val="00E9444B"/>
    <w:rsid w:val="00EC67E4"/>
    <w:rsid w:val="00EE7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37458"/>
  <w15:chartTrackingRefBased/>
  <w15:docId w15:val="{BDDFF63A-DAC6-4214-BC4C-0EEFA511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359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359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5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359E"/>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8359E"/>
    <w:rPr>
      <w:color w:val="0000FF"/>
      <w:u w:val="single"/>
    </w:rPr>
  </w:style>
  <w:style w:type="paragraph" w:styleId="NormalWeb">
    <w:name w:val="Normal (Web)"/>
    <w:basedOn w:val="Normal"/>
    <w:uiPriority w:val="99"/>
    <w:semiHidden/>
    <w:unhideWhenUsed/>
    <w:rsid w:val="0028359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8359E"/>
    <w:rPr>
      <w:i/>
      <w:iCs/>
    </w:rPr>
  </w:style>
  <w:style w:type="character" w:styleId="Strong">
    <w:name w:val="Strong"/>
    <w:basedOn w:val="DefaultParagraphFont"/>
    <w:uiPriority w:val="22"/>
    <w:qFormat/>
    <w:rsid w:val="0028359E"/>
    <w:rPr>
      <w:b/>
      <w:bCs/>
    </w:rPr>
  </w:style>
  <w:style w:type="paragraph" w:styleId="BalloonText">
    <w:name w:val="Balloon Text"/>
    <w:basedOn w:val="Normal"/>
    <w:link w:val="BalloonTextChar"/>
    <w:uiPriority w:val="99"/>
    <w:semiHidden/>
    <w:unhideWhenUsed/>
    <w:rsid w:val="002835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59E"/>
    <w:rPr>
      <w:rFonts w:ascii="Segoe UI" w:hAnsi="Segoe UI" w:cs="Segoe UI"/>
      <w:sz w:val="18"/>
      <w:szCs w:val="18"/>
    </w:rPr>
  </w:style>
  <w:style w:type="paragraph" w:styleId="ListParagraph">
    <w:name w:val="List Paragraph"/>
    <w:basedOn w:val="Normal"/>
    <w:uiPriority w:val="34"/>
    <w:qFormat/>
    <w:rsid w:val="00176400"/>
    <w:pPr>
      <w:ind w:left="720"/>
      <w:contextualSpacing/>
    </w:pPr>
  </w:style>
  <w:style w:type="paragraph" w:styleId="Header">
    <w:name w:val="header"/>
    <w:basedOn w:val="Normal"/>
    <w:link w:val="HeaderChar"/>
    <w:uiPriority w:val="99"/>
    <w:unhideWhenUsed/>
    <w:rsid w:val="00176400"/>
    <w:pPr>
      <w:tabs>
        <w:tab w:val="center" w:pos="4680"/>
        <w:tab w:val="right" w:pos="9360"/>
      </w:tabs>
    </w:pPr>
  </w:style>
  <w:style w:type="character" w:customStyle="1" w:styleId="HeaderChar">
    <w:name w:val="Header Char"/>
    <w:basedOn w:val="DefaultParagraphFont"/>
    <w:link w:val="Header"/>
    <w:uiPriority w:val="99"/>
    <w:rsid w:val="00176400"/>
  </w:style>
  <w:style w:type="paragraph" w:styleId="Footer">
    <w:name w:val="footer"/>
    <w:basedOn w:val="Normal"/>
    <w:link w:val="FooterChar"/>
    <w:uiPriority w:val="99"/>
    <w:unhideWhenUsed/>
    <w:rsid w:val="00176400"/>
    <w:pPr>
      <w:tabs>
        <w:tab w:val="center" w:pos="4680"/>
        <w:tab w:val="right" w:pos="9360"/>
      </w:tabs>
    </w:pPr>
  </w:style>
  <w:style w:type="character" w:customStyle="1" w:styleId="FooterChar">
    <w:name w:val="Footer Char"/>
    <w:basedOn w:val="DefaultParagraphFont"/>
    <w:link w:val="Footer"/>
    <w:uiPriority w:val="99"/>
    <w:rsid w:val="00176400"/>
  </w:style>
  <w:style w:type="paragraph" w:customStyle="1" w:styleId="Default">
    <w:name w:val="Default"/>
    <w:rsid w:val="00206E4B"/>
    <w:pPr>
      <w:autoSpaceDE w:val="0"/>
      <w:autoSpaceDN w:val="0"/>
      <w:adjustRightInd w:val="0"/>
    </w:pPr>
    <w:rPr>
      <w:rFonts w:ascii="Garamond" w:hAnsi="Garamond" w:cs="Garamond"/>
      <w:color w:val="000000"/>
      <w:sz w:val="24"/>
      <w:szCs w:val="24"/>
    </w:rPr>
  </w:style>
  <w:style w:type="table" w:styleId="TableGrid">
    <w:name w:val="Table Grid"/>
    <w:basedOn w:val="TableNormal"/>
    <w:uiPriority w:val="59"/>
    <w:rsid w:val="00206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F1431"/>
    <w:rPr>
      <w:color w:val="605E5C"/>
      <w:shd w:val="clear" w:color="auto" w:fill="E1DFDD"/>
    </w:rPr>
  </w:style>
  <w:style w:type="character" w:styleId="FollowedHyperlink">
    <w:name w:val="FollowedHyperlink"/>
    <w:basedOn w:val="DefaultParagraphFont"/>
    <w:uiPriority w:val="99"/>
    <w:semiHidden/>
    <w:unhideWhenUsed/>
    <w:rsid w:val="00213D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263849">
      <w:bodyDiv w:val="1"/>
      <w:marLeft w:val="0"/>
      <w:marRight w:val="0"/>
      <w:marTop w:val="0"/>
      <w:marBottom w:val="0"/>
      <w:divBdr>
        <w:top w:val="none" w:sz="0" w:space="0" w:color="auto"/>
        <w:left w:val="none" w:sz="0" w:space="0" w:color="auto"/>
        <w:bottom w:val="none" w:sz="0" w:space="0" w:color="auto"/>
        <w:right w:val="none" w:sz="0" w:space="0" w:color="auto"/>
      </w:divBdr>
      <w:divsChild>
        <w:div w:id="311567325">
          <w:marLeft w:val="180"/>
          <w:marRight w:val="0"/>
          <w:marTop w:val="0"/>
          <w:marBottom w:val="0"/>
          <w:divBdr>
            <w:top w:val="dotted" w:sz="2" w:space="0" w:color="CCCCCC"/>
            <w:left w:val="dotted" w:sz="2" w:space="0" w:color="CCCCCC"/>
            <w:bottom w:val="dotted" w:sz="2" w:space="0" w:color="CCCCCC"/>
            <w:right w:val="dotted" w:sz="2" w:space="0" w:color="CCCCCC"/>
          </w:divBdr>
        </w:div>
        <w:div w:id="1951011581">
          <w:marLeft w:val="0"/>
          <w:marRight w:val="270"/>
          <w:marTop w:val="0"/>
          <w:marBottom w:val="0"/>
          <w:divBdr>
            <w:top w:val="none" w:sz="0" w:space="0" w:color="auto"/>
            <w:left w:val="none" w:sz="0" w:space="0" w:color="auto"/>
            <w:bottom w:val="none" w:sz="0" w:space="0" w:color="auto"/>
            <w:right w:val="none" w:sz="0" w:space="0" w:color="auto"/>
          </w:divBdr>
          <w:divsChild>
            <w:div w:id="3391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stho.org/Programs/Preparedness/Public-Health-Emergency-Law/Emergency-Use-Authorization-Toolkit/Emergency-Use-Authorization-Toolkit-Supplemental-Materials/" TargetMode="External"/><Relationship Id="rId21" Type="http://schemas.openxmlformats.org/officeDocument/2006/relationships/hyperlink" Target="http://www.astho.org/Programs/Preparedness/Public-Health-Emergency-Law/Emergency-Use-Authorization-Toolkit/Emergency-Use-Authorization-Current-Issues-and-Updates-Winter-2012/" TargetMode="External"/><Relationship Id="rId42" Type="http://schemas.openxmlformats.org/officeDocument/2006/relationships/hyperlink" Target="http://www.astho.org/Programs/Preparedness/Public-Health-Emergency-Law/Emergency-Use-Authorization-Toolkit/Emergency-Use-Authorization-Toolkit-Supplemental-Materials" TargetMode="External"/><Relationship Id="rId63" Type="http://schemas.openxmlformats.org/officeDocument/2006/relationships/hyperlink" Target="http://www.astho.org/Programs/Preparedness/Public-Health-Emergency-Law/Emergency-Use-Authorization-Toolkit/Emergency-Use-Authorization-Toolkit-Supplemental-Materials" TargetMode="External"/><Relationship Id="rId84" Type="http://schemas.openxmlformats.org/officeDocument/2006/relationships/hyperlink" Target="http://www.phe.gov/Preparedness/legal/prepact/Pages/default.aspx" TargetMode="External"/><Relationship Id="rId138" Type="http://schemas.openxmlformats.org/officeDocument/2006/relationships/hyperlink" Target="http://www.healthlawyers.org/Members/PracticeGroups/THAMC/EmergencyPreparednessToolkit/Pages/default.aspx" TargetMode="External"/><Relationship Id="rId159" Type="http://schemas.openxmlformats.org/officeDocument/2006/relationships/hyperlink" Target="http://www.fda.gov/RegulatoryInformation/Legislation/FederalFoodDrugandCosmeticActFDCAct/default.htm" TargetMode="External"/><Relationship Id="rId170" Type="http://schemas.openxmlformats.org/officeDocument/2006/relationships/hyperlink" Target="http://www.phe.gov/Preparedness/legal/pahpa/Documents/telehealthrtc-091207.pdf" TargetMode="External"/><Relationship Id="rId191" Type="http://schemas.openxmlformats.org/officeDocument/2006/relationships/hyperlink" Target="https://slep.dmsbfda.army.mil/portal/page/portal/SLEP_PAGE_GRP/SLEP_HOME" TargetMode="External"/><Relationship Id="rId205" Type="http://schemas.openxmlformats.org/officeDocument/2006/relationships/fontTable" Target="fontTable.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107" Type="http://schemas.openxmlformats.org/officeDocument/2006/relationships/hyperlink" Target="http://www.fda.gov/emergencypreparedness/counterterrorism/ucm182568.htm" TargetMode="Externa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32" Type="http://schemas.openxmlformats.org/officeDocument/2006/relationships/hyperlink" Target="http://www.ncbi.nlm.nih.gov/books/NBK53126/pdf/TOC.pdf" TargetMode="External"/><Relationship Id="rId37" Type="http://schemas.openxmlformats.org/officeDocument/2006/relationships/hyperlink" Target="http://www.fda.gov/EmergencyPreparedness/Counterterrorism/ucm182568.htm" TargetMode="External"/><Relationship Id="rId53" Type="http://schemas.openxmlformats.org/officeDocument/2006/relationships/hyperlink" Target="http://www.usp.org/aboutUSP/" TargetMode="External"/><Relationship Id="rId58" Type="http://schemas.openxmlformats.org/officeDocument/2006/relationships/hyperlink" Target="http://www.astho.org/Programs/Preparedness/Public-Health-Emergency-Law/Emergency-Use-Authorization-Toolkit/Emergency-Use-Authorization-Toolkit-Supplemental-Materials" TargetMode="External"/><Relationship Id="rId74" Type="http://schemas.openxmlformats.org/officeDocument/2006/relationships/hyperlink" Target="http://www.medicalcountermeasures.gov/" TargetMode="External"/><Relationship Id="rId79" Type="http://schemas.openxmlformats.org/officeDocument/2006/relationships/hyperlink" Target="http://www.astho.org/Programs/Preparedness/Public-Health-Emergency-Law/Emergency-Use-Authorization-Toolkit/Emergency-Use-Authorization-Toolkit-Supplemental-Materials" TargetMode="External"/><Relationship Id="rId102" Type="http://schemas.openxmlformats.org/officeDocument/2006/relationships/hyperlink" Target="http://www.astho.org/WorkArea/linkit.aspx?LinkIdentifier=id&amp;ItemID=7097" TargetMode="External"/><Relationship Id="rId123" Type="http://schemas.openxmlformats.org/officeDocument/2006/relationships/hyperlink" Target="http://www.astho.org/Programs/Preparedness/Public-Health-Emergency-Law/Emergency-Use-Authorization-Toolkit/Emergency-Use-Authorization-Toolkit-Supplemental-Materials/" TargetMode="External"/><Relationship Id="rId128" Type="http://schemas.openxmlformats.org/officeDocument/2006/relationships/hyperlink" Target="http://www.astho.org/Programs/Preparedness/Public-Health-Emergency-Law/Emergency-Use-Authorization-Toolkit/Emergency-Use-Authorization-Toolkit-Supplemental-Materials/" TargetMode="External"/><Relationship Id="rId144" Type="http://schemas.openxmlformats.org/officeDocument/2006/relationships/hyperlink" Target="http://assets.opencrs.com/rpts/R41033_20110303.pdf" TargetMode="External"/><Relationship Id="rId149" Type="http://schemas.openxmlformats.org/officeDocument/2006/relationships/hyperlink" Target="http://www.astho.org/Programs/Preparedness/Public-Health-Emergency-Law/Emergency-Use-Authorization-Toolkit/Emergency-Use-Authorization-Toolkit-Supplemental-Materials/" TargetMode="External"/><Relationship Id="rId5" Type="http://schemas.openxmlformats.org/officeDocument/2006/relationships/footnotes" Target="footnotes.xml"/><Relationship Id="rId90" Type="http://schemas.openxmlformats.org/officeDocument/2006/relationships/hyperlink" Target="http://www.astho.org/Programs/Preparedness/Public-Health-Emergency-Law/Emergency-Use-Authorization-Toolkit/Emergency-Use-Authorization-Toolkit-Supplemental-Materials" TargetMode="External"/><Relationship Id="rId95" Type="http://schemas.openxmlformats.org/officeDocument/2006/relationships/hyperlink" Target="http://www2a.cdc.gov/phlp/docs/FAQs%20Fed%20PHE%20laws%20101409.pdf" TargetMode="External"/><Relationship Id="rId160" Type="http://schemas.openxmlformats.org/officeDocument/2006/relationships/hyperlink" Target="http://origin.www.gpo.gov/fdsys/pkg/USCODE-2009-title28/pdf/USCODE-2009-title28-partIV-chap85-sec1346.pdf" TargetMode="External"/><Relationship Id="rId165" Type="http://schemas.openxmlformats.org/officeDocument/2006/relationships/hyperlink" Target="http://www.phe.gov/Preparedness/legal/pahpa/Pages/default.aspx" TargetMode="External"/><Relationship Id="rId181" Type="http://schemas.openxmlformats.org/officeDocument/2006/relationships/hyperlink" Target="http://www.bt.cdc.gov/training/eua/index.html" TargetMode="External"/><Relationship Id="rId186" Type="http://schemas.openxmlformats.org/officeDocument/2006/relationships/hyperlink" Target="http://www.gpo.gov/fdsys/pkg/PLAW-109publ417/pdf/PLAW-109publ417.pdf" TargetMode="External"/><Relationship Id="rId22" Type="http://schemas.openxmlformats.org/officeDocument/2006/relationships/hyperlink" Target="http://www.astho.org/Programs/Preparedness/Public-Health-Emergency-Law/Emergency-Use-Authorization-Toolkit/Emergency-Use-Authorization-Toolkit-Supplemental-Materials" TargetMode="External"/><Relationship Id="rId27" Type="http://schemas.openxmlformats.org/officeDocument/2006/relationships/hyperlink" Target="http://www.astho.org/Programs/Preparedness/Public-Health-Emergency-Law/Emergency-Use-Authorization-Toolkit/Emergency-Use-Authorization-Toolkit-Supplemental-Materials" TargetMode="External"/><Relationship Id="rId43" Type="http://schemas.openxmlformats.org/officeDocument/2006/relationships/hyperlink" Target="http://www.astho.org/Programs/Preparedness/Public-Health-Emergency-Law/Emergency-Use-Authorization-Toolkit/Emergency-Use-Authorization-Toolkit-Supplemental-Materials" TargetMode="External"/><Relationship Id="rId48" Type="http://schemas.openxmlformats.org/officeDocument/2006/relationships/hyperlink" Target="http://www.newyorkcity.feb.gov/NatStrat%20Pandemic%20Influenza%200605.pdf" TargetMode="External"/><Relationship Id="rId64" Type="http://schemas.openxmlformats.org/officeDocument/2006/relationships/hyperlink" Target="http://www.astho.org/Programs/Preparedness/Public-Health-Emergency-Law/Emergency-Use-Authorization-Toolkit/Emergency-Use-Authorization-Toolkit-Supplemental-Materials" TargetMode="External"/><Relationship Id="rId69" Type="http://schemas.openxmlformats.org/officeDocument/2006/relationships/hyperlink" Target="http://www.astho.org/Programs/Preparedness/Public-Health-Emergency-Law/Emergency-Use-Authorization-Toolkit/Section-564-of-the-Federal-Food,-Drug,-and-Cosmetic-Act-Fact-Sheet/" TargetMode="External"/><Relationship Id="rId113" Type="http://schemas.openxmlformats.org/officeDocument/2006/relationships/hyperlink" Target="http://www.astho.org/Programs/Preparedness/Public-Health-Emergency-Law/Emergency-Use-Authorization-Toolkit/Emergency-Use-Authorization-Toolkit-Supplemental-Materials" TargetMode="External"/><Relationship Id="rId118" Type="http://schemas.openxmlformats.org/officeDocument/2006/relationships/hyperlink" Target="http://www.astho.org/Programs/Preparedness/Public-Health-Emergency-Law/Emergency-Use-Authorization-Toolkit/Emergency-Use-Authorization-Toolkit-Supplemental-Materials/" TargetMode="External"/><Relationship Id="rId134" Type="http://schemas.openxmlformats.org/officeDocument/2006/relationships/hyperlink" Target="http://www.phe.gov/Preparedness/planning/authority/Pages/default.aspx" TargetMode="External"/><Relationship Id="rId139" Type="http://schemas.openxmlformats.org/officeDocument/2006/relationships/hyperlink" Target="http://www.phe.gov/Preparedness/planning/abc/Pages/default.aspx" TargetMode="External"/><Relationship Id="rId80" Type="http://schemas.openxmlformats.org/officeDocument/2006/relationships/hyperlink" Target="http://www.astho.org/Programs/Preparedness/Public-Health-Emergency-Law/Emergency-Use-Authorization-Toolkit/Emergency-Use-Authorization-Toolkit-Supplemental-Materials" TargetMode="External"/><Relationship Id="rId85" Type="http://schemas.openxmlformats.org/officeDocument/2006/relationships/hyperlink" Target="http://www.hrsa.gov/gethealthcare/conditions/countermeasurescomp/index.html" TargetMode="External"/><Relationship Id="rId150" Type="http://schemas.openxmlformats.org/officeDocument/2006/relationships/hyperlink" Target="http://www.fda.gov/RegulatoryInformation/Guidances/ucm125127.htm" TargetMode="External"/><Relationship Id="rId155" Type="http://schemas.openxmlformats.org/officeDocument/2006/relationships/hyperlink" Target="http://www.fda.gov/EmergencyPreparedness/Counterterrorism/ucm247676.htm" TargetMode="External"/><Relationship Id="rId171" Type="http://schemas.openxmlformats.org/officeDocument/2006/relationships/hyperlink" Target="http://www.phe.gov/Preparedness/legal/pahpa/Documents/telehealthrtc-091207.pdf" TargetMode="External"/><Relationship Id="rId176" Type="http://schemas.openxmlformats.org/officeDocument/2006/relationships/hyperlink" Target="http://www.flu.gov/" TargetMode="External"/><Relationship Id="rId192" Type="http://schemas.openxmlformats.org/officeDocument/2006/relationships/hyperlink" Target="http://www.dmsb.mil/aboutUs.asp" TargetMode="External"/><Relationship Id="rId197" Type="http://schemas.openxmlformats.org/officeDocument/2006/relationships/hyperlink" Target="http://www.accessdata.fda.gov/scripts/cdrh/cfdocs/cfcfr/cfrsearch.cfm?cfrpart=211" TargetMode="External"/><Relationship Id="rId206" Type="http://schemas.openxmlformats.org/officeDocument/2006/relationships/theme" Target="theme/theme1.xml"/><Relationship Id="rId201" Type="http://schemas.openxmlformats.org/officeDocument/2006/relationships/hyperlink" Target="http://www.usp.org/aboutUSP/" TargetMode="Externa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hyperlink" Target="http://www.astho.org/Programs/Preparedness/Public-Health-Emergency-Law/Emergency-Use-Authorization-Toolkit/Emergency-Use-Authorization-Toolkit-Supplemental-Materials" TargetMode="External"/><Relationship Id="rId33" Type="http://schemas.openxmlformats.org/officeDocument/2006/relationships/hyperlink" Target="http://www.bt.cdc.gov/training/eua/index.html" TargetMode="External"/><Relationship Id="rId38" Type="http://schemas.openxmlformats.org/officeDocument/2006/relationships/hyperlink" Target="http://www.astho.org/uploadedFiles/Programs/Preparedness/Public_Health_Emergency_Law/Emergency_Authority_and_Immunity_Legal_Toolkit/04-EUA%20v%20IND%20FS%204-12%20final.pdf" TargetMode="External"/><Relationship Id="rId59" Type="http://schemas.openxmlformats.org/officeDocument/2006/relationships/hyperlink" Target="http://www.astho.org/Programs/Preparedness/Public-Health-Emergency-Law/Emergency-Use-Authorization-Toolkit/Emergency-Use-Authorization-Toolkit-Supplemental-Materials" TargetMode="External"/><Relationship Id="rId103" Type="http://schemas.openxmlformats.org/officeDocument/2006/relationships/hyperlink" Target="http://www.astho.org/WorkArea/linkit.aspx?LinkIdentifier=id&amp;ItemID=7098" TargetMode="External"/><Relationship Id="rId108" Type="http://schemas.openxmlformats.org/officeDocument/2006/relationships/hyperlink" Target="http://www.fda.gov/EmergencyPreparedness/Counterterrorism/ucm269226.htm" TargetMode="External"/><Relationship Id="rId124" Type="http://schemas.openxmlformats.org/officeDocument/2006/relationships/hyperlink" Target="http://www.astho.org/Programs/Preparedness/Public-Health-Emergency-Law/Emergency-Use-Authorization-Toolkit/Emergency-Use-Authorization-Toolkit-Supplemental-Materials/" TargetMode="External"/><Relationship Id="rId129" Type="http://schemas.openxmlformats.org/officeDocument/2006/relationships/hyperlink" Target="http://www.astho.org/Programs/Preparedness/Public-Health-Emergency-Law/Emergency-Use-Authorization-Toolkit/Emergency-Use-Authorization-Toolkit-Supplemental-Materials/" TargetMode="External"/><Relationship Id="rId54" Type="http://schemas.openxmlformats.org/officeDocument/2006/relationships/hyperlink" Target="http://www.fda.gov/Drugs/DevelopmentApprovalProcess/Manufacturing/ucm090016.htm" TargetMode="External"/><Relationship Id="rId70" Type="http://schemas.openxmlformats.org/officeDocument/2006/relationships/hyperlink" Target="http://www.hsdl.org/?view&amp;did=15074" TargetMode="External"/><Relationship Id="rId75" Type="http://schemas.openxmlformats.org/officeDocument/2006/relationships/hyperlink" Target="http://www.gao.gov/new.items/d09820.pdf" TargetMode="External"/><Relationship Id="rId91" Type="http://schemas.openxmlformats.org/officeDocument/2006/relationships/hyperlink" Target="http://www.astho.org/Programs/Preparedness/Public-Health-Emergency-Law/Emergency-Use-Authorization-Toolkit/Emergency-Use-Authorization-Toolkit-Supplemental-Materials" TargetMode="External"/><Relationship Id="rId96" Type="http://schemas.openxmlformats.org/officeDocument/2006/relationships/hyperlink" Target="http://www.cdc.gov/phpr/stockpile/stockpile.htm" TargetMode="External"/><Relationship Id="rId140" Type="http://schemas.openxmlformats.org/officeDocument/2006/relationships/hyperlink" Target="http://www.astho.org/Programs/Infectious-Disease/At-Risk-Populations/" TargetMode="External"/><Relationship Id="rId145" Type="http://schemas.openxmlformats.org/officeDocument/2006/relationships/hyperlink" Target="http://www.cdc.gov/phpr/stockpile/cri/" TargetMode="External"/><Relationship Id="rId161" Type="http://schemas.openxmlformats.org/officeDocument/2006/relationships/hyperlink" Target="http://www.fda.gov/EmergencyPreparedness/default.htm" TargetMode="External"/><Relationship Id="rId166" Type="http://schemas.openxmlformats.org/officeDocument/2006/relationships/hyperlink" Target="http://www.fas.org/programs/bio/resource/documents/CRS%20-%20PAHPA%203-07.pdf" TargetMode="External"/><Relationship Id="rId182" Type="http://schemas.openxmlformats.org/officeDocument/2006/relationships/hyperlink" Target="http://www.gao.gov/new.items/d09820.pdf" TargetMode="External"/><Relationship Id="rId187" Type="http://schemas.openxmlformats.org/officeDocument/2006/relationships/hyperlink" Target="http://www.gpo.gov/fdsys/pkg/USCODE-2009-title42/html/USCODE-2009-title42-chap6A-subchapII.ht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astho.org/Programs/Preparedness/Public-Health-Emergency-Law/Emergency-Use-Authorization-Toolkit/Public-Readiness-and-Emergency-Preparedness-Act-Fact-Sheet/" TargetMode="External"/><Relationship Id="rId28" Type="http://schemas.openxmlformats.org/officeDocument/2006/relationships/hyperlink" Target="http://www.astho.org/Programs/Preparedness/Public-Health-Emergency-Law/Emergency-Use-Authorization-Toolkit/Emergency-Use-Authorization-Toolkit-Supplemental-Materials" TargetMode="External"/><Relationship Id="rId49" Type="http://schemas.openxmlformats.org/officeDocument/2006/relationships/hyperlink" Target="http://www.astho.org/Programs/Preparedness/Public-Health-Emergency-Law/Emergency-Use-Authorization-Toolkit/Emergency-Use-Authorization-Toolkit-Supplemental-Materials" TargetMode="External"/><Relationship Id="rId114" Type="http://schemas.openxmlformats.org/officeDocument/2006/relationships/hyperlink" Target="http://www.fda.gov/EmergencyPreparedness/Counterterrorism/ucm234336.htm" TargetMode="External"/><Relationship Id="rId119" Type="http://schemas.openxmlformats.org/officeDocument/2006/relationships/hyperlink" Target="http://www.astho.org/Programs/Preparedness/Public-Health-Emergency-Law/Emergency-Use-Authorization-Toolkit/Emergency-Use-Authorization-Toolkit-Supplemental-Materials/" TargetMode="External"/><Relationship Id="rId44" Type="http://schemas.openxmlformats.org/officeDocument/2006/relationships/hyperlink" Target="http://www.astho.org/Programs/Preparedness/Public-Health-Emergency-Law/Emergency-Use-Authorization-Toolkit/Emergency-Use-Authorization-Current-Issues-and-Updates-Winter-2012/" TargetMode="External"/><Relationship Id="rId60" Type="http://schemas.openxmlformats.org/officeDocument/2006/relationships/hyperlink" Target="http://www.astho.org/Programs/Preparedness/Public-Health-Emergency-Law/Emergency-Use-Authorization-Toolkit/Emergency-Use-Authorization-Current-Issues-and-Updates-Winter-2012/" TargetMode="External"/><Relationship Id="rId65" Type="http://schemas.openxmlformats.org/officeDocument/2006/relationships/hyperlink" Target="http://www.astho.org/Programs/Preparedness/Public-Health-Emergency-Law/Emergency-Use-Authorization-Toolkit/Emergency-Use-Authorization-Toolkit-Supplemental-Materials" TargetMode="External"/><Relationship Id="rId81" Type="http://schemas.openxmlformats.org/officeDocument/2006/relationships/hyperlink" Target="http://www.astho.org/Programs/Preparedness/Public-Health-Emergency-Law/Emergency-Use-Authorization-Toolkit/Emergency-Use-Authorization-Toolkit-Supplemental-Materials" TargetMode="External"/><Relationship Id="rId86" Type="http://schemas.openxmlformats.org/officeDocument/2006/relationships/hyperlink" Target="http://www.astho.org/Programs/Preparedness/Public-Health-Emergency-Law/Emergency-Use-Authorization-Toolkit/Emergency-Use-Authorization-Toolkit-Supplemental-Materials" TargetMode="External"/><Relationship Id="rId130" Type="http://schemas.openxmlformats.org/officeDocument/2006/relationships/hyperlink" Target="http://www.astho.org/Programs/Preparedness/Public-Health-Emergency-Law/Emergency-Use-Authorization-Toolkit/Emergency-Use-Authorization-Toolkit-Supplemental-Materials/" TargetMode="External"/><Relationship Id="rId135" Type="http://schemas.openxmlformats.org/officeDocument/2006/relationships/hyperlink" Target="http://www.phe.gov/preparedness/support/secauthority/Pages/default.aspx" TargetMode="External"/><Relationship Id="rId151" Type="http://schemas.openxmlformats.org/officeDocument/2006/relationships/hyperlink" Target="http://www.fda.gov/emergencypreparedness/counterterrorism/ucm182568.htm" TargetMode="External"/><Relationship Id="rId156" Type="http://schemas.openxmlformats.org/officeDocument/2006/relationships/hyperlink" Target="http://www.fda.gov/EmergencyPreparedness/Counterterrorism/ucm247676.htm" TargetMode="External"/><Relationship Id="rId177" Type="http://schemas.openxmlformats.org/officeDocument/2006/relationships/hyperlink" Target="http://www.phe.gov/preparedness/mcm/pages/default.aspx" TargetMode="External"/><Relationship Id="rId198" Type="http://schemas.openxmlformats.org/officeDocument/2006/relationships/hyperlink" Target="http://www.fda.gov/EmergencyPreparedness/Counterterrorism/ucm234336.htm" TargetMode="External"/><Relationship Id="rId172" Type="http://schemas.openxmlformats.org/officeDocument/2006/relationships/hyperlink" Target="http://www.phe.gov/Preparedness/legal/pahpa/Documents/telehealthrtc-091207.pdf" TargetMode="External"/><Relationship Id="rId193" Type="http://schemas.openxmlformats.org/officeDocument/2006/relationships/hyperlink" Target="http://www.dmsb.mil/slep.asp" TargetMode="External"/><Relationship Id="rId202" Type="http://schemas.openxmlformats.org/officeDocument/2006/relationships/hyperlink" Target="http://www.cdc.gov/phpr/stockpile/stockpile.htm"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astho.org/Programs/Preparedness/Public-Health-Emergency-Law/Emergency-Use-Authorization-Toolkit/Emergency-Use-Authorization-Toolkit-Supplemental-Materials" TargetMode="External"/><Relationship Id="rId39" Type="http://schemas.openxmlformats.org/officeDocument/2006/relationships/hyperlink" Target="http://www.bt.cdc.gov/training/eua/index.html" TargetMode="External"/><Relationship Id="rId109" Type="http://schemas.openxmlformats.org/officeDocument/2006/relationships/hyperlink" Target="http://www.astho.org/Programs/Preparedness/Public-Health-Emergency-Law/Emergency-Use-Authorization-Toolkit/Emergency-Use-Authorization-Toolkit-Supplemental-Materials" TargetMode="External"/><Relationship Id="rId34" Type="http://schemas.openxmlformats.org/officeDocument/2006/relationships/hyperlink" Target="http://www.fda.gov/RegulatoryInformation/Guidances/ucm125127.htm" TargetMode="External"/><Relationship Id="rId50" Type="http://schemas.openxmlformats.org/officeDocument/2006/relationships/hyperlink" Target="http://www.astho.org/Programs/Preparedness/Public-Health-Emergency-Law/Emergency-Use-Authorization-Toolkit/Emergency-Use-Authorization-Toolkit-Supplemental-Materials" TargetMode="External"/><Relationship Id="rId55" Type="http://schemas.openxmlformats.org/officeDocument/2006/relationships/hyperlink" Target="http://www.fda.gov/EmergencyPreparedness/Counterterrorism/ucm234336.htm" TargetMode="External"/><Relationship Id="rId76" Type="http://schemas.openxmlformats.org/officeDocument/2006/relationships/hyperlink" Target="http://www.gao.gov/new.items/d09878r.pdf" TargetMode="External"/><Relationship Id="rId97" Type="http://schemas.openxmlformats.org/officeDocument/2006/relationships/hyperlink" Target="http://www.astho.org/Programs/Preparedness/Strategic-National-Stockpile/The-Strategic-National-Stockpile--From-Concept-to-Achievement/" TargetMode="External"/><Relationship Id="rId104" Type="http://schemas.openxmlformats.org/officeDocument/2006/relationships/hyperlink" Target="http://www.fda.gov/EmergencyPreparedness/Counterterrorism/ucm182568.htm" TargetMode="External"/><Relationship Id="rId120" Type="http://schemas.openxmlformats.org/officeDocument/2006/relationships/hyperlink" Target="http://www.astho.org/Programs/Preparedness/Public-Health-Emergency-Law/Emergency-Use-Authorization-Toolkit/Emergency-Use-Authorization-Toolkit-Supplemental-Materials/" TargetMode="External"/><Relationship Id="rId125" Type="http://schemas.openxmlformats.org/officeDocument/2006/relationships/hyperlink" Target="http://www.astho.org/Programs/Preparedness/Public-Health-Emergency-Law/Emergency-Use-Authorization-Toolkit/Emergency-Use-Authorization-Toolkit-Supplemental-Materials/" TargetMode="External"/><Relationship Id="rId141" Type="http://schemas.openxmlformats.org/officeDocument/2006/relationships/hyperlink" Target="http://www.astho.org/Programs/Preparedness/Public-Health-Emergency-Law/Emergency-Use-Authorization-Toolkit/Emergency-Use-Authorization-Toolkit-Supplemental-Materials/" TargetMode="External"/><Relationship Id="rId146" Type="http://schemas.openxmlformats.org/officeDocument/2006/relationships/hyperlink" Target="http://www.hrsa.gov/cicp/" TargetMode="External"/><Relationship Id="rId167" Type="http://schemas.openxmlformats.org/officeDocument/2006/relationships/hyperlink" Target="http://www.phe.gov/preparedness/pages/default.aspx" TargetMode="External"/><Relationship Id="rId188" Type="http://schemas.openxmlformats.org/officeDocument/2006/relationships/hyperlink" Target="http://www.phe.gov/Preparedness/legal/prepact/Pages/default.aspx" TargetMode="External"/><Relationship Id="rId7" Type="http://schemas.openxmlformats.org/officeDocument/2006/relationships/hyperlink" Target="http://www.astho.org/WorkArea/linkit.aspx?LinkIdentifier=id&amp;ItemID=7097" TargetMode="External"/><Relationship Id="rId71" Type="http://schemas.openxmlformats.org/officeDocument/2006/relationships/hyperlink" Target="http://www.bt.cdc.gov/training/eua/index.html" TargetMode="External"/><Relationship Id="rId92" Type="http://schemas.openxmlformats.org/officeDocument/2006/relationships/hyperlink" Target="http://www.astho.org/Programs/Preparedness/Public-Health-Emergency-Law/Emergency-Use-Authorization-Toolkit/Emergency-Use-Authorization-Toolkit-Supplemental-Materials" TargetMode="External"/><Relationship Id="rId162" Type="http://schemas.openxmlformats.org/officeDocument/2006/relationships/hyperlink" Target="http://www.phe.gov/preparedness/support/secauthority/Pages/default.aspx" TargetMode="External"/><Relationship Id="rId183" Type="http://schemas.openxmlformats.org/officeDocument/2006/relationships/hyperlink" Target="http://www.gao.gov/new.items/d09878r.pdf" TargetMode="External"/><Relationship Id="rId2" Type="http://schemas.openxmlformats.org/officeDocument/2006/relationships/styles" Target="styles.xml"/><Relationship Id="rId29" Type="http://schemas.openxmlformats.org/officeDocument/2006/relationships/hyperlink" Target="http://www.astho.org/Programs/Preparedness/Public-Health-Emergency-Law/Emergency-Use-Authorization-Toolkit/Strategic-National-Stockpile-Fact-Sheet/" TargetMode="External"/><Relationship Id="rId24" Type="http://schemas.openxmlformats.org/officeDocument/2006/relationships/hyperlink" Target="http://www.astho.org/Programs/Preparedness/Public-Health-Emergency-Law/Emergency-Use-Authorization-Toolkit/Emergency-Use-Authorization-Toolkit-Supplemental-Materials" TargetMode="External"/><Relationship Id="rId40" Type="http://schemas.openxmlformats.org/officeDocument/2006/relationships/hyperlink" Target="http://www.astho.org/Programs/Preparedness/Public-Health-Emergency-Law/Emergency-Use-Authorization-Toolkit/Emergency-Use-Authorization-Toolkit-Supplemental-Materials" TargetMode="External"/><Relationship Id="rId45" Type="http://schemas.openxmlformats.org/officeDocument/2006/relationships/hyperlink" Target="http://www.astho.org/Programs/Preparedness/Public-Health-Emergency-Law/Emergency-Use-Authorization-Toolkit/Emergency-Use-Authorization-Toolkit-Supplemental-Materials" TargetMode="External"/><Relationship Id="rId66" Type="http://schemas.openxmlformats.org/officeDocument/2006/relationships/hyperlink" Target="http://www.astho.org/Programs/Preparedness/Public-Health-Emergency-Law/Emergency-Use-Authorization-Toolkit/Emergency-Use-Authorization-Toolkit-Supplemental-Materials" TargetMode="External"/><Relationship Id="rId87" Type="http://schemas.openxmlformats.org/officeDocument/2006/relationships/hyperlink" Target="http://www.astho.org/Programs/Preparedness/Public-Health-Emergency-Law/Emergency-Use-Authorization-Toolkit/Emergency-Use-Authorization-Toolkit-Supplemental-Materials" TargetMode="External"/><Relationship Id="rId110" Type="http://schemas.openxmlformats.org/officeDocument/2006/relationships/hyperlink" Target="http://www.astho.org/uploadedFiles/Programs/Preparedness/Public_Health_Emergency_Law/Emergency_Authority_and_Immunity_Legal_Toolkit/12-EUA%20Current%20Issues%20Summer%202011%204-12%20final.pdf" TargetMode="External"/><Relationship Id="rId115" Type="http://schemas.openxmlformats.org/officeDocument/2006/relationships/hyperlink" Target="mailto:communications@astho.org" TargetMode="External"/><Relationship Id="rId131" Type="http://schemas.openxmlformats.org/officeDocument/2006/relationships/hyperlink" Target="http://www.astho.org/Programs/Preparedness/Public-Health-Emergency-Law/Emergency-Use-Authorization-Toolkit/Emergency-Use-Authorization-Toolkit-Supplemental-Materials/" TargetMode="External"/><Relationship Id="rId136" Type="http://schemas.openxmlformats.org/officeDocument/2006/relationships/hyperlink" Target="http://digital.library.unt.edu/ark:/67531/metacrs9495/m1/1/high_res_d/RL33579_2006Jul28.pdf" TargetMode="External"/><Relationship Id="rId157" Type="http://schemas.openxmlformats.org/officeDocument/2006/relationships/hyperlink" Target="http://www.fda.gov/EmergencyPreparedness/Counterterrorism/ucm247676.htm" TargetMode="External"/><Relationship Id="rId178" Type="http://schemas.openxmlformats.org/officeDocument/2006/relationships/hyperlink" Target="http://www.medicalcountermeasures.gov/" TargetMode="External"/><Relationship Id="rId61" Type="http://schemas.openxmlformats.org/officeDocument/2006/relationships/hyperlink" Target="http://www.astho.org/Programs/Preparedness/Public-Health-Emergency-Law/Emergency-Use-Authorization-Toolkit/Emergency-Use-Authorization-Toolkit-Supplemental-Materials" TargetMode="External"/><Relationship Id="rId82" Type="http://schemas.openxmlformats.org/officeDocument/2006/relationships/hyperlink" Target="http://www.astho.org/Programs/Preparedness/Public-Health-Emergency-Law/Emergency-Use-Authorization-Toolkit/Public-Readiness-and-Emergency-Preparedness-Act-Fact-Sheet/httpwww.phe.gov/Preparedness/legal/prepact/Pages/prepqa.aspx" TargetMode="External"/><Relationship Id="rId152" Type="http://schemas.openxmlformats.org/officeDocument/2006/relationships/hyperlink" Target="http://www.fda.gov/NewsEvents/PublicHealthFocus/ucm153297.htm" TargetMode="External"/><Relationship Id="rId173" Type="http://schemas.openxmlformats.org/officeDocument/2006/relationships/hyperlink" Target="http://www.flu.gov/planning-preparedness/federal/hhspandemicinfluenzaplan.pdf" TargetMode="External"/><Relationship Id="rId194" Type="http://schemas.openxmlformats.org/officeDocument/2006/relationships/hyperlink" Target="https://slep.dmsbfda.army.mil/slep/slep_info_paper_JAN_2006.doc" TargetMode="External"/><Relationship Id="rId199" Type="http://schemas.openxmlformats.org/officeDocument/2006/relationships/hyperlink" Target="http://www.fda.gov/EmergencyPreparedness/Counterterrorism/ucm247676.htm" TargetMode="External"/><Relationship Id="rId203" Type="http://schemas.openxmlformats.org/officeDocument/2006/relationships/hyperlink" Target="http://www.ncbi.nlm.nih.gov/books/NBK53126/pdf/TOC.pdf" TargetMode="External"/><Relationship Id="rId1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astho.org/Programs/Preparedness/Public-Health-Emergency-Law/Emergency-Use-Authorization-Toolkit/Emergency-Use-Authorization-Toolkit-Supplemental-Materials" TargetMode="External"/><Relationship Id="rId30" Type="http://schemas.openxmlformats.org/officeDocument/2006/relationships/hyperlink" Target="http://www.astho.org/Programs/Preparedness/Public-Health-Emergency-Law/Emergency-Use-Authorization-Toolkit/Federal-Shelf-Life-Extension-Program-Fact-Sheet/" TargetMode="External"/><Relationship Id="rId35" Type="http://schemas.openxmlformats.org/officeDocument/2006/relationships/hyperlink" Target="http://www.hrsa.gov/vaccinecompensation/default.htm" TargetMode="External"/><Relationship Id="rId56" Type="http://schemas.openxmlformats.org/officeDocument/2006/relationships/hyperlink" Target="http://www.fda.gov/Drugs/DrugSafety/PostmarketDrugSafetyInformationforPatientsandProviders/ucm216249.htm" TargetMode="External"/><Relationship Id="rId77" Type="http://schemas.openxmlformats.org/officeDocument/2006/relationships/hyperlink" Target="http://www.astho.org/Programs/Preparedness/Public-Health-Emergency-Law/Emergency-Use-Authorization-Toolkit/Emergency-Use-Authorization-Toolkit-Supplemental-Materials" TargetMode="External"/><Relationship Id="rId100" Type="http://schemas.openxmlformats.org/officeDocument/2006/relationships/footer" Target="footer1.xml"/><Relationship Id="rId105" Type="http://schemas.openxmlformats.org/officeDocument/2006/relationships/hyperlink" Target="http://www.phe.gov/" TargetMode="External"/><Relationship Id="rId126" Type="http://schemas.openxmlformats.org/officeDocument/2006/relationships/hyperlink" Target="http://www.astho.org/Programs/Preparedness/Public-Health-Emergency-Law/Emergency-Use-Authorization-Toolkit/Emergency-Use-Authorization-Toolkit-Supplemental-Materials/" TargetMode="External"/><Relationship Id="rId147" Type="http://schemas.openxmlformats.org/officeDocument/2006/relationships/hyperlink" Target="http://www.hrsa.gov/gethealthcare/conditions/countermeasurescomp/cicp_final_rule_correction.pdf" TargetMode="External"/><Relationship Id="rId168" Type="http://schemas.openxmlformats.org/officeDocument/2006/relationships/hyperlink" Target="http://healthyamericans.org/reports/bioterror07/PAHPAProgressReport.pdf" TargetMode="External"/><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51" Type="http://schemas.openxmlformats.org/officeDocument/2006/relationships/hyperlink" Target="http://www.fda.gov/EmergencyPreparedness/Counterterrorism/ucm247676.htm" TargetMode="External"/><Relationship Id="rId72" Type="http://schemas.openxmlformats.org/officeDocument/2006/relationships/hyperlink" Target="http://www.phe.gov/Preparedness/pages/default.aspx" TargetMode="External"/><Relationship Id="rId93" Type="http://schemas.openxmlformats.org/officeDocument/2006/relationships/hyperlink" Target="http://www.astho.org/Programs/Preparedness/Public-Health-Emergency-Law/Emergency-Use-Authorization-Toolkit/Federal-Shelf-Life-Extension-Program-Fact-Sheet/" TargetMode="External"/><Relationship Id="rId98" Type="http://schemas.openxmlformats.org/officeDocument/2006/relationships/hyperlink" Target="http://www.ncbi.nlm.nih.gov/books/NBK53126/pdf/TOC.pdf" TargetMode="External"/><Relationship Id="rId121" Type="http://schemas.openxmlformats.org/officeDocument/2006/relationships/hyperlink" Target="http://www.astho.org/Programs/Preparedness/Public-Health-Emergency-Law/Emergency-Use-Authorization-Toolkit/Emergency-Use-Authorization-Toolkit-Supplemental-Materials/" TargetMode="External"/><Relationship Id="rId142" Type="http://schemas.openxmlformats.org/officeDocument/2006/relationships/hyperlink" Target="http://www.phe.gov/about/barda/Pages/default.aspx" TargetMode="External"/><Relationship Id="rId163" Type="http://schemas.openxmlformats.org/officeDocument/2006/relationships/hyperlink" Target="http://www.gpo.gov/fdsys/pkg/PLAW-109publ417/pdf/PLAW-109publ417.pdf" TargetMode="External"/><Relationship Id="rId184" Type="http://schemas.openxmlformats.org/officeDocument/2006/relationships/hyperlink" Target="http://www.gpo.gov/fdsys/pkg/USCODE-2009-title42/html/USCODE-2009-title42-chap6A-subchapII.htm" TargetMode="External"/><Relationship Id="rId189" Type="http://schemas.openxmlformats.org/officeDocument/2006/relationships/hyperlink" Target="http://www.phe.gov/Preparedness/legal/prepact/Pages/prepqa.aspx" TargetMode="External"/><Relationship Id="rId3" Type="http://schemas.openxmlformats.org/officeDocument/2006/relationships/settings" Target="settings.xml"/><Relationship Id="rId25" Type="http://schemas.openxmlformats.org/officeDocument/2006/relationships/hyperlink" Target="http://www.astho.org/Programs/Preparedness/Public-Health-Emergency-Law/Emergency-Use-Authorization-Toolkit/Emergency-Use-Authorization-Toolkit-Supplemental-Materials" TargetMode="External"/><Relationship Id="rId46" Type="http://schemas.openxmlformats.org/officeDocument/2006/relationships/hyperlink" Target="http://www.astho.org/Programs/Preparedness/Public-Health-Emergency-Law/Emergency-Use-Authorization-Toolkit/Emergency-Use-Authorization-Toolkit-Supplemental-Materials" TargetMode="External"/><Relationship Id="rId67" Type="http://schemas.openxmlformats.org/officeDocument/2006/relationships/hyperlink" Target="http://www.astho.org/Programs/Preparedness/Public-Health-Emergency-Law/Emergency-Use-Authorization-Toolkit/Emergency-Use-Authorization-Toolkit-Supplemental-Materials" TargetMode="External"/><Relationship Id="rId116" Type="http://schemas.openxmlformats.org/officeDocument/2006/relationships/hyperlink" Target="http://www.astho.org/Programs/Preparedness/Public-Health-Emergency-Law/Emergency-Use-Authorization-Toolkit/Emergency-Use-Authorization-Toolkit-Supplemental-Materials/" TargetMode="External"/><Relationship Id="rId137" Type="http://schemas.openxmlformats.org/officeDocument/2006/relationships/hyperlink" Target="http://digital.library.unt.edu/ark:/67531/metadc26152/m1/1/high_res_d/R40560_2009Jun15.pdf" TargetMode="External"/><Relationship Id="rId158" Type="http://schemas.openxmlformats.org/officeDocument/2006/relationships/hyperlink" Target="http://www.ncbi.nlm.nih.gov/books/NBK53126/pdf/TOC.pdf" TargetMode="External"/><Relationship Id="rId20" Type="http://schemas.openxmlformats.org/officeDocument/2006/relationships/hyperlink" Target="http://www.astho.org/Programs/Preparedness/Public-Health-Emergency-Law/Emergency-Use-Authorization-Toolkit/Emergency-Use-Authorization-Toolkit-Supplemental-Materials" TargetMode="External"/><Relationship Id="rId41" Type="http://schemas.openxmlformats.org/officeDocument/2006/relationships/hyperlink" Target="http://www.astho.org/Programs/Preparedness/Public-Health-Emergency-Law/Emergency-Use-Authorization-Toolkit/Emergency-Use-Authorization-Toolkit-Supplemental-Materials" TargetMode="External"/><Relationship Id="rId62" Type="http://schemas.openxmlformats.org/officeDocument/2006/relationships/hyperlink" Target="http://www.astho.org/Programs/Preparedness/Public-Health-Emergency-Law/Emergency-Use-Authorization-Toolkit/Public-Readiness-and-Emergency-Preparedness-Act-Fact-Sheet/" TargetMode="External"/><Relationship Id="rId83" Type="http://schemas.openxmlformats.org/officeDocument/2006/relationships/hyperlink" Target="http://www2.cdc.gov/phlp/docs/Selected%20Fed%20Legal%20Authorities%20re%20PH%20Emergencies%20102709%20v2.pdf" TargetMode="External"/><Relationship Id="rId88" Type="http://schemas.openxmlformats.org/officeDocument/2006/relationships/hyperlink" Target="http://www.astho.org/Programs/Preparedness/Public-Health-Emergency-Law/Emergency-Use-Authorization-Toolkit/Emergency-Use-Authorization-Current-Issues-and-Updates-Winter-2012/" TargetMode="External"/><Relationship Id="rId111" Type="http://schemas.openxmlformats.org/officeDocument/2006/relationships/hyperlink" Target="http://www.astho.org/Programs/Preparedness/Public-Health-Emergency-Law/Emergency-Use-Authorization-Toolkit/Emergency-Use-Authorization-Toolkit-Supplemental-Materials" TargetMode="External"/><Relationship Id="rId132" Type="http://schemas.openxmlformats.org/officeDocument/2006/relationships/hyperlink" Target="http://www.astho.org/Programs/Preparedness/Public-Health-Emergency-Law/Emergency-Use-Authorization-Toolkit/Emergency-Use-Authorization-Toolkit-Supplemental-Materials/" TargetMode="External"/><Relationship Id="rId153" Type="http://schemas.openxmlformats.org/officeDocument/2006/relationships/hyperlink" Target="http://www.bt.cdc.gov/training/eua/index.html" TargetMode="External"/><Relationship Id="rId174" Type="http://schemas.openxmlformats.org/officeDocument/2006/relationships/hyperlink" Target="http://www.flu.gov/professional/pdf/cikrpandemicinfluenzaguide.pdf" TargetMode="External"/><Relationship Id="rId179" Type="http://schemas.openxmlformats.org/officeDocument/2006/relationships/hyperlink" Target="http://www.phe.gov/Preparedness/pages/default.aspx" TargetMode="External"/><Relationship Id="rId195" Type="http://schemas.openxmlformats.org/officeDocument/2006/relationships/hyperlink" Target="http://www.fda.gov/Drugs/DevelopmentApprovalProcess/Manufacturing/ucm090016.htm" TargetMode="External"/><Relationship Id="rId190" Type="http://schemas.openxmlformats.org/officeDocument/2006/relationships/hyperlink" Target="http://www.phe.gov/Preparedness/legal/prepact/Pages/default.aspx" TargetMode="External"/><Relationship Id="rId204" Type="http://schemas.openxmlformats.org/officeDocument/2006/relationships/hyperlink" Target="http://www.hrsa.gov/vaccinecompensation/default.htm" TargetMode="Externa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36" Type="http://schemas.openxmlformats.org/officeDocument/2006/relationships/hyperlink" Target="http://www.fda.gov/EmergencyPreparedness/Counterterrorism/ucm247676.htm" TargetMode="External"/><Relationship Id="rId57" Type="http://schemas.openxmlformats.org/officeDocument/2006/relationships/hyperlink" Target="http://www.fda.gov/EmergencyPreparedness/Counterterrorism/ucm247676.htm" TargetMode="External"/><Relationship Id="rId106" Type="http://schemas.openxmlformats.org/officeDocument/2006/relationships/hyperlink" Target="http://www.astho.org/uploadedFiles/Programs/Preparedness/Public_Health_Emergency_Law/Emergency_Authority_and_Immunity_Legal_Toolkit/11-EUA%20Current%20Issues%20Fall%202011%204-12%20final.pdf" TargetMode="External"/><Relationship Id="rId127" Type="http://schemas.openxmlformats.org/officeDocument/2006/relationships/hyperlink" Target="http://www.astho.org/Programs/Preparedness/Public-Health-Emergency-Law/Emergency-Use-Authorization-Toolkit/Emergency-Use-Authorization-Toolkit-Supplemental-Materials/" TargetMode="Externa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31" Type="http://schemas.openxmlformats.org/officeDocument/2006/relationships/hyperlink" Target="http://www.fda.gov/NewsEvents/PublicHealthFocus/ucm153297.htm" TargetMode="External"/><Relationship Id="rId52" Type="http://schemas.openxmlformats.org/officeDocument/2006/relationships/hyperlink" Target="https://slep.dmsbfda.army.mil/slep/slep_info_paper_JAN_2006.doc" TargetMode="External"/><Relationship Id="rId73" Type="http://schemas.openxmlformats.org/officeDocument/2006/relationships/hyperlink" Target="http://www.phe.gov/preparedness/mcm/pages/default.aspx" TargetMode="External"/><Relationship Id="rId78" Type="http://schemas.openxmlformats.org/officeDocument/2006/relationships/hyperlink" Target="http://www.astho.org/Programs/Preparedness/Public-Health-Emergency-Law/Emergency-Use-Authorization-Toolkit/Emergency-Use-Authorization-Toolkit-Supplemental-Materials" TargetMode="External"/><Relationship Id="rId94" Type="http://schemas.openxmlformats.org/officeDocument/2006/relationships/hyperlink" Target="http://www.astho.org/Programs/Preparedness/Public-Health-Emergency-Law/Emergency-Use-Authorization-Toolkit/Emergency-Use-Authorization-Toolkit-Supplemental-Materials" TargetMode="External"/><Relationship Id="rId99" Type="http://schemas.openxmlformats.org/officeDocument/2006/relationships/hyperlink" Target="http://www.fda.gov/NewsEvents/PublicHealthFocus/ucm153297.htm" TargetMode="External"/><Relationship Id="rId101" Type="http://schemas.openxmlformats.org/officeDocument/2006/relationships/hyperlink" Target="http://www.astho.org/uploadedFiles/Programs/Preparedness/Public_Health_Emergency_Law/Emergency_Authority_and_Immunity_Legal_Toolkit/10-EUA%20Current%20Issues%20Winter%202012%204-12%20final.pdf" TargetMode="External"/><Relationship Id="rId122" Type="http://schemas.openxmlformats.org/officeDocument/2006/relationships/hyperlink" Target="http://www.astho.org/Programs/Preparedness/Public-Health-Emergency-Law/Emergency-Use-Authorization-Toolkit/Emergency-Use-Authorization-Toolkit-Supplemental-Materials/" TargetMode="External"/><Relationship Id="rId143" Type="http://schemas.openxmlformats.org/officeDocument/2006/relationships/hyperlink" Target="http://https/www.medicalcountermeasures.gov/default.aspx" TargetMode="External"/><Relationship Id="rId148" Type="http://schemas.openxmlformats.org/officeDocument/2006/relationships/hyperlink" Target="http://www.hrsa.gov/gethealthcare/conditions/countermeasurescomp/cicp_admin_final_rule.pdf" TargetMode="External"/><Relationship Id="rId164" Type="http://schemas.openxmlformats.org/officeDocument/2006/relationships/hyperlink" Target="http://www.gpo.gov/fdsys/pkg/USCODE-2009-title42/pdf/USCODE-2009-title42-chap6A.pdf" TargetMode="External"/><Relationship Id="rId169" Type="http://schemas.openxmlformats.org/officeDocument/2006/relationships/hyperlink" Target="http://www.phe.gov/Preparedness/legal/pahpa/Documents/pahpa-at-risk-report0901.pdf" TargetMode="External"/><Relationship Id="rId185" Type="http://schemas.openxmlformats.org/officeDocument/2006/relationships/hyperlink" Target="http://www.astho.org/Programs/Preparedness/Public-Health-Emergency-Law/Emergency-Use-Authorization-Toolkit/Emergency-Use-Authorization-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Current-Issues-and-Updates-Winter-2012/" TargetMode="External"/><Relationship Id="rId180" Type="http://schemas.openxmlformats.org/officeDocument/2006/relationships/hyperlink" Target="http://www.hsdl.org/?view&amp;did=15074" TargetMode="External"/><Relationship Id="rId26" Type="http://schemas.openxmlformats.org/officeDocument/2006/relationships/hyperlink" Target="http://www.astho.org/Programs/Preparedness/Public-Health-Emergency-Law/Emergency-Use-Authorization-Toolkit/Emergency-Use-Authorization-Toolkit-Supplemental-Materials" TargetMode="External"/><Relationship Id="rId47" Type="http://schemas.openxmlformats.org/officeDocument/2006/relationships/hyperlink" Target="http://www.astho.org/Programs/Preparedness/Public-Health-Emergency-Law/Emergency-Use-Authorization-Toolkit/Emergency-Use-Authorization-Evolving-Policy-Issues-Summer-2011/" TargetMode="External"/><Relationship Id="rId68" Type="http://schemas.openxmlformats.org/officeDocument/2006/relationships/hyperlink" Target="http://www.astho.org/Programs/Preparedness/Public-Health-Emergency-Law/Emergency-Use-Authorization-Toolkit/Emergency-Use-Authorization-Toolkit-Supplemental-Materials" TargetMode="External"/><Relationship Id="rId89" Type="http://schemas.openxmlformats.org/officeDocument/2006/relationships/hyperlink" Target="http://www.astho.org/Programs/Preparedness/Public-Health-Emergency-Law/Emergency-Use-Authorization-Toolkit/Emergency-Use-Authorization-Toolkit-Supplemental-Materials" TargetMode="External"/><Relationship Id="rId112" Type="http://schemas.openxmlformats.org/officeDocument/2006/relationships/hyperlink" Target="http://www.astho.org/Programs/Preparedness/Public-Health-Emergency-Law/Emergency-Use-Authorization-Toolkit/Emergency-Use-Authorization-Toolkit-Supplemental-Materials" TargetMode="External"/><Relationship Id="rId133" Type="http://schemas.openxmlformats.org/officeDocument/2006/relationships/hyperlink" Target="http://www.astho.org/Programs/Preparedness/Public-Health-Emergency-Law/Emergency-Use-Authorization-Toolkit/Emergency-Use-Authorization-Toolkit-Supplemental-Materials/" TargetMode="External"/><Relationship Id="rId154" Type="http://schemas.openxmlformats.org/officeDocument/2006/relationships/hyperlink" Target="http://www.fda.gov/EmergencyPreparedness/Counterterrorism/ucm247676.htm" TargetMode="External"/><Relationship Id="rId175" Type="http://schemas.openxmlformats.org/officeDocument/2006/relationships/hyperlink" Target="https://www.whitehouse.gov/sites/default/files/National_Strategy_for_Biosurveillance_July_2012.pdf" TargetMode="External"/><Relationship Id="rId196" Type="http://schemas.openxmlformats.org/officeDocument/2006/relationships/hyperlink" Target="http://www.accessdata.fda.gov/scripts/cdrh/cfdocs/cfcfr/cfrsearch.cfm?cfrpart=210" TargetMode="External"/><Relationship Id="rId200" Type="http://schemas.openxmlformats.org/officeDocument/2006/relationships/hyperlink" Target="http://www.fda.gov/EmergencyPreparedness/Counterterrorism/ucm24767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73</Pages>
  <Words>24030</Words>
  <Characters>136971</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22</cp:revision>
  <dcterms:created xsi:type="dcterms:W3CDTF">2019-05-08T18:13:00Z</dcterms:created>
  <dcterms:modified xsi:type="dcterms:W3CDTF">2019-05-09T17:12:00Z</dcterms:modified>
</cp:coreProperties>
</file>