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A7D8B" w14:textId="73FD8A3E" w:rsidR="005E3E4F" w:rsidRPr="00C0709B" w:rsidRDefault="005E3E4F" w:rsidP="00B51C1E">
      <w:pPr>
        <w:rPr>
          <w:rFonts w:eastAsia="Times New Roman" w:cstheme="minorHAnsi"/>
          <w:b/>
          <w:bCs/>
          <w:sz w:val="28"/>
          <w:szCs w:val="24"/>
        </w:rPr>
      </w:pPr>
      <w:r w:rsidRPr="00C0709B">
        <w:rPr>
          <w:rFonts w:eastAsia="Times New Roman" w:cstheme="minorHAnsi"/>
          <w:b/>
          <w:bCs/>
          <w:sz w:val="28"/>
          <w:szCs w:val="24"/>
        </w:rPr>
        <w:t>Overview of ASTHO Scope of Practice Toolkit</w:t>
      </w:r>
    </w:p>
    <w:p w14:paraId="60AD599E" w14:textId="77777777" w:rsidR="00B51C1E" w:rsidRPr="0083564D" w:rsidRDefault="00B51C1E" w:rsidP="00B51C1E">
      <w:pPr>
        <w:rPr>
          <w:rFonts w:eastAsia="Times New Roman" w:cstheme="minorHAnsi"/>
          <w:b/>
          <w:bCs/>
          <w:sz w:val="24"/>
          <w:szCs w:val="24"/>
        </w:rPr>
      </w:pPr>
    </w:p>
    <w:p w14:paraId="6F3F075F" w14:textId="7EA71808" w:rsidR="005E3E4F" w:rsidRDefault="005E3E4F" w:rsidP="006C3F23">
      <w:pPr>
        <w:spacing w:line="480" w:lineRule="auto"/>
        <w:textAlignment w:val="baseline"/>
        <w:rPr>
          <w:rFonts w:eastAsia="Times New Roman" w:cstheme="minorHAnsi"/>
          <w:szCs w:val="20"/>
        </w:rPr>
      </w:pPr>
      <w:r w:rsidRPr="00D76B1F">
        <w:rPr>
          <w:rFonts w:eastAsia="Times New Roman" w:cstheme="minorHAnsi"/>
          <w:szCs w:val="20"/>
        </w:rPr>
        <w:t>The </w:t>
      </w:r>
      <w:r w:rsidRPr="00D76B1F">
        <w:rPr>
          <w:rFonts w:eastAsia="Times New Roman" w:cstheme="minorHAnsi"/>
          <w:i/>
          <w:iCs/>
          <w:szCs w:val="20"/>
          <w:bdr w:val="none" w:sz="0" w:space="0" w:color="auto" w:frame="1"/>
        </w:rPr>
        <w:t>Scope of Practice Toolkit </w:t>
      </w:r>
      <w:r w:rsidRPr="00D76B1F">
        <w:rPr>
          <w:rFonts w:eastAsia="Times New Roman" w:cstheme="minorHAnsi"/>
          <w:szCs w:val="20"/>
        </w:rPr>
        <w:t>addresses key concepts regarding modifying the scope of practice of various healthcare and other practitioners in public health emergency response activities. The toolkit component documents are designed to assist in education, training, and planning activities to prepare for emergencies, as well as to serve as a quick reference resource during an emergency response to an event. The</w:t>
      </w:r>
      <w:r w:rsidRPr="00D76B1F">
        <w:rPr>
          <w:rFonts w:eastAsia="Times New Roman" w:cstheme="minorHAnsi"/>
          <w:i/>
          <w:iCs/>
          <w:szCs w:val="20"/>
          <w:bdr w:val="none" w:sz="0" w:space="0" w:color="auto" w:frame="1"/>
        </w:rPr>
        <w:t> Scope of Practice Toolkit </w:t>
      </w:r>
      <w:r w:rsidRPr="00D76B1F">
        <w:rPr>
          <w:rFonts w:eastAsia="Times New Roman" w:cstheme="minorHAnsi"/>
          <w:szCs w:val="20"/>
        </w:rPr>
        <w:t>is one of six toolkits in ASTHO’s Legal Preparedness Series. Please see the Introduction document for additional background on the project and the other toolkits. </w:t>
      </w:r>
    </w:p>
    <w:p w14:paraId="6B51F3DF" w14:textId="77777777" w:rsidR="00261B3E" w:rsidRPr="00D76B1F" w:rsidRDefault="00261B3E" w:rsidP="006C3F23">
      <w:pPr>
        <w:spacing w:line="480" w:lineRule="auto"/>
        <w:textAlignment w:val="baseline"/>
        <w:rPr>
          <w:rFonts w:eastAsia="Times New Roman" w:cstheme="minorHAnsi"/>
          <w:szCs w:val="20"/>
        </w:rPr>
      </w:pPr>
    </w:p>
    <w:p w14:paraId="5C5F2E2E" w14:textId="4EBDE001" w:rsidR="00F11BD2" w:rsidRDefault="00F11BD2" w:rsidP="00324338">
      <w:pPr>
        <w:rPr>
          <w:rFonts w:eastAsia="Times New Roman" w:cstheme="minorHAnsi"/>
          <w:b/>
          <w:bCs/>
          <w:sz w:val="24"/>
          <w:szCs w:val="24"/>
        </w:rPr>
      </w:pPr>
      <w:r w:rsidRPr="00D76B1F">
        <w:rPr>
          <w:rFonts w:eastAsia="Times New Roman" w:cstheme="minorHAnsi"/>
          <w:b/>
          <w:bCs/>
          <w:sz w:val="24"/>
          <w:szCs w:val="24"/>
        </w:rPr>
        <w:t>Intended Audiences</w:t>
      </w:r>
    </w:p>
    <w:p w14:paraId="654762D3" w14:textId="77777777" w:rsidR="00261B3E" w:rsidRPr="00D76B1F" w:rsidRDefault="00261B3E" w:rsidP="00324338">
      <w:pPr>
        <w:rPr>
          <w:rFonts w:eastAsia="Times New Roman" w:cstheme="minorHAnsi"/>
          <w:b/>
          <w:bCs/>
          <w:sz w:val="24"/>
          <w:szCs w:val="24"/>
        </w:rPr>
      </w:pPr>
    </w:p>
    <w:p w14:paraId="192C42C3" w14:textId="77777777" w:rsidR="005E3E4F" w:rsidRPr="00D76B1F" w:rsidRDefault="005E3E4F" w:rsidP="006C3F23">
      <w:pPr>
        <w:spacing w:line="480" w:lineRule="auto"/>
        <w:textAlignment w:val="baseline"/>
        <w:rPr>
          <w:rFonts w:eastAsia="Times New Roman" w:cstheme="minorHAnsi"/>
          <w:szCs w:val="20"/>
        </w:rPr>
      </w:pPr>
      <w:r w:rsidRPr="00D76B1F">
        <w:rPr>
          <w:rFonts w:eastAsia="Times New Roman" w:cstheme="minorHAnsi"/>
          <w:i/>
          <w:iCs/>
          <w:szCs w:val="20"/>
          <w:bdr w:val="none" w:sz="0" w:space="0" w:color="auto" w:frame="1"/>
        </w:rPr>
        <w:t>These documents are specifically designed to address the different needs of discrete audiences within a state health agency:</w:t>
      </w:r>
    </w:p>
    <w:p w14:paraId="520A04F6" w14:textId="77777777" w:rsidR="005E3E4F" w:rsidRPr="00261B3E" w:rsidRDefault="005E3E4F" w:rsidP="00261B3E">
      <w:pPr>
        <w:pStyle w:val="ListParagraph"/>
        <w:numPr>
          <w:ilvl w:val="0"/>
          <w:numId w:val="9"/>
        </w:numPr>
        <w:spacing w:line="480" w:lineRule="auto"/>
        <w:textAlignment w:val="baseline"/>
        <w:rPr>
          <w:rFonts w:eastAsia="Times New Roman" w:cstheme="minorHAnsi"/>
          <w:szCs w:val="20"/>
        </w:rPr>
      </w:pPr>
      <w:r w:rsidRPr="00261B3E">
        <w:rPr>
          <w:rFonts w:eastAsia="Times New Roman" w:cstheme="minorHAnsi"/>
          <w:szCs w:val="20"/>
        </w:rPr>
        <w:t xml:space="preserve">State health officers, agency directors, or other senior governmental officials may find the executive overviews and fact sheets of </w:t>
      </w:r>
      <w:proofErr w:type="gramStart"/>
      <w:r w:rsidRPr="00261B3E">
        <w:rPr>
          <w:rFonts w:eastAsia="Times New Roman" w:cstheme="minorHAnsi"/>
          <w:szCs w:val="20"/>
        </w:rPr>
        <w:t>particular interest</w:t>
      </w:r>
      <w:proofErr w:type="gramEnd"/>
      <w:r w:rsidRPr="00261B3E">
        <w:rPr>
          <w:rFonts w:eastAsia="Times New Roman" w:cstheme="minorHAnsi"/>
          <w:szCs w:val="20"/>
        </w:rPr>
        <w:t>.</w:t>
      </w:r>
    </w:p>
    <w:p w14:paraId="656D2E34" w14:textId="77777777" w:rsidR="005E3E4F" w:rsidRPr="00261B3E" w:rsidRDefault="005E3E4F" w:rsidP="00261B3E">
      <w:pPr>
        <w:pStyle w:val="ListParagraph"/>
        <w:numPr>
          <w:ilvl w:val="0"/>
          <w:numId w:val="9"/>
        </w:numPr>
        <w:spacing w:line="480" w:lineRule="auto"/>
        <w:textAlignment w:val="baseline"/>
        <w:rPr>
          <w:rFonts w:eastAsia="Times New Roman" w:cstheme="minorHAnsi"/>
          <w:szCs w:val="20"/>
        </w:rPr>
      </w:pPr>
      <w:r w:rsidRPr="00261B3E">
        <w:rPr>
          <w:rFonts w:eastAsia="Times New Roman" w:cstheme="minorHAnsi"/>
          <w:szCs w:val="20"/>
        </w:rPr>
        <w:t xml:space="preserve">Preparedness directors and other programmatic staff will find the fact sheets, issue briefs, state analysis guides, and resource materials useful in understanding and gaining more in-depth knowledge about </w:t>
      </w:r>
      <w:proofErr w:type="gramStart"/>
      <w:r w:rsidRPr="00261B3E">
        <w:rPr>
          <w:rFonts w:eastAsia="Times New Roman" w:cstheme="minorHAnsi"/>
          <w:szCs w:val="20"/>
        </w:rPr>
        <w:t>particular concepts</w:t>
      </w:r>
      <w:proofErr w:type="gramEnd"/>
      <w:r w:rsidRPr="00261B3E">
        <w:rPr>
          <w:rFonts w:eastAsia="Times New Roman" w:cstheme="minorHAnsi"/>
          <w:szCs w:val="20"/>
        </w:rPr>
        <w:t xml:space="preserve"> and legal issues.</w:t>
      </w:r>
    </w:p>
    <w:p w14:paraId="28925CC1" w14:textId="77777777" w:rsidR="005E3E4F" w:rsidRPr="00261B3E" w:rsidRDefault="005E3E4F" w:rsidP="00261B3E">
      <w:pPr>
        <w:pStyle w:val="ListParagraph"/>
        <w:numPr>
          <w:ilvl w:val="0"/>
          <w:numId w:val="9"/>
        </w:numPr>
        <w:spacing w:line="480" w:lineRule="auto"/>
        <w:textAlignment w:val="baseline"/>
        <w:rPr>
          <w:rFonts w:eastAsia="Times New Roman" w:cstheme="minorHAnsi"/>
          <w:szCs w:val="20"/>
        </w:rPr>
      </w:pPr>
      <w:r w:rsidRPr="00261B3E">
        <w:rPr>
          <w:rFonts w:eastAsia="Times New Roman" w:cstheme="minorHAnsi"/>
          <w:szCs w:val="20"/>
        </w:rPr>
        <w:t xml:space="preserve">Legal counsel will find the fact sheets about </w:t>
      </w:r>
      <w:proofErr w:type="gramStart"/>
      <w:r w:rsidRPr="00261B3E">
        <w:rPr>
          <w:rFonts w:eastAsia="Times New Roman" w:cstheme="minorHAnsi"/>
          <w:szCs w:val="20"/>
        </w:rPr>
        <w:t>particular federal</w:t>
      </w:r>
      <w:proofErr w:type="gramEnd"/>
      <w:r w:rsidRPr="00261B3E">
        <w:rPr>
          <w:rFonts w:eastAsia="Times New Roman" w:cstheme="minorHAnsi"/>
          <w:szCs w:val="20"/>
        </w:rPr>
        <w:t xml:space="preserve"> laws and regulations, issue briefs, state analysis guides, and citations within the resource materials a good basis from which to conduct additional research and analyze their particular state’s authorities on these issues.</w:t>
      </w:r>
    </w:p>
    <w:p w14:paraId="11FD261E" w14:textId="2AF05A8E" w:rsidR="005E3E4F" w:rsidRDefault="005E3E4F" w:rsidP="00261B3E">
      <w:pPr>
        <w:pStyle w:val="ListParagraph"/>
        <w:numPr>
          <w:ilvl w:val="0"/>
          <w:numId w:val="9"/>
        </w:numPr>
        <w:spacing w:line="480" w:lineRule="auto"/>
        <w:textAlignment w:val="baseline"/>
        <w:rPr>
          <w:rFonts w:eastAsia="Times New Roman" w:cstheme="minorHAnsi"/>
          <w:szCs w:val="20"/>
        </w:rPr>
      </w:pPr>
      <w:r w:rsidRPr="00261B3E">
        <w:rPr>
          <w:rFonts w:eastAsia="Times New Roman" w:cstheme="minorHAnsi"/>
          <w:szCs w:val="20"/>
        </w:rPr>
        <w:t>The current issue updates are a good resource for all audiences to learn the latest developments on issues related to the toolkit topic.</w:t>
      </w:r>
    </w:p>
    <w:p w14:paraId="61CECBA1" w14:textId="5C3AEFA4" w:rsidR="00261B3E" w:rsidRDefault="00261B3E" w:rsidP="00261B3E">
      <w:pPr>
        <w:pStyle w:val="ListParagraph"/>
        <w:spacing w:line="480" w:lineRule="auto"/>
        <w:ind w:left="360"/>
        <w:textAlignment w:val="baseline"/>
        <w:rPr>
          <w:rFonts w:eastAsia="Times New Roman" w:cstheme="minorHAnsi"/>
          <w:szCs w:val="20"/>
        </w:rPr>
      </w:pPr>
    </w:p>
    <w:p w14:paraId="5C08474F" w14:textId="44A48EA5" w:rsidR="00261B3E" w:rsidRDefault="00261B3E" w:rsidP="00261B3E">
      <w:pPr>
        <w:pStyle w:val="ListParagraph"/>
        <w:spacing w:line="480" w:lineRule="auto"/>
        <w:ind w:left="360"/>
        <w:textAlignment w:val="baseline"/>
        <w:rPr>
          <w:rFonts w:eastAsia="Times New Roman" w:cstheme="minorHAnsi"/>
          <w:szCs w:val="20"/>
        </w:rPr>
      </w:pPr>
    </w:p>
    <w:p w14:paraId="78012DD3" w14:textId="77777777" w:rsidR="00261B3E" w:rsidRPr="00261B3E" w:rsidRDefault="00261B3E" w:rsidP="00261B3E">
      <w:pPr>
        <w:pStyle w:val="ListParagraph"/>
        <w:spacing w:line="480" w:lineRule="auto"/>
        <w:ind w:left="360"/>
        <w:textAlignment w:val="baseline"/>
        <w:rPr>
          <w:rFonts w:eastAsia="Times New Roman" w:cstheme="minorHAnsi"/>
          <w:szCs w:val="20"/>
        </w:rPr>
      </w:pPr>
    </w:p>
    <w:p w14:paraId="37AC03BF" w14:textId="5566DBB8" w:rsidR="005E3E4F" w:rsidRDefault="005E3E4F" w:rsidP="00324338">
      <w:pPr>
        <w:rPr>
          <w:rFonts w:eastAsia="Times New Roman" w:cstheme="minorHAnsi"/>
          <w:b/>
          <w:bCs/>
          <w:sz w:val="24"/>
          <w:szCs w:val="24"/>
        </w:rPr>
      </w:pPr>
      <w:bookmarkStart w:id="0" w:name="TOC_top"/>
      <w:bookmarkStart w:id="1" w:name="_GoBack"/>
      <w:bookmarkEnd w:id="1"/>
      <w:r w:rsidRPr="00D76B1F">
        <w:rPr>
          <w:rFonts w:eastAsia="Times New Roman" w:cstheme="minorHAnsi"/>
          <w:b/>
          <w:bCs/>
          <w:sz w:val="24"/>
          <w:szCs w:val="24"/>
        </w:rPr>
        <w:lastRenderedPageBreak/>
        <w:t>Scope of Practice Toolkit Contents</w:t>
      </w:r>
      <w:bookmarkEnd w:id="0"/>
    </w:p>
    <w:p w14:paraId="660801D3" w14:textId="77777777" w:rsidR="00261B3E" w:rsidRPr="00D76B1F" w:rsidRDefault="00261B3E" w:rsidP="00324338">
      <w:pPr>
        <w:rPr>
          <w:rFonts w:eastAsia="Times New Roman" w:cstheme="minorHAnsi"/>
          <w:b/>
          <w:bCs/>
          <w:sz w:val="24"/>
          <w:szCs w:val="24"/>
        </w:rPr>
      </w:pPr>
    </w:p>
    <w:p w14:paraId="2DAFDC29" w14:textId="77777777" w:rsidR="00261B3E" w:rsidRDefault="005E3E4F" w:rsidP="006C3F23">
      <w:pPr>
        <w:spacing w:line="480" w:lineRule="auto"/>
        <w:textAlignment w:val="baseline"/>
        <w:rPr>
          <w:rFonts w:eastAsia="Times New Roman" w:cstheme="minorHAnsi"/>
        </w:rPr>
      </w:pPr>
      <w:r w:rsidRPr="00D76B1F">
        <w:rPr>
          <w:rFonts w:eastAsia="Times New Roman" w:cstheme="minorHAnsi"/>
          <w:i/>
          <w:iCs/>
          <w:bdr w:val="none" w:sz="0" w:space="0" w:color="auto" w:frame="1"/>
        </w:rPr>
        <w:t>All documents are listed alphabetically within each document category</w:t>
      </w:r>
      <w:r w:rsidRPr="00D76B1F">
        <w:rPr>
          <w:rFonts w:eastAsia="Times New Roman" w:cstheme="minorHAnsi"/>
        </w:rPr>
        <w:t>  </w:t>
      </w:r>
    </w:p>
    <w:p w14:paraId="5D188EBA" w14:textId="4F87F431" w:rsidR="005E3E4F" w:rsidRPr="00261B3E" w:rsidRDefault="005E3E4F" w:rsidP="006C3F23">
      <w:pPr>
        <w:spacing w:line="480" w:lineRule="auto"/>
        <w:textAlignment w:val="baseline"/>
        <w:rPr>
          <w:rFonts w:eastAsia="Times New Roman" w:cstheme="minorHAnsi"/>
          <w:b/>
          <w:bCs/>
          <w:bdr w:val="none" w:sz="0" w:space="0" w:color="auto" w:frame="1"/>
        </w:rPr>
      </w:pPr>
      <w:r w:rsidRPr="00D76B1F">
        <w:rPr>
          <w:rFonts w:eastAsia="Times New Roman" w:cstheme="minorHAnsi"/>
        </w:rPr>
        <w:br/>
      </w:r>
      <w:r w:rsidRPr="00D76B1F">
        <w:rPr>
          <w:rFonts w:eastAsia="Times New Roman" w:cstheme="minorHAnsi"/>
          <w:b/>
          <w:bCs/>
          <w:bdr w:val="none" w:sz="0" w:space="0" w:color="auto" w:frame="1"/>
        </w:rPr>
        <w:t>Executive Overviews</w:t>
      </w:r>
      <w:r w:rsidRPr="00D76B1F">
        <w:rPr>
          <w:rFonts w:eastAsia="Times New Roman" w:cstheme="minorHAnsi"/>
        </w:rPr>
        <w:br/>
      </w:r>
      <w:r w:rsidRPr="00D76B1F">
        <w:rPr>
          <w:rFonts w:eastAsia="Times New Roman" w:cstheme="minorHAnsi"/>
          <w:i/>
          <w:iCs/>
          <w:bdr w:val="none" w:sz="0" w:space="0" w:color="auto" w:frame="1"/>
        </w:rPr>
        <w:t>One-page snapshots of key concepts and issues</w:t>
      </w:r>
    </w:p>
    <w:p w14:paraId="12285555" w14:textId="2D441C2D" w:rsidR="005E3E4F" w:rsidRPr="006E0594" w:rsidRDefault="006E0594" w:rsidP="00261B3E">
      <w:pPr>
        <w:pStyle w:val="ListParagraph"/>
        <w:numPr>
          <w:ilvl w:val="0"/>
          <w:numId w:val="10"/>
        </w:numPr>
        <w:spacing w:line="480" w:lineRule="auto"/>
        <w:textAlignment w:val="baseline"/>
        <w:rPr>
          <w:rStyle w:val="Hyperlink"/>
          <w:rFonts w:eastAsia="Times New Roman" w:cstheme="minorHAnsi"/>
        </w:rPr>
      </w:pPr>
      <w:r>
        <w:rPr>
          <w:rFonts w:eastAsia="Times New Roman" w:cstheme="minorHAnsi"/>
          <w:color w:val="4472C4" w:themeColor="accent1"/>
          <w:u w:val="single"/>
          <w:bdr w:val="none" w:sz="0" w:space="0" w:color="auto" w:frame="1"/>
        </w:rPr>
        <w:fldChar w:fldCharType="begin"/>
      </w:r>
      <w:r>
        <w:rPr>
          <w:rFonts w:eastAsia="Times New Roman" w:cstheme="minorHAnsi"/>
          <w:color w:val="4472C4" w:themeColor="accent1"/>
          <w:u w:val="single"/>
          <w:bdr w:val="none" w:sz="0" w:space="0" w:color="auto" w:frame="1"/>
        </w:rPr>
        <w:instrText xml:space="preserve"> HYPERLINK  \l "SOP_KeyCncpts_EO" \o "Scope of Practice Key Issues and Concepts" </w:instrText>
      </w:r>
      <w:r>
        <w:rPr>
          <w:rFonts w:eastAsia="Times New Roman" w:cstheme="minorHAnsi"/>
          <w:color w:val="4472C4" w:themeColor="accent1"/>
          <w:u w:val="single"/>
          <w:bdr w:val="none" w:sz="0" w:space="0" w:color="auto" w:frame="1"/>
        </w:rPr>
      </w:r>
      <w:r>
        <w:rPr>
          <w:rFonts w:eastAsia="Times New Roman" w:cstheme="minorHAnsi"/>
          <w:color w:val="4472C4" w:themeColor="accent1"/>
          <w:u w:val="single"/>
          <w:bdr w:val="none" w:sz="0" w:space="0" w:color="auto" w:frame="1"/>
        </w:rPr>
        <w:fldChar w:fldCharType="separate"/>
      </w:r>
      <w:r w:rsidR="005E3E4F" w:rsidRPr="006E0594">
        <w:rPr>
          <w:rStyle w:val="Hyperlink"/>
          <w:rFonts w:eastAsia="Times New Roman" w:cstheme="minorHAnsi"/>
          <w:bdr w:val="none" w:sz="0" w:space="0" w:color="auto" w:frame="1"/>
        </w:rPr>
        <w:t>Scope of Practic</w:t>
      </w:r>
      <w:r w:rsidR="005E3E4F" w:rsidRPr="006E0594">
        <w:rPr>
          <w:rStyle w:val="Hyperlink"/>
          <w:rFonts w:eastAsia="Times New Roman" w:cstheme="minorHAnsi"/>
          <w:bdr w:val="none" w:sz="0" w:space="0" w:color="auto" w:frame="1"/>
        </w:rPr>
        <w:t>e</w:t>
      </w:r>
      <w:r w:rsidR="005E3E4F" w:rsidRPr="006E0594">
        <w:rPr>
          <w:rStyle w:val="Hyperlink"/>
          <w:rFonts w:eastAsia="Times New Roman" w:cstheme="minorHAnsi"/>
          <w:bdr w:val="none" w:sz="0" w:space="0" w:color="auto" w:frame="1"/>
        </w:rPr>
        <w:t xml:space="preserve"> Key Issues and Concepts</w:t>
      </w:r>
    </w:p>
    <w:p w14:paraId="185AE508" w14:textId="56E8518E" w:rsidR="008B1871" w:rsidRPr="00D76B1F" w:rsidRDefault="006E0594" w:rsidP="006C3F23">
      <w:pPr>
        <w:spacing w:line="480" w:lineRule="auto"/>
        <w:textAlignment w:val="baseline"/>
        <w:rPr>
          <w:rFonts w:eastAsia="Times New Roman" w:cstheme="minorHAnsi"/>
          <w:b/>
          <w:bCs/>
          <w:bdr w:val="none" w:sz="0" w:space="0" w:color="auto" w:frame="1"/>
        </w:rPr>
      </w:pPr>
      <w:r>
        <w:rPr>
          <w:rFonts w:eastAsia="Times New Roman" w:cstheme="minorHAnsi"/>
          <w:color w:val="4472C4" w:themeColor="accent1"/>
          <w:u w:val="single"/>
          <w:bdr w:val="none" w:sz="0" w:space="0" w:color="auto" w:frame="1"/>
        </w:rPr>
        <w:fldChar w:fldCharType="end"/>
      </w:r>
    </w:p>
    <w:p w14:paraId="305E569A" w14:textId="563A5EFD"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Fact Sheets</w:t>
      </w:r>
      <w:r w:rsidRPr="00D76B1F">
        <w:rPr>
          <w:rFonts w:eastAsia="Times New Roman" w:cstheme="minorHAnsi"/>
        </w:rPr>
        <w:br/>
      </w:r>
      <w:r w:rsidRPr="00D76B1F">
        <w:rPr>
          <w:rFonts w:eastAsia="Times New Roman" w:cstheme="minorHAnsi"/>
          <w:i/>
          <w:iCs/>
          <w:bdr w:val="none" w:sz="0" w:space="0" w:color="auto" w:frame="1"/>
        </w:rPr>
        <w:t>Short documents addressing fundamental issues or legal authorities</w:t>
      </w:r>
    </w:p>
    <w:p w14:paraId="2E2D18AE" w14:textId="4F724684" w:rsidR="005E3E4F" w:rsidRPr="006E0594" w:rsidRDefault="006E0594" w:rsidP="00261B3E">
      <w:pPr>
        <w:pStyle w:val="ListParagraph"/>
        <w:numPr>
          <w:ilvl w:val="0"/>
          <w:numId w:val="10"/>
        </w:numPr>
        <w:spacing w:line="480" w:lineRule="auto"/>
        <w:textAlignment w:val="baseline"/>
        <w:rPr>
          <w:rStyle w:val="Hyperlink"/>
          <w:rFonts w:eastAsia="Times New Roman" w:cstheme="minorHAnsi"/>
        </w:rPr>
      </w:pPr>
      <w:r>
        <w:rPr>
          <w:rFonts w:eastAsia="Times New Roman" w:cstheme="minorHAnsi"/>
          <w:color w:val="4472C4" w:themeColor="accent1"/>
          <w:u w:val="single"/>
          <w:bdr w:val="none" w:sz="0" w:space="0" w:color="auto" w:frame="1"/>
        </w:rPr>
        <w:fldChar w:fldCharType="begin"/>
      </w:r>
      <w:r>
        <w:rPr>
          <w:rFonts w:eastAsia="Times New Roman" w:cstheme="minorHAnsi"/>
          <w:color w:val="4472C4" w:themeColor="accent1"/>
          <w:u w:val="single"/>
          <w:bdr w:val="none" w:sz="0" w:space="0" w:color="auto" w:frame="1"/>
        </w:rPr>
        <w:instrText xml:space="preserve"> HYPERLINK  \l "ModifiedSOP_FS" \o "Modified Scope of Practice Used by States in the 2009 H1N1 Influenza Pandemic" </w:instrText>
      </w:r>
      <w:r>
        <w:rPr>
          <w:rFonts w:eastAsia="Times New Roman" w:cstheme="minorHAnsi"/>
          <w:color w:val="4472C4" w:themeColor="accent1"/>
          <w:u w:val="single"/>
          <w:bdr w:val="none" w:sz="0" w:space="0" w:color="auto" w:frame="1"/>
        </w:rPr>
      </w:r>
      <w:r>
        <w:rPr>
          <w:rFonts w:eastAsia="Times New Roman" w:cstheme="minorHAnsi"/>
          <w:color w:val="4472C4" w:themeColor="accent1"/>
          <w:u w:val="single"/>
          <w:bdr w:val="none" w:sz="0" w:space="0" w:color="auto" w:frame="1"/>
        </w:rPr>
        <w:fldChar w:fldCharType="separate"/>
      </w:r>
      <w:r w:rsidR="005E3E4F" w:rsidRPr="006E0594">
        <w:rPr>
          <w:rStyle w:val="Hyperlink"/>
          <w:rFonts w:eastAsia="Times New Roman" w:cstheme="minorHAnsi"/>
          <w:bdr w:val="none" w:sz="0" w:space="0" w:color="auto" w:frame="1"/>
        </w:rPr>
        <w:t xml:space="preserve">Modified Scope of Practice Used by States in the 2009 H1N1 </w:t>
      </w:r>
      <w:r w:rsidR="005E3E4F" w:rsidRPr="006E0594">
        <w:rPr>
          <w:rStyle w:val="Hyperlink"/>
          <w:rFonts w:eastAsia="Times New Roman" w:cstheme="minorHAnsi"/>
          <w:bdr w:val="none" w:sz="0" w:space="0" w:color="auto" w:frame="1"/>
        </w:rPr>
        <w:t>I</w:t>
      </w:r>
      <w:r w:rsidR="005E3E4F" w:rsidRPr="006E0594">
        <w:rPr>
          <w:rStyle w:val="Hyperlink"/>
          <w:rFonts w:eastAsia="Times New Roman" w:cstheme="minorHAnsi"/>
          <w:bdr w:val="none" w:sz="0" w:space="0" w:color="auto" w:frame="1"/>
        </w:rPr>
        <w:t>nfluenza Pandemic</w:t>
      </w:r>
    </w:p>
    <w:p w14:paraId="131890AC" w14:textId="23EA606D" w:rsidR="005E3E4F" w:rsidRPr="00944745" w:rsidRDefault="006E0594" w:rsidP="00261B3E">
      <w:pPr>
        <w:pStyle w:val="ListParagraph"/>
        <w:numPr>
          <w:ilvl w:val="0"/>
          <w:numId w:val="10"/>
        </w:numPr>
        <w:spacing w:line="480" w:lineRule="auto"/>
        <w:textAlignment w:val="baseline"/>
        <w:rPr>
          <w:rStyle w:val="Hyperlink"/>
          <w:rFonts w:eastAsia="Times New Roman" w:cstheme="minorHAnsi"/>
        </w:rPr>
      </w:pPr>
      <w:r>
        <w:rPr>
          <w:rFonts w:eastAsia="Times New Roman" w:cstheme="minorHAnsi"/>
          <w:color w:val="4472C4" w:themeColor="accent1"/>
          <w:u w:val="single"/>
          <w:bdr w:val="none" w:sz="0" w:space="0" w:color="auto" w:frame="1"/>
        </w:rPr>
        <w:fldChar w:fldCharType="end"/>
      </w:r>
      <w:r w:rsidR="00944745">
        <w:rPr>
          <w:rFonts w:eastAsia="Times New Roman" w:cstheme="minorHAnsi"/>
          <w:color w:val="4472C4" w:themeColor="accent1"/>
          <w:u w:val="single"/>
          <w:bdr w:val="none" w:sz="0" w:space="0" w:color="auto" w:frame="1"/>
        </w:rPr>
        <w:fldChar w:fldCharType="begin"/>
      </w:r>
      <w:r w:rsidR="00944745">
        <w:rPr>
          <w:rFonts w:eastAsia="Times New Roman" w:cstheme="minorHAnsi"/>
          <w:color w:val="4472C4" w:themeColor="accent1"/>
          <w:u w:val="single"/>
          <w:bdr w:val="none" w:sz="0" w:space="0" w:color="auto" w:frame="1"/>
        </w:rPr>
        <w:instrText xml:space="preserve"> HYPERLINK  \l "SOP_Isssues_FS" \o "Scope of Practice Issues in Public Health Emergencies" </w:instrText>
      </w:r>
      <w:r w:rsidR="00944745">
        <w:rPr>
          <w:rFonts w:eastAsia="Times New Roman" w:cstheme="minorHAnsi"/>
          <w:color w:val="4472C4" w:themeColor="accent1"/>
          <w:u w:val="single"/>
          <w:bdr w:val="none" w:sz="0" w:space="0" w:color="auto" w:frame="1"/>
        </w:rPr>
      </w:r>
      <w:r w:rsidR="00944745">
        <w:rPr>
          <w:rFonts w:eastAsia="Times New Roman" w:cstheme="minorHAnsi"/>
          <w:color w:val="4472C4" w:themeColor="accent1"/>
          <w:u w:val="single"/>
          <w:bdr w:val="none" w:sz="0" w:space="0" w:color="auto" w:frame="1"/>
        </w:rPr>
        <w:fldChar w:fldCharType="separate"/>
      </w:r>
      <w:r w:rsidR="005E3E4F" w:rsidRPr="00944745">
        <w:rPr>
          <w:rStyle w:val="Hyperlink"/>
          <w:rFonts w:eastAsia="Times New Roman" w:cstheme="minorHAnsi"/>
          <w:bdr w:val="none" w:sz="0" w:space="0" w:color="auto" w:frame="1"/>
        </w:rPr>
        <w:t>Scope of Practice Issues in Public Health E</w:t>
      </w:r>
      <w:r w:rsidR="005E3E4F" w:rsidRPr="00944745">
        <w:rPr>
          <w:rStyle w:val="Hyperlink"/>
          <w:rFonts w:eastAsia="Times New Roman" w:cstheme="minorHAnsi"/>
          <w:bdr w:val="none" w:sz="0" w:space="0" w:color="auto" w:frame="1"/>
        </w:rPr>
        <w:t>m</w:t>
      </w:r>
      <w:r w:rsidR="005E3E4F" w:rsidRPr="00944745">
        <w:rPr>
          <w:rStyle w:val="Hyperlink"/>
          <w:rFonts w:eastAsia="Times New Roman" w:cstheme="minorHAnsi"/>
          <w:bdr w:val="none" w:sz="0" w:space="0" w:color="auto" w:frame="1"/>
        </w:rPr>
        <w:t>ergencies</w:t>
      </w:r>
    </w:p>
    <w:p w14:paraId="3072D893" w14:textId="2036CDE0" w:rsidR="005E3E4F" w:rsidRPr="006D213F" w:rsidRDefault="00944745" w:rsidP="00261B3E">
      <w:pPr>
        <w:pStyle w:val="ListParagraph"/>
        <w:numPr>
          <w:ilvl w:val="0"/>
          <w:numId w:val="10"/>
        </w:numPr>
        <w:spacing w:line="480" w:lineRule="auto"/>
        <w:textAlignment w:val="baseline"/>
        <w:rPr>
          <w:rStyle w:val="Hyperlink"/>
          <w:rFonts w:eastAsia="Times New Roman" w:cstheme="minorHAnsi"/>
        </w:rPr>
      </w:pPr>
      <w:r>
        <w:rPr>
          <w:rFonts w:eastAsia="Times New Roman" w:cstheme="minorHAnsi"/>
          <w:color w:val="4472C4" w:themeColor="accent1"/>
          <w:u w:val="single"/>
          <w:bdr w:val="none" w:sz="0" w:space="0" w:color="auto" w:frame="1"/>
        </w:rPr>
        <w:fldChar w:fldCharType="end"/>
      </w:r>
      <w:r w:rsidR="006D213F">
        <w:rPr>
          <w:rFonts w:eastAsia="Times New Roman" w:cstheme="minorHAnsi"/>
          <w:color w:val="4472C4" w:themeColor="accent1"/>
          <w:u w:val="single"/>
          <w:bdr w:val="none" w:sz="0" w:space="0" w:color="auto" w:frame="1"/>
        </w:rPr>
        <w:fldChar w:fldCharType="begin"/>
      </w:r>
      <w:r w:rsidR="006D213F">
        <w:rPr>
          <w:rFonts w:eastAsia="Times New Roman" w:cstheme="minorHAnsi"/>
          <w:color w:val="4472C4" w:themeColor="accent1"/>
          <w:u w:val="single"/>
          <w:bdr w:val="none" w:sz="0" w:space="0" w:color="auto" w:frame="1"/>
        </w:rPr>
        <w:instrText xml:space="preserve"> HYPERLINK  \l "LicensingCred_FS" \o "Understanding Licensing, Credentialing, Certification, and Privileging" </w:instrText>
      </w:r>
      <w:r w:rsidR="006D213F">
        <w:rPr>
          <w:rFonts w:eastAsia="Times New Roman" w:cstheme="minorHAnsi"/>
          <w:color w:val="4472C4" w:themeColor="accent1"/>
          <w:u w:val="single"/>
          <w:bdr w:val="none" w:sz="0" w:space="0" w:color="auto" w:frame="1"/>
        </w:rPr>
      </w:r>
      <w:r w:rsidR="006D213F">
        <w:rPr>
          <w:rFonts w:eastAsia="Times New Roman" w:cstheme="minorHAnsi"/>
          <w:color w:val="4472C4" w:themeColor="accent1"/>
          <w:u w:val="single"/>
          <w:bdr w:val="none" w:sz="0" w:space="0" w:color="auto" w:frame="1"/>
        </w:rPr>
        <w:fldChar w:fldCharType="separate"/>
      </w:r>
      <w:r w:rsidR="005E3E4F" w:rsidRPr="006D213F">
        <w:rPr>
          <w:rStyle w:val="Hyperlink"/>
          <w:rFonts w:eastAsia="Times New Roman" w:cstheme="minorHAnsi"/>
          <w:bdr w:val="none" w:sz="0" w:space="0" w:color="auto" w:frame="1"/>
        </w:rPr>
        <w:t>Understanding Licensing, Credentialing, Certification</w:t>
      </w:r>
      <w:r w:rsidR="005E3E4F" w:rsidRPr="006D213F">
        <w:rPr>
          <w:rStyle w:val="Hyperlink"/>
          <w:rFonts w:eastAsia="Times New Roman" w:cstheme="minorHAnsi"/>
          <w:bdr w:val="none" w:sz="0" w:space="0" w:color="auto" w:frame="1"/>
        </w:rPr>
        <w:t>,</w:t>
      </w:r>
      <w:r w:rsidR="005E3E4F" w:rsidRPr="006D213F">
        <w:rPr>
          <w:rStyle w:val="Hyperlink"/>
          <w:rFonts w:eastAsia="Times New Roman" w:cstheme="minorHAnsi"/>
          <w:bdr w:val="none" w:sz="0" w:space="0" w:color="auto" w:frame="1"/>
        </w:rPr>
        <w:t xml:space="preserve"> and Privileging</w:t>
      </w:r>
    </w:p>
    <w:p w14:paraId="16B4C584" w14:textId="768A44F7" w:rsidR="008B1871" w:rsidRPr="00D76B1F" w:rsidRDefault="006D213F" w:rsidP="006C3F23">
      <w:pPr>
        <w:spacing w:line="480" w:lineRule="auto"/>
        <w:textAlignment w:val="baseline"/>
        <w:rPr>
          <w:rFonts w:eastAsia="Times New Roman" w:cstheme="minorHAnsi"/>
          <w:b/>
          <w:bCs/>
          <w:bdr w:val="none" w:sz="0" w:space="0" w:color="auto" w:frame="1"/>
        </w:rPr>
      </w:pPr>
      <w:r>
        <w:rPr>
          <w:rFonts w:eastAsia="Times New Roman" w:cstheme="minorHAnsi"/>
          <w:color w:val="4472C4" w:themeColor="accent1"/>
          <w:u w:val="single"/>
          <w:bdr w:val="none" w:sz="0" w:space="0" w:color="auto" w:frame="1"/>
        </w:rPr>
        <w:fldChar w:fldCharType="end"/>
      </w:r>
    </w:p>
    <w:p w14:paraId="40EB3AD2" w14:textId="72112491"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Issue Briefs</w:t>
      </w:r>
      <w:r w:rsidRPr="00D76B1F">
        <w:rPr>
          <w:rFonts w:eastAsia="Times New Roman" w:cstheme="minorHAnsi"/>
        </w:rPr>
        <w:br/>
      </w:r>
      <w:r w:rsidRPr="00D76B1F">
        <w:rPr>
          <w:rFonts w:eastAsia="Times New Roman" w:cstheme="minorHAnsi"/>
          <w:i/>
          <w:iCs/>
          <w:bdr w:val="none" w:sz="0" w:space="0" w:color="auto" w:frame="1"/>
        </w:rPr>
        <w:t>In-depth information and analyses of fundamental issues</w:t>
      </w:r>
    </w:p>
    <w:p w14:paraId="1B3C65B4" w14:textId="77777777" w:rsidR="005E3E4F" w:rsidRPr="00261B3E" w:rsidRDefault="005E3E4F" w:rsidP="00261B3E">
      <w:pPr>
        <w:pStyle w:val="ListParagraph"/>
        <w:numPr>
          <w:ilvl w:val="0"/>
          <w:numId w:val="11"/>
        </w:numPr>
        <w:spacing w:line="480" w:lineRule="auto"/>
        <w:textAlignment w:val="baseline"/>
        <w:rPr>
          <w:rFonts w:eastAsia="Times New Roman" w:cstheme="minorHAnsi"/>
        </w:rPr>
      </w:pPr>
      <w:r w:rsidRPr="00261B3E">
        <w:rPr>
          <w:rFonts w:eastAsia="Times New Roman" w:cstheme="minorHAnsi"/>
        </w:rPr>
        <w:t>No issue briefs in the toolkit currently</w:t>
      </w:r>
    </w:p>
    <w:p w14:paraId="0D0A23F2" w14:textId="77777777" w:rsidR="008B1871" w:rsidRPr="00D76B1F" w:rsidRDefault="008B1871" w:rsidP="006C3F23">
      <w:pPr>
        <w:spacing w:line="480" w:lineRule="auto"/>
        <w:textAlignment w:val="baseline"/>
        <w:rPr>
          <w:rFonts w:eastAsia="Times New Roman" w:cstheme="minorHAnsi"/>
          <w:b/>
          <w:bCs/>
          <w:bdr w:val="none" w:sz="0" w:space="0" w:color="auto" w:frame="1"/>
        </w:rPr>
      </w:pPr>
    </w:p>
    <w:p w14:paraId="771674F1" w14:textId="300A0FBA"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State Analysis Guides</w:t>
      </w:r>
      <w:r w:rsidRPr="00D76B1F">
        <w:rPr>
          <w:rFonts w:eastAsia="Times New Roman" w:cstheme="minorHAnsi"/>
        </w:rPr>
        <w:br/>
      </w:r>
      <w:r w:rsidRPr="00D76B1F">
        <w:rPr>
          <w:rFonts w:eastAsia="Times New Roman" w:cstheme="minorHAnsi"/>
          <w:i/>
          <w:iCs/>
          <w:bdr w:val="none" w:sz="0" w:space="0" w:color="auto" w:frame="1"/>
        </w:rPr>
        <w:t>Aids to assist states in identifying and analyzing their own statutes, regulations, and policies</w:t>
      </w:r>
    </w:p>
    <w:p w14:paraId="3391377D" w14:textId="21616D3F" w:rsidR="005E3E4F" w:rsidRPr="006D213F" w:rsidRDefault="006D213F" w:rsidP="00261B3E">
      <w:pPr>
        <w:pStyle w:val="ListParagraph"/>
        <w:numPr>
          <w:ilvl w:val="0"/>
          <w:numId w:val="11"/>
        </w:numPr>
        <w:spacing w:line="480" w:lineRule="auto"/>
        <w:textAlignment w:val="baseline"/>
        <w:rPr>
          <w:rStyle w:val="Hyperlink"/>
          <w:rFonts w:eastAsia="Times New Roman" w:cstheme="minorHAnsi"/>
        </w:rPr>
      </w:pPr>
      <w:r>
        <w:rPr>
          <w:rFonts w:eastAsia="Times New Roman" w:cstheme="minorHAnsi"/>
          <w:color w:val="4472C4" w:themeColor="accent1"/>
          <w:u w:val="single"/>
          <w:bdr w:val="none" w:sz="0" w:space="0" w:color="auto" w:frame="1"/>
        </w:rPr>
        <w:fldChar w:fldCharType="begin"/>
      </w:r>
      <w:r>
        <w:rPr>
          <w:rFonts w:eastAsia="Times New Roman" w:cstheme="minorHAnsi"/>
          <w:color w:val="4472C4" w:themeColor="accent1"/>
          <w:u w:val="single"/>
          <w:bdr w:val="none" w:sz="0" w:space="0" w:color="auto" w:frame="1"/>
        </w:rPr>
        <w:instrText xml:space="preserve"> HYPERLINK  \l "SOP_SAG" \o "Scope of Practice Issues" </w:instrText>
      </w:r>
      <w:r>
        <w:rPr>
          <w:rFonts w:eastAsia="Times New Roman" w:cstheme="minorHAnsi"/>
          <w:color w:val="4472C4" w:themeColor="accent1"/>
          <w:u w:val="single"/>
          <w:bdr w:val="none" w:sz="0" w:space="0" w:color="auto" w:frame="1"/>
        </w:rPr>
      </w:r>
      <w:r>
        <w:rPr>
          <w:rFonts w:eastAsia="Times New Roman" w:cstheme="minorHAnsi"/>
          <w:color w:val="4472C4" w:themeColor="accent1"/>
          <w:u w:val="single"/>
          <w:bdr w:val="none" w:sz="0" w:space="0" w:color="auto" w:frame="1"/>
        </w:rPr>
        <w:fldChar w:fldCharType="separate"/>
      </w:r>
      <w:r w:rsidR="005E3E4F" w:rsidRPr="006D213F">
        <w:rPr>
          <w:rStyle w:val="Hyperlink"/>
          <w:rFonts w:eastAsia="Times New Roman" w:cstheme="minorHAnsi"/>
          <w:bdr w:val="none" w:sz="0" w:space="0" w:color="auto" w:frame="1"/>
        </w:rPr>
        <w:t xml:space="preserve">Scope of Practice </w:t>
      </w:r>
      <w:r w:rsidR="005E3E4F" w:rsidRPr="006D213F">
        <w:rPr>
          <w:rStyle w:val="Hyperlink"/>
          <w:rFonts w:eastAsia="Times New Roman" w:cstheme="minorHAnsi"/>
          <w:bdr w:val="none" w:sz="0" w:space="0" w:color="auto" w:frame="1"/>
        </w:rPr>
        <w:t>I</w:t>
      </w:r>
      <w:r w:rsidR="005E3E4F" w:rsidRPr="006D213F">
        <w:rPr>
          <w:rStyle w:val="Hyperlink"/>
          <w:rFonts w:eastAsia="Times New Roman" w:cstheme="minorHAnsi"/>
          <w:bdr w:val="none" w:sz="0" w:space="0" w:color="auto" w:frame="1"/>
        </w:rPr>
        <w:t>ssues</w:t>
      </w:r>
      <w:r w:rsidR="005E3E4F" w:rsidRPr="006D213F">
        <w:rPr>
          <w:rStyle w:val="Hyperlink"/>
          <w:rFonts w:eastAsia="Times New Roman" w:cstheme="minorHAnsi"/>
        </w:rPr>
        <w:t> </w:t>
      </w:r>
    </w:p>
    <w:p w14:paraId="17DD32AC" w14:textId="7DEBE6C2" w:rsidR="008B1871" w:rsidRPr="00D76B1F" w:rsidRDefault="006D213F" w:rsidP="006C3F23">
      <w:pPr>
        <w:spacing w:line="480" w:lineRule="auto"/>
        <w:textAlignment w:val="baseline"/>
        <w:rPr>
          <w:rFonts w:eastAsia="Times New Roman" w:cstheme="minorHAnsi"/>
          <w:b/>
          <w:bCs/>
          <w:bdr w:val="none" w:sz="0" w:space="0" w:color="auto" w:frame="1"/>
        </w:rPr>
      </w:pPr>
      <w:r>
        <w:rPr>
          <w:rFonts w:eastAsia="Times New Roman" w:cstheme="minorHAnsi"/>
          <w:color w:val="4472C4" w:themeColor="accent1"/>
          <w:u w:val="single"/>
          <w:bdr w:val="none" w:sz="0" w:space="0" w:color="auto" w:frame="1"/>
        </w:rPr>
        <w:fldChar w:fldCharType="end"/>
      </w:r>
    </w:p>
    <w:p w14:paraId="650A8CA7" w14:textId="5911B86E"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Current Issues and Updates</w:t>
      </w:r>
      <w:r w:rsidRPr="00D76B1F">
        <w:rPr>
          <w:rFonts w:eastAsia="Times New Roman" w:cstheme="minorHAnsi"/>
        </w:rPr>
        <w:br/>
      </w:r>
      <w:r w:rsidRPr="00D76B1F">
        <w:rPr>
          <w:rFonts w:eastAsia="Times New Roman" w:cstheme="minorHAnsi"/>
          <w:i/>
          <w:iCs/>
          <w:bdr w:val="none" w:sz="0" w:space="0" w:color="auto" w:frame="1"/>
        </w:rPr>
        <w:t>Periodic updates on new and evolving issues</w:t>
      </w:r>
    </w:p>
    <w:p w14:paraId="60C2BF21" w14:textId="77777777" w:rsidR="005E3E4F" w:rsidRPr="00261B3E" w:rsidRDefault="005E3E4F" w:rsidP="00261B3E">
      <w:pPr>
        <w:pStyle w:val="ListParagraph"/>
        <w:numPr>
          <w:ilvl w:val="0"/>
          <w:numId w:val="11"/>
        </w:numPr>
        <w:spacing w:line="480" w:lineRule="auto"/>
        <w:textAlignment w:val="baseline"/>
        <w:rPr>
          <w:rFonts w:eastAsia="Times New Roman" w:cstheme="minorHAnsi"/>
        </w:rPr>
      </w:pPr>
      <w:r w:rsidRPr="00261B3E">
        <w:rPr>
          <w:rFonts w:eastAsia="Times New Roman" w:cstheme="minorHAnsi"/>
        </w:rPr>
        <w:t>No updates in the toolkit currently</w:t>
      </w:r>
    </w:p>
    <w:p w14:paraId="0A21BEBA" w14:textId="77777777" w:rsidR="008B1871" w:rsidRPr="00D76B1F" w:rsidRDefault="008B1871" w:rsidP="006C3F23">
      <w:pPr>
        <w:spacing w:line="480" w:lineRule="auto"/>
        <w:textAlignment w:val="baseline"/>
        <w:rPr>
          <w:rFonts w:eastAsia="Times New Roman" w:cstheme="minorHAnsi"/>
          <w:b/>
          <w:bCs/>
          <w:bdr w:val="none" w:sz="0" w:space="0" w:color="auto" w:frame="1"/>
        </w:rPr>
      </w:pPr>
    </w:p>
    <w:p w14:paraId="2A2B3460" w14:textId="1BEDBABE" w:rsidR="005E3E4F" w:rsidRPr="00D76B1F" w:rsidRDefault="005E3E4F" w:rsidP="006C3F23">
      <w:pPr>
        <w:spacing w:line="480" w:lineRule="auto"/>
        <w:textAlignment w:val="baseline"/>
        <w:rPr>
          <w:rFonts w:eastAsia="Times New Roman" w:cstheme="minorHAnsi"/>
        </w:rPr>
      </w:pPr>
      <w:r w:rsidRPr="00D76B1F">
        <w:rPr>
          <w:rFonts w:eastAsia="Times New Roman" w:cstheme="minorHAnsi"/>
          <w:b/>
          <w:bCs/>
          <w:bdr w:val="none" w:sz="0" w:space="0" w:color="auto" w:frame="1"/>
        </w:rPr>
        <w:t>Resource Materials</w:t>
      </w:r>
      <w:r w:rsidRPr="00D76B1F">
        <w:rPr>
          <w:rFonts w:eastAsia="Times New Roman" w:cstheme="minorHAnsi"/>
        </w:rPr>
        <w:br/>
      </w:r>
      <w:r w:rsidRPr="00D76B1F">
        <w:rPr>
          <w:rFonts w:eastAsia="Times New Roman" w:cstheme="minorHAnsi"/>
          <w:i/>
          <w:iCs/>
          <w:bdr w:val="none" w:sz="0" w:space="0" w:color="auto" w:frame="1"/>
        </w:rPr>
        <w:t>Bibliographies and links to key agencies, organizations, laws, and other documents</w:t>
      </w:r>
    </w:p>
    <w:p w14:paraId="5685031E" w14:textId="7EA61CF4" w:rsidR="005E3E4F" w:rsidRPr="006D213F" w:rsidRDefault="006D213F" w:rsidP="00261B3E">
      <w:pPr>
        <w:pStyle w:val="ListParagraph"/>
        <w:numPr>
          <w:ilvl w:val="0"/>
          <w:numId w:val="11"/>
        </w:numPr>
        <w:spacing w:line="480" w:lineRule="auto"/>
        <w:textAlignment w:val="baseline"/>
        <w:rPr>
          <w:rStyle w:val="Hyperlink"/>
          <w:rFonts w:eastAsia="Times New Roman" w:cstheme="minorHAnsi"/>
        </w:rPr>
      </w:pPr>
      <w:r>
        <w:rPr>
          <w:rFonts w:eastAsia="Times New Roman" w:cstheme="minorHAnsi"/>
          <w:color w:val="4472C4" w:themeColor="accent1"/>
          <w:u w:val="single"/>
          <w:bdr w:val="none" w:sz="0" w:space="0" w:color="auto" w:frame="1"/>
        </w:rPr>
        <w:fldChar w:fldCharType="begin"/>
      </w:r>
      <w:r>
        <w:rPr>
          <w:rFonts w:eastAsia="Times New Roman" w:cstheme="minorHAnsi"/>
          <w:color w:val="4472C4" w:themeColor="accent1"/>
          <w:u w:val="single"/>
          <w:bdr w:val="none" w:sz="0" w:space="0" w:color="auto" w:frame="1"/>
        </w:rPr>
        <w:instrText xml:space="preserve"> HYPERLINK  \l "SuppMats" \o "Scope of Practice Supplemental Materials" </w:instrText>
      </w:r>
      <w:r>
        <w:rPr>
          <w:rFonts w:eastAsia="Times New Roman" w:cstheme="minorHAnsi"/>
          <w:color w:val="4472C4" w:themeColor="accent1"/>
          <w:u w:val="single"/>
          <w:bdr w:val="none" w:sz="0" w:space="0" w:color="auto" w:frame="1"/>
        </w:rPr>
      </w:r>
      <w:r>
        <w:rPr>
          <w:rFonts w:eastAsia="Times New Roman" w:cstheme="minorHAnsi"/>
          <w:color w:val="4472C4" w:themeColor="accent1"/>
          <w:u w:val="single"/>
          <w:bdr w:val="none" w:sz="0" w:space="0" w:color="auto" w:frame="1"/>
        </w:rPr>
        <w:fldChar w:fldCharType="separate"/>
      </w:r>
      <w:r w:rsidR="005E3E4F" w:rsidRPr="006D213F">
        <w:rPr>
          <w:rStyle w:val="Hyperlink"/>
          <w:rFonts w:eastAsia="Times New Roman" w:cstheme="minorHAnsi"/>
          <w:bdr w:val="none" w:sz="0" w:space="0" w:color="auto" w:frame="1"/>
        </w:rPr>
        <w:t xml:space="preserve">Scope of Practice Supplemental </w:t>
      </w:r>
      <w:r w:rsidR="005E3E4F" w:rsidRPr="006D213F">
        <w:rPr>
          <w:rStyle w:val="Hyperlink"/>
          <w:rFonts w:eastAsia="Times New Roman" w:cstheme="minorHAnsi"/>
          <w:bdr w:val="none" w:sz="0" w:space="0" w:color="auto" w:frame="1"/>
        </w:rPr>
        <w:t>M</w:t>
      </w:r>
      <w:r w:rsidR="005E3E4F" w:rsidRPr="006D213F">
        <w:rPr>
          <w:rStyle w:val="Hyperlink"/>
          <w:rFonts w:eastAsia="Times New Roman" w:cstheme="minorHAnsi"/>
          <w:bdr w:val="none" w:sz="0" w:space="0" w:color="auto" w:frame="1"/>
        </w:rPr>
        <w:t>aterials</w:t>
      </w:r>
    </w:p>
    <w:p w14:paraId="47D5713C" w14:textId="6EC93817" w:rsidR="005E3E4F" w:rsidRPr="00D76B1F" w:rsidRDefault="006D213F" w:rsidP="006C3F23">
      <w:pPr>
        <w:spacing w:after="225" w:line="480" w:lineRule="auto"/>
        <w:textAlignment w:val="baseline"/>
        <w:rPr>
          <w:rFonts w:eastAsia="Times New Roman" w:cstheme="minorHAnsi"/>
        </w:rPr>
      </w:pPr>
      <w:r>
        <w:rPr>
          <w:rFonts w:eastAsia="Times New Roman" w:cstheme="minorHAnsi"/>
          <w:color w:val="4472C4" w:themeColor="accent1"/>
          <w:u w:val="single"/>
          <w:bdr w:val="none" w:sz="0" w:space="0" w:color="auto" w:frame="1"/>
        </w:rPr>
        <w:fldChar w:fldCharType="end"/>
      </w:r>
      <w:r w:rsidR="005E3E4F" w:rsidRPr="00D76B1F">
        <w:rPr>
          <w:rFonts w:eastAsia="Times New Roman" w:cstheme="minorHAnsi"/>
        </w:rPr>
        <w:t> </w:t>
      </w:r>
    </w:p>
    <w:p w14:paraId="53C1E7B1" w14:textId="3B3B94ED" w:rsidR="00D76F8A" w:rsidRDefault="00D76F8A">
      <w:pPr>
        <w:rPr>
          <w:rFonts w:cstheme="minorHAnsi"/>
        </w:rPr>
      </w:pPr>
      <w:r>
        <w:rPr>
          <w:rFonts w:cstheme="minorHAnsi"/>
        </w:rPr>
        <w:br w:type="page"/>
      </w:r>
    </w:p>
    <w:p w14:paraId="319405D2" w14:textId="77777777" w:rsidR="00D76F8A" w:rsidRPr="004B5528" w:rsidRDefault="00D76F8A" w:rsidP="00724268">
      <w:pPr>
        <w:spacing w:line="480" w:lineRule="auto"/>
        <w:rPr>
          <w:rFonts w:eastAsia="Times New Roman" w:cstheme="minorHAnsi"/>
          <w:b/>
          <w:bCs/>
          <w:spacing w:val="15"/>
          <w:kern w:val="36"/>
          <w:sz w:val="28"/>
          <w:szCs w:val="28"/>
        </w:rPr>
      </w:pPr>
      <w:bookmarkStart w:id="2" w:name="SOP_KeyCncpts_EO"/>
      <w:r w:rsidRPr="004B5528">
        <w:rPr>
          <w:rFonts w:eastAsia="Times New Roman" w:cstheme="minorHAnsi"/>
          <w:b/>
          <w:bCs/>
          <w:spacing w:val="15"/>
          <w:kern w:val="36"/>
          <w:sz w:val="28"/>
          <w:szCs w:val="28"/>
        </w:rPr>
        <w:lastRenderedPageBreak/>
        <w:t>Scope of Practice Key Issues and Concepts</w:t>
      </w:r>
      <w:bookmarkEnd w:id="2"/>
    </w:p>
    <w:p w14:paraId="16B025E7" w14:textId="77777777" w:rsidR="00D76F8A" w:rsidRPr="00724268" w:rsidRDefault="00D76F8A" w:rsidP="00724268">
      <w:pPr>
        <w:spacing w:line="480" w:lineRule="auto"/>
        <w:rPr>
          <w:rFonts w:eastAsia="Times New Roman" w:cstheme="minorHAnsi"/>
          <w:b/>
          <w:bCs/>
          <w:sz w:val="24"/>
          <w:szCs w:val="24"/>
        </w:rPr>
      </w:pPr>
      <w:r w:rsidRPr="00724268">
        <w:rPr>
          <w:rFonts w:eastAsia="Times New Roman" w:cstheme="minorHAnsi"/>
          <w:b/>
          <w:bCs/>
          <w:sz w:val="24"/>
          <w:szCs w:val="24"/>
        </w:rPr>
        <w:t>Executive Summary</w:t>
      </w:r>
    </w:p>
    <w:p w14:paraId="7EAAD5DF" w14:textId="77777777" w:rsidR="00D76F8A" w:rsidRPr="00724268" w:rsidRDefault="00D76F8A" w:rsidP="00724268">
      <w:pPr>
        <w:shd w:val="clear" w:color="auto" w:fill="FFFFFF"/>
        <w:spacing w:line="480" w:lineRule="auto"/>
        <w:textAlignment w:val="baseline"/>
        <w:rPr>
          <w:rFonts w:eastAsia="Times New Roman" w:cstheme="minorHAnsi"/>
          <w:szCs w:val="20"/>
        </w:rPr>
      </w:pPr>
      <w:r w:rsidRPr="00724268">
        <w:rPr>
          <w:rFonts w:eastAsia="Times New Roman" w:cstheme="minorHAnsi"/>
          <w:szCs w:val="20"/>
        </w:rPr>
        <w:t xml:space="preserve">This document provides a brief overview of important concepts related to scope of practice in public health emergency response activities. Additional details on these and other concepts are contained in other documents in the ASTHO Scope of Practice Toolkit. </w:t>
      </w:r>
    </w:p>
    <w:p w14:paraId="7ADBCCBC" w14:textId="77777777" w:rsidR="00D76F8A" w:rsidRPr="00724268" w:rsidRDefault="00D76F8A" w:rsidP="00724268">
      <w:pPr>
        <w:shd w:val="clear" w:color="auto" w:fill="FFFFFF"/>
        <w:spacing w:line="480" w:lineRule="auto"/>
        <w:textAlignment w:val="baseline"/>
        <w:rPr>
          <w:rFonts w:eastAsia="Times New Roman" w:cstheme="minorHAnsi"/>
          <w:sz w:val="24"/>
          <w:szCs w:val="20"/>
        </w:rPr>
      </w:pPr>
    </w:p>
    <w:p w14:paraId="5D4A4AE5" w14:textId="77777777" w:rsidR="00D76F8A" w:rsidRPr="00724268" w:rsidRDefault="00D76F8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Overview—</w:t>
      </w:r>
      <w:r w:rsidRPr="00724268">
        <w:rPr>
          <w:rFonts w:eastAsia="Times New Roman" w:cstheme="minorHAnsi"/>
          <w:szCs w:val="20"/>
        </w:rPr>
        <w:t>The “scope of practice” for a regulated profession includes those activities that a person with a specified level of education, training, and competency is authorized to engage in under the laws of the state in which the person practices. Scope of practice can also incorporate conditions that may limit the exercise of authorized activities and procedures. Persons meeting a state’s requirements for that field are issued a license, certification, or some other type of authorization to practice in that state. Practitioners are expected to know what activities they are authorized to conduct and keep their actions within this scope. Should a practitioner exceed the authorized scope of practice, they could be liable for violation of the state’s practice laws, as well as potentially more severe claims such as malpractice.</w:t>
      </w:r>
    </w:p>
    <w:p w14:paraId="0628241D" w14:textId="77777777" w:rsidR="00D76F8A" w:rsidRPr="00724268" w:rsidRDefault="00D76F8A" w:rsidP="00724268">
      <w:pPr>
        <w:shd w:val="clear" w:color="auto" w:fill="FFFFFF"/>
        <w:spacing w:line="480" w:lineRule="auto"/>
        <w:textAlignment w:val="baseline"/>
        <w:rPr>
          <w:rFonts w:eastAsia="Times New Roman" w:cstheme="minorHAnsi"/>
          <w:szCs w:val="20"/>
        </w:rPr>
      </w:pPr>
    </w:p>
    <w:p w14:paraId="4CFE15BF" w14:textId="77777777" w:rsidR="00D76F8A" w:rsidRPr="00724268" w:rsidRDefault="00D76F8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Modifying SOP—</w:t>
      </w:r>
      <w:r w:rsidRPr="00724268">
        <w:rPr>
          <w:rFonts w:eastAsia="Times New Roman" w:cstheme="minorHAnsi"/>
          <w:szCs w:val="20"/>
        </w:rPr>
        <w:t xml:space="preserve">States may find it necessary to modify the scope of practice for some of its regulated professions to meet increased demand for important services during an emergency. Modifying scope of practice can be accomplished by expanding or altering the scope of activities a practitioner </w:t>
      </w:r>
      <w:proofErr w:type="gramStart"/>
      <w:r w:rsidRPr="00724268">
        <w:rPr>
          <w:rFonts w:eastAsia="Times New Roman" w:cstheme="minorHAnsi"/>
          <w:szCs w:val="20"/>
        </w:rPr>
        <w:t>is allowed to</w:t>
      </w:r>
      <w:proofErr w:type="gramEnd"/>
      <w:r w:rsidRPr="00724268">
        <w:rPr>
          <w:rFonts w:eastAsia="Times New Roman" w:cstheme="minorHAnsi"/>
          <w:szCs w:val="20"/>
        </w:rPr>
        <w:t xml:space="preserve"> engage in and by removing or adding conditions on the permitted activities. Overlapping and closely related skills are the foundation for modifying and expanding scopes of practice during emergencies. This practice allows practitioners to conduct activities they are not normally permitted to conduct or alters the conditions under which they practice (e.g., replacing direct supervision requirements with written protocols).</w:t>
      </w:r>
    </w:p>
    <w:p w14:paraId="4A95167B" w14:textId="77777777" w:rsidR="00D76F8A" w:rsidRPr="00724268" w:rsidRDefault="00D76F8A" w:rsidP="00724268">
      <w:pPr>
        <w:shd w:val="clear" w:color="auto" w:fill="FFFFFF"/>
        <w:spacing w:line="480" w:lineRule="auto"/>
        <w:textAlignment w:val="baseline"/>
        <w:rPr>
          <w:rFonts w:eastAsia="Times New Roman" w:cstheme="minorHAnsi"/>
          <w:szCs w:val="20"/>
        </w:rPr>
      </w:pPr>
    </w:p>
    <w:p w14:paraId="548C3B35" w14:textId="77777777" w:rsidR="00D76F8A" w:rsidRPr="00724268" w:rsidRDefault="00D76F8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lastRenderedPageBreak/>
        <w:t>SOP in H1N1 Response—</w:t>
      </w:r>
      <w:r w:rsidRPr="00724268">
        <w:rPr>
          <w:rFonts w:eastAsia="Times New Roman" w:cstheme="minorHAnsi"/>
          <w:szCs w:val="20"/>
        </w:rPr>
        <w:t xml:space="preserve">During the 2009 H1N1 influenza pandemic, </w:t>
      </w:r>
      <w:proofErr w:type="gramStart"/>
      <w:r w:rsidRPr="00724268">
        <w:rPr>
          <w:rFonts w:eastAsia="Times New Roman" w:cstheme="minorHAnsi"/>
          <w:szCs w:val="20"/>
        </w:rPr>
        <w:t>a number of</w:t>
      </w:r>
      <w:proofErr w:type="gramEnd"/>
      <w:r w:rsidRPr="00724268">
        <w:rPr>
          <w:rFonts w:eastAsia="Times New Roman" w:cstheme="minorHAnsi"/>
          <w:szCs w:val="20"/>
        </w:rPr>
        <w:t xml:space="preserve"> states authorized or used modified scope of practice, primarily to expand the number of persons eligible to perform vaccinations. These modified scopes of practice were generally temporary measures that were allowed during the duration of a declared emergency or until otherwise permitted by law or order. Other states did not use modified scope of practice during H1N1 because the capacity of healthcare providers was </w:t>
      </w:r>
      <w:proofErr w:type="gramStart"/>
      <w:r w:rsidRPr="00724268">
        <w:rPr>
          <w:rFonts w:eastAsia="Times New Roman" w:cstheme="minorHAnsi"/>
          <w:szCs w:val="20"/>
        </w:rPr>
        <w:t>sufficient</w:t>
      </w:r>
      <w:proofErr w:type="gramEnd"/>
      <w:r w:rsidRPr="00724268">
        <w:rPr>
          <w:rFonts w:eastAsia="Times New Roman" w:cstheme="minorHAnsi"/>
          <w:szCs w:val="20"/>
        </w:rPr>
        <w:t xml:space="preserve"> to respond to the outbreak in the state; some states pursued other strategies, such as the use of volunteer healthcare providers, to supplement their response capacity.</w:t>
      </w:r>
    </w:p>
    <w:p w14:paraId="22C847E2" w14:textId="77777777" w:rsidR="00D76F8A" w:rsidRPr="00724268" w:rsidRDefault="00D76F8A" w:rsidP="00724268">
      <w:pPr>
        <w:shd w:val="clear" w:color="auto" w:fill="FFFFFF"/>
        <w:spacing w:line="480" w:lineRule="auto"/>
        <w:textAlignment w:val="baseline"/>
        <w:rPr>
          <w:rFonts w:eastAsia="Times New Roman" w:cstheme="minorHAnsi"/>
          <w:szCs w:val="20"/>
        </w:rPr>
      </w:pPr>
    </w:p>
    <w:p w14:paraId="787A6497" w14:textId="77777777" w:rsidR="00D76F8A" w:rsidRPr="00724268" w:rsidRDefault="00D76F8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Authorities to Modify SOP—</w:t>
      </w:r>
      <w:r w:rsidRPr="00724268">
        <w:rPr>
          <w:rFonts w:eastAsia="Times New Roman" w:cstheme="minorHAnsi"/>
          <w:szCs w:val="20"/>
        </w:rPr>
        <w:t>States’ legal authorities and mechanisms for modifying scope of practice for a public health emergency vary. Some states have permanently authorized modified scopes of practice in emergencies for selected professions, either by statute or regulation, which are then activated by an emergency declaration by a governor, health officer, practice regulatory body, or other authorized official. Other states have used orders from a governor, health officer, or practice regulatory bodies during a declared emergency to authorize and specify the modified scope of practice applicable for that emergency. Modified practice authority granted in an emergency generally lasts until the underlying emergency declaration expires or is otherwise cancelled by the health agency or professional regulatory body.</w:t>
      </w:r>
    </w:p>
    <w:p w14:paraId="0A71FD9A" w14:textId="77777777" w:rsidR="00D76F8A" w:rsidRPr="00724268" w:rsidRDefault="00D76F8A" w:rsidP="00724268">
      <w:pPr>
        <w:shd w:val="clear" w:color="auto" w:fill="FFFFFF"/>
        <w:spacing w:line="480" w:lineRule="auto"/>
        <w:textAlignment w:val="baseline"/>
        <w:rPr>
          <w:rFonts w:eastAsia="Times New Roman" w:cstheme="minorHAnsi"/>
          <w:szCs w:val="20"/>
        </w:rPr>
      </w:pPr>
    </w:p>
    <w:p w14:paraId="521AC374" w14:textId="77777777" w:rsidR="00D76F8A" w:rsidRPr="00724268" w:rsidRDefault="00D76F8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Modified SOP in Emergencies—</w:t>
      </w:r>
      <w:r w:rsidRPr="00724268">
        <w:rPr>
          <w:rFonts w:eastAsia="Times New Roman" w:cstheme="minorHAnsi"/>
          <w:szCs w:val="20"/>
        </w:rPr>
        <w:t>Modifying scope of practice in emergencies generally involves addressing several factors:</w:t>
      </w:r>
    </w:p>
    <w:p w14:paraId="67C9100E" w14:textId="77777777" w:rsidR="00D76F8A" w:rsidRPr="00724268" w:rsidRDefault="00D76F8A" w:rsidP="00724268">
      <w:pPr>
        <w:shd w:val="clear" w:color="auto" w:fill="FFFFFF"/>
        <w:spacing w:line="480" w:lineRule="auto"/>
        <w:textAlignment w:val="baseline"/>
        <w:rPr>
          <w:rFonts w:eastAsia="Times New Roman" w:cstheme="minorHAnsi"/>
          <w:szCs w:val="20"/>
        </w:rPr>
      </w:pPr>
    </w:p>
    <w:p w14:paraId="2779DDE7" w14:textId="77777777" w:rsidR="00D76F8A" w:rsidRPr="00724268" w:rsidRDefault="00D76F8A" w:rsidP="00D76F8A">
      <w:pPr>
        <w:pStyle w:val="ListParagraph"/>
        <w:numPr>
          <w:ilvl w:val="0"/>
          <w:numId w:val="12"/>
        </w:numPr>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Permitted Activities and Practitioners Undertaking Them—</w:t>
      </w:r>
      <w:r w:rsidRPr="00724268">
        <w:rPr>
          <w:rFonts w:eastAsia="Times New Roman" w:cstheme="minorHAnsi"/>
          <w:szCs w:val="20"/>
        </w:rPr>
        <w:t xml:space="preserve">States’ approaches to modifying the types of practitioners and the activities they are allowed to conduct in an emergency vary (e.g., administering drugs and giving vaccinations or other injections). Practitioners with the same or </w:t>
      </w:r>
      <w:r w:rsidRPr="00724268">
        <w:rPr>
          <w:rFonts w:eastAsia="Times New Roman" w:cstheme="minorHAnsi"/>
          <w:szCs w:val="20"/>
        </w:rPr>
        <w:lastRenderedPageBreak/>
        <w:t>similar skill sets necessary to meet the demands of a specific emergency event are most likely to be considered for modified practice.</w:t>
      </w:r>
    </w:p>
    <w:p w14:paraId="0942A137" w14:textId="77777777" w:rsidR="00D76F8A" w:rsidRPr="00724268" w:rsidRDefault="00D76F8A" w:rsidP="00D76F8A">
      <w:pPr>
        <w:pStyle w:val="ListParagraph"/>
        <w:numPr>
          <w:ilvl w:val="0"/>
          <w:numId w:val="12"/>
        </w:numPr>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Medical Control and Supervision—</w:t>
      </w:r>
      <w:r w:rsidRPr="00724268">
        <w:rPr>
          <w:rFonts w:eastAsia="Times New Roman" w:cstheme="minorHAnsi"/>
          <w:szCs w:val="20"/>
        </w:rPr>
        <w:t>Medical control or supervision is accomplished through personal oversight or written directions in the form of prescriptions, protocols, or orders. Temporarily modifying medical control and supervision requirements, either by altering, removing, or adding requirements, is a strategy used to change a professional scope of practice during public health emergencies.</w:t>
      </w:r>
    </w:p>
    <w:p w14:paraId="5C2F7A98" w14:textId="77777777" w:rsidR="00D76F8A" w:rsidRPr="00724268" w:rsidRDefault="00D76F8A" w:rsidP="00D76F8A">
      <w:pPr>
        <w:pStyle w:val="ListParagraph"/>
        <w:numPr>
          <w:ilvl w:val="0"/>
          <w:numId w:val="12"/>
        </w:numPr>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Training—</w:t>
      </w:r>
      <w:r w:rsidRPr="00724268">
        <w:rPr>
          <w:rFonts w:eastAsia="Times New Roman" w:cstheme="minorHAnsi"/>
          <w:szCs w:val="20"/>
        </w:rPr>
        <w:t>Training requirements can apply to practitioners who will be acting under a modified scope of practice, as well as those who are acting within their existing scope but whose daily activities do not include performing the specified activity (e.g., giving injections).</w:t>
      </w:r>
    </w:p>
    <w:p w14:paraId="247EFB3A" w14:textId="77777777" w:rsidR="00D76F8A" w:rsidRPr="00724268" w:rsidRDefault="00D76F8A" w:rsidP="00724268">
      <w:pPr>
        <w:spacing w:line="480" w:lineRule="auto"/>
        <w:textAlignment w:val="baseline"/>
        <w:rPr>
          <w:rFonts w:eastAsia="Times New Roman" w:cstheme="minorHAnsi"/>
          <w:sz w:val="24"/>
          <w:szCs w:val="20"/>
        </w:rPr>
      </w:pPr>
    </w:p>
    <w:p w14:paraId="3678AA07" w14:textId="77777777" w:rsidR="00D76F8A" w:rsidRPr="00724268" w:rsidRDefault="00D76F8A" w:rsidP="00724268">
      <w:pPr>
        <w:shd w:val="clear" w:color="auto" w:fill="FFFFFF"/>
        <w:spacing w:line="480" w:lineRule="auto"/>
        <w:textAlignment w:val="baseline"/>
        <w:rPr>
          <w:rFonts w:eastAsia="Times New Roman" w:cstheme="minorHAnsi"/>
          <w:szCs w:val="20"/>
        </w:rPr>
      </w:pPr>
      <w:r w:rsidRPr="00724268">
        <w:rPr>
          <w:rFonts w:eastAsia="Times New Roman" w:cstheme="minorHAnsi"/>
          <w:b/>
          <w:bCs/>
          <w:szCs w:val="20"/>
          <w:bdr w:val="none" w:sz="0" w:space="0" w:color="auto" w:frame="1"/>
        </w:rPr>
        <w:t>Concerns with Modified SOP—</w:t>
      </w:r>
      <w:r w:rsidRPr="00724268">
        <w:rPr>
          <w:rFonts w:eastAsia="Times New Roman" w:cstheme="minorHAnsi"/>
          <w:szCs w:val="20"/>
        </w:rPr>
        <w:t>Concerns have been noted that practitioners working under modified SOPs will be performing activities they have little or no prior experience doing and that just-in-time-training will not be sufficient. The use of medical controls and supervision in concert with the modified practice activities is a strategy used to address these concerns. Practitioners operating under a modified scope of practice also voice concerns about potential liability for their actions during a public health emergency. New and existing federal and state legal protections against liability address these concerns.</w:t>
      </w:r>
    </w:p>
    <w:p w14:paraId="6A18EDFC" w14:textId="77777777" w:rsidR="004B5528" w:rsidRDefault="004B5528">
      <w:pPr>
        <w:rPr>
          <w:rFonts w:cstheme="minorHAnsi"/>
          <w:sz w:val="24"/>
        </w:rPr>
      </w:pPr>
    </w:p>
    <w:p w14:paraId="0D45815B" w14:textId="0395B1ED" w:rsidR="004B5528" w:rsidRDefault="004B5528">
      <w:pPr>
        <w:rPr>
          <w:rFonts w:cstheme="minorHAnsi"/>
          <w:sz w:val="24"/>
        </w:rPr>
      </w:pPr>
      <w:r>
        <w:rPr>
          <w:rFonts w:cstheme="minorHAnsi"/>
          <w:sz w:val="24"/>
        </w:rPr>
        <w:t>[</w:t>
      </w:r>
      <w:hyperlink w:anchor="TOC_top" w:history="1">
        <w:r w:rsidRPr="0082238F">
          <w:rPr>
            <w:rStyle w:val="Hyperlink"/>
            <w:rFonts w:cstheme="minorHAnsi"/>
            <w:sz w:val="24"/>
          </w:rPr>
          <w:t xml:space="preserve">TOC </w:t>
        </w:r>
        <w:r w:rsidRPr="0082238F">
          <w:rPr>
            <w:rStyle w:val="Hyperlink"/>
            <w:rFonts w:cstheme="minorHAnsi"/>
            <w:sz w:val="24"/>
          </w:rPr>
          <w:t>t</w:t>
        </w:r>
        <w:r w:rsidRPr="0082238F">
          <w:rPr>
            <w:rStyle w:val="Hyperlink"/>
            <w:rFonts w:cstheme="minorHAnsi"/>
            <w:sz w:val="24"/>
          </w:rPr>
          <w:t>o</w:t>
        </w:r>
        <w:r w:rsidRPr="0082238F">
          <w:rPr>
            <w:rStyle w:val="Hyperlink"/>
            <w:rFonts w:cstheme="minorHAnsi"/>
            <w:sz w:val="24"/>
          </w:rPr>
          <w:t>p</w:t>
        </w:r>
      </w:hyperlink>
      <w:r w:rsidR="0082238F">
        <w:rPr>
          <w:rFonts w:cstheme="minorHAnsi"/>
          <w:sz w:val="24"/>
        </w:rPr>
        <w:t>]</w:t>
      </w:r>
    </w:p>
    <w:p w14:paraId="4E1F8CBC" w14:textId="596EDDF2" w:rsidR="004B5528" w:rsidRDefault="004B5528">
      <w:pPr>
        <w:rPr>
          <w:rFonts w:cstheme="minorHAnsi"/>
          <w:sz w:val="24"/>
        </w:rPr>
      </w:pPr>
      <w:r>
        <w:rPr>
          <w:rFonts w:cstheme="minorHAnsi"/>
          <w:sz w:val="24"/>
        </w:rPr>
        <w:br w:type="page"/>
      </w:r>
    </w:p>
    <w:p w14:paraId="7C228366" w14:textId="77777777" w:rsidR="00D76F8A" w:rsidRPr="00AE5BF7" w:rsidRDefault="00D76F8A" w:rsidP="00AE5BF7">
      <w:pPr>
        <w:rPr>
          <w:rFonts w:eastAsia="Times New Roman" w:cstheme="minorHAnsi"/>
          <w:b/>
          <w:bCs/>
          <w:spacing w:val="15"/>
          <w:kern w:val="36"/>
          <w:sz w:val="28"/>
          <w:szCs w:val="36"/>
        </w:rPr>
      </w:pPr>
      <w:bookmarkStart w:id="3" w:name="ModifiedSOP_FS"/>
      <w:r w:rsidRPr="00AE5BF7">
        <w:rPr>
          <w:rFonts w:eastAsia="Times New Roman" w:cstheme="minorHAnsi"/>
          <w:b/>
          <w:bCs/>
          <w:spacing w:val="15"/>
          <w:kern w:val="36"/>
          <w:sz w:val="28"/>
          <w:szCs w:val="36"/>
        </w:rPr>
        <w:lastRenderedPageBreak/>
        <w:t>Modified Scope of Practice Used by States in the 2009 H1N1 Influenza Pandemic</w:t>
      </w:r>
    </w:p>
    <w:bookmarkEnd w:id="3"/>
    <w:p w14:paraId="5317ED12" w14:textId="77777777" w:rsidR="00D76F8A" w:rsidRDefault="00D76F8A" w:rsidP="00AE5BF7">
      <w:pPr>
        <w:spacing w:line="480" w:lineRule="auto"/>
        <w:rPr>
          <w:rFonts w:eastAsia="Times New Roman" w:cstheme="minorHAnsi"/>
          <w:b/>
          <w:bCs/>
          <w:sz w:val="24"/>
          <w:szCs w:val="24"/>
        </w:rPr>
      </w:pPr>
    </w:p>
    <w:p w14:paraId="57EE9FAF" w14:textId="77777777" w:rsidR="00D76F8A" w:rsidRPr="00AE5BF7" w:rsidRDefault="00D76F8A" w:rsidP="00AE5BF7">
      <w:pPr>
        <w:spacing w:line="480" w:lineRule="auto"/>
        <w:rPr>
          <w:rFonts w:eastAsia="Times New Roman" w:cstheme="minorHAnsi"/>
          <w:b/>
          <w:bCs/>
          <w:sz w:val="24"/>
          <w:szCs w:val="24"/>
        </w:rPr>
      </w:pPr>
      <w:r w:rsidRPr="00AE5BF7">
        <w:rPr>
          <w:rFonts w:eastAsia="Times New Roman" w:cstheme="minorHAnsi"/>
          <w:b/>
          <w:bCs/>
          <w:sz w:val="24"/>
          <w:szCs w:val="24"/>
        </w:rPr>
        <w:t>Fact Sheet</w:t>
      </w:r>
    </w:p>
    <w:p w14:paraId="7870D5BC" w14:textId="77777777" w:rsidR="00D76F8A" w:rsidRPr="00AE5BF7" w:rsidRDefault="00D76F8A" w:rsidP="00AE5BF7">
      <w:pPr>
        <w:shd w:val="clear" w:color="auto" w:fill="FFFFFF"/>
        <w:spacing w:line="480" w:lineRule="auto"/>
        <w:textAlignment w:val="baseline"/>
        <w:rPr>
          <w:rFonts w:eastAsia="Times New Roman" w:cstheme="minorHAnsi"/>
          <w:szCs w:val="20"/>
        </w:rPr>
      </w:pPr>
      <w:r w:rsidRPr="00AE5BF7">
        <w:rPr>
          <w:rFonts w:eastAsia="Times New Roman" w:cstheme="minorHAnsi"/>
          <w:szCs w:val="20"/>
        </w:rPr>
        <w:t>Each state determines the permitted scope of practice for the professions it regulates, including limiting the activities or procedures a person in that profession may undertake. Modifying scope of practice is one strategy states have used in responding to public health emergencies. The 2009 H1N1 influenza pandemic saw broader use of modified scope of practice by states than in prior public health emergencies. States primarily modified scope of practice to increase the numbers of vaccinators available to meet real or anticipated demand. States accomplished this by expanding the types of healthcare practitioners authorized to administer seasonal and H1N1 influenza vaccinations and by increasing the age range of patients that specified healthcare practitioners could vaccinate (e.g., adding children over a certain age). Pharmacists and EMT/EMS personnel were the two groups most frequently affected by scope of practice changes during H1N1. Other strategies some states used included allowing physicians to issue standing orders permitting vaccination without issuing prescriptions to individual patients. The information below summarizes the scope of practice changes that 14 states and DC enacted for each of the specified practitioners during the H1N1 outbreak.</w:t>
      </w:r>
      <w:r w:rsidRPr="00AE5BF7">
        <w:rPr>
          <w:rFonts w:eastAsia="Times New Roman" w:cstheme="minorHAnsi"/>
          <w:sz w:val="16"/>
          <w:szCs w:val="14"/>
          <w:bdr w:val="none" w:sz="0" w:space="0" w:color="auto" w:frame="1"/>
          <w:vertAlign w:val="superscript"/>
        </w:rPr>
        <w:t>1</w:t>
      </w:r>
      <w:r w:rsidRPr="00AE5BF7">
        <w:rPr>
          <w:rFonts w:eastAsia="Times New Roman" w:cstheme="minorHAnsi"/>
          <w:szCs w:val="20"/>
        </w:rPr>
        <w:t xml:space="preserve">Because states’ practice requirements can differ, an activity that may be permitted only under a modified scope of practice in one state may be allowed under the regular scope of practice in another state. </w:t>
      </w:r>
    </w:p>
    <w:p w14:paraId="1BC49359" w14:textId="77777777" w:rsidR="00D76F8A" w:rsidRPr="00AE5BF7" w:rsidRDefault="00D76F8A" w:rsidP="00AE5BF7">
      <w:pPr>
        <w:spacing w:line="480" w:lineRule="auto"/>
        <w:rPr>
          <w:rFonts w:eastAsia="Times New Roman" w:cstheme="minorHAnsi"/>
          <w:b/>
          <w:bCs/>
          <w:sz w:val="24"/>
          <w:szCs w:val="24"/>
        </w:rPr>
      </w:pPr>
      <w:r w:rsidRPr="00AE5BF7">
        <w:rPr>
          <w:rFonts w:eastAsia="Times New Roman" w:cstheme="minorHAnsi"/>
          <w:b/>
          <w:bCs/>
          <w:sz w:val="24"/>
          <w:szCs w:val="24"/>
        </w:rPr>
        <w:t>Practitioners and Modified Scopes of Practice</w:t>
      </w:r>
    </w:p>
    <w:p w14:paraId="5F556F28" w14:textId="77777777" w:rsidR="00D76F8A" w:rsidRPr="004349BE" w:rsidRDefault="00D76F8A" w:rsidP="00AE5BF7">
      <w:pPr>
        <w:spacing w:line="480" w:lineRule="auto"/>
        <w:rPr>
          <w:rFonts w:eastAsia="Times New Roman" w:cstheme="minorHAnsi"/>
          <w:b/>
          <w:bCs/>
          <w:szCs w:val="20"/>
        </w:rPr>
      </w:pPr>
      <w:r w:rsidRPr="004349BE">
        <w:rPr>
          <w:rFonts w:eastAsia="Times New Roman" w:cstheme="minorHAnsi"/>
          <w:b/>
          <w:bCs/>
          <w:szCs w:val="20"/>
        </w:rPr>
        <w:t>Pharmacy</w:t>
      </w:r>
    </w:p>
    <w:p w14:paraId="6B9649B7" w14:textId="77777777" w:rsidR="00D76F8A" w:rsidRPr="004349BE" w:rsidRDefault="00D76F8A" w:rsidP="00AE5BF7">
      <w:pPr>
        <w:shd w:val="clear" w:color="auto" w:fill="FFFFFF"/>
        <w:spacing w:line="480" w:lineRule="auto"/>
        <w:textAlignment w:val="baseline"/>
        <w:rPr>
          <w:rFonts w:eastAsia="Times New Roman" w:cstheme="minorHAnsi"/>
          <w:szCs w:val="20"/>
        </w:rPr>
      </w:pPr>
      <w:r w:rsidRPr="004349BE">
        <w:rPr>
          <w:rFonts w:eastAsia="Times New Roman" w:cstheme="minorHAnsi"/>
          <w:b/>
          <w:bCs/>
          <w:i/>
          <w:iCs/>
          <w:szCs w:val="20"/>
          <w:bdr w:val="none" w:sz="0" w:space="0" w:color="auto" w:frame="1"/>
        </w:rPr>
        <w:t>Pharmacists</w:t>
      </w:r>
    </w:p>
    <w:p w14:paraId="7F96D8CE"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Pharmacists could administer pneumococcal and influenza vaccinations (including H1N1) to persons 18 and older with a written protocol and standing order from physician licensed in DC. (DC)</w:t>
      </w:r>
    </w:p>
    <w:p w14:paraId="59084342"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lastRenderedPageBreak/>
        <w:t>Pharmacists could have protocol agreements with physicians permitting a pharmacist to order and dispense influenza vaccine without an individual prescription; limit of 10 orders per physician within the same or adjacent county to physician’s principal place of business. (GA)</w:t>
      </w:r>
    </w:p>
    <w:p w14:paraId="2D090E86"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Pharmacists’ scope of practice modified to allow them to administer seasonal and H1N1 vaccine to people 9 years or older. (IL)</w:t>
      </w:r>
    </w:p>
    <w:p w14:paraId="4F7EF276"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 xml:space="preserve">Age range of </w:t>
      </w:r>
      <w:proofErr w:type="spellStart"/>
      <w:r w:rsidRPr="004349BE">
        <w:rPr>
          <w:rFonts w:eastAsia="Times New Roman" w:cstheme="minorHAnsi"/>
          <w:szCs w:val="20"/>
        </w:rPr>
        <w:t>vaccinees</w:t>
      </w:r>
      <w:proofErr w:type="spellEnd"/>
      <w:r w:rsidRPr="004349BE">
        <w:rPr>
          <w:rFonts w:eastAsia="Times New Roman" w:cstheme="minorHAnsi"/>
          <w:szCs w:val="20"/>
        </w:rPr>
        <w:t xml:space="preserve"> expanded by type of vaccine. (IN)</w:t>
      </w:r>
    </w:p>
    <w:p w14:paraId="54287328"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Specified pharmacists authorized to administer influenza vaccinations via written protocol rather than individual prescription. (LA)</w:t>
      </w:r>
    </w:p>
    <w:p w14:paraId="2ED69AA7"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Pharmacists permitted to administer influenza and other vaccines to persons aged 9 or older with a prescription. (ME)</w:t>
      </w:r>
    </w:p>
    <w:p w14:paraId="79F7B954"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Licensed, certified pharmacists authorized to vaccinate adolescents ages 13 and older. (MD)</w:t>
      </w:r>
    </w:p>
    <w:p w14:paraId="2F8DC25A"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Commissioner of health authorized to permit pharmacists to administer seasonal and H1N1 vaccine. (MA)</w:t>
      </w:r>
    </w:p>
    <w:p w14:paraId="6C65D3D4"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Commissioner of health authorized to permit pharmacists to administer vaccinations if a local board of health requests state assistance to respond to a public health threat. (MN)</w:t>
      </w:r>
    </w:p>
    <w:p w14:paraId="197C63C1"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Pharmacists allowed to administer seasonal and H1N1 vaccinations at points of dispensing (PODs) under limited circumstances. (NY)</w:t>
      </w:r>
    </w:p>
    <w:p w14:paraId="540BA0C7" w14:textId="77777777" w:rsidR="00D76F8A" w:rsidRPr="004349BE" w:rsidRDefault="00D76F8A" w:rsidP="00D76F8A">
      <w:pPr>
        <w:pStyle w:val="ListParagraph"/>
        <w:numPr>
          <w:ilvl w:val="0"/>
          <w:numId w:val="15"/>
        </w:numPr>
        <w:spacing w:line="480" w:lineRule="auto"/>
        <w:textAlignment w:val="baseline"/>
        <w:rPr>
          <w:rFonts w:eastAsia="Times New Roman" w:cstheme="minorHAnsi"/>
          <w:szCs w:val="20"/>
        </w:rPr>
      </w:pPr>
      <w:r w:rsidRPr="004349BE">
        <w:rPr>
          <w:rFonts w:eastAsia="Times New Roman" w:cstheme="minorHAnsi"/>
          <w:szCs w:val="20"/>
        </w:rPr>
        <w:t>Pharmacists permitted to administer influenza vaccine to persons over age 7 without a physician-patient relationship. (TX)</w:t>
      </w:r>
    </w:p>
    <w:p w14:paraId="5D23DEF0" w14:textId="77777777" w:rsidR="00D76F8A" w:rsidRDefault="00D76F8A" w:rsidP="00AE5BF7">
      <w:pPr>
        <w:spacing w:line="480" w:lineRule="auto"/>
        <w:textAlignment w:val="baseline"/>
        <w:rPr>
          <w:rFonts w:eastAsia="Times New Roman" w:cstheme="minorHAnsi"/>
        </w:rPr>
      </w:pPr>
    </w:p>
    <w:p w14:paraId="442C8590"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Pharmacy Students</w:t>
      </w:r>
    </w:p>
    <w:p w14:paraId="7B0CC01F" w14:textId="77777777" w:rsidR="00D76F8A" w:rsidRPr="004349BE" w:rsidRDefault="00D76F8A" w:rsidP="00D76F8A">
      <w:pPr>
        <w:pStyle w:val="ListParagraph"/>
        <w:numPr>
          <w:ilvl w:val="0"/>
          <w:numId w:val="16"/>
        </w:numPr>
        <w:spacing w:line="480" w:lineRule="auto"/>
        <w:textAlignment w:val="baseline"/>
        <w:rPr>
          <w:rFonts w:eastAsia="Times New Roman" w:cstheme="minorHAnsi"/>
        </w:rPr>
      </w:pPr>
      <w:r w:rsidRPr="004349BE">
        <w:rPr>
          <w:rFonts w:eastAsia="Times New Roman" w:cstheme="minorHAnsi"/>
        </w:rPr>
        <w:t>Licensed or certified professionals authorized to administer seasonal and H1N1 vaccine as per state health agency instructions and completion of a training program. (IL)</w:t>
      </w:r>
    </w:p>
    <w:p w14:paraId="33336B29" w14:textId="77777777" w:rsidR="00D76F8A" w:rsidRPr="004349BE" w:rsidRDefault="00D76F8A" w:rsidP="00AE5BF7">
      <w:pPr>
        <w:spacing w:line="480" w:lineRule="auto"/>
        <w:textAlignment w:val="baseline"/>
        <w:rPr>
          <w:rFonts w:eastAsia="Times New Roman" w:cstheme="minorHAnsi"/>
        </w:rPr>
      </w:pPr>
    </w:p>
    <w:p w14:paraId="56A2CE26" w14:textId="77777777" w:rsidR="00D76F8A" w:rsidRPr="004349BE" w:rsidRDefault="00D76F8A" w:rsidP="00AE5BF7">
      <w:pPr>
        <w:spacing w:line="480" w:lineRule="auto"/>
        <w:rPr>
          <w:rFonts w:eastAsia="Times New Roman" w:cstheme="minorHAnsi"/>
          <w:b/>
          <w:bCs/>
        </w:rPr>
      </w:pPr>
      <w:r w:rsidRPr="004349BE">
        <w:rPr>
          <w:rFonts w:eastAsia="Times New Roman" w:cstheme="minorHAnsi"/>
          <w:b/>
          <w:bCs/>
        </w:rPr>
        <w:lastRenderedPageBreak/>
        <w:t>EMT/EMS</w:t>
      </w:r>
    </w:p>
    <w:p w14:paraId="3ECB61DE"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Paramedics</w:t>
      </w:r>
    </w:p>
    <w:p w14:paraId="1B76683A" w14:textId="77777777" w:rsidR="00D76F8A" w:rsidRPr="0034769E" w:rsidRDefault="00D76F8A" w:rsidP="00D76F8A">
      <w:pPr>
        <w:pStyle w:val="ListParagraph"/>
        <w:numPr>
          <w:ilvl w:val="0"/>
          <w:numId w:val="16"/>
        </w:numPr>
        <w:spacing w:line="480" w:lineRule="auto"/>
        <w:textAlignment w:val="baseline"/>
        <w:rPr>
          <w:rFonts w:eastAsia="Times New Roman" w:cstheme="minorHAnsi"/>
        </w:rPr>
      </w:pPr>
      <w:r w:rsidRPr="0034769E">
        <w:rPr>
          <w:rFonts w:eastAsia="Times New Roman" w:cstheme="minorHAnsi"/>
        </w:rPr>
        <w:t>Paramedics authorized to administer vaccines under local optional scope of practice. (CA)</w:t>
      </w:r>
    </w:p>
    <w:p w14:paraId="28894619" w14:textId="77777777" w:rsidR="00D76F8A" w:rsidRPr="0034769E" w:rsidRDefault="00D76F8A" w:rsidP="00D76F8A">
      <w:pPr>
        <w:pStyle w:val="ListParagraph"/>
        <w:numPr>
          <w:ilvl w:val="0"/>
          <w:numId w:val="16"/>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3552FC6F" w14:textId="77777777" w:rsidR="00D76F8A" w:rsidRPr="0034769E" w:rsidRDefault="00D76F8A" w:rsidP="00D76F8A">
      <w:pPr>
        <w:pStyle w:val="ListParagraph"/>
        <w:numPr>
          <w:ilvl w:val="0"/>
          <w:numId w:val="16"/>
        </w:numPr>
        <w:spacing w:line="480" w:lineRule="auto"/>
        <w:textAlignment w:val="baseline"/>
        <w:rPr>
          <w:rFonts w:eastAsia="Times New Roman" w:cstheme="minorHAnsi"/>
        </w:rPr>
      </w:pPr>
      <w:r w:rsidRPr="0034769E">
        <w:rPr>
          <w:rFonts w:eastAsia="Times New Roman" w:cstheme="minorHAnsi"/>
        </w:rPr>
        <w:t>Paramedics allowed to administer H1N1 vaccine to public safety and healthcare personnel as well as the general public. (MD)</w:t>
      </w:r>
    </w:p>
    <w:p w14:paraId="4BAAEF83" w14:textId="77777777" w:rsidR="00D76F8A" w:rsidRPr="0034769E" w:rsidRDefault="00D76F8A" w:rsidP="00D76F8A">
      <w:pPr>
        <w:pStyle w:val="ListParagraph"/>
        <w:numPr>
          <w:ilvl w:val="0"/>
          <w:numId w:val="16"/>
        </w:numPr>
        <w:spacing w:line="480" w:lineRule="auto"/>
        <w:textAlignment w:val="baseline"/>
        <w:rPr>
          <w:rFonts w:eastAsia="Times New Roman" w:cstheme="minorHAnsi"/>
        </w:rPr>
      </w:pPr>
      <w:r w:rsidRPr="0034769E">
        <w:rPr>
          <w:rFonts w:eastAsia="Times New Roman" w:cstheme="minorHAnsi"/>
        </w:rPr>
        <w:t>Commissioner of health authorized to permit paramedics to administer seasonal and H1N1 vaccine. (MA)</w:t>
      </w:r>
    </w:p>
    <w:p w14:paraId="77B34F7A" w14:textId="77777777" w:rsidR="00D76F8A" w:rsidRPr="0034769E" w:rsidRDefault="00D76F8A" w:rsidP="00D76F8A">
      <w:pPr>
        <w:pStyle w:val="ListParagraph"/>
        <w:numPr>
          <w:ilvl w:val="0"/>
          <w:numId w:val="16"/>
        </w:numPr>
        <w:spacing w:line="480" w:lineRule="auto"/>
        <w:textAlignment w:val="baseline"/>
        <w:rPr>
          <w:rFonts w:eastAsia="Times New Roman" w:cstheme="minorHAnsi"/>
        </w:rPr>
      </w:pPr>
      <w:r w:rsidRPr="0034769E">
        <w:rPr>
          <w:rFonts w:eastAsia="Times New Roman" w:cstheme="minorHAnsi"/>
        </w:rPr>
        <w:t>Paramedics permitted to administer H1N1 vaccine and H1N1-related medications under the direction of a physician and after training. (OH)</w:t>
      </w:r>
    </w:p>
    <w:p w14:paraId="34FCE1D3" w14:textId="77777777" w:rsidR="00D76F8A" w:rsidRPr="004349BE" w:rsidRDefault="00D76F8A" w:rsidP="00AE5BF7">
      <w:pPr>
        <w:spacing w:line="480" w:lineRule="auto"/>
        <w:textAlignment w:val="baseline"/>
        <w:rPr>
          <w:rFonts w:eastAsia="Times New Roman" w:cstheme="minorHAnsi"/>
        </w:rPr>
      </w:pPr>
    </w:p>
    <w:p w14:paraId="647021B5"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EMT-Advanced</w:t>
      </w:r>
    </w:p>
    <w:p w14:paraId="3CCA1696" w14:textId="77777777" w:rsidR="00D76F8A" w:rsidRPr="0034769E" w:rsidRDefault="00D76F8A" w:rsidP="00D76F8A">
      <w:pPr>
        <w:pStyle w:val="ListParagraph"/>
        <w:numPr>
          <w:ilvl w:val="0"/>
          <w:numId w:val="17"/>
        </w:numPr>
        <w:spacing w:line="480" w:lineRule="auto"/>
        <w:textAlignment w:val="baseline"/>
        <w:rPr>
          <w:rFonts w:eastAsia="Times New Roman" w:cstheme="minorHAnsi"/>
        </w:rPr>
      </w:pPr>
      <w:r w:rsidRPr="0034769E">
        <w:rPr>
          <w:rFonts w:eastAsia="Times New Roman" w:cstheme="minorHAnsi"/>
        </w:rPr>
        <w:t>Advanced EMTs allowed to administer seasonal and H1N1 vaccinations at PODs under limited circumstances. (NY)</w:t>
      </w:r>
    </w:p>
    <w:p w14:paraId="2FD15FAB" w14:textId="77777777" w:rsidR="00D76F8A" w:rsidRPr="004349BE" w:rsidRDefault="00D76F8A" w:rsidP="00AE5BF7">
      <w:pPr>
        <w:spacing w:line="480" w:lineRule="auto"/>
        <w:textAlignment w:val="baseline"/>
        <w:rPr>
          <w:rFonts w:eastAsia="Times New Roman" w:cstheme="minorHAnsi"/>
        </w:rPr>
      </w:pPr>
    </w:p>
    <w:p w14:paraId="0E500189"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EMT-Intermediate</w:t>
      </w:r>
    </w:p>
    <w:p w14:paraId="2E579327" w14:textId="77777777" w:rsidR="00D76F8A" w:rsidRPr="0034769E" w:rsidRDefault="00D76F8A" w:rsidP="00D76F8A">
      <w:pPr>
        <w:pStyle w:val="ListParagraph"/>
        <w:numPr>
          <w:ilvl w:val="0"/>
          <w:numId w:val="17"/>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70B5035A" w14:textId="77777777" w:rsidR="00D76F8A" w:rsidRPr="0034769E" w:rsidRDefault="00D76F8A" w:rsidP="00D76F8A">
      <w:pPr>
        <w:pStyle w:val="ListParagraph"/>
        <w:numPr>
          <w:ilvl w:val="0"/>
          <w:numId w:val="17"/>
        </w:numPr>
        <w:spacing w:line="480" w:lineRule="auto"/>
        <w:textAlignment w:val="baseline"/>
        <w:rPr>
          <w:rFonts w:eastAsia="Times New Roman" w:cstheme="minorHAnsi"/>
        </w:rPr>
      </w:pPr>
      <w:r w:rsidRPr="0034769E">
        <w:rPr>
          <w:rFonts w:eastAsia="Times New Roman" w:cstheme="minorHAnsi"/>
        </w:rPr>
        <w:t>Intermediate EMTs permitted to administer H1N1 vaccine and H1N1-related medications under the direction of a physician and after training. (OH)</w:t>
      </w:r>
    </w:p>
    <w:p w14:paraId="6B4E78C5" w14:textId="77777777" w:rsidR="00D76F8A" w:rsidRDefault="00D76F8A" w:rsidP="00AE5BF7">
      <w:pPr>
        <w:spacing w:line="480" w:lineRule="auto"/>
        <w:textAlignment w:val="baseline"/>
        <w:rPr>
          <w:rFonts w:eastAsia="Times New Roman" w:cstheme="minorHAnsi"/>
        </w:rPr>
      </w:pPr>
    </w:p>
    <w:p w14:paraId="3C7C1F1E" w14:textId="77777777" w:rsidR="00D76F8A" w:rsidRDefault="00D76F8A" w:rsidP="00AE5BF7">
      <w:pPr>
        <w:spacing w:line="480" w:lineRule="auto"/>
        <w:textAlignment w:val="baseline"/>
        <w:rPr>
          <w:rFonts w:eastAsia="Times New Roman" w:cstheme="minorHAnsi"/>
        </w:rPr>
      </w:pPr>
    </w:p>
    <w:p w14:paraId="00C29DFD" w14:textId="77777777" w:rsidR="00D76F8A" w:rsidRPr="004349BE" w:rsidRDefault="00D76F8A" w:rsidP="00AE5BF7">
      <w:pPr>
        <w:spacing w:line="480" w:lineRule="auto"/>
        <w:textAlignment w:val="baseline"/>
        <w:rPr>
          <w:rFonts w:eastAsia="Times New Roman" w:cstheme="minorHAnsi"/>
        </w:rPr>
      </w:pPr>
    </w:p>
    <w:p w14:paraId="4533AF74"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lastRenderedPageBreak/>
        <w:t>Cardiac Respiratory Therapists (CRTs)</w:t>
      </w:r>
    </w:p>
    <w:p w14:paraId="6ADEC5FD" w14:textId="77777777" w:rsidR="00D76F8A" w:rsidRPr="0034769E" w:rsidRDefault="00D76F8A" w:rsidP="00D76F8A">
      <w:pPr>
        <w:pStyle w:val="ListParagraph"/>
        <w:numPr>
          <w:ilvl w:val="0"/>
          <w:numId w:val="18"/>
        </w:numPr>
        <w:spacing w:line="480" w:lineRule="auto"/>
        <w:textAlignment w:val="baseline"/>
        <w:rPr>
          <w:rFonts w:eastAsia="Times New Roman" w:cstheme="minorHAnsi"/>
        </w:rPr>
      </w:pPr>
      <w:r w:rsidRPr="0034769E">
        <w:rPr>
          <w:rFonts w:eastAsia="Times New Roman" w:cstheme="minorHAnsi"/>
        </w:rPr>
        <w:t>CRTs allowed to administer H1N1 vaccine to public safety and healthcare personnel as well as the general public. (MD)</w:t>
      </w:r>
    </w:p>
    <w:p w14:paraId="7F5E5FD6" w14:textId="77777777" w:rsidR="00D76F8A" w:rsidRPr="004349BE" w:rsidRDefault="00D76F8A" w:rsidP="00AE5BF7">
      <w:pPr>
        <w:spacing w:line="480" w:lineRule="auto"/>
        <w:textAlignment w:val="baseline"/>
        <w:rPr>
          <w:rFonts w:eastAsia="Times New Roman" w:cstheme="minorHAnsi"/>
        </w:rPr>
      </w:pPr>
    </w:p>
    <w:p w14:paraId="628F885B"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EMT/EMS (General)</w:t>
      </w:r>
    </w:p>
    <w:p w14:paraId="376EEF63" w14:textId="77777777" w:rsidR="00D76F8A" w:rsidRPr="0034769E" w:rsidRDefault="00D76F8A" w:rsidP="00D76F8A">
      <w:pPr>
        <w:pStyle w:val="ListParagraph"/>
        <w:numPr>
          <w:ilvl w:val="0"/>
          <w:numId w:val="18"/>
        </w:numPr>
        <w:spacing w:line="480" w:lineRule="auto"/>
        <w:textAlignment w:val="baseline"/>
        <w:rPr>
          <w:rFonts w:eastAsia="Times New Roman" w:cstheme="minorHAnsi"/>
        </w:rPr>
      </w:pPr>
      <w:r w:rsidRPr="0034769E">
        <w:rPr>
          <w:rFonts w:eastAsia="Times New Roman" w:cstheme="minorHAnsi"/>
        </w:rPr>
        <w:t>Commissioner of health authorized to permit EMTs to administer vaccinations if a local board of health requests state assistance to respond to a public health threat. (MN)</w:t>
      </w:r>
    </w:p>
    <w:p w14:paraId="35E28B1F" w14:textId="77777777" w:rsidR="00D76F8A" w:rsidRPr="0034769E" w:rsidRDefault="00D76F8A" w:rsidP="00D76F8A">
      <w:pPr>
        <w:pStyle w:val="ListParagraph"/>
        <w:numPr>
          <w:ilvl w:val="0"/>
          <w:numId w:val="18"/>
        </w:numPr>
        <w:spacing w:line="480" w:lineRule="auto"/>
        <w:textAlignment w:val="baseline"/>
        <w:rPr>
          <w:rFonts w:eastAsia="Times New Roman" w:cstheme="minorHAnsi"/>
        </w:rPr>
      </w:pPr>
      <w:r w:rsidRPr="0034769E">
        <w:rPr>
          <w:rFonts w:eastAsia="Times New Roman" w:cstheme="minorHAnsi"/>
        </w:rPr>
        <w:t>Conditions of EMS vaccination authority clarified: only if there is a local/state emergency declaration, an emergency mission number issued, and EMS providers are registered as emergency workers under state law and acting under the direction of state/local emergency management or incident commander. (WA)</w:t>
      </w:r>
    </w:p>
    <w:p w14:paraId="4EFFFC27" w14:textId="77777777" w:rsidR="00D76F8A" w:rsidRPr="004349BE" w:rsidRDefault="00D76F8A" w:rsidP="00AE5BF7">
      <w:pPr>
        <w:spacing w:line="480" w:lineRule="auto"/>
        <w:textAlignment w:val="baseline"/>
        <w:rPr>
          <w:rFonts w:eastAsia="Times New Roman" w:cstheme="minorHAnsi"/>
        </w:rPr>
      </w:pPr>
    </w:p>
    <w:p w14:paraId="4D79407B" w14:textId="77777777" w:rsidR="00D76F8A" w:rsidRPr="004349BE" w:rsidRDefault="00D76F8A" w:rsidP="00AE5BF7">
      <w:pPr>
        <w:spacing w:line="480" w:lineRule="auto"/>
        <w:rPr>
          <w:rFonts w:eastAsia="Times New Roman" w:cstheme="minorHAnsi"/>
          <w:b/>
          <w:bCs/>
        </w:rPr>
      </w:pPr>
      <w:r w:rsidRPr="004349BE">
        <w:rPr>
          <w:rFonts w:eastAsia="Times New Roman" w:cstheme="minorHAnsi"/>
          <w:b/>
          <w:bCs/>
        </w:rPr>
        <w:t>Dental</w:t>
      </w:r>
    </w:p>
    <w:p w14:paraId="3FAB8022"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Dentists </w:t>
      </w:r>
    </w:p>
    <w:p w14:paraId="315F5CD6" w14:textId="77777777" w:rsidR="00D76F8A" w:rsidRPr="0034769E" w:rsidRDefault="00D76F8A" w:rsidP="00D76F8A">
      <w:pPr>
        <w:pStyle w:val="ListParagraph"/>
        <w:numPr>
          <w:ilvl w:val="0"/>
          <w:numId w:val="19"/>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32795855" w14:textId="77777777" w:rsidR="00D76F8A" w:rsidRPr="0034769E" w:rsidRDefault="00D76F8A" w:rsidP="00D76F8A">
      <w:pPr>
        <w:pStyle w:val="ListParagraph"/>
        <w:numPr>
          <w:ilvl w:val="0"/>
          <w:numId w:val="19"/>
        </w:numPr>
        <w:spacing w:line="480" w:lineRule="auto"/>
        <w:textAlignment w:val="baseline"/>
        <w:rPr>
          <w:rFonts w:eastAsia="Times New Roman" w:cstheme="minorHAnsi"/>
        </w:rPr>
      </w:pPr>
      <w:r w:rsidRPr="0034769E">
        <w:rPr>
          <w:rFonts w:eastAsia="Times New Roman" w:cstheme="minorHAnsi"/>
        </w:rPr>
        <w:t>Commissioner of health authorized to permit dentists to administer seasonal and H1N1 vaccine. (MA)</w:t>
      </w:r>
    </w:p>
    <w:p w14:paraId="743E7F81" w14:textId="77777777" w:rsidR="00D76F8A" w:rsidRPr="0034769E" w:rsidRDefault="00D76F8A" w:rsidP="00D76F8A">
      <w:pPr>
        <w:pStyle w:val="ListParagraph"/>
        <w:numPr>
          <w:ilvl w:val="0"/>
          <w:numId w:val="19"/>
        </w:numPr>
        <w:spacing w:line="480" w:lineRule="auto"/>
        <w:textAlignment w:val="baseline"/>
        <w:rPr>
          <w:rFonts w:eastAsia="Times New Roman" w:cstheme="minorHAnsi"/>
        </w:rPr>
      </w:pPr>
      <w:r w:rsidRPr="0034769E">
        <w:rPr>
          <w:rFonts w:eastAsia="Times New Roman" w:cstheme="minorHAnsi"/>
        </w:rPr>
        <w:t>Commissioner of health authorized to permit dentists to administer vaccinations if a local board of health requests state assistance to respond to a public health threat. (MN)</w:t>
      </w:r>
    </w:p>
    <w:p w14:paraId="1CAE74C5" w14:textId="77777777" w:rsidR="00D76F8A" w:rsidRPr="0034769E" w:rsidRDefault="00D76F8A" w:rsidP="00D76F8A">
      <w:pPr>
        <w:pStyle w:val="ListParagraph"/>
        <w:numPr>
          <w:ilvl w:val="0"/>
          <w:numId w:val="19"/>
        </w:numPr>
        <w:spacing w:line="480" w:lineRule="auto"/>
        <w:textAlignment w:val="baseline"/>
        <w:rPr>
          <w:rFonts w:eastAsia="Times New Roman" w:cstheme="minorHAnsi"/>
        </w:rPr>
      </w:pPr>
      <w:r w:rsidRPr="0034769E">
        <w:rPr>
          <w:rFonts w:eastAsia="Times New Roman" w:cstheme="minorHAnsi"/>
        </w:rPr>
        <w:t>Dentists allowed to administer seasonal and H1N1 vaccinations at PODs under limited circumstances. (NY)</w:t>
      </w:r>
    </w:p>
    <w:p w14:paraId="6BC27B9C" w14:textId="77777777" w:rsidR="00D76F8A" w:rsidRDefault="00D76F8A" w:rsidP="0034769E">
      <w:pPr>
        <w:spacing w:line="480" w:lineRule="auto"/>
        <w:textAlignment w:val="baseline"/>
        <w:rPr>
          <w:rFonts w:eastAsia="Times New Roman" w:cstheme="minorHAnsi"/>
        </w:rPr>
      </w:pPr>
    </w:p>
    <w:p w14:paraId="1F0D0BE8" w14:textId="77777777" w:rsidR="00D76F8A" w:rsidRPr="004349BE" w:rsidRDefault="00D76F8A" w:rsidP="0034769E">
      <w:pPr>
        <w:spacing w:line="480" w:lineRule="auto"/>
        <w:textAlignment w:val="baseline"/>
        <w:rPr>
          <w:rFonts w:eastAsia="Times New Roman" w:cstheme="minorHAnsi"/>
        </w:rPr>
      </w:pPr>
    </w:p>
    <w:p w14:paraId="528E7D0D"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lastRenderedPageBreak/>
        <w:t>Dental Hygienists</w:t>
      </w:r>
    </w:p>
    <w:p w14:paraId="3F603749" w14:textId="77777777" w:rsidR="00D76F8A" w:rsidRPr="0034769E" w:rsidRDefault="00D76F8A" w:rsidP="00D76F8A">
      <w:pPr>
        <w:pStyle w:val="ListParagraph"/>
        <w:numPr>
          <w:ilvl w:val="0"/>
          <w:numId w:val="20"/>
        </w:numPr>
        <w:spacing w:line="480" w:lineRule="auto"/>
        <w:textAlignment w:val="baseline"/>
        <w:rPr>
          <w:rFonts w:eastAsia="Times New Roman" w:cstheme="minorHAnsi"/>
        </w:rPr>
      </w:pPr>
      <w:r w:rsidRPr="0034769E">
        <w:rPr>
          <w:rFonts w:eastAsia="Times New Roman" w:cstheme="minorHAnsi"/>
        </w:rPr>
        <w:t>Dental hygienists allowed to administer seasonal and H1N1 vaccinations at PODs under limited circumstances. (NY)</w:t>
      </w:r>
    </w:p>
    <w:p w14:paraId="6935C402" w14:textId="77777777" w:rsidR="00D76F8A" w:rsidRPr="004349BE" w:rsidRDefault="00D76F8A" w:rsidP="00AE5BF7">
      <w:pPr>
        <w:spacing w:line="480" w:lineRule="auto"/>
        <w:textAlignment w:val="baseline"/>
        <w:rPr>
          <w:rFonts w:eastAsia="Times New Roman" w:cstheme="minorHAnsi"/>
        </w:rPr>
      </w:pPr>
    </w:p>
    <w:p w14:paraId="4EAD6E6C" w14:textId="77777777" w:rsidR="00D76F8A" w:rsidRPr="004349BE" w:rsidRDefault="00D76F8A" w:rsidP="00AE5BF7">
      <w:pPr>
        <w:spacing w:line="480" w:lineRule="auto"/>
        <w:rPr>
          <w:rFonts w:eastAsia="Times New Roman" w:cstheme="minorHAnsi"/>
          <w:b/>
          <w:bCs/>
        </w:rPr>
      </w:pPr>
      <w:r w:rsidRPr="004349BE">
        <w:rPr>
          <w:rFonts w:eastAsia="Times New Roman" w:cstheme="minorHAnsi"/>
          <w:b/>
          <w:bCs/>
        </w:rPr>
        <w:t>Medical</w:t>
      </w:r>
    </w:p>
    <w:p w14:paraId="6E71FC13"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Podiatrists</w:t>
      </w:r>
    </w:p>
    <w:p w14:paraId="25E052C0" w14:textId="77777777" w:rsidR="00D76F8A" w:rsidRPr="0034769E" w:rsidRDefault="00D76F8A" w:rsidP="00D76F8A">
      <w:pPr>
        <w:pStyle w:val="ListParagraph"/>
        <w:numPr>
          <w:ilvl w:val="0"/>
          <w:numId w:val="20"/>
        </w:numPr>
        <w:spacing w:line="480" w:lineRule="auto"/>
        <w:textAlignment w:val="baseline"/>
        <w:rPr>
          <w:rFonts w:eastAsia="Times New Roman" w:cstheme="minorHAnsi"/>
        </w:rPr>
      </w:pPr>
      <w:r w:rsidRPr="0034769E">
        <w:rPr>
          <w:rFonts w:eastAsia="Times New Roman" w:cstheme="minorHAnsi"/>
        </w:rPr>
        <w:t>Commissioner of health authorized to permit podiatrists to administer vaccinations if a local board of health requests state assistance to respond to a public health threat. (MN)</w:t>
      </w:r>
    </w:p>
    <w:p w14:paraId="29D34E51" w14:textId="77777777" w:rsidR="00D76F8A" w:rsidRPr="0034769E" w:rsidRDefault="00D76F8A" w:rsidP="00D76F8A">
      <w:pPr>
        <w:pStyle w:val="ListParagraph"/>
        <w:numPr>
          <w:ilvl w:val="0"/>
          <w:numId w:val="20"/>
        </w:numPr>
        <w:spacing w:line="480" w:lineRule="auto"/>
        <w:textAlignment w:val="baseline"/>
        <w:rPr>
          <w:rFonts w:eastAsia="Times New Roman" w:cstheme="minorHAnsi"/>
        </w:rPr>
      </w:pPr>
      <w:r w:rsidRPr="0034769E">
        <w:rPr>
          <w:rFonts w:eastAsia="Times New Roman" w:cstheme="minorHAnsi"/>
        </w:rPr>
        <w:t>Podiatrists allowed to administer seasonal and H1N1 vaccinations at PODs under limited circumstances. (NY)</w:t>
      </w:r>
    </w:p>
    <w:p w14:paraId="2A70469B" w14:textId="77777777" w:rsidR="00D76F8A" w:rsidRPr="004349BE" w:rsidRDefault="00D76F8A" w:rsidP="00AE5BF7">
      <w:pPr>
        <w:spacing w:line="480" w:lineRule="auto"/>
        <w:textAlignment w:val="baseline"/>
        <w:rPr>
          <w:rFonts w:eastAsia="Times New Roman" w:cstheme="minorHAnsi"/>
        </w:rPr>
      </w:pPr>
    </w:p>
    <w:p w14:paraId="30515F3B"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Physician Assistants</w:t>
      </w:r>
    </w:p>
    <w:p w14:paraId="3CBF39BE" w14:textId="77777777" w:rsidR="00D76F8A" w:rsidRPr="0034769E" w:rsidRDefault="00D76F8A" w:rsidP="00D76F8A">
      <w:pPr>
        <w:pStyle w:val="ListParagraph"/>
        <w:numPr>
          <w:ilvl w:val="0"/>
          <w:numId w:val="21"/>
        </w:numPr>
        <w:spacing w:line="480" w:lineRule="auto"/>
        <w:textAlignment w:val="baseline"/>
        <w:rPr>
          <w:rFonts w:eastAsia="Times New Roman" w:cstheme="minorHAnsi"/>
        </w:rPr>
      </w:pPr>
      <w:r w:rsidRPr="0034769E">
        <w:rPr>
          <w:rFonts w:eastAsia="Times New Roman" w:cstheme="minorHAnsi"/>
        </w:rPr>
        <w:t>Physician assistants allowed to administer seasonal and H1N1 vaccinations at PODs under limited circumstances. (NY)</w:t>
      </w:r>
    </w:p>
    <w:p w14:paraId="0F1709AA" w14:textId="77777777" w:rsidR="00D76F8A" w:rsidRPr="004349BE" w:rsidRDefault="00D76F8A" w:rsidP="00AE5BF7">
      <w:pPr>
        <w:spacing w:line="480" w:lineRule="auto"/>
        <w:textAlignment w:val="baseline"/>
        <w:rPr>
          <w:rFonts w:eastAsia="Times New Roman" w:cstheme="minorHAnsi"/>
        </w:rPr>
      </w:pPr>
    </w:p>
    <w:p w14:paraId="01DA77DB"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Midwives</w:t>
      </w:r>
    </w:p>
    <w:p w14:paraId="3534CFC5" w14:textId="77777777" w:rsidR="00D76F8A" w:rsidRPr="0034769E" w:rsidRDefault="00D76F8A" w:rsidP="00D76F8A">
      <w:pPr>
        <w:pStyle w:val="ListParagraph"/>
        <w:numPr>
          <w:ilvl w:val="0"/>
          <w:numId w:val="21"/>
        </w:numPr>
        <w:spacing w:line="480" w:lineRule="auto"/>
        <w:textAlignment w:val="baseline"/>
        <w:rPr>
          <w:rFonts w:eastAsia="Times New Roman" w:cstheme="minorHAnsi"/>
        </w:rPr>
      </w:pPr>
      <w:r w:rsidRPr="0034769E">
        <w:rPr>
          <w:rFonts w:eastAsia="Times New Roman" w:cstheme="minorHAnsi"/>
        </w:rPr>
        <w:t>Midwives allowed to administer seasonal and H1N1 vaccinations at PODs under limited circumstances. (NY)</w:t>
      </w:r>
    </w:p>
    <w:p w14:paraId="46138FC9" w14:textId="77777777" w:rsidR="00D76F8A" w:rsidRDefault="00D76F8A" w:rsidP="00AE5BF7">
      <w:pPr>
        <w:spacing w:line="480" w:lineRule="auto"/>
        <w:textAlignment w:val="baseline"/>
        <w:rPr>
          <w:rFonts w:eastAsia="Times New Roman" w:cstheme="minorHAnsi"/>
        </w:rPr>
      </w:pPr>
    </w:p>
    <w:p w14:paraId="777FECFB"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Medical Students</w:t>
      </w:r>
    </w:p>
    <w:p w14:paraId="01B346A8" w14:textId="77777777" w:rsidR="00D76F8A" w:rsidRPr="0034769E" w:rsidRDefault="00D76F8A" w:rsidP="00D76F8A">
      <w:pPr>
        <w:pStyle w:val="ListParagraph"/>
        <w:numPr>
          <w:ilvl w:val="0"/>
          <w:numId w:val="21"/>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55AA5D0B" w14:textId="77777777" w:rsidR="00D76F8A" w:rsidRPr="0034769E" w:rsidRDefault="00D76F8A" w:rsidP="00D76F8A">
      <w:pPr>
        <w:pStyle w:val="ListParagraph"/>
        <w:numPr>
          <w:ilvl w:val="0"/>
          <w:numId w:val="21"/>
        </w:numPr>
        <w:spacing w:line="480" w:lineRule="auto"/>
        <w:textAlignment w:val="baseline"/>
        <w:rPr>
          <w:rFonts w:eastAsia="Times New Roman" w:cstheme="minorHAnsi"/>
        </w:rPr>
      </w:pPr>
      <w:r w:rsidRPr="0034769E">
        <w:rPr>
          <w:rFonts w:eastAsia="Times New Roman" w:cstheme="minorHAnsi"/>
        </w:rPr>
        <w:t>Commissioner of health authorized to permit medical students to administer seasonal and H1N1 vaccine. (MA)</w:t>
      </w:r>
    </w:p>
    <w:p w14:paraId="03C049D1" w14:textId="77777777" w:rsidR="00D76F8A" w:rsidRPr="004349BE" w:rsidRDefault="00D76F8A" w:rsidP="00AE5BF7">
      <w:pPr>
        <w:spacing w:line="480" w:lineRule="auto"/>
        <w:textAlignment w:val="baseline"/>
        <w:rPr>
          <w:rFonts w:eastAsia="Times New Roman" w:cstheme="minorHAnsi"/>
        </w:rPr>
      </w:pPr>
    </w:p>
    <w:p w14:paraId="02DC80BD" w14:textId="77777777" w:rsidR="00D76F8A" w:rsidRPr="004349BE" w:rsidRDefault="00D76F8A" w:rsidP="00AE5BF7">
      <w:pPr>
        <w:spacing w:line="480" w:lineRule="auto"/>
        <w:rPr>
          <w:rFonts w:eastAsia="Times New Roman" w:cstheme="minorHAnsi"/>
          <w:b/>
          <w:bCs/>
        </w:rPr>
      </w:pPr>
      <w:r w:rsidRPr="004349BE">
        <w:rPr>
          <w:rFonts w:eastAsia="Times New Roman" w:cstheme="minorHAnsi"/>
          <w:b/>
          <w:bCs/>
        </w:rPr>
        <w:t>Nursing</w:t>
      </w:r>
    </w:p>
    <w:p w14:paraId="604393C5"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Registered Nurses</w:t>
      </w:r>
    </w:p>
    <w:p w14:paraId="1B88E6DB" w14:textId="77777777" w:rsidR="00D76F8A" w:rsidRPr="0034769E" w:rsidRDefault="00D76F8A" w:rsidP="00D76F8A">
      <w:pPr>
        <w:pStyle w:val="ListParagraph"/>
        <w:numPr>
          <w:ilvl w:val="0"/>
          <w:numId w:val="22"/>
        </w:numPr>
        <w:spacing w:line="480" w:lineRule="auto"/>
        <w:textAlignment w:val="baseline"/>
        <w:rPr>
          <w:rFonts w:eastAsia="Times New Roman" w:cstheme="minorHAnsi"/>
        </w:rPr>
      </w:pPr>
      <w:r w:rsidRPr="0034769E">
        <w:rPr>
          <w:rFonts w:eastAsia="Times New Roman" w:cstheme="minorHAnsi"/>
        </w:rPr>
        <w:t>Registered nurses (RN) could have protocol agreements with physicians permitting a RN to order and dispense influenza vaccine without an individual prescription; limit of 10 orders per physician within the same or adjacent county to physician’s principal place of business. (GA)</w:t>
      </w:r>
    </w:p>
    <w:p w14:paraId="6E0D1475" w14:textId="77777777" w:rsidR="00D76F8A" w:rsidRPr="004349BE" w:rsidRDefault="00D76F8A" w:rsidP="00AE5BF7">
      <w:pPr>
        <w:spacing w:line="480" w:lineRule="auto"/>
        <w:textAlignment w:val="baseline"/>
        <w:rPr>
          <w:rFonts w:eastAsia="Times New Roman" w:cstheme="minorHAnsi"/>
        </w:rPr>
      </w:pPr>
    </w:p>
    <w:p w14:paraId="06D6AF7D"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Nursing Students</w:t>
      </w:r>
    </w:p>
    <w:p w14:paraId="7516FFEF" w14:textId="77777777" w:rsidR="00D76F8A" w:rsidRPr="0034769E" w:rsidRDefault="00D76F8A" w:rsidP="00D76F8A">
      <w:pPr>
        <w:pStyle w:val="ListParagraph"/>
        <w:numPr>
          <w:ilvl w:val="0"/>
          <w:numId w:val="22"/>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0E657681" w14:textId="77777777" w:rsidR="00D76F8A" w:rsidRPr="0034769E" w:rsidRDefault="00D76F8A" w:rsidP="00D76F8A">
      <w:pPr>
        <w:pStyle w:val="ListParagraph"/>
        <w:numPr>
          <w:ilvl w:val="0"/>
          <w:numId w:val="22"/>
        </w:numPr>
        <w:spacing w:line="480" w:lineRule="auto"/>
        <w:textAlignment w:val="baseline"/>
        <w:rPr>
          <w:rFonts w:eastAsia="Times New Roman" w:cstheme="minorHAnsi"/>
        </w:rPr>
      </w:pPr>
      <w:r w:rsidRPr="0034769E">
        <w:rPr>
          <w:rFonts w:eastAsia="Times New Roman" w:cstheme="minorHAnsi"/>
        </w:rPr>
        <w:t>Commissioner of health authorized to permit nursing students to administer seasonal and H1N1 vaccine. (MA)</w:t>
      </w:r>
    </w:p>
    <w:p w14:paraId="657FDDF2" w14:textId="77777777" w:rsidR="00D76F8A" w:rsidRPr="004349BE" w:rsidRDefault="00D76F8A" w:rsidP="00AE5BF7">
      <w:pPr>
        <w:spacing w:line="480" w:lineRule="auto"/>
        <w:textAlignment w:val="baseline"/>
        <w:rPr>
          <w:rFonts w:eastAsia="Times New Roman" w:cstheme="minorHAnsi"/>
        </w:rPr>
      </w:pPr>
    </w:p>
    <w:p w14:paraId="757277C2" w14:textId="77777777" w:rsidR="00D76F8A" w:rsidRPr="004349BE" w:rsidRDefault="00D76F8A" w:rsidP="00AE5BF7">
      <w:pPr>
        <w:spacing w:line="480" w:lineRule="auto"/>
        <w:rPr>
          <w:rFonts w:eastAsia="Times New Roman" w:cstheme="minorHAnsi"/>
          <w:b/>
          <w:bCs/>
        </w:rPr>
      </w:pPr>
      <w:r w:rsidRPr="004349BE">
        <w:rPr>
          <w:rFonts w:eastAsia="Times New Roman" w:cstheme="minorHAnsi"/>
          <w:b/>
          <w:bCs/>
        </w:rPr>
        <w:t>Other Healthcare</w:t>
      </w:r>
    </w:p>
    <w:p w14:paraId="43694E6E"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Assistive Personnel and Specialist Assistants</w:t>
      </w:r>
    </w:p>
    <w:p w14:paraId="39F29CAA" w14:textId="77777777" w:rsidR="00D76F8A" w:rsidRPr="0034769E" w:rsidRDefault="00D76F8A" w:rsidP="00D76F8A">
      <w:pPr>
        <w:pStyle w:val="ListParagraph"/>
        <w:numPr>
          <w:ilvl w:val="0"/>
          <w:numId w:val="13"/>
        </w:numPr>
        <w:spacing w:line="480" w:lineRule="auto"/>
        <w:textAlignment w:val="baseline"/>
        <w:rPr>
          <w:rFonts w:eastAsia="Times New Roman" w:cstheme="minorHAnsi"/>
        </w:rPr>
      </w:pPr>
      <w:r w:rsidRPr="0034769E">
        <w:rPr>
          <w:rFonts w:eastAsia="Times New Roman" w:cstheme="minorHAnsi"/>
        </w:rPr>
        <w:t>Specialist assistants allowed to administer seasonal and H1N1 vaccinations at points of dispensing (PODs) under limited circumstances. (NY)</w:t>
      </w:r>
    </w:p>
    <w:p w14:paraId="2B710345" w14:textId="77777777" w:rsidR="00D76F8A" w:rsidRPr="0034769E" w:rsidRDefault="00D76F8A" w:rsidP="00D76F8A">
      <w:pPr>
        <w:pStyle w:val="ListParagraph"/>
        <w:numPr>
          <w:ilvl w:val="0"/>
          <w:numId w:val="13"/>
        </w:numPr>
        <w:spacing w:line="480" w:lineRule="auto"/>
        <w:textAlignment w:val="baseline"/>
        <w:rPr>
          <w:rFonts w:eastAsia="Times New Roman" w:cstheme="minorHAnsi"/>
        </w:rPr>
      </w:pPr>
      <w:r w:rsidRPr="0034769E">
        <w:rPr>
          <w:rFonts w:eastAsia="Times New Roman" w:cstheme="minorHAnsi"/>
        </w:rPr>
        <w:t>Licensed nurses authorized to delegate technical vaccine administration activities (not professional judgment or decision making) to unlicensed assistive personnel during a defined immunization event and consistent with agency policy and procedures. (NC)</w:t>
      </w:r>
    </w:p>
    <w:p w14:paraId="29973BEB" w14:textId="77777777" w:rsidR="00D76F8A" w:rsidRPr="004349BE" w:rsidRDefault="00D76F8A" w:rsidP="00AE5BF7">
      <w:pPr>
        <w:spacing w:line="480" w:lineRule="auto"/>
        <w:textAlignment w:val="baseline"/>
        <w:rPr>
          <w:rFonts w:eastAsia="Times New Roman" w:cstheme="minorHAnsi"/>
        </w:rPr>
      </w:pPr>
    </w:p>
    <w:p w14:paraId="29E275A6" w14:textId="77777777" w:rsidR="00D76F8A" w:rsidRPr="004349BE" w:rsidRDefault="00D76F8A" w:rsidP="00AE5BF7">
      <w:pPr>
        <w:spacing w:line="480" w:lineRule="auto"/>
        <w:rPr>
          <w:rFonts w:eastAsia="Times New Roman" w:cstheme="minorHAnsi"/>
          <w:b/>
          <w:bCs/>
        </w:rPr>
      </w:pPr>
      <w:r w:rsidRPr="004349BE">
        <w:rPr>
          <w:rFonts w:eastAsia="Times New Roman" w:cstheme="minorHAnsi"/>
          <w:b/>
          <w:bCs/>
        </w:rPr>
        <w:t>Veterinary</w:t>
      </w:r>
    </w:p>
    <w:p w14:paraId="6FC81B85" w14:textId="77777777" w:rsidR="00D76F8A" w:rsidRPr="004349BE" w:rsidRDefault="00D76F8A"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Veterinarians</w:t>
      </w:r>
    </w:p>
    <w:p w14:paraId="6AD4C2B0" w14:textId="77777777" w:rsidR="00D76F8A" w:rsidRPr="0034769E" w:rsidRDefault="00D76F8A" w:rsidP="00D76F8A">
      <w:pPr>
        <w:pStyle w:val="ListParagraph"/>
        <w:numPr>
          <w:ilvl w:val="0"/>
          <w:numId w:val="23"/>
        </w:numPr>
        <w:spacing w:line="480" w:lineRule="auto"/>
        <w:textAlignment w:val="baseline"/>
        <w:rPr>
          <w:rFonts w:eastAsia="Times New Roman" w:cstheme="minorHAnsi"/>
        </w:rPr>
      </w:pPr>
      <w:r w:rsidRPr="0034769E">
        <w:rPr>
          <w:rFonts w:eastAsia="Times New Roman" w:cstheme="minorHAnsi"/>
        </w:rPr>
        <w:lastRenderedPageBreak/>
        <w:t>Commissioner of health authorized to permit veterinarians to administer vaccinations if a local board of health requests state assistance to respond to a public health threat. (MN)</w:t>
      </w:r>
    </w:p>
    <w:p w14:paraId="7F3DC010" w14:textId="77777777" w:rsidR="00D76F8A" w:rsidRPr="004349BE" w:rsidRDefault="00D76F8A" w:rsidP="00AE5BF7">
      <w:pPr>
        <w:spacing w:line="480" w:lineRule="auto"/>
        <w:textAlignment w:val="baseline"/>
        <w:rPr>
          <w:rFonts w:eastAsia="Times New Roman" w:cstheme="minorHAnsi"/>
        </w:rPr>
      </w:pPr>
    </w:p>
    <w:p w14:paraId="7EFE15D4" w14:textId="77777777" w:rsidR="00D76F8A" w:rsidRPr="004349BE" w:rsidRDefault="00D76F8A" w:rsidP="00AE5BF7">
      <w:pPr>
        <w:spacing w:line="480" w:lineRule="auto"/>
        <w:textAlignment w:val="baseline"/>
        <w:rPr>
          <w:rFonts w:eastAsia="Times New Roman" w:cstheme="minorHAnsi"/>
        </w:rPr>
      </w:pPr>
      <w:r>
        <w:rPr>
          <w:rFonts w:eastAsia="Times New Roman" w:cstheme="minorHAnsi"/>
        </w:rPr>
        <w:t>________________________________________</w:t>
      </w:r>
    </w:p>
    <w:p w14:paraId="74985522" w14:textId="77777777" w:rsidR="00D76F8A" w:rsidRPr="004349BE" w:rsidRDefault="00D76F8A" w:rsidP="00D76F8A">
      <w:pPr>
        <w:numPr>
          <w:ilvl w:val="0"/>
          <w:numId w:val="14"/>
        </w:numPr>
        <w:spacing w:line="480" w:lineRule="auto"/>
        <w:ind w:left="450"/>
        <w:textAlignment w:val="baseline"/>
        <w:rPr>
          <w:rFonts w:eastAsia="Times New Roman" w:cstheme="minorHAnsi"/>
        </w:rPr>
      </w:pPr>
      <w:r w:rsidRPr="004349BE">
        <w:rPr>
          <w:rFonts w:eastAsia="Times New Roman" w:cstheme="minorHAnsi"/>
        </w:rPr>
        <w:t>Information adapted from Courtney B et al. “Expanding Practitioner Scopes of Practice During Public Health Emergencies: Experiences from the 2009 H1N1 Pandemic Vaccination Efforts.” </w:t>
      </w:r>
      <w:r w:rsidRPr="004349BE">
        <w:rPr>
          <w:rFonts w:eastAsia="Times New Roman" w:cstheme="minorHAnsi"/>
          <w:i/>
          <w:iCs/>
          <w:bdr w:val="none" w:sz="0" w:space="0" w:color="auto" w:frame="1"/>
        </w:rPr>
        <w:t>Biosecurity and Bioterrorism</w:t>
      </w:r>
      <w:r w:rsidRPr="004349BE">
        <w:rPr>
          <w:rFonts w:eastAsia="Times New Roman" w:cstheme="minorHAnsi"/>
        </w:rPr>
        <w:t>. Vol. 8, No. 3. 2010.</w:t>
      </w:r>
    </w:p>
    <w:p w14:paraId="1306E194" w14:textId="1CC3A972" w:rsidR="00D76F8A" w:rsidRDefault="00D76F8A" w:rsidP="00AE5BF7">
      <w:pPr>
        <w:spacing w:line="480" w:lineRule="auto"/>
        <w:rPr>
          <w:rFonts w:cstheme="minorHAnsi"/>
        </w:rPr>
      </w:pPr>
    </w:p>
    <w:p w14:paraId="194832EA" w14:textId="782C946E" w:rsidR="0082238F" w:rsidRDefault="0082238F" w:rsidP="00AE5BF7">
      <w:pPr>
        <w:spacing w:line="480" w:lineRule="auto"/>
        <w:rPr>
          <w:rFonts w:cstheme="minorHAnsi"/>
        </w:rPr>
      </w:pPr>
      <w:r>
        <w:rPr>
          <w:rFonts w:cstheme="minorHAnsi"/>
          <w:sz w:val="24"/>
        </w:rPr>
        <w:t>[</w:t>
      </w:r>
      <w:hyperlink w:anchor="TOC_top" w:history="1">
        <w:r w:rsidRPr="0082238F">
          <w:rPr>
            <w:rStyle w:val="Hyperlink"/>
            <w:rFonts w:cstheme="minorHAnsi"/>
            <w:sz w:val="24"/>
          </w:rPr>
          <w:t>TOC t</w:t>
        </w:r>
        <w:r w:rsidRPr="0082238F">
          <w:rPr>
            <w:rStyle w:val="Hyperlink"/>
            <w:rFonts w:cstheme="minorHAnsi"/>
            <w:sz w:val="24"/>
          </w:rPr>
          <w:t>o</w:t>
        </w:r>
        <w:r w:rsidRPr="0082238F">
          <w:rPr>
            <w:rStyle w:val="Hyperlink"/>
            <w:rFonts w:cstheme="minorHAnsi"/>
            <w:sz w:val="24"/>
          </w:rPr>
          <w:t>p</w:t>
        </w:r>
      </w:hyperlink>
      <w:r>
        <w:rPr>
          <w:rFonts w:cstheme="minorHAnsi"/>
          <w:sz w:val="24"/>
        </w:rPr>
        <w:t>]</w:t>
      </w:r>
    </w:p>
    <w:p w14:paraId="06EB9F91" w14:textId="18553EA5" w:rsidR="0082238F" w:rsidRDefault="0082238F">
      <w:pPr>
        <w:rPr>
          <w:rFonts w:cstheme="minorHAnsi"/>
        </w:rPr>
      </w:pPr>
      <w:r>
        <w:rPr>
          <w:rFonts w:cstheme="minorHAnsi"/>
        </w:rPr>
        <w:br w:type="page"/>
      </w:r>
    </w:p>
    <w:p w14:paraId="17E3DB5D" w14:textId="77777777" w:rsidR="00D76F8A" w:rsidRPr="00A1396E" w:rsidRDefault="00D76F8A" w:rsidP="00065F00">
      <w:pPr>
        <w:spacing w:line="480" w:lineRule="auto"/>
        <w:rPr>
          <w:rFonts w:eastAsia="Times New Roman" w:cstheme="minorHAnsi"/>
          <w:b/>
          <w:bCs/>
          <w:color w:val="333333"/>
          <w:spacing w:val="15"/>
          <w:kern w:val="36"/>
          <w:sz w:val="28"/>
          <w:szCs w:val="28"/>
        </w:rPr>
      </w:pPr>
      <w:bookmarkStart w:id="4" w:name="SOP_Isssues_FS"/>
      <w:r w:rsidRPr="00A1396E">
        <w:rPr>
          <w:rFonts w:eastAsia="Times New Roman" w:cstheme="minorHAnsi"/>
          <w:b/>
          <w:bCs/>
          <w:color w:val="333333"/>
          <w:spacing w:val="15"/>
          <w:kern w:val="36"/>
          <w:sz w:val="28"/>
          <w:szCs w:val="28"/>
        </w:rPr>
        <w:lastRenderedPageBreak/>
        <w:t>Scope of Practice Issues in Public Health Emergencies</w:t>
      </w:r>
      <w:bookmarkEnd w:id="4"/>
    </w:p>
    <w:p w14:paraId="1B6330C4" w14:textId="77777777" w:rsidR="00D76F8A" w:rsidRDefault="00D76F8A"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Fact Sheet</w:t>
      </w:r>
    </w:p>
    <w:p w14:paraId="47528899" w14:textId="77777777" w:rsidR="00D76F8A" w:rsidRPr="00A1396E" w:rsidRDefault="00D76F8A"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Overview</w:t>
      </w:r>
    </w:p>
    <w:p w14:paraId="444F34AB" w14:textId="77777777" w:rsidR="00D76F8A" w:rsidRPr="00A1396E" w:rsidRDefault="00D76F8A" w:rsidP="00065F00">
      <w:pPr>
        <w:spacing w:line="480" w:lineRule="auto"/>
        <w:rPr>
          <w:rFonts w:eastAsia="Times New Roman" w:cstheme="minorHAnsi"/>
          <w:szCs w:val="20"/>
        </w:rPr>
      </w:pPr>
      <w:r w:rsidRPr="00A1396E">
        <w:rPr>
          <w:rFonts w:eastAsia="Times New Roman" w:cstheme="minorHAnsi"/>
          <w:szCs w:val="20"/>
        </w:rPr>
        <w:t xml:space="preserve">States may find it necessary to modify the scope of practice for some of their regulated professions to meet increased demand for important services during an emergency. The need to supply sufficient numbers of healthcare practitioners to satisfy increased patient demand during a public health emergency is the driving force behind allowing temporary changes to practice requirements. Modifying scope of practice can be accomplished by expanding or altering the scope of activities a practitioner is allowed to engage in and by removing or adding conditions on the permitted activities. Practitioners operating under a modified scope of practice during an emergency may be subject to conditions such as control, supervision, or training requirements. Their modified practice activities may be further limited to situations in which they are working under the direct order or supervision of a state or local entity such as a health agency, emergency management agency, or incident commander. This document discusses the mechanisms used by states to modify scope of practice during emergencies and analyzes the types of activities and control measures associated with modified scope of practice. </w:t>
      </w:r>
    </w:p>
    <w:p w14:paraId="2DA44ADB" w14:textId="77777777" w:rsidR="00D76F8A" w:rsidRPr="00A1396E" w:rsidRDefault="00D76F8A" w:rsidP="00065F00">
      <w:pPr>
        <w:spacing w:line="480" w:lineRule="auto"/>
        <w:rPr>
          <w:rFonts w:eastAsia="Times New Roman" w:cstheme="minorHAnsi"/>
          <w:b/>
          <w:bCs/>
          <w:sz w:val="28"/>
          <w:szCs w:val="24"/>
        </w:rPr>
      </w:pPr>
    </w:p>
    <w:p w14:paraId="12D87905" w14:textId="77777777" w:rsidR="00D76F8A" w:rsidRPr="00A1396E" w:rsidRDefault="00D76F8A"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Defining Scope of Practice</w:t>
      </w:r>
    </w:p>
    <w:p w14:paraId="15A776E8" w14:textId="77777777" w:rsidR="00D76F8A" w:rsidRPr="00A1396E" w:rsidRDefault="00D76F8A" w:rsidP="00065F00">
      <w:pPr>
        <w:spacing w:line="480" w:lineRule="auto"/>
        <w:rPr>
          <w:rFonts w:eastAsia="Times New Roman" w:cstheme="minorHAnsi"/>
        </w:rPr>
      </w:pPr>
      <w:r w:rsidRPr="00A1396E">
        <w:rPr>
          <w:rFonts w:eastAsia="Times New Roman" w:cstheme="minorHAnsi"/>
        </w:rPr>
        <w:t xml:space="preserve">The “scope of practice” for a regulated profession includes those activities and procedures that a person with a specified level of education, training, and competency is authorized to engage in under the statutes and regulations of the state in which the person practices. Scope of practice can also incorporate conditions that may limit the exercise of authorized activities and procedures, such as limited formularies or supervision requirements. Laws and rules governing regulated professions typically also establish continuing education or training requirements, periodic re-examination to ensure </w:t>
      </w:r>
      <w:r w:rsidRPr="00A1396E">
        <w:rPr>
          <w:rFonts w:eastAsia="Times New Roman" w:cstheme="minorHAnsi"/>
        </w:rPr>
        <w:lastRenderedPageBreak/>
        <w:t>continued competency, and mechanisms to adjudicate complaints and impose penalties for violations. </w:t>
      </w:r>
      <w:r w:rsidRPr="00A1396E">
        <w:rPr>
          <w:rFonts w:eastAsia="Times New Roman" w:cstheme="minorHAnsi"/>
        </w:rPr>
        <w:br/>
      </w:r>
      <w:r w:rsidRPr="00A1396E">
        <w:rPr>
          <w:rFonts w:eastAsia="Times New Roman" w:cstheme="minorHAnsi"/>
        </w:rPr>
        <w:br/>
        <w:t>Persons meeting a state’s requirements for that field are issued a license, certification, or some other type of authorization to practice in that state. Practitioners in a field are expected to know what activities and procedures they are and are not authorized to conduct and keep their actions within this scope. Should a practitioner exceed the authorized scope of practice, he or she could be liable for violation of the state’s practice laws, as well as potentially more severe claims such as malpractice. </w:t>
      </w:r>
      <w:r w:rsidRPr="00A1396E">
        <w:rPr>
          <w:rFonts w:eastAsia="Times New Roman" w:cstheme="minorHAnsi"/>
        </w:rPr>
        <w:br/>
      </w:r>
      <w:r w:rsidRPr="00A1396E">
        <w:rPr>
          <w:rFonts w:eastAsia="Times New Roman" w:cstheme="minorHAnsi"/>
        </w:rPr>
        <w:br/>
        <w:t>Because each state has its own unique set of practice requirements for the professions it regulates, the analysis of scope of practice issues should first begin with identifying and analyzing a state’s applicable statutes, regulations, and other policies issued by the cognizant regulating body (e.g., health agency, licensing board, etc.). (See the </w:t>
      </w:r>
      <w:hyperlink r:id="rId8" w:tooltip="ASTHO Scope of Practice Issues State Analysis Guide" w:history="1">
        <w:r w:rsidRPr="00A1396E">
          <w:rPr>
            <w:rFonts w:eastAsia="Times New Roman" w:cstheme="minorHAnsi"/>
            <w:color w:val="00B0F0"/>
            <w:bdr w:val="none" w:sz="0" w:space="0" w:color="auto" w:frame="1"/>
          </w:rPr>
          <w:t>ASTHO Scope of Practice Issues State Analysis Guide</w:t>
        </w:r>
      </w:hyperlink>
      <w:r w:rsidRPr="00A1396E">
        <w:rPr>
          <w:rFonts w:eastAsia="Times New Roman" w:cstheme="minorHAnsi"/>
          <w:color w:val="00B0F0"/>
        </w:rPr>
        <w:t> </w:t>
      </w:r>
      <w:r w:rsidRPr="00A1396E">
        <w:rPr>
          <w:rFonts w:eastAsia="Times New Roman" w:cstheme="minorHAnsi"/>
        </w:rPr>
        <w:t>to facilitate this review [link will download as a Word document].) States likewise use a variety of approaches in modifying the scope of practice that applies to regulated professions in both daily nonemergency settings and when there is a public health emergency or other emergency event. </w:t>
      </w:r>
    </w:p>
    <w:p w14:paraId="54895DB3" w14:textId="77777777" w:rsidR="00D76F8A" w:rsidRPr="00A1396E" w:rsidRDefault="00D76F8A" w:rsidP="00065F00">
      <w:pPr>
        <w:spacing w:line="480" w:lineRule="auto"/>
        <w:rPr>
          <w:rFonts w:eastAsia="Times New Roman" w:cstheme="minorHAnsi"/>
          <w:b/>
          <w:bCs/>
          <w:sz w:val="24"/>
          <w:szCs w:val="24"/>
        </w:rPr>
      </w:pPr>
    </w:p>
    <w:p w14:paraId="34DC7771" w14:textId="77777777" w:rsidR="00D76F8A" w:rsidRPr="00A1396E" w:rsidRDefault="00D76F8A"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Modifying Scope of Practice</w:t>
      </w:r>
    </w:p>
    <w:p w14:paraId="08DEF49C" w14:textId="77777777" w:rsidR="00D76F8A" w:rsidRPr="00A1396E" w:rsidRDefault="00D76F8A" w:rsidP="00065F00">
      <w:pPr>
        <w:spacing w:line="480" w:lineRule="auto"/>
        <w:rPr>
          <w:rFonts w:eastAsia="Times New Roman" w:cstheme="minorHAnsi"/>
          <w:szCs w:val="20"/>
        </w:rPr>
      </w:pPr>
      <w:r w:rsidRPr="00A1396E">
        <w:rPr>
          <w:rFonts w:eastAsia="Times New Roman" w:cstheme="minorHAnsi"/>
          <w:szCs w:val="20"/>
        </w:rPr>
        <w:t xml:space="preserve">State legislatures consider legislation that alters the routine, nonemergency scope of practice for a range of healthcare and other regulated professions annually. As a general proposition, changing the scope of practice for a given profession can be controversial for those affected by the changes. Proposed changes in scope can at times be viewed by the public and regulators as turf battles between two or more segments of a profession fighting over the exclusive right to engage in an activity. However, proposed scope of practice changes can also be seen as a better way to protect the public and give consumers better access to competent professionals. Scope of practice modifications may also be </w:t>
      </w:r>
      <w:r w:rsidRPr="00A1396E">
        <w:rPr>
          <w:rFonts w:eastAsia="Times New Roman" w:cstheme="minorHAnsi"/>
          <w:szCs w:val="20"/>
        </w:rPr>
        <w:lastRenderedPageBreak/>
        <w:t>necessary to keep pace with changes in technology, scientific advancement, and increased societal needs. Because many of the skill sets of various professions overlap—especially in healthcare—it is inevitable that there will be some common skill sets among different regulated professions. </w:t>
      </w:r>
      <w:r w:rsidRPr="00A1396E">
        <w:rPr>
          <w:rFonts w:eastAsia="Times New Roman" w:cstheme="minorHAnsi"/>
          <w:szCs w:val="20"/>
        </w:rPr>
        <w:br/>
      </w:r>
      <w:r w:rsidRPr="00A1396E">
        <w:rPr>
          <w:rFonts w:eastAsia="Times New Roman" w:cstheme="minorHAnsi"/>
          <w:szCs w:val="20"/>
        </w:rPr>
        <w:br/>
        <w:t>Overlapping and closely related skills can become the foundation for modifying and expanding scopes of practice during emergencies. States have modified the scope of practice for certain licensed professions as a strategy to expand their public health emergency response capacity. This practice allows practitioners to conduct activities and procedures they are not normally permitted to do or alters the conditions under which they practice (e.g., replacing direct supervision requirements with written protocols). </w:t>
      </w:r>
      <w:r w:rsidRPr="00A1396E">
        <w:rPr>
          <w:rFonts w:eastAsia="Times New Roman" w:cstheme="minorHAnsi"/>
          <w:szCs w:val="20"/>
        </w:rPr>
        <w:br/>
      </w:r>
      <w:r w:rsidRPr="00A1396E">
        <w:rPr>
          <w:rFonts w:eastAsia="Times New Roman" w:cstheme="minorHAnsi"/>
          <w:szCs w:val="20"/>
        </w:rPr>
        <w:br/>
        <w:t>During the 2009 H1N1 influenza pandemic, a number of states authorized or used modified scope of practice primarily to expand the number of persons eligible to perform vaccinations. These modified scopes of practice were generally temporary measures that were allowed during the duration of a declared emergency or until otherwise permitted by law or order. Other states did not use modified scope of practice during H1N1 because the capacity of healthcare providers was sufficient to respond to the outbreak in the state; some pursued other strategies, such as the use of volunteer healthcare providers, to supplement their response capacity. </w:t>
      </w:r>
    </w:p>
    <w:p w14:paraId="6C5AADE1" w14:textId="77777777" w:rsidR="00D76F8A" w:rsidRPr="00A1396E" w:rsidRDefault="00D76F8A" w:rsidP="00065F00">
      <w:pPr>
        <w:spacing w:line="480" w:lineRule="auto"/>
        <w:rPr>
          <w:rFonts w:eastAsia="Times New Roman" w:cstheme="minorHAnsi"/>
          <w:b/>
          <w:bCs/>
          <w:sz w:val="28"/>
          <w:szCs w:val="24"/>
        </w:rPr>
      </w:pPr>
    </w:p>
    <w:p w14:paraId="6DCD8D31" w14:textId="77777777" w:rsidR="00D76F8A" w:rsidRPr="00A1396E" w:rsidRDefault="00D76F8A"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Legal Authorities to Modify Scope of Practice</w:t>
      </w:r>
    </w:p>
    <w:p w14:paraId="01AE85C5" w14:textId="77777777" w:rsidR="00D76F8A" w:rsidRPr="00A1396E" w:rsidRDefault="00D76F8A" w:rsidP="00065F00">
      <w:pPr>
        <w:spacing w:line="480" w:lineRule="auto"/>
        <w:rPr>
          <w:rFonts w:eastAsia="Times New Roman" w:cstheme="minorHAnsi"/>
          <w:szCs w:val="20"/>
        </w:rPr>
      </w:pPr>
      <w:r w:rsidRPr="00A1396E">
        <w:rPr>
          <w:rFonts w:eastAsia="Times New Roman" w:cstheme="minorHAnsi"/>
          <w:szCs w:val="20"/>
        </w:rPr>
        <w:t xml:space="preserve">The legal authorities and mechanisms for modifying scope of practice for a public health or other emergency vary among states. During the H1N1 outbreak, states used different legal approaches to accomplish scope of practice changes. Some states have permanently authorized modified scopes of practice in emergencies for selected regulated professions, either by statute or regulation. In this </w:t>
      </w:r>
      <w:r w:rsidRPr="00A1396E">
        <w:rPr>
          <w:rFonts w:eastAsia="Times New Roman" w:cstheme="minorHAnsi"/>
          <w:szCs w:val="20"/>
        </w:rPr>
        <w:lastRenderedPageBreak/>
        <w:t>instance, these provisions may be activated by an emergency declaration by a governor, health officer, practice regulatory body, or other authorized officials. The modifications authorized may be specified in statute or regulation or defined by order on a case-by-case basis for each emergency. Other states have used orders from a governor, health officer, or practice regulatory bodies during a declared emergency to authorize and specify the modified scope of practice applicable for that emergency. </w:t>
      </w:r>
      <w:r w:rsidRPr="00A1396E">
        <w:rPr>
          <w:rFonts w:eastAsia="Times New Roman" w:cstheme="minorHAnsi"/>
          <w:szCs w:val="20"/>
        </w:rPr>
        <w:br/>
      </w:r>
      <w:r w:rsidRPr="00A1396E">
        <w:rPr>
          <w:rFonts w:eastAsia="Times New Roman" w:cstheme="minorHAnsi"/>
          <w:szCs w:val="20"/>
        </w:rPr>
        <w:br/>
        <w:t>Modified practice authority granted in an emergency generally lasts until the underlying emergency declaration expires or is otherwise cancelled by the health agency or professional regulatory body. The emergency scope of practice modifications may or may not evolve into permanent scope of practice changes for a profession. </w:t>
      </w:r>
    </w:p>
    <w:p w14:paraId="1F4E7883" w14:textId="77777777" w:rsidR="00D76F8A" w:rsidRPr="00A1396E" w:rsidRDefault="00D76F8A" w:rsidP="00065F00">
      <w:pPr>
        <w:spacing w:line="480" w:lineRule="auto"/>
        <w:rPr>
          <w:rFonts w:eastAsia="Times New Roman" w:cstheme="minorHAnsi"/>
          <w:b/>
          <w:bCs/>
          <w:sz w:val="28"/>
          <w:szCs w:val="24"/>
        </w:rPr>
      </w:pPr>
    </w:p>
    <w:p w14:paraId="2071F7EF" w14:textId="77777777" w:rsidR="00D76F8A" w:rsidRPr="00A1396E" w:rsidRDefault="00D76F8A"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Modified Scope of Practice Activities in Emergencies</w:t>
      </w:r>
    </w:p>
    <w:p w14:paraId="4F415B19" w14:textId="77777777" w:rsidR="00D76F8A" w:rsidRPr="009750E4" w:rsidRDefault="00D76F8A" w:rsidP="00065F00">
      <w:pPr>
        <w:spacing w:line="480" w:lineRule="auto"/>
        <w:rPr>
          <w:rFonts w:eastAsia="Times New Roman" w:cstheme="minorHAnsi"/>
          <w:szCs w:val="20"/>
        </w:rPr>
      </w:pPr>
      <w:r w:rsidRPr="009750E4">
        <w:rPr>
          <w:rFonts w:eastAsia="Times New Roman" w:cstheme="minorHAnsi"/>
          <w:szCs w:val="20"/>
        </w:rPr>
        <w:t>Modifying scope of practice in emergencies generally involves addressing: (1) the types of activities permitted under the modified scope; (2) the types of practitioners permitted to engage in the modified activities; (3) the control or supervision requirements for the practitioners undertaking the modified activities; and (4) any new or supplemental training a practitioner is required to receive. The 2009 H1N1 influenza pandemic saw broader use of modified scope of practice by states than in prior public health emergencies. </w:t>
      </w:r>
    </w:p>
    <w:p w14:paraId="1950AEAB" w14:textId="77777777" w:rsidR="00D76F8A" w:rsidRPr="009750E4" w:rsidRDefault="00D76F8A" w:rsidP="00065F00">
      <w:pPr>
        <w:spacing w:line="480" w:lineRule="auto"/>
        <w:rPr>
          <w:rFonts w:eastAsia="Times New Roman" w:cstheme="minorHAnsi"/>
          <w:b/>
          <w:bCs/>
          <w:szCs w:val="20"/>
        </w:rPr>
      </w:pPr>
    </w:p>
    <w:p w14:paraId="47498EC4" w14:textId="77777777" w:rsidR="00D76F8A" w:rsidRPr="009750E4" w:rsidRDefault="00D76F8A" w:rsidP="00065F00">
      <w:pPr>
        <w:spacing w:line="480" w:lineRule="auto"/>
        <w:rPr>
          <w:rFonts w:eastAsia="Times New Roman" w:cstheme="minorHAnsi"/>
          <w:b/>
          <w:bCs/>
          <w:szCs w:val="20"/>
        </w:rPr>
      </w:pPr>
      <w:r w:rsidRPr="009750E4">
        <w:rPr>
          <w:rFonts w:eastAsia="Times New Roman" w:cstheme="minorHAnsi"/>
          <w:b/>
          <w:bCs/>
          <w:szCs w:val="20"/>
        </w:rPr>
        <w:t>Permitted Activities and Practitioners Undertaking Them</w:t>
      </w:r>
    </w:p>
    <w:p w14:paraId="6BF6DB54" w14:textId="77777777" w:rsidR="00D76F8A" w:rsidRPr="009750E4" w:rsidRDefault="00D76F8A" w:rsidP="00065F00">
      <w:pPr>
        <w:spacing w:line="480" w:lineRule="auto"/>
        <w:rPr>
          <w:rFonts w:eastAsia="Times New Roman" w:cstheme="minorHAnsi"/>
          <w:szCs w:val="20"/>
        </w:rPr>
      </w:pPr>
      <w:r w:rsidRPr="009750E4">
        <w:rPr>
          <w:rFonts w:eastAsia="Times New Roman" w:cstheme="minorHAnsi"/>
          <w:szCs w:val="20"/>
        </w:rPr>
        <w:t>States’ approaches to modifying the types of practitioners and the activities they are allowed to conduct in an emergency vary considerably. There are, however, common elements addressed in a modified scope of practice decision:</w:t>
      </w:r>
    </w:p>
    <w:p w14:paraId="78491575" w14:textId="77777777" w:rsidR="00D76F8A" w:rsidRPr="009750E4" w:rsidRDefault="00D76F8A" w:rsidP="00065F00">
      <w:pPr>
        <w:spacing w:line="480" w:lineRule="auto"/>
        <w:rPr>
          <w:rFonts w:eastAsia="Times New Roman" w:cstheme="minorHAnsi"/>
          <w:b/>
          <w:bCs/>
          <w:szCs w:val="20"/>
          <w:bdr w:val="none" w:sz="0" w:space="0" w:color="auto" w:frame="1"/>
        </w:rPr>
      </w:pPr>
    </w:p>
    <w:p w14:paraId="26C911BB" w14:textId="77777777" w:rsidR="00D76F8A" w:rsidRPr="009750E4" w:rsidRDefault="00D76F8A" w:rsidP="00D76F8A">
      <w:pPr>
        <w:pStyle w:val="ListParagraph"/>
        <w:numPr>
          <w:ilvl w:val="0"/>
          <w:numId w:val="25"/>
        </w:numPr>
        <w:spacing w:line="480" w:lineRule="auto"/>
        <w:rPr>
          <w:rFonts w:eastAsia="Times New Roman" w:cstheme="minorHAnsi"/>
          <w:szCs w:val="20"/>
        </w:rPr>
      </w:pPr>
      <w:r w:rsidRPr="009750E4">
        <w:rPr>
          <w:rFonts w:eastAsia="Times New Roman" w:cstheme="minorHAnsi"/>
          <w:b/>
          <w:bCs/>
          <w:szCs w:val="20"/>
          <w:bdr w:val="none" w:sz="0" w:space="0" w:color="auto" w:frame="1"/>
        </w:rPr>
        <w:lastRenderedPageBreak/>
        <w:t>Types of practitioners allowed to engage in the modified practice activity.</w:t>
      </w:r>
      <w:r w:rsidRPr="009750E4">
        <w:rPr>
          <w:rFonts w:eastAsia="Times New Roman" w:cstheme="minorHAnsi"/>
          <w:szCs w:val="20"/>
        </w:rPr>
        <w:t> Not all regulated health professions in a state will be required or permitted to work under a modified scope of practice during an emergency. Those professions with the same or similar skill sets necessary to meet the particular demands of specific emergency event are most likely to be considered for modified practice. During the H1N1 response, pharmacists and EMS providers were among the professions most frequently designated for a modified scope of practice to supplement states’ capacity to rapidly vaccinate their populations with the H1N1 vaccine. Other potential strategies include allowing experienced personnel to temporarily perform at the next level of credential within a field without qualifying education, training hours, or examination, and allowing prior licensees or retired practitioners who were in good standing to practice during the emergency event.</w:t>
      </w:r>
    </w:p>
    <w:p w14:paraId="0AB9FFE3" w14:textId="77777777" w:rsidR="00D76F8A" w:rsidRPr="009750E4" w:rsidRDefault="00D76F8A" w:rsidP="00065F00">
      <w:pPr>
        <w:spacing w:line="480" w:lineRule="auto"/>
        <w:rPr>
          <w:rFonts w:eastAsia="Times New Roman" w:cstheme="minorHAnsi"/>
          <w:b/>
          <w:bCs/>
          <w:szCs w:val="20"/>
          <w:bdr w:val="none" w:sz="0" w:space="0" w:color="auto" w:frame="1"/>
        </w:rPr>
      </w:pPr>
    </w:p>
    <w:p w14:paraId="1C9A6FD9" w14:textId="77777777" w:rsidR="00D76F8A" w:rsidRPr="009750E4" w:rsidRDefault="00D76F8A" w:rsidP="00D76F8A">
      <w:pPr>
        <w:pStyle w:val="ListParagraph"/>
        <w:numPr>
          <w:ilvl w:val="0"/>
          <w:numId w:val="24"/>
        </w:numPr>
        <w:spacing w:line="480" w:lineRule="auto"/>
        <w:rPr>
          <w:rFonts w:eastAsia="Times New Roman" w:cstheme="minorHAnsi"/>
          <w:szCs w:val="20"/>
        </w:rPr>
      </w:pPr>
      <w:r w:rsidRPr="009750E4">
        <w:rPr>
          <w:rFonts w:eastAsia="Times New Roman" w:cstheme="minorHAnsi"/>
          <w:b/>
          <w:bCs/>
          <w:szCs w:val="20"/>
          <w:bdr w:val="none" w:sz="0" w:space="0" w:color="auto" w:frame="1"/>
        </w:rPr>
        <w:t>Types of modified activities permitted.</w:t>
      </w:r>
      <w:r w:rsidRPr="009750E4">
        <w:rPr>
          <w:rFonts w:eastAsia="Times New Roman" w:cstheme="minorHAnsi"/>
          <w:szCs w:val="20"/>
        </w:rPr>
        <w:t> The types of modified activities a regulated professional will be permitted to conduct under modified practice will vary with the level of practitioner (e.g., registered nurse vs. nurses’ aide) and the extent of the need. Examples of modified practice activities include, but are not limited to, administering drugs, performing vaccinations or other injections, monitoring respiratory function, and monitoring general patient condition. In the H1N1 pandemic response, states primarily modified scope of practice to increase the numbers of vaccinators available to meet real or anticipated demand.</w:t>
      </w:r>
    </w:p>
    <w:p w14:paraId="6BC19D23" w14:textId="77777777" w:rsidR="00D76F8A" w:rsidRPr="009750E4" w:rsidRDefault="00D76F8A" w:rsidP="00065F00">
      <w:pPr>
        <w:spacing w:line="480" w:lineRule="auto"/>
        <w:rPr>
          <w:rFonts w:eastAsia="Times New Roman" w:cstheme="minorHAnsi"/>
          <w:b/>
          <w:bCs/>
          <w:szCs w:val="20"/>
          <w:bdr w:val="none" w:sz="0" w:space="0" w:color="auto" w:frame="1"/>
        </w:rPr>
      </w:pPr>
    </w:p>
    <w:p w14:paraId="7DB64897" w14:textId="77777777" w:rsidR="00D76F8A" w:rsidRPr="009750E4" w:rsidRDefault="00D76F8A" w:rsidP="00D76F8A">
      <w:pPr>
        <w:pStyle w:val="ListParagraph"/>
        <w:numPr>
          <w:ilvl w:val="0"/>
          <w:numId w:val="24"/>
        </w:numPr>
        <w:spacing w:line="480" w:lineRule="auto"/>
        <w:rPr>
          <w:rFonts w:eastAsia="Times New Roman" w:cstheme="minorHAnsi"/>
          <w:szCs w:val="20"/>
        </w:rPr>
      </w:pPr>
      <w:r w:rsidRPr="009750E4">
        <w:rPr>
          <w:rFonts w:eastAsia="Times New Roman" w:cstheme="minorHAnsi"/>
          <w:b/>
          <w:bCs/>
          <w:szCs w:val="20"/>
          <w:bdr w:val="none" w:sz="0" w:space="0" w:color="auto" w:frame="1"/>
        </w:rPr>
        <w:t>Conditions or limitations on the practitioner when doing the modified practice activity.</w:t>
      </w:r>
      <w:r w:rsidRPr="009750E4">
        <w:rPr>
          <w:rFonts w:eastAsia="Times New Roman" w:cstheme="minorHAnsi"/>
          <w:szCs w:val="20"/>
        </w:rPr>
        <w:t xml:space="preserve"> States frequently place conditions or limitations on regulated professionals who practice under a modified scope during an emergency. These requirements can take a number of forms. They may address the types of drugs or vaccines that a practitioner working under an emergency modified scope of practice may administer. They may limit the age of patients that the practitioner may treat (e.g., </w:t>
      </w:r>
      <w:r w:rsidRPr="009750E4">
        <w:rPr>
          <w:rFonts w:eastAsia="Times New Roman" w:cstheme="minorHAnsi"/>
          <w:szCs w:val="20"/>
        </w:rPr>
        <w:lastRenderedPageBreak/>
        <w:t>adults only). They may also impose medical control or supervision requirements (see discussion below). </w:t>
      </w:r>
      <w:r w:rsidRPr="009750E4">
        <w:rPr>
          <w:rFonts w:eastAsia="Times New Roman" w:cstheme="minorHAnsi"/>
          <w:szCs w:val="20"/>
        </w:rPr>
        <w:br/>
      </w:r>
      <w:r w:rsidRPr="009750E4">
        <w:rPr>
          <w:rFonts w:eastAsia="Times New Roman" w:cstheme="minorHAnsi"/>
          <w:szCs w:val="20"/>
        </w:rPr>
        <w:br/>
        <w:t>Conversely, a modified scope of practice in an emergency may relax existing conditions or limitations on scope of practice. In H1N1, states increased the age range of patients that specified healthcare practitioners could vaccinate (e.g., adding children over a certain age). Other strategies can include reducing the numbers or types of personnel required for a task (e.g., requiring that an ambulance be staffed by specified levels and numbers of EMTs) or expanding the formulary of drugs a practitioner may administer. An emergency scope of practice can also temporarily modify or eliminate certain medical control or supervision requirements.</w:t>
      </w:r>
    </w:p>
    <w:p w14:paraId="550BB2E1" w14:textId="77777777" w:rsidR="00D76F8A" w:rsidRPr="009750E4" w:rsidRDefault="00D76F8A" w:rsidP="00065F00">
      <w:pPr>
        <w:spacing w:line="480" w:lineRule="auto"/>
        <w:rPr>
          <w:rFonts w:eastAsia="Times New Roman" w:cstheme="minorHAnsi"/>
          <w:b/>
          <w:bCs/>
          <w:szCs w:val="20"/>
        </w:rPr>
      </w:pPr>
    </w:p>
    <w:p w14:paraId="3CDA3C7A" w14:textId="77777777" w:rsidR="00D76F8A" w:rsidRPr="009750E4" w:rsidRDefault="00D76F8A" w:rsidP="00065F00">
      <w:pPr>
        <w:spacing w:line="480" w:lineRule="auto"/>
        <w:rPr>
          <w:rFonts w:eastAsia="Times New Roman" w:cstheme="minorHAnsi"/>
          <w:b/>
          <w:bCs/>
          <w:szCs w:val="20"/>
        </w:rPr>
      </w:pPr>
      <w:r w:rsidRPr="009750E4">
        <w:rPr>
          <w:rFonts w:eastAsia="Times New Roman" w:cstheme="minorHAnsi"/>
          <w:b/>
          <w:bCs/>
          <w:szCs w:val="20"/>
        </w:rPr>
        <w:t>Medical Control and Other Supervision Issues</w:t>
      </w:r>
    </w:p>
    <w:p w14:paraId="1B4EECE3" w14:textId="77777777" w:rsidR="00D76F8A" w:rsidRPr="009750E4" w:rsidRDefault="00D76F8A" w:rsidP="00065F00">
      <w:pPr>
        <w:spacing w:line="480" w:lineRule="auto"/>
        <w:rPr>
          <w:rFonts w:eastAsia="Times New Roman" w:cstheme="minorHAnsi"/>
          <w:szCs w:val="20"/>
        </w:rPr>
      </w:pPr>
      <w:r w:rsidRPr="009750E4">
        <w:rPr>
          <w:rFonts w:eastAsia="Times New Roman" w:cstheme="minorHAnsi"/>
          <w:szCs w:val="20"/>
        </w:rPr>
        <w:t>Some regulated professionals, such as licensed medical doctors, are authorized to practice independently within the scope of practice specified by the state in which they are licensed; they do not require supervision or control by another licensed practitioner. For many healthcare and other regulated professionals, however, their permitted scope of practice in nonemergency settings includes requirements for medical control—oversight by a more senior practitioner or one with additional training—or some other type of supervision. Medical control or supervision is accomplished through personal oversight or written directions in the form of prescriptions, protocols, or orders. Temporarily modifying medical control and supervision requirements, either by altering, removing, or adding requirements, is a frequent consideration and strategy used to change a professional scope of practice during public health emergencies. During H1N1, some states used this approach to allow physicians to issue standing orders permitting vaccination without issuing prescriptions to individual patients.</w:t>
      </w:r>
    </w:p>
    <w:p w14:paraId="3DE28EC4" w14:textId="77777777" w:rsidR="00D76F8A" w:rsidRPr="009750E4" w:rsidRDefault="00D76F8A" w:rsidP="00065F00">
      <w:pPr>
        <w:spacing w:line="480" w:lineRule="auto"/>
        <w:rPr>
          <w:rFonts w:eastAsia="Times New Roman" w:cstheme="minorHAnsi"/>
          <w:b/>
          <w:bCs/>
          <w:szCs w:val="20"/>
          <w:bdr w:val="none" w:sz="0" w:space="0" w:color="auto" w:frame="1"/>
        </w:rPr>
      </w:pPr>
    </w:p>
    <w:p w14:paraId="378BC7ED" w14:textId="77777777" w:rsidR="00D76F8A" w:rsidRPr="009750E4" w:rsidRDefault="00D76F8A" w:rsidP="00D76F8A">
      <w:pPr>
        <w:pStyle w:val="ListParagraph"/>
        <w:numPr>
          <w:ilvl w:val="0"/>
          <w:numId w:val="26"/>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lastRenderedPageBreak/>
        <w:t>Direct Oversight—</w:t>
      </w:r>
      <w:r w:rsidRPr="009750E4">
        <w:rPr>
          <w:rFonts w:eastAsia="Times New Roman" w:cstheme="minorHAnsi"/>
          <w:szCs w:val="20"/>
        </w:rPr>
        <w:t>Some healthcare practitioners may only engage in certain activities if they are working under the direct oversight of a physician or other specified practitioner. Oversight can include requirements that practitioners work within a specified physical proximity to the supervisor.</w:t>
      </w:r>
    </w:p>
    <w:p w14:paraId="088196F5" w14:textId="77777777" w:rsidR="00D76F8A" w:rsidRPr="009750E4" w:rsidRDefault="00D76F8A" w:rsidP="00065F00">
      <w:pPr>
        <w:spacing w:line="480" w:lineRule="auto"/>
        <w:rPr>
          <w:rFonts w:eastAsia="Times New Roman" w:cstheme="minorHAnsi"/>
          <w:b/>
          <w:bCs/>
          <w:szCs w:val="20"/>
          <w:bdr w:val="none" w:sz="0" w:space="0" w:color="auto" w:frame="1"/>
        </w:rPr>
      </w:pPr>
    </w:p>
    <w:p w14:paraId="6E88EFE5" w14:textId="77777777" w:rsidR="00D76F8A" w:rsidRPr="009750E4" w:rsidRDefault="00D76F8A" w:rsidP="00D76F8A">
      <w:pPr>
        <w:pStyle w:val="ListParagraph"/>
        <w:numPr>
          <w:ilvl w:val="0"/>
          <w:numId w:val="26"/>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t>Prescription—</w:t>
      </w:r>
      <w:r w:rsidRPr="009750E4">
        <w:rPr>
          <w:rFonts w:eastAsia="Times New Roman" w:cstheme="minorHAnsi"/>
          <w:szCs w:val="20"/>
        </w:rPr>
        <w:t>The requirement that a drug, vaccine, or procedure cannot be administered by a healthcare practitioner unless it has been authorized in a prescription by another specified practitioner is a form of medical control. The types of healthcare providers who are authorized to issue prescriptions for drugs, vaccinations, or other medical procedures vary by state. Commonly authorized professionals include, but are not limited to, doctors, nurse practitioners, and dentists. Practitioners with prescription authority may be limited as to the types of drugs they are permitted to prescribe and the types of persons they may prescribe to. During emergencies, requirements that each patient have an individual prescription may be modified to permit the use of standing orders to authorize the widespread administration of vaccines and drugs without prescriptions.</w:t>
      </w:r>
    </w:p>
    <w:p w14:paraId="16681B8E" w14:textId="77777777" w:rsidR="00D76F8A" w:rsidRPr="009750E4" w:rsidRDefault="00D76F8A" w:rsidP="00065F00">
      <w:pPr>
        <w:spacing w:line="480" w:lineRule="auto"/>
        <w:rPr>
          <w:rFonts w:eastAsia="Times New Roman" w:cstheme="minorHAnsi"/>
          <w:b/>
          <w:bCs/>
          <w:szCs w:val="20"/>
          <w:bdr w:val="none" w:sz="0" w:space="0" w:color="auto" w:frame="1"/>
        </w:rPr>
      </w:pPr>
    </w:p>
    <w:p w14:paraId="32F5D7B3" w14:textId="77777777" w:rsidR="00D76F8A" w:rsidRPr="009750E4" w:rsidRDefault="00D76F8A" w:rsidP="00D76F8A">
      <w:pPr>
        <w:pStyle w:val="ListParagraph"/>
        <w:numPr>
          <w:ilvl w:val="0"/>
          <w:numId w:val="26"/>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t>Protocols and Standing Orders—</w:t>
      </w:r>
      <w:r w:rsidRPr="009750E4">
        <w:rPr>
          <w:rFonts w:eastAsia="Times New Roman" w:cstheme="minorHAnsi"/>
          <w:szCs w:val="20"/>
        </w:rPr>
        <w:t>Written protocols are a standard set of rules that govern the activities of regulated healthcare and other professions and serve as a form of medical control. Professionals such as EMS and nurses typically work under protocols issued by physicians. State or local laws, rules, or orders may authorize temporary changes to a protocol to facilitate public health emergency response activities. Standing orders authorize specified practitioners, such as nurses and pharmacists, to administer drugs and vaccines according to an approved protocol without a physician's examination.</w:t>
      </w:r>
    </w:p>
    <w:p w14:paraId="1C60C1F3" w14:textId="77777777" w:rsidR="00D76F8A" w:rsidRPr="009750E4" w:rsidRDefault="00D76F8A" w:rsidP="00065F00">
      <w:pPr>
        <w:spacing w:line="480" w:lineRule="auto"/>
        <w:rPr>
          <w:rFonts w:eastAsia="Times New Roman" w:cstheme="minorHAnsi"/>
          <w:b/>
          <w:bCs/>
          <w:szCs w:val="20"/>
        </w:rPr>
      </w:pPr>
    </w:p>
    <w:p w14:paraId="46FD4B89" w14:textId="77777777" w:rsidR="00D76F8A" w:rsidRPr="009750E4" w:rsidRDefault="00D76F8A" w:rsidP="00BD7570">
      <w:pPr>
        <w:keepNext/>
        <w:spacing w:line="480" w:lineRule="auto"/>
        <w:rPr>
          <w:rFonts w:eastAsia="Times New Roman" w:cstheme="minorHAnsi"/>
          <w:b/>
          <w:bCs/>
          <w:szCs w:val="20"/>
        </w:rPr>
      </w:pPr>
      <w:r w:rsidRPr="009750E4">
        <w:rPr>
          <w:rFonts w:eastAsia="Times New Roman" w:cstheme="minorHAnsi"/>
          <w:b/>
          <w:bCs/>
          <w:szCs w:val="20"/>
        </w:rPr>
        <w:lastRenderedPageBreak/>
        <w:t>Government Oversight in Emergencies</w:t>
      </w:r>
    </w:p>
    <w:p w14:paraId="7E47B2D0" w14:textId="77777777" w:rsidR="00D76F8A" w:rsidRPr="009750E4" w:rsidRDefault="00D76F8A" w:rsidP="00065F00">
      <w:pPr>
        <w:spacing w:line="480" w:lineRule="auto"/>
        <w:rPr>
          <w:rFonts w:eastAsia="Times New Roman" w:cstheme="minorHAnsi"/>
          <w:szCs w:val="20"/>
        </w:rPr>
      </w:pPr>
      <w:r w:rsidRPr="009750E4">
        <w:rPr>
          <w:rFonts w:eastAsia="Times New Roman" w:cstheme="minorHAnsi"/>
          <w:szCs w:val="20"/>
        </w:rPr>
        <w:t>Modifying scope of practice may be coupled with a requirement that practitioners acting under a modified scope must be working at the direction of or under the control of state or local government emergency response officials such as a health agency, emergency management agency, or incident commander. During H1N1 some states limited the activities of healthcare practitioners operating under a modified scope of practice to settings such as public vaccination clinics or point of dispensing (POD) locations. </w:t>
      </w:r>
    </w:p>
    <w:p w14:paraId="1FA3D2EB" w14:textId="77777777" w:rsidR="00D76F8A" w:rsidRPr="009750E4" w:rsidRDefault="00D76F8A" w:rsidP="00065F00">
      <w:pPr>
        <w:spacing w:line="480" w:lineRule="auto"/>
        <w:rPr>
          <w:rFonts w:eastAsia="Times New Roman" w:cstheme="minorHAnsi"/>
          <w:b/>
          <w:bCs/>
          <w:szCs w:val="20"/>
        </w:rPr>
      </w:pPr>
    </w:p>
    <w:p w14:paraId="6ADF56DD" w14:textId="77777777" w:rsidR="00D76F8A" w:rsidRPr="009750E4" w:rsidRDefault="00D76F8A" w:rsidP="00065F00">
      <w:pPr>
        <w:spacing w:line="480" w:lineRule="auto"/>
        <w:rPr>
          <w:rFonts w:eastAsia="Times New Roman" w:cstheme="minorHAnsi"/>
          <w:b/>
          <w:bCs/>
          <w:szCs w:val="20"/>
        </w:rPr>
      </w:pPr>
      <w:r w:rsidRPr="009750E4">
        <w:rPr>
          <w:rFonts w:eastAsia="Times New Roman" w:cstheme="minorHAnsi"/>
          <w:b/>
          <w:bCs/>
          <w:szCs w:val="20"/>
        </w:rPr>
        <w:t>Training Requirements</w:t>
      </w:r>
    </w:p>
    <w:p w14:paraId="15143FCB" w14:textId="77777777" w:rsidR="00D76F8A" w:rsidRPr="009750E4" w:rsidRDefault="00D76F8A" w:rsidP="00065F00">
      <w:pPr>
        <w:spacing w:line="480" w:lineRule="auto"/>
        <w:rPr>
          <w:rFonts w:eastAsia="Times New Roman" w:cstheme="minorHAnsi"/>
          <w:szCs w:val="20"/>
        </w:rPr>
      </w:pPr>
      <w:r w:rsidRPr="009750E4">
        <w:rPr>
          <w:rFonts w:eastAsia="Times New Roman" w:cstheme="minorHAnsi"/>
          <w:szCs w:val="20"/>
        </w:rPr>
        <w:t>Regulated professionals may be required to receive additional training before they are permitted to undertake activities in response to a public health emergency or other emergency event. Training requirements can apply to professionals who will be acting under a modified scope of practice, as well as those who are acting within their existing scope.</w:t>
      </w:r>
    </w:p>
    <w:p w14:paraId="44E00A9D" w14:textId="77777777" w:rsidR="00D76F8A" w:rsidRPr="009750E4" w:rsidRDefault="00D76F8A" w:rsidP="00065F00">
      <w:pPr>
        <w:spacing w:line="480" w:lineRule="auto"/>
        <w:rPr>
          <w:rFonts w:eastAsia="Times New Roman" w:cstheme="minorHAnsi"/>
          <w:b/>
          <w:bCs/>
          <w:szCs w:val="20"/>
          <w:bdr w:val="none" w:sz="0" w:space="0" w:color="auto" w:frame="1"/>
        </w:rPr>
      </w:pPr>
    </w:p>
    <w:p w14:paraId="620407E5" w14:textId="77777777" w:rsidR="00D76F8A" w:rsidRPr="009750E4" w:rsidRDefault="00D76F8A" w:rsidP="00D76F8A">
      <w:pPr>
        <w:pStyle w:val="ListParagraph"/>
        <w:numPr>
          <w:ilvl w:val="0"/>
          <w:numId w:val="27"/>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t>Within Existing Scope of Practice—</w:t>
      </w:r>
      <w:r w:rsidRPr="009750E4">
        <w:rPr>
          <w:rFonts w:eastAsia="Times New Roman" w:cstheme="minorHAnsi"/>
          <w:szCs w:val="20"/>
        </w:rPr>
        <w:t>New training or refreshers may be required for professionals whose existing scope of practice may already authorize a specific activity (e.g., administering immunizations), but whose actual practice may not involve conducting the activity regularly. Additional training for those acting within their scope of practice may also be required because of the nature of the emergency or the medications and protocols developed to respond to it. Thus, should a disease outbreak be caused by a highly infectious agent, healthcare professions may require special training on infection control measures and personal protective equipment (e.g., N-95 respirators).</w:t>
      </w:r>
    </w:p>
    <w:p w14:paraId="4FAFB462" w14:textId="77777777" w:rsidR="00D76F8A" w:rsidRPr="009750E4" w:rsidRDefault="00D76F8A" w:rsidP="00065F00">
      <w:pPr>
        <w:spacing w:line="480" w:lineRule="auto"/>
        <w:rPr>
          <w:rFonts w:eastAsia="Times New Roman" w:cstheme="minorHAnsi"/>
          <w:b/>
          <w:bCs/>
          <w:szCs w:val="20"/>
          <w:bdr w:val="none" w:sz="0" w:space="0" w:color="auto" w:frame="1"/>
        </w:rPr>
      </w:pPr>
    </w:p>
    <w:p w14:paraId="22A7E56D" w14:textId="77777777" w:rsidR="00D76F8A" w:rsidRPr="009750E4" w:rsidRDefault="00D76F8A" w:rsidP="00D76F8A">
      <w:pPr>
        <w:pStyle w:val="ListParagraph"/>
        <w:numPr>
          <w:ilvl w:val="0"/>
          <w:numId w:val="27"/>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lastRenderedPageBreak/>
        <w:t>With Modified Scope of Practice—</w:t>
      </w:r>
      <w:r w:rsidRPr="009750E4">
        <w:rPr>
          <w:rFonts w:eastAsia="Times New Roman" w:cstheme="minorHAnsi"/>
          <w:szCs w:val="20"/>
        </w:rPr>
        <w:t>A modified scope of practice in emergencies can entail additional or specific training requirements before the professional is permitted to undertake the activities permitted by the practice modification.</w:t>
      </w:r>
    </w:p>
    <w:p w14:paraId="1E194790" w14:textId="77777777" w:rsidR="00D76F8A" w:rsidRPr="009750E4" w:rsidRDefault="00D76F8A" w:rsidP="00065F00">
      <w:pPr>
        <w:spacing w:line="480" w:lineRule="auto"/>
        <w:rPr>
          <w:rFonts w:eastAsia="Times New Roman" w:cstheme="minorHAnsi"/>
          <w:b/>
          <w:bCs/>
          <w:szCs w:val="20"/>
        </w:rPr>
      </w:pPr>
    </w:p>
    <w:p w14:paraId="4ADB254C" w14:textId="77777777" w:rsidR="00D76F8A" w:rsidRPr="009750E4" w:rsidRDefault="00D76F8A" w:rsidP="00065F00">
      <w:pPr>
        <w:spacing w:line="480" w:lineRule="auto"/>
        <w:rPr>
          <w:rFonts w:eastAsia="Times New Roman" w:cstheme="minorHAnsi"/>
          <w:b/>
          <w:bCs/>
          <w:szCs w:val="20"/>
        </w:rPr>
      </w:pPr>
      <w:r w:rsidRPr="009750E4">
        <w:rPr>
          <w:rFonts w:eastAsia="Times New Roman" w:cstheme="minorHAnsi"/>
          <w:b/>
          <w:bCs/>
          <w:szCs w:val="20"/>
        </w:rPr>
        <w:t>Concerns Regarding Modified Scope of Practice in Emergencies</w:t>
      </w:r>
    </w:p>
    <w:p w14:paraId="5432A11C" w14:textId="77777777" w:rsidR="00D76F8A" w:rsidRDefault="00D76F8A" w:rsidP="00065F00">
      <w:pPr>
        <w:spacing w:line="480" w:lineRule="auto"/>
        <w:rPr>
          <w:rFonts w:eastAsia="Times New Roman" w:cstheme="minorHAnsi"/>
          <w:szCs w:val="20"/>
        </w:rPr>
      </w:pPr>
      <w:r w:rsidRPr="009750E4">
        <w:rPr>
          <w:rFonts w:eastAsia="Times New Roman" w:cstheme="minorHAnsi"/>
          <w:szCs w:val="20"/>
        </w:rPr>
        <w:t>While modifying the scope of practice for some professions during specified circumstances in an emergency may be seen as less controversial than a permanent change, there remain areas of concern that arise when considering modifications to scope of practice during emergencies. Some of the concerns raised include that practitioners will be performing tasks or procedures they have little or no prior experience doing and that just-in-time-training does not meet the level of training necessary to perform the tasks covered by the modified scope. The use of medical controls and other forms of supervision in concert with the modified practice activities is a strategy used to address these concerns. </w:t>
      </w:r>
      <w:r w:rsidRPr="009750E4">
        <w:rPr>
          <w:rFonts w:eastAsia="Times New Roman" w:cstheme="minorHAnsi"/>
          <w:szCs w:val="20"/>
        </w:rPr>
        <w:br/>
      </w:r>
      <w:r w:rsidRPr="009750E4">
        <w:rPr>
          <w:rFonts w:eastAsia="Times New Roman" w:cstheme="minorHAnsi"/>
          <w:szCs w:val="20"/>
        </w:rPr>
        <w:br/>
        <w:t>Practitioners operating under a modified scope of practice also voice concerns about potential liability for their actions during a public health emergency. New and existing federal and state legal protections against liability address these concerns. Many of the immunities and liability protections were newly developed or refined within the last decade, while others are fundamental principles of governmental immunity that continue to evolve as our understanding of modern emergencies likewise evolves. The extent to which liability protections are available to an individual, entity, or class will depend on the actor, the law providing the protections, and the circumstances of a particular emergency response. (See </w:t>
      </w:r>
      <w:hyperlink r:id="rId9" w:tooltip="ASTHO Emergency Authority &amp;amp; Immunity Toolkit" w:history="1">
        <w:r w:rsidRPr="009750E4">
          <w:rPr>
            <w:rFonts w:eastAsia="Times New Roman" w:cstheme="minorHAnsi"/>
            <w:color w:val="00B0F0"/>
            <w:szCs w:val="20"/>
            <w:bdr w:val="none" w:sz="0" w:space="0" w:color="auto" w:frame="1"/>
          </w:rPr>
          <w:t>ASTHO Emergency Authority &amp; Immunity Toolkit</w:t>
        </w:r>
      </w:hyperlink>
      <w:r w:rsidRPr="009750E4">
        <w:rPr>
          <w:rFonts w:eastAsia="Times New Roman" w:cstheme="minorHAnsi"/>
          <w:color w:val="00B0F0"/>
          <w:szCs w:val="20"/>
        </w:rPr>
        <w:t> </w:t>
      </w:r>
      <w:r w:rsidRPr="009750E4">
        <w:rPr>
          <w:rFonts w:eastAsia="Times New Roman" w:cstheme="minorHAnsi"/>
          <w:szCs w:val="20"/>
        </w:rPr>
        <w:t>for more information.) </w:t>
      </w:r>
    </w:p>
    <w:p w14:paraId="355B9A78" w14:textId="77777777" w:rsidR="00D76F8A" w:rsidRPr="009750E4" w:rsidRDefault="00D76F8A" w:rsidP="00065F00">
      <w:pPr>
        <w:spacing w:line="480" w:lineRule="auto"/>
        <w:rPr>
          <w:rFonts w:eastAsia="Times New Roman" w:cstheme="minorHAnsi"/>
          <w:szCs w:val="20"/>
        </w:rPr>
      </w:pPr>
    </w:p>
    <w:p w14:paraId="1641CBA2" w14:textId="77777777" w:rsidR="00D76F8A" w:rsidRPr="00A1396E" w:rsidRDefault="00D76F8A" w:rsidP="00BD7570">
      <w:pPr>
        <w:keepNext/>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lastRenderedPageBreak/>
        <w:t>Interstate Scope of Practice Issues in Emergencies</w:t>
      </w:r>
    </w:p>
    <w:p w14:paraId="752DB7C0" w14:textId="77777777" w:rsidR="00D76F8A" w:rsidRPr="009750E4" w:rsidRDefault="00D76F8A" w:rsidP="00065F00">
      <w:pPr>
        <w:spacing w:line="480" w:lineRule="auto"/>
        <w:rPr>
          <w:rFonts w:eastAsia="Times New Roman" w:cstheme="minorHAnsi"/>
          <w:color w:val="000000" w:themeColor="text1"/>
          <w:szCs w:val="20"/>
        </w:rPr>
      </w:pPr>
      <w:r w:rsidRPr="009750E4">
        <w:rPr>
          <w:rFonts w:eastAsia="Times New Roman" w:cstheme="minorHAnsi"/>
          <w:color w:val="000000" w:themeColor="text1"/>
          <w:szCs w:val="20"/>
        </w:rPr>
        <w:t>In addition to the issues that arise when a state temporarily or permanently modifies the scope of practice for certain regulated professions within that state, questions and conflicts can develop when healthcare or other licensed practitioners deploy (as governmental employees, contractors, or volunteers) to another state during an emergency response effort. There may be differences between the allowed scope of practice in the home state and the state to which the practitioner is deployed. This is especially relevant where the practitioner has a broader scope of practice in the home state than in the deployment state. Professional requirements and any legal restrictions should be carefully considered in development of a mutual aid agreement or other mechanism through which a practitioner is deployed. The document must set forth which scope of practice will apply as well as the potential liability protections and workers’ compensation available to a practitioner. (See</w:t>
      </w:r>
      <w:r w:rsidRPr="009750E4">
        <w:rPr>
          <w:rFonts w:eastAsia="Times New Roman" w:cstheme="minorHAnsi"/>
          <w:color w:val="00B0F0"/>
          <w:szCs w:val="20"/>
        </w:rPr>
        <w:t> </w:t>
      </w:r>
      <w:hyperlink r:id="rId10" w:tooltip="ASTHO Emergency Authority &amp;amp; Liability Toolkit" w:history="1">
        <w:r w:rsidRPr="009750E4">
          <w:rPr>
            <w:rFonts w:eastAsia="Times New Roman" w:cstheme="minorHAnsi"/>
            <w:color w:val="00B0F0"/>
            <w:szCs w:val="20"/>
            <w:bdr w:val="none" w:sz="0" w:space="0" w:color="auto" w:frame="1"/>
          </w:rPr>
          <w:t>ASTHO Emergency Authority &amp; Immunity Toolkit</w:t>
        </w:r>
      </w:hyperlink>
      <w:r w:rsidRPr="009750E4">
        <w:rPr>
          <w:rFonts w:eastAsia="Times New Roman" w:cstheme="minorHAnsi"/>
          <w:color w:val="00B0F0"/>
          <w:szCs w:val="20"/>
        </w:rPr>
        <w:t> </w:t>
      </w:r>
      <w:r w:rsidRPr="009750E4">
        <w:rPr>
          <w:rFonts w:eastAsia="Times New Roman" w:cstheme="minorHAnsi"/>
          <w:color w:val="000000" w:themeColor="text1"/>
          <w:szCs w:val="20"/>
        </w:rPr>
        <w:t>for more information.)</w:t>
      </w:r>
    </w:p>
    <w:p w14:paraId="75EF3FE6" w14:textId="77777777" w:rsidR="00D76F8A" w:rsidRPr="009750E4" w:rsidRDefault="00D76F8A" w:rsidP="00065F00">
      <w:pPr>
        <w:spacing w:line="480" w:lineRule="auto"/>
        <w:rPr>
          <w:rFonts w:eastAsia="Times New Roman" w:cstheme="minorHAnsi"/>
          <w:b/>
          <w:bCs/>
          <w:color w:val="000000" w:themeColor="text1"/>
          <w:sz w:val="28"/>
          <w:szCs w:val="24"/>
        </w:rPr>
      </w:pPr>
    </w:p>
    <w:p w14:paraId="76736432" w14:textId="77777777" w:rsidR="00D76F8A" w:rsidRPr="00A1396E" w:rsidRDefault="00D76F8A"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Sources</w:t>
      </w:r>
    </w:p>
    <w:p w14:paraId="43D7C5EE" w14:textId="77777777" w:rsidR="00D76F8A" w:rsidRPr="009750E4" w:rsidRDefault="00D76F8A" w:rsidP="00D76F8A">
      <w:pPr>
        <w:pStyle w:val="ListParagraph"/>
        <w:numPr>
          <w:ilvl w:val="0"/>
          <w:numId w:val="28"/>
        </w:numPr>
        <w:spacing w:line="480" w:lineRule="auto"/>
        <w:ind w:left="360"/>
        <w:rPr>
          <w:rFonts w:eastAsia="Times New Roman" w:cstheme="minorHAnsi"/>
          <w:szCs w:val="20"/>
        </w:rPr>
      </w:pPr>
      <w:r w:rsidRPr="009750E4">
        <w:rPr>
          <w:rFonts w:eastAsia="Times New Roman" w:cstheme="minorHAnsi"/>
          <w:szCs w:val="20"/>
        </w:rPr>
        <w:t>Courtney B et al. “Expanding Practitioner Scopes of Practice During Public Health Emergencies: Experiences from the 2009 H1N1 Pandemic Vaccination Efforts.”</w:t>
      </w:r>
      <w:r w:rsidRPr="009750E4">
        <w:rPr>
          <w:rFonts w:eastAsia="Times New Roman" w:cstheme="minorHAnsi"/>
          <w:i/>
          <w:iCs/>
          <w:szCs w:val="20"/>
          <w:bdr w:val="none" w:sz="0" w:space="0" w:color="auto" w:frame="1"/>
        </w:rPr>
        <w:t> Biosecurity and Bioterrorism</w:t>
      </w:r>
      <w:r w:rsidRPr="009750E4">
        <w:rPr>
          <w:rFonts w:eastAsia="Times New Roman" w:cstheme="minorHAnsi"/>
          <w:szCs w:val="20"/>
        </w:rPr>
        <w:t>. Vol. 8, No. 3. 2010.</w:t>
      </w:r>
    </w:p>
    <w:p w14:paraId="47D1075D" w14:textId="77777777" w:rsidR="00D76F8A" w:rsidRPr="009750E4" w:rsidRDefault="00D76F8A" w:rsidP="00D76F8A">
      <w:pPr>
        <w:pStyle w:val="ListParagraph"/>
        <w:numPr>
          <w:ilvl w:val="0"/>
          <w:numId w:val="28"/>
        </w:numPr>
        <w:spacing w:line="480" w:lineRule="auto"/>
        <w:ind w:left="360"/>
        <w:rPr>
          <w:rFonts w:eastAsia="Times New Roman" w:cstheme="minorHAnsi"/>
          <w:szCs w:val="20"/>
        </w:rPr>
      </w:pPr>
      <w:r w:rsidRPr="009750E4">
        <w:rPr>
          <w:rFonts w:eastAsia="Times New Roman" w:cstheme="minorHAnsi"/>
          <w:szCs w:val="20"/>
        </w:rPr>
        <w:t>Federation of State Medical Boards. Assessing Scope of Practice in Healthcare Delivery: Critical Questions in Assuring Public Access and Safety. 2005. Available at</w:t>
      </w:r>
      <w:r w:rsidRPr="009750E4">
        <w:rPr>
          <w:rFonts w:eastAsia="Times New Roman" w:cstheme="minorHAnsi"/>
          <w:color w:val="737373"/>
          <w:szCs w:val="20"/>
        </w:rPr>
        <w:t> </w:t>
      </w:r>
      <w:hyperlink r:id="rId11" w:tooltip="www.fsmb.org/pdf/2005_grpol_scope_of_practice.pdf" w:history="1">
        <w:r w:rsidRPr="009750E4">
          <w:rPr>
            <w:rFonts w:eastAsia="Times New Roman" w:cstheme="minorHAnsi"/>
            <w:color w:val="0F88B8"/>
            <w:szCs w:val="20"/>
            <w:bdr w:val="none" w:sz="0" w:space="0" w:color="auto" w:frame="1"/>
          </w:rPr>
          <w:t>www.fsmb.org/pdf/2005_grpol_scope_of_practice.pdf</w:t>
        </w:r>
      </w:hyperlink>
      <w:r w:rsidRPr="009750E4">
        <w:rPr>
          <w:rFonts w:eastAsia="Times New Roman" w:cstheme="minorHAnsi"/>
          <w:color w:val="737373"/>
          <w:szCs w:val="20"/>
        </w:rPr>
        <w:t xml:space="preserve">. </w:t>
      </w:r>
      <w:r w:rsidRPr="009750E4">
        <w:rPr>
          <w:rFonts w:eastAsia="Times New Roman" w:cstheme="minorHAnsi"/>
          <w:szCs w:val="20"/>
        </w:rPr>
        <w:t>Accessed May 30, 2013.</w:t>
      </w:r>
    </w:p>
    <w:p w14:paraId="391454B3" w14:textId="77777777" w:rsidR="00D76F8A" w:rsidRPr="009750E4" w:rsidRDefault="00D76F8A" w:rsidP="00D76F8A">
      <w:pPr>
        <w:pStyle w:val="ListParagraph"/>
        <w:numPr>
          <w:ilvl w:val="0"/>
          <w:numId w:val="28"/>
        </w:numPr>
        <w:spacing w:line="480" w:lineRule="auto"/>
        <w:ind w:left="360"/>
        <w:rPr>
          <w:rFonts w:eastAsia="Times New Roman" w:cstheme="minorHAnsi"/>
          <w:szCs w:val="20"/>
        </w:rPr>
      </w:pPr>
      <w:r w:rsidRPr="009750E4">
        <w:rPr>
          <w:rFonts w:eastAsia="Times New Roman" w:cstheme="minorHAnsi"/>
          <w:szCs w:val="20"/>
        </w:rPr>
        <w:t>Health Resources and Services Administration. </w:t>
      </w:r>
      <w:r w:rsidRPr="009750E4">
        <w:rPr>
          <w:rFonts w:eastAsia="Times New Roman" w:cstheme="minorHAnsi"/>
          <w:i/>
          <w:iCs/>
          <w:szCs w:val="20"/>
          <w:bdr w:val="none" w:sz="0" w:space="0" w:color="auto" w:frame="1"/>
        </w:rPr>
        <w:t>Emergency System for Advance Registration of Volunteer Health Professionals (ESAR-VHP)—Legal and Regulatory Issues</w:t>
      </w:r>
      <w:r w:rsidRPr="009750E4">
        <w:rPr>
          <w:rFonts w:eastAsia="Times New Roman" w:cstheme="minorHAnsi"/>
          <w:szCs w:val="20"/>
        </w:rPr>
        <w:t>. Draft Report. May 2006. Available at </w:t>
      </w:r>
      <w:hyperlink r:id="rId12" w:tooltip="www.publichealthlaw.net/Research/PDF/ESAR%20VHP%20Report.pdf" w:history="1">
        <w:r w:rsidRPr="009750E4">
          <w:rPr>
            <w:rFonts w:eastAsia="Times New Roman" w:cstheme="minorHAnsi"/>
            <w:color w:val="0F88B8"/>
            <w:szCs w:val="20"/>
            <w:bdr w:val="none" w:sz="0" w:space="0" w:color="auto" w:frame="1"/>
          </w:rPr>
          <w:t>www.publichealthlaw.net/Research/PDF/ESAR%20VHP%20Report.pdf</w:t>
        </w:r>
      </w:hyperlink>
      <w:r w:rsidRPr="009750E4">
        <w:rPr>
          <w:rFonts w:eastAsia="Times New Roman" w:cstheme="minorHAnsi"/>
          <w:szCs w:val="20"/>
        </w:rPr>
        <w:t>. Accessed May 30, 2013.</w:t>
      </w:r>
    </w:p>
    <w:p w14:paraId="5C022FAB" w14:textId="77777777" w:rsidR="00D76F8A" w:rsidRPr="009750E4" w:rsidRDefault="00D76F8A" w:rsidP="00D76F8A">
      <w:pPr>
        <w:pStyle w:val="ListParagraph"/>
        <w:numPr>
          <w:ilvl w:val="0"/>
          <w:numId w:val="28"/>
        </w:numPr>
        <w:spacing w:line="480" w:lineRule="auto"/>
        <w:ind w:left="360"/>
        <w:rPr>
          <w:rFonts w:eastAsia="Times New Roman" w:cstheme="minorHAnsi"/>
          <w:color w:val="737373"/>
          <w:szCs w:val="20"/>
        </w:rPr>
      </w:pPr>
      <w:r w:rsidRPr="009750E4">
        <w:rPr>
          <w:rFonts w:eastAsia="Times New Roman" w:cstheme="minorHAnsi"/>
          <w:szCs w:val="20"/>
        </w:rPr>
        <w:lastRenderedPageBreak/>
        <w:t>National Council on State Boards of Nursing. </w:t>
      </w:r>
      <w:r w:rsidRPr="009750E4">
        <w:rPr>
          <w:rFonts w:eastAsia="Times New Roman" w:cstheme="minorHAnsi"/>
          <w:i/>
          <w:iCs/>
          <w:szCs w:val="20"/>
          <w:bdr w:val="none" w:sz="0" w:space="0" w:color="auto" w:frame="1"/>
        </w:rPr>
        <w:t>Changes in Healthcare Professions’ Scope of Practice: Legislative Considerations</w:t>
      </w:r>
      <w:r w:rsidRPr="009750E4">
        <w:rPr>
          <w:rFonts w:eastAsia="Times New Roman" w:cstheme="minorHAnsi"/>
          <w:szCs w:val="20"/>
        </w:rPr>
        <w:t>. January 2012. Available at</w:t>
      </w:r>
      <w:r w:rsidRPr="009750E4">
        <w:rPr>
          <w:rFonts w:eastAsia="Times New Roman" w:cstheme="minorHAnsi"/>
          <w:color w:val="737373"/>
          <w:szCs w:val="20"/>
        </w:rPr>
        <w:t> </w:t>
      </w:r>
      <w:hyperlink r:id="rId13" w:tooltip="www.ncsbn.org/Scope_of_Practice_2012.pdf" w:history="1">
        <w:r w:rsidRPr="009750E4">
          <w:rPr>
            <w:rFonts w:eastAsia="Times New Roman" w:cstheme="minorHAnsi"/>
            <w:color w:val="0F88B8"/>
            <w:szCs w:val="20"/>
            <w:bdr w:val="none" w:sz="0" w:space="0" w:color="auto" w:frame="1"/>
          </w:rPr>
          <w:t>www.ncsbn.org/Scope_of_Practice_2012.pdf</w:t>
        </w:r>
      </w:hyperlink>
      <w:r w:rsidRPr="009750E4">
        <w:rPr>
          <w:rFonts w:eastAsia="Times New Roman" w:cstheme="minorHAnsi"/>
          <w:color w:val="737373"/>
          <w:szCs w:val="20"/>
        </w:rPr>
        <w:t xml:space="preserve">. </w:t>
      </w:r>
      <w:r w:rsidRPr="009750E4">
        <w:rPr>
          <w:rFonts w:eastAsia="Times New Roman" w:cstheme="minorHAnsi"/>
          <w:szCs w:val="20"/>
        </w:rPr>
        <w:t>Accessed May 30, 2013.</w:t>
      </w:r>
    </w:p>
    <w:p w14:paraId="5AEB8863" w14:textId="2D12E926" w:rsidR="00D76F8A" w:rsidRDefault="00D76F8A" w:rsidP="00065F00">
      <w:pPr>
        <w:spacing w:line="480" w:lineRule="auto"/>
        <w:rPr>
          <w:rFonts w:cstheme="minorHAnsi"/>
          <w:sz w:val="24"/>
        </w:rPr>
      </w:pPr>
    </w:p>
    <w:p w14:paraId="49871C30" w14:textId="5F513EEB" w:rsidR="006E0594" w:rsidRPr="009750E4" w:rsidRDefault="006E0594" w:rsidP="00065F00">
      <w:pPr>
        <w:spacing w:line="480" w:lineRule="auto"/>
        <w:rPr>
          <w:rFonts w:cstheme="minorHAnsi"/>
          <w:sz w:val="24"/>
        </w:rPr>
      </w:pPr>
      <w:r>
        <w:rPr>
          <w:rFonts w:cstheme="minorHAnsi"/>
          <w:sz w:val="24"/>
        </w:rPr>
        <w:t>[</w:t>
      </w:r>
      <w:hyperlink w:anchor="TOC_top" w:history="1">
        <w:r w:rsidRPr="0082238F">
          <w:rPr>
            <w:rStyle w:val="Hyperlink"/>
            <w:rFonts w:cstheme="minorHAnsi"/>
            <w:sz w:val="24"/>
          </w:rPr>
          <w:t xml:space="preserve">TOC </w:t>
        </w:r>
        <w:r w:rsidRPr="0082238F">
          <w:rPr>
            <w:rStyle w:val="Hyperlink"/>
            <w:rFonts w:cstheme="minorHAnsi"/>
            <w:sz w:val="24"/>
          </w:rPr>
          <w:t>t</w:t>
        </w:r>
        <w:r w:rsidRPr="0082238F">
          <w:rPr>
            <w:rStyle w:val="Hyperlink"/>
            <w:rFonts w:cstheme="minorHAnsi"/>
            <w:sz w:val="24"/>
          </w:rPr>
          <w:t>op</w:t>
        </w:r>
      </w:hyperlink>
      <w:r>
        <w:rPr>
          <w:rFonts w:cstheme="minorHAnsi"/>
          <w:sz w:val="24"/>
        </w:rPr>
        <w:t>]</w:t>
      </w:r>
    </w:p>
    <w:p w14:paraId="77CD2994" w14:textId="7458FE8D" w:rsidR="0050230C" w:rsidRDefault="0050230C">
      <w:pPr>
        <w:rPr>
          <w:rFonts w:cstheme="minorHAnsi"/>
        </w:rPr>
      </w:pPr>
      <w:r>
        <w:rPr>
          <w:rFonts w:cstheme="minorHAnsi"/>
        </w:rPr>
        <w:br w:type="page"/>
      </w:r>
    </w:p>
    <w:p w14:paraId="7C30D61A" w14:textId="77777777" w:rsidR="0050230C" w:rsidRPr="00E77D56" w:rsidRDefault="0050230C" w:rsidP="00E77D56">
      <w:pPr>
        <w:spacing w:line="480" w:lineRule="auto"/>
        <w:rPr>
          <w:rFonts w:eastAsia="Times New Roman" w:cstheme="minorHAnsi"/>
          <w:b/>
          <w:bCs/>
          <w:color w:val="000000" w:themeColor="text1"/>
          <w:spacing w:val="15"/>
          <w:kern w:val="36"/>
          <w:sz w:val="28"/>
          <w:szCs w:val="28"/>
        </w:rPr>
      </w:pPr>
      <w:bookmarkStart w:id="5" w:name="LicensingCred_FS"/>
      <w:r w:rsidRPr="00E77D56">
        <w:rPr>
          <w:rFonts w:eastAsia="Times New Roman" w:cstheme="minorHAnsi"/>
          <w:b/>
          <w:bCs/>
          <w:color w:val="000000" w:themeColor="text1"/>
          <w:spacing w:val="15"/>
          <w:kern w:val="36"/>
          <w:sz w:val="28"/>
          <w:szCs w:val="28"/>
        </w:rPr>
        <w:lastRenderedPageBreak/>
        <w:t>Understanding Licensing, Credentialing, Certification, and Privileging</w:t>
      </w:r>
      <w:bookmarkEnd w:id="5"/>
    </w:p>
    <w:p w14:paraId="7892A84A" w14:textId="77777777" w:rsidR="0050230C" w:rsidRPr="00E77D56" w:rsidRDefault="0050230C"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Fact Sheet</w:t>
      </w:r>
    </w:p>
    <w:p w14:paraId="2D4F2109" w14:textId="77777777" w:rsidR="0050230C" w:rsidRPr="00E77D56" w:rsidRDefault="0050230C"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 </w:t>
      </w:r>
    </w:p>
    <w:p w14:paraId="4FB31D60" w14:textId="77777777" w:rsidR="0050230C" w:rsidRPr="00E77D56" w:rsidRDefault="0050230C"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Overview</w:t>
      </w:r>
    </w:p>
    <w:p w14:paraId="257AD42D" w14:textId="77777777" w:rsidR="0050230C" w:rsidRPr="00E77D56" w:rsidRDefault="0050230C"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Licensing, credentialing, certification, and privileging are used by regulatory agencies and private entities to ensure that a practitioner in a field has the required training, knowledge, and experience to perform as a qualified professional in that field. These mechanisms have been used predominantly in the healthcare field, but increasingly public health and other regulated professions are adopting these methods to ensure competency and protect patients and consumers. Depending on the profession and the state, the terms licensing, credentialing, and privileging may be used interchangeably at times. There are, however, distinctions among them as they are generally understood within the healthcare context. </w:t>
      </w:r>
      <w:r w:rsidRPr="00E77D56">
        <w:rPr>
          <w:rFonts w:eastAsia="Times New Roman" w:cstheme="minorHAnsi"/>
          <w:color w:val="000000" w:themeColor="text1"/>
          <w:szCs w:val="20"/>
        </w:rPr>
        <w:br/>
      </w:r>
      <w:r w:rsidRPr="00E77D56">
        <w:rPr>
          <w:rFonts w:eastAsia="Times New Roman" w:cstheme="minorHAnsi"/>
          <w:color w:val="000000" w:themeColor="text1"/>
          <w:szCs w:val="20"/>
        </w:rPr>
        <w:br/>
        <w:t xml:space="preserve">These methods of classification and the requirements underpinning them are relevant when states modify the scope of practice of various practitioners to enhance public health emergency response capacity, as well as when healthcare and other regulated practitioners volunteer or are otherwise deployed during emergencies to other states. The ability of a state or other entity to determine if practitioners are competent to provide care and their permitted scope of practice is important in an emergency response situation. Because of the diversity of states’ approaches to regulating professions and then modifying practice requirements in emergencies, it is important to review individual state laws and regulations. </w:t>
      </w:r>
    </w:p>
    <w:p w14:paraId="742A9631" w14:textId="77777777" w:rsidR="0050230C" w:rsidRPr="00E77D56" w:rsidRDefault="0050230C" w:rsidP="00E77D56">
      <w:pPr>
        <w:spacing w:line="480" w:lineRule="auto"/>
        <w:rPr>
          <w:rFonts w:eastAsia="Times New Roman" w:cstheme="minorHAnsi"/>
          <w:b/>
          <w:bCs/>
          <w:color w:val="000000" w:themeColor="text1"/>
          <w:sz w:val="24"/>
          <w:szCs w:val="24"/>
        </w:rPr>
      </w:pPr>
    </w:p>
    <w:p w14:paraId="20D0B975" w14:textId="77777777" w:rsidR="0050230C" w:rsidRPr="00E77D56" w:rsidRDefault="0050230C" w:rsidP="00E77D56">
      <w:pPr>
        <w:keepNext/>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lastRenderedPageBreak/>
        <w:t>Licensing</w:t>
      </w:r>
    </w:p>
    <w:p w14:paraId="02678776" w14:textId="77777777" w:rsidR="0050230C" w:rsidRPr="00E77D56" w:rsidRDefault="0050230C"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Licensing is the formal recognition by a regulatory agency or body that a person has passed all the qualifications to practice that profession in that state. Typically, licensure requirements include some combination of education, training and examination to demonstrate competency. Licensure requirements also involve continuing education, training, and, for some, periodic re-examination. If a practitioner licensed in one state seeks licensure in another state, the existing license and any disciplinary records are considered as part of the licensing process in the new state. </w:t>
      </w:r>
    </w:p>
    <w:p w14:paraId="58C4780E" w14:textId="77777777" w:rsidR="0050230C" w:rsidRPr="00E77D56" w:rsidRDefault="0050230C" w:rsidP="00E77D56">
      <w:pPr>
        <w:spacing w:line="480" w:lineRule="auto"/>
        <w:rPr>
          <w:rFonts w:eastAsia="Times New Roman" w:cstheme="minorHAnsi"/>
          <w:b/>
          <w:bCs/>
          <w:color w:val="000000" w:themeColor="text1"/>
          <w:sz w:val="24"/>
          <w:szCs w:val="24"/>
        </w:rPr>
      </w:pPr>
    </w:p>
    <w:p w14:paraId="043EA827" w14:textId="77777777" w:rsidR="0050230C" w:rsidRPr="00E77D56" w:rsidRDefault="0050230C"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Credentialing</w:t>
      </w:r>
    </w:p>
    <w:p w14:paraId="72C59C55" w14:textId="77777777" w:rsidR="0050230C" w:rsidRPr="00E77D56" w:rsidRDefault="0050230C"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Credentialing is the process by which an employer, most frequently a hospital or health maintenance organization (HMO), verifies that a practitioner has the required education, training, and experience to practice in the state. State or local laws and rules can specify the types of credentials and verification processes that a hospital or other healthcare provider must address in credentialing a practitioner. Credentialing is typically done when a practitioner is first employed with an entity and may be updated periodically. </w:t>
      </w:r>
    </w:p>
    <w:p w14:paraId="220B639D" w14:textId="77777777" w:rsidR="0050230C" w:rsidRPr="00E77D56" w:rsidRDefault="0050230C" w:rsidP="00E77D56">
      <w:pPr>
        <w:spacing w:line="480" w:lineRule="auto"/>
        <w:rPr>
          <w:rFonts w:eastAsia="Times New Roman" w:cstheme="minorHAnsi"/>
          <w:b/>
          <w:bCs/>
          <w:color w:val="000000" w:themeColor="text1"/>
          <w:sz w:val="24"/>
          <w:szCs w:val="24"/>
        </w:rPr>
      </w:pPr>
    </w:p>
    <w:p w14:paraId="29F945E5" w14:textId="77777777" w:rsidR="0050230C" w:rsidRPr="00E77D56" w:rsidRDefault="0050230C"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Privileging</w:t>
      </w:r>
    </w:p>
    <w:p w14:paraId="5AFB1D15" w14:textId="77777777" w:rsidR="0050230C" w:rsidRPr="00E77D56" w:rsidRDefault="0050230C"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Like credentialing, privileging typically arises in the healthcare context for hospitals, HMOs, and other healthcare providers to allow a practitioner to practice in or in a capacity associated with their institution. The granting of privileges to a practitioner will define the scope of permitted activities the practitioner may engage in while at the facility. A practitioner’s credentials are checked as part of the privileging process. </w:t>
      </w:r>
    </w:p>
    <w:p w14:paraId="6E97A5FD" w14:textId="77777777" w:rsidR="0050230C" w:rsidRPr="00E77D56" w:rsidRDefault="0050230C" w:rsidP="00E77D56">
      <w:pPr>
        <w:spacing w:line="480" w:lineRule="auto"/>
        <w:rPr>
          <w:rFonts w:eastAsia="Times New Roman" w:cstheme="minorHAnsi"/>
          <w:b/>
          <w:bCs/>
          <w:color w:val="000000" w:themeColor="text1"/>
          <w:sz w:val="24"/>
          <w:szCs w:val="24"/>
        </w:rPr>
      </w:pPr>
    </w:p>
    <w:p w14:paraId="4AC7C250" w14:textId="77777777" w:rsidR="0050230C" w:rsidRPr="00E77D56" w:rsidRDefault="0050230C" w:rsidP="00E77D56">
      <w:pPr>
        <w:keepNext/>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lastRenderedPageBreak/>
        <w:t>Certification</w:t>
      </w:r>
    </w:p>
    <w:p w14:paraId="6C764403" w14:textId="77777777" w:rsidR="0050230C" w:rsidRPr="00E77D56" w:rsidRDefault="0050230C"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Certification is a credential that a practitioner may seek in addition to their primary qualifying degree and examination. For example, a physician may seek certification in a specialty (e.g., emergency medicine) in addition to his or her medical degree. Certifications are generally administered by national boards that specify the education, training, competency, and examination requirements to achieve certification and re-certification. Certification may or may not be required as part of the licensure process. </w:t>
      </w:r>
    </w:p>
    <w:p w14:paraId="101C15D6" w14:textId="77777777" w:rsidR="0050230C" w:rsidRPr="00E77D56" w:rsidRDefault="0050230C" w:rsidP="00E77D56">
      <w:pPr>
        <w:spacing w:line="480" w:lineRule="auto"/>
        <w:rPr>
          <w:rFonts w:eastAsia="Times New Roman" w:cstheme="minorHAnsi"/>
          <w:b/>
          <w:bCs/>
          <w:color w:val="000000" w:themeColor="text1"/>
          <w:sz w:val="24"/>
          <w:szCs w:val="24"/>
        </w:rPr>
      </w:pPr>
    </w:p>
    <w:p w14:paraId="207E7834" w14:textId="77777777" w:rsidR="0050230C" w:rsidRPr="00E77D56" w:rsidRDefault="0050230C" w:rsidP="00E77D56">
      <w:pPr>
        <w:spacing w:line="480" w:lineRule="auto"/>
        <w:rPr>
          <w:rFonts w:eastAsia="Times New Roman" w:cstheme="minorHAnsi"/>
          <w:b/>
          <w:bCs/>
          <w:color w:val="000000" w:themeColor="text1"/>
          <w:sz w:val="24"/>
          <w:szCs w:val="24"/>
        </w:rPr>
      </w:pPr>
      <w:r w:rsidRPr="00E77D56">
        <w:rPr>
          <w:rFonts w:eastAsia="Times New Roman" w:cstheme="minorHAnsi"/>
          <w:b/>
          <w:bCs/>
          <w:color w:val="000000" w:themeColor="text1"/>
          <w:sz w:val="24"/>
          <w:szCs w:val="24"/>
        </w:rPr>
        <w:t>Accreditation</w:t>
      </w:r>
    </w:p>
    <w:p w14:paraId="2ED624FB" w14:textId="77777777" w:rsidR="0050230C" w:rsidRPr="00E77D56" w:rsidRDefault="0050230C" w:rsidP="00E77D56">
      <w:pPr>
        <w:spacing w:line="480" w:lineRule="auto"/>
        <w:rPr>
          <w:rFonts w:eastAsia="Times New Roman" w:cstheme="minorHAnsi"/>
          <w:color w:val="000000" w:themeColor="text1"/>
          <w:szCs w:val="20"/>
        </w:rPr>
      </w:pPr>
      <w:r w:rsidRPr="00E77D56">
        <w:rPr>
          <w:rFonts w:eastAsia="Times New Roman" w:cstheme="minorHAnsi"/>
          <w:color w:val="000000" w:themeColor="text1"/>
          <w:szCs w:val="20"/>
        </w:rPr>
        <w:t>Accreditation is recognition by an independent professional organization or nongovernmental agency that a healthcare entity has met predetermined standards.</w:t>
      </w:r>
    </w:p>
    <w:p w14:paraId="68556C99" w14:textId="66F51194" w:rsidR="0050230C" w:rsidRDefault="0050230C" w:rsidP="00E77D56">
      <w:pPr>
        <w:spacing w:line="480" w:lineRule="auto"/>
        <w:rPr>
          <w:rFonts w:cstheme="minorHAnsi"/>
          <w:color w:val="000000" w:themeColor="text1"/>
          <w:sz w:val="24"/>
        </w:rPr>
      </w:pPr>
    </w:p>
    <w:p w14:paraId="62B03DD2" w14:textId="1E408013" w:rsidR="006E0594" w:rsidRDefault="006E0594" w:rsidP="00E77D56">
      <w:pPr>
        <w:spacing w:line="480" w:lineRule="auto"/>
        <w:rPr>
          <w:rFonts w:cstheme="minorHAnsi"/>
          <w:color w:val="000000" w:themeColor="text1"/>
          <w:sz w:val="24"/>
        </w:rPr>
      </w:pPr>
      <w:r>
        <w:rPr>
          <w:rFonts w:cstheme="minorHAnsi"/>
          <w:sz w:val="24"/>
        </w:rPr>
        <w:t>[</w:t>
      </w:r>
      <w:hyperlink w:anchor="TOC_top" w:history="1">
        <w:r w:rsidRPr="0082238F">
          <w:rPr>
            <w:rStyle w:val="Hyperlink"/>
            <w:rFonts w:cstheme="minorHAnsi"/>
            <w:sz w:val="24"/>
          </w:rPr>
          <w:t>TOC top</w:t>
        </w:r>
      </w:hyperlink>
      <w:r>
        <w:rPr>
          <w:rFonts w:cstheme="minorHAnsi"/>
          <w:sz w:val="24"/>
        </w:rPr>
        <w:t>]</w:t>
      </w:r>
    </w:p>
    <w:p w14:paraId="3F7AD974" w14:textId="77777777" w:rsidR="006E0594" w:rsidRDefault="006E0594" w:rsidP="00E77D56">
      <w:pPr>
        <w:spacing w:line="480" w:lineRule="auto"/>
        <w:rPr>
          <w:rFonts w:cstheme="minorHAnsi"/>
          <w:color w:val="000000" w:themeColor="text1"/>
          <w:sz w:val="24"/>
        </w:rPr>
      </w:pPr>
    </w:p>
    <w:p w14:paraId="189DB43D" w14:textId="77777777" w:rsidR="006E0594" w:rsidRDefault="006E0594" w:rsidP="00E77D56">
      <w:pPr>
        <w:spacing w:line="480" w:lineRule="auto"/>
        <w:rPr>
          <w:rFonts w:cstheme="minorHAnsi"/>
          <w:color w:val="000000" w:themeColor="text1"/>
          <w:sz w:val="24"/>
        </w:rPr>
        <w:sectPr w:rsidR="006E0594">
          <w:footerReference w:type="default" r:id="rId14"/>
          <w:pgSz w:w="12240" w:h="15840"/>
          <w:pgMar w:top="1440" w:right="1440" w:bottom="1440" w:left="1440" w:header="720" w:footer="720" w:gutter="0"/>
          <w:cols w:space="720"/>
          <w:docGrid w:linePitch="360"/>
        </w:sectPr>
      </w:pPr>
    </w:p>
    <w:p w14:paraId="519F9F5E" w14:textId="77777777" w:rsidR="0050230C" w:rsidRPr="00594523" w:rsidRDefault="0050230C" w:rsidP="00540B61">
      <w:pPr>
        <w:spacing w:after="120"/>
        <w:jc w:val="center"/>
        <w:rPr>
          <w:rFonts w:ascii="Arial" w:hAnsi="Arial" w:cs="Arial"/>
          <w:sz w:val="24"/>
          <w:szCs w:val="24"/>
        </w:rPr>
      </w:pPr>
      <w:bookmarkStart w:id="6" w:name="SOP_SAG"/>
      <w:r w:rsidRPr="00594523">
        <w:rPr>
          <w:rFonts w:ascii="Arial" w:hAnsi="Arial" w:cs="Arial"/>
          <w:sz w:val="24"/>
          <w:szCs w:val="24"/>
        </w:rPr>
        <w:lastRenderedPageBreak/>
        <w:t>State Analysis Guide</w:t>
      </w:r>
      <w:bookmarkEnd w:id="6"/>
    </w:p>
    <w:p w14:paraId="73B1B6E2" w14:textId="77777777" w:rsidR="0050230C" w:rsidRPr="00975C9B" w:rsidRDefault="0050230C" w:rsidP="00E8219E">
      <w:pPr>
        <w:ind w:left="360"/>
        <w:jc w:val="center"/>
        <w:rPr>
          <w:rFonts w:ascii="Arial" w:hAnsi="Arial" w:cs="Arial"/>
          <w:b/>
          <w:sz w:val="30"/>
          <w:szCs w:val="30"/>
        </w:rPr>
      </w:pPr>
      <w:r>
        <w:rPr>
          <w:rFonts w:ascii="Arial" w:hAnsi="Arial" w:cs="Arial"/>
          <w:b/>
          <w:sz w:val="30"/>
          <w:szCs w:val="30"/>
        </w:rPr>
        <w:t>Scope of Practice Issues</w:t>
      </w:r>
    </w:p>
    <w:p w14:paraId="03C1DEDC" w14:textId="77777777" w:rsidR="0050230C" w:rsidRPr="007645E4" w:rsidRDefault="0050230C" w:rsidP="001421B0">
      <w:pPr>
        <w:jc w:val="center"/>
        <w:rPr>
          <w:rFonts w:ascii="Arial" w:hAnsi="Arial" w:cs="Arial"/>
          <w:szCs w:val="26"/>
        </w:rPr>
      </w:pPr>
    </w:p>
    <w:p w14:paraId="3F8F60FC" w14:textId="77777777" w:rsidR="0050230C" w:rsidRPr="008277E5" w:rsidRDefault="0050230C" w:rsidP="001421B0">
      <w:pPr>
        <w:rPr>
          <w:rFonts w:ascii="Times New Roman" w:hAnsi="Times New Roman" w:cs="Times New Roman"/>
          <w:sz w:val="16"/>
          <w:szCs w:val="20"/>
        </w:rPr>
      </w:pPr>
    </w:p>
    <w:p w14:paraId="7A886CD3" w14:textId="77777777" w:rsidR="0050230C" w:rsidRPr="00FC05BE" w:rsidRDefault="0050230C" w:rsidP="00911063">
      <w:pPr>
        <w:ind w:left="288" w:right="576"/>
        <w:jc w:val="both"/>
        <w:rPr>
          <w:rFonts w:ascii="Arial" w:hAnsi="Arial" w:cs="Arial"/>
          <w:sz w:val="18"/>
          <w:szCs w:val="18"/>
        </w:rPr>
      </w:pPr>
      <w:r w:rsidRPr="00FC05BE">
        <w:rPr>
          <w:rFonts w:ascii="Arial" w:hAnsi="Arial" w:cs="Arial"/>
          <w:sz w:val="18"/>
          <w:szCs w:val="18"/>
        </w:rPr>
        <w:t xml:space="preserve">This </w:t>
      </w:r>
      <w:r w:rsidRPr="00FC05BE">
        <w:rPr>
          <w:rFonts w:ascii="Arial" w:hAnsi="Arial" w:cs="Arial"/>
          <w:i/>
          <w:sz w:val="18"/>
          <w:szCs w:val="18"/>
        </w:rPr>
        <w:t>State Analysis Guide</w:t>
      </w:r>
      <w:r w:rsidRPr="00FC05BE">
        <w:rPr>
          <w:rFonts w:ascii="Arial" w:hAnsi="Arial" w:cs="Arial"/>
          <w:sz w:val="18"/>
          <w:szCs w:val="18"/>
        </w:rPr>
        <w:t xml:space="preserve"> is intended to assist state health agency staff and legal counsel </w:t>
      </w:r>
      <w:r>
        <w:rPr>
          <w:rFonts w:ascii="Arial" w:hAnsi="Arial" w:cs="Arial"/>
          <w:sz w:val="18"/>
          <w:szCs w:val="18"/>
        </w:rPr>
        <w:t xml:space="preserve">in </w:t>
      </w:r>
      <w:r w:rsidRPr="00FC05BE">
        <w:rPr>
          <w:rFonts w:ascii="Arial" w:hAnsi="Arial" w:cs="Arial"/>
          <w:sz w:val="18"/>
          <w:szCs w:val="18"/>
        </w:rPr>
        <w:t>locat</w:t>
      </w:r>
      <w:r>
        <w:rPr>
          <w:rFonts w:ascii="Arial" w:hAnsi="Arial" w:cs="Arial"/>
          <w:sz w:val="18"/>
          <w:szCs w:val="18"/>
        </w:rPr>
        <w:t>ing</w:t>
      </w:r>
      <w:r w:rsidRPr="00FC05BE">
        <w:rPr>
          <w:rFonts w:ascii="Arial" w:hAnsi="Arial" w:cs="Arial"/>
          <w:sz w:val="18"/>
          <w:szCs w:val="18"/>
        </w:rPr>
        <w:t xml:space="preserve"> and analyz</w:t>
      </w:r>
      <w:r>
        <w:rPr>
          <w:rFonts w:ascii="Arial" w:hAnsi="Arial" w:cs="Arial"/>
          <w:sz w:val="18"/>
          <w:szCs w:val="18"/>
        </w:rPr>
        <w:t>ing</w:t>
      </w:r>
      <w:r w:rsidRPr="00FC05BE">
        <w:rPr>
          <w:rFonts w:ascii="Arial" w:hAnsi="Arial" w:cs="Arial"/>
          <w:sz w:val="18"/>
          <w:szCs w:val="18"/>
        </w:rPr>
        <w:t xml:space="preserve"> their state’s laws, rules, policies, and implementation plans addressing </w:t>
      </w:r>
      <w:r>
        <w:rPr>
          <w:rFonts w:ascii="Arial" w:hAnsi="Arial" w:cs="Arial"/>
          <w:sz w:val="18"/>
          <w:szCs w:val="18"/>
        </w:rPr>
        <w:t>scope of practice issues in public health emergencies</w:t>
      </w:r>
      <w:r w:rsidRPr="00FC05BE">
        <w:rPr>
          <w:rFonts w:ascii="Arial" w:hAnsi="Arial" w:cs="Arial"/>
          <w:sz w:val="18"/>
          <w:szCs w:val="18"/>
        </w:rPr>
        <w:t xml:space="preserve">. Specifically, the guide helps users evaluate issues </w:t>
      </w:r>
      <w:r>
        <w:rPr>
          <w:rFonts w:ascii="Arial" w:hAnsi="Arial" w:cs="Arial"/>
          <w:sz w:val="18"/>
          <w:szCs w:val="18"/>
        </w:rPr>
        <w:t>modifying scope of practice for certain practitioners and potential conflicts in scope of practice with out-of-state volunteers</w:t>
      </w:r>
      <w:r w:rsidRPr="00FC05BE">
        <w:rPr>
          <w:rFonts w:ascii="Arial" w:hAnsi="Arial" w:cs="Arial"/>
          <w:sz w:val="18"/>
          <w:szCs w:val="18"/>
        </w:rPr>
        <w:t>.</w:t>
      </w:r>
    </w:p>
    <w:p w14:paraId="5EC3CD37" w14:textId="77777777" w:rsidR="0050230C" w:rsidRDefault="0050230C" w:rsidP="002A03E4">
      <w:pPr>
        <w:ind w:left="288" w:right="576"/>
        <w:jc w:val="both"/>
        <w:rPr>
          <w:rFonts w:ascii="Arial" w:hAnsi="Arial" w:cs="Arial"/>
          <w:sz w:val="18"/>
          <w:szCs w:val="20"/>
        </w:rPr>
      </w:pPr>
    </w:p>
    <w:p w14:paraId="18A4ACD8" w14:textId="77777777" w:rsidR="0050230C" w:rsidRPr="002A03E4" w:rsidRDefault="0050230C" w:rsidP="002A03E4">
      <w:pPr>
        <w:ind w:left="288" w:right="576"/>
        <w:jc w:val="both"/>
        <w:rPr>
          <w:rFonts w:ascii="Arial" w:hAnsi="Arial" w:cs="Arial"/>
          <w:sz w:val="18"/>
          <w:szCs w:val="20"/>
        </w:rPr>
      </w:pPr>
      <w:r w:rsidRPr="002A03E4">
        <w:rPr>
          <w:rFonts w:ascii="Arial" w:hAnsi="Arial" w:cs="Arial"/>
          <w:sz w:val="18"/>
          <w:szCs w:val="20"/>
        </w:rPr>
        <w:t xml:space="preserve">Space is provided on the document to insert references or summaries of appropriate state and/or local authorities. Because each state’s law is unique, this guide may not identify all issues that arise in the course of analyzing </w:t>
      </w:r>
      <w:r>
        <w:rPr>
          <w:rFonts w:ascii="Arial" w:hAnsi="Arial" w:cs="Arial"/>
          <w:sz w:val="18"/>
          <w:szCs w:val="20"/>
        </w:rPr>
        <w:t>your</w:t>
      </w:r>
      <w:r w:rsidRPr="002A03E4">
        <w:rPr>
          <w:rFonts w:ascii="Arial" w:hAnsi="Arial" w:cs="Arial"/>
          <w:sz w:val="18"/>
          <w:szCs w:val="20"/>
        </w:rPr>
        <w:t xml:space="preserve"> state’s law. </w:t>
      </w:r>
      <w:r w:rsidRPr="002A03E4">
        <w:rPr>
          <w:rFonts w:ascii="Arial" w:hAnsi="Arial" w:cs="Arial"/>
          <w:b/>
          <w:sz w:val="18"/>
          <w:szCs w:val="20"/>
        </w:rPr>
        <w:t>In all instances</w:t>
      </w:r>
      <w:r>
        <w:rPr>
          <w:rFonts w:ascii="Arial" w:hAnsi="Arial" w:cs="Arial"/>
          <w:b/>
          <w:sz w:val="18"/>
          <w:szCs w:val="20"/>
        </w:rPr>
        <w:t>,</w:t>
      </w:r>
      <w:r w:rsidRPr="002A03E4">
        <w:rPr>
          <w:rFonts w:ascii="Arial" w:hAnsi="Arial" w:cs="Arial"/>
          <w:b/>
          <w:sz w:val="18"/>
          <w:szCs w:val="20"/>
        </w:rPr>
        <w:t xml:space="preserve"> the language and requirements of specific state/local laws, regulations, ordinances, rules, policies, guidances</w:t>
      </w:r>
      <w:r>
        <w:rPr>
          <w:rFonts w:ascii="Arial" w:hAnsi="Arial" w:cs="Arial"/>
          <w:b/>
          <w:sz w:val="18"/>
          <w:szCs w:val="20"/>
        </w:rPr>
        <w:t>, case law,</w:t>
      </w:r>
      <w:r w:rsidRPr="002A03E4">
        <w:rPr>
          <w:rFonts w:ascii="Arial" w:hAnsi="Arial" w:cs="Arial"/>
          <w:b/>
          <w:sz w:val="18"/>
          <w:szCs w:val="20"/>
        </w:rPr>
        <w:t xml:space="preserve"> and other sources of legal authority overrule this general analysis guide.</w:t>
      </w:r>
      <w:r>
        <w:rPr>
          <w:rFonts w:ascii="Arial" w:hAnsi="Arial" w:cs="Arial"/>
          <w:b/>
          <w:sz w:val="18"/>
          <w:szCs w:val="20"/>
        </w:rPr>
        <w:t xml:space="preserve"> </w:t>
      </w:r>
      <w:r w:rsidRPr="005F0391">
        <w:rPr>
          <w:rFonts w:ascii="Arial" w:hAnsi="Arial" w:cs="Arial"/>
          <w:b/>
          <w:sz w:val="18"/>
          <w:szCs w:val="20"/>
        </w:rPr>
        <w:t>This resource is for informational purposes only and is not intended as a substitute for professional legal or other advice.</w:t>
      </w:r>
    </w:p>
    <w:p w14:paraId="0087A999" w14:textId="77777777" w:rsidR="0050230C" w:rsidRDefault="0050230C" w:rsidP="007645E4">
      <w:pPr>
        <w:rPr>
          <w:b/>
          <w:sz w:val="20"/>
          <w:szCs w:val="20"/>
        </w:rPr>
      </w:pPr>
    </w:p>
    <w:tbl>
      <w:tblPr>
        <w:tblStyle w:val="TableGrid"/>
        <w:tblW w:w="0" w:type="auto"/>
        <w:tblInd w:w="108" w:type="dxa"/>
        <w:tblLook w:val="04A0" w:firstRow="1" w:lastRow="0" w:firstColumn="1" w:lastColumn="0" w:noHBand="0" w:noVBand="1"/>
      </w:tblPr>
      <w:tblGrid>
        <w:gridCol w:w="442"/>
        <w:gridCol w:w="60"/>
        <w:gridCol w:w="4642"/>
        <w:gridCol w:w="7698"/>
      </w:tblGrid>
      <w:tr w:rsidR="0050230C" w:rsidRPr="00727041" w14:paraId="572DB7AF" w14:textId="77777777" w:rsidTr="002B0E52">
        <w:trPr>
          <w:cantSplit/>
          <w:trHeight w:val="317"/>
          <w:tblHeader/>
        </w:trPr>
        <w:tc>
          <w:tcPr>
            <w:tcW w:w="5677" w:type="dxa"/>
            <w:gridSpan w:val="3"/>
            <w:shd w:val="clear" w:color="auto" w:fill="BFBFBF" w:themeFill="background1" w:themeFillShade="BF"/>
            <w:tcMar>
              <w:top w:w="58" w:type="dxa"/>
              <w:left w:w="130" w:type="dxa"/>
              <w:bottom w:w="58" w:type="dxa"/>
              <w:right w:w="115" w:type="dxa"/>
            </w:tcMar>
            <w:vAlign w:val="center"/>
          </w:tcPr>
          <w:p w14:paraId="6F81FEDD" w14:textId="77777777" w:rsidR="0050230C" w:rsidRPr="0024601A" w:rsidRDefault="0050230C" w:rsidP="00594523">
            <w:pPr>
              <w:rPr>
                <w:rFonts w:ascii="Arial" w:hAnsi="Arial" w:cs="Arial"/>
                <w:b/>
                <w:sz w:val="24"/>
                <w:szCs w:val="18"/>
              </w:rPr>
            </w:pPr>
            <w:r w:rsidRPr="0024601A">
              <w:rPr>
                <w:rFonts w:ascii="Arial" w:hAnsi="Arial" w:cs="Arial"/>
                <w:b/>
                <w:sz w:val="24"/>
                <w:szCs w:val="18"/>
              </w:rPr>
              <w:t>Issues for Analysis</w:t>
            </w:r>
          </w:p>
        </w:tc>
        <w:tc>
          <w:tcPr>
            <w:tcW w:w="8633" w:type="dxa"/>
            <w:shd w:val="clear" w:color="auto" w:fill="BFBFBF" w:themeFill="background1" w:themeFillShade="BF"/>
            <w:tcMar>
              <w:top w:w="58" w:type="dxa"/>
              <w:left w:w="130" w:type="dxa"/>
              <w:bottom w:w="58" w:type="dxa"/>
              <w:right w:w="115" w:type="dxa"/>
            </w:tcMar>
            <w:vAlign w:val="center"/>
          </w:tcPr>
          <w:p w14:paraId="691B4B89" w14:textId="77777777" w:rsidR="0050230C" w:rsidRPr="0024601A" w:rsidRDefault="0050230C" w:rsidP="002B0E52">
            <w:pPr>
              <w:jc w:val="center"/>
              <w:rPr>
                <w:rFonts w:ascii="Arial" w:hAnsi="Arial" w:cs="Arial"/>
                <w:b/>
                <w:sz w:val="24"/>
                <w:szCs w:val="18"/>
              </w:rPr>
            </w:pPr>
            <w:r w:rsidRPr="0024601A">
              <w:rPr>
                <w:rFonts w:ascii="Arial" w:hAnsi="Arial" w:cs="Arial"/>
                <w:b/>
                <w:sz w:val="24"/>
                <w:szCs w:val="18"/>
              </w:rPr>
              <w:t>State/Local Information</w:t>
            </w:r>
          </w:p>
        </w:tc>
      </w:tr>
      <w:tr w:rsidR="0050230C" w:rsidRPr="00727041" w14:paraId="055639B0" w14:textId="77777777" w:rsidTr="002B0E52">
        <w:trPr>
          <w:cantSplit/>
          <w:trHeight w:val="493"/>
        </w:trPr>
        <w:tc>
          <w:tcPr>
            <w:tcW w:w="14310" w:type="dxa"/>
            <w:gridSpan w:val="4"/>
            <w:shd w:val="clear" w:color="auto" w:fill="F2F2F2" w:themeFill="background1" w:themeFillShade="F2"/>
            <w:tcMar>
              <w:top w:w="58" w:type="dxa"/>
              <w:left w:w="130" w:type="dxa"/>
              <w:bottom w:w="58" w:type="dxa"/>
              <w:right w:w="115" w:type="dxa"/>
            </w:tcMar>
            <w:vAlign w:val="center"/>
          </w:tcPr>
          <w:p w14:paraId="0FECAA84" w14:textId="77777777" w:rsidR="0050230C" w:rsidRPr="0024601A" w:rsidRDefault="0050230C" w:rsidP="002B0E52">
            <w:pPr>
              <w:rPr>
                <w:rFonts w:ascii="Arial" w:hAnsi="Arial" w:cs="Arial"/>
                <w:b/>
                <w:sz w:val="18"/>
                <w:szCs w:val="18"/>
              </w:rPr>
            </w:pPr>
            <w:r>
              <w:rPr>
                <w:rFonts w:ascii="Arial" w:hAnsi="Arial" w:cs="Arial"/>
                <w:b/>
                <w:sz w:val="20"/>
                <w:szCs w:val="18"/>
              </w:rPr>
              <w:t>Identifying Relevant Legal Authorities</w:t>
            </w:r>
          </w:p>
        </w:tc>
      </w:tr>
      <w:tr w:rsidR="0050230C" w:rsidRPr="00727041" w14:paraId="759CB49B" w14:textId="77777777" w:rsidTr="002B0E52">
        <w:trPr>
          <w:cantSplit/>
        </w:trPr>
        <w:tc>
          <w:tcPr>
            <w:tcW w:w="5677" w:type="dxa"/>
            <w:gridSpan w:val="3"/>
            <w:tcMar>
              <w:top w:w="58" w:type="dxa"/>
              <w:left w:w="130" w:type="dxa"/>
              <w:bottom w:w="58" w:type="dxa"/>
              <w:right w:w="115" w:type="dxa"/>
            </w:tcMar>
            <w:vAlign w:val="center"/>
          </w:tcPr>
          <w:p w14:paraId="57EFBD19" w14:textId="77777777" w:rsidR="0050230C" w:rsidRPr="00727041" w:rsidRDefault="0050230C" w:rsidP="009E4C27">
            <w:pPr>
              <w:rPr>
                <w:rFonts w:ascii="Arial" w:hAnsi="Arial" w:cs="Arial"/>
                <w:sz w:val="18"/>
                <w:szCs w:val="18"/>
              </w:rPr>
            </w:pPr>
            <w:r>
              <w:rPr>
                <w:rFonts w:ascii="Arial" w:hAnsi="Arial" w:cs="Arial"/>
                <w:sz w:val="18"/>
                <w:szCs w:val="18"/>
              </w:rPr>
              <w:t>Identify licensed or otherwise state-regulated professionals that your jurisdiction will likely need during a public health emergency and identify the laws, regulations, orders, and policies governing them.</w:t>
            </w:r>
          </w:p>
        </w:tc>
        <w:tc>
          <w:tcPr>
            <w:tcW w:w="8633" w:type="dxa"/>
            <w:tcMar>
              <w:top w:w="58" w:type="dxa"/>
              <w:left w:w="130" w:type="dxa"/>
              <w:bottom w:w="58" w:type="dxa"/>
              <w:right w:w="115" w:type="dxa"/>
            </w:tcMar>
            <w:vAlign w:val="center"/>
          </w:tcPr>
          <w:p w14:paraId="23364FB6" w14:textId="77777777" w:rsidR="0050230C" w:rsidRPr="00727041" w:rsidRDefault="0050230C" w:rsidP="009E4C27">
            <w:pPr>
              <w:rPr>
                <w:rFonts w:ascii="Arial" w:hAnsi="Arial" w:cs="Arial"/>
                <w:sz w:val="18"/>
                <w:szCs w:val="18"/>
              </w:rPr>
            </w:pPr>
          </w:p>
        </w:tc>
      </w:tr>
      <w:tr w:rsidR="0050230C" w:rsidRPr="00727041" w14:paraId="012ECD2B" w14:textId="77777777" w:rsidTr="00F82FB9">
        <w:trPr>
          <w:cantSplit/>
        </w:trPr>
        <w:tc>
          <w:tcPr>
            <w:tcW w:w="540" w:type="dxa"/>
            <w:gridSpan w:val="2"/>
            <w:tcMar>
              <w:top w:w="58" w:type="dxa"/>
              <w:left w:w="130" w:type="dxa"/>
              <w:bottom w:w="58" w:type="dxa"/>
              <w:right w:w="115" w:type="dxa"/>
            </w:tcMar>
            <w:vAlign w:val="center"/>
          </w:tcPr>
          <w:p w14:paraId="17C9A70E"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2E1A8A98" w14:textId="77777777" w:rsidR="0050230C" w:rsidRPr="00D213F9" w:rsidRDefault="0050230C" w:rsidP="00D213F9">
            <w:pPr>
              <w:spacing w:after="40"/>
              <w:jc w:val="both"/>
              <w:rPr>
                <w:rFonts w:ascii="Arial" w:hAnsi="Arial" w:cs="Arial"/>
                <w:sz w:val="18"/>
                <w:szCs w:val="20"/>
              </w:rPr>
            </w:pPr>
            <w:r w:rsidRPr="00D213F9">
              <w:rPr>
                <w:rFonts w:ascii="Arial" w:hAnsi="Arial" w:cs="Arial"/>
                <w:sz w:val="18"/>
                <w:szCs w:val="20"/>
              </w:rPr>
              <w:t>Physicians</w:t>
            </w:r>
          </w:p>
        </w:tc>
        <w:tc>
          <w:tcPr>
            <w:tcW w:w="8633" w:type="dxa"/>
            <w:tcMar>
              <w:top w:w="58" w:type="dxa"/>
              <w:left w:w="130" w:type="dxa"/>
              <w:bottom w:w="58" w:type="dxa"/>
              <w:right w:w="115" w:type="dxa"/>
            </w:tcMar>
          </w:tcPr>
          <w:p w14:paraId="4B43C023" w14:textId="77777777" w:rsidR="0050230C" w:rsidRPr="00D213F9" w:rsidRDefault="0050230C" w:rsidP="00D213F9">
            <w:pPr>
              <w:spacing w:after="40"/>
              <w:jc w:val="both"/>
              <w:rPr>
                <w:rFonts w:ascii="Times New Roman" w:hAnsi="Times New Roman"/>
                <w:sz w:val="20"/>
                <w:szCs w:val="20"/>
              </w:rPr>
            </w:pPr>
          </w:p>
        </w:tc>
      </w:tr>
      <w:tr w:rsidR="0050230C" w:rsidRPr="00727041" w14:paraId="2BB1E87F" w14:textId="77777777" w:rsidTr="00F82FB9">
        <w:trPr>
          <w:cantSplit/>
        </w:trPr>
        <w:tc>
          <w:tcPr>
            <w:tcW w:w="540" w:type="dxa"/>
            <w:gridSpan w:val="2"/>
            <w:tcMar>
              <w:top w:w="58" w:type="dxa"/>
              <w:left w:w="130" w:type="dxa"/>
              <w:bottom w:w="58" w:type="dxa"/>
              <w:right w:w="115" w:type="dxa"/>
            </w:tcMar>
            <w:vAlign w:val="center"/>
          </w:tcPr>
          <w:p w14:paraId="7B81A4E9"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37A08AFD" w14:textId="77777777" w:rsidR="0050230C" w:rsidRPr="00D213F9" w:rsidRDefault="0050230C" w:rsidP="00D213F9">
            <w:pPr>
              <w:spacing w:after="40"/>
              <w:jc w:val="both"/>
              <w:rPr>
                <w:rFonts w:ascii="Arial" w:hAnsi="Arial" w:cs="Arial"/>
                <w:sz w:val="18"/>
                <w:szCs w:val="20"/>
              </w:rPr>
            </w:pPr>
            <w:r w:rsidRPr="00D213F9">
              <w:rPr>
                <w:rFonts w:ascii="Arial" w:hAnsi="Arial" w:cs="Arial"/>
                <w:sz w:val="18"/>
                <w:szCs w:val="20"/>
              </w:rPr>
              <w:t xml:space="preserve">Nurses </w:t>
            </w:r>
          </w:p>
        </w:tc>
        <w:tc>
          <w:tcPr>
            <w:tcW w:w="8633" w:type="dxa"/>
            <w:tcMar>
              <w:top w:w="58" w:type="dxa"/>
              <w:left w:w="130" w:type="dxa"/>
              <w:bottom w:w="58" w:type="dxa"/>
              <w:right w:w="115" w:type="dxa"/>
            </w:tcMar>
          </w:tcPr>
          <w:p w14:paraId="2500D32B" w14:textId="77777777" w:rsidR="0050230C" w:rsidRPr="00D213F9" w:rsidRDefault="0050230C" w:rsidP="00D213F9">
            <w:pPr>
              <w:spacing w:after="40"/>
              <w:jc w:val="both"/>
              <w:rPr>
                <w:rFonts w:ascii="Times New Roman" w:hAnsi="Times New Roman"/>
                <w:sz w:val="20"/>
                <w:szCs w:val="20"/>
              </w:rPr>
            </w:pPr>
          </w:p>
        </w:tc>
      </w:tr>
      <w:tr w:rsidR="0050230C" w:rsidRPr="00727041" w14:paraId="0D58D709" w14:textId="77777777" w:rsidTr="00F82FB9">
        <w:trPr>
          <w:cantSplit/>
        </w:trPr>
        <w:tc>
          <w:tcPr>
            <w:tcW w:w="540" w:type="dxa"/>
            <w:gridSpan w:val="2"/>
            <w:tcMar>
              <w:top w:w="58" w:type="dxa"/>
              <w:left w:w="130" w:type="dxa"/>
              <w:bottom w:w="58" w:type="dxa"/>
              <w:right w:w="115" w:type="dxa"/>
            </w:tcMar>
            <w:vAlign w:val="center"/>
          </w:tcPr>
          <w:p w14:paraId="63311BBD"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6E020610" w14:textId="77777777" w:rsidR="0050230C" w:rsidRPr="00D213F9" w:rsidRDefault="0050230C" w:rsidP="00D213F9">
            <w:pPr>
              <w:spacing w:after="40"/>
              <w:jc w:val="both"/>
              <w:rPr>
                <w:rFonts w:ascii="Arial" w:hAnsi="Arial" w:cs="Arial"/>
                <w:sz w:val="18"/>
                <w:szCs w:val="20"/>
              </w:rPr>
            </w:pPr>
            <w:r w:rsidRPr="00D213F9">
              <w:rPr>
                <w:rFonts w:ascii="Arial" w:hAnsi="Arial" w:cs="Arial"/>
                <w:sz w:val="18"/>
                <w:szCs w:val="20"/>
              </w:rPr>
              <w:t>Emergency Medical Services (</w:t>
            </w:r>
            <w:r>
              <w:rPr>
                <w:rFonts w:ascii="Arial" w:hAnsi="Arial" w:cs="Arial"/>
                <w:sz w:val="18"/>
                <w:szCs w:val="20"/>
              </w:rPr>
              <w:t xml:space="preserve">e.g., </w:t>
            </w:r>
            <w:r w:rsidRPr="00D213F9">
              <w:rPr>
                <w:rFonts w:ascii="Arial" w:hAnsi="Arial" w:cs="Arial"/>
                <w:sz w:val="18"/>
                <w:szCs w:val="20"/>
              </w:rPr>
              <w:t>EMT, paramedics)</w:t>
            </w:r>
          </w:p>
        </w:tc>
        <w:tc>
          <w:tcPr>
            <w:tcW w:w="8633" w:type="dxa"/>
            <w:tcMar>
              <w:top w:w="58" w:type="dxa"/>
              <w:left w:w="130" w:type="dxa"/>
              <w:bottom w:w="58" w:type="dxa"/>
              <w:right w:w="115" w:type="dxa"/>
            </w:tcMar>
          </w:tcPr>
          <w:p w14:paraId="5EAF7CEF" w14:textId="77777777" w:rsidR="0050230C" w:rsidRPr="00D213F9" w:rsidRDefault="0050230C" w:rsidP="00D213F9">
            <w:pPr>
              <w:spacing w:after="40"/>
              <w:jc w:val="both"/>
              <w:rPr>
                <w:rFonts w:ascii="Times New Roman" w:hAnsi="Times New Roman"/>
                <w:sz w:val="20"/>
                <w:szCs w:val="20"/>
              </w:rPr>
            </w:pPr>
          </w:p>
        </w:tc>
      </w:tr>
      <w:tr w:rsidR="0050230C" w:rsidRPr="00727041" w14:paraId="00EB44E6" w14:textId="77777777" w:rsidTr="00F82FB9">
        <w:trPr>
          <w:cantSplit/>
        </w:trPr>
        <w:tc>
          <w:tcPr>
            <w:tcW w:w="540" w:type="dxa"/>
            <w:gridSpan w:val="2"/>
            <w:tcMar>
              <w:top w:w="58" w:type="dxa"/>
              <w:left w:w="130" w:type="dxa"/>
              <w:bottom w:w="58" w:type="dxa"/>
              <w:right w:w="115" w:type="dxa"/>
            </w:tcMar>
            <w:vAlign w:val="center"/>
          </w:tcPr>
          <w:p w14:paraId="243E3190"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01002B1F" w14:textId="77777777" w:rsidR="0050230C" w:rsidRPr="00D213F9" w:rsidRDefault="0050230C" w:rsidP="00D213F9">
            <w:pPr>
              <w:spacing w:after="40"/>
              <w:jc w:val="both"/>
              <w:rPr>
                <w:rFonts w:ascii="Arial" w:hAnsi="Arial" w:cs="Arial"/>
                <w:sz w:val="18"/>
                <w:szCs w:val="20"/>
              </w:rPr>
            </w:pPr>
            <w:r w:rsidRPr="00D213F9">
              <w:rPr>
                <w:rFonts w:ascii="Arial" w:hAnsi="Arial" w:cs="Arial"/>
                <w:sz w:val="18"/>
                <w:szCs w:val="20"/>
              </w:rPr>
              <w:t>Pharmacists</w:t>
            </w:r>
          </w:p>
        </w:tc>
        <w:tc>
          <w:tcPr>
            <w:tcW w:w="8633" w:type="dxa"/>
            <w:tcMar>
              <w:top w:w="58" w:type="dxa"/>
              <w:left w:w="130" w:type="dxa"/>
              <w:bottom w:w="58" w:type="dxa"/>
              <w:right w:w="115" w:type="dxa"/>
            </w:tcMar>
          </w:tcPr>
          <w:p w14:paraId="7E82F483" w14:textId="77777777" w:rsidR="0050230C" w:rsidRPr="00D213F9" w:rsidRDefault="0050230C" w:rsidP="00D213F9">
            <w:pPr>
              <w:spacing w:after="40"/>
              <w:jc w:val="both"/>
              <w:rPr>
                <w:rFonts w:ascii="Times New Roman" w:hAnsi="Times New Roman"/>
                <w:sz w:val="20"/>
                <w:szCs w:val="20"/>
              </w:rPr>
            </w:pPr>
          </w:p>
        </w:tc>
      </w:tr>
      <w:tr w:rsidR="0050230C" w:rsidRPr="00727041" w14:paraId="61BF39A4" w14:textId="77777777" w:rsidTr="00F82FB9">
        <w:trPr>
          <w:cantSplit/>
        </w:trPr>
        <w:tc>
          <w:tcPr>
            <w:tcW w:w="540" w:type="dxa"/>
            <w:gridSpan w:val="2"/>
            <w:tcMar>
              <w:top w:w="58" w:type="dxa"/>
              <w:left w:w="130" w:type="dxa"/>
              <w:bottom w:w="58" w:type="dxa"/>
              <w:right w:w="115" w:type="dxa"/>
            </w:tcMar>
            <w:vAlign w:val="center"/>
          </w:tcPr>
          <w:p w14:paraId="5CBEDB95"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20FACD88" w14:textId="77777777" w:rsidR="0050230C" w:rsidRPr="00D213F9" w:rsidRDefault="0050230C" w:rsidP="00D213F9">
            <w:pPr>
              <w:spacing w:after="40"/>
              <w:jc w:val="both"/>
              <w:rPr>
                <w:rFonts w:ascii="Arial" w:hAnsi="Arial" w:cs="Arial"/>
                <w:sz w:val="18"/>
                <w:szCs w:val="20"/>
              </w:rPr>
            </w:pPr>
            <w:r w:rsidRPr="00D213F9">
              <w:rPr>
                <w:rFonts w:ascii="Arial" w:hAnsi="Arial" w:cs="Arial"/>
                <w:sz w:val="18"/>
                <w:szCs w:val="20"/>
              </w:rPr>
              <w:t>Behavioral and Mental Health Providers</w:t>
            </w:r>
          </w:p>
        </w:tc>
        <w:tc>
          <w:tcPr>
            <w:tcW w:w="8633" w:type="dxa"/>
            <w:tcMar>
              <w:top w:w="58" w:type="dxa"/>
              <w:left w:w="130" w:type="dxa"/>
              <w:bottom w:w="58" w:type="dxa"/>
              <w:right w:w="115" w:type="dxa"/>
            </w:tcMar>
          </w:tcPr>
          <w:p w14:paraId="50AB96A6" w14:textId="77777777" w:rsidR="0050230C" w:rsidRPr="00D213F9" w:rsidRDefault="0050230C" w:rsidP="00D213F9">
            <w:pPr>
              <w:spacing w:after="40"/>
              <w:rPr>
                <w:rFonts w:ascii="Times New Roman" w:hAnsi="Times New Roman"/>
                <w:sz w:val="20"/>
                <w:szCs w:val="20"/>
              </w:rPr>
            </w:pPr>
          </w:p>
        </w:tc>
      </w:tr>
      <w:tr w:rsidR="0050230C" w:rsidRPr="00727041" w14:paraId="70B8E912" w14:textId="77777777" w:rsidTr="00C74B2F">
        <w:trPr>
          <w:cantSplit/>
        </w:trPr>
        <w:tc>
          <w:tcPr>
            <w:tcW w:w="540" w:type="dxa"/>
            <w:gridSpan w:val="2"/>
            <w:tcMar>
              <w:top w:w="58" w:type="dxa"/>
              <w:left w:w="130" w:type="dxa"/>
              <w:bottom w:w="58" w:type="dxa"/>
              <w:right w:w="115" w:type="dxa"/>
            </w:tcMar>
            <w:vAlign w:val="center"/>
          </w:tcPr>
          <w:p w14:paraId="00133288"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7B8638BC" w14:textId="77777777" w:rsidR="0050230C" w:rsidRPr="00D213F9" w:rsidRDefault="0050230C" w:rsidP="00D213F9">
            <w:pPr>
              <w:spacing w:after="40"/>
              <w:jc w:val="both"/>
              <w:rPr>
                <w:rFonts w:ascii="Arial" w:hAnsi="Arial" w:cs="Arial"/>
                <w:sz w:val="18"/>
                <w:szCs w:val="20"/>
              </w:rPr>
            </w:pPr>
            <w:r w:rsidRPr="00D213F9">
              <w:rPr>
                <w:rFonts w:ascii="Arial" w:hAnsi="Arial" w:cs="Arial"/>
                <w:sz w:val="18"/>
                <w:szCs w:val="20"/>
              </w:rPr>
              <w:t>Dentists</w:t>
            </w:r>
          </w:p>
        </w:tc>
        <w:tc>
          <w:tcPr>
            <w:tcW w:w="8633" w:type="dxa"/>
            <w:tcMar>
              <w:top w:w="58" w:type="dxa"/>
              <w:left w:w="130" w:type="dxa"/>
              <w:bottom w:w="58" w:type="dxa"/>
              <w:right w:w="115" w:type="dxa"/>
            </w:tcMar>
            <w:vAlign w:val="center"/>
          </w:tcPr>
          <w:p w14:paraId="673B8061" w14:textId="77777777" w:rsidR="0050230C" w:rsidRPr="00727041" w:rsidRDefault="0050230C" w:rsidP="002B0E52">
            <w:pPr>
              <w:rPr>
                <w:rFonts w:ascii="Arial" w:hAnsi="Arial" w:cs="Arial"/>
                <w:sz w:val="18"/>
                <w:szCs w:val="18"/>
              </w:rPr>
            </w:pPr>
          </w:p>
        </w:tc>
      </w:tr>
      <w:tr w:rsidR="0050230C" w:rsidRPr="00727041" w14:paraId="45F2EAD4" w14:textId="77777777" w:rsidTr="00C74B2F">
        <w:trPr>
          <w:cantSplit/>
        </w:trPr>
        <w:tc>
          <w:tcPr>
            <w:tcW w:w="540" w:type="dxa"/>
            <w:gridSpan w:val="2"/>
            <w:tcMar>
              <w:top w:w="58" w:type="dxa"/>
              <w:left w:w="130" w:type="dxa"/>
              <w:bottom w:w="58" w:type="dxa"/>
              <w:right w:w="115" w:type="dxa"/>
            </w:tcMar>
            <w:vAlign w:val="center"/>
          </w:tcPr>
          <w:p w14:paraId="00D23D98"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1C91B2FB" w14:textId="77777777" w:rsidR="0050230C" w:rsidRPr="00D213F9" w:rsidRDefault="0050230C" w:rsidP="00D213F9">
            <w:pPr>
              <w:spacing w:after="40"/>
              <w:jc w:val="both"/>
              <w:rPr>
                <w:rFonts w:ascii="Arial" w:hAnsi="Arial" w:cs="Arial"/>
                <w:sz w:val="18"/>
                <w:szCs w:val="20"/>
              </w:rPr>
            </w:pPr>
            <w:r w:rsidRPr="00D213F9">
              <w:rPr>
                <w:rFonts w:ascii="Arial" w:hAnsi="Arial" w:cs="Arial"/>
                <w:sz w:val="18"/>
                <w:szCs w:val="20"/>
              </w:rPr>
              <w:t>Veterinarians</w:t>
            </w:r>
          </w:p>
        </w:tc>
        <w:tc>
          <w:tcPr>
            <w:tcW w:w="8633" w:type="dxa"/>
            <w:tcMar>
              <w:top w:w="58" w:type="dxa"/>
              <w:left w:w="130" w:type="dxa"/>
              <w:bottom w:w="58" w:type="dxa"/>
              <w:right w:w="115" w:type="dxa"/>
            </w:tcMar>
            <w:vAlign w:val="center"/>
          </w:tcPr>
          <w:p w14:paraId="1C8C1AF5" w14:textId="77777777" w:rsidR="0050230C" w:rsidRPr="00727041" w:rsidRDefault="0050230C" w:rsidP="002B0E52">
            <w:pPr>
              <w:rPr>
                <w:rFonts w:ascii="Arial" w:hAnsi="Arial" w:cs="Arial"/>
                <w:sz w:val="18"/>
                <w:szCs w:val="18"/>
              </w:rPr>
            </w:pPr>
          </w:p>
        </w:tc>
      </w:tr>
      <w:tr w:rsidR="0050230C" w:rsidRPr="00727041" w14:paraId="055DB269" w14:textId="77777777" w:rsidTr="00C74B2F">
        <w:trPr>
          <w:cantSplit/>
        </w:trPr>
        <w:tc>
          <w:tcPr>
            <w:tcW w:w="540" w:type="dxa"/>
            <w:gridSpan w:val="2"/>
            <w:tcMar>
              <w:top w:w="58" w:type="dxa"/>
              <w:left w:w="130" w:type="dxa"/>
              <w:bottom w:w="58" w:type="dxa"/>
              <w:right w:w="115" w:type="dxa"/>
            </w:tcMar>
            <w:vAlign w:val="center"/>
          </w:tcPr>
          <w:p w14:paraId="1327A398"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72BBAE78" w14:textId="77777777" w:rsidR="0050230C" w:rsidRPr="00D213F9" w:rsidRDefault="0050230C" w:rsidP="00D213F9">
            <w:pPr>
              <w:spacing w:after="40"/>
              <w:jc w:val="both"/>
              <w:rPr>
                <w:rFonts w:ascii="Arial" w:hAnsi="Arial" w:cs="Arial"/>
                <w:sz w:val="18"/>
                <w:szCs w:val="20"/>
              </w:rPr>
            </w:pPr>
            <w:r w:rsidRPr="00D213F9">
              <w:rPr>
                <w:rFonts w:ascii="Arial" w:hAnsi="Arial" w:cs="Arial"/>
                <w:sz w:val="18"/>
                <w:szCs w:val="20"/>
              </w:rPr>
              <w:t>Laboratorians</w:t>
            </w:r>
          </w:p>
        </w:tc>
        <w:tc>
          <w:tcPr>
            <w:tcW w:w="8633" w:type="dxa"/>
            <w:tcMar>
              <w:top w:w="58" w:type="dxa"/>
              <w:left w:w="130" w:type="dxa"/>
              <w:bottom w:w="58" w:type="dxa"/>
              <w:right w:w="115" w:type="dxa"/>
            </w:tcMar>
            <w:vAlign w:val="center"/>
          </w:tcPr>
          <w:p w14:paraId="252130E6" w14:textId="77777777" w:rsidR="0050230C" w:rsidRPr="00727041" w:rsidRDefault="0050230C" w:rsidP="002B0E52">
            <w:pPr>
              <w:rPr>
                <w:rFonts w:ascii="Arial" w:hAnsi="Arial" w:cs="Arial"/>
                <w:sz w:val="18"/>
                <w:szCs w:val="18"/>
              </w:rPr>
            </w:pPr>
          </w:p>
        </w:tc>
      </w:tr>
      <w:tr w:rsidR="0050230C" w:rsidRPr="00727041" w14:paraId="64297339" w14:textId="77777777" w:rsidTr="00C74B2F">
        <w:trPr>
          <w:cantSplit/>
        </w:trPr>
        <w:tc>
          <w:tcPr>
            <w:tcW w:w="540" w:type="dxa"/>
            <w:gridSpan w:val="2"/>
            <w:tcMar>
              <w:top w:w="58" w:type="dxa"/>
              <w:left w:w="130" w:type="dxa"/>
              <w:bottom w:w="58" w:type="dxa"/>
              <w:right w:w="115" w:type="dxa"/>
            </w:tcMar>
            <w:vAlign w:val="center"/>
          </w:tcPr>
          <w:p w14:paraId="76922B3A"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60913C0A" w14:textId="77777777" w:rsidR="0050230C" w:rsidRPr="00D213F9" w:rsidRDefault="0050230C" w:rsidP="00D213F9">
            <w:pPr>
              <w:spacing w:after="40"/>
              <w:rPr>
                <w:rFonts w:ascii="Arial" w:hAnsi="Arial" w:cs="Arial"/>
                <w:sz w:val="18"/>
                <w:szCs w:val="20"/>
              </w:rPr>
            </w:pPr>
            <w:r w:rsidRPr="00D213F9">
              <w:rPr>
                <w:rFonts w:ascii="Arial" w:hAnsi="Arial" w:cs="Arial"/>
                <w:sz w:val="18"/>
                <w:szCs w:val="20"/>
              </w:rPr>
              <w:t>Sanitarians and Environmental Health Specialists</w:t>
            </w:r>
          </w:p>
        </w:tc>
        <w:tc>
          <w:tcPr>
            <w:tcW w:w="8633" w:type="dxa"/>
            <w:tcMar>
              <w:top w:w="58" w:type="dxa"/>
              <w:left w:w="130" w:type="dxa"/>
              <w:bottom w:w="58" w:type="dxa"/>
              <w:right w:w="115" w:type="dxa"/>
            </w:tcMar>
            <w:vAlign w:val="center"/>
          </w:tcPr>
          <w:p w14:paraId="3EB94218" w14:textId="77777777" w:rsidR="0050230C" w:rsidRPr="00727041" w:rsidRDefault="0050230C" w:rsidP="002B0E52">
            <w:pPr>
              <w:rPr>
                <w:rFonts w:ascii="Arial" w:hAnsi="Arial" w:cs="Arial"/>
                <w:sz w:val="18"/>
                <w:szCs w:val="18"/>
              </w:rPr>
            </w:pPr>
          </w:p>
        </w:tc>
      </w:tr>
      <w:tr w:rsidR="0050230C" w:rsidRPr="00727041" w14:paraId="201E5849" w14:textId="77777777" w:rsidTr="00C74B2F">
        <w:trPr>
          <w:cantSplit/>
        </w:trPr>
        <w:tc>
          <w:tcPr>
            <w:tcW w:w="540" w:type="dxa"/>
            <w:gridSpan w:val="2"/>
            <w:tcMar>
              <w:top w:w="58" w:type="dxa"/>
              <w:left w:w="130" w:type="dxa"/>
              <w:bottom w:w="58" w:type="dxa"/>
              <w:right w:w="115" w:type="dxa"/>
            </w:tcMar>
            <w:vAlign w:val="center"/>
          </w:tcPr>
          <w:p w14:paraId="2536501D"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2FAC2C6C" w14:textId="77777777" w:rsidR="0050230C" w:rsidRPr="00D213F9" w:rsidRDefault="0050230C" w:rsidP="008C223C">
            <w:pPr>
              <w:spacing w:after="40"/>
              <w:rPr>
                <w:rFonts w:ascii="Arial" w:hAnsi="Arial" w:cs="Arial"/>
                <w:sz w:val="18"/>
                <w:szCs w:val="20"/>
              </w:rPr>
            </w:pPr>
            <w:r w:rsidRPr="00D213F9">
              <w:rPr>
                <w:rFonts w:ascii="Arial" w:hAnsi="Arial" w:cs="Arial"/>
                <w:sz w:val="18"/>
                <w:szCs w:val="20"/>
              </w:rPr>
              <w:t>Other Medical Care Providers (e.g., physician assistants, respiratory therapists, etc.)</w:t>
            </w:r>
          </w:p>
        </w:tc>
        <w:tc>
          <w:tcPr>
            <w:tcW w:w="8633" w:type="dxa"/>
            <w:tcMar>
              <w:top w:w="58" w:type="dxa"/>
              <w:left w:w="130" w:type="dxa"/>
              <w:bottom w:w="58" w:type="dxa"/>
              <w:right w:w="115" w:type="dxa"/>
            </w:tcMar>
            <w:vAlign w:val="center"/>
          </w:tcPr>
          <w:p w14:paraId="7B30F470" w14:textId="77777777" w:rsidR="0050230C" w:rsidRPr="00727041" w:rsidRDefault="0050230C" w:rsidP="002B0E52">
            <w:pPr>
              <w:rPr>
                <w:rFonts w:ascii="Arial" w:hAnsi="Arial" w:cs="Arial"/>
                <w:sz w:val="18"/>
                <w:szCs w:val="18"/>
              </w:rPr>
            </w:pPr>
          </w:p>
        </w:tc>
      </w:tr>
      <w:tr w:rsidR="0050230C" w:rsidRPr="00727041" w14:paraId="66B3965D" w14:textId="77777777" w:rsidTr="009C25DD">
        <w:trPr>
          <w:cantSplit/>
        </w:trPr>
        <w:tc>
          <w:tcPr>
            <w:tcW w:w="540" w:type="dxa"/>
            <w:gridSpan w:val="2"/>
            <w:tcMar>
              <w:top w:w="58" w:type="dxa"/>
              <w:left w:w="130" w:type="dxa"/>
              <w:bottom w:w="58" w:type="dxa"/>
              <w:right w:w="115" w:type="dxa"/>
            </w:tcMar>
            <w:vAlign w:val="center"/>
          </w:tcPr>
          <w:p w14:paraId="472DBC11"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40949FF5" w14:textId="77777777" w:rsidR="0050230C" w:rsidRPr="00D213F9" w:rsidRDefault="0050230C" w:rsidP="00D213F9">
            <w:pPr>
              <w:spacing w:after="40"/>
              <w:rPr>
                <w:rFonts w:ascii="Arial" w:hAnsi="Arial" w:cs="Arial"/>
                <w:sz w:val="18"/>
                <w:szCs w:val="20"/>
              </w:rPr>
            </w:pPr>
            <w:r w:rsidRPr="00D213F9">
              <w:rPr>
                <w:rFonts w:ascii="Arial" w:hAnsi="Arial" w:cs="Arial"/>
                <w:sz w:val="18"/>
                <w:szCs w:val="20"/>
              </w:rPr>
              <w:t>Other Regulated Professions (e.g., engineers, architects, etc.)</w:t>
            </w:r>
          </w:p>
        </w:tc>
        <w:tc>
          <w:tcPr>
            <w:tcW w:w="8633" w:type="dxa"/>
            <w:tcMar>
              <w:top w:w="58" w:type="dxa"/>
              <w:left w:w="130" w:type="dxa"/>
              <w:bottom w:w="58" w:type="dxa"/>
              <w:right w:w="115" w:type="dxa"/>
            </w:tcMar>
            <w:vAlign w:val="center"/>
          </w:tcPr>
          <w:p w14:paraId="20C9544B" w14:textId="77777777" w:rsidR="0050230C" w:rsidRPr="00727041" w:rsidRDefault="0050230C" w:rsidP="002B0E52">
            <w:pPr>
              <w:rPr>
                <w:rFonts w:ascii="Arial" w:hAnsi="Arial" w:cs="Arial"/>
                <w:sz w:val="18"/>
                <w:szCs w:val="18"/>
              </w:rPr>
            </w:pPr>
          </w:p>
        </w:tc>
      </w:tr>
      <w:tr w:rsidR="0050230C" w:rsidRPr="00727041" w14:paraId="1886C56A" w14:textId="77777777" w:rsidTr="009C25DD">
        <w:trPr>
          <w:cantSplit/>
        </w:trPr>
        <w:tc>
          <w:tcPr>
            <w:tcW w:w="540" w:type="dxa"/>
            <w:gridSpan w:val="2"/>
            <w:tcMar>
              <w:top w:w="58" w:type="dxa"/>
              <w:left w:w="130" w:type="dxa"/>
              <w:bottom w:w="58" w:type="dxa"/>
              <w:right w:w="115" w:type="dxa"/>
            </w:tcMar>
            <w:vAlign w:val="center"/>
          </w:tcPr>
          <w:p w14:paraId="129C54D1" w14:textId="77777777" w:rsidR="0050230C" w:rsidRPr="00727041" w:rsidRDefault="0050230C" w:rsidP="002B0E52">
            <w:pPr>
              <w:rPr>
                <w:rFonts w:ascii="Arial" w:hAnsi="Arial" w:cs="Arial"/>
                <w:sz w:val="18"/>
                <w:szCs w:val="18"/>
              </w:rPr>
            </w:pPr>
          </w:p>
        </w:tc>
        <w:tc>
          <w:tcPr>
            <w:tcW w:w="5137" w:type="dxa"/>
            <w:tcMar>
              <w:top w:w="58" w:type="dxa"/>
              <w:left w:w="130" w:type="dxa"/>
              <w:bottom w:w="58" w:type="dxa"/>
              <w:right w:w="115" w:type="dxa"/>
            </w:tcMar>
          </w:tcPr>
          <w:p w14:paraId="126E800A" w14:textId="77777777" w:rsidR="0050230C" w:rsidRPr="00D213F9" w:rsidRDefault="0050230C" w:rsidP="00D213F9">
            <w:pPr>
              <w:spacing w:after="40"/>
              <w:rPr>
                <w:rFonts w:ascii="Arial" w:hAnsi="Arial" w:cs="Arial"/>
                <w:sz w:val="18"/>
                <w:szCs w:val="20"/>
              </w:rPr>
            </w:pPr>
          </w:p>
        </w:tc>
        <w:tc>
          <w:tcPr>
            <w:tcW w:w="8633" w:type="dxa"/>
            <w:tcMar>
              <w:top w:w="58" w:type="dxa"/>
              <w:left w:w="130" w:type="dxa"/>
              <w:bottom w:w="58" w:type="dxa"/>
              <w:right w:w="115" w:type="dxa"/>
            </w:tcMar>
            <w:vAlign w:val="center"/>
          </w:tcPr>
          <w:p w14:paraId="3432B642" w14:textId="77777777" w:rsidR="0050230C" w:rsidRPr="00727041" w:rsidRDefault="0050230C" w:rsidP="002B0E52">
            <w:pPr>
              <w:rPr>
                <w:rFonts w:ascii="Arial" w:hAnsi="Arial" w:cs="Arial"/>
                <w:sz w:val="18"/>
                <w:szCs w:val="18"/>
              </w:rPr>
            </w:pPr>
          </w:p>
        </w:tc>
      </w:tr>
      <w:tr w:rsidR="0050230C" w:rsidRPr="00727041" w14:paraId="4BAC220E" w14:textId="77777777" w:rsidTr="002B0E52">
        <w:trPr>
          <w:cantSplit/>
        </w:trPr>
        <w:tc>
          <w:tcPr>
            <w:tcW w:w="5677" w:type="dxa"/>
            <w:gridSpan w:val="3"/>
            <w:tcMar>
              <w:top w:w="58" w:type="dxa"/>
              <w:left w:w="130" w:type="dxa"/>
              <w:bottom w:w="58" w:type="dxa"/>
              <w:right w:w="115" w:type="dxa"/>
            </w:tcMar>
            <w:vAlign w:val="center"/>
          </w:tcPr>
          <w:p w14:paraId="05503945" w14:textId="77777777" w:rsidR="0050230C" w:rsidRDefault="0050230C" w:rsidP="009D700B">
            <w:pPr>
              <w:rPr>
                <w:rFonts w:ascii="Arial" w:hAnsi="Arial" w:cs="Arial"/>
                <w:sz w:val="18"/>
                <w:szCs w:val="18"/>
              </w:rPr>
            </w:pPr>
            <w:r>
              <w:rPr>
                <w:rFonts w:ascii="Arial" w:hAnsi="Arial" w:cs="Arial"/>
                <w:sz w:val="18"/>
                <w:szCs w:val="18"/>
              </w:rPr>
              <w:t>Identify those regulated professions with the existing authorized scopes of practice to accomplish required tasks during a public health emergency (e.g., vaccinate, write prescriptions, provide airway support, etc.). Note any specific medical control, supervision, or training requirements.</w:t>
            </w:r>
          </w:p>
        </w:tc>
        <w:tc>
          <w:tcPr>
            <w:tcW w:w="8633" w:type="dxa"/>
            <w:tcMar>
              <w:top w:w="58" w:type="dxa"/>
              <w:left w:w="130" w:type="dxa"/>
              <w:bottom w:w="58" w:type="dxa"/>
              <w:right w:w="115" w:type="dxa"/>
            </w:tcMar>
            <w:vAlign w:val="center"/>
          </w:tcPr>
          <w:p w14:paraId="71B1C3A9" w14:textId="77777777" w:rsidR="0050230C" w:rsidRPr="00727041" w:rsidRDefault="0050230C" w:rsidP="002B0E52">
            <w:pPr>
              <w:rPr>
                <w:rFonts w:ascii="Arial" w:hAnsi="Arial" w:cs="Arial"/>
                <w:sz w:val="18"/>
                <w:szCs w:val="18"/>
              </w:rPr>
            </w:pPr>
          </w:p>
        </w:tc>
      </w:tr>
      <w:tr w:rsidR="0050230C" w:rsidRPr="00727041" w14:paraId="34530CBF" w14:textId="77777777" w:rsidTr="00414355">
        <w:trPr>
          <w:cantSplit/>
        </w:trPr>
        <w:tc>
          <w:tcPr>
            <w:tcW w:w="540" w:type="dxa"/>
            <w:gridSpan w:val="2"/>
            <w:tcMar>
              <w:top w:w="58" w:type="dxa"/>
              <w:left w:w="130" w:type="dxa"/>
              <w:bottom w:w="58" w:type="dxa"/>
              <w:right w:w="115" w:type="dxa"/>
            </w:tcMar>
            <w:vAlign w:val="center"/>
          </w:tcPr>
          <w:p w14:paraId="25A35013" w14:textId="77777777" w:rsidR="0050230C" w:rsidRDefault="0050230C" w:rsidP="009D700B">
            <w:pPr>
              <w:rPr>
                <w:rFonts w:ascii="Arial" w:hAnsi="Arial" w:cs="Arial"/>
                <w:sz w:val="18"/>
                <w:szCs w:val="18"/>
              </w:rPr>
            </w:pPr>
          </w:p>
        </w:tc>
        <w:tc>
          <w:tcPr>
            <w:tcW w:w="5137" w:type="dxa"/>
          </w:tcPr>
          <w:p w14:paraId="0543AC57"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Physicians</w:t>
            </w:r>
          </w:p>
        </w:tc>
        <w:tc>
          <w:tcPr>
            <w:tcW w:w="8633" w:type="dxa"/>
            <w:tcMar>
              <w:top w:w="58" w:type="dxa"/>
              <w:left w:w="130" w:type="dxa"/>
              <w:bottom w:w="58" w:type="dxa"/>
              <w:right w:w="115" w:type="dxa"/>
            </w:tcMar>
            <w:vAlign w:val="center"/>
          </w:tcPr>
          <w:p w14:paraId="10374B5E" w14:textId="77777777" w:rsidR="0050230C" w:rsidRPr="00727041" w:rsidRDefault="0050230C" w:rsidP="002B0E52">
            <w:pPr>
              <w:rPr>
                <w:rFonts w:ascii="Arial" w:hAnsi="Arial" w:cs="Arial"/>
                <w:sz w:val="18"/>
                <w:szCs w:val="18"/>
              </w:rPr>
            </w:pPr>
          </w:p>
        </w:tc>
      </w:tr>
      <w:tr w:rsidR="0050230C" w:rsidRPr="00727041" w14:paraId="1124FEB2" w14:textId="77777777" w:rsidTr="00414355">
        <w:trPr>
          <w:cantSplit/>
        </w:trPr>
        <w:tc>
          <w:tcPr>
            <w:tcW w:w="540" w:type="dxa"/>
            <w:gridSpan w:val="2"/>
            <w:tcMar>
              <w:top w:w="58" w:type="dxa"/>
              <w:left w:w="130" w:type="dxa"/>
              <w:bottom w:w="58" w:type="dxa"/>
              <w:right w:w="115" w:type="dxa"/>
            </w:tcMar>
            <w:vAlign w:val="center"/>
          </w:tcPr>
          <w:p w14:paraId="711CCCAE" w14:textId="77777777" w:rsidR="0050230C" w:rsidRDefault="0050230C" w:rsidP="009D700B">
            <w:pPr>
              <w:rPr>
                <w:rFonts w:ascii="Arial" w:hAnsi="Arial" w:cs="Arial"/>
                <w:sz w:val="18"/>
                <w:szCs w:val="18"/>
              </w:rPr>
            </w:pPr>
          </w:p>
        </w:tc>
        <w:tc>
          <w:tcPr>
            <w:tcW w:w="5137" w:type="dxa"/>
          </w:tcPr>
          <w:p w14:paraId="78E5327B"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 xml:space="preserve">Nurses </w:t>
            </w:r>
          </w:p>
        </w:tc>
        <w:tc>
          <w:tcPr>
            <w:tcW w:w="8633" w:type="dxa"/>
            <w:tcMar>
              <w:top w:w="58" w:type="dxa"/>
              <w:left w:w="130" w:type="dxa"/>
              <w:bottom w:w="58" w:type="dxa"/>
              <w:right w:w="115" w:type="dxa"/>
            </w:tcMar>
            <w:vAlign w:val="center"/>
          </w:tcPr>
          <w:p w14:paraId="0BCEA1E1" w14:textId="77777777" w:rsidR="0050230C" w:rsidRPr="00727041" w:rsidRDefault="0050230C" w:rsidP="002B0E52">
            <w:pPr>
              <w:rPr>
                <w:rFonts w:ascii="Arial" w:hAnsi="Arial" w:cs="Arial"/>
                <w:sz w:val="18"/>
                <w:szCs w:val="18"/>
              </w:rPr>
            </w:pPr>
          </w:p>
        </w:tc>
      </w:tr>
      <w:tr w:rsidR="0050230C" w:rsidRPr="00727041" w14:paraId="07C0674D" w14:textId="77777777" w:rsidTr="00414355">
        <w:trPr>
          <w:cantSplit/>
        </w:trPr>
        <w:tc>
          <w:tcPr>
            <w:tcW w:w="540" w:type="dxa"/>
            <w:gridSpan w:val="2"/>
            <w:tcMar>
              <w:top w:w="58" w:type="dxa"/>
              <w:left w:w="130" w:type="dxa"/>
              <w:bottom w:w="58" w:type="dxa"/>
              <w:right w:w="115" w:type="dxa"/>
            </w:tcMar>
            <w:vAlign w:val="center"/>
          </w:tcPr>
          <w:p w14:paraId="534BB0DB" w14:textId="77777777" w:rsidR="0050230C" w:rsidRDefault="0050230C" w:rsidP="009D700B">
            <w:pPr>
              <w:rPr>
                <w:rFonts w:ascii="Arial" w:hAnsi="Arial" w:cs="Arial"/>
                <w:sz w:val="18"/>
                <w:szCs w:val="18"/>
              </w:rPr>
            </w:pPr>
          </w:p>
        </w:tc>
        <w:tc>
          <w:tcPr>
            <w:tcW w:w="5137" w:type="dxa"/>
          </w:tcPr>
          <w:p w14:paraId="19CC9242"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Emergency Medical Services (</w:t>
            </w:r>
            <w:r>
              <w:rPr>
                <w:rFonts w:ascii="Arial" w:hAnsi="Arial" w:cs="Arial"/>
                <w:sz w:val="18"/>
                <w:szCs w:val="20"/>
              </w:rPr>
              <w:t xml:space="preserve">e.g., </w:t>
            </w:r>
            <w:r w:rsidRPr="00D213F9">
              <w:rPr>
                <w:rFonts w:ascii="Arial" w:hAnsi="Arial" w:cs="Arial"/>
                <w:sz w:val="18"/>
                <w:szCs w:val="20"/>
              </w:rPr>
              <w:t>EMT, paramedics)</w:t>
            </w:r>
          </w:p>
        </w:tc>
        <w:tc>
          <w:tcPr>
            <w:tcW w:w="8633" w:type="dxa"/>
            <w:tcMar>
              <w:top w:w="58" w:type="dxa"/>
              <w:left w:w="130" w:type="dxa"/>
              <w:bottom w:w="58" w:type="dxa"/>
              <w:right w:w="115" w:type="dxa"/>
            </w:tcMar>
            <w:vAlign w:val="center"/>
          </w:tcPr>
          <w:p w14:paraId="5813B981" w14:textId="77777777" w:rsidR="0050230C" w:rsidRPr="00727041" w:rsidRDefault="0050230C" w:rsidP="002B0E52">
            <w:pPr>
              <w:rPr>
                <w:rFonts w:ascii="Arial" w:hAnsi="Arial" w:cs="Arial"/>
                <w:sz w:val="18"/>
                <w:szCs w:val="18"/>
              </w:rPr>
            </w:pPr>
          </w:p>
        </w:tc>
      </w:tr>
      <w:tr w:rsidR="0050230C" w:rsidRPr="00727041" w14:paraId="4B2E623C" w14:textId="77777777" w:rsidTr="00414355">
        <w:trPr>
          <w:cantSplit/>
        </w:trPr>
        <w:tc>
          <w:tcPr>
            <w:tcW w:w="540" w:type="dxa"/>
            <w:gridSpan w:val="2"/>
            <w:tcMar>
              <w:top w:w="58" w:type="dxa"/>
              <w:left w:w="130" w:type="dxa"/>
              <w:bottom w:w="58" w:type="dxa"/>
              <w:right w:w="115" w:type="dxa"/>
            </w:tcMar>
            <w:vAlign w:val="center"/>
          </w:tcPr>
          <w:p w14:paraId="7B47BBDA" w14:textId="77777777" w:rsidR="0050230C" w:rsidRDefault="0050230C" w:rsidP="009D700B">
            <w:pPr>
              <w:rPr>
                <w:rFonts w:ascii="Arial" w:hAnsi="Arial" w:cs="Arial"/>
                <w:sz w:val="18"/>
                <w:szCs w:val="18"/>
              </w:rPr>
            </w:pPr>
          </w:p>
        </w:tc>
        <w:tc>
          <w:tcPr>
            <w:tcW w:w="5137" w:type="dxa"/>
          </w:tcPr>
          <w:p w14:paraId="09FE93F5"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Pharmacists</w:t>
            </w:r>
          </w:p>
        </w:tc>
        <w:tc>
          <w:tcPr>
            <w:tcW w:w="8633" w:type="dxa"/>
            <w:tcMar>
              <w:top w:w="58" w:type="dxa"/>
              <w:left w:w="130" w:type="dxa"/>
              <w:bottom w:w="58" w:type="dxa"/>
              <w:right w:w="115" w:type="dxa"/>
            </w:tcMar>
            <w:vAlign w:val="center"/>
          </w:tcPr>
          <w:p w14:paraId="067ED7ED" w14:textId="77777777" w:rsidR="0050230C" w:rsidRPr="00727041" w:rsidRDefault="0050230C" w:rsidP="002B0E52">
            <w:pPr>
              <w:rPr>
                <w:rFonts w:ascii="Arial" w:hAnsi="Arial" w:cs="Arial"/>
                <w:sz w:val="18"/>
                <w:szCs w:val="18"/>
              </w:rPr>
            </w:pPr>
          </w:p>
        </w:tc>
      </w:tr>
      <w:tr w:rsidR="0050230C" w:rsidRPr="00727041" w14:paraId="718EB1D4" w14:textId="77777777" w:rsidTr="00414355">
        <w:trPr>
          <w:cantSplit/>
        </w:trPr>
        <w:tc>
          <w:tcPr>
            <w:tcW w:w="540" w:type="dxa"/>
            <w:gridSpan w:val="2"/>
            <w:tcMar>
              <w:top w:w="58" w:type="dxa"/>
              <w:left w:w="130" w:type="dxa"/>
              <w:bottom w:w="58" w:type="dxa"/>
              <w:right w:w="115" w:type="dxa"/>
            </w:tcMar>
            <w:vAlign w:val="center"/>
          </w:tcPr>
          <w:p w14:paraId="4D7B680B" w14:textId="77777777" w:rsidR="0050230C" w:rsidRDefault="0050230C" w:rsidP="009D700B">
            <w:pPr>
              <w:rPr>
                <w:rFonts w:ascii="Arial" w:hAnsi="Arial" w:cs="Arial"/>
                <w:sz w:val="18"/>
                <w:szCs w:val="18"/>
              </w:rPr>
            </w:pPr>
          </w:p>
        </w:tc>
        <w:tc>
          <w:tcPr>
            <w:tcW w:w="5137" w:type="dxa"/>
          </w:tcPr>
          <w:p w14:paraId="12535C72"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Behavioral and Mental Health Providers</w:t>
            </w:r>
          </w:p>
        </w:tc>
        <w:tc>
          <w:tcPr>
            <w:tcW w:w="8633" w:type="dxa"/>
            <w:tcMar>
              <w:top w:w="58" w:type="dxa"/>
              <w:left w:w="130" w:type="dxa"/>
              <w:bottom w:w="58" w:type="dxa"/>
              <w:right w:w="115" w:type="dxa"/>
            </w:tcMar>
            <w:vAlign w:val="center"/>
          </w:tcPr>
          <w:p w14:paraId="230E2ADA" w14:textId="77777777" w:rsidR="0050230C" w:rsidRPr="00727041" w:rsidRDefault="0050230C" w:rsidP="002B0E52">
            <w:pPr>
              <w:rPr>
                <w:rFonts w:ascii="Arial" w:hAnsi="Arial" w:cs="Arial"/>
                <w:sz w:val="18"/>
                <w:szCs w:val="18"/>
              </w:rPr>
            </w:pPr>
          </w:p>
        </w:tc>
      </w:tr>
      <w:tr w:rsidR="0050230C" w:rsidRPr="00727041" w14:paraId="2011C083" w14:textId="77777777" w:rsidTr="00414355">
        <w:trPr>
          <w:cantSplit/>
        </w:trPr>
        <w:tc>
          <w:tcPr>
            <w:tcW w:w="540" w:type="dxa"/>
            <w:gridSpan w:val="2"/>
            <w:tcMar>
              <w:top w:w="58" w:type="dxa"/>
              <w:left w:w="130" w:type="dxa"/>
              <w:bottom w:w="58" w:type="dxa"/>
              <w:right w:w="115" w:type="dxa"/>
            </w:tcMar>
            <w:vAlign w:val="center"/>
          </w:tcPr>
          <w:p w14:paraId="0A48FA8B" w14:textId="77777777" w:rsidR="0050230C" w:rsidRDefault="0050230C" w:rsidP="009D700B">
            <w:pPr>
              <w:rPr>
                <w:rFonts w:ascii="Arial" w:hAnsi="Arial" w:cs="Arial"/>
                <w:sz w:val="18"/>
                <w:szCs w:val="18"/>
              </w:rPr>
            </w:pPr>
          </w:p>
        </w:tc>
        <w:tc>
          <w:tcPr>
            <w:tcW w:w="5137" w:type="dxa"/>
          </w:tcPr>
          <w:p w14:paraId="2CC068F6"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Dentists</w:t>
            </w:r>
          </w:p>
        </w:tc>
        <w:tc>
          <w:tcPr>
            <w:tcW w:w="8633" w:type="dxa"/>
            <w:tcMar>
              <w:top w:w="58" w:type="dxa"/>
              <w:left w:w="130" w:type="dxa"/>
              <w:bottom w:w="58" w:type="dxa"/>
              <w:right w:w="115" w:type="dxa"/>
            </w:tcMar>
            <w:vAlign w:val="center"/>
          </w:tcPr>
          <w:p w14:paraId="6C875D43" w14:textId="77777777" w:rsidR="0050230C" w:rsidRPr="00727041" w:rsidRDefault="0050230C" w:rsidP="002B0E52">
            <w:pPr>
              <w:rPr>
                <w:rFonts w:ascii="Arial" w:hAnsi="Arial" w:cs="Arial"/>
                <w:sz w:val="18"/>
                <w:szCs w:val="18"/>
              </w:rPr>
            </w:pPr>
          </w:p>
        </w:tc>
      </w:tr>
      <w:tr w:rsidR="0050230C" w:rsidRPr="00727041" w14:paraId="299590A8" w14:textId="77777777" w:rsidTr="00414355">
        <w:trPr>
          <w:cantSplit/>
        </w:trPr>
        <w:tc>
          <w:tcPr>
            <w:tcW w:w="540" w:type="dxa"/>
            <w:gridSpan w:val="2"/>
            <w:tcMar>
              <w:top w:w="58" w:type="dxa"/>
              <w:left w:w="130" w:type="dxa"/>
              <w:bottom w:w="58" w:type="dxa"/>
              <w:right w:w="115" w:type="dxa"/>
            </w:tcMar>
            <w:vAlign w:val="center"/>
          </w:tcPr>
          <w:p w14:paraId="64132E17" w14:textId="77777777" w:rsidR="0050230C" w:rsidRDefault="0050230C" w:rsidP="009D700B">
            <w:pPr>
              <w:rPr>
                <w:rFonts w:ascii="Arial" w:hAnsi="Arial" w:cs="Arial"/>
                <w:sz w:val="18"/>
                <w:szCs w:val="18"/>
              </w:rPr>
            </w:pPr>
          </w:p>
        </w:tc>
        <w:tc>
          <w:tcPr>
            <w:tcW w:w="5137" w:type="dxa"/>
          </w:tcPr>
          <w:p w14:paraId="4EDC13A7"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Veterinarians</w:t>
            </w:r>
          </w:p>
        </w:tc>
        <w:tc>
          <w:tcPr>
            <w:tcW w:w="8633" w:type="dxa"/>
            <w:tcMar>
              <w:top w:w="58" w:type="dxa"/>
              <w:left w:w="130" w:type="dxa"/>
              <w:bottom w:w="58" w:type="dxa"/>
              <w:right w:w="115" w:type="dxa"/>
            </w:tcMar>
            <w:vAlign w:val="center"/>
          </w:tcPr>
          <w:p w14:paraId="6BEACBB3" w14:textId="77777777" w:rsidR="0050230C" w:rsidRPr="00727041" w:rsidRDefault="0050230C" w:rsidP="002B0E52">
            <w:pPr>
              <w:rPr>
                <w:rFonts w:ascii="Arial" w:hAnsi="Arial" w:cs="Arial"/>
                <w:sz w:val="18"/>
                <w:szCs w:val="18"/>
              </w:rPr>
            </w:pPr>
          </w:p>
        </w:tc>
      </w:tr>
      <w:tr w:rsidR="0050230C" w:rsidRPr="00727041" w14:paraId="298D6386" w14:textId="77777777" w:rsidTr="00414355">
        <w:trPr>
          <w:cantSplit/>
        </w:trPr>
        <w:tc>
          <w:tcPr>
            <w:tcW w:w="540" w:type="dxa"/>
            <w:gridSpan w:val="2"/>
            <w:tcMar>
              <w:top w:w="58" w:type="dxa"/>
              <w:left w:w="130" w:type="dxa"/>
              <w:bottom w:w="58" w:type="dxa"/>
              <w:right w:w="115" w:type="dxa"/>
            </w:tcMar>
            <w:vAlign w:val="center"/>
          </w:tcPr>
          <w:p w14:paraId="69DB55F8" w14:textId="77777777" w:rsidR="0050230C" w:rsidRDefault="0050230C" w:rsidP="009D700B">
            <w:pPr>
              <w:rPr>
                <w:rFonts w:ascii="Arial" w:hAnsi="Arial" w:cs="Arial"/>
                <w:sz w:val="18"/>
                <w:szCs w:val="18"/>
              </w:rPr>
            </w:pPr>
          </w:p>
        </w:tc>
        <w:tc>
          <w:tcPr>
            <w:tcW w:w="5137" w:type="dxa"/>
          </w:tcPr>
          <w:p w14:paraId="1E7DFC3D"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Laboratorians</w:t>
            </w:r>
          </w:p>
        </w:tc>
        <w:tc>
          <w:tcPr>
            <w:tcW w:w="8633" w:type="dxa"/>
            <w:tcMar>
              <w:top w:w="58" w:type="dxa"/>
              <w:left w:w="130" w:type="dxa"/>
              <w:bottom w:w="58" w:type="dxa"/>
              <w:right w:w="115" w:type="dxa"/>
            </w:tcMar>
            <w:vAlign w:val="center"/>
          </w:tcPr>
          <w:p w14:paraId="62426E46" w14:textId="77777777" w:rsidR="0050230C" w:rsidRPr="00727041" w:rsidRDefault="0050230C" w:rsidP="002B0E52">
            <w:pPr>
              <w:rPr>
                <w:rFonts w:ascii="Arial" w:hAnsi="Arial" w:cs="Arial"/>
                <w:sz w:val="18"/>
                <w:szCs w:val="18"/>
              </w:rPr>
            </w:pPr>
          </w:p>
        </w:tc>
      </w:tr>
      <w:tr w:rsidR="0050230C" w:rsidRPr="00727041" w14:paraId="5A81039F" w14:textId="77777777" w:rsidTr="00414355">
        <w:trPr>
          <w:cantSplit/>
        </w:trPr>
        <w:tc>
          <w:tcPr>
            <w:tcW w:w="540" w:type="dxa"/>
            <w:gridSpan w:val="2"/>
            <w:tcMar>
              <w:top w:w="58" w:type="dxa"/>
              <w:left w:w="130" w:type="dxa"/>
              <w:bottom w:w="58" w:type="dxa"/>
              <w:right w:w="115" w:type="dxa"/>
            </w:tcMar>
            <w:vAlign w:val="center"/>
          </w:tcPr>
          <w:p w14:paraId="302FDB54" w14:textId="77777777" w:rsidR="0050230C" w:rsidRDefault="0050230C" w:rsidP="009D700B">
            <w:pPr>
              <w:rPr>
                <w:rFonts w:ascii="Arial" w:hAnsi="Arial" w:cs="Arial"/>
                <w:sz w:val="18"/>
                <w:szCs w:val="18"/>
              </w:rPr>
            </w:pPr>
          </w:p>
        </w:tc>
        <w:tc>
          <w:tcPr>
            <w:tcW w:w="5137" w:type="dxa"/>
          </w:tcPr>
          <w:p w14:paraId="36FE0294"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Sanitarians and Environmental Health Specialists</w:t>
            </w:r>
          </w:p>
        </w:tc>
        <w:tc>
          <w:tcPr>
            <w:tcW w:w="8633" w:type="dxa"/>
            <w:tcMar>
              <w:top w:w="58" w:type="dxa"/>
              <w:left w:w="130" w:type="dxa"/>
              <w:bottom w:w="58" w:type="dxa"/>
              <w:right w:w="115" w:type="dxa"/>
            </w:tcMar>
            <w:vAlign w:val="center"/>
          </w:tcPr>
          <w:p w14:paraId="49B5B22B" w14:textId="77777777" w:rsidR="0050230C" w:rsidRPr="00727041" w:rsidRDefault="0050230C" w:rsidP="002B0E52">
            <w:pPr>
              <w:rPr>
                <w:rFonts w:ascii="Arial" w:hAnsi="Arial" w:cs="Arial"/>
                <w:sz w:val="18"/>
                <w:szCs w:val="18"/>
              </w:rPr>
            </w:pPr>
          </w:p>
        </w:tc>
      </w:tr>
      <w:tr w:rsidR="0050230C" w:rsidRPr="00727041" w14:paraId="44DE2ED9" w14:textId="77777777" w:rsidTr="00414355">
        <w:trPr>
          <w:cantSplit/>
        </w:trPr>
        <w:tc>
          <w:tcPr>
            <w:tcW w:w="540" w:type="dxa"/>
            <w:gridSpan w:val="2"/>
            <w:tcMar>
              <w:top w:w="58" w:type="dxa"/>
              <w:left w:w="130" w:type="dxa"/>
              <w:bottom w:w="58" w:type="dxa"/>
              <w:right w:w="115" w:type="dxa"/>
            </w:tcMar>
            <w:vAlign w:val="center"/>
          </w:tcPr>
          <w:p w14:paraId="2274C919" w14:textId="77777777" w:rsidR="0050230C" w:rsidRDefault="0050230C" w:rsidP="009D700B">
            <w:pPr>
              <w:rPr>
                <w:rFonts w:ascii="Arial" w:hAnsi="Arial" w:cs="Arial"/>
                <w:sz w:val="18"/>
                <w:szCs w:val="18"/>
              </w:rPr>
            </w:pPr>
          </w:p>
        </w:tc>
        <w:tc>
          <w:tcPr>
            <w:tcW w:w="5137" w:type="dxa"/>
          </w:tcPr>
          <w:p w14:paraId="755391DB"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Other Medical Care Providers (e.g., physician assistants, respiratory therapists, etc.)</w:t>
            </w:r>
          </w:p>
        </w:tc>
        <w:tc>
          <w:tcPr>
            <w:tcW w:w="8633" w:type="dxa"/>
            <w:tcMar>
              <w:top w:w="58" w:type="dxa"/>
              <w:left w:w="130" w:type="dxa"/>
              <w:bottom w:w="58" w:type="dxa"/>
              <w:right w:w="115" w:type="dxa"/>
            </w:tcMar>
            <w:vAlign w:val="center"/>
          </w:tcPr>
          <w:p w14:paraId="220F6D3B" w14:textId="77777777" w:rsidR="0050230C" w:rsidRPr="00727041" w:rsidRDefault="0050230C" w:rsidP="002B0E52">
            <w:pPr>
              <w:rPr>
                <w:rFonts w:ascii="Arial" w:hAnsi="Arial" w:cs="Arial"/>
                <w:sz w:val="18"/>
                <w:szCs w:val="18"/>
              </w:rPr>
            </w:pPr>
          </w:p>
        </w:tc>
      </w:tr>
      <w:tr w:rsidR="0050230C" w:rsidRPr="00727041" w14:paraId="4B7D32CB" w14:textId="77777777" w:rsidTr="00414355">
        <w:trPr>
          <w:cantSplit/>
        </w:trPr>
        <w:tc>
          <w:tcPr>
            <w:tcW w:w="540" w:type="dxa"/>
            <w:gridSpan w:val="2"/>
            <w:tcMar>
              <w:top w:w="58" w:type="dxa"/>
              <w:left w:w="130" w:type="dxa"/>
              <w:bottom w:w="58" w:type="dxa"/>
              <w:right w:w="115" w:type="dxa"/>
            </w:tcMar>
            <w:vAlign w:val="center"/>
          </w:tcPr>
          <w:p w14:paraId="1AB82070" w14:textId="77777777" w:rsidR="0050230C" w:rsidRDefault="0050230C" w:rsidP="009D700B">
            <w:pPr>
              <w:rPr>
                <w:rFonts w:ascii="Arial" w:hAnsi="Arial" w:cs="Arial"/>
                <w:sz w:val="18"/>
                <w:szCs w:val="18"/>
              </w:rPr>
            </w:pPr>
          </w:p>
        </w:tc>
        <w:tc>
          <w:tcPr>
            <w:tcW w:w="5137" w:type="dxa"/>
          </w:tcPr>
          <w:p w14:paraId="24C127DB"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Other Regulated Professions (e.g., engineers, architects, etc.)</w:t>
            </w:r>
          </w:p>
        </w:tc>
        <w:tc>
          <w:tcPr>
            <w:tcW w:w="8633" w:type="dxa"/>
            <w:tcMar>
              <w:top w:w="58" w:type="dxa"/>
              <w:left w:w="130" w:type="dxa"/>
              <w:bottom w:w="58" w:type="dxa"/>
              <w:right w:w="115" w:type="dxa"/>
            </w:tcMar>
            <w:vAlign w:val="center"/>
          </w:tcPr>
          <w:p w14:paraId="2122B4C2" w14:textId="77777777" w:rsidR="0050230C" w:rsidRPr="00727041" w:rsidRDefault="0050230C" w:rsidP="002B0E52">
            <w:pPr>
              <w:rPr>
                <w:rFonts w:ascii="Arial" w:hAnsi="Arial" w:cs="Arial"/>
                <w:sz w:val="18"/>
                <w:szCs w:val="18"/>
              </w:rPr>
            </w:pPr>
          </w:p>
        </w:tc>
      </w:tr>
      <w:tr w:rsidR="0050230C" w:rsidRPr="00727041" w14:paraId="44080071" w14:textId="77777777" w:rsidTr="00414355">
        <w:trPr>
          <w:cantSplit/>
        </w:trPr>
        <w:tc>
          <w:tcPr>
            <w:tcW w:w="540" w:type="dxa"/>
            <w:gridSpan w:val="2"/>
            <w:tcMar>
              <w:top w:w="58" w:type="dxa"/>
              <w:left w:w="130" w:type="dxa"/>
              <w:bottom w:w="58" w:type="dxa"/>
              <w:right w:w="115" w:type="dxa"/>
            </w:tcMar>
            <w:vAlign w:val="center"/>
          </w:tcPr>
          <w:p w14:paraId="1D12780E" w14:textId="77777777" w:rsidR="0050230C" w:rsidRDefault="0050230C" w:rsidP="009D700B">
            <w:pPr>
              <w:rPr>
                <w:rFonts w:ascii="Arial" w:hAnsi="Arial" w:cs="Arial"/>
                <w:sz w:val="18"/>
                <w:szCs w:val="18"/>
              </w:rPr>
            </w:pPr>
          </w:p>
        </w:tc>
        <w:tc>
          <w:tcPr>
            <w:tcW w:w="5137" w:type="dxa"/>
          </w:tcPr>
          <w:p w14:paraId="6894708C" w14:textId="77777777" w:rsidR="0050230C" w:rsidRPr="00D213F9" w:rsidRDefault="0050230C" w:rsidP="004E1FDF">
            <w:pPr>
              <w:spacing w:after="40"/>
              <w:rPr>
                <w:rFonts w:ascii="Arial" w:hAnsi="Arial" w:cs="Arial"/>
                <w:sz w:val="18"/>
                <w:szCs w:val="20"/>
              </w:rPr>
            </w:pPr>
          </w:p>
        </w:tc>
        <w:tc>
          <w:tcPr>
            <w:tcW w:w="8633" w:type="dxa"/>
            <w:tcMar>
              <w:top w:w="58" w:type="dxa"/>
              <w:left w:w="130" w:type="dxa"/>
              <w:bottom w:w="58" w:type="dxa"/>
              <w:right w:w="115" w:type="dxa"/>
            </w:tcMar>
            <w:vAlign w:val="center"/>
          </w:tcPr>
          <w:p w14:paraId="21AEA54B" w14:textId="77777777" w:rsidR="0050230C" w:rsidRPr="00727041" w:rsidRDefault="0050230C" w:rsidP="002B0E52">
            <w:pPr>
              <w:rPr>
                <w:rFonts w:ascii="Arial" w:hAnsi="Arial" w:cs="Arial"/>
                <w:sz w:val="18"/>
                <w:szCs w:val="18"/>
              </w:rPr>
            </w:pPr>
          </w:p>
        </w:tc>
      </w:tr>
      <w:tr w:rsidR="0050230C" w:rsidRPr="00727041" w14:paraId="7E636935" w14:textId="77777777" w:rsidTr="002B0E52">
        <w:trPr>
          <w:cantSplit/>
        </w:trPr>
        <w:tc>
          <w:tcPr>
            <w:tcW w:w="5677" w:type="dxa"/>
            <w:gridSpan w:val="3"/>
            <w:tcMar>
              <w:top w:w="58" w:type="dxa"/>
              <w:left w:w="130" w:type="dxa"/>
              <w:bottom w:w="58" w:type="dxa"/>
              <w:right w:w="115" w:type="dxa"/>
            </w:tcMar>
            <w:vAlign w:val="center"/>
          </w:tcPr>
          <w:p w14:paraId="0205D2DC" w14:textId="77777777" w:rsidR="0050230C" w:rsidRDefault="0050230C" w:rsidP="009D700B">
            <w:pPr>
              <w:rPr>
                <w:rFonts w:ascii="Arial" w:hAnsi="Arial" w:cs="Arial"/>
                <w:sz w:val="18"/>
                <w:szCs w:val="18"/>
              </w:rPr>
            </w:pPr>
            <w:r>
              <w:rPr>
                <w:rFonts w:ascii="Arial" w:hAnsi="Arial" w:cs="Arial"/>
                <w:sz w:val="18"/>
                <w:szCs w:val="18"/>
              </w:rPr>
              <w:t>Identify if any regulated professions have existing legal authorities for an expanded or modified scope of practice in an emergency.</w:t>
            </w:r>
          </w:p>
          <w:p w14:paraId="3476F34D" w14:textId="77777777" w:rsidR="0050230C" w:rsidRDefault="0050230C" w:rsidP="009D700B">
            <w:pPr>
              <w:rPr>
                <w:rFonts w:ascii="Arial" w:hAnsi="Arial" w:cs="Arial"/>
                <w:sz w:val="18"/>
                <w:szCs w:val="18"/>
              </w:rPr>
            </w:pPr>
          </w:p>
          <w:p w14:paraId="52609F59" w14:textId="77777777" w:rsidR="0050230C" w:rsidRDefault="0050230C" w:rsidP="009E4C27">
            <w:pPr>
              <w:rPr>
                <w:rFonts w:ascii="Arial" w:hAnsi="Arial" w:cs="Arial"/>
                <w:sz w:val="18"/>
                <w:szCs w:val="18"/>
              </w:rPr>
            </w:pPr>
            <w:r>
              <w:rPr>
                <w:rFonts w:ascii="Arial" w:hAnsi="Arial" w:cs="Arial"/>
                <w:sz w:val="18"/>
                <w:szCs w:val="18"/>
              </w:rPr>
              <w:t>If so, what expanded or modified activities can they undertake? Note any specific medical control, supervision, or training requirements.</w:t>
            </w:r>
          </w:p>
        </w:tc>
        <w:tc>
          <w:tcPr>
            <w:tcW w:w="8633" w:type="dxa"/>
            <w:tcMar>
              <w:top w:w="58" w:type="dxa"/>
              <w:left w:w="130" w:type="dxa"/>
              <w:bottom w:w="58" w:type="dxa"/>
              <w:right w:w="115" w:type="dxa"/>
            </w:tcMar>
            <w:vAlign w:val="center"/>
          </w:tcPr>
          <w:p w14:paraId="5FCE0A06" w14:textId="77777777" w:rsidR="0050230C" w:rsidRPr="00727041" w:rsidRDefault="0050230C" w:rsidP="002B0E52">
            <w:pPr>
              <w:rPr>
                <w:rFonts w:ascii="Arial" w:hAnsi="Arial" w:cs="Arial"/>
                <w:sz w:val="18"/>
                <w:szCs w:val="18"/>
              </w:rPr>
            </w:pPr>
          </w:p>
        </w:tc>
      </w:tr>
      <w:tr w:rsidR="0050230C" w:rsidRPr="00727041" w14:paraId="5FE4EEFC" w14:textId="77777777" w:rsidTr="00875321">
        <w:trPr>
          <w:cantSplit/>
        </w:trPr>
        <w:tc>
          <w:tcPr>
            <w:tcW w:w="540" w:type="dxa"/>
            <w:gridSpan w:val="2"/>
            <w:tcMar>
              <w:top w:w="58" w:type="dxa"/>
              <w:left w:w="130" w:type="dxa"/>
              <w:bottom w:w="58" w:type="dxa"/>
              <w:right w:w="115" w:type="dxa"/>
            </w:tcMar>
            <w:vAlign w:val="center"/>
          </w:tcPr>
          <w:p w14:paraId="46C81F13" w14:textId="77777777" w:rsidR="0050230C" w:rsidRDefault="0050230C" w:rsidP="009D700B">
            <w:pPr>
              <w:rPr>
                <w:rFonts w:ascii="Arial" w:hAnsi="Arial" w:cs="Arial"/>
                <w:sz w:val="18"/>
                <w:szCs w:val="18"/>
              </w:rPr>
            </w:pPr>
          </w:p>
        </w:tc>
        <w:tc>
          <w:tcPr>
            <w:tcW w:w="5137" w:type="dxa"/>
          </w:tcPr>
          <w:p w14:paraId="065CE975"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Physicians</w:t>
            </w:r>
          </w:p>
        </w:tc>
        <w:tc>
          <w:tcPr>
            <w:tcW w:w="8633" w:type="dxa"/>
            <w:tcMar>
              <w:top w:w="58" w:type="dxa"/>
              <w:left w:w="130" w:type="dxa"/>
              <w:bottom w:w="58" w:type="dxa"/>
              <w:right w:w="115" w:type="dxa"/>
            </w:tcMar>
            <w:vAlign w:val="center"/>
          </w:tcPr>
          <w:p w14:paraId="3574E0E8" w14:textId="77777777" w:rsidR="0050230C" w:rsidRPr="00727041" w:rsidRDefault="0050230C" w:rsidP="002B0E52">
            <w:pPr>
              <w:rPr>
                <w:rFonts w:ascii="Arial" w:hAnsi="Arial" w:cs="Arial"/>
                <w:sz w:val="18"/>
                <w:szCs w:val="18"/>
              </w:rPr>
            </w:pPr>
          </w:p>
        </w:tc>
      </w:tr>
      <w:tr w:rsidR="0050230C" w:rsidRPr="00727041" w14:paraId="0CFF2E58" w14:textId="77777777" w:rsidTr="00875321">
        <w:trPr>
          <w:cantSplit/>
        </w:trPr>
        <w:tc>
          <w:tcPr>
            <w:tcW w:w="540" w:type="dxa"/>
            <w:gridSpan w:val="2"/>
            <w:tcMar>
              <w:top w:w="58" w:type="dxa"/>
              <w:left w:w="130" w:type="dxa"/>
              <w:bottom w:w="58" w:type="dxa"/>
              <w:right w:w="115" w:type="dxa"/>
            </w:tcMar>
            <w:vAlign w:val="center"/>
          </w:tcPr>
          <w:p w14:paraId="6CB1170E" w14:textId="77777777" w:rsidR="0050230C" w:rsidRDefault="0050230C" w:rsidP="009D700B">
            <w:pPr>
              <w:rPr>
                <w:rFonts w:ascii="Arial" w:hAnsi="Arial" w:cs="Arial"/>
                <w:sz w:val="18"/>
                <w:szCs w:val="18"/>
              </w:rPr>
            </w:pPr>
          </w:p>
        </w:tc>
        <w:tc>
          <w:tcPr>
            <w:tcW w:w="5137" w:type="dxa"/>
          </w:tcPr>
          <w:p w14:paraId="60CE684C"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 xml:space="preserve">Nurses </w:t>
            </w:r>
          </w:p>
        </w:tc>
        <w:tc>
          <w:tcPr>
            <w:tcW w:w="8633" w:type="dxa"/>
            <w:tcMar>
              <w:top w:w="58" w:type="dxa"/>
              <w:left w:w="130" w:type="dxa"/>
              <w:bottom w:w="58" w:type="dxa"/>
              <w:right w:w="115" w:type="dxa"/>
            </w:tcMar>
            <w:vAlign w:val="center"/>
          </w:tcPr>
          <w:p w14:paraId="69842152" w14:textId="77777777" w:rsidR="0050230C" w:rsidRPr="00727041" w:rsidRDefault="0050230C" w:rsidP="002B0E52">
            <w:pPr>
              <w:rPr>
                <w:rFonts w:ascii="Arial" w:hAnsi="Arial" w:cs="Arial"/>
                <w:sz w:val="18"/>
                <w:szCs w:val="18"/>
              </w:rPr>
            </w:pPr>
          </w:p>
        </w:tc>
      </w:tr>
      <w:tr w:rsidR="0050230C" w:rsidRPr="00727041" w14:paraId="1C58ADAB" w14:textId="77777777" w:rsidTr="00875321">
        <w:trPr>
          <w:cantSplit/>
        </w:trPr>
        <w:tc>
          <w:tcPr>
            <w:tcW w:w="540" w:type="dxa"/>
            <w:gridSpan w:val="2"/>
            <w:tcMar>
              <w:top w:w="58" w:type="dxa"/>
              <w:left w:w="130" w:type="dxa"/>
              <w:bottom w:w="58" w:type="dxa"/>
              <w:right w:w="115" w:type="dxa"/>
            </w:tcMar>
            <w:vAlign w:val="center"/>
          </w:tcPr>
          <w:p w14:paraId="34A19A7F" w14:textId="77777777" w:rsidR="0050230C" w:rsidRDefault="0050230C" w:rsidP="009D700B">
            <w:pPr>
              <w:rPr>
                <w:rFonts w:ascii="Arial" w:hAnsi="Arial" w:cs="Arial"/>
                <w:sz w:val="18"/>
                <w:szCs w:val="18"/>
              </w:rPr>
            </w:pPr>
          </w:p>
        </w:tc>
        <w:tc>
          <w:tcPr>
            <w:tcW w:w="5137" w:type="dxa"/>
          </w:tcPr>
          <w:p w14:paraId="36B0BA47"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Emergency Medical Services (</w:t>
            </w:r>
            <w:r>
              <w:rPr>
                <w:rFonts w:ascii="Arial" w:hAnsi="Arial" w:cs="Arial"/>
                <w:sz w:val="18"/>
                <w:szCs w:val="20"/>
              </w:rPr>
              <w:t xml:space="preserve">e.g., </w:t>
            </w:r>
            <w:r w:rsidRPr="00D213F9">
              <w:rPr>
                <w:rFonts w:ascii="Arial" w:hAnsi="Arial" w:cs="Arial"/>
                <w:sz w:val="18"/>
                <w:szCs w:val="20"/>
              </w:rPr>
              <w:t>EMT, paramedics)</w:t>
            </w:r>
          </w:p>
        </w:tc>
        <w:tc>
          <w:tcPr>
            <w:tcW w:w="8633" w:type="dxa"/>
            <w:tcMar>
              <w:top w:w="58" w:type="dxa"/>
              <w:left w:w="130" w:type="dxa"/>
              <w:bottom w:w="58" w:type="dxa"/>
              <w:right w:w="115" w:type="dxa"/>
            </w:tcMar>
            <w:vAlign w:val="center"/>
          </w:tcPr>
          <w:p w14:paraId="34E6FBDA" w14:textId="77777777" w:rsidR="0050230C" w:rsidRPr="00727041" w:rsidRDefault="0050230C" w:rsidP="002B0E52">
            <w:pPr>
              <w:rPr>
                <w:rFonts w:ascii="Arial" w:hAnsi="Arial" w:cs="Arial"/>
                <w:sz w:val="18"/>
                <w:szCs w:val="18"/>
              </w:rPr>
            </w:pPr>
          </w:p>
        </w:tc>
      </w:tr>
      <w:tr w:rsidR="0050230C" w:rsidRPr="00727041" w14:paraId="1F6766C2" w14:textId="77777777" w:rsidTr="00875321">
        <w:trPr>
          <w:cantSplit/>
        </w:trPr>
        <w:tc>
          <w:tcPr>
            <w:tcW w:w="540" w:type="dxa"/>
            <w:gridSpan w:val="2"/>
            <w:tcMar>
              <w:top w:w="58" w:type="dxa"/>
              <w:left w:w="130" w:type="dxa"/>
              <w:bottom w:w="58" w:type="dxa"/>
              <w:right w:w="115" w:type="dxa"/>
            </w:tcMar>
            <w:vAlign w:val="center"/>
          </w:tcPr>
          <w:p w14:paraId="110B39F0" w14:textId="77777777" w:rsidR="0050230C" w:rsidRDefault="0050230C" w:rsidP="009D700B">
            <w:pPr>
              <w:rPr>
                <w:rFonts w:ascii="Arial" w:hAnsi="Arial" w:cs="Arial"/>
                <w:sz w:val="18"/>
                <w:szCs w:val="18"/>
              </w:rPr>
            </w:pPr>
          </w:p>
        </w:tc>
        <w:tc>
          <w:tcPr>
            <w:tcW w:w="5137" w:type="dxa"/>
          </w:tcPr>
          <w:p w14:paraId="76BA643B"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Pharmacists</w:t>
            </w:r>
          </w:p>
        </w:tc>
        <w:tc>
          <w:tcPr>
            <w:tcW w:w="8633" w:type="dxa"/>
            <w:tcMar>
              <w:top w:w="58" w:type="dxa"/>
              <w:left w:w="130" w:type="dxa"/>
              <w:bottom w:w="58" w:type="dxa"/>
              <w:right w:w="115" w:type="dxa"/>
            </w:tcMar>
            <w:vAlign w:val="center"/>
          </w:tcPr>
          <w:p w14:paraId="67A4268A" w14:textId="77777777" w:rsidR="0050230C" w:rsidRPr="00727041" w:rsidRDefault="0050230C" w:rsidP="002B0E52">
            <w:pPr>
              <w:rPr>
                <w:rFonts w:ascii="Arial" w:hAnsi="Arial" w:cs="Arial"/>
                <w:sz w:val="18"/>
                <w:szCs w:val="18"/>
              </w:rPr>
            </w:pPr>
          </w:p>
        </w:tc>
      </w:tr>
      <w:tr w:rsidR="0050230C" w:rsidRPr="00727041" w14:paraId="37A520A4" w14:textId="77777777" w:rsidTr="00875321">
        <w:trPr>
          <w:cantSplit/>
        </w:trPr>
        <w:tc>
          <w:tcPr>
            <w:tcW w:w="540" w:type="dxa"/>
            <w:gridSpan w:val="2"/>
            <w:tcMar>
              <w:top w:w="58" w:type="dxa"/>
              <w:left w:w="130" w:type="dxa"/>
              <w:bottom w:w="58" w:type="dxa"/>
              <w:right w:w="115" w:type="dxa"/>
            </w:tcMar>
            <w:vAlign w:val="center"/>
          </w:tcPr>
          <w:p w14:paraId="5CDDE629" w14:textId="77777777" w:rsidR="0050230C" w:rsidRDefault="0050230C" w:rsidP="009D700B">
            <w:pPr>
              <w:rPr>
                <w:rFonts w:ascii="Arial" w:hAnsi="Arial" w:cs="Arial"/>
                <w:sz w:val="18"/>
                <w:szCs w:val="18"/>
              </w:rPr>
            </w:pPr>
          </w:p>
        </w:tc>
        <w:tc>
          <w:tcPr>
            <w:tcW w:w="5137" w:type="dxa"/>
          </w:tcPr>
          <w:p w14:paraId="47D389E3"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Behavioral and Mental Health Providers</w:t>
            </w:r>
          </w:p>
        </w:tc>
        <w:tc>
          <w:tcPr>
            <w:tcW w:w="8633" w:type="dxa"/>
            <w:tcMar>
              <w:top w:w="58" w:type="dxa"/>
              <w:left w:w="130" w:type="dxa"/>
              <w:bottom w:w="58" w:type="dxa"/>
              <w:right w:w="115" w:type="dxa"/>
            </w:tcMar>
            <w:vAlign w:val="center"/>
          </w:tcPr>
          <w:p w14:paraId="195D9EE3" w14:textId="77777777" w:rsidR="0050230C" w:rsidRPr="00727041" w:rsidRDefault="0050230C" w:rsidP="002B0E52">
            <w:pPr>
              <w:rPr>
                <w:rFonts w:ascii="Arial" w:hAnsi="Arial" w:cs="Arial"/>
                <w:sz w:val="18"/>
                <w:szCs w:val="18"/>
              </w:rPr>
            </w:pPr>
          </w:p>
        </w:tc>
      </w:tr>
      <w:tr w:rsidR="0050230C" w:rsidRPr="00727041" w14:paraId="3A6C00BC" w14:textId="77777777" w:rsidTr="00875321">
        <w:trPr>
          <w:cantSplit/>
        </w:trPr>
        <w:tc>
          <w:tcPr>
            <w:tcW w:w="540" w:type="dxa"/>
            <w:gridSpan w:val="2"/>
            <w:tcMar>
              <w:top w:w="58" w:type="dxa"/>
              <w:left w:w="130" w:type="dxa"/>
              <w:bottom w:w="58" w:type="dxa"/>
              <w:right w:w="115" w:type="dxa"/>
            </w:tcMar>
            <w:vAlign w:val="center"/>
          </w:tcPr>
          <w:p w14:paraId="54E1F391" w14:textId="77777777" w:rsidR="0050230C" w:rsidRDefault="0050230C" w:rsidP="009D700B">
            <w:pPr>
              <w:rPr>
                <w:rFonts w:ascii="Arial" w:hAnsi="Arial" w:cs="Arial"/>
                <w:sz w:val="18"/>
                <w:szCs w:val="18"/>
              </w:rPr>
            </w:pPr>
          </w:p>
        </w:tc>
        <w:tc>
          <w:tcPr>
            <w:tcW w:w="5137" w:type="dxa"/>
          </w:tcPr>
          <w:p w14:paraId="7B49E028"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Dentists</w:t>
            </w:r>
          </w:p>
        </w:tc>
        <w:tc>
          <w:tcPr>
            <w:tcW w:w="8633" w:type="dxa"/>
            <w:tcMar>
              <w:top w:w="58" w:type="dxa"/>
              <w:left w:w="130" w:type="dxa"/>
              <w:bottom w:w="58" w:type="dxa"/>
              <w:right w:w="115" w:type="dxa"/>
            </w:tcMar>
            <w:vAlign w:val="center"/>
          </w:tcPr>
          <w:p w14:paraId="5C29609B" w14:textId="77777777" w:rsidR="0050230C" w:rsidRPr="00727041" w:rsidRDefault="0050230C" w:rsidP="002B0E52">
            <w:pPr>
              <w:rPr>
                <w:rFonts w:ascii="Arial" w:hAnsi="Arial" w:cs="Arial"/>
                <w:sz w:val="18"/>
                <w:szCs w:val="18"/>
              </w:rPr>
            </w:pPr>
          </w:p>
        </w:tc>
      </w:tr>
      <w:tr w:rsidR="0050230C" w:rsidRPr="00727041" w14:paraId="42FF41B6" w14:textId="77777777" w:rsidTr="00875321">
        <w:trPr>
          <w:cantSplit/>
        </w:trPr>
        <w:tc>
          <w:tcPr>
            <w:tcW w:w="540" w:type="dxa"/>
            <w:gridSpan w:val="2"/>
            <w:tcMar>
              <w:top w:w="58" w:type="dxa"/>
              <w:left w:w="130" w:type="dxa"/>
              <w:bottom w:w="58" w:type="dxa"/>
              <w:right w:w="115" w:type="dxa"/>
            </w:tcMar>
            <w:vAlign w:val="center"/>
          </w:tcPr>
          <w:p w14:paraId="5C6511C0" w14:textId="77777777" w:rsidR="0050230C" w:rsidRDefault="0050230C" w:rsidP="009D700B">
            <w:pPr>
              <w:rPr>
                <w:rFonts w:ascii="Arial" w:hAnsi="Arial" w:cs="Arial"/>
                <w:sz w:val="18"/>
                <w:szCs w:val="18"/>
              </w:rPr>
            </w:pPr>
          </w:p>
        </w:tc>
        <w:tc>
          <w:tcPr>
            <w:tcW w:w="5137" w:type="dxa"/>
          </w:tcPr>
          <w:p w14:paraId="2C66CA58"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Veterinarians</w:t>
            </w:r>
          </w:p>
        </w:tc>
        <w:tc>
          <w:tcPr>
            <w:tcW w:w="8633" w:type="dxa"/>
            <w:tcMar>
              <w:top w:w="58" w:type="dxa"/>
              <w:left w:w="130" w:type="dxa"/>
              <w:bottom w:w="58" w:type="dxa"/>
              <w:right w:w="115" w:type="dxa"/>
            </w:tcMar>
            <w:vAlign w:val="center"/>
          </w:tcPr>
          <w:p w14:paraId="7E6D5267" w14:textId="77777777" w:rsidR="0050230C" w:rsidRPr="00727041" w:rsidRDefault="0050230C" w:rsidP="002B0E52">
            <w:pPr>
              <w:rPr>
                <w:rFonts w:ascii="Arial" w:hAnsi="Arial" w:cs="Arial"/>
                <w:sz w:val="18"/>
                <w:szCs w:val="18"/>
              </w:rPr>
            </w:pPr>
          </w:p>
        </w:tc>
      </w:tr>
      <w:tr w:rsidR="0050230C" w:rsidRPr="00727041" w14:paraId="3D687EA3" w14:textId="77777777" w:rsidTr="00875321">
        <w:trPr>
          <w:cantSplit/>
        </w:trPr>
        <w:tc>
          <w:tcPr>
            <w:tcW w:w="540" w:type="dxa"/>
            <w:gridSpan w:val="2"/>
            <w:tcMar>
              <w:top w:w="58" w:type="dxa"/>
              <w:left w:w="130" w:type="dxa"/>
              <w:bottom w:w="58" w:type="dxa"/>
              <w:right w:w="115" w:type="dxa"/>
            </w:tcMar>
            <w:vAlign w:val="center"/>
          </w:tcPr>
          <w:p w14:paraId="5588CC8A" w14:textId="77777777" w:rsidR="0050230C" w:rsidRDefault="0050230C" w:rsidP="009D700B">
            <w:pPr>
              <w:rPr>
                <w:rFonts w:ascii="Arial" w:hAnsi="Arial" w:cs="Arial"/>
                <w:sz w:val="18"/>
                <w:szCs w:val="18"/>
              </w:rPr>
            </w:pPr>
          </w:p>
        </w:tc>
        <w:tc>
          <w:tcPr>
            <w:tcW w:w="5137" w:type="dxa"/>
          </w:tcPr>
          <w:p w14:paraId="7C1BB9C6"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Laboratorians</w:t>
            </w:r>
          </w:p>
        </w:tc>
        <w:tc>
          <w:tcPr>
            <w:tcW w:w="8633" w:type="dxa"/>
            <w:tcMar>
              <w:top w:w="58" w:type="dxa"/>
              <w:left w:w="130" w:type="dxa"/>
              <w:bottom w:w="58" w:type="dxa"/>
              <w:right w:w="115" w:type="dxa"/>
            </w:tcMar>
            <w:vAlign w:val="center"/>
          </w:tcPr>
          <w:p w14:paraId="4EB2D37F" w14:textId="77777777" w:rsidR="0050230C" w:rsidRPr="00727041" w:rsidRDefault="0050230C" w:rsidP="002B0E52">
            <w:pPr>
              <w:rPr>
                <w:rFonts w:ascii="Arial" w:hAnsi="Arial" w:cs="Arial"/>
                <w:sz w:val="18"/>
                <w:szCs w:val="18"/>
              </w:rPr>
            </w:pPr>
          </w:p>
        </w:tc>
      </w:tr>
      <w:tr w:rsidR="0050230C" w:rsidRPr="00727041" w14:paraId="4B577FC0" w14:textId="77777777" w:rsidTr="00875321">
        <w:trPr>
          <w:cantSplit/>
        </w:trPr>
        <w:tc>
          <w:tcPr>
            <w:tcW w:w="540" w:type="dxa"/>
            <w:gridSpan w:val="2"/>
            <w:tcMar>
              <w:top w:w="58" w:type="dxa"/>
              <w:left w:w="130" w:type="dxa"/>
              <w:bottom w:w="58" w:type="dxa"/>
              <w:right w:w="115" w:type="dxa"/>
            </w:tcMar>
            <w:vAlign w:val="center"/>
          </w:tcPr>
          <w:p w14:paraId="6CCF0256" w14:textId="77777777" w:rsidR="0050230C" w:rsidRDefault="0050230C" w:rsidP="009D700B">
            <w:pPr>
              <w:rPr>
                <w:rFonts w:ascii="Arial" w:hAnsi="Arial" w:cs="Arial"/>
                <w:sz w:val="18"/>
                <w:szCs w:val="18"/>
              </w:rPr>
            </w:pPr>
          </w:p>
        </w:tc>
        <w:tc>
          <w:tcPr>
            <w:tcW w:w="5137" w:type="dxa"/>
          </w:tcPr>
          <w:p w14:paraId="5C999640"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Sanitarians and Environmental Health Specialists</w:t>
            </w:r>
          </w:p>
        </w:tc>
        <w:tc>
          <w:tcPr>
            <w:tcW w:w="8633" w:type="dxa"/>
            <w:tcMar>
              <w:top w:w="58" w:type="dxa"/>
              <w:left w:w="130" w:type="dxa"/>
              <w:bottom w:w="58" w:type="dxa"/>
              <w:right w:w="115" w:type="dxa"/>
            </w:tcMar>
            <w:vAlign w:val="center"/>
          </w:tcPr>
          <w:p w14:paraId="0B25FC94" w14:textId="77777777" w:rsidR="0050230C" w:rsidRPr="00727041" w:rsidRDefault="0050230C" w:rsidP="002B0E52">
            <w:pPr>
              <w:rPr>
                <w:rFonts w:ascii="Arial" w:hAnsi="Arial" w:cs="Arial"/>
                <w:sz w:val="18"/>
                <w:szCs w:val="18"/>
              </w:rPr>
            </w:pPr>
          </w:p>
        </w:tc>
      </w:tr>
      <w:tr w:rsidR="0050230C" w:rsidRPr="00727041" w14:paraId="4B983C75" w14:textId="77777777" w:rsidTr="00875321">
        <w:trPr>
          <w:cantSplit/>
        </w:trPr>
        <w:tc>
          <w:tcPr>
            <w:tcW w:w="540" w:type="dxa"/>
            <w:gridSpan w:val="2"/>
            <w:tcMar>
              <w:top w:w="58" w:type="dxa"/>
              <w:left w:w="130" w:type="dxa"/>
              <w:bottom w:w="58" w:type="dxa"/>
              <w:right w:w="115" w:type="dxa"/>
            </w:tcMar>
            <w:vAlign w:val="center"/>
          </w:tcPr>
          <w:p w14:paraId="76CCB540" w14:textId="77777777" w:rsidR="0050230C" w:rsidRDefault="0050230C" w:rsidP="009D700B">
            <w:pPr>
              <w:rPr>
                <w:rFonts w:ascii="Arial" w:hAnsi="Arial" w:cs="Arial"/>
                <w:sz w:val="18"/>
                <w:szCs w:val="18"/>
              </w:rPr>
            </w:pPr>
          </w:p>
        </w:tc>
        <w:tc>
          <w:tcPr>
            <w:tcW w:w="5137" w:type="dxa"/>
          </w:tcPr>
          <w:p w14:paraId="2652438D"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Other Medical Care Providers (e.g., physician assistants, respiratory therapists, etc.)</w:t>
            </w:r>
          </w:p>
        </w:tc>
        <w:tc>
          <w:tcPr>
            <w:tcW w:w="8633" w:type="dxa"/>
            <w:tcMar>
              <w:top w:w="58" w:type="dxa"/>
              <w:left w:w="130" w:type="dxa"/>
              <w:bottom w:w="58" w:type="dxa"/>
              <w:right w:w="115" w:type="dxa"/>
            </w:tcMar>
            <w:vAlign w:val="center"/>
          </w:tcPr>
          <w:p w14:paraId="3CF62FE5" w14:textId="77777777" w:rsidR="0050230C" w:rsidRPr="00727041" w:rsidRDefault="0050230C" w:rsidP="002B0E52">
            <w:pPr>
              <w:rPr>
                <w:rFonts w:ascii="Arial" w:hAnsi="Arial" w:cs="Arial"/>
                <w:sz w:val="18"/>
                <w:szCs w:val="18"/>
              </w:rPr>
            </w:pPr>
          </w:p>
        </w:tc>
      </w:tr>
      <w:tr w:rsidR="0050230C" w:rsidRPr="00727041" w14:paraId="1262808F" w14:textId="77777777" w:rsidTr="00875321">
        <w:trPr>
          <w:cantSplit/>
        </w:trPr>
        <w:tc>
          <w:tcPr>
            <w:tcW w:w="540" w:type="dxa"/>
            <w:gridSpan w:val="2"/>
            <w:tcMar>
              <w:top w:w="58" w:type="dxa"/>
              <w:left w:w="130" w:type="dxa"/>
              <w:bottom w:w="58" w:type="dxa"/>
              <w:right w:w="115" w:type="dxa"/>
            </w:tcMar>
            <w:vAlign w:val="center"/>
          </w:tcPr>
          <w:p w14:paraId="2A542D4C" w14:textId="77777777" w:rsidR="0050230C" w:rsidRDefault="0050230C" w:rsidP="009D700B">
            <w:pPr>
              <w:rPr>
                <w:rFonts w:ascii="Arial" w:hAnsi="Arial" w:cs="Arial"/>
                <w:sz w:val="18"/>
                <w:szCs w:val="18"/>
              </w:rPr>
            </w:pPr>
          </w:p>
        </w:tc>
        <w:tc>
          <w:tcPr>
            <w:tcW w:w="5137" w:type="dxa"/>
          </w:tcPr>
          <w:p w14:paraId="7A5A7973"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Other Regulated Professions (e.g., engineers, architects, etc.)</w:t>
            </w:r>
          </w:p>
        </w:tc>
        <w:tc>
          <w:tcPr>
            <w:tcW w:w="8633" w:type="dxa"/>
            <w:tcMar>
              <w:top w:w="58" w:type="dxa"/>
              <w:left w:w="130" w:type="dxa"/>
              <w:bottom w:w="58" w:type="dxa"/>
              <w:right w:w="115" w:type="dxa"/>
            </w:tcMar>
            <w:vAlign w:val="center"/>
          </w:tcPr>
          <w:p w14:paraId="7BF21D7F" w14:textId="77777777" w:rsidR="0050230C" w:rsidRPr="00727041" w:rsidRDefault="0050230C" w:rsidP="002B0E52">
            <w:pPr>
              <w:rPr>
                <w:rFonts w:ascii="Arial" w:hAnsi="Arial" w:cs="Arial"/>
                <w:sz w:val="18"/>
                <w:szCs w:val="18"/>
              </w:rPr>
            </w:pPr>
          </w:p>
        </w:tc>
      </w:tr>
      <w:tr w:rsidR="0050230C" w:rsidRPr="00727041" w14:paraId="0036D547" w14:textId="77777777" w:rsidTr="002B0E52">
        <w:trPr>
          <w:cantSplit/>
        </w:trPr>
        <w:tc>
          <w:tcPr>
            <w:tcW w:w="540" w:type="dxa"/>
            <w:gridSpan w:val="2"/>
            <w:tcMar>
              <w:top w:w="58" w:type="dxa"/>
              <w:left w:w="130" w:type="dxa"/>
              <w:bottom w:w="58" w:type="dxa"/>
              <w:right w:w="115" w:type="dxa"/>
            </w:tcMar>
            <w:vAlign w:val="center"/>
          </w:tcPr>
          <w:p w14:paraId="67EAA552" w14:textId="77777777" w:rsidR="0050230C" w:rsidRDefault="0050230C" w:rsidP="002B0E52">
            <w:pPr>
              <w:rPr>
                <w:rFonts w:ascii="Arial" w:hAnsi="Arial" w:cs="Arial"/>
                <w:sz w:val="18"/>
                <w:szCs w:val="18"/>
              </w:rPr>
            </w:pPr>
          </w:p>
        </w:tc>
        <w:tc>
          <w:tcPr>
            <w:tcW w:w="5137" w:type="dxa"/>
            <w:vAlign w:val="center"/>
          </w:tcPr>
          <w:p w14:paraId="2FD51D8C" w14:textId="77777777" w:rsidR="0050230C" w:rsidRPr="00727041" w:rsidRDefault="0050230C" w:rsidP="002B0E52">
            <w:pPr>
              <w:rPr>
                <w:rFonts w:ascii="Arial" w:hAnsi="Arial" w:cs="Arial"/>
                <w:sz w:val="18"/>
                <w:szCs w:val="18"/>
              </w:rPr>
            </w:pPr>
          </w:p>
        </w:tc>
        <w:tc>
          <w:tcPr>
            <w:tcW w:w="8633" w:type="dxa"/>
            <w:tcMar>
              <w:top w:w="58" w:type="dxa"/>
              <w:left w:w="130" w:type="dxa"/>
              <w:bottom w:w="58" w:type="dxa"/>
              <w:right w:w="115" w:type="dxa"/>
            </w:tcMar>
            <w:vAlign w:val="center"/>
          </w:tcPr>
          <w:p w14:paraId="1DDB46C6" w14:textId="77777777" w:rsidR="0050230C" w:rsidRPr="00727041" w:rsidRDefault="0050230C" w:rsidP="002B0E52">
            <w:pPr>
              <w:rPr>
                <w:rFonts w:ascii="Arial" w:hAnsi="Arial" w:cs="Arial"/>
                <w:sz w:val="18"/>
                <w:szCs w:val="18"/>
              </w:rPr>
            </w:pPr>
          </w:p>
        </w:tc>
      </w:tr>
      <w:tr w:rsidR="0050230C" w:rsidRPr="00727041" w14:paraId="79FB0A0C" w14:textId="77777777" w:rsidTr="002B0E52">
        <w:trPr>
          <w:cantSplit/>
          <w:trHeight w:val="430"/>
        </w:trPr>
        <w:tc>
          <w:tcPr>
            <w:tcW w:w="14310" w:type="dxa"/>
            <w:gridSpan w:val="4"/>
            <w:shd w:val="clear" w:color="auto" w:fill="F2F2F2" w:themeFill="background1" w:themeFillShade="F2"/>
            <w:tcMar>
              <w:top w:w="58" w:type="dxa"/>
              <w:left w:w="130" w:type="dxa"/>
              <w:bottom w:w="58" w:type="dxa"/>
              <w:right w:w="115" w:type="dxa"/>
            </w:tcMar>
            <w:vAlign w:val="center"/>
          </w:tcPr>
          <w:p w14:paraId="52A0B2E0" w14:textId="77777777" w:rsidR="0050230C" w:rsidRPr="0024601A" w:rsidRDefault="0050230C" w:rsidP="002B0E52">
            <w:pPr>
              <w:rPr>
                <w:rFonts w:ascii="Arial" w:hAnsi="Arial" w:cs="Arial"/>
                <w:b/>
                <w:sz w:val="18"/>
                <w:szCs w:val="18"/>
              </w:rPr>
            </w:pPr>
            <w:r>
              <w:rPr>
                <w:rFonts w:ascii="Arial" w:hAnsi="Arial" w:cs="Arial"/>
                <w:b/>
                <w:sz w:val="18"/>
                <w:szCs w:val="18"/>
              </w:rPr>
              <w:t xml:space="preserve">Scope of Practice Modification </w:t>
            </w:r>
            <w:r>
              <w:rPr>
                <w:rFonts w:ascii="Arial" w:hAnsi="Arial" w:cs="Arial"/>
                <w:b/>
                <w:i/>
                <w:sz w:val="18"/>
                <w:szCs w:val="18"/>
              </w:rPr>
              <w:t>W</w:t>
            </w:r>
            <w:r w:rsidRPr="009D700B">
              <w:rPr>
                <w:rFonts w:ascii="Arial" w:hAnsi="Arial" w:cs="Arial"/>
                <w:b/>
                <w:i/>
                <w:sz w:val="18"/>
                <w:szCs w:val="18"/>
              </w:rPr>
              <w:t>ithout</w:t>
            </w:r>
            <w:r>
              <w:rPr>
                <w:rFonts w:ascii="Arial" w:hAnsi="Arial" w:cs="Arial"/>
                <w:b/>
                <w:sz w:val="18"/>
                <w:szCs w:val="18"/>
              </w:rPr>
              <w:t xml:space="preserve"> Emergency Declaration</w:t>
            </w:r>
          </w:p>
        </w:tc>
      </w:tr>
      <w:tr w:rsidR="0050230C" w:rsidRPr="00727041" w14:paraId="15BB5BCE" w14:textId="77777777" w:rsidTr="002B0E52">
        <w:trPr>
          <w:cantSplit/>
        </w:trPr>
        <w:tc>
          <w:tcPr>
            <w:tcW w:w="5677" w:type="dxa"/>
            <w:gridSpan w:val="3"/>
            <w:tcMar>
              <w:top w:w="58" w:type="dxa"/>
              <w:left w:w="130" w:type="dxa"/>
              <w:bottom w:w="58" w:type="dxa"/>
              <w:right w:w="115" w:type="dxa"/>
            </w:tcMar>
            <w:vAlign w:val="center"/>
          </w:tcPr>
          <w:p w14:paraId="2EBD724F" w14:textId="77777777" w:rsidR="0050230C" w:rsidRDefault="0050230C" w:rsidP="004E1FDF">
            <w:pPr>
              <w:rPr>
                <w:rFonts w:ascii="Arial" w:hAnsi="Arial" w:cs="Arial"/>
                <w:sz w:val="18"/>
                <w:szCs w:val="18"/>
              </w:rPr>
            </w:pPr>
            <w:r>
              <w:rPr>
                <w:rFonts w:ascii="Arial" w:hAnsi="Arial" w:cs="Arial"/>
                <w:sz w:val="18"/>
                <w:szCs w:val="18"/>
              </w:rPr>
              <w:t xml:space="preserve">For each of the above professions, identify if laws, regulations, etc., allow for changes to scope of practice or other practice requirements </w:t>
            </w:r>
            <w:r w:rsidRPr="00535DB3">
              <w:rPr>
                <w:rFonts w:ascii="Arial" w:hAnsi="Arial" w:cs="Arial"/>
                <w:i/>
                <w:sz w:val="18"/>
                <w:szCs w:val="18"/>
              </w:rPr>
              <w:t>without</w:t>
            </w:r>
            <w:r>
              <w:rPr>
                <w:rFonts w:ascii="Arial" w:hAnsi="Arial" w:cs="Arial"/>
                <w:sz w:val="18"/>
                <w:szCs w:val="18"/>
              </w:rPr>
              <w:t xml:space="preserve"> a declared emergency. </w:t>
            </w:r>
          </w:p>
          <w:p w14:paraId="34D71598" w14:textId="77777777" w:rsidR="0050230C" w:rsidRDefault="0050230C" w:rsidP="004E1FDF">
            <w:pPr>
              <w:rPr>
                <w:rFonts w:ascii="Arial" w:hAnsi="Arial" w:cs="Arial"/>
                <w:sz w:val="18"/>
                <w:szCs w:val="18"/>
              </w:rPr>
            </w:pPr>
          </w:p>
          <w:p w14:paraId="3A643A57" w14:textId="77777777" w:rsidR="0050230C" w:rsidRDefault="0050230C" w:rsidP="004E1FDF">
            <w:pPr>
              <w:rPr>
                <w:rFonts w:ascii="Arial" w:hAnsi="Arial" w:cs="Arial"/>
                <w:sz w:val="18"/>
                <w:szCs w:val="18"/>
              </w:rPr>
            </w:pPr>
            <w:r>
              <w:rPr>
                <w:rFonts w:ascii="Arial" w:hAnsi="Arial" w:cs="Arial"/>
                <w:sz w:val="18"/>
                <w:szCs w:val="18"/>
              </w:rPr>
              <w:t>If changes are possible without a declared emergency, identify which official(s) or agency(</w:t>
            </w:r>
            <w:proofErr w:type="spellStart"/>
            <w:r>
              <w:rPr>
                <w:rFonts w:ascii="Arial" w:hAnsi="Arial" w:cs="Arial"/>
                <w:sz w:val="18"/>
                <w:szCs w:val="18"/>
              </w:rPr>
              <w:t>ies</w:t>
            </w:r>
            <w:proofErr w:type="spellEnd"/>
            <w:r>
              <w:rPr>
                <w:rFonts w:ascii="Arial" w:hAnsi="Arial" w:cs="Arial"/>
                <w:sz w:val="18"/>
                <w:szCs w:val="18"/>
              </w:rPr>
              <w:t>) has the authority to make changes (e.g., governor, health officials, licensing board, etc.).</w:t>
            </w:r>
          </w:p>
          <w:p w14:paraId="321EF871" w14:textId="77777777" w:rsidR="0050230C" w:rsidRDefault="0050230C" w:rsidP="004E1FDF">
            <w:pPr>
              <w:rPr>
                <w:rFonts w:ascii="Arial" w:hAnsi="Arial" w:cs="Arial"/>
                <w:sz w:val="18"/>
                <w:szCs w:val="18"/>
              </w:rPr>
            </w:pPr>
          </w:p>
          <w:p w14:paraId="692DE2E9" w14:textId="77777777" w:rsidR="0050230C" w:rsidRDefault="0050230C" w:rsidP="004E1FDF">
            <w:pPr>
              <w:rPr>
                <w:rFonts w:ascii="Arial" w:hAnsi="Arial" w:cs="Arial"/>
                <w:sz w:val="18"/>
                <w:szCs w:val="18"/>
              </w:rPr>
            </w:pPr>
            <w:r>
              <w:rPr>
                <w:rFonts w:ascii="Arial" w:hAnsi="Arial" w:cs="Arial"/>
                <w:sz w:val="18"/>
                <w:szCs w:val="18"/>
              </w:rPr>
              <w:t xml:space="preserve">Are there any procedures that must be followed in making the changes (e.g., approval by the legislature)? </w:t>
            </w:r>
          </w:p>
          <w:p w14:paraId="2066F903" w14:textId="77777777" w:rsidR="0050230C" w:rsidRDefault="0050230C" w:rsidP="004E1FDF">
            <w:pPr>
              <w:rPr>
                <w:rFonts w:ascii="Arial" w:hAnsi="Arial" w:cs="Arial"/>
                <w:sz w:val="18"/>
                <w:szCs w:val="18"/>
              </w:rPr>
            </w:pPr>
          </w:p>
          <w:p w14:paraId="296B9EF0" w14:textId="77777777" w:rsidR="0050230C" w:rsidRPr="00727041" w:rsidRDefault="0050230C" w:rsidP="004E1FDF">
            <w:pPr>
              <w:rPr>
                <w:rFonts w:ascii="Arial" w:hAnsi="Arial" w:cs="Arial"/>
                <w:sz w:val="18"/>
                <w:szCs w:val="18"/>
              </w:rPr>
            </w:pPr>
            <w:r>
              <w:rPr>
                <w:rFonts w:ascii="Arial" w:hAnsi="Arial" w:cs="Arial"/>
                <w:sz w:val="18"/>
                <w:szCs w:val="18"/>
              </w:rPr>
              <w:t>Are there any restrictions on the changes (e.g., type of changes, time limits, etc.)?</w:t>
            </w:r>
          </w:p>
        </w:tc>
        <w:tc>
          <w:tcPr>
            <w:tcW w:w="8633" w:type="dxa"/>
            <w:tcMar>
              <w:top w:w="58" w:type="dxa"/>
              <w:left w:w="130" w:type="dxa"/>
              <w:bottom w:w="58" w:type="dxa"/>
              <w:right w:w="115" w:type="dxa"/>
            </w:tcMar>
            <w:vAlign w:val="center"/>
          </w:tcPr>
          <w:p w14:paraId="20BD3588" w14:textId="77777777" w:rsidR="0050230C" w:rsidRPr="00727041" w:rsidRDefault="0050230C" w:rsidP="002B0E52">
            <w:pPr>
              <w:rPr>
                <w:rFonts w:ascii="Arial" w:hAnsi="Arial" w:cs="Arial"/>
                <w:sz w:val="18"/>
                <w:szCs w:val="18"/>
              </w:rPr>
            </w:pPr>
          </w:p>
        </w:tc>
      </w:tr>
      <w:tr w:rsidR="0050230C" w:rsidRPr="00727041" w14:paraId="26B5D05C" w14:textId="77777777" w:rsidTr="00171F8D">
        <w:trPr>
          <w:cantSplit/>
        </w:trPr>
        <w:tc>
          <w:tcPr>
            <w:tcW w:w="472" w:type="dxa"/>
            <w:tcMar>
              <w:top w:w="58" w:type="dxa"/>
              <w:left w:w="130" w:type="dxa"/>
              <w:bottom w:w="58" w:type="dxa"/>
              <w:right w:w="115" w:type="dxa"/>
            </w:tcMar>
            <w:vAlign w:val="center"/>
          </w:tcPr>
          <w:p w14:paraId="4FBDA68E" w14:textId="77777777" w:rsidR="0050230C" w:rsidRDefault="0050230C" w:rsidP="002B0E52">
            <w:pPr>
              <w:rPr>
                <w:rFonts w:ascii="Arial" w:hAnsi="Arial" w:cs="Arial"/>
                <w:sz w:val="18"/>
                <w:szCs w:val="18"/>
              </w:rPr>
            </w:pPr>
          </w:p>
        </w:tc>
        <w:tc>
          <w:tcPr>
            <w:tcW w:w="5205" w:type="dxa"/>
            <w:gridSpan w:val="2"/>
          </w:tcPr>
          <w:p w14:paraId="39AB82AF"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Physicians</w:t>
            </w:r>
          </w:p>
        </w:tc>
        <w:tc>
          <w:tcPr>
            <w:tcW w:w="8633" w:type="dxa"/>
            <w:tcMar>
              <w:top w:w="58" w:type="dxa"/>
              <w:left w:w="130" w:type="dxa"/>
              <w:bottom w:w="58" w:type="dxa"/>
              <w:right w:w="115" w:type="dxa"/>
            </w:tcMar>
            <w:vAlign w:val="center"/>
          </w:tcPr>
          <w:p w14:paraId="03C13909" w14:textId="77777777" w:rsidR="0050230C" w:rsidRPr="00727041" w:rsidRDefault="0050230C" w:rsidP="002B0E52">
            <w:pPr>
              <w:rPr>
                <w:rFonts w:ascii="Arial" w:hAnsi="Arial" w:cs="Arial"/>
                <w:sz w:val="18"/>
                <w:szCs w:val="18"/>
              </w:rPr>
            </w:pPr>
          </w:p>
        </w:tc>
      </w:tr>
      <w:tr w:rsidR="0050230C" w:rsidRPr="00727041" w14:paraId="678F6195" w14:textId="77777777" w:rsidTr="00171F8D">
        <w:trPr>
          <w:cantSplit/>
        </w:trPr>
        <w:tc>
          <w:tcPr>
            <w:tcW w:w="472" w:type="dxa"/>
            <w:tcMar>
              <w:top w:w="58" w:type="dxa"/>
              <w:left w:w="130" w:type="dxa"/>
              <w:bottom w:w="58" w:type="dxa"/>
              <w:right w:w="115" w:type="dxa"/>
            </w:tcMar>
            <w:vAlign w:val="center"/>
          </w:tcPr>
          <w:p w14:paraId="280714D8" w14:textId="77777777" w:rsidR="0050230C" w:rsidRDefault="0050230C" w:rsidP="002B0E52">
            <w:pPr>
              <w:rPr>
                <w:rFonts w:ascii="Arial" w:hAnsi="Arial" w:cs="Arial"/>
                <w:sz w:val="18"/>
                <w:szCs w:val="18"/>
              </w:rPr>
            </w:pPr>
          </w:p>
        </w:tc>
        <w:tc>
          <w:tcPr>
            <w:tcW w:w="5205" w:type="dxa"/>
            <w:gridSpan w:val="2"/>
          </w:tcPr>
          <w:p w14:paraId="32B75785"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 xml:space="preserve">Nurses </w:t>
            </w:r>
          </w:p>
        </w:tc>
        <w:tc>
          <w:tcPr>
            <w:tcW w:w="8633" w:type="dxa"/>
            <w:tcMar>
              <w:top w:w="58" w:type="dxa"/>
              <w:left w:w="130" w:type="dxa"/>
              <w:bottom w:w="58" w:type="dxa"/>
              <w:right w:w="115" w:type="dxa"/>
            </w:tcMar>
            <w:vAlign w:val="center"/>
          </w:tcPr>
          <w:p w14:paraId="3EA553DF" w14:textId="77777777" w:rsidR="0050230C" w:rsidRPr="00727041" w:rsidRDefault="0050230C" w:rsidP="002B0E52">
            <w:pPr>
              <w:rPr>
                <w:rFonts w:ascii="Arial" w:hAnsi="Arial" w:cs="Arial"/>
                <w:sz w:val="18"/>
                <w:szCs w:val="18"/>
              </w:rPr>
            </w:pPr>
          </w:p>
        </w:tc>
      </w:tr>
      <w:tr w:rsidR="0050230C" w:rsidRPr="00727041" w14:paraId="2CFCE720" w14:textId="77777777" w:rsidTr="00171F8D">
        <w:trPr>
          <w:cantSplit/>
        </w:trPr>
        <w:tc>
          <w:tcPr>
            <w:tcW w:w="472" w:type="dxa"/>
            <w:tcMar>
              <w:top w:w="58" w:type="dxa"/>
              <w:left w:w="130" w:type="dxa"/>
              <w:bottom w:w="58" w:type="dxa"/>
              <w:right w:w="115" w:type="dxa"/>
            </w:tcMar>
            <w:vAlign w:val="center"/>
          </w:tcPr>
          <w:p w14:paraId="029F8D97" w14:textId="77777777" w:rsidR="0050230C" w:rsidRDefault="0050230C" w:rsidP="002B0E52">
            <w:pPr>
              <w:rPr>
                <w:rFonts w:ascii="Arial" w:hAnsi="Arial" w:cs="Arial"/>
                <w:sz w:val="18"/>
                <w:szCs w:val="18"/>
              </w:rPr>
            </w:pPr>
          </w:p>
        </w:tc>
        <w:tc>
          <w:tcPr>
            <w:tcW w:w="5205" w:type="dxa"/>
            <w:gridSpan w:val="2"/>
          </w:tcPr>
          <w:p w14:paraId="3E078204"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Emergency Medical Services (</w:t>
            </w:r>
            <w:r>
              <w:rPr>
                <w:rFonts w:ascii="Arial" w:hAnsi="Arial" w:cs="Arial"/>
                <w:sz w:val="18"/>
                <w:szCs w:val="20"/>
              </w:rPr>
              <w:t xml:space="preserve">e.g., </w:t>
            </w:r>
            <w:r w:rsidRPr="00D213F9">
              <w:rPr>
                <w:rFonts w:ascii="Arial" w:hAnsi="Arial" w:cs="Arial"/>
                <w:sz w:val="18"/>
                <w:szCs w:val="20"/>
              </w:rPr>
              <w:t>EMT, paramedics)</w:t>
            </w:r>
          </w:p>
        </w:tc>
        <w:tc>
          <w:tcPr>
            <w:tcW w:w="8633" w:type="dxa"/>
            <w:tcMar>
              <w:top w:w="58" w:type="dxa"/>
              <w:left w:w="130" w:type="dxa"/>
              <w:bottom w:w="58" w:type="dxa"/>
              <w:right w:w="115" w:type="dxa"/>
            </w:tcMar>
            <w:vAlign w:val="center"/>
          </w:tcPr>
          <w:p w14:paraId="4113BB15" w14:textId="77777777" w:rsidR="0050230C" w:rsidRPr="00727041" w:rsidRDefault="0050230C" w:rsidP="002B0E52">
            <w:pPr>
              <w:rPr>
                <w:rFonts w:ascii="Arial" w:hAnsi="Arial" w:cs="Arial"/>
                <w:sz w:val="18"/>
                <w:szCs w:val="18"/>
              </w:rPr>
            </w:pPr>
          </w:p>
        </w:tc>
      </w:tr>
      <w:tr w:rsidR="0050230C" w:rsidRPr="00727041" w14:paraId="6035B473" w14:textId="77777777" w:rsidTr="00171F8D">
        <w:trPr>
          <w:cantSplit/>
        </w:trPr>
        <w:tc>
          <w:tcPr>
            <w:tcW w:w="472" w:type="dxa"/>
            <w:tcMar>
              <w:top w:w="58" w:type="dxa"/>
              <w:left w:w="130" w:type="dxa"/>
              <w:bottom w:w="58" w:type="dxa"/>
              <w:right w:w="115" w:type="dxa"/>
            </w:tcMar>
            <w:vAlign w:val="center"/>
          </w:tcPr>
          <w:p w14:paraId="7D3B8FF0" w14:textId="77777777" w:rsidR="0050230C" w:rsidRDefault="0050230C" w:rsidP="002B0E52">
            <w:pPr>
              <w:rPr>
                <w:rFonts w:ascii="Arial" w:hAnsi="Arial" w:cs="Arial"/>
                <w:sz w:val="18"/>
                <w:szCs w:val="18"/>
              </w:rPr>
            </w:pPr>
          </w:p>
        </w:tc>
        <w:tc>
          <w:tcPr>
            <w:tcW w:w="5205" w:type="dxa"/>
            <w:gridSpan w:val="2"/>
          </w:tcPr>
          <w:p w14:paraId="710DD7CE"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Pharmacists</w:t>
            </w:r>
          </w:p>
        </w:tc>
        <w:tc>
          <w:tcPr>
            <w:tcW w:w="8633" w:type="dxa"/>
            <w:tcMar>
              <w:top w:w="58" w:type="dxa"/>
              <w:left w:w="130" w:type="dxa"/>
              <w:bottom w:w="58" w:type="dxa"/>
              <w:right w:w="115" w:type="dxa"/>
            </w:tcMar>
            <w:vAlign w:val="center"/>
          </w:tcPr>
          <w:p w14:paraId="3B1CF026" w14:textId="77777777" w:rsidR="0050230C" w:rsidRPr="00727041" w:rsidRDefault="0050230C" w:rsidP="002B0E52">
            <w:pPr>
              <w:rPr>
                <w:rFonts w:ascii="Arial" w:hAnsi="Arial" w:cs="Arial"/>
                <w:sz w:val="18"/>
                <w:szCs w:val="18"/>
              </w:rPr>
            </w:pPr>
          </w:p>
        </w:tc>
      </w:tr>
      <w:tr w:rsidR="0050230C" w:rsidRPr="00727041" w14:paraId="0D811FFC" w14:textId="77777777" w:rsidTr="00171F8D">
        <w:trPr>
          <w:cantSplit/>
        </w:trPr>
        <w:tc>
          <w:tcPr>
            <w:tcW w:w="472" w:type="dxa"/>
            <w:tcMar>
              <w:top w:w="58" w:type="dxa"/>
              <w:left w:w="130" w:type="dxa"/>
              <w:bottom w:w="58" w:type="dxa"/>
              <w:right w:w="115" w:type="dxa"/>
            </w:tcMar>
            <w:vAlign w:val="center"/>
          </w:tcPr>
          <w:p w14:paraId="07588708" w14:textId="77777777" w:rsidR="0050230C" w:rsidRDefault="0050230C" w:rsidP="002B0E52">
            <w:pPr>
              <w:rPr>
                <w:rFonts w:ascii="Arial" w:hAnsi="Arial" w:cs="Arial"/>
                <w:sz w:val="18"/>
                <w:szCs w:val="18"/>
              </w:rPr>
            </w:pPr>
          </w:p>
        </w:tc>
        <w:tc>
          <w:tcPr>
            <w:tcW w:w="5205" w:type="dxa"/>
            <w:gridSpan w:val="2"/>
          </w:tcPr>
          <w:p w14:paraId="6A40FCEB"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Behavioral and Mental Health Providers</w:t>
            </w:r>
          </w:p>
        </w:tc>
        <w:tc>
          <w:tcPr>
            <w:tcW w:w="8633" w:type="dxa"/>
            <w:tcMar>
              <w:top w:w="58" w:type="dxa"/>
              <w:left w:w="130" w:type="dxa"/>
              <w:bottom w:w="58" w:type="dxa"/>
              <w:right w:w="115" w:type="dxa"/>
            </w:tcMar>
            <w:vAlign w:val="center"/>
          </w:tcPr>
          <w:p w14:paraId="5A33BA5B" w14:textId="77777777" w:rsidR="0050230C" w:rsidRPr="00727041" w:rsidRDefault="0050230C" w:rsidP="002B0E52">
            <w:pPr>
              <w:rPr>
                <w:rFonts w:ascii="Arial" w:hAnsi="Arial" w:cs="Arial"/>
                <w:sz w:val="18"/>
                <w:szCs w:val="18"/>
              </w:rPr>
            </w:pPr>
          </w:p>
        </w:tc>
      </w:tr>
      <w:tr w:rsidR="0050230C" w:rsidRPr="00727041" w14:paraId="5AAFD29A" w14:textId="77777777" w:rsidTr="00171F8D">
        <w:trPr>
          <w:cantSplit/>
        </w:trPr>
        <w:tc>
          <w:tcPr>
            <w:tcW w:w="472" w:type="dxa"/>
            <w:tcMar>
              <w:top w:w="58" w:type="dxa"/>
              <w:left w:w="130" w:type="dxa"/>
              <w:bottom w:w="58" w:type="dxa"/>
              <w:right w:w="115" w:type="dxa"/>
            </w:tcMar>
            <w:vAlign w:val="center"/>
          </w:tcPr>
          <w:p w14:paraId="2DB4C1BE" w14:textId="77777777" w:rsidR="0050230C" w:rsidRDefault="0050230C" w:rsidP="002B0E52">
            <w:pPr>
              <w:rPr>
                <w:rFonts w:ascii="Arial" w:hAnsi="Arial" w:cs="Arial"/>
                <w:sz w:val="18"/>
                <w:szCs w:val="18"/>
              </w:rPr>
            </w:pPr>
          </w:p>
        </w:tc>
        <w:tc>
          <w:tcPr>
            <w:tcW w:w="5205" w:type="dxa"/>
            <w:gridSpan w:val="2"/>
          </w:tcPr>
          <w:p w14:paraId="0A795C89"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Dentists</w:t>
            </w:r>
          </w:p>
        </w:tc>
        <w:tc>
          <w:tcPr>
            <w:tcW w:w="8633" w:type="dxa"/>
            <w:tcMar>
              <w:top w:w="58" w:type="dxa"/>
              <w:left w:w="130" w:type="dxa"/>
              <w:bottom w:w="58" w:type="dxa"/>
              <w:right w:w="115" w:type="dxa"/>
            </w:tcMar>
            <w:vAlign w:val="center"/>
          </w:tcPr>
          <w:p w14:paraId="6CDFA452" w14:textId="77777777" w:rsidR="0050230C" w:rsidRPr="00727041" w:rsidRDefault="0050230C" w:rsidP="002B0E52">
            <w:pPr>
              <w:rPr>
                <w:rFonts w:ascii="Arial" w:hAnsi="Arial" w:cs="Arial"/>
                <w:sz w:val="18"/>
                <w:szCs w:val="18"/>
              </w:rPr>
            </w:pPr>
          </w:p>
        </w:tc>
      </w:tr>
      <w:tr w:rsidR="0050230C" w:rsidRPr="00727041" w14:paraId="0EC62D42" w14:textId="77777777" w:rsidTr="00171F8D">
        <w:trPr>
          <w:cantSplit/>
        </w:trPr>
        <w:tc>
          <w:tcPr>
            <w:tcW w:w="472" w:type="dxa"/>
            <w:tcMar>
              <w:top w:w="58" w:type="dxa"/>
              <w:left w:w="130" w:type="dxa"/>
              <w:bottom w:w="58" w:type="dxa"/>
              <w:right w:w="115" w:type="dxa"/>
            </w:tcMar>
            <w:vAlign w:val="center"/>
          </w:tcPr>
          <w:p w14:paraId="262F3EAE" w14:textId="77777777" w:rsidR="0050230C" w:rsidRDefault="0050230C" w:rsidP="002B0E52">
            <w:pPr>
              <w:rPr>
                <w:rFonts w:ascii="Arial" w:hAnsi="Arial" w:cs="Arial"/>
                <w:sz w:val="18"/>
                <w:szCs w:val="18"/>
              </w:rPr>
            </w:pPr>
          </w:p>
        </w:tc>
        <w:tc>
          <w:tcPr>
            <w:tcW w:w="5205" w:type="dxa"/>
            <w:gridSpan w:val="2"/>
          </w:tcPr>
          <w:p w14:paraId="7D845FCA"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Veterinarians</w:t>
            </w:r>
          </w:p>
        </w:tc>
        <w:tc>
          <w:tcPr>
            <w:tcW w:w="8633" w:type="dxa"/>
            <w:tcMar>
              <w:top w:w="58" w:type="dxa"/>
              <w:left w:w="130" w:type="dxa"/>
              <w:bottom w:w="58" w:type="dxa"/>
              <w:right w:w="115" w:type="dxa"/>
            </w:tcMar>
            <w:vAlign w:val="center"/>
          </w:tcPr>
          <w:p w14:paraId="5A5BCCA1" w14:textId="77777777" w:rsidR="0050230C" w:rsidRPr="00727041" w:rsidRDefault="0050230C" w:rsidP="002B0E52">
            <w:pPr>
              <w:rPr>
                <w:rFonts w:ascii="Arial" w:hAnsi="Arial" w:cs="Arial"/>
                <w:sz w:val="18"/>
                <w:szCs w:val="18"/>
              </w:rPr>
            </w:pPr>
          </w:p>
        </w:tc>
      </w:tr>
      <w:tr w:rsidR="0050230C" w:rsidRPr="00727041" w14:paraId="23C9C431" w14:textId="77777777" w:rsidTr="00171F8D">
        <w:trPr>
          <w:cantSplit/>
        </w:trPr>
        <w:tc>
          <w:tcPr>
            <w:tcW w:w="472" w:type="dxa"/>
            <w:tcMar>
              <w:top w:w="58" w:type="dxa"/>
              <w:left w:w="130" w:type="dxa"/>
              <w:bottom w:w="58" w:type="dxa"/>
              <w:right w:w="115" w:type="dxa"/>
            </w:tcMar>
            <w:vAlign w:val="center"/>
          </w:tcPr>
          <w:p w14:paraId="63C2FE9D" w14:textId="77777777" w:rsidR="0050230C" w:rsidRDefault="0050230C" w:rsidP="002B0E52">
            <w:pPr>
              <w:rPr>
                <w:rFonts w:ascii="Arial" w:hAnsi="Arial" w:cs="Arial"/>
                <w:sz w:val="18"/>
                <w:szCs w:val="18"/>
              </w:rPr>
            </w:pPr>
          </w:p>
        </w:tc>
        <w:tc>
          <w:tcPr>
            <w:tcW w:w="5205" w:type="dxa"/>
            <w:gridSpan w:val="2"/>
          </w:tcPr>
          <w:p w14:paraId="4AAEAB5F"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Laboratorians</w:t>
            </w:r>
          </w:p>
        </w:tc>
        <w:tc>
          <w:tcPr>
            <w:tcW w:w="8633" w:type="dxa"/>
            <w:tcMar>
              <w:top w:w="58" w:type="dxa"/>
              <w:left w:w="130" w:type="dxa"/>
              <w:bottom w:w="58" w:type="dxa"/>
              <w:right w:w="115" w:type="dxa"/>
            </w:tcMar>
            <w:vAlign w:val="center"/>
          </w:tcPr>
          <w:p w14:paraId="29F1294A" w14:textId="77777777" w:rsidR="0050230C" w:rsidRPr="00727041" w:rsidRDefault="0050230C" w:rsidP="002B0E52">
            <w:pPr>
              <w:rPr>
                <w:rFonts w:ascii="Arial" w:hAnsi="Arial" w:cs="Arial"/>
                <w:sz w:val="18"/>
                <w:szCs w:val="18"/>
              </w:rPr>
            </w:pPr>
          </w:p>
        </w:tc>
      </w:tr>
      <w:tr w:rsidR="0050230C" w:rsidRPr="00727041" w14:paraId="69B45D63" w14:textId="77777777" w:rsidTr="00171F8D">
        <w:trPr>
          <w:cantSplit/>
        </w:trPr>
        <w:tc>
          <w:tcPr>
            <w:tcW w:w="472" w:type="dxa"/>
            <w:tcMar>
              <w:top w:w="58" w:type="dxa"/>
              <w:left w:w="130" w:type="dxa"/>
              <w:bottom w:w="58" w:type="dxa"/>
              <w:right w:w="115" w:type="dxa"/>
            </w:tcMar>
            <w:vAlign w:val="center"/>
          </w:tcPr>
          <w:p w14:paraId="0E784A25" w14:textId="77777777" w:rsidR="0050230C" w:rsidRDefault="0050230C" w:rsidP="002B0E52">
            <w:pPr>
              <w:rPr>
                <w:rFonts w:ascii="Arial" w:hAnsi="Arial" w:cs="Arial"/>
                <w:sz w:val="18"/>
                <w:szCs w:val="18"/>
              </w:rPr>
            </w:pPr>
          </w:p>
        </w:tc>
        <w:tc>
          <w:tcPr>
            <w:tcW w:w="5205" w:type="dxa"/>
            <w:gridSpan w:val="2"/>
          </w:tcPr>
          <w:p w14:paraId="37C125B7"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Sanitarians and Environmental Health Specialists</w:t>
            </w:r>
          </w:p>
        </w:tc>
        <w:tc>
          <w:tcPr>
            <w:tcW w:w="8633" w:type="dxa"/>
            <w:tcMar>
              <w:top w:w="58" w:type="dxa"/>
              <w:left w:w="130" w:type="dxa"/>
              <w:bottom w:w="58" w:type="dxa"/>
              <w:right w:w="115" w:type="dxa"/>
            </w:tcMar>
            <w:vAlign w:val="center"/>
          </w:tcPr>
          <w:p w14:paraId="07D0A0C5" w14:textId="77777777" w:rsidR="0050230C" w:rsidRPr="00727041" w:rsidRDefault="0050230C" w:rsidP="002B0E52">
            <w:pPr>
              <w:rPr>
                <w:rFonts w:ascii="Arial" w:hAnsi="Arial" w:cs="Arial"/>
                <w:sz w:val="18"/>
                <w:szCs w:val="18"/>
              </w:rPr>
            </w:pPr>
          </w:p>
        </w:tc>
      </w:tr>
      <w:tr w:rsidR="0050230C" w:rsidRPr="00727041" w14:paraId="2BB53915" w14:textId="77777777" w:rsidTr="00171F8D">
        <w:trPr>
          <w:cantSplit/>
        </w:trPr>
        <w:tc>
          <w:tcPr>
            <w:tcW w:w="472" w:type="dxa"/>
            <w:tcMar>
              <w:top w:w="58" w:type="dxa"/>
              <w:left w:w="130" w:type="dxa"/>
              <w:bottom w:w="58" w:type="dxa"/>
              <w:right w:w="115" w:type="dxa"/>
            </w:tcMar>
            <w:vAlign w:val="center"/>
          </w:tcPr>
          <w:p w14:paraId="476F852B" w14:textId="77777777" w:rsidR="0050230C" w:rsidRDefault="0050230C" w:rsidP="002B0E52">
            <w:pPr>
              <w:rPr>
                <w:rFonts w:ascii="Arial" w:hAnsi="Arial" w:cs="Arial"/>
                <w:sz w:val="18"/>
                <w:szCs w:val="18"/>
              </w:rPr>
            </w:pPr>
          </w:p>
        </w:tc>
        <w:tc>
          <w:tcPr>
            <w:tcW w:w="5205" w:type="dxa"/>
            <w:gridSpan w:val="2"/>
          </w:tcPr>
          <w:p w14:paraId="1C54932C"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Other Medical Care Providers (e.g., physician assistants, respiratory therapists, etc.)</w:t>
            </w:r>
          </w:p>
        </w:tc>
        <w:tc>
          <w:tcPr>
            <w:tcW w:w="8633" w:type="dxa"/>
            <w:tcMar>
              <w:top w:w="58" w:type="dxa"/>
              <w:left w:w="130" w:type="dxa"/>
              <w:bottom w:w="58" w:type="dxa"/>
              <w:right w:w="115" w:type="dxa"/>
            </w:tcMar>
            <w:vAlign w:val="center"/>
          </w:tcPr>
          <w:p w14:paraId="739EBC93" w14:textId="77777777" w:rsidR="0050230C" w:rsidRPr="00727041" w:rsidRDefault="0050230C" w:rsidP="002B0E52">
            <w:pPr>
              <w:rPr>
                <w:rFonts w:ascii="Arial" w:hAnsi="Arial" w:cs="Arial"/>
                <w:sz w:val="18"/>
                <w:szCs w:val="18"/>
              </w:rPr>
            </w:pPr>
          </w:p>
        </w:tc>
      </w:tr>
      <w:tr w:rsidR="0050230C" w:rsidRPr="00727041" w14:paraId="65C36CE4" w14:textId="77777777" w:rsidTr="00171F8D">
        <w:trPr>
          <w:cantSplit/>
        </w:trPr>
        <w:tc>
          <w:tcPr>
            <w:tcW w:w="472" w:type="dxa"/>
            <w:tcMar>
              <w:top w:w="58" w:type="dxa"/>
              <w:left w:w="130" w:type="dxa"/>
              <w:bottom w:w="58" w:type="dxa"/>
              <w:right w:w="115" w:type="dxa"/>
            </w:tcMar>
            <w:vAlign w:val="center"/>
          </w:tcPr>
          <w:p w14:paraId="625BA0D6" w14:textId="77777777" w:rsidR="0050230C" w:rsidRDefault="0050230C" w:rsidP="002B0E52">
            <w:pPr>
              <w:rPr>
                <w:rFonts w:ascii="Arial" w:hAnsi="Arial" w:cs="Arial"/>
                <w:sz w:val="18"/>
                <w:szCs w:val="18"/>
              </w:rPr>
            </w:pPr>
          </w:p>
        </w:tc>
        <w:tc>
          <w:tcPr>
            <w:tcW w:w="5205" w:type="dxa"/>
            <w:gridSpan w:val="2"/>
          </w:tcPr>
          <w:p w14:paraId="70361325"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Other Regulated Professions (e.g., engineers, architects, etc.)</w:t>
            </w:r>
          </w:p>
        </w:tc>
        <w:tc>
          <w:tcPr>
            <w:tcW w:w="8633" w:type="dxa"/>
            <w:tcMar>
              <w:top w:w="58" w:type="dxa"/>
              <w:left w:w="130" w:type="dxa"/>
              <w:bottom w:w="58" w:type="dxa"/>
              <w:right w:w="115" w:type="dxa"/>
            </w:tcMar>
            <w:vAlign w:val="center"/>
          </w:tcPr>
          <w:p w14:paraId="658977BD" w14:textId="77777777" w:rsidR="0050230C" w:rsidRPr="00727041" w:rsidRDefault="0050230C" w:rsidP="002B0E52">
            <w:pPr>
              <w:rPr>
                <w:rFonts w:ascii="Arial" w:hAnsi="Arial" w:cs="Arial"/>
                <w:sz w:val="18"/>
                <w:szCs w:val="18"/>
              </w:rPr>
            </w:pPr>
          </w:p>
        </w:tc>
      </w:tr>
      <w:tr w:rsidR="0050230C" w:rsidRPr="00727041" w14:paraId="60BCE0C4" w14:textId="77777777" w:rsidTr="006B6651">
        <w:trPr>
          <w:cantSplit/>
        </w:trPr>
        <w:tc>
          <w:tcPr>
            <w:tcW w:w="472" w:type="dxa"/>
            <w:tcMar>
              <w:top w:w="58" w:type="dxa"/>
              <w:left w:w="130" w:type="dxa"/>
              <w:bottom w:w="58" w:type="dxa"/>
              <w:right w:w="115" w:type="dxa"/>
            </w:tcMar>
            <w:vAlign w:val="center"/>
          </w:tcPr>
          <w:p w14:paraId="153561DD" w14:textId="77777777" w:rsidR="0050230C" w:rsidRDefault="0050230C" w:rsidP="002B0E52">
            <w:pPr>
              <w:rPr>
                <w:rFonts w:ascii="Arial" w:hAnsi="Arial" w:cs="Arial"/>
                <w:sz w:val="18"/>
                <w:szCs w:val="18"/>
              </w:rPr>
            </w:pPr>
          </w:p>
        </w:tc>
        <w:tc>
          <w:tcPr>
            <w:tcW w:w="5205" w:type="dxa"/>
            <w:gridSpan w:val="2"/>
            <w:vAlign w:val="center"/>
          </w:tcPr>
          <w:p w14:paraId="3BF81881" w14:textId="77777777" w:rsidR="0050230C" w:rsidRPr="00727041" w:rsidRDefault="0050230C" w:rsidP="002B0E52">
            <w:pPr>
              <w:rPr>
                <w:rFonts w:ascii="Arial" w:hAnsi="Arial" w:cs="Arial"/>
                <w:sz w:val="18"/>
                <w:szCs w:val="18"/>
              </w:rPr>
            </w:pPr>
          </w:p>
        </w:tc>
        <w:tc>
          <w:tcPr>
            <w:tcW w:w="8633" w:type="dxa"/>
            <w:tcMar>
              <w:top w:w="58" w:type="dxa"/>
              <w:left w:w="130" w:type="dxa"/>
              <w:bottom w:w="58" w:type="dxa"/>
              <w:right w:w="115" w:type="dxa"/>
            </w:tcMar>
            <w:vAlign w:val="center"/>
          </w:tcPr>
          <w:p w14:paraId="37D0CFB3" w14:textId="77777777" w:rsidR="0050230C" w:rsidRPr="00727041" w:rsidRDefault="0050230C" w:rsidP="002B0E52">
            <w:pPr>
              <w:rPr>
                <w:rFonts w:ascii="Arial" w:hAnsi="Arial" w:cs="Arial"/>
                <w:sz w:val="18"/>
                <w:szCs w:val="18"/>
              </w:rPr>
            </w:pPr>
          </w:p>
        </w:tc>
      </w:tr>
      <w:tr w:rsidR="0050230C" w:rsidRPr="00727041" w14:paraId="43562EDE" w14:textId="77777777" w:rsidTr="002B0E52">
        <w:trPr>
          <w:cantSplit/>
          <w:trHeight w:val="439"/>
        </w:trPr>
        <w:tc>
          <w:tcPr>
            <w:tcW w:w="14310" w:type="dxa"/>
            <w:gridSpan w:val="4"/>
            <w:shd w:val="clear" w:color="auto" w:fill="F2F2F2" w:themeFill="background1" w:themeFillShade="F2"/>
            <w:tcMar>
              <w:top w:w="58" w:type="dxa"/>
              <w:left w:w="130" w:type="dxa"/>
              <w:bottom w:w="58" w:type="dxa"/>
              <w:right w:w="115" w:type="dxa"/>
            </w:tcMar>
            <w:vAlign w:val="center"/>
          </w:tcPr>
          <w:p w14:paraId="490797C5" w14:textId="77777777" w:rsidR="0050230C" w:rsidRPr="0069626C" w:rsidRDefault="0050230C" w:rsidP="00594523">
            <w:pPr>
              <w:rPr>
                <w:rFonts w:ascii="Arial" w:hAnsi="Arial" w:cs="Arial"/>
                <w:b/>
                <w:sz w:val="18"/>
                <w:szCs w:val="18"/>
              </w:rPr>
            </w:pPr>
            <w:r>
              <w:rPr>
                <w:rFonts w:ascii="Arial" w:hAnsi="Arial" w:cs="Arial"/>
                <w:b/>
                <w:sz w:val="18"/>
                <w:szCs w:val="18"/>
              </w:rPr>
              <w:t xml:space="preserve">Scope of Practice Modification </w:t>
            </w:r>
            <w:r>
              <w:rPr>
                <w:rFonts w:ascii="Arial" w:hAnsi="Arial" w:cs="Arial"/>
                <w:b/>
                <w:i/>
                <w:sz w:val="18"/>
                <w:szCs w:val="18"/>
              </w:rPr>
              <w:t>Under</w:t>
            </w:r>
            <w:r>
              <w:rPr>
                <w:rFonts w:ascii="Arial" w:hAnsi="Arial" w:cs="Arial"/>
                <w:b/>
                <w:sz w:val="18"/>
                <w:szCs w:val="18"/>
              </w:rPr>
              <w:t xml:space="preserve"> an Emergency Declaration</w:t>
            </w:r>
          </w:p>
        </w:tc>
      </w:tr>
      <w:tr w:rsidR="0050230C" w:rsidRPr="00727041" w14:paraId="282B57FD" w14:textId="77777777" w:rsidTr="002B0E52">
        <w:trPr>
          <w:cantSplit/>
        </w:trPr>
        <w:tc>
          <w:tcPr>
            <w:tcW w:w="5677" w:type="dxa"/>
            <w:gridSpan w:val="3"/>
            <w:tcMar>
              <w:top w:w="58" w:type="dxa"/>
              <w:left w:w="130" w:type="dxa"/>
              <w:bottom w:w="58" w:type="dxa"/>
              <w:right w:w="115" w:type="dxa"/>
            </w:tcMar>
            <w:vAlign w:val="center"/>
          </w:tcPr>
          <w:p w14:paraId="5C50CD5E" w14:textId="77777777" w:rsidR="0050230C" w:rsidRDefault="0050230C" w:rsidP="009D700B">
            <w:pPr>
              <w:rPr>
                <w:rFonts w:ascii="Arial" w:hAnsi="Arial" w:cs="Arial"/>
                <w:sz w:val="18"/>
                <w:szCs w:val="18"/>
              </w:rPr>
            </w:pPr>
            <w:r>
              <w:rPr>
                <w:rFonts w:ascii="Arial" w:hAnsi="Arial" w:cs="Arial"/>
                <w:sz w:val="18"/>
                <w:szCs w:val="18"/>
              </w:rPr>
              <w:t xml:space="preserve">For each of the above professions, identify if laws, regulations, etc., allow for changes to scope of practice or other practice requirements </w:t>
            </w:r>
            <w:r w:rsidRPr="00535DB3">
              <w:rPr>
                <w:rFonts w:ascii="Arial" w:hAnsi="Arial" w:cs="Arial"/>
                <w:i/>
                <w:sz w:val="18"/>
                <w:szCs w:val="18"/>
              </w:rPr>
              <w:t>during a declared emergency</w:t>
            </w:r>
            <w:r>
              <w:rPr>
                <w:rFonts w:ascii="Arial" w:hAnsi="Arial" w:cs="Arial"/>
                <w:sz w:val="18"/>
                <w:szCs w:val="18"/>
              </w:rPr>
              <w:t xml:space="preserve">. </w:t>
            </w:r>
          </w:p>
          <w:p w14:paraId="22E37D5F" w14:textId="77777777" w:rsidR="0050230C" w:rsidRDefault="0050230C" w:rsidP="009D700B">
            <w:pPr>
              <w:rPr>
                <w:rFonts w:ascii="Arial" w:hAnsi="Arial" w:cs="Arial"/>
                <w:sz w:val="18"/>
                <w:szCs w:val="18"/>
              </w:rPr>
            </w:pPr>
          </w:p>
          <w:p w14:paraId="0C4D6069" w14:textId="77777777" w:rsidR="0050230C" w:rsidRDefault="0050230C" w:rsidP="009D700B">
            <w:pPr>
              <w:rPr>
                <w:rFonts w:ascii="Arial" w:hAnsi="Arial" w:cs="Arial"/>
                <w:sz w:val="18"/>
                <w:szCs w:val="18"/>
              </w:rPr>
            </w:pPr>
            <w:r>
              <w:rPr>
                <w:rFonts w:ascii="Arial" w:hAnsi="Arial" w:cs="Arial"/>
                <w:sz w:val="18"/>
                <w:szCs w:val="18"/>
              </w:rPr>
              <w:t>If changes are possible during a declared emergency, identify which official(s) or agency(</w:t>
            </w:r>
            <w:proofErr w:type="spellStart"/>
            <w:r>
              <w:rPr>
                <w:rFonts w:ascii="Arial" w:hAnsi="Arial" w:cs="Arial"/>
                <w:sz w:val="18"/>
                <w:szCs w:val="18"/>
              </w:rPr>
              <w:t>ies</w:t>
            </w:r>
            <w:proofErr w:type="spellEnd"/>
            <w:r>
              <w:rPr>
                <w:rFonts w:ascii="Arial" w:hAnsi="Arial" w:cs="Arial"/>
                <w:sz w:val="18"/>
                <w:szCs w:val="18"/>
              </w:rPr>
              <w:t>) has the authority to make changes (e.g., governor, health officials, licensing board, etc.).</w:t>
            </w:r>
          </w:p>
          <w:p w14:paraId="0F7846C8" w14:textId="77777777" w:rsidR="0050230C" w:rsidRDefault="0050230C" w:rsidP="009D700B">
            <w:pPr>
              <w:rPr>
                <w:rFonts w:ascii="Arial" w:hAnsi="Arial" w:cs="Arial"/>
                <w:sz w:val="18"/>
                <w:szCs w:val="18"/>
              </w:rPr>
            </w:pPr>
          </w:p>
          <w:p w14:paraId="144027B2" w14:textId="77777777" w:rsidR="0050230C" w:rsidRDefault="0050230C" w:rsidP="009D700B">
            <w:pPr>
              <w:rPr>
                <w:rFonts w:ascii="Arial" w:hAnsi="Arial" w:cs="Arial"/>
                <w:sz w:val="18"/>
                <w:szCs w:val="18"/>
              </w:rPr>
            </w:pPr>
            <w:r>
              <w:rPr>
                <w:rFonts w:ascii="Arial" w:hAnsi="Arial" w:cs="Arial"/>
                <w:sz w:val="18"/>
                <w:szCs w:val="18"/>
              </w:rPr>
              <w:t xml:space="preserve">Are there any procedures that must be followed in making the changes (e.g., approval by the legislature)? </w:t>
            </w:r>
          </w:p>
          <w:p w14:paraId="7C3FA49D" w14:textId="77777777" w:rsidR="0050230C" w:rsidRDefault="0050230C" w:rsidP="009D700B">
            <w:pPr>
              <w:rPr>
                <w:rFonts w:ascii="Arial" w:hAnsi="Arial" w:cs="Arial"/>
                <w:sz w:val="18"/>
                <w:szCs w:val="18"/>
              </w:rPr>
            </w:pPr>
          </w:p>
          <w:p w14:paraId="309B09C8" w14:textId="77777777" w:rsidR="0050230C" w:rsidRPr="00727041" w:rsidRDefault="0050230C" w:rsidP="009D700B">
            <w:pPr>
              <w:rPr>
                <w:rFonts w:ascii="Arial" w:hAnsi="Arial" w:cs="Arial"/>
                <w:sz w:val="18"/>
                <w:szCs w:val="18"/>
              </w:rPr>
            </w:pPr>
            <w:r>
              <w:rPr>
                <w:rFonts w:ascii="Arial" w:hAnsi="Arial" w:cs="Arial"/>
                <w:sz w:val="18"/>
                <w:szCs w:val="18"/>
              </w:rPr>
              <w:t>Are there any restrictions on the changes (e.g., type of changes, time limits, etc.)?</w:t>
            </w:r>
          </w:p>
        </w:tc>
        <w:tc>
          <w:tcPr>
            <w:tcW w:w="8633" w:type="dxa"/>
            <w:tcMar>
              <w:top w:w="58" w:type="dxa"/>
              <w:left w:w="130" w:type="dxa"/>
              <w:bottom w:w="58" w:type="dxa"/>
              <w:right w:w="115" w:type="dxa"/>
            </w:tcMar>
            <w:vAlign w:val="center"/>
          </w:tcPr>
          <w:p w14:paraId="46D3031D" w14:textId="77777777" w:rsidR="0050230C" w:rsidRPr="00727041" w:rsidRDefault="0050230C" w:rsidP="002B0E52">
            <w:pPr>
              <w:rPr>
                <w:rFonts w:ascii="Arial" w:hAnsi="Arial" w:cs="Arial"/>
                <w:sz w:val="18"/>
                <w:szCs w:val="18"/>
              </w:rPr>
            </w:pPr>
          </w:p>
        </w:tc>
      </w:tr>
      <w:tr w:rsidR="0050230C" w:rsidRPr="00727041" w14:paraId="3EB4E31A" w14:textId="77777777" w:rsidTr="00270F73">
        <w:trPr>
          <w:cantSplit/>
        </w:trPr>
        <w:tc>
          <w:tcPr>
            <w:tcW w:w="540" w:type="dxa"/>
            <w:gridSpan w:val="2"/>
            <w:tcMar>
              <w:top w:w="58" w:type="dxa"/>
              <w:left w:w="130" w:type="dxa"/>
              <w:bottom w:w="58" w:type="dxa"/>
              <w:right w:w="115" w:type="dxa"/>
            </w:tcMar>
            <w:vAlign w:val="center"/>
          </w:tcPr>
          <w:p w14:paraId="21DB4055"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733FB1ED"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Physicians</w:t>
            </w:r>
          </w:p>
        </w:tc>
        <w:tc>
          <w:tcPr>
            <w:tcW w:w="8633" w:type="dxa"/>
            <w:tcMar>
              <w:top w:w="58" w:type="dxa"/>
              <w:left w:w="130" w:type="dxa"/>
              <w:bottom w:w="58" w:type="dxa"/>
              <w:right w:w="115" w:type="dxa"/>
            </w:tcMar>
            <w:vAlign w:val="center"/>
          </w:tcPr>
          <w:p w14:paraId="6D99C203" w14:textId="77777777" w:rsidR="0050230C" w:rsidRPr="00727041" w:rsidRDefault="0050230C" w:rsidP="001421B0">
            <w:pPr>
              <w:rPr>
                <w:rFonts w:ascii="Arial" w:hAnsi="Arial" w:cs="Arial"/>
                <w:sz w:val="18"/>
                <w:szCs w:val="18"/>
              </w:rPr>
            </w:pPr>
          </w:p>
        </w:tc>
      </w:tr>
      <w:tr w:rsidR="0050230C" w:rsidRPr="00727041" w14:paraId="723D1BF2" w14:textId="77777777" w:rsidTr="00270F73">
        <w:trPr>
          <w:cantSplit/>
        </w:trPr>
        <w:tc>
          <w:tcPr>
            <w:tcW w:w="540" w:type="dxa"/>
            <w:gridSpan w:val="2"/>
            <w:tcMar>
              <w:top w:w="58" w:type="dxa"/>
              <w:left w:w="130" w:type="dxa"/>
              <w:bottom w:w="58" w:type="dxa"/>
              <w:right w:w="115" w:type="dxa"/>
            </w:tcMar>
            <w:vAlign w:val="center"/>
          </w:tcPr>
          <w:p w14:paraId="3C793995"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11A2DA81"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 xml:space="preserve">Nurses </w:t>
            </w:r>
          </w:p>
        </w:tc>
        <w:tc>
          <w:tcPr>
            <w:tcW w:w="8633" w:type="dxa"/>
            <w:tcMar>
              <w:top w:w="58" w:type="dxa"/>
              <w:left w:w="130" w:type="dxa"/>
              <w:bottom w:w="58" w:type="dxa"/>
              <w:right w:w="115" w:type="dxa"/>
            </w:tcMar>
            <w:vAlign w:val="center"/>
          </w:tcPr>
          <w:p w14:paraId="2FA54461" w14:textId="77777777" w:rsidR="0050230C" w:rsidRPr="00727041" w:rsidRDefault="0050230C" w:rsidP="001421B0">
            <w:pPr>
              <w:rPr>
                <w:rFonts w:ascii="Arial" w:hAnsi="Arial" w:cs="Arial"/>
                <w:sz w:val="18"/>
                <w:szCs w:val="18"/>
              </w:rPr>
            </w:pPr>
          </w:p>
        </w:tc>
      </w:tr>
      <w:tr w:rsidR="0050230C" w:rsidRPr="00727041" w14:paraId="621A4AE6" w14:textId="77777777" w:rsidTr="00270F73">
        <w:trPr>
          <w:cantSplit/>
        </w:trPr>
        <w:tc>
          <w:tcPr>
            <w:tcW w:w="540" w:type="dxa"/>
            <w:gridSpan w:val="2"/>
            <w:tcMar>
              <w:top w:w="58" w:type="dxa"/>
              <w:left w:w="130" w:type="dxa"/>
              <w:bottom w:w="58" w:type="dxa"/>
              <w:right w:w="115" w:type="dxa"/>
            </w:tcMar>
            <w:vAlign w:val="center"/>
          </w:tcPr>
          <w:p w14:paraId="2D660388"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3DA2528C"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Emergency Medical Services (</w:t>
            </w:r>
            <w:r>
              <w:rPr>
                <w:rFonts w:ascii="Arial" w:hAnsi="Arial" w:cs="Arial"/>
                <w:sz w:val="18"/>
                <w:szCs w:val="20"/>
              </w:rPr>
              <w:t xml:space="preserve">e.g., </w:t>
            </w:r>
            <w:r w:rsidRPr="00D213F9">
              <w:rPr>
                <w:rFonts w:ascii="Arial" w:hAnsi="Arial" w:cs="Arial"/>
                <w:sz w:val="18"/>
                <w:szCs w:val="20"/>
              </w:rPr>
              <w:t>EMT, paramedics)</w:t>
            </w:r>
          </w:p>
        </w:tc>
        <w:tc>
          <w:tcPr>
            <w:tcW w:w="8633" w:type="dxa"/>
            <w:tcMar>
              <w:top w:w="58" w:type="dxa"/>
              <w:left w:w="130" w:type="dxa"/>
              <w:bottom w:w="58" w:type="dxa"/>
              <w:right w:w="115" w:type="dxa"/>
            </w:tcMar>
            <w:vAlign w:val="center"/>
          </w:tcPr>
          <w:p w14:paraId="17458C0B" w14:textId="77777777" w:rsidR="0050230C" w:rsidRPr="00727041" w:rsidRDefault="0050230C" w:rsidP="001421B0">
            <w:pPr>
              <w:rPr>
                <w:rFonts w:ascii="Arial" w:hAnsi="Arial" w:cs="Arial"/>
                <w:sz w:val="18"/>
                <w:szCs w:val="18"/>
              </w:rPr>
            </w:pPr>
          </w:p>
        </w:tc>
      </w:tr>
      <w:tr w:rsidR="0050230C" w:rsidRPr="00727041" w14:paraId="6E8E4103" w14:textId="77777777" w:rsidTr="00270F73">
        <w:trPr>
          <w:cantSplit/>
        </w:trPr>
        <w:tc>
          <w:tcPr>
            <w:tcW w:w="540" w:type="dxa"/>
            <w:gridSpan w:val="2"/>
            <w:tcMar>
              <w:top w:w="58" w:type="dxa"/>
              <w:left w:w="130" w:type="dxa"/>
              <w:bottom w:w="58" w:type="dxa"/>
              <w:right w:w="115" w:type="dxa"/>
            </w:tcMar>
            <w:vAlign w:val="center"/>
          </w:tcPr>
          <w:p w14:paraId="25B84FA5"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2AD42A9C"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Pharmacists</w:t>
            </w:r>
          </w:p>
        </w:tc>
        <w:tc>
          <w:tcPr>
            <w:tcW w:w="8633" w:type="dxa"/>
            <w:tcMar>
              <w:top w:w="58" w:type="dxa"/>
              <w:left w:w="130" w:type="dxa"/>
              <w:bottom w:w="58" w:type="dxa"/>
              <w:right w:w="115" w:type="dxa"/>
            </w:tcMar>
            <w:vAlign w:val="center"/>
          </w:tcPr>
          <w:p w14:paraId="287368F5" w14:textId="77777777" w:rsidR="0050230C" w:rsidRPr="00727041" w:rsidRDefault="0050230C" w:rsidP="001421B0">
            <w:pPr>
              <w:rPr>
                <w:rFonts w:ascii="Arial" w:hAnsi="Arial" w:cs="Arial"/>
                <w:sz w:val="18"/>
                <w:szCs w:val="18"/>
              </w:rPr>
            </w:pPr>
          </w:p>
        </w:tc>
      </w:tr>
      <w:tr w:rsidR="0050230C" w:rsidRPr="00727041" w14:paraId="337E37B4" w14:textId="77777777" w:rsidTr="00270F73">
        <w:trPr>
          <w:cantSplit/>
        </w:trPr>
        <w:tc>
          <w:tcPr>
            <w:tcW w:w="540" w:type="dxa"/>
            <w:gridSpan w:val="2"/>
            <w:tcMar>
              <w:top w:w="58" w:type="dxa"/>
              <w:left w:w="130" w:type="dxa"/>
              <w:bottom w:w="58" w:type="dxa"/>
              <w:right w:w="115" w:type="dxa"/>
            </w:tcMar>
            <w:vAlign w:val="center"/>
          </w:tcPr>
          <w:p w14:paraId="62611144"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40E03D3D"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Behavioral and Mental Health Providers</w:t>
            </w:r>
          </w:p>
        </w:tc>
        <w:tc>
          <w:tcPr>
            <w:tcW w:w="8633" w:type="dxa"/>
            <w:tcMar>
              <w:top w:w="58" w:type="dxa"/>
              <w:left w:w="130" w:type="dxa"/>
              <w:bottom w:w="58" w:type="dxa"/>
              <w:right w:w="115" w:type="dxa"/>
            </w:tcMar>
            <w:vAlign w:val="center"/>
          </w:tcPr>
          <w:p w14:paraId="759A1756" w14:textId="77777777" w:rsidR="0050230C" w:rsidRPr="00727041" w:rsidRDefault="0050230C" w:rsidP="001421B0">
            <w:pPr>
              <w:rPr>
                <w:rFonts w:ascii="Arial" w:hAnsi="Arial" w:cs="Arial"/>
                <w:sz w:val="18"/>
                <w:szCs w:val="18"/>
              </w:rPr>
            </w:pPr>
          </w:p>
        </w:tc>
      </w:tr>
      <w:tr w:rsidR="0050230C" w:rsidRPr="00727041" w14:paraId="5B85C0C3" w14:textId="77777777" w:rsidTr="00270F73">
        <w:trPr>
          <w:cantSplit/>
        </w:trPr>
        <w:tc>
          <w:tcPr>
            <w:tcW w:w="540" w:type="dxa"/>
            <w:gridSpan w:val="2"/>
            <w:tcMar>
              <w:top w:w="58" w:type="dxa"/>
              <w:left w:w="130" w:type="dxa"/>
              <w:bottom w:w="58" w:type="dxa"/>
              <w:right w:w="115" w:type="dxa"/>
            </w:tcMar>
            <w:vAlign w:val="center"/>
          </w:tcPr>
          <w:p w14:paraId="0C2BB8CE"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045D6419"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Dentists</w:t>
            </w:r>
          </w:p>
        </w:tc>
        <w:tc>
          <w:tcPr>
            <w:tcW w:w="8633" w:type="dxa"/>
            <w:tcMar>
              <w:top w:w="58" w:type="dxa"/>
              <w:left w:w="130" w:type="dxa"/>
              <w:bottom w:w="58" w:type="dxa"/>
              <w:right w:w="115" w:type="dxa"/>
            </w:tcMar>
            <w:vAlign w:val="center"/>
          </w:tcPr>
          <w:p w14:paraId="0DD5BB79" w14:textId="77777777" w:rsidR="0050230C" w:rsidRPr="00727041" w:rsidRDefault="0050230C" w:rsidP="001421B0">
            <w:pPr>
              <w:rPr>
                <w:rFonts w:ascii="Arial" w:hAnsi="Arial" w:cs="Arial"/>
                <w:sz w:val="18"/>
                <w:szCs w:val="18"/>
              </w:rPr>
            </w:pPr>
          </w:p>
        </w:tc>
      </w:tr>
      <w:tr w:rsidR="0050230C" w:rsidRPr="00727041" w14:paraId="13291D3E" w14:textId="77777777" w:rsidTr="00270F73">
        <w:trPr>
          <w:cantSplit/>
        </w:trPr>
        <w:tc>
          <w:tcPr>
            <w:tcW w:w="540" w:type="dxa"/>
            <w:gridSpan w:val="2"/>
            <w:tcMar>
              <w:top w:w="58" w:type="dxa"/>
              <w:left w:w="130" w:type="dxa"/>
              <w:bottom w:w="58" w:type="dxa"/>
              <w:right w:w="115" w:type="dxa"/>
            </w:tcMar>
            <w:vAlign w:val="center"/>
          </w:tcPr>
          <w:p w14:paraId="3540CE56"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12387663"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Veterinarians</w:t>
            </w:r>
          </w:p>
        </w:tc>
        <w:tc>
          <w:tcPr>
            <w:tcW w:w="8633" w:type="dxa"/>
            <w:tcMar>
              <w:top w:w="58" w:type="dxa"/>
              <w:left w:w="130" w:type="dxa"/>
              <w:bottom w:w="58" w:type="dxa"/>
              <w:right w:w="115" w:type="dxa"/>
            </w:tcMar>
            <w:vAlign w:val="center"/>
          </w:tcPr>
          <w:p w14:paraId="1B226FD6" w14:textId="77777777" w:rsidR="0050230C" w:rsidRPr="00727041" w:rsidRDefault="0050230C" w:rsidP="001421B0">
            <w:pPr>
              <w:rPr>
                <w:rFonts w:ascii="Arial" w:hAnsi="Arial" w:cs="Arial"/>
                <w:sz w:val="18"/>
                <w:szCs w:val="18"/>
              </w:rPr>
            </w:pPr>
          </w:p>
        </w:tc>
      </w:tr>
      <w:tr w:rsidR="0050230C" w:rsidRPr="00727041" w14:paraId="6CB7FA23" w14:textId="77777777" w:rsidTr="00270F73">
        <w:trPr>
          <w:cantSplit/>
        </w:trPr>
        <w:tc>
          <w:tcPr>
            <w:tcW w:w="540" w:type="dxa"/>
            <w:gridSpan w:val="2"/>
            <w:tcMar>
              <w:top w:w="58" w:type="dxa"/>
              <w:left w:w="130" w:type="dxa"/>
              <w:bottom w:w="58" w:type="dxa"/>
              <w:right w:w="115" w:type="dxa"/>
            </w:tcMar>
            <w:vAlign w:val="center"/>
          </w:tcPr>
          <w:p w14:paraId="2B53855A"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3E2F9F84" w14:textId="77777777" w:rsidR="0050230C" w:rsidRPr="00D213F9" w:rsidRDefault="0050230C" w:rsidP="004E1FDF">
            <w:pPr>
              <w:spacing w:after="40"/>
              <w:jc w:val="both"/>
              <w:rPr>
                <w:rFonts w:ascii="Arial" w:hAnsi="Arial" w:cs="Arial"/>
                <w:sz w:val="18"/>
                <w:szCs w:val="20"/>
              </w:rPr>
            </w:pPr>
            <w:r w:rsidRPr="00D213F9">
              <w:rPr>
                <w:rFonts w:ascii="Arial" w:hAnsi="Arial" w:cs="Arial"/>
                <w:sz w:val="18"/>
                <w:szCs w:val="20"/>
              </w:rPr>
              <w:t>Laboratorians</w:t>
            </w:r>
          </w:p>
        </w:tc>
        <w:tc>
          <w:tcPr>
            <w:tcW w:w="8633" w:type="dxa"/>
            <w:tcMar>
              <w:top w:w="58" w:type="dxa"/>
              <w:left w:w="130" w:type="dxa"/>
              <w:bottom w:w="58" w:type="dxa"/>
              <w:right w:w="115" w:type="dxa"/>
            </w:tcMar>
            <w:vAlign w:val="center"/>
          </w:tcPr>
          <w:p w14:paraId="44077248" w14:textId="77777777" w:rsidR="0050230C" w:rsidRPr="00727041" w:rsidRDefault="0050230C" w:rsidP="001421B0">
            <w:pPr>
              <w:rPr>
                <w:rFonts w:ascii="Arial" w:hAnsi="Arial" w:cs="Arial"/>
                <w:sz w:val="18"/>
                <w:szCs w:val="18"/>
              </w:rPr>
            </w:pPr>
          </w:p>
        </w:tc>
      </w:tr>
      <w:tr w:rsidR="0050230C" w:rsidRPr="00727041" w14:paraId="2960CDFD" w14:textId="77777777" w:rsidTr="00270F73">
        <w:trPr>
          <w:cantSplit/>
        </w:trPr>
        <w:tc>
          <w:tcPr>
            <w:tcW w:w="540" w:type="dxa"/>
            <w:gridSpan w:val="2"/>
            <w:tcMar>
              <w:top w:w="58" w:type="dxa"/>
              <w:left w:w="130" w:type="dxa"/>
              <w:bottom w:w="58" w:type="dxa"/>
              <w:right w:w="115" w:type="dxa"/>
            </w:tcMar>
            <w:vAlign w:val="center"/>
          </w:tcPr>
          <w:p w14:paraId="69040394"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5A0A3023"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Sanitarians and Environmental Health Specialists</w:t>
            </w:r>
          </w:p>
        </w:tc>
        <w:tc>
          <w:tcPr>
            <w:tcW w:w="8633" w:type="dxa"/>
            <w:tcMar>
              <w:top w:w="58" w:type="dxa"/>
              <w:left w:w="130" w:type="dxa"/>
              <w:bottom w:w="58" w:type="dxa"/>
              <w:right w:w="115" w:type="dxa"/>
            </w:tcMar>
            <w:vAlign w:val="center"/>
          </w:tcPr>
          <w:p w14:paraId="53E593B8" w14:textId="77777777" w:rsidR="0050230C" w:rsidRPr="00727041" w:rsidRDefault="0050230C" w:rsidP="001421B0">
            <w:pPr>
              <w:rPr>
                <w:rFonts w:ascii="Arial" w:hAnsi="Arial" w:cs="Arial"/>
                <w:sz w:val="18"/>
                <w:szCs w:val="18"/>
              </w:rPr>
            </w:pPr>
          </w:p>
        </w:tc>
      </w:tr>
      <w:tr w:rsidR="0050230C" w:rsidRPr="00727041" w14:paraId="1B2CB09B" w14:textId="77777777" w:rsidTr="00270F73">
        <w:trPr>
          <w:cantSplit/>
        </w:trPr>
        <w:tc>
          <w:tcPr>
            <w:tcW w:w="540" w:type="dxa"/>
            <w:gridSpan w:val="2"/>
            <w:tcMar>
              <w:top w:w="58" w:type="dxa"/>
              <w:left w:w="130" w:type="dxa"/>
              <w:bottom w:w="58" w:type="dxa"/>
              <w:right w:w="115" w:type="dxa"/>
            </w:tcMar>
            <w:vAlign w:val="center"/>
          </w:tcPr>
          <w:p w14:paraId="01CB3C14"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6CCC8495"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Other Medical Care Providers (e.g., physician assistants, respiratory therapists, etc.)</w:t>
            </w:r>
          </w:p>
        </w:tc>
        <w:tc>
          <w:tcPr>
            <w:tcW w:w="8633" w:type="dxa"/>
            <w:tcMar>
              <w:top w:w="58" w:type="dxa"/>
              <w:left w:w="130" w:type="dxa"/>
              <w:bottom w:w="58" w:type="dxa"/>
              <w:right w:w="115" w:type="dxa"/>
            </w:tcMar>
            <w:vAlign w:val="center"/>
          </w:tcPr>
          <w:p w14:paraId="7D07469B" w14:textId="77777777" w:rsidR="0050230C" w:rsidRPr="00727041" w:rsidRDefault="0050230C" w:rsidP="001421B0">
            <w:pPr>
              <w:rPr>
                <w:rFonts w:ascii="Arial" w:hAnsi="Arial" w:cs="Arial"/>
                <w:sz w:val="18"/>
                <w:szCs w:val="18"/>
              </w:rPr>
            </w:pPr>
          </w:p>
        </w:tc>
      </w:tr>
      <w:tr w:rsidR="0050230C" w:rsidRPr="00727041" w14:paraId="309DC2C7" w14:textId="77777777" w:rsidTr="00270F73">
        <w:trPr>
          <w:cantSplit/>
        </w:trPr>
        <w:tc>
          <w:tcPr>
            <w:tcW w:w="540" w:type="dxa"/>
            <w:gridSpan w:val="2"/>
            <w:tcMar>
              <w:top w:w="58" w:type="dxa"/>
              <w:left w:w="130" w:type="dxa"/>
              <w:bottom w:w="58" w:type="dxa"/>
              <w:right w:w="115" w:type="dxa"/>
            </w:tcMar>
            <w:vAlign w:val="center"/>
          </w:tcPr>
          <w:p w14:paraId="1C7FED5F"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72C21ECA" w14:textId="77777777" w:rsidR="0050230C" w:rsidRPr="00D213F9" w:rsidRDefault="0050230C" w:rsidP="004E1FDF">
            <w:pPr>
              <w:spacing w:after="40"/>
              <w:rPr>
                <w:rFonts w:ascii="Arial" w:hAnsi="Arial" w:cs="Arial"/>
                <w:sz w:val="18"/>
                <w:szCs w:val="20"/>
              </w:rPr>
            </w:pPr>
            <w:r w:rsidRPr="00D213F9">
              <w:rPr>
                <w:rFonts w:ascii="Arial" w:hAnsi="Arial" w:cs="Arial"/>
                <w:sz w:val="18"/>
                <w:szCs w:val="20"/>
              </w:rPr>
              <w:t>Other Regulated Professions (e.g., engineers, architects, etc.)</w:t>
            </w:r>
          </w:p>
        </w:tc>
        <w:tc>
          <w:tcPr>
            <w:tcW w:w="8633" w:type="dxa"/>
            <w:tcMar>
              <w:top w:w="58" w:type="dxa"/>
              <w:left w:w="130" w:type="dxa"/>
              <w:bottom w:w="58" w:type="dxa"/>
              <w:right w:w="115" w:type="dxa"/>
            </w:tcMar>
            <w:vAlign w:val="center"/>
          </w:tcPr>
          <w:p w14:paraId="1C241DF3" w14:textId="77777777" w:rsidR="0050230C" w:rsidRPr="00727041" w:rsidRDefault="0050230C" w:rsidP="001421B0">
            <w:pPr>
              <w:rPr>
                <w:rFonts w:ascii="Arial" w:hAnsi="Arial" w:cs="Arial"/>
                <w:sz w:val="18"/>
                <w:szCs w:val="18"/>
              </w:rPr>
            </w:pPr>
          </w:p>
        </w:tc>
      </w:tr>
      <w:tr w:rsidR="0050230C" w:rsidRPr="00727041" w14:paraId="3EBBBD45" w14:textId="77777777" w:rsidTr="00270F73">
        <w:trPr>
          <w:cantSplit/>
        </w:trPr>
        <w:tc>
          <w:tcPr>
            <w:tcW w:w="540" w:type="dxa"/>
            <w:gridSpan w:val="2"/>
            <w:tcMar>
              <w:top w:w="58" w:type="dxa"/>
              <w:left w:w="130" w:type="dxa"/>
              <w:bottom w:w="58" w:type="dxa"/>
              <w:right w:w="115" w:type="dxa"/>
            </w:tcMar>
            <w:vAlign w:val="center"/>
          </w:tcPr>
          <w:p w14:paraId="2F461B6B" w14:textId="77777777" w:rsidR="0050230C" w:rsidRPr="004F0B85" w:rsidRDefault="0050230C" w:rsidP="001421B0">
            <w:pPr>
              <w:rPr>
                <w:rFonts w:ascii="Arial" w:hAnsi="Arial" w:cs="Arial"/>
                <w:sz w:val="18"/>
                <w:szCs w:val="18"/>
              </w:rPr>
            </w:pPr>
          </w:p>
        </w:tc>
        <w:tc>
          <w:tcPr>
            <w:tcW w:w="5137" w:type="dxa"/>
            <w:tcMar>
              <w:top w:w="58" w:type="dxa"/>
              <w:left w:w="130" w:type="dxa"/>
              <w:bottom w:w="58" w:type="dxa"/>
              <w:right w:w="115" w:type="dxa"/>
            </w:tcMar>
          </w:tcPr>
          <w:p w14:paraId="2F96AA85" w14:textId="77777777" w:rsidR="0050230C" w:rsidRPr="00D213F9" w:rsidRDefault="0050230C" w:rsidP="004E1FDF">
            <w:pPr>
              <w:spacing w:after="40"/>
              <w:rPr>
                <w:rFonts w:ascii="Arial" w:hAnsi="Arial" w:cs="Arial"/>
                <w:sz w:val="18"/>
                <w:szCs w:val="20"/>
              </w:rPr>
            </w:pPr>
          </w:p>
        </w:tc>
        <w:tc>
          <w:tcPr>
            <w:tcW w:w="8633" w:type="dxa"/>
            <w:tcMar>
              <w:top w:w="58" w:type="dxa"/>
              <w:left w:w="130" w:type="dxa"/>
              <w:bottom w:w="58" w:type="dxa"/>
              <w:right w:w="115" w:type="dxa"/>
            </w:tcMar>
            <w:vAlign w:val="center"/>
          </w:tcPr>
          <w:p w14:paraId="42187134" w14:textId="77777777" w:rsidR="0050230C" w:rsidRPr="00727041" w:rsidRDefault="0050230C" w:rsidP="001421B0">
            <w:pPr>
              <w:rPr>
                <w:rFonts w:ascii="Arial" w:hAnsi="Arial" w:cs="Arial"/>
                <w:sz w:val="18"/>
                <w:szCs w:val="18"/>
              </w:rPr>
            </w:pPr>
          </w:p>
        </w:tc>
      </w:tr>
    </w:tbl>
    <w:p w14:paraId="03A868AB" w14:textId="77777777" w:rsidR="006E0594" w:rsidRDefault="006E0594" w:rsidP="001421B0">
      <w:pPr>
        <w:rPr>
          <w:rFonts w:ascii="Times New Roman" w:hAnsi="Times New Roman" w:cs="Times New Roman"/>
          <w:sz w:val="24"/>
          <w:szCs w:val="20"/>
        </w:rPr>
      </w:pPr>
    </w:p>
    <w:p w14:paraId="71EB2AB4" w14:textId="37800415" w:rsidR="006E0594" w:rsidRDefault="006E0594" w:rsidP="001421B0">
      <w:pPr>
        <w:rPr>
          <w:rFonts w:ascii="Times New Roman" w:hAnsi="Times New Roman" w:cs="Times New Roman"/>
          <w:sz w:val="24"/>
          <w:szCs w:val="20"/>
        </w:rPr>
      </w:pPr>
      <w:r>
        <w:rPr>
          <w:rFonts w:cstheme="minorHAnsi"/>
          <w:sz w:val="24"/>
        </w:rPr>
        <w:t>[</w:t>
      </w:r>
      <w:hyperlink w:anchor="TOC_top" w:history="1">
        <w:r w:rsidRPr="0082238F">
          <w:rPr>
            <w:rStyle w:val="Hyperlink"/>
            <w:rFonts w:cstheme="minorHAnsi"/>
            <w:sz w:val="24"/>
          </w:rPr>
          <w:t>TOC t</w:t>
        </w:r>
        <w:r w:rsidRPr="0082238F">
          <w:rPr>
            <w:rStyle w:val="Hyperlink"/>
            <w:rFonts w:cstheme="minorHAnsi"/>
            <w:sz w:val="24"/>
          </w:rPr>
          <w:t>o</w:t>
        </w:r>
        <w:r w:rsidRPr="0082238F">
          <w:rPr>
            <w:rStyle w:val="Hyperlink"/>
            <w:rFonts w:cstheme="minorHAnsi"/>
            <w:sz w:val="24"/>
          </w:rPr>
          <w:t>p</w:t>
        </w:r>
      </w:hyperlink>
      <w:r>
        <w:rPr>
          <w:rFonts w:cstheme="minorHAnsi"/>
          <w:sz w:val="24"/>
        </w:rPr>
        <w:t>]</w:t>
      </w:r>
    </w:p>
    <w:p w14:paraId="4B1D20CC" w14:textId="77777777" w:rsidR="006E0594" w:rsidRDefault="006E0594" w:rsidP="001421B0">
      <w:pPr>
        <w:rPr>
          <w:rFonts w:ascii="Times New Roman" w:hAnsi="Times New Roman" w:cs="Times New Roman"/>
          <w:sz w:val="24"/>
          <w:szCs w:val="20"/>
        </w:rPr>
      </w:pPr>
    </w:p>
    <w:p w14:paraId="069AA1FF" w14:textId="65D22D34" w:rsidR="006E0594" w:rsidRDefault="006E0594" w:rsidP="001421B0">
      <w:pPr>
        <w:rPr>
          <w:rFonts w:ascii="Times New Roman" w:hAnsi="Times New Roman" w:cs="Times New Roman"/>
          <w:sz w:val="24"/>
          <w:szCs w:val="20"/>
        </w:rPr>
        <w:sectPr w:rsidR="006E0594" w:rsidSect="006D213F">
          <w:pgSz w:w="15840" w:h="12240" w:orient="landscape"/>
          <w:pgMar w:top="1440" w:right="1440" w:bottom="1440" w:left="1440" w:header="720" w:footer="720" w:gutter="0"/>
          <w:cols w:space="720"/>
          <w:docGrid w:linePitch="360"/>
        </w:sectPr>
      </w:pPr>
    </w:p>
    <w:p w14:paraId="74699695" w14:textId="7C947F56" w:rsidR="0050230C" w:rsidRPr="00B323E1" w:rsidRDefault="0050230C" w:rsidP="00B323E1">
      <w:pPr>
        <w:rPr>
          <w:rFonts w:ascii="Calibri" w:eastAsia="Times New Roman" w:hAnsi="Calibri" w:cs="Calibri"/>
          <w:b/>
          <w:bCs/>
          <w:color w:val="333333"/>
          <w:spacing w:val="15"/>
          <w:kern w:val="36"/>
          <w:sz w:val="28"/>
          <w:szCs w:val="36"/>
        </w:rPr>
      </w:pPr>
      <w:bookmarkStart w:id="7" w:name="SuppMats"/>
      <w:r w:rsidRPr="00B323E1">
        <w:rPr>
          <w:rFonts w:ascii="Calibri" w:eastAsia="Times New Roman" w:hAnsi="Calibri" w:cs="Calibri"/>
          <w:b/>
          <w:bCs/>
          <w:color w:val="333333"/>
          <w:spacing w:val="15"/>
          <w:kern w:val="36"/>
          <w:sz w:val="28"/>
          <w:szCs w:val="36"/>
        </w:rPr>
        <w:lastRenderedPageBreak/>
        <w:t>Supplemental Materials</w:t>
      </w:r>
      <w:bookmarkEnd w:id="7"/>
      <w:r>
        <w:rPr>
          <w:rFonts w:ascii="Calibri" w:eastAsia="Times New Roman" w:hAnsi="Calibri" w:cs="Calibri"/>
          <w:b/>
          <w:bCs/>
          <w:color w:val="333333"/>
          <w:spacing w:val="15"/>
          <w:kern w:val="36"/>
          <w:sz w:val="28"/>
          <w:szCs w:val="36"/>
        </w:rPr>
        <w:br/>
      </w:r>
    </w:p>
    <w:p w14:paraId="11C2D2DC" w14:textId="77777777" w:rsidR="0050230C" w:rsidRPr="007D0859" w:rsidRDefault="0050230C" w:rsidP="00B323E1">
      <w:pPr>
        <w:shd w:val="clear" w:color="auto" w:fill="FFFFFF"/>
        <w:spacing w:after="240" w:line="480" w:lineRule="auto"/>
        <w:textAlignment w:val="baseline"/>
        <w:rPr>
          <w:rFonts w:ascii="Arial" w:eastAsia="Times New Roman" w:hAnsi="Arial" w:cs="Arial"/>
          <w:color w:val="737373"/>
          <w:sz w:val="20"/>
          <w:szCs w:val="20"/>
        </w:rPr>
      </w:pPr>
      <w:r w:rsidRPr="00B323E1">
        <w:rPr>
          <w:rFonts w:ascii="Calibri" w:eastAsia="Times New Roman" w:hAnsi="Calibri" w:cs="Calibri"/>
          <w:color w:val="000000" w:themeColor="text1"/>
          <w:szCs w:val="20"/>
        </w:rPr>
        <w:t>The Supplemental Materials compilation lists key documents and additional resources about the issues raised in the Scope of Practice Toolkit. The documents listed are for reference purposes only and are not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May 30, 2013. Please</w:t>
      </w:r>
      <w:r w:rsidRPr="00B323E1">
        <w:rPr>
          <w:rFonts w:ascii="Arial" w:eastAsia="Times New Roman" w:hAnsi="Arial" w:cs="Arial"/>
          <w:color w:val="000000" w:themeColor="text1"/>
          <w:szCs w:val="20"/>
        </w:rPr>
        <w:t xml:space="preserve"> </w:t>
      </w:r>
      <w:r w:rsidRPr="00B323E1">
        <w:rPr>
          <w:rFonts w:ascii="Arial" w:eastAsia="Times New Roman" w:hAnsi="Arial" w:cs="Arial"/>
          <w:color w:val="000000" w:themeColor="text1"/>
          <w:sz w:val="20"/>
          <w:szCs w:val="20"/>
        </w:rPr>
        <w:t>report broken links to ASTHO at </w:t>
      </w:r>
      <w:hyperlink r:id="rId15" w:history="1">
        <w:r w:rsidRPr="007D0859">
          <w:rPr>
            <w:rFonts w:ascii="Arial" w:eastAsia="Times New Roman" w:hAnsi="Arial" w:cs="Arial"/>
            <w:color w:val="0F88B8"/>
            <w:sz w:val="20"/>
            <w:szCs w:val="20"/>
            <w:u w:val="single"/>
            <w:bdr w:val="none" w:sz="0" w:space="0" w:color="auto" w:frame="1"/>
          </w:rPr>
          <w:t>communications@astho.org</w:t>
        </w:r>
      </w:hyperlink>
      <w:r w:rsidRPr="007D0859">
        <w:rPr>
          <w:rFonts w:ascii="Arial" w:eastAsia="Times New Roman" w:hAnsi="Arial" w:cs="Arial"/>
          <w:color w:val="737373"/>
          <w:sz w:val="20"/>
          <w:szCs w:val="20"/>
        </w:rPr>
        <w:t>. </w:t>
      </w:r>
    </w:p>
    <w:p w14:paraId="7A1FF7CB" w14:textId="77777777" w:rsidR="0050230C" w:rsidRPr="00B323E1" w:rsidRDefault="0050230C" w:rsidP="00B323E1">
      <w:pPr>
        <w:rPr>
          <w:rFonts w:ascii="Calibri" w:eastAsia="Times New Roman" w:hAnsi="Calibri" w:cs="Calibri"/>
          <w:b/>
          <w:bCs/>
          <w:color w:val="3C3030"/>
          <w:sz w:val="24"/>
          <w:szCs w:val="24"/>
        </w:rPr>
      </w:pPr>
      <w:r w:rsidRPr="00B323E1">
        <w:rPr>
          <w:rFonts w:ascii="Calibri" w:eastAsia="Times New Roman" w:hAnsi="Calibri" w:cs="Calibri"/>
          <w:b/>
          <w:bCs/>
          <w:color w:val="3C3030"/>
          <w:sz w:val="24"/>
          <w:szCs w:val="24"/>
        </w:rPr>
        <w:t>Index</w:t>
      </w:r>
    </w:p>
    <w:p w14:paraId="37721797" w14:textId="77777777" w:rsidR="0050230C" w:rsidRPr="00B323E1" w:rsidRDefault="0050230C" w:rsidP="007D0859">
      <w:pPr>
        <w:shd w:val="clear" w:color="auto" w:fill="FFFFFF"/>
        <w:spacing w:after="225" w:line="240" w:lineRule="atLeast"/>
        <w:textAlignment w:val="baseline"/>
        <w:rPr>
          <w:rFonts w:ascii="Calibri" w:eastAsia="Times New Roman" w:hAnsi="Calibri" w:cs="Calibri"/>
          <w:color w:val="000000" w:themeColor="text1"/>
          <w:szCs w:val="20"/>
        </w:rPr>
      </w:pPr>
    </w:p>
    <w:p w14:paraId="2EFFC49D" w14:textId="77777777" w:rsidR="0050230C" w:rsidRPr="00B323E1" w:rsidRDefault="0050230C" w:rsidP="00B323E1">
      <w:pPr>
        <w:rPr>
          <w:rFonts w:eastAsia="Times New Roman" w:cstheme="minorHAnsi"/>
          <w:b/>
          <w:bCs/>
          <w:color w:val="000000" w:themeColor="text1"/>
          <w:szCs w:val="20"/>
        </w:rPr>
      </w:pPr>
      <w:r w:rsidRPr="00B323E1">
        <w:rPr>
          <w:rFonts w:eastAsia="Times New Roman" w:cstheme="minorHAnsi"/>
          <w:b/>
          <w:bCs/>
          <w:color w:val="000000" w:themeColor="text1"/>
          <w:szCs w:val="20"/>
        </w:rPr>
        <w:t>General Resources and Compilations</w:t>
      </w:r>
    </w:p>
    <w:p w14:paraId="25267CD3" w14:textId="77777777" w:rsidR="0050230C" w:rsidRPr="00EC48FD" w:rsidRDefault="0050230C" w:rsidP="007D0859">
      <w:pPr>
        <w:shd w:val="clear" w:color="auto" w:fill="FFFFFF"/>
        <w:spacing w:line="240" w:lineRule="atLeast"/>
        <w:textAlignment w:val="baseline"/>
        <w:rPr>
          <w:rFonts w:eastAsia="Times New Roman" w:cstheme="minorHAnsi"/>
          <w:color w:val="737373"/>
        </w:rPr>
      </w:pPr>
      <w:r w:rsidRPr="00B323E1">
        <w:rPr>
          <w:rFonts w:eastAsia="Times New Roman" w:cstheme="minorHAnsi"/>
          <w:color w:val="000000" w:themeColor="text1"/>
          <w:szCs w:val="20"/>
        </w:rPr>
        <w:br/>
      </w:r>
      <w:r w:rsidRPr="00B323E1">
        <w:rPr>
          <w:rFonts w:eastAsia="Times New Roman" w:cstheme="minorHAnsi"/>
          <w:b/>
          <w:bCs/>
          <w:color w:val="000000" w:themeColor="text1"/>
          <w:szCs w:val="20"/>
          <w:bdr w:val="none" w:sz="0" w:space="0" w:color="auto" w:frame="1"/>
        </w:rPr>
        <w:t>A—N </w:t>
      </w:r>
      <w:r w:rsidRPr="00B323E1">
        <w:rPr>
          <w:rFonts w:eastAsia="Times New Roman" w:cstheme="minorHAnsi"/>
          <w:b/>
          <w:bCs/>
          <w:color w:val="000000" w:themeColor="text1"/>
          <w:szCs w:val="20"/>
          <w:bdr w:val="none" w:sz="0" w:space="0" w:color="auto" w:frame="1"/>
        </w:rPr>
        <w:br/>
      </w:r>
      <w:hyperlink r:id="rId16" w:anchor="At-Risk" w:history="1">
        <w:r w:rsidRPr="00B323E1">
          <w:rPr>
            <w:rFonts w:eastAsia="Times New Roman" w:cstheme="minorHAnsi"/>
            <w:color w:val="0F88B8"/>
            <w:szCs w:val="20"/>
            <w:u w:val="single"/>
            <w:bdr w:val="none" w:sz="0" w:space="0" w:color="auto" w:frame="1"/>
          </w:rPr>
          <w:t>At-Risk Individuals and Communities</w:t>
        </w:r>
      </w:hyperlink>
      <w:r w:rsidRPr="00B323E1">
        <w:rPr>
          <w:rFonts w:eastAsia="Times New Roman" w:cstheme="minorHAnsi"/>
          <w:color w:val="737373"/>
          <w:szCs w:val="20"/>
        </w:rPr>
        <w:t> </w:t>
      </w:r>
      <w:r w:rsidRPr="00B323E1">
        <w:rPr>
          <w:rFonts w:eastAsia="Times New Roman" w:cstheme="minorHAnsi"/>
          <w:color w:val="737373"/>
          <w:szCs w:val="20"/>
        </w:rPr>
        <w:br/>
      </w:r>
      <w:hyperlink r:id="rId17" w:anchor="Countermeasures-Injury" w:history="1">
        <w:r w:rsidRPr="00B323E1">
          <w:rPr>
            <w:rFonts w:eastAsia="Times New Roman" w:cstheme="minorHAnsi"/>
            <w:color w:val="0F88B8"/>
            <w:szCs w:val="20"/>
            <w:u w:val="single"/>
            <w:bdr w:val="none" w:sz="0" w:space="0" w:color="auto" w:frame="1"/>
          </w:rPr>
          <w:t>Countermeasures Injury Compensation Program (CICP)</w:t>
        </w:r>
      </w:hyperlink>
      <w:r w:rsidRPr="00B323E1">
        <w:rPr>
          <w:rFonts w:eastAsia="Times New Roman" w:cstheme="minorHAnsi"/>
          <w:color w:val="737373"/>
          <w:szCs w:val="20"/>
        </w:rPr>
        <w:t> </w:t>
      </w:r>
      <w:r w:rsidRPr="00B323E1">
        <w:rPr>
          <w:rFonts w:eastAsia="Times New Roman" w:cstheme="minorHAnsi"/>
          <w:color w:val="737373"/>
          <w:szCs w:val="20"/>
        </w:rPr>
        <w:br/>
      </w:r>
      <w:hyperlink r:id="rId18" w:anchor="Emergency-Management-Assistance" w:history="1">
        <w:r w:rsidRPr="00B323E1">
          <w:rPr>
            <w:rFonts w:eastAsia="Times New Roman" w:cstheme="minorHAnsi"/>
            <w:color w:val="0F88B8"/>
            <w:szCs w:val="20"/>
            <w:u w:val="single"/>
            <w:bdr w:val="none" w:sz="0" w:space="0" w:color="auto" w:frame="1"/>
          </w:rPr>
          <w:t>Emergency Management Assistance Compact (EMAC)</w:t>
        </w:r>
      </w:hyperlink>
      <w:r w:rsidRPr="00B323E1">
        <w:rPr>
          <w:rFonts w:eastAsia="Times New Roman" w:cstheme="minorHAnsi"/>
          <w:color w:val="737373"/>
          <w:szCs w:val="20"/>
        </w:rPr>
        <w:t> </w:t>
      </w:r>
      <w:r w:rsidRPr="00B323E1">
        <w:rPr>
          <w:rFonts w:eastAsia="Times New Roman" w:cstheme="minorHAnsi"/>
          <w:color w:val="737373"/>
          <w:szCs w:val="20"/>
        </w:rPr>
        <w:br/>
      </w:r>
      <w:hyperlink r:id="rId19" w:anchor="Emergency-Use-Authorization" w:history="1">
        <w:r w:rsidRPr="00B323E1">
          <w:rPr>
            <w:rFonts w:eastAsia="Times New Roman" w:cstheme="minorHAnsi"/>
            <w:color w:val="0F88B8"/>
            <w:szCs w:val="20"/>
            <w:u w:val="single"/>
            <w:bdr w:val="none" w:sz="0" w:space="0" w:color="auto" w:frame="1"/>
          </w:rPr>
          <w:t>Emergency Use Authorization (EUA)</w:t>
        </w:r>
      </w:hyperlink>
      <w:r w:rsidRPr="00B323E1">
        <w:rPr>
          <w:rFonts w:eastAsia="Times New Roman" w:cstheme="minorHAnsi"/>
          <w:color w:val="737373"/>
          <w:szCs w:val="20"/>
        </w:rPr>
        <w:t> </w:t>
      </w:r>
      <w:r w:rsidRPr="00B323E1">
        <w:rPr>
          <w:rFonts w:eastAsia="Times New Roman" w:cstheme="minorHAnsi"/>
          <w:color w:val="737373"/>
          <w:szCs w:val="20"/>
        </w:rPr>
        <w:br/>
      </w:r>
      <w:hyperlink r:id="rId20" w:anchor="Entity-Liability" w:history="1">
        <w:r w:rsidRPr="00B323E1">
          <w:rPr>
            <w:rFonts w:eastAsia="Times New Roman" w:cstheme="minorHAnsi"/>
            <w:color w:val="0F88B8"/>
            <w:szCs w:val="20"/>
            <w:u w:val="single"/>
            <w:bdr w:val="none" w:sz="0" w:space="0" w:color="auto" w:frame="1"/>
          </w:rPr>
          <w:t>Entity Liability </w:t>
        </w:r>
      </w:hyperlink>
      <w:r w:rsidRPr="00B323E1">
        <w:rPr>
          <w:rFonts w:eastAsia="Times New Roman" w:cstheme="minorHAnsi"/>
          <w:color w:val="737373"/>
          <w:szCs w:val="20"/>
        </w:rPr>
        <w:br/>
      </w:r>
      <w:hyperlink r:id="rId21" w:anchor="Federal-Tort" w:history="1">
        <w:r w:rsidRPr="00B323E1">
          <w:rPr>
            <w:rFonts w:eastAsia="Times New Roman" w:cstheme="minorHAnsi"/>
            <w:color w:val="0F88B8"/>
            <w:szCs w:val="20"/>
            <w:u w:val="single"/>
            <w:bdr w:val="none" w:sz="0" w:space="0" w:color="auto" w:frame="1"/>
          </w:rPr>
          <w:t>Federal Tort Claims Act (FTCA)</w:t>
        </w:r>
      </w:hyperlink>
      <w:r w:rsidRPr="00B323E1">
        <w:rPr>
          <w:rFonts w:eastAsia="Times New Roman" w:cstheme="minorHAnsi"/>
          <w:color w:val="737373"/>
          <w:szCs w:val="20"/>
        </w:rPr>
        <w:t> </w:t>
      </w:r>
      <w:r w:rsidRPr="00B323E1">
        <w:rPr>
          <w:rFonts w:eastAsia="Times New Roman" w:cstheme="minorHAnsi"/>
          <w:color w:val="737373"/>
          <w:szCs w:val="20"/>
        </w:rPr>
        <w:br/>
      </w:r>
      <w:hyperlink r:id="rId22" w:anchor="HHS-Office" w:history="1">
        <w:r w:rsidRPr="00B323E1">
          <w:rPr>
            <w:rFonts w:eastAsia="Times New Roman" w:cstheme="minorHAnsi"/>
            <w:color w:val="0F88B8"/>
            <w:szCs w:val="20"/>
            <w:u w:val="single"/>
            <w:bdr w:val="none" w:sz="0" w:space="0" w:color="auto" w:frame="1"/>
          </w:rPr>
          <w:t>HHS Office of the Assistant Secretary for Preparedness and Response (ASPR) </w:t>
        </w:r>
      </w:hyperlink>
      <w:r w:rsidRPr="00B323E1">
        <w:rPr>
          <w:rFonts w:eastAsia="Times New Roman" w:cstheme="minorHAnsi"/>
          <w:color w:val="737373"/>
          <w:szCs w:val="20"/>
        </w:rPr>
        <w:br/>
      </w:r>
      <w:hyperlink r:id="rId23" w:anchor="Mutual-Aid" w:history="1">
        <w:r w:rsidRPr="00B323E1">
          <w:rPr>
            <w:rFonts w:eastAsia="Times New Roman" w:cstheme="minorHAnsi"/>
            <w:color w:val="0F88B8"/>
            <w:szCs w:val="20"/>
            <w:u w:val="single"/>
            <w:bdr w:val="none" w:sz="0" w:space="0" w:color="auto" w:frame="1"/>
          </w:rPr>
          <w:t>Mutual Aid Agreements</w:t>
        </w:r>
      </w:hyperlink>
      <w:r w:rsidRPr="00B323E1">
        <w:rPr>
          <w:rFonts w:eastAsia="Times New Roman" w:cstheme="minorHAnsi"/>
          <w:color w:val="737373"/>
          <w:szCs w:val="20"/>
        </w:rPr>
        <w:t> </w:t>
      </w:r>
      <w:r w:rsidRPr="00B323E1">
        <w:rPr>
          <w:rFonts w:eastAsia="Times New Roman" w:cstheme="minorHAnsi"/>
          <w:color w:val="737373"/>
          <w:szCs w:val="20"/>
        </w:rPr>
        <w:br/>
      </w:r>
      <w:r w:rsidRPr="00B323E1">
        <w:rPr>
          <w:rFonts w:eastAsia="Times New Roman" w:cstheme="minorHAnsi"/>
          <w:color w:val="000000" w:themeColor="text1"/>
          <w:szCs w:val="20"/>
        </w:rPr>
        <w:br/>
      </w:r>
      <w:r w:rsidRPr="00B323E1">
        <w:rPr>
          <w:rFonts w:eastAsia="Times New Roman" w:cstheme="minorHAnsi"/>
          <w:b/>
          <w:bCs/>
          <w:color w:val="000000" w:themeColor="text1"/>
          <w:szCs w:val="20"/>
          <w:bdr w:val="none" w:sz="0" w:space="0" w:color="auto" w:frame="1"/>
        </w:rPr>
        <w:t>O—Z </w:t>
      </w:r>
      <w:r w:rsidRPr="00B323E1">
        <w:rPr>
          <w:rFonts w:eastAsia="Times New Roman" w:cstheme="minorHAnsi"/>
          <w:b/>
          <w:bCs/>
          <w:color w:val="000000" w:themeColor="text1"/>
          <w:szCs w:val="20"/>
          <w:bdr w:val="none" w:sz="0" w:space="0" w:color="auto" w:frame="1"/>
        </w:rPr>
        <w:br/>
      </w:r>
      <w:hyperlink r:id="rId24" w:anchor="Pandemic-and-All" w:history="1">
        <w:r w:rsidRPr="00B323E1">
          <w:rPr>
            <w:rFonts w:eastAsia="Times New Roman" w:cstheme="minorHAnsi"/>
            <w:color w:val="0F88B8"/>
            <w:szCs w:val="20"/>
            <w:u w:val="single"/>
            <w:bdr w:val="none" w:sz="0" w:space="0" w:color="auto" w:frame="1"/>
          </w:rPr>
          <w:t>Pandemic and All-Hazards Preparedness Act (PAHPA)</w:t>
        </w:r>
      </w:hyperlink>
      <w:r w:rsidRPr="00B323E1">
        <w:rPr>
          <w:rFonts w:eastAsia="Times New Roman" w:cstheme="minorHAnsi"/>
          <w:color w:val="737373"/>
          <w:szCs w:val="20"/>
        </w:rPr>
        <w:t> </w:t>
      </w:r>
      <w:r w:rsidRPr="00B323E1">
        <w:rPr>
          <w:rFonts w:eastAsia="Times New Roman" w:cstheme="minorHAnsi"/>
          <w:color w:val="737373"/>
          <w:szCs w:val="20"/>
        </w:rPr>
        <w:br/>
      </w:r>
      <w:hyperlink r:id="rId25" w:anchor="Pandemic-Strategies" w:history="1">
        <w:r w:rsidRPr="00B323E1">
          <w:rPr>
            <w:rFonts w:eastAsia="Times New Roman" w:cstheme="minorHAnsi"/>
            <w:color w:val="0F88B8"/>
            <w:szCs w:val="20"/>
            <w:u w:val="single"/>
            <w:bdr w:val="none" w:sz="0" w:space="0" w:color="auto" w:frame="1"/>
          </w:rPr>
          <w:t>Pandemic Strategies and Plans</w:t>
        </w:r>
      </w:hyperlink>
      <w:r w:rsidRPr="00B323E1">
        <w:rPr>
          <w:rFonts w:eastAsia="Times New Roman" w:cstheme="minorHAnsi"/>
          <w:color w:val="737373"/>
          <w:szCs w:val="20"/>
        </w:rPr>
        <w:t> </w:t>
      </w:r>
      <w:r w:rsidRPr="00B323E1">
        <w:rPr>
          <w:rFonts w:eastAsia="Times New Roman" w:cstheme="minorHAnsi"/>
          <w:color w:val="737373"/>
          <w:szCs w:val="20"/>
        </w:rPr>
        <w:br/>
      </w:r>
      <w:hyperlink r:id="rId26" w:anchor="Public-Health-Service" w:history="1">
        <w:r w:rsidRPr="00B323E1">
          <w:rPr>
            <w:rFonts w:eastAsia="Times New Roman" w:cstheme="minorHAnsi"/>
            <w:color w:val="0F88B8"/>
            <w:szCs w:val="20"/>
            <w:u w:val="single"/>
            <w:bdr w:val="none" w:sz="0" w:space="0" w:color="auto" w:frame="1"/>
          </w:rPr>
          <w:t>Public Health Service Act, Section 319—Authorities Related to Public Health Emergencies</w:t>
        </w:r>
      </w:hyperlink>
      <w:r w:rsidRPr="00B323E1">
        <w:rPr>
          <w:rFonts w:eastAsia="Times New Roman" w:cstheme="minorHAnsi"/>
          <w:color w:val="737373"/>
          <w:szCs w:val="20"/>
        </w:rPr>
        <w:t> </w:t>
      </w:r>
      <w:r w:rsidRPr="00B323E1">
        <w:rPr>
          <w:rFonts w:eastAsia="Times New Roman" w:cstheme="minorHAnsi"/>
          <w:color w:val="737373"/>
          <w:szCs w:val="20"/>
        </w:rPr>
        <w:br/>
      </w:r>
      <w:hyperlink r:id="rId27" w:anchor="Public-Readiness" w:history="1">
        <w:r w:rsidRPr="00B323E1">
          <w:rPr>
            <w:rFonts w:eastAsia="Times New Roman" w:cstheme="minorHAnsi"/>
            <w:color w:val="0F88B8"/>
            <w:szCs w:val="20"/>
            <w:u w:val="single"/>
            <w:bdr w:val="none" w:sz="0" w:space="0" w:color="auto" w:frame="1"/>
          </w:rPr>
          <w:t>Public Readiness and Emergency Preparedness Act (PREP Act)</w:t>
        </w:r>
      </w:hyperlink>
      <w:r w:rsidRPr="00B323E1">
        <w:rPr>
          <w:rFonts w:eastAsia="Times New Roman" w:cstheme="minorHAnsi"/>
          <w:color w:val="737373"/>
          <w:szCs w:val="20"/>
        </w:rPr>
        <w:t> </w:t>
      </w:r>
      <w:r w:rsidRPr="00B323E1">
        <w:rPr>
          <w:rFonts w:eastAsia="Times New Roman" w:cstheme="minorHAnsi"/>
          <w:color w:val="737373"/>
          <w:szCs w:val="20"/>
        </w:rPr>
        <w:br/>
      </w:r>
      <w:hyperlink r:id="rId28" w:anchor="Scope-of-Practice" w:history="1">
        <w:r w:rsidRPr="00B323E1">
          <w:rPr>
            <w:rFonts w:eastAsia="Times New Roman" w:cstheme="minorHAnsi"/>
            <w:color w:val="0F88B8"/>
            <w:szCs w:val="20"/>
            <w:u w:val="single"/>
            <w:bdr w:val="none" w:sz="0" w:space="0" w:color="auto" w:frame="1"/>
          </w:rPr>
          <w:t>Scope of Practice Resources</w:t>
        </w:r>
      </w:hyperlink>
      <w:r w:rsidRPr="00B323E1">
        <w:rPr>
          <w:rFonts w:eastAsia="Times New Roman" w:cstheme="minorHAnsi"/>
          <w:color w:val="737373"/>
          <w:szCs w:val="20"/>
        </w:rPr>
        <w:t> </w:t>
      </w:r>
      <w:r w:rsidRPr="00B323E1">
        <w:rPr>
          <w:rFonts w:eastAsia="Times New Roman" w:cstheme="minorHAnsi"/>
          <w:color w:val="737373"/>
          <w:szCs w:val="20"/>
        </w:rPr>
        <w:br/>
      </w:r>
      <w:hyperlink r:id="rId29" w:anchor="Social-Security" w:history="1">
        <w:r w:rsidRPr="00B323E1">
          <w:rPr>
            <w:rFonts w:eastAsia="Times New Roman" w:cstheme="minorHAnsi"/>
            <w:color w:val="0F88B8"/>
            <w:szCs w:val="20"/>
            <w:u w:val="single"/>
            <w:bdr w:val="none" w:sz="0" w:space="0" w:color="auto" w:frame="1"/>
          </w:rPr>
          <w:t>Social Security Act, Section 1135</w:t>
        </w:r>
      </w:hyperlink>
      <w:r w:rsidRPr="00B323E1">
        <w:rPr>
          <w:rFonts w:eastAsia="Times New Roman" w:cstheme="minorHAnsi"/>
          <w:color w:val="737373"/>
          <w:szCs w:val="20"/>
        </w:rPr>
        <w:t> </w:t>
      </w:r>
      <w:r w:rsidRPr="00B323E1">
        <w:rPr>
          <w:rFonts w:eastAsia="Times New Roman" w:cstheme="minorHAnsi"/>
          <w:color w:val="737373"/>
          <w:szCs w:val="20"/>
        </w:rPr>
        <w:br/>
      </w:r>
      <w:hyperlink r:id="rId30" w:anchor="Uniform-Emergency" w:history="1">
        <w:r w:rsidRPr="00B323E1">
          <w:rPr>
            <w:rFonts w:eastAsia="Times New Roman" w:cstheme="minorHAnsi"/>
            <w:color w:val="0F88B8"/>
            <w:szCs w:val="20"/>
            <w:u w:val="single"/>
            <w:bdr w:val="none" w:sz="0" w:space="0" w:color="auto" w:frame="1"/>
          </w:rPr>
          <w:t>Uniform Emergency Volunteer Health Practitioners Act (UEVHPA) </w:t>
        </w:r>
      </w:hyperlink>
      <w:r w:rsidRPr="00B323E1">
        <w:rPr>
          <w:rFonts w:eastAsia="Times New Roman" w:cstheme="minorHAnsi"/>
          <w:color w:val="737373"/>
          <w:szCs w:val="20"/>
        </w:rPr>
        <w:br/>
      </w:r>
      <w:hyperlink r:id="rId31" w:anchor="Vaccination-Resources" w:history="1">
        <w:r w:rsidRPr="00B323E1">
          <w:rPr>
            <w:rFonts w:eastAsia="Times New Roman" w:cstheme="minorHAnsi"/>
            <w:color w:val="0F88B8"/>
            <w:szCs w:val="20"/>
            <w:u w:val="single"/>
            <w:bdr w:val="none" w:sz="0" w:space="0" w:color="auto" w:frame="1"/>
          </w:rPr>
          <w:t>Vaccination Resources</w:t>
        </w:r>
      </w:hyperlink>
      <w:r w:rsidRPr="00B323E1">
        <w:rPr>
          <w:rFonts w:eastAsia="Times New Roman" w:cstheme="minorHAnsi"/>
          <w:color w:val="737373"/>
          <w:szCs w:val="20"/>
        </w:rPr>
        <w:t> </w:t>
      </w:r>
      <w:r w:rsidRPr="00B323E1">
        <w:rPr>
          <w:rFonts w:eastAsia="Times New Roman" w:cstheme="minorHAnsi"/>
          <w:color w:val="737373"/>
          <w:szCs w:val="20"/>
        </w:rPr>
        <w:br/>
      </w:r>
      <w:hyperlink r:id="rId32" w:anchor="Vaccine-Injury" w:history="1">
        <w:r w:rsidRPr="00B323E1">
          <w:rPr>
            <w:rFonts w:eastAsia="Times New Roman" w:cstheme="minorHAnsi"/>
            <w:color w:val="0F88B8"/>
            <w:szCs w:val="20"/>
            <w:u w:val="single"/>
            <w:bdr w:val="none" w:sz="0" w:space="0" w:color="auto" w:frame="1"/>
          </w:rPr>
          <w:t>Vaccine Injury Compensation Program (VICP)</w:t>
        </w:r>
      </w:hyperlink>
      <w:r w:rsidRPr="00B323E1">
        <w:rPr>
          <w:rFonts w:eastAsia="Times New Roman" w:cstheme="minorHAnsi"/>
          <w:color w:val="737373"/>
          <w:szCs w:val="20"/>
        </w:rPr>
        <w:t> </w:t>
      </w:r>
      <w:r w:rsidRPr="00B323E1">
        <w:rPr>
          <w:rFonts w:eastAsia="Times New Roman" w:cstheme="minorHAnsi"/>
          <w:color w:val="737373"/>
          <w:szCs w:val="20"/>
        </w:rPr>
        <w:br/>
      </w:r>
      <w:hyperlink r:id="rId33" w:anchor="Volunteer-Protection" w:history="1">
        <w:r w:rsidRPr="00B323E1">
          <w:rPr>
            <w:rFonts w:eastAsia="Times New Roman" w:cstheme="minorHAnsi"/>
            <w:color w:val="0F88B8"/>
            <w:szCs w:val="20"/>
            <w:u w:val="single"/>
            <w:bdr w:val="none" w:sz="0" w:space="0" w:color="auto" w:frame="1"/>
          </w:rPr>
          <w:t>Volunteer Protection Act (VPA) </w:t>
        </w:r>
      </w:hyperlink>
      <w:r w:rsidRPr="00B323E1">
        <w:rPr>
          <w:rFonts w:eastAsia="Times New Roman" w:cstheme="minorHAnsi"/>
          <w:color w:val="737373"/>
          <w:szCs w:val="20"/>
        </w:rPr>
        <w:br/>
      </w:r>
      <w:hyperlink r:id="rId34" w:anchor="Workers-Compensation" w:history="1">
        <w:r w:rsidRPr="00B323E1">
          <w:rPr>
            <w:rFonts w:eastAsia="Times New Roman" w:cstheme="minorHAnsi"/>
            <w:color w:val="0F88B8"/>
            <w:szCs w:val="20"/>
            <w:u w:val="single"/>
            <w:bdr w:val="none" w:sz="0" w:space="0" w:color="auto" w:frame="1"/>
          </w:rPr>
          <w:t>Workers’ Compensation and Disability </w:t>
        </w:r>
      </w:hyperlink>
      <w:r w:rsidRPr="00B323E1">
        <w:rPr>
          <w:rFonts w:eastAsia="Times New Roman" w:cstheme="minorHAnsi"/>
          <w:color w:val="737373"/>
          <w:szCs w:val="20"/>
        </w:rPr>
        <w:br/>
      </w:r>
      <w:r w:rsidRPr="00B323E1">
        <w:rPr>
          <w:rFonts w:eastAsia="Times New Roman" w:cstheme="minorHAnsi"/>
          <w:color w:val="737373"/>
          <w:szCs w:val="20"/>
        </w:rPr>
        <w:br/>
      </w:r>
      <w:r w:rsidRPr="007D0859">
        <w:rPr>
          <w:rFonts w:ascii="Arial" w:eastAsia="Times New Roman" w:hAnsi="Arial" w:cs="Arial"/>
          <w:color w:val="737373"/>
          <w:sz w:val="20"/>
          <w:szCs w:val="20"/>
        </w:rPr>
        <w:t>________________________________________________________________________________</w:t>
      </w:r>
      <w:r w:rsidRPr="007D0859">
        <w:rPr>
          <w:rFonts w:ascii="Arial" w:eastAsia="Times New Roman" w:hAnsi="Arial" w:cs="Arial"/>
          <w:color w:val="737373"/>
          <w:sz w:val="20"/>
          <w:szCs w:val="20"/>
        </w:rPr>
        <w:br/>
      </w:r>
      <w:r w:rsidRPr="00EC48FD">
        <w:rPr>
          <w:rFonts w:eastAsia="Times New Roman" w:cstheme="minorHAnsi"/>
          <w:color w:val="737373"/>
        </w:rPr>
        <w:br/>
      </w:r>
    </w:p>
    <w:p w14:paraId="508F708F" w14:textId="77777777" w:rsidR="0050230C" w:rsidRPr="00EC48FD" w:rsidRDefault="0050230C" w:rsidP="007D0859">
      <w:pPr>
        <w:shd w:val="clear" w:color="auto" w:fill="FFFFFF"/>
        <w:spacing w:line="240" w:lineRule="atLeast"/>
        <w:textAlignment w:val="baseline"/>
        <w:rPr>
          <w:rFonts w:eastAsia="Times New Roman" w:cstheme="minorHAnsi"/>
          <w:color w:val="737373"/>
        </w:rPr>
      </w:pPr>
    </w:p>
    <w:p w14:paraId="29DE09D9" w14:textId="77777777" w:rsidR="0050230C" w:rsidRPr="00EC48FD" w:rsidRDefault="0050230C" w:rsidP="007D0859">
      <w:pPr>
        <w:shd w:val="clear" w:color="auto" w:fill="FFFFFF"/>
        <w:spacing w:line="240" w:lineRule="atLeast"/>
        <w:textAlignment w:val="baseline"/>
        <w:rPr>
          <w:rFonts w:eastAsia="Times New Roman" w:cstheme="minorHAnsi"/>
          <w:color w:val="737373"/>
        </w:rPr>
      </w:pPr>
    </w:p>
    <w:p w14:paraId="462C92E3"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General Resources and Compilations</w:t>
      </w:r>
    </w:p>
    <w:p w14:paraId="370BEC20"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Governmental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Centers for Disease Control and Prevention. Public Health Law Program. “Selected Federal Legal Authorities Pertinent to Public Health Emergencies.” September 2009. Available at </w:t>
      </w:r>
      <w:hyperlink r:id="rId35" w:tgtFrame="_blank" w:tooltip="http://www.cdc.gov/phlp/docs/ph-emergencies.pdf" w:history="1">
        <w:r w:rsidRPr="00EC48FD">
          <w:rPr>
            <w:rFonts w:eastAsia="Times New Roman" w:cstheme="minorHAnsi"/>
            <w:color w:val="0F88B8"/>
            <w:u w:val="single"/>
            <w:bdr w:val="none" w:sz="0" w:space="0" w:color="auto" w:frame="1"/>
          </w:rPr>
          <w:t>http://www.cdc.gov/phlp/docs/ph-emergencies.pdf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737373"/>
        </w:rPr>
        <w:br/>
      </w:r>
      <w:r w:rsidRPr="00EC48FD">
        <w:rPr>
          <w:rFonts w:eastAsia="Times New Roman" w:cstheme="minorHAnsi"/>
          <w:color w:val="000000" w:themeColor="text1"/>
        </w:rPr>
        <w:t>HHS Office of the Assistant Secretary for Preparedness and Response. “Legal Authority and Related Guidance” webpage. Available at </w:t>
      </w:r>
      <w:hyperlink r:id="rId36" w:tgtFrame="_blank" w:tooltip="http://www.phe.gov/Preparedness/planning/authority/Pages/default.aspx" w:history="1">
        <w:r w:rsidRPr="00EC48FD">
          <w:rPr>
            <w:rFonts w:eastAsia="Times New Roman" w:cstheme="minorHAnsi"/>
            <w:color w:val="0F88B8"/>
            <w:u w:val="single"/>
            <w:bdr w:val="none" w:sz="0" w:space="0" w:color="auto" w:frame="1"/>
          </w:rPr>
          <w:t>http://www.phe.gov/Preparedness/planning/authority/Pages/default.aspx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HHS Office of the Assistant Secretary for Preparedness and Response. “Legal Authority of the Secretary” webpage. Available at </w:t>
      </w:r>
      <w:hyperlink r:id="rId37" w:tgtFrame="_blank" w:tooltip="http://www.phe.gov/preparedness/support/secauthority/Pages/default.aspx" w:history="1">
        <w:r w:rsidRPr="00EC48FD">
          <w:rPr>
            <w:rFonts w:eastAsia="Times New Roman" w:cstheme="minorHAnsi"/>
            <w:color w:val="0F88B8"/>
            <w:u w:val="single"/>
            <w:bdr w:val="none" w:sz="0" w:space="0" w:color="auto" w:frame="1"/>
          </w:rPr>
          <w:t>http://www.phe.gov/preparedness/support/secauthority/Pages/default.aspx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Lister SA. Congressional Research Service. </w:t>
      </w:r>
      <w:r w:rsidRPr="00EC48FD">
        <w:rPr>
          <w:rFonts w:eastAsia="Times New Roman" w:cstheme="minorHAnsi"/>
          <w:i/>
          <w:iCs/>
          <w:color w:val="000000" w:themeColor="text1"/>
          <w:bdr w:val="none" w:sz="0" w:space="0" w:color="auto" w:frame="1"/>
        </w:rPr>
        <w:t>The Public Health and Medical Response to Disasters: Federal Authority and Funding </w:t>
      </w:r>
      <w:r w:rsidRPr="00EC48FD">
        <w:rPr>
          <w:rFonts w:eastAsia="Times New Roman" w:cstheme="minorHAnsi"/>
          <w:color w:val="000000" w:themeColor="text1"/>
        </w:rPr>
        <w:t>(RL33579). August 1, 2008. Available at </w:t>
      </w:r>
      <w:hyperlink r:id="rId38" w:tgtFrame="_blank" w:tooltip="http://digital.library.unt.edu/ark:/67531/metacrs9495/m1/1/high_res_d/RL33579_2006Jul28.pdf" w:history="1">
        <w:r w:rsidRPr="00EC48FD">
          <w:rPr>
            <w:rFonts w:eastAsia="Times New Roman" w:cstheme="minorHAnsi"/>
            <w:color w:val="0F88B8"/>
            <w:u w:val="single"/>
            <w:bdr w:val="none" w:sz="0" w:space="0" w:color="auto" w:frame="1"/>
          </w:rPr>
          <w:t>http://digital.library.unt.edu/ark:/67531/metacrs9495/m1/1/high_res_d/RL33579_2006Jul28.pdf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roofErr w:type="spellStart"/>
      <w:r w:rsidRPr="00EC48FD">
        <w:rPr>
          <w:rFonts w:eastAsia="Times New Roman" w:cstheme="minorHAnsi"/>
          <w:color w:val="000000" w:themeColor="text1"/>
        </w:rPr>
        <w:t>Swendiman</w:t>
      </w:r>
      <w:proofErr w:type="spellEnd"/>
      <w:r w:rsidRPr="00EC48FD">
        <w:rPr>
          <w:rFonts w:eastAsia="Times New Roman" w:cstheme="minorHAnsi"/>
          <w:color w:val="000000" w:themeColor="text1"/>
        </w:rPr>
        <w:t xml:space="preserve"> KS and Jones NL. Congressional Research Service. </w:t>
      </w:r>
      <w:r w:rsidRPr="00EC48FD">
        <w:rPr>
          <w:rFonts w:eastAsia="Times New Roman" w:cstheme="minorHAnsi"/>
          <w:i/>
          <w:iCs/>
          <w:color w:val="000000" w:themeColor="text1"/>
          <w:bdr w:val="none" w:sz="0" w:space="0" w:color="auto" w:frame="1"/>
        </w:rPr>
        <w:t>The 2009 Influenza Pandemic: Selected Legal Issues </w:t>
      </w:r>
      <w:r w:rsidRPr="00EC48FD">
        <w:rPr>
          <w:rFonts w:eastAsia="Times New Roman" w:cstheme="minorHAnsi"/>
          <w:color w:val="000000" w:themeColor="text1"/>
        </w:rPr>
        <w:t>(R40560). June 15, 2009. Available at </w:t>
      </w:r>
      <w:hyperlink r:id="rId39" w:tgtFrame="_blank" w:tooltip="http://digital.library.unt.edu/ark:/67531/metadc26152/m1/1/high_res_d/R40560_2009Jun15.pdf" w:history="1">
        <w:r w:rsidRPr="00EC48FD">
          <w:rPr>
            <w:rFonts w:eastAsia="Times New Roman" w:cstheme="minorHAnsi"/>
            <w:color w:val="0F88B8"/>
            <w:u w:val="single"/>
            <w:bdr w:val="none" w:sz="0" w:space="0" w:color="auto" w:frame="1"/>
          </w:rPr>
          <w:t>http://digital.library.unt.edu/ark:/67531/metadc26152/m1/1/high_res_d/R40560_2009Jun15.pdf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American Health Lawyers Association. </w:t>
      </w:r>
      <w:r w:rsidRPr="00EC48FD">
        <w:rPr>
          <w:rFonts w:eastAsia="Times New Roman" w:cstheme="minorHAnsi"/>
          <w:i/>
          <w:iCs/>
          <w:color w:val="000000" w:themeColor="text1"/>
          <w:bdr w:val="none" w:sz="0" w:space="0" w:color="auto" w:frame="1"/>
        </w:rPr>
        <w:t>Emergency Preparedness Toolkit</w:t>
      </w:r>
      <w:r w:rsidRPr="00EC48FD">
        <w:rPr>
          <w:rFonts w:eastAsia="Times New Roman" w:cstheme="minorHAnsi"/>
          <w:color w:val="000000" w:themeColor="text1"/>
        </w:rPr>
        <w:t>. May 4, 2010. Available at </w:t>
      </w:r>
      <w:hyperlink r:id="rId40" w:tgtFrame="_blank" w:tooltip="http://www.healthlawyers.org/Members/PracticeGroups/THAMC/EmergencyPreparednessToolkit/Pages/default.aspx" w:history="1">
        <w:r w:rsidRPr="00EC48FD">
          <w:rPr>
            <w:rFonts w:eastAsia="Times New Roman" w:cstheme="minorHAnsi"/>
            <w:color w:val="0F88B8"/>
            <w:u w:val="single"/>
            <w:bdr w:val="none" w:sz="0" w:space="0" w:color="auto" w:frame="1"/>
          </w:rPr>
          <w:t>http://www.healthlawyers.org/Members/PracticeGroups/THAMC/EmergencyPreparednessToolkit/Pages/default.aspx</w:t>
        </w:r>
      </w:hyperlink>
      <w:r w:rsidRPr="00EC48FD">
        <w:rPr>
          <w:rFonts w:eastAsia="Times New Roman" w:cstheme="minorHAnsi"/>
          <w:color w:val="737373"/>
        </w:rPr>
        <w:t>. </w:t>
      </w:r>
      <w:r w:rsidRPr="00EC48FD">
        <w:rPr>
          <w:rFonts w:eastAsia="Times New Roman" w:cstheme="minorHAnsi"/>
          <w:color w:val="000000" w:themeColor="text1"/>
        </w:rPr>
        <w:br/>
      </w:r>
      <w:r w:rsidRPr="00EC48FD">
        <w:rPr>
          <w:rFonts w:eastAsia="Times New Roman" w:cstheme="minorHAnsi"/>
          <w:color w:val="000000" w:themeColor="text1"/>
        </w:rPr>
        <w:br/>
      </w:r>
    </w:p>
    <w:p w14:paraId="5F6E6369"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At-Risk Individuals and Communities</w:t>
      </w:r>
    </w:p>
    <w:p w14:paraId="28E8A08B"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HHS Office of the Assistant Secretary for Preparedness and Response. “At-Risk Individuals, Behavioral Health, and Human Services Coordination” webpage. Available at </w:t>
      </w:r>
      <w:hyperlink r:id="rId41" w:tgtFrame="_blank" w:tooltip="http://www.phe.gov/Preparedness/planning/abc/Pages/default.aspx" w:history="1">
        <w:r w:rsidRPr="00EC48FD">
          <w:rPr>
            <w:rFonts w:eastAsia="Times New Roman" w:cstheme="minorHAnsi"/>
            <w:color w:val="0F88B8"/>
            <w:u w:val="single"/>
            <w:bdr w:val="none" w:sz="0" w:space="0" w:color="auto" w:frame="1"/>
          </w:rPr>
          <w:t>http://www.phe.gov/Preparedness/planning/abc/Pages/default.aspx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Association of State and Territorial Health Officials. “At-Risk Populations Project” webpage. Available at </w:t>
      </w:r>
      <w:hyperlink r:id="rId42" w:tooltip="http://www.astho.org/Programs/Infectious-Disease/At-Risk-Populations/" w:history="1">
        <w:r w:rsidRPr="00EC48FD">
          <w:rPr>
            <w:rFonts w:eastAsia="Times New Roman" w:cstheme="minorHAnsi"/>
            <w:color w:val="0F88B8"/>
            <w:u w:val="single"/>
            <w:bdr w:val="none" w:sz="0" w:space="0" w:color="auto" w:frame="1"/>
          </w:rPr>
          <w:t>http://www.astho.org/Programs/Infectious-Disease/At-Risk-Populations/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7F63AF76"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Countermeasures Injury Compensation Program (CICP)</w:t>
      </w:r>
    </w:p>
    <w:p w14:paraId="2E4F4033" w14:textId="77777777" w:rsidR="0050230C" w:rsidRPr="00EC48FD" w:rsidRDefault="0050230C" w:rsidP="007D0859">
      <w:pPr>
        <w:shd w:val="clear" w:color="auto" w:fill="FFFFFF"/>
        <w:spacing w:after="240" w:line="240" w:lineRule="atLeast"/>
        <w:textAlignment w:val="baseline"/>
        <w:rPr>
          <w:rFonts w:eastAsia="Times New Roman" w:cstheme="minorHAnsi"/>
          <w:color w:val="737373"/>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Health Resources and Services Administration. “Countermeasures Injury Compensation Program” webpage. Available at </w:t>
      </w:r>
      <w:hyperlink r:id="rId43" w:tgtFrame="_blank" w:tooltip="http://www.hrsa.gov/cicp/" w:history="1">
        <w:r w:rsidRPr="00EC48FD">
          <w:rPr>
            <w:rFonts w:eastAsia="Times New Roman" w:cstheme="minorHAnsi"/>
            <w:color w:val="0F88B8"/>
            <w:u w:val="single"/>
            <w:bdr w:val="none" w:sz="0" w:space="0" w:color="auto" w:frame="1"/>
          </w:rPr>
          <w:t>http://www.hrsa.gov/cicp/</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lastRenderedPageBreak/>
        <w:br/>
      </w:r>
      <w:r w:rsidRPr="00EC48FD">
        <w:rPr>
          <w:rFonts w:eastAsia="Times New Roman" w:cstheme="minorHAnsi"/>
          <w:b/>
          <w:bCs/>
          <w:color w:val="000000" w:themeColor="text1"/>
          <w:bdr w:val="none" w:sz="0" w:space="0" w:color="auto" w:frame="1"/>
        </w:rPr>
        <w:t>Rules and Regulations </w:t>
      </w:r>
      <w:r w:rsidRPr="00EC48FD">
        <w:rPr>
          <w:rFonts w:eastAsia="Times New Roman" w:cstheme="minorHAnsi"/>
          <w:b/>
          <w:bCs/>
          <w:color w:val="000000" w:themeColor="text1"/>
          <w:bdr w:val="none" w:sz="0" w:space="0" w:color="auto" w:frame="1"/>
        </w:rPr>
        <w:br/>
        <w:t>CICP Administrative Rules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A correction to the Interim Final Rules was published on Thursday, October 21, 2010. Available at </w:t>
      </w:r>
      <w:hyperlink r:id="rId44" w:tgtFrame="_blank" w:tooltip="http://www.hrsa.gov/gethealthcare/conditions/countermeasurescomp/cicp_final_rule_correction.pdf" w:history="1">
        <w:r w:rsidRPr="00EC48FD">
          <w:rPr>
            <w:rFonts w:eastAsia="Times New Roman" w:cstheme="minorHAnsi"/>
            <w:color w:val="0F88B8"/>
            <w:u w:val="single"/>
            <w:bdr w:val="none" w:sz="0" w:space="0" w:color="auto" w:frame="1"/>
          </w:rPr>
          <w:t>http://www.hrsa.gov/gethealthcare/conditions/countermeasurescomp/cicp_final_rule_correction.pdf</w:t>
        </w:r>
      </w:hyperlink>
      <w:r w:rsidRPr="00EC48FD">
        <w:rPr>
          <w:rFonts w:eastAsia="Times New Roman" w:cstheme="minorHAnsi"/>
          <w:color w:val="737373"/>
        </w:rPr>
        <w:t>. </w:t>
      </w:r>
      <w:r w:rsidRPr="00EC48FD">
        <w:rPr>
          <w:rFonts w:eastAsia="Times New Roman" w:cstheme="minorHAnsi"/>
          <w:color w:val="000000" w:themeColor="text1"/>
        </w:rPr>
        <w:br/>
      </w:r>
      <w:r w:rsidRPr="00EC48FD">
        <w:rPr>
          <w:rFonts w:eastAsia="Times New Roman" w:cstheme="minorHAnsi"/>
          <w:color w:val="000000" w:themeColor="text1"/>
        </w:rPr>
        <w:br/>
        <w:t>The CICP Administrative Implementation Interim Final Rule was published in the Federal Register on Friday, October 15, 2010. Available at</w:t>
      </w:r>
      <w:r w:rsidRPr="00EC48FD">
        <w:rPr>
          <w:rFonts w:eastAsia="Times New Roman" w:cstheme="minorHAnsi"/>
          <w:color w:val="737373"/>
        </w:rPr>
        <w:t> </w:t>
      </w:r>
      <w:hyperlink r:id="rId45" w:tgtFrame="_blank" w:tooltip="http://www.hrsa.gov/gethealthcare/conditions/countermeasurescomp/cicp_admin_final_rule.pdf" w:history="1">
        <w:r w:rsidRPr="00EC48FD">
          <w:rPr>
            <w:rFonts w:eastAsia="Times New Roman" w:cstheme="minorHAnsi"/>
            <w:color w:val="0F88B8"/>
            <w:u w:val="single"/>
            <w:bdr w:val="none" w:sz="0" w:space="0" w:color="auto" w:frame="1"/>
          </w:rPr>
          <w:t>http://www.hrsa.gov/gethealthcare/conditions/countermeasurescomp/cicp_admin_final_rule.pdf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737373"/>
        </w:rPr>
        <w:br/>
      </w:r>
    </w:p>
    <w:p w14:paraId="315EA198"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Emergency Management Assistance Compact (EMAC)</w:t>
      </w:r>
    </w:p>
    <w:p w14:paraId="166A1F7C"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Emergency Management Assistance Compact. Pub. L. No. 104-321. Available at </w:t>
      </w:r>
      <w:hyperlink r:id="rId46" w:tgtFrame="_blank" w:tooltip="http://www.gpo.gov/fdsys/pkg/PLAW-104publ321/pdf/PLAW-104publ321.pdf" w:history="1">
        <w:r w:rsidRPr="00EC48FD">
          <w:rPr>
            <w:rFonts w:eastAsia="Times New Roman" w:cstheme="minorHAnsi"/>
            <w:color w:val="0F88B8"/>
            <w:u w:val="single"/>
            <w:bdr w:val="none" w:sz="0" w:space="0" w:color="auto" w:frame="1"/>
          </w:rPr>
          <w:t>http://www.gpo.gov/fdsys/pkg/PLAW-104publ321/pdf/PLAW-104publ321.pdf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Key Documents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Emergency Management Assistance Compact. Articles of Agreement. Available at </w:t>
      </w:r>
      <w:hyperlink r:id="rId47" w:tgtFrame="_blank" w:tooltip="http://www.emacweb.org" w:history="1">
        <w:r w:rsidRPr="00EC48FD">
          <w:rPr>
            <w:rFonts w:eastAsia="Times New Roman" w:cstheme="minorHAnsi"/>
            <w:color w:val="0F88B8"/>
            <w:u w:val="single"/>
            <w:bdr w:val="none" w:sz="0" w:space="0" w:color="auto" w:frame="1"/>
          </w:rPr>
          <w:t>http://www.emacweb.org</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Summaries of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Government Accountability Office. </w:t>
      </w:r>
      <w:r w:rsidRPr="00EC48FD">
        <w:rPr>
          <w:rFonts w:eastAsia="Times New Roman" w:cstheme="minorHAnsi"/>
          <w:i/>
          <w:iCs/>
          <w:color w:val="000000" w:themeColor="text1"/>
          <w:bdr w:val="none" w:sz="0" w:space="0" w:color="auto" w:frame="1"/>
        </w:rPr>
        <w:t>Emergency Management Assistance Compact: Enhancing EMAC's Collaborative and Administrative Capacity Should Improve National Disaster Response </w:t>
      </w:r>
      <w:r w:rsidRPr="00EC48FD">
        <w:rPr>
          <w:rFonts w:eastAsia="Times New Roman" w:cstheme="minorHAnsi"/>
          <w:color w:val="000000" w:themeColor="text1"/>
        </w:rPr>
        <w:t>(GAO-07-854). June 2007. Available at </w:t>
      </w:r>
      <w:hyperlink r:id="rId48" w:tgtFrame="_blank" w:tooltip="http://www.gao.gov/new.items/d07854.pdf" w:history="1">
        <w:r w:rsidRPr="00EC48FD">
          <w:rPr>
            <w:rFonts w:eastAsia="Times New Roman" w:cstheme="minorHAnsi"/>
            <w:color w:val="0F88B8"/>
            <w:u w:val="single"/>
            <w:bdr w:val="none" w:sz="0" w:space="0" w:color="auto" w:frame="1"/>
          </w:rPr>
          <w:t>http://www.gao.gov/new.items/d07854.pdf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Lindsay B. Congressional Research Service. </w:t>
      </w:r>
      <w:r w:rsidRPr="00EC48FD">
        <w:rPr>
          <w:rFonts w:eastAsia="Times New Roman" w:cstheme="minorHAnsi"/>
          <w:i/>
          <w:iCs/>
          <w:color w:val="000000" w:themeColor="text1"/>
          <w:bdr w:val="none" w:sz="0" w:space="0" w:color="auto" w:frame="1"/>
        </w:rPr>
        <w:t>The Emergency Management Assistance Compact (EMAC): An Overview</w:t>
      </w:r>
      <w:r w:rsidRPr="00EC48FD">
        <w:rPr>
          <w:rFonts w:eastAsia="Times New Roman" w:cstheme="minorHAnsi"/>
          <w:color w:val="000000" w:themeColor="text1"/>
        </w:rPr>
        <w:t> (RL34585). July 21, 2008. Available at </w:t>
      </w:r>
      <w:hyperlink r:id="rId49" w:tgtFrame="_blank" w:tooltip="http://www.policyarchive.org/handle/10207/bitstreams/20206.pdf" w:history="1">
        <w:r w:rsidRPr="00EC48FD">
          <w:rPr>
            <w:rFonts w:eastAsia="Times New Roman" w:cstheme="minorHAnsi"/>
            <w:color w:val="0F88B8"/>
            <w:u w:val="single"/>
            <w:bdr w:val="none" w:sz="0" w:space="0" w:color="auto" w:frame="1"/>
          </w:rPr>
          <w:t>http://www.policyarchive.org/handle/10207/bitstreams/20206.pdf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Emergency Management Assistance Compact website. Available at </w:t>
      </w:r>
      <w:hyperlink r:id="rId50" w:tgtFrame="_blank" w:tooltip="http://www.emacweb.org" w:history="1">
        <w:r w:rsidRPr="00EC48FD">
          <w:rPr>
            <w:rFonts w:eastAsia="Times New Roman" w:cstheme="minorHAnsi"/>
            <w:color w:val="000000" w:themeColor="text1"/>
            <w:u w:val="single"/>
            <w:bdr w:val="none" w:sz="0" w:space="0" w:color="auto" w:frame="1"/>
          </w:rPr>
          <w:t>http://www.emacweb.org</w:t>
        </w:r>
      </w:hyperlink>
      <w:r w:rsidRPr="00EC48FD">
        <w:rPr>
          <w:rFonts w:eastAsia="Times New Roman" w:cstheme="minorHAnsi"/>
          <w:color w:val="000000" w:themeColor="text1"/>
        </w:rPr>
        <w:t>. </w:t>
      </w:r>
      <w:r w:rsidRPr="00EC48FD">
        <w:rPr>
          <w:rFonts w:eastAsia="Times New Roman" w:cstheme="minorHAnsi"/>
          <w:color w:val="000000" w:themeColor="text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CDC Public Health Law Program. “Mutual Aid” webpage. Available at </w:t>
      </w:r>
      <w:hyperlink r:id="rId51" w:tgtFrame="_blank" w:tooltip="http://www.cdc.gov/phlp/publications/topic/mutual_aid.html" w:history="1">
        <w:r w:rsidRPr="00EC48FD">
          <w:rPr>
            <w:rFonts w:eastAsia="Times New Roman" w:cstheme="minorHAnsi"/>
            <w:color w:val="0F88B8"/>
            <w:u w:val="single"/>
            <w:bdr w:val="none" w:sz="0" w:space="0" w:color="auto" w:frame="1"/>
          </w:rPr>
          <w:t>http://www.cdc.gov/phlp/publications/topic/mutual_aid.html</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Emergency Management Assistance Compact. </w:t>
      </w:r>
      <w:r w:rsidRPr="00EC48FD">
        <w:rPr>
          <w:rFonts w:eastAsia="Times New Roman" w:cstheme="minorHAnsi"/>
          <w:i/>
          <w:iCs/>
          <w:color w:val="000000" w:themeColor="text1"/>
          <w:bdr w:val="none" w:sz="0" w:space="0" w:color="auto" w:frame="1"/>
        </w:rPr>
        <w:t>Model Intrastate Mutual Aid Legislation</w:t>
      </w:r>
      <w:r w:rsidRPr="00EC48FD">
        <w:rPr>
          <w:rFonts w:eastAsia="Times New Roman" w:cstheme="minorHAnsi"/>
          <w:color w:val="000000" w:themeColor="text1"/>
        </w:rPr>
        <w:t> (March 2004). Available at </w:t>
      </w:r>
      <w:hyperlink r:id="rId52" w:tgtFrame="_blank" w:tooltip="http://www.emacweb.org" w:history="1">
        <w:r w:rsidRPr="00EC48FD">
          <w:rPr>
            <w:rFonts w:eastAsia="Times New Roman" w:cstheme="minorHAnsi"/>
            <w:color w:val="0F88B8"/>
            <w:u w:val="single"/>
            <w:bdr w:val="none" w:sz="0" w:space="0" w:color="auto" w:frame="1"/>
          </w:rPr>
          <w:t>http://www.emacweb.org</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Federal Emergency Management Agency. “Mutual Aid Agreements for Public Assistance and Fire Management Assistance” (Disaster Assistance Policy 9523.6). August 13, 2007. Available at </w:t>
      </w:r>
      <w:hyperlink r:id="rId53" w:tgtFrame="_blank" w:tooltip="http://www.fema.gov/9500-series-policy-publications/95236-mutual-aid-agreements-public-assistance-fire-management" w:history="1">
        <w:r w:rsidRPr="00EC48FD">
          <w:rPr>
            <w:rFonts w:eastAsia="Times New Roman" w:cstheme="minorHAnsi"/>
            <w:color w:val="0F88B8"/>
            <w:u w:val="single"/>
            <w:bdr w:val="none" w:sz="0" w:space="0" w:color="auto" w:frame="1"/>
          </w:rPr>
          <w:t>http://www.fema.gov/9500-series-policy-publications/95236-mutual-aid-agreements-public-assistance-fire-management</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Hodge J et al. </w:t>
      </w:r>
      <w:r w:rsidRPr="00EC48FD">
        <w:rPr>
          <w:rFonts w:eastAsia="Times New Roman" w:cstheme="minorHAnsi"/>
          <w:i/>
          <w:iCs/>
          <w:color w:val="000000" w:themeColor="text1"/>
          <w:bdr w:val="none" w:sz="0" w:space="0" w:color="auto" w:frame="1"/>
        </w:rPr>
        <w:t>Model Memorandum of Understanding Between Hospitals During Declared Emergencies</w:t>
      </w:r>
      <w:r w:rsidRPr="00EC48FD">
        <w:rPr>
          <w:rFonts w:eastAsia="Times New Roman" w:cstheme="minorHAnsi"/>
          <w:color w:val="000000" w:themeColor="text1"/>
        </w:rPr>
        <w:t xml:space="preserve">. </w:t>
      </w:r>
      <w:r w:rsidRPr="00EC48FD">
        <w:rPr>
          <w:rFonts w:eastAsia="Times New Roman" w:cstheme="minorHAnsi"/>
          <w:color w:val="000000" w:themeColor="text1"/>
        </w:rPr>
        <w:lastRenderedPageBreak/>
        <w:t>June 15, 2009. Available at </w:t>
      </w:r>
      <w:hyperlink r:id="rId54" w:tgtFrame="_blank" w:tooltip="http://www.bt.cdc.gov/planning/emac/pdf/PACER_Model_MOU.pdf" w:history="1">
        <w:r w:rsidRPr="00EC48FD">
          <w:rPr>
            <w:rFonts w:eastAsia="Times New Roman" w:cstheme="minorHAnsi"/>
            <w:color w:val="0F88B8"/>
            <w:u w:val="single"/>
            <w:bdr w:val="none" w:sz="0" w:space="0" w:color="auto" w:frame="1"/>
          </w:rPr>
          <w:t>http://www.bt.cdc.gov/planning/emac/pdf/PACER_Model_MOU.pdf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EPA. “Mutual Aid and Assistance” webpage. Available at </w:t>
      </w:r>
      <w:hyperlink r:id="rId55" w:tgtFrame="_blank" w:tooltip="http://water.epa.gov/infrastructure/watersecurity/mutualaid/index.cfm" w:history="1">
        <w:r w:rsidRPr="00EC48FD">
          <w:rPr>
            <w:rFonts w:eastAsia="Times New Roman" w:cstheme="minorHAnsi"/>
            <w:color w:val="0F88B8"/>
            <w:u w:val="single"/>
            <w:bdr w:val="none" w:sz="0" w:space="0" w:color="auto" w:frame="1"/>
          </w:rPr>
          <w:t>http://water.epa.gov/infrastructure/watersecurity/mutualaid/index.cfm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004694AB"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Emergency Use Authorization (EUA)</w:t>
      </w:r>
    </w:p>
    <w:p w14:paraId="2EC21593" w14:textId="77777777" w:rsidR="0050230C" w:rsidRPr="00EC48FD" w:rsidRDefault="0050230C" w:rsidP="007D0859">
      <w:pPr>
        <w:shd w:val="clear" w:color="auto" w:fill="FFFFFF"/>
        <w:spacing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Federal Food, Drug, and Cosmetic Act §564, as amended. Codified at 21 U.S.C. §564.</w:t>
      </w:r>
    </w:p>
    <w:p w14:paraId="66C27DBF" w14:textId="77777777" w:rsidR="0050230C" w:rsidRPr="00EC48FD" w:rsidRDefault="0050230C" w:rsidP="007D0859">
      <w:pPr>
        <w:shd w:val="clear" w:color="auto" w:fill="FFFFFF"/>
        <w:spacing w:line="240" w:lineRule="atLeast"/>
        <w:textAlignment w:val="baseline"/>
        <w:rPr>
          <w:rFonts w:eastAsia="Times New Roman" w:cstheme="minorHAnsi"/>
          <w:color w:val="000000" w:themeColor="text1"/>
        </w:rPr>
      </w:pPr>
      <w:r w:rsidRPr="00EC48FD">
        <w:rPr>
          <w:rFonts w:eastAsia="Times New Roman" w:cstheme="minorHAnsi"/>
          <w:color w:val="000000" w:themeColor="text1"/>
        </w:rPr>
        <w:t>Pandemic and All-Hazards Preparedness Reauthorization Act of 2013. Pub. L. No. 113-5. (127 STAT. 161). Available at </w:t>
      </w:r>
      <w:hyperlink r:id="rId56" w:tgtFrame="_blank" w:tooltip="http://www.gpo.gov/fdsys/pkg/BILLS-113hr307enr/pdf/BILLS-113hr307enr.pdf" w:history="1">
        <w:r w:rsidRPr="00EC48FD">
          <w:rPr>
            <w:rFonts w:eastAsia="Times New Roman" w:cstheme="minorHAnsi"/>
            <w:color w:val="0F88B8"/>
            <w:u w:val="single"/>
            <w:bdr w:val="none" w:sz="0" w:space="0" w:color="auto" w:frame="1"/>
          </w:rPr>
          <w:t>http://www.gpo.gov/fdsys/pkg/BILLS-113hr307enr/pdf/BILLS-113hr307enr.pdf</w:t>
        </w:r>
      </w:hyperlink>
      <w:r w:rsidRPr="00EC48FD">
        <w:rPr>
          <w:rFonts w:eastAsia="Times New Roman" w:cstheme="minorHAnsi"/>
          <w:color w:val="737373"/>
        </w:rPr>
        <w:br/>
      </w:r>
    </w:p>
    <w:p w14:paraId="4E5EEC57" w14:textId="77777777" w:rsidR="0050230C" w:rsidRPr="00EC48FD" w:rsidRDefault="0050230C"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b/>
          <w:bCs/>
          <w:color w:val="000000" w:themeColor="text1"/>
          <w:bdr w:val="none" w:sz="0" w:space="0" w:color="auto" w:frame="1"/>
        </w:rPr>
        <w:t>Guidance Documents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U.S. Food and Drug Administration. </w:t>
      </w:r>
      <w:r w:rsidRPr="00EC48FD">
        <w:rPr>
          <w:rFonts w:eastAsia="Times New Roman" w:cstheme="minorHAnsi"/>
          <w:i/>
          <w:iCs/>
          <w:color w:val="000000" w:themeColor="text1"/>
          <w:bdr w:val="none" w:sz="0" w:space="0" w:color="auto" w:frame="1"/>
        </w:rPr>
        <w:t>Emergency Use Authorization of Medical Products Guidance</w:t>
      </w:r>
      <w:r w:rsidRPr="00EC48FD">
        <w:rPr>
          <w:rFonts w:eastAsia="Times New Roman" w:cstheme="minorHAnsi"/>
          <w:color w:val="000000" w:themeColor="text1"/>
        </w:rPr>
        <w:t>. July 2007. Available at </w:t>
      </w:r>
      <w:hyperlink r:id="rId57" w:tgtFrame="_blank" w:tooltip="http://www.fda.gov/RegulatoryInformation/Guidances/ucm125127.htm" w:history="1">
        <w:r w:rsidRPr="00EC48FD">
          <w:rPr>
            <w:rFonts w:eastAsia="Times New Roman" w:cstheme="minorHAnsi"/>
            <w:color w:val="0F88B8"/>
            <w:u w:val="single"/>
            <w:bdr w:val="none" w:sz="0" w:space="0" w:color="auto" w:frame="1"/>
          </w:rPr>
          <w:t>http://www.fda.gov/RegulatoryInformation/Guidances/ucm125127.htm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U.S. Food and Drug Administration. “Emergency Use Authorization” webpage. Available at </w:t>
      </w:r>
      <w:hyperlink r:id="rId58" w:tgtFrame="_blank" w:tooltip="http://www.fda.gov/emergencypreparedness/counterterrorism/ucm182568.htm" w:history="1">
        <w:r w:rsidRPr="00EC48FD">
          <w:rPr>
            <w:rFonts w:eastAsia="Times New Roman" w:cstheme="minorHAnsi"/>
            <w:color w:val="0F88B8"/>
            <w:u w:val="single"/>
            <w:bdr w:val="none" w:sz="0" w:space="0" w:color="auto" w:frame="1"/>
          </w:rPr>
          <w:t>http://www.fda.gov/emergencypreparedness/counterterrorism/ucm182568.htm</w:t>
        </w:r>
      </w:hyperlink>
      <w:r w:rsidRPr="00EC48FD">
        <w:rPr>
          <w:rFonts w:eastAsia="Times New Roman" w:cstheme="minorHAnsi"/>
          <w:color w:val="737373"/>
        </w:rPr>
        <w:t>.</w:t>
      </w:r>
    </w:p>
    <w:p w14:paraId="2A9DAB49" w14:textId="77777777" w:rsidR="0050230C" w:rsidRDefault="0050230C" w:rsidP="007D0859">
      <w:pPr>
        <w:shd w:val="clear" w:color="auto" w:fill="FFFFFF"/>
        <w:spacing w:line="240" w:lineRule="atLeast"/>
        <w:textAlignment w:val="baseline"/>
        <w:rPr>
          <w:rFonts w:eastAsia="Times New Roman" w:cstheme="minorHAnsi"/>
          <w:color w:val="000000" w:themeColor="text1"/>
        </w:rPr>
      </w:pPr>
    </w:p>
    <w:p w14:paraId="7DC0D5A6" w14:textId="77777777" w:rsidR="0050230C" w:rsidRPr="00EC48FD" w:rsidRDefault="0050230C"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color w:val="000000" w:themeColor="text1"/>
        </w:rPr>
        <w:t>U.S. Food and Drug Administration. “Emergency Use Authorizations Questions and Answers” webpage. Available at </w:t>
      </w:r>
      <w:hyperlink r:id="rId59" w:tgtFrame="_blank" w:tooltip="http://www.fda.gov/NewsEvents/PublicHealthFocus/ucm153297.htm" w:history="1">
        <w:r w:rsidRPr="00EC48FD">
          <w:rPr>
            <w:rFonts w:eastAsia="Times New Roman" w:cstheme="minorHAnsi"/>
            <w:color w:val="0F88B8"/>
            <w:u w:val="single"/>
            <w:bdr w:val="none" w:sz="0" w:space="0" w:color="auto" w:frame="1"/>
          </w:rPr>
          <w:t>http://www.fda.gov/NewsEvents/PublicHealthFocus/ucm153297.htm</w:t>
        </w:r>
      </w:hyperlink>
      <w:r w:rsidRPr="00EC48FD">
        <w:rPr>
          <w:rFonts w:eastAsia="Times New Roman" w:cstheme="minorHAnsi"/>
          <w:color w:val="737373"/>
        </w:rPr>
        <w:t>. </w:t>
      </w:r>
    </w:p>
    <w:p w14:paraId="69D1421B" w14:textId="77777777" w:rsidR="0050230C" w:rsidRDefault="0050230C" w:rsidP="007D0859">
      <w:pPr>
        <w:shd w:val="clear" w:color="auto" w:fill="FFFFFF"/>
        <w:spacing w:line="240" w:lineRule="atLeast"/>
        <w:textAlignment w:val="baseline"/>
        <w:rPr>
          <w:rFonts w:eastAsia="Times New Roman" w:cstheme="minorHAnsi"/>
          <w:color w:val="000000" w:themeColor="text1"/>
        </w:rPr>
      </w:pPr>
    </w:p>
    <w:p w14:paraId="1BE1E8F1" w14:textId="77777777" w:rsidR="0050230C" w:rsidRPr="00EC48FD" w:rsidRDefault="0050230C"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color w:val="000000" w:themeColor="text1"/>
        </w:rPr>
        <w:t>U.S. Food and Drug Administration. "Pandemic and All Hazards Preparedness Reauthorization Act of 2013 (PAHPRA FDA Medical Countermeasure Authorities)" webpage. Available at </w:t>
      </w:r>
      <w:hyperlink r:id="rId60" w:tgtFrame="_blank" w:tooltip="http://www.fda.gov/EmergencyPreparedness/Counterterrorism/MedicalCountermeasures/MCMLegalRegulatoryandPolicyFramework/ucm359581.htm" w:history="1">
        <w:r w:rsidRPr="00EC48FD">
          <w:rPr>
            <w:rFonts w:eastAsia="Times New Roman" w:cstheme="minorHAnsi"/>
            <w:color w:val="0F88B8"/>
            <w:u w:val="single"/>
            <w:bdr w:val="none" w:sz="0" w:space="0" w:color="auto" w:frame="1"/>
          </w:rPr>
          <w:t>http://www.fda.gov/EmergencyPreparedness/Counterterrorism/MedicalCountermeasures/MCMLegalRegulatoryandPolicyFramework/ucm359581.htm</w:t>
        </w:r>
      </w:hyperlink>
      <w:r w:rsidRPr="00EC48FD">
        <w:rPr>
          <w:rFonts w:eastAsia="Times New Roman" w:cstheme="minorHAnsi"/>
          <w:color w:val="737373"/>
        </w:rPr>
        <w:t>.</w:t>
      </w:r>
    </w:p>
    <w:p w14:paraId="44B224F1" w14:textId="77777777" w:rsidR="0050230C" w:rsidRDefault="0050230C" w:rsidP="007D0859">
      <w:pPr>
        <w:shd w:val="clear" w:color="auto" w:fill="FFFFFF"/>
        <w:spacing w:after="240" w:line="240" w:lineRule="atLeast"/>
        <w:textAlignment w:val="baseline"/>
        <w:rPr>
          <w:rFonts w:eastAsia="Times New Roman" w:cstheme="minorHAnsi"/>
          <w:color w:val="000000" w:themeColor="text1"/>
        </w:rPr>
      </w:pPr>
    </w:p>
    <w:p w14:paraId="013FFEA8"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t>U.S. Food and Drug Administration and the U.S. Centers for Disease Control and Prevention. “Emergency Use Authorization” online course. Available at </w:t>
      </w:r>
      <w:hyperlink r:id="rId61" w:tgtFrame="_blank" w:tooltip="http://www.bt.cdc.gov/training/eua/index.html" w:history="1">
        <w:r w:rsidRPr="00EC48FD">
          <w:rPr>
            <w:rFonts w:eastAsia="Times New Roman" w:cstheme="minorHAnsi"/>
            <w:color w:val="0F88B8"/>
            <w:u w:val="single"/>
            <w:bdr w:val="none" w:sz="0" w:space="0" w:color="auto" w:frame="1"/>
          </w:rPr>
          <w:t>http://www.bt.cdc.gov/training/eua/index.html</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Sherman S. Department of Health and Human Services. “Public Health Emergency Authorities: Determinations and Declarations.” Presentation at </w:t>
      </w:r>
      <w:r w:rsidRPr="00EC48FD">
        <w:rPr>
          <w:rFonts w:eastAsia="Times New Roman" w:cstheme="minorHAnsi"/>
          <w:i/>
          <w:iCs/>
          <w:color w:val="000000" w:themeColor="text1"/>
          <w:bdr w:val="none" w:sz="0" w:space="0" w:color="auto" w:frame="1"/>
        </w:rPr>
        <w:t>Federal, State, and Local Public Health Preparedness </w:t>
      </w:r>
      <w:r w:rsidRPr="00EC48FD">
        <w:rPr>
          <w:rFonts w:eastAsia="Times New Roman" w:cstheme="minorHAnsi"/>
          <w:color w:val="000000" w:themeColor="text1"/>
        </w:rPr>
        <w:t>meeting. Baltimore, Maryland. December 14-15, 2010. Available at </w:t>
      </w:r>
      <w:hyperlink r:id="rId62" w:tgtFrame="_blank" w:tooltip="http://www.fda.gov/EmergencyPreparedness/Counterterrorism/ucm247676.htm" w:history="1">
        <w:r w:rsidRPr="00EC48FD">
          <w:rPr>
            <w:rFonts w:eastAsia="Times New Roman" w:cstheme="minorHAnsi"/>
            <w:color w:val="0F88B8"/>
            <w:u w:val="single"/>
            <w:bdr w:val="none" w:sz="0" w:space="0" w:color="auto" w:frame="1"/>
          </w:rPr>
          <w:t>http://www.fda.gov/EmergencyPreparedness/Counterterrorism/ucm247676.htm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i/>
          <w:iCs/>
          <w:color w:val="000000" w:themeColor="text1"/>
          <w:bdr w:val="none" w:sz="0" w:space="0" w:color="auto" w:frame="1"/>
        </w:rPr>
        <w:t>Medical Countermeasures Dispensing: Emergency Use Authorization and the Postal Model</w:t>
      </w:r>
      <w:r w:rsidRPr="00EC48FD">
        <w:rPr>
          <w:rFonts w:eastAsia="Times New Roman" w:cstheme="minorHAnsi"/>
          <w:color w:val="000000" w:themeColor="text1"/>
        </w:rPr>
        <w:t>. Workshop Summary. Institute of Medicine (US). Forum on Medical and Public Health Preparedness for Catastrophic Events. Washington (DC). National Academies Press (US). 2010. Available at</w:t>
      </w:r>
      <w:r w:rsidRPr="00EC48FD">
        <w:rPr>
          <w:rFonts w:eastAsia="Times New Roman" w:cstheme="minorHAnsi"/>
          <w:color w:val="737373"/>
        </w:rPr>
        <w:t> </w:t>
      </w:r>
      <w:hyperlink r:id="rId63" w:tgtFrame="_blank" w:tooltip="http://www.ncbi.nlm.nih.gov/books/NBK53126/pdf/TOC.pdf" w:history="1">
        <w:r w:rsidRPr="00EC48FD">
          <w:rPr>
            <w:rFonts w:eastAsia="Times New Roman" w:cstheme="minorHAnsi"/>
            <w:color w:val="0F88B8"/>
            <w:u w:val="single"/>
            <w:bdr w:val="none" w:sz="0" w:space="0" w:color="auto" w:frame="1"/>
          </w:rPr>
          <w:t>http://www.ncbi.nlm.nih.gov/books/NBK53126/pdf/TOC.pdf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0F1922FD" w14:textId="77777777" w:rsidR="0050230C" w:rsidRPr="00EC48FD" w:rsidRDefault="0050230C" w:rsidP="002350CB">
      <w:pPr>
        <w:keepNext/>
        <w:rPr>
          <w:rFonts w:eastAsia="Times New Roman" w:cstheme="minorHAnsi"/>
          <w:b/>
          <w:bCs/>
          <w:color w:val="000000" w:themeColor="text1"/>
        </w:rPr>
      </w:pPr>
      <w:r w:rsidRPr="00EC48FD">
        <w:rPr>
          <w:rFonts w:eastAsia="Times New Roman" w:cstheme="minorHAnsi"/>
          <w:b/>
          <w:bCs/>
          <w:color w:val="000000" w:themeColor="text1"/>
        </w:rPr>
        <w:lastRenderedPageBreak/>
        <w:t>Entity Liability</w:t>
      </w:r>
    </w:p>
    <w:p w14:paraId="526000FA"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Nonprofit Risk Management Center. </w:t>
      </w:r>
      <w:r w:rsidRPr="00EC48FD">
        <w:rPr>
          <w:rFonts w:eastAsia="Times New Roman" w:cstheme="minorHAnsi"/>
          <w:i/>
          <w:iCs/>
          <w:color w:val="000000" w:themeColor="text1"/>
          <w:bdr w:val="none" w:sz="0" w:space="0" w:color="auto" w:frame="1"/>
        </w:rPr>
        <w:t>State Liability Laws for Charitable Organizations and Volunteers</w:t>
      </w:r>
      <w:r w:rsidRPr="00EC48FD">
        <w:rPr>
          <w:rFonts w:eastAsia="Times New Roman" w:cstheme="minorHAnsi"/>
          <w:color w:val="000000" w:themeColor="text1"/>
        </w:rPr>
        <w:t>. Updated as of December 2009. Available at</w:t>
      </w:r>
      <w:r w:rsidRPr="00EC48FD">
        <w:rPr>
          <w:rFonts w:eastAsia="Times New Roman" w:cstheme="minorHAnsi"/>
          <w:color w:val="737373"/>
        </w:rPr>
        <w:t> </w:t>
      </w:r>
      <w:hyperlink r:id="rId64" w:tgtFrame="_blank" w:tooltip="http://www.probonopartner.org/FileLib/Documents/nonprofitriskmgmtstateliability.pdf" w:history="1">
        <w:r w:rsidRPr="00EC48FD">
          <w:rPr>
            <w:rFonts w:eastAsia="Times New Roman" w:cstheme="minorHAnsi"/>
            <w:color w:val="0F88B8"/>
            <w:u w:val="single"/>
            <w:bdr w:val="none" w:sz="0" w:space="0" w:color="auto" w:frame="1"/>
          </w:rPr>
          <w:t>http://www.probonopartner.org/FileLib/Documents/nonprofitriskmgmtstateliability.pdf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737373"/>
        </w:rPr>
        <w:br/>
      </w:r>
      <w:r w:rsidRPr="00EC48FD">
        <w:rPr>
          <w:rFonts w:eastAsia="Times New Roman" w:cstheme="minorHAnsi"/>
          <w:color w:val="000000" w:themeColor="text1"/>
        </w:rPr>
        <w:t>Uniform Emergency Volunteer Health Practitioners Act (UEVHPA). Uniform Law Commission. “Emergency Volunteer Health Practitioners” website. Available at </w:t>
      </w:r>
      <w:hyperlink r:id="rId65" w:tgtFrame="_blank" w:tooltip="http://uniformlaws.org/Act.aspx?title=Emergency%20Volunteer%20Health%20Practitioners" w:history="1">
        <w:r w:rsidRPr="00EC48FD">
          <w:rPr>
            <w:rFonts w:eastAsia="Times New Roman" w:cstheme="minorHAnsi"/>
            <w:color w:val="0F88B8"/>
            <w:u w:val="single"/>
            <w:bdr w:val="none" w:sz="0" w:space="0" w:color="auto" w:frame="1"/>
          </w:rPr>
          <w:t>http://uniformlaws.org/Act.aspx?title=Emergency%20Volunteer%20Health%20Practitioners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48125D96"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Federal Tort Claims Act (FTCA)</w:t>
      </w:r>
    </w:p>
    <w:p w14:paraId="039D0EB9"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Federal Tort Claims Act, as amended. Codified at 28 U.S.C. §§1346(b), 2671-2680. Available at </w:t>
      </w:r>
      <w:hyperlink r:id="rId66" w:tooltip="http://origin.www.gpo.gov/fdsys/pkg/USCODE-2009-title28/pdf/USCODE-2009-title28-partIV-chap85-sec1346.pdf " w:history="1">
        <w:r w:rsidRPr="00EC48FD">
          <w:rPr>
            <w:rFonts w:eastAsia="Times New Roman" w:cstheme="minorHAnsi"/>
            <w:color w:val="0F88B8"/>
            <w:u w:val="single"/>
            <w:bdr w:val="none" w:sz="0" w:space="0" w:color="auto" w:frame="1"/>
          </w:rPr>
          <w:t>http://origin.www.gpo.gov/fdsys/pkg/USCODE-2009-title28/pdf/USCODE-2009-title28-partIV-chap85-sec1346.pdf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3B4A90C5"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HHS Office of the Assistant Secretary for Preparedness and Response (ASPR)</w:t>
      </w:r>
    </w:p>
    <w:p w14:paraId="36A0ACEF"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HHS Office of the Assistant Secretary for Preparedness and Response website. Available at </w:t>
      </w:r>
      <w:hyperlink r:id="rId67" w:tgtFrame="_blank" w:tooltip="http://www.phe.gov/preparedness/support/secauthority/Pages/default.aspx" w:history="1">
        <w:r w:rsidRPr="00EC48FD">
          <w:rPr>
            <w:rFonts w:eastAsia="Times New Roman" w:cstheme="minorHAnsi"/>
            <w:color w:val="0F88B8"/>
            <w:u w:val="single"/>
            <w:bdr w:val="none" w:sz="0" w:space="0" w:color="auto" w:frame="1"/>
          </w:rPr>
          <w:t>http://ww.phe.gov/preparedness/support/secauthority/Pages/default.aspx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4D171EB8"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Mutual Aid Agreements</w:t>
      </w:r>
    </w:p>
    <w:p w14:paraId="0B026724" w14:textId="77777777" w:rsidR="0050230C" w:rsidRPr="006E0594" w:rsidRDefault="0050230C" w:rsidP="007D0859">
      <w:pPr>
        <w:shd w:val="clear" w:color="auto" w:fill="FFFFFF"/>
        <w:spacing w:after="240" w:line="240" w:lineRule="atLeast"/>
        <w:textAlignment w:val="baseline"/>
        <w:rPr>
          <w:rFonts w:eastAsia="Times New Roman" w:cstheme="minorHAnsi"/>
          <w:color w:val="0070C0"/>
        </w:rPr>
      </w:pPr>
      <w:r w:rsidRPr="00EC48FD">
        <w:rPr>
          <w:rFonts w:eastAsia="Times New Roman" w:cstheme="minorHAnsi"/>
          <w:color w:val="000000" w:themeColor="text1"/>
        </w:rPr>
        <w:br/>
      </w:r>
      <w:r w:rsidRPr="00EC48FD">
        <w:rPr>
          <w:rFonts w:eastAsia="Times New Roman" w:cstheme="minorHAnsi"/>
          <w:i/>
          <w:iCs/>
          <w:color w:val="000000" w:themeColor="text1"/>
          <w:bdr w:val="none" w:sz="0" w:space="0" w:color="auto" w:frame="1"/>
        </w:rPr>
        <w:t xml:space="preserve">See also </w:t>
      </w:r>
      <w:r w:rsidRPr="00EC48FD">
        <w:rPr>
          <w:rFonts w:eastAsia="Times New Roman" w:cstheme="minorHAnsi"/>
          <w:i/>
          <w:iCs/>
          <w:color w:val="737373"/>
          <w:bdr w:val="none" w:sz="0" w:space="0" w:color="auto" w:frame="1"/>
        </w:rPr>
        <w:t>“</w:t>
      </w:r>
      <w:hyperlink r:id="rId68" w:anchor="Emergency-Management-Assistance" w:history="1">
        <w:r w:rsidRPr="00EC48FD">
          <w:rPr>
            <w:rFonts w:eastAsia="Times New Roman" w:cstheme="minorHAnsi"/>
            <w:i/>
            <w:iCs/>
            <w:color w:val="0F88B8"/>
            <w:u w:val="single"/>
            <w:bdr w:val="none" w:sz="0" w:space="0" w:color="auto" w:frame="1"/>
          </w:rPr>
          <w:t>Emergency Management Assistance Compact</w:t>
        </w:r>
      </w:hyperlink>
      <w:r w:rsidRPr="00EC48FD">
        <w:rPr>
          <w:rFonts w:eastAsia="Times New Roman" w:cstheme="minorHAnsi"/>
          <w:i/>
          <w:iCs/>
          <w:color w:val="737373"/>
          <w:bdr w:val="none" w:sz="0" w:space="0" w:color="auto" w:frame="1"/>
        </w:rPr>
        <w:t>” </w:t>
      </w:r>
      <w:r w:rsidRPr="00EC48FD">
        <w:rPr>
          <w:rFonts w:eastAsia="Times New Roman" w:cstheme="minorHAnsi"/>
          <w:i/>
          <w:iCs/>
          <w:color w:val="737373"/>
          <w:bdr w:val="none" w:sz="0" w:space="0" w:color="auto" w:frame="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CDC Public Health Law Program. “Mutual Aid” webpage. Available at </w:t>
      </w:r>
      <w:hyperlink r:id="rId69" w:tgtFrame="_blank" w:tooltip="http://www2.cdc.gov/phlp/mutualaid/" w:history="1">
        <w:r w:rsidRPr="00EC48FD">
          <w:rPr>
            <w:rFonts w:eastAsia="Times New Roman" w:cstheme="minorHAnsi"/>
            <w:color w:val="0F88B8"/>
            <w:u w:val="single"/>
            <w:bdr w:val="none" w:sz="0" w:space="0" w:color="auto" w:frame="1"/>
          </w:rPr>
          <w:t>http://www2.cdc.gov/phlp/mutualaid/</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Emergency Management Assistance Compact. </w:t>
      </w:r>
      <w:r w:rsidRPr="00EC48FD">
        <w:rPr>
          <w:rFonts w:eastAsia="Times New Roman" w:cstheme="minorHAnsi"/>
          <w:i/>
          <w:iCs/>
          <w:color w:val="000000" w:themeColor="text1"/>
          <w:bdr w:val="none" w:sz="0" w:space="0" w:color="auto" w:frame="1"/>
        </w:rPr>
        <w:t>Model Intrastate Mutual Aid Legislation</w:t>
      </w:r>
      <w:r w:rsidRPr="00EC48FD">
        <w:rPr>
          <w:rFonts w:eastAsia="Times New Roman" w:cstheme="minorHAnsi"/>
          <w:color w:val="000000" w:themeColor="text1"/>
        </w:rPr>
        <w:t>. March 2004. Available at </w:t>
      </w:r>
      <w:hyperlink r:id="rId70" w:tgtFrame="_blank" w:tooltip="http://www.emacweb.org" w:history="1">
        <w:r w:rsidRPr="00EC48FD">
          <w:rPr>
            <w:rFonts w:eastAsia="Times New Roman" w:cstheme="minorHAnsi"/>
            <w:color w:val="0F88B8"/>
            <w:u w:val="single"/>
            <w:bdr w:val="none" w:sz="0" w:space="0" w:color="auto" w:frame="1"/>
          </w:rPr>
          <w:t>http://www.emacweb.org</w:t>
        </w:r>
      </w:hyperlink>
      <w:r w:rsidRPr="00EC48FD">
        <w:rPr>
          <w:rFonts w:eastAsia="Times New Roman" w:cstheme="minorHAnsi"/>
          <w:color w:val="737373"/>
        </w:rPr>
        <w:t>. </w:t>
      </w:r>
      <w:r w:rsidRPr="00EC48FD">
        <w:rPr>
          <w:rFonts w:eastAsia="Times New Roman" w:cstheme="minorHAnsi"/>
          <w:color w:val="000000" w:themeColor="text1"/>
        </w:rPr>
        <w:br/>
      </w:r>
      <w:r w:rsidRPr="00EC48FD">
        <w:rPr>
          <w:rFonts w:eastAsia="Times New Roman" w:cstheme="minorHAnsi"/>
          <w:color w:val="000000" w:themeColor="text1"/>
        </w:rPr>
        <w:br/>
        <w:t>Federal Emergency Management Agency. “Mutual Aid Agreements for Public Assistance and Fire Management Assistance” (Disaster Assistance Policy 9523.6). August 13, 2007</w:t>
      </w:r>
      <w:r w:rsidRPr="00EC48FD">
        <w:rPr>
          <w:rFonts w:eastAsia="Times New Roman" w:cstheme="minorHAnsi"/>
          <w:color w:val="737373"/>
        </w:rPr>
        <w:t xml:space="preserve">. </w:t>
      </w:r>
      <w:r w:rsidRPr="006E0594">
        <w:rPr>
          <w:rFonts w:eastAsia="Times New Roman" w:cstheme="minorHAnsi"/>
          <w:color w:val="0070C0"/>
        </w:rPr>
        <w:t xml:space="preserve">Available at gov/9500-series-policy-publications/95236-mutual-aid-agreements-public-assistance-fire-mangement </w:t>
      </w:r>
    </w:p>
    <w:p w14:paraId="763B91F0" w14:textId="77777777" w:rsidR="0050230C" w:rsidRDefault="0050230C" w:rsidP="007D0859">
      <w:pPr>
        <w:shd w:val="clear" w:color="auto" w:fill="FFFFFF"/>
        <w:spacing w:after="240" w:line="240" w:lineRule="atLeast"/>
        <w:textAlignment w:val="baseline"/>
        <w:rPr>
          <w:rFonts w:eastAsia="Times New Roman" w:cstheme="minorHAnsi"/>
          <w:color w:val="737373"/>
        </w:rPr>
      </w:pPr>
    </w:p>
    <w:p w14:paraId="665A976D"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lastRenderedPageBreak/>
        <w:t>Hodge J et al. </w:t>
      </w:r>
      <w:r w:rsidRPr="00EC48FD">
        <w:rPr>
          <w:rFonts w:eastAsia="Times New Roman" w:cstheme="minorHAnsi"/>
          <w:i/>
          <w:iCs/>
          <w:color w:val="000000" w:themeColor="text1"/>
          <w:bdr w:val="none" w:sz="0" w:space="0" w:color="auto" w:frame="1"/>
        </w:rPr>
        <w:t>Model Memorandum of Understanding Between Hospitals During Declared Emergencies</w:t>
      </w:r>
      <w:r w:rsidRPr="00EC48FD">
        <w:rPr>
          <w:rFonts w:eastAsia="Times New Roman" w:cstheme="minorHAnsi"/>
          <w:color w:val="000000" w:themeColor="text1"/>
        </w:rPr>
        <w:t>. June 15, 2009. Available at </w:t>
      </w:r>
      <w:hyperlink r:id="rId71" w:tgtFrame="_blank" w:tooltip="http://www.bt.cdc.gov/planning/emac/pdf/PACER_Model_MOU.pdf" w:history="1">
        <w:r w:rsidRPr="00EC48FD">
          <w:rPr>
            <w:rFonts w:eastAsia="Times New Roman" w:cstheme="minorHAnsi"/>
            <w:color w:val="0F88B8"/>
            <w:u w:val="single"/>
            <w:bdr w:val="none" w:sz="0" w:space="0" w:color="auto" w:frame="1"/>
          </w:rPr>
          <w:t>http://www.bt.cdc.gov/planning/emac/pdf/PACER_Model_MOU.pdf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EPA. “Mutual Aid and Assistance” webpage. Available at </w:t>
      </w:r>
      <w:hyperlink r:id="rId72" w:tgtFrame="_blank" w:tooltip="http://water.epa.gov/infrastructure/watersecurity/mutualaid/index.cfm" w:history="1">
        <w:r w:rsidRPr="00EC48FD">
          <w:rPr>
            <w:rFonts w:eastAsia="Times New Roman" w:cstheme="minorHAnsi"/>
            <w:color w:val="0F88B8"/>
            <w:u w:val="single"/>
            <w:bdr w:val="none" w:sz="0" w:space="0" w:color="auto" w:frame="1"/>
          </w:rPr>
          <w:t>http://water.epa.gov/infrastructure/watersecurity/mutualaid/index.cfm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3C701886"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Pandemic and All-Hazards Preparedness Act (PAHPA)</w:t>
      </w:r>
    </w:p>
    <w:p w14:paraId="3369A40C" w14:textId="77777777" w:rsidR="0050230C" w:rsidRPr="00EC48FD" w:rsidRDefault="0050230C"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Pandemic and All-Hazards Preparedness Act of 2006. Pub. L. No. 109-417 (120 STAT. 2831). Available at</w:t>
      </w:r>
      <w:r w:rsidRPr="00EC48FD">
        <w:rPr>
          <w:rFonts w:eastAsia="Times New Roman" w:cstheme="minorHAnsi"/>
          <w:color w:val="737373"/>
        </w:rPr>
        <w:t> </w:t>
      </w:r>
      <w:hyperlink r:id="rId73" w:tgtFrame="_blank" w:tooltip="http://www.gpo.gov/fdsys/pkg/PLAW-109publ417/pdf/PLAW-109publ417.pdf" w:history="1">
        <w:r w:rsidRPr="00EC48FD">
          <w:rPr>
            <w:rFonts w:eastAsia="Times New Roman" w:cstheme="minorHAnsi"/>
            <w:color w:val="0F88B8"/>
            <w:u w:val="single"/>
            <w:bdr w:val="none" w:sz="0" w:space="0" w:color="auto" w:frame="1"/>
          </w:rPr>
          <w:t>http://www.gpo.gov/fdsys/pkg/PLAW-109publ417/pdf/PLAW-109publ417.pdf</w:t>
        </w:r>
      </w:hyperlink>
      <w:r w:rsidRPr="00EC48FD">
        <w:rPr>
          <w:rFonts w:eastAsia="Times New Roman" w:cstheme="minorHAnsi"/>
          <w:color w:val="737373"/>
        </w:rPr>
        <w:t>.</w:t>
      </w:r>
    </w:p>
    <w:p w14:paraId="76C73241" w14:textId="77777777" w:rsidR="0050230C" w:rsidRDefault="0050230C" w:rsidP="007D0859">
      <w:pPr>
        <w:shd w:val="clear" w:color="auto" w:fill="FFFFFF"/>
        <w:spacing w:line="240" w:lineRule="atLeast"/>
        <w:textAlignment w:val="baseline"/>
        <w:rPr>
          <w:rFonts w:eastAsia="Times New Roman" w:cstheme="minorHAnsi"/>
          <w:color w:val="000000" w:themeColor="text1"/>
        </w:rPr>
      </w:pPr>
    </w:p>
    <w:p w14:paraId="52DFD5E8" w14:textId="77777777" w:rsidR="0050230C" w:rsidRPr="00EC48FD" w:rsidRDefault="0050230C" w:rsidP="007D0859">
      <w:pPr>
        <w:shd w:val="clear" w:color="auto" w:fill="FFFFFF"/>
        <w:spacing w:line="240" w:lineRule="atLeast"/>
        <w:textAlignment w:val="baseline"/>
        <w:rPr>
          <w:rFonts w:eastAsia="Times New Roman" w:cstheme="minorHAnsi"/>
          <w:color w:val="737373"/>
        </w:rPr>
      </w:pPr>
      <w:r w:rsidRPr="00EC48FD">
        <w:rPr>
          <w:rFonts w:eastAsia="Times New Roman" w:cstheme="minorHAnsi"/>
          <w:color w:val="000000" w:themeColor="text1"/>
        </w:rPr>
        <w:t>Pandemic and All Hazards Preparedness Reauthorization Act of 2013. Pub. L. No. 113-5. (127 STAT. 161). Available at </w:t>
      </w:r>
      <w:hyperlink r:id="rId74" w:tgtFrame="_blank" w:tooltip="http://www.gpo.gov/fdsys/pkg/BILLS-113hr307enr/pdf/BILLS-113hr307enr.pdf" w:history="1">
        <w:r w:rsidRPr="00EC48FD">
          <w:rPr>
            <w:rFonts w:eastAsia="Times New Roman" w:cstheme="minorHAnsi"/>
            <w:color w:val="0F88B8"/>
            <w:u w:val="single"/>
            <w:bdr w:val="none" w:sz="0" w:space="0" w:color="auto" w:frame="1"/>
          </w:rPr>
          <w:t>http://www.gpo.gov/fdsys/pkg/BILLS-113hr307enr/pdf/BILLS-113hr307enr.pdf</w:t>
        </w:r>
      </w:hyperlink>
    </w:p>
    <w:p w14:paraId="701E0D81" w14:textId="77777777" w:rsidR="0050230C" w:rsidRDefault="0050230C" w:rsidP="007D0859">
      <w:pPr>
        <w:shd w:val="clear" w:color="auto" w:fill="FFFFFF"/>
        <w:spacing w:after="240" w:line="240" w:lineRule="atLeast"/>
        <w:textAlignment w:val="baseline"/>
        <w:rPr>
          <w:rFonts w:eastAsia="Times New Roman" w:cstheme="minorHAnsi"/>
          <w:color w:val="000000" w:themeColor="text1"/>
        </w:rPr>
      </w:pPr>
    </w:p>
    <w:p w14:paraId="4BF9011A"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t>Codified, in part, in the Public Health Service Act, 42 U.S.C. 201 et seq. Available at </w:t>
      </w:r>
      <w:hyperlink r:id="rId75" w:tgtFrame="_blank" w:tooltip="http://www.gpo.gov/fdsys/pkg/USCODE-2009-title42/pdf/USCODE-2009-title42-chap6A.pdf" w:history="1">
        <w:r w:rsidRPr="00EC48FD">
          <w:rPr>
            <w:rFonts w:eastAsia="Times New Roman" w:cstheme="minorHAnsi"/>
            <w:color w:val="0F88B8"/>
            <w:u w:val="single"/>
            <w:bdr w:val="none" w:sz="0" w:space="0" w:color="auto" w:frame="1"/>
          </w:rPr>
          <w:t>http://www.gpo.gov/fdsys/pkg/USCODE-2009-title42/pdf/USCODE-2009-title42-chap6A.pdf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Summaries of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Department of Health and Human Services. “Pandemic and All Hazards Preparedness Act” webpage. Available at </w:t>
      </w:r>
      <w:hyperlink r:id="rId76" w:tgtFrame="_blank" w:tooltip="http://www.phe.gov/Preparedness/legal/pahpa/Pages/default.aspx" w:history="1">
        <w:r w:rsidRPr="00EC48FD">
          <w:rPr>
            <w:rFonts w:eastAsia="Times New Roman" w:cstheme="minorHAnsi"/>
            <w:color w:val="0F88B8"/>
            <w:u w:val="single"/>
            <w:bdr w:val="none" w:sz="0" w:space="0" w:color="auto" w:frame="1"/>
          </w:rPr>
          <w:t>http://www.phe.gov/Preparedness/legal/pahpa/Pages/default.aspx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 xml:space="preserve">Lister SA and </w:t>
      </w:r>
      <w:proofErr w:type="spellStart"/>
      <w:r w:rsidRPr="00EC48FD">
        <w:rPr>
          <w:rFonts w:eastAsia="Times New Roman" w:cstheme="minorHAnsi"/>
          <w:color w:val="000000" w:themeColor="text1"/>
        </w:rPr>
        <w:t>Gottron</w:t>
      </w:r>
      <w:proofErr w:type="spellEnd"/>
      <w:r w:rsidRPr="00EC48FD">
        <w:rPr>
          <w:rFonts w:eastAsia="Times New Roman" w:cstheme="minorHAnsi"/>
          <w:color w:val="000000" w:themeColor="text1"/>
        </w:rPr>
        <w:t xml:space="preserve"> F. Congressional Research Service. </w:t>
      </w:r>
      <w:r w:rsidRPr="00EC48FD">
        <w:rPr>
          <w:rFonts w:eastAsia="Times New Roman" w:cstheme="minorHAnsi"/>
          <w:i/>
          <w:iCs/>
          <w:color w:val="000000" w:themeColor="text1"/>
          <w:bdr w:val="none" w:sz="0" w:space="0" w:color="auto" w:frame="1"/>
        </w:rPr>
        <w:t>The Pandemic and All-Hazards Preparedness Act (P.L. 109-417): Provisions and Changes to Preexisting Law</w:t>
      </w:r>
      <w:r w:rsidRPr="00EC48FD">
        <w:rPr>
          <w:rFonts w:eastAsia="Times New Roman" w:cstheme="minorHAnsi"/>
          <w:color w:val="000000" w:themeColor="text1"/>
        </w:rPr>
        <w:t> (RL33589). March 12, 2007. Available at </w:t>
      </w:r>
      <w:hyperlink r:id="rId77" w:tgtFrame="_blank" w:tooltip="http://www.fas.org/programs/bio/resource/documents/CRS%20-%20PAHPA%203-07.pdf" w:history="1">
        <w:r w:rsidRPr="00EC48FD">
          <w:rPr>
            <w:rFonts w:eastAsia="Times New Roman" w:cstheme="minorHAnsi"/>
            <w:color w:val="0F88B8"/>
            <w:u w:val="single"/>
            <w:bdr w:val="none" w:sz="0" w:space="0" w:color="auto" w:frame="1"/>
          </w:rPr>
          <w:t>http://www.fas.org/programs/bio/resource/documents/CRS%20-%20PAHPA%203-07.pdf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w:t>
      </w:r>
      <w:r w:rsidRPr="00EC48FD">
        <w:rPr>
          <w:rFonts w:eastAsia="Times New Roman" w:cstheme="minorHAnsi"/>
          <w:color w:val="000000" w:themeColor="text1"/>
        </w:rPr>
        <w:t> </w:t>
      </w:r>
      <w:r w:rsidRPr="00EC48FD">
        <w:rPr>
          <w:rFonts w:eastAsia="Times New Roman" w:cstheme="minorHAnsi"/>
          <w:color w:val="000000" w:themeColor="text1"/>
        </w:rPr>
        <w:br/>
        <w:t>HHS Assistant Secretary for Preparedness and Response website. Available at </w:t>
      </w:r>
      <w:hyperlink r:id="rId78" w:tgtFrame="_blank" w:tooltip="http://www.phe.gov/preparedness/pages/default.aspx" w:history="1">
        <w:r w:rsidRPr="00B6145E">
          <w:rPr>
            <w:rFonts w:eastAsia="Times New Roman" w:cstheme="minorHAnsi"/>
            <w:color w:val="00B0F0"/>
            <w:u w:val="single"/>
            <w:bdr w:val="none" w:sz="0" w:space="0" w:color="auto" w:frame="1"/>
          </w:rPr>
          <w:t>http://www.phe.gov/preparedness/pages/default.aspx</w:t>
        </w:r>
      </w:hyperlink>
      <w:r w:rsidRPr="00B6145E">
        <w:rPr>
          <w:rFonts w:eastAsia="Times New Roman" w:cstheme="minorHAnsi"/>
          <w:color w:val="00B0F0"/>
        </w:rPr>
        <w:t>. </w:t>
      </w:r>
    </w:p>
    <w:p w14:paraId="2AAC2A5F" w14:textId="77777777" w:rsidR="0050230C" w:rsidRPr="00EC48FD" w:rsidRDefault="0050230C" w:rsidP="007D0859">
      <w:pPr>
        <w:spacing w:after="225" w:line="240" w:lineRule="atLeast"/>
        <w:textAlignment w:val="baseline"/>
        <w:rPr>
          <w:rFonts w:eastAsia="Times New Roman" w:cstheme="minorHAnsi"/>
          <w:b/>
          <w:bCs/>
          <w:color w:val="000000" w:themeColor="text1"/>
          <w:bdr w:val="none" w:sz="0" w:space="0" w:color="auto" w:frame="1"/>
          <w:shd w:val="clear" w:color="auto" w:fill="FFFFFF"/>
        </w:rPr>
      </w:pPr>
      <w:r w:rsidRPr="00EC48FD">
        <w:rPr>
          <w:rFonts w:eastAsia="Times New Roman" w:cstheme="minorHAnsi"/>
          <w:b/>
          <w:bCs/>
          <w:color w:val="000000" w:themeColor="text1"/>
          <w:bdr w:val="none" w:sz="0" w:space="0" w:color="auto" w:frame="1"/>
          <w:shd w:val="clear" w:color="auto" w:fill="FFFFFF"/>
        </w:rPr>
        <w:t>HHS Status Reports on PAHPA Implementation</w:t>
      </w:r>
    </w:p>
    <w:p w14:paraId="29E255E1"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t>HHS Assistant Secretary for Preparedness and Response. </w:t>
      </w:r>
      <w:r w:rsidRPr="00EC48FD">
        <w:rPr>
          <w:rFonts w:eastAsia="Times New Roman" w:cstheme="minorHAnsi"/>
          <w:i/>
          <w:iCs/>
          <w:color w:val="000000" w:themeColor="text1"/>
          <w:bdr w:val="none" w:sz="0" w:space="0" w:color="auto" w:frame="1"/>
        </w:rPr>
        <w:t>Pandemic and All-Hazards Preparedness Act Public Law 109-417 Progress Report</w:t>
      </w:r>
      <w:r w:rsidRPr="00EC48FD">
        <w:rPr>
          <w:rFonts w:eastAsia="Times New Roman" w:cstheme="minorHAnsi"/>
          <w:color w:val="000000" w:themeColor="text1"/>
        </w:rPr>
        <w:t>. November 2007. Available at </w:t>
      </w:r>
      <w:hyperlink r:id="rId79" w:tgtFrame="_blank" w:tooltip="http://healthyamericans.org/reports/bioterror07/PAHPAProgressReport.pdf" w:history="1">
        <w:r w:rsidRPr="00EC48FD">
          <w:rPr>
            <w:rFonts w:eastAsia="Times New Roman" w:cstheme="minorHAnsi"/>
            <w:color w:val="0F88B8"/>
            <w:u w:val="single"/>
            <w:bdr w:val="none" w:sz="0" w:space="0" w:color="auto" w:frame="1"/>
          </w:rPr>
          <w:t>http://healthyamericans.org/reports/bioterror07/PAHPAProgressReport.pdf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HHS Assistant Secretary for Preparedness and Response. </w:t>
      </w:r>
      <w:r w:rsidRPr="00EC48FD">
        <w:rPr>
          <w:rFonts w:eastAsia="Times New Roman" w:cstheme="minorHAnsi"/>
          <w:i/>
          <w:iCs/>
          <w:color w:val="000000" w:themeColor="text1"/>
          <w:bdr w:val="none" w:sz="0" w:space="0" w:color="auto" w:frame="1"/>
        </w:rPr>
        <w:t>Progress Report on the Implementation of Provisions Addressing At-Risk Individuals</w:t>
      </w:r>
      <w:r w:rsidRPr="00EC48FD">
        <w:rPr>
          <w:rFonts w:eastAsia="Times New Roman" w:cstheme="minorHAnsi"/>
          <w:color w:val="000000" w:themeColor="text1"/>
        </w:rPr>
        <w:t>. August 2008. Available at </w:t>
      </w:r>
      <w:hyperlink r:id="rId80" w:tgtFrame="_blank" w:tooltip="http://www.phe.gov/Preparedness/legal/pahpa/Documents/pahpa-at-risk-report0901.pdf" w:history="1">
        <w:r w:rsidRPr="00EC48FD">
          <w:rPr>
            <w:rFonts w:eastAsia="Times New Roman" w:cstheme="minorHAnsi"/>
            <w:color w:val="0F88B8"/>
            <w:u w:val="single"/>
            <w:bdr w:val="none" w:sz="0" w:space="0" w:color="auto" w:frame="1"/>
          </w:rPr>
          <w:t>http://www.phe.gov/Preparedness/legal/pahpa/Documents/pahpa-at-risk-report0901.pdf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HHS Assistant Secretary for Preparedness &amp; Response. </w:t>
      </w:r>
      <w:r w:rsidRPr="00EC48FD">
        <w:rPr>
          <w:rFonts w:eastAsia="Times New Roman" w:cstheme="minorHAnsi"/>
          <w:i/>
          <w:iCs/>
          <w:color w:val="000000" w:themeColor="text1"/>
          <w:bdr w:val="none" w:sz="0" w:space="0" w:color="auto" w:frame="1"/>
        </w:rPr>
        <w:t>Telehealth Report to Congress</w:t>
      </w:r>
      <w:r w:rsidRPr="00EC48FD">
        <w:rPr>
          <w:rFonts w:eastAsia="Times New Roman" w:cstheme="minorHAnsi"/>
          <w:color w:val="000000" w:themeColor="text1"/>
        </w:rPr>
        <w:t>. January 2009. Available at </w:t>
      </w:r>
      <w:hyperlink r:id="rId81" w:tgtFrame="_blank" w:tooltip="http://www.phe.gov/Preparedness/legal/pahpa/Documents/telehealthrtc-091207.pdf" w:history="1">
        <w:r w:rsidRPr="00EC48FD">
          <w:rPr>
            <w:rFonts w:eastAsia="Times New Roman" w:cstheme="minorHAnsi"/>
            <w:color w:val="0F88B8"/>
            <w:u w:val="single"/>
            <w:bdr w:val="none" w:sz="0" w:space="0" w:color="auto" w:frame="1"/>
          </w:rPr>
          <w:t>http://www.phe.gov/Preparedness/legal/pahpa/Documents/telehealthrtc-091207.pdf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6B056AA2"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lastRenderedPageBreak/>
        <w:t>Pandemic Strategies and Plans</w:t>
      </w:r>
    </w:p>
    <w:p w14:paraId="49D8B725"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Key Documents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Homeland Security Council. </w:t>
      </w:r>
      <w:r w:rsidRPr="00EC48FD">
        <w:rPr>
          <w:rFonts w:eastAsia="Times New Roman" w:cstheme="minorHAnsi"/>
          <w:i/>
          <w:iCs/>
          <w:color w:val="000000" w:themeColor="text1"/>
          <w:bdr w:val="none" w:sz="0" w:space="0" w:color="auto" w:frame="1"/>
        </w:rPr>
        <w:t>The National Strategy for Pandemic Influenza</w:t>
      </w:r>
      <w:r w:rsidRPr="00EC48FD">
        <w:rPr>
          <w:rFonts w:eastAsia="Times New Roman" w:cstheme="minorHAnsi"/>
          <w:color w:val="000000" w:themeColor="text1"/>
        </w:rPr>
        <w:t>. November 2005. Available at</w:t>
      </w:r>
      <w:r w:rsidRPr="00EC48FD">
        <w:rPr>
          <w:rFonts w:eastAsia="Times New Roman" w:cstheme="minorHAnsi"/>
          <w:color w:val="737373"/>
        </w:rPr>
        <w:t> </w:t>
      </w:r>
      <w:hyperlink r:id="rId82" w:tgtFrame="_blank" w:tooltip="http://www.flu.gov/professional/federal/pandemic-influenza.pdf" w:history="1">
        <w:r w:rsidRPr="00EC48FD">
          <w:rPr>
            <w:rFonts w:eastAsia="Times New Roman" w:cstheme="minorHAnsi"/>
            <w:color w:val="0F88B8"/>
            <w:u w:val="single"/>
            <w:bdr w:val="none" w:sz="0" w:space="0" w:color="auto" w:frame="1"/>
          </w:rPr>
          <w:t>http://www.flu.gov/professional/federal/pandemic-influenza.pdf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Homeland Security Council. </w:t>
      </w:r>
      <w:r w:rsidRPr="00EC48FD">
        <w:rPr>
          <w:rFonts w:eastAsia="Times New Roman" w:cstheme="minorHAnsi"/>
          <w:i/>
          <w:iCs/>
          <w:color w:val="000000" w:themeColor="text1"/>
          <w:bdr w:val="none" w:sz="0" w:space="0" w:color="auto" w:frame="1"/>
        </w:rPr>
        <w:t>National Strategy for Pandemic Influenza: Implementation Plan</w:t>
      </w:r>
      <w:r w:rsidRPr="00EC48FD">
        <w:rPr>
          <w:rFonts w:eastAsia="Times New Roman" w:cstheme="minorHAnsi"/>
          <w:color w:val="000000" w:themeColor="text1"/>
        </w:rPr>
        <w:t>. May 2006. Available at </w:t>
      </w:r>
      <w:hyperlink r:id="rId83" w:tgtFrame="_blank" w:tooltip="http://www.flu.gov/professional/federal/pandemic-influenza-implementation.pdf" w:history="1">
        <w:r w:rsidRPr="00EC48FD">
          <w:rPr>
            <w:rFonts w:eastAsia="Times New Roman" w:cstheme="minorHAnsi"/>
            <w:color w:val="0F88B8"/>
            <w:u w:val="single"/>
            <w:bdr w:val="none" w:sz="0" w:space="0" w:color="auto" w:frame="1"/>
          </w:rPr>
          <w:t>http://www.flu.gov/professional/federal/pandemic-influenza-implementation.pdf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HHS. </w:t>
      </w:r>
      <w:r w:rsidRPr="00EC48FD">
        <w:rPr>
          <w:rFonts w:eastAsia="Times New Roman" w:cstheme="minorHAnsi"/>
          <w:i/>
          <w:iCs/>
          <w:color w:val="000000" w:themeColor="text1"/>
          <w:bdr w:val="none" w:sz="0" w:space="0" w:color="auto" w:frame="1"/>
        </w:rPr>
        <w:t>HHS Pandemic Influenza Plan</w:t>
      </w:r>
      <w:r w:rsidRPr="00EC48FD">
        <w:rPr>
          <w:rFonts w:eastAsia="Times New Roman" w:cstheme="minorHAnsi"/>
          <w:color w:val="000000" w:themeColor="text1"/>
        </w:rPr>
        <w:t>. November 2005. Available at </w:t>
      </w:r>
      <w:hyperlink r:id="rId84" w:tgtFrame="_blank" w:tooltip="http://www.flu.gov/planning-preparedness/federal/hhspandemicinfluenzaplan.pdf" w:history="1">
        <w:r w:rsidRPr="00EC48FD">
          <w:rPr>
            <w:rFonts w:eastAsia="Times New Roman" w:cstheme="minorHAnsi"/>
            <w:color w:val="0F88B8"/>
            <w:u w:val="single"/>
            <w:bdr w:val="none" w:sz="0" w:space="0" w:color="auto" w:frame="1"/>
          </w:rPr>
          <w:t>http://www.flu.gov/planning-preparedness/federal/hhspandemicinfluenzaplan.pdf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Department of Homeland Security. </w:t>
      </w:r>
      <w:r w:rsidRPr="00EC48FD">
        <w:rPr>
          <w:rFonts w:eastAsia="Times New Roman" w:cstheme="minorHAnsi"/>
          <w:i/>
          <w:iCs/>
          <w:color w:val="000000" w:themeColor="text1"/>
          <w:bdr w:val="none" w:sz="0" w:space="0" w:color="auto" w:frame="1"/>
        </w:rPr>
        <w:t>Pandemic Influenza Preparedness, Response, and Recovery Guide for Critical Infrastructure and Key Resources</w:t>
      </w:r>
      <w:r w:rsidRPr="00EC48FD">
        <w:rPr>
          <w:rFonts w:eastAsia="Times New Roman" w:cstheme="minorHAnsi"/>
          <w:color w:val="000000" w:themeColor="text1"/>
        </w:rPr>
        <w:t>. September 2006. Available at </w:t>
      </w:r>
      <w:hyperlink r:id="rId85" w:tgtFrame="_blank" w:tooltip="http://www.flu.gov/professional/pdf/cikrpandemicinfluenzaguide.pdf" w:history="1">
        <w:r w:rsidRPr="00EC48FD">
          <w:rPr>
            <w:rFonts w:eastAsia="Times New Roman" w:cstheme="minorHAnsi"/>
            <w:color w:val="0F88B8"/>
            <w:u w:val="single"/>
            <w:bdr w:val="none" w:sz="0" w:space="0" w:color="auto" w:frame="1"/>
          </w:rPr>
          <w:t>http://www.flu.gov/professional/pdf/cikrpandemicinfluenzaguide.pdf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CDC. </w:t>
      </w:r>
      <w:r w:rsidRPr="00EC48FD">
        <w:rPr>
          <w:rFonts w:eastAsia="Times New Roman" w:cstheme="minorHAnsi"/>
          <w:i/>
          <w:iCs/>
          <w:color w:val="000000" w:themeColor="text1"/>
          <w:bdr w:val="none" w:sz="0" w:space="0" w:color="auto" w:frame="1"/>
        </w:rPr>
        <w:t xml:space="preserve">National </w:t>
      </w:r>
      <w:proofErr w:type="spellStart"/>
      <w:r w:rsidRPr="00EC48FD">
        <w:rPr>
          <w:rFonts w:eastAsia="Times New Roman" w:cstheme="minorHAnsi"/>
          <w:i/>
          <w:iCs/>
          <w:color w:val="000000" w:themeColor="text1"/>
          <w:bdr w:val="none" w:sz="0" w:space="0" w:color="auto" w:frame="1"/>
        </w:rPr>
        <w:t>Biosurveillance</w:t>
      </w:r>
      <w:proofErr w:type="spellEnd"/>
      <w:r w:rsidRPr="00EC48FD">
        <w:rPr>
          <w:rFonts w:eastAsia="Times New Roman" w:cstheme="minorHAnsi"/>
          <w:i/>
          <w:iCs/>
          <w:color w:val="000000" w:themeColor="text1"/>
          <w:bdr w:val="none" w:sz="0" w:space="0" w:color="auto" w:frame="1"/>
        </w:rPr>
        <w:t xml:space="preserve"> Strategy for Human Health (NBSHH). </w:t>
      </w:r>
      <w:r w:rsidRPr="00EC48FD">
        <w:rPr>
          <w:rFonts w:eastAsia="Times New Roman" w:cstheme="minorHAnsi"/>
          <w:color w:val="000000" w:themeColor="text1"/>
        </w:rPr>
        <w:t>July 2012. Available at </w:t>
      </w:r>
      <w:hyperlink r:id="rId86" w:tgtFrame="_blank" w:tooltip="https://www.whitehouse.gov/sites/default/files/National_Strategy_for_Biosurveillance_July_2012.pdf" w:history="1">
        <w:r w:rsidRPr="00EC48FD">
          <w:rPr>
            <w:rFonts w:eastAsia="Times New Roman" w:cstheme="minorHAnsi"/>
            <w:color w:val="0F88B8"/>
            <w:u w:val="single"/>
            <w:bdr w:val="none" w:sz="0" w:space="0" w:color="auto" w:frame="1"/>
          </w:rPr>
          <w:t>https://www.whitehouse.gov/sites/default/files/National_Strategy_for_Biosurveillance_July_2012.pdf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color w:val="000000" w:themeColor="text1"/>
        </w:rPr>
        <w:br/>
        <w:t>Flu.gov. Available at </w:t>
      </w:r>
      <w:hyperlink r:id="rId87" w:tgtFrame="_blank" w:tooltip="http://www.flu.gov" w:history="1">
        <w:r w:rsidRPr="00EC48FD">
          <w:rPr>
            <w:rFonts w:eastAsia="Times New Roman" w:cstheme="minorHAnsi"/>
            <w:color w:val="0F88B8"/>
            <w:u w:val="single"/>
            <w:bdr w:val="none" w:sz="0" w:space="0" w:color="auto" w:frame="1"/>
          </w:rPr>
          <w:t>http://www.flu.gov</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19F6EEAB"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Public Health Service Act, Section 319—Authorities Related to Public Health Emergencies</w:t>
      </w:r>
    </w:p>
    <w:p w14:paraId="312EE300"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PHS Act Sec. 319. Codified at 42 U.S.C. § 247d. Available at </w:t>
      </w:r>
      <w:hyperlink r:id="rId88" w:tgtFrame="_blank" w:tooltip="http://www.gpo.gov/fdsys/pkg/USCODE-2009-title42/html/USCODE-2009-title42-chap6A-subchapII.htm" w:history="1">
        <w:r w:rsidRPr="00EC48FD">
          <w:rPr>
            <w:rFonts w:eastAsia="Times New Roman" w:cstheme="minorHAnsi"/>
            <w:color w:val="0F88B8"/>
            <w:u w:val="single"/>
            <w:bdr w:val="none" w:sz="0" w:space="0" w:color="auto" w:frame="1"/>
          </w:rPr>
          <w:t>http://www.gpo.gov/fdsys/pkg/USCODE-2009-title42/html/USCODE-2009-title42-chap6A-subchapII.htm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6EC73869"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Public Readiness and Emergency Preparedness Act (PREP Act)</w:t>
      </w:r>
    </w:p>
    <w:p w14:paraId="6BCC03EF" w14:textId="77777777" w:rsidR="0050230C" w:rsidRPr="00B6145E" w:rsidRDefault="0050230C" w:rsidP="007D0859">
      <w:pPr>
        <w:shd w:val="clear" w:color="auto" w:fill="FFFFFF"/>
        <w:spacing w:after="240" w:line="240" w:lineRule="atLeast"/>
        <w:textAlignment w:val="baseline"/>
        <w:rPr>
          <w:rFonts w:eastAsia="Times New Roman" w:cstheme="minorHAnsi"/>
          <w:b/>
          <w:bCs/>
          <w:color w:val="000000" w:themeColor="text1"/>
          <w:bdr w:val="none" w:sz="0" w:space="0" w:color="auto" w:frame="1"/>
        </w:rPr>
      </w:pPr>
      <w:r w:rsidRPr="00EC48FD">
        <w:rPr>
          <w:rFonts w:eastAsia="Times New Roman" w:cstheme="minorHAnsi"/>
          <w:color w:val="000000" w:themeColor="text1"/>
        </w:rPr>
        <w:br/>
      </w:r>
      <w:r w:rsidRPr="00EC48FD">
        <w:rPr>
          <w:rFonts w:eastAsia="Times New Roman" w:cstheme="minorHAnsi"/>
          <w:i/>
          <w:iCs/>
          <w:color w:val="000000" w:themeColor="text1"/>
          <w:bdr w:val="none" w:sz="0" w:space="0" w:color="auto" w:frame="1"/>
        </w:rPr>
        <w:t xml:space="preserve">See also </w:t>
      </w:r>
      <w:r w:rsidRPr="00EC48FD">
        <w:rPr>
          <w:rFonts w:eastAsia="Times New Roman" w:cstheme="minorHAnsi"/>
          <w:i/>
          <w:iCs/>
          <w:color w:val="737373"/>
          <w:bdr w:val="none" w:sz="0" w:space="0" w:color="auto" w:frame="1"/>
        </w:rPr>
        <w:t>“</w:t>
      </w:r>
      <w:hyperlink r:id="rId89" w:anchor="Countermeasures-Injury" w:history="1">
        <w:r w:rsidRPr="00EC48FD">
          <w:rPr>
            <w:rFonts w:eastAsia="Times New Roman" w:cstheme="minorHAnsi"/>
            <w:i/>
            <w:iCs/>
            <w:color w:val="0F88B8"/>
            <w:u w:val="single"/>
            <w:bdr w:val="none" w:sz="0" w:space="0" w:color="auto" w:frame="1"/>
          </w:rPr>
          <w:t>Countermeasures Injury Compensation Program</w:t>
        </w:r>
      </w:hyperlink>
      <w:r w:rsidRPr="00EC48FD">
        <w:rPr>
          <w:rFonts w:eastAsia="Times New Roman" w:cstheme="minorHAnsi"/>
          <w:i/>
          <w:iCs/>
          <w:color w:val="737373"/>
          <w:bdr w:val="none" w:sz="0" w:space="0" w:color="auto" w:frame="1"/>
        </w:rPr>
        <w:t>” </w:t>
      </w:r>
      <w:r w:rsidRPr="00EC48FD">
        <w:rPr>
          <w:rFonts w:eastAsia="Times New Roman" w:cstheme="minorHAnsi"/>
          <w:i/>
          <w:iCs/>
          <w:color w:val="737373"/>
          <w:bdr w:val="none" w:sz="0" w:space="0" w:color="auto" w:frame="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Public Readiness and Emergency Preparedness Act of 2005. Pub. L. No. 109-417 (120 STAT. 2831). Available at </w:t>
      </w:r>
      <w:hyperlink r:id="rId90" w:tgtFrame="_blank" w:tooltip="http://www.gpo.gov/fdsys/pkg/PLAW-109publ417/pdf/PLAW-109publ417.pdf" w:history="1">
        <w:r w:rsidRPr="00EC48FD">
          <w:rPr>
            <w:rFonts w:eastAsia="Times New Roman" w:cstheme="minorHAnsi"/>
            <w:color w:val="0F88B8"/>
            <w:u w:val="single"/>
            <w:bdr w:val="none" w:sz="0" w:space="0" w:color="auto" w:frame="1"/>
          </w:rPr>
          <w:t>http://www.gpo.gov/fdsys/pkg/PLAW-109publ417/pdf/PLAW-109publ417.pdf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 Codified in the Public Health Service Act at 42 U.S.C. §§ 247d-6d, 247d-6e. Available at </w:t>
      </w:r>
      <w:hyperlink r:id="rId91" w:tgtFrame="_blank" w:tooltip="http://www.gpo.gov/fdsys/pkg/USCODE-2009-title42/html/USCODE-2009-title42-chap6A-subchapII.htm" w:history="1">
        <w:r w:rsidRPr="00EC48FD">
          <w:rPr>
            <w:rFonts w:eastAsia="Times New Roman" w:cstheme="minorHAnsi"/>
            <w:color w:val="0F88B8"/>
            <w:u w:val="single"/>
            <w:bdr w:val="none" w:sz="0" w:space="0" w:color="auto" w:frame="1"/>
          </w:rPr>
          <w:t>http://www.gpo.gov/fdsys/pkg/USCODE-2009-title42/html/USCODE-2009-title42-chap6A-subchapII.htm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Department of Health and Human Services. “Public Readiness and Emergency Preparedness Act” webpage. Available at </w:t>
      </w:r>
      <w:hyperlink r:id="rId92" w:tgtFrame="_blank" w:tooltip="http://www.phe.gov/Preparedness/legal/prepact/Pages/default.aspx" w:history="1">
        <w:r w:rsidRPr="00EC48FD">
          <w:rPr>
            <w:rFonts w:eastAsia="Times New Roman" w:cstheme="minorHAnsi"/>
            <w:color w:val="0F88B8"/>
            <w:u w:val="single"/>
            <w:bdr w:val="none" w:sz="0" w:space="0" w:color="auto" w:frame="1"/>
          </w:rPr>
          <w:t>http://www.phe.gov/Preparedness/legal/prepact/Pages/default.aspx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lastRenderedPageBreak/>
        <w:br/>
        <w:t>• Department of Health and Human Services. “Public Readiness and Emergency Preparedness Act Questions and Answers” webpage. Available at </w:t>
      </w:r>
      <w:hyperlink r:id="rId93" w:tgtFrame="_blank" w:tooltip="http://www.phe.gov/Preparedness/legal/prepact/Pages/prepqa.aspx" w:history="1">
        <w:r w:rsidRPr="00EC48FD">
          <w:rPr>
            <w:rFonts w:eastAsia="Times New Roman" w:cstheme="minorHAnsi"/>
            <w:color w:val="0F88B8"/>
            <w:u w:val="single"/>
            <w:bdr w:val="none" w:sz="0" w:space="0" w:color="auto" w:frame="1"/>
          </w:rPr>
          <w:t>http://www.phe.gov/Preparedness/legal/prepact/Pages/prepqa.aspx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Readiness and Emergency Preparedness Act (PREP) Act Declarations </w:t>
      </w:r>
      <w:r w:rsidRPr="00EC48FD">
        <w:rPr>
          <w:rFonts w:eastAsia="Times New Roman" w:cstheme="minorHAnsi"/>
          <w:b/>
          <w:bCs/>
          <w:color w:val="000000" w:themeColor="text1"/>
          <w:bdr w:val="none" w:sz="0" w:space="0" w:color="auto" w:frame="1"/>
        </w:rPr>
        <w:br/>
        <w:t>Current and Expired PREP Act Declarations </w:t>
      </w:r>
      <w:r w:rsidRPr="00EC48FD">
        <w:rPr>
          <w:rFonts w:eastAsia="Times New Roman" w:cstheme="minorHAnsi"/>
          <w:color w:val="000000" w:themeColor="text1"/>
        </w:rPr>
        <w:br/>
      </w:r>
      <w:hyperlink r:id="rId94" w:tgtFrame="_blank" w:tooltip="http://www.phe.gov/Preparedness/legal/prepact/Pages/default.aspx" w:history="1">
        <w:r w:rsidRPr="00EC48FD">
          <w:rPr>
            <w:rFonts w:eastAsia="Times New Roman" w:cstheme="minorHAnsi"/>
            <w:color w:val="0F88B8"/>
            <w:u w:val="single"/>
            <w:bdr w:val="none" w:sz="0" w:space="0" w:color="auto" w:frame="1"/>
          </w:rPr>
          <w:t>http://www.phe.gov/Preparedness/legal/prepact/Pages/default.aspx</w:t>
        </w:r>
      </w:hyperlink>
      <w:r w:rsidRPr="00EC48FD">
        <w:rPr>
          <w:rFonts w:eastAsia="Times New Roman" w:cstheme="minorHAnsi"/>
          <w:color w:val="737373"/>
        </w:rPr>
        <w:br/>
      </w:r>
    </w:p>
    <w:p w14:paraId="0CBFE854"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Scope of Practice Resources</w:t>
      </w:r>
    </w:p>
    <w:p w14:paraId="3940A5C6"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Courtney B et al. “Expanding Practitioner Scopes of Practice During Public Health Emergencies: Experiences from the 2009 H1N1 Pandemic Vaccination Efforts.” </w:t>
      </w:r>
      <w:r w:rsidRPr="00EC48FD">
        <w:rPr>
          <w:rFonts w:eastAsia="Times New Roman" w:cstheme="minorHAnsi"/>
          <w:i/>
          <w:iCs/>
          <w:color w:val="000000" w:themeColor="text1"/>
          <w:bdr w:val="none" w:sz="0" w:space="0" w:color="auto" w:frame="1"/>
        </w:rPr>
        <w:t>Biosecurity and Bioterrorism</w:t>
      </w:r>
      <w:r w:rsidRPr="00EC48FD">
        <w:rPr>
          <w:rFonts w:eastAsia="Times New Roman" w:cstheme="minorHAnsi"/>
          <w:color w:val="000000" w:themeColor="text1"/>
        </w:rPr>
        <w:t>. Vol. 8, No. 3. 2010. </w:t>
      </w:r>
      <w:r w:rsidRPr="00EC48FD">
        <w:rPr>
          <w:rFonts w:eastAsia="Times New Roman" w:cstheme="minorHAnsi"/>
          <w:color w:val="000000" w:themeColor="text1"/>
        </w:rPr>
        <w:br/>
      </w:r>
      <w:r w:rsidRPr="00EC48FD">
        <w:rPr>
          <w:rFonts w:eastAsia="Times New Roman" w:cstheme="minorHAnsi"/>
          <w:color w:val="000000" w:themeColor="text1"/>
        </w:rPr>
        <w:br/>
        <w:t>Federation of State Medical Boards. </w:t>
      </w:r>
      <w:r w:rsidRPr="00EC48FD">
        <w:rPr>
          <w:rFonts w:eastAsia="Times New Roman" w:cstheme="minorHAnsi"/>
          <w:i/>
          <w:iCs/>
          <w:color w:val="000000" w:themeColor="text1"/>
          <w:bdr w:val="none" w:sz="0" w:space="0" w:color="auto" w:frame="1"/>
        </w:rPr>
        <w:t>Assessing Scope of Practice in Healthcare Delivery: Critical Questions in Assuring Public Access and Safety</w:t>
      </w:r>
      <w:r w:rsidRPr="00EC48FD">
        <w:rPr>
          <w:rFonts w:eastAsia="Times New Roman" w:cstheme="minorHAnsi"/>
          <w:color w:val="000000" w:themeColor="text1"/>
        </w:rPr>
        <w:t>. 2005. Available at </w:t>
      </w:r>
      <w:hyperlink r:id="rId95" w:tgtFrame="_blank" w:tooltip="http://www.fsmb.org/pdf/2005_grpol_scope_of_practice.pdf" w:history="1">
        <w:r w:rsidRPr="00EC48FD">
          <w:rPr>
            <w:rFonts w:eastAsia="Times New Roman" w:cstheme="minorHAnsi"/>
            <w:color w:val="0F88B8"/>
            <w:u w:val="single"/>
            <w:bdr w:val="none" w:sz="0" w:space="0" w:color="auto" w:frame="1"/>
          </w:rPr>
          <w:t>http://www.fsmb.org/pdf/2005_grpol_scope_of_practice.pdf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Health Resources and Services Administration. </w:t>
      </w:r>
      <w:r w:rsidRPr="00EC48FD">
        <w:rPr>
          <w:rFonts w:eastAsia="Times New Roman" w:cstheme="minorHAnsi"/>
          <w:i/>
          <w:iCs/>
          <w:color w:val="000000" w:themeColor="text1"/>
          <w:bdr w:val="none" w:sz="0" w:space="0" w:color="auto" w:frame="1"/>
        </w:rPr>
        <w:t>Emergency System for Advance Registration of Volunteer Health Professionals (ESAR-VHP)—Legal and Regulatory Issues</w:t>
      </w:r>
      <w:r w:rsidRPr="00EC48FD">
        <w:rPr>
          <w:rFonts w:eastAsia="Times New Roman" w:cstheme="minorHAnsi"/>
          <w:color w:val="000000" w:themeColor="text1"/>
        </w:rPr>
        <w:t>. Draft Report. May 2006. Available at </w:t>
      </w:r>
      <w:hyperlink r:id="rId96" w:tgtFrame="_blank" w:tooltip="http://www.publichealthlaw.net/Research/PDF/ESAR%20VHP%20Report.pdf" w:history="1">
        <w:r w:rsidRPr="00EC48FD">
          <w:rPr>
            <w:rFonts w:eastAsia="Times New Roman" w:cstheme="minorHAnsi"/>
            <w:color w:val="0F88B8"/>
            <w:u w:val="single"/>
            <w:bdr w:val="none" w:sz="0" w:space="0" w:color="auto" w:frame="1"/>
          </w:rPr>
          <w:t>http://www.publichealthlaw.net/Research/PDF/ESAR%20VHP%20Report.pdf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National Council on State Boards of Nursing. </w:t>
      </w:r>
      <w:r w:rsidRPr="00EC48FD">
        <w:rPr>
          <w:rFonts w:eastAsia="Times New Roman" w:cstheme="minorHAnsi"/>
          <w:i/>
          <w:iCs/>
          <w:color w:val="000000" w:themeColor="text1"/>
          <w:bdr w:val="none" w:sz="0" w:space="0" w:color="auto" w:frame="1"/>
        </w:rPr>
        <w:t>Changes in Healthcare Professions’ Scope of Practice: Legislative Considerations</w:t>
      </w:r>
      <w:r w:rsidRPr="00EC48FD">
        <w:rPr>
          <w:rFonts w:eastAsia="Times New Roman" w:cstheme="minorHAnsi"/>
          <w:color w:val="000000" w:themeColor="text1"/>
        </w:rPr>
        <w:t>. January 2012. Available at </w:t>
      </w:r>
      <w:hyperlink r:id="rId97" w:tgtFrame="_blank" w:tooltip="http://www.ncsbn.org/Scope_of_Practice_2012.pdf" w:history="1">
        <w:r w:rsidRPr="00EC48FD">
          <w:rPr>
            <w:rFonts w:eastAsia="Times New Roman" w:cstheme="minorHAnsi"/>
            <w:color w:val="0F88B8"/>
            <w:u w:val="single"/>
            <w:bdr w:val="none" w:sz="0" w:space="0" w:color="auto" w:frame="1"/>
          </w:rPr>
          <w:t>http://www.ncsbn.org/Scope_of_Practice_2012.pdf</w:t>
        </w:r>
      </w:hyperlink>
      <w:r w:rsidRPr="00EC48FD">
        <w:rPr>
          <w:rFonts w:eastAsia="Times New Roman" w:cstheme="minorHAnsi"/>
          <w:color w:val="737373"/>
        </w:rPr>
        <w:t>. (requires membership)</w:t>
      </w:r>
      <w:r w:rsidRPr="00EC48FD">
        <w:rPr>
          <w:rFonts w:eastAsia="Times New Roman" w:cstheme="minorHAnsi"/>
          <w:color w:val="737373"/>
        </w:rPr>
        <w:br/>
      </w:r>
      <w:r w:rsidRPr="00EC48FD">
        <w:rPr>
          <w:rFonts w:eastAsia="Times New Roman" w:cstheme="minorHAnsi"/>
          <w:color w:val="000000" w:themeColor="text1"/>
        </w:rPr>
        <w:br/>
      </w:r>
    </w:p>
    <w:p w14:paraId="00246CCF"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Social Security Act, Section 1135</w:t>
      </w:r>
    </w:p>
    <w:p w14:paraId="106EE671"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Social Security Act, Section 1135. Codified at 42 U.S.C. § 1320b-5. Available at</w:t>
      </w:r>
      <w:r w:rsidRPr="00EC48FD">
        <w:rPr>
          <w:rFonts w:eastAsia="Times New Roman" w:cstheme="minorHAnsi"/>
          <w:color w:val="737373"/>
        </w:rPr>
        <w:t> </w:t>
      </w:r>
      <w:hyperlink r:id="rId98" w:tgtFrame="_blank" w:tooltip="http://www.ssa.gov/OP_Home/ssact/title11/1135.htm" w:history="1">
        <w:r w:rsidRPr="00EC48FD">
          <w:rPr>
            <w:rFonts w:eastAsia="Times New Roman" w:cstheme="minorHAnsi"/>
            <w:color w:val="0F88B8"/>
            <w:u w:val="single"/>
            <w:bdr w:val="none" w:sz="0" w:space="0" w:color="auto" w:frame="1"/>
          </w:rPr>
          <w:t>http://www.ssa.gov/OP_Home/ssact/title11/1135.htm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Summaries of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Department of Health and Human Services. “Public Health Emergency Declaration Q&amp;As” webpage. Available at </w:t>
      </w:r>
      <w:hyperlink r:id="rId99" w:tgtFrame="_blank" w:tooltip="http://www.phe.gov/Preparedness/legal/Pages/phe-qa.aspx" w:history="1">
        <w:r w:rsidRPr="00EC48FD">
          <w:rPr>
            <w:rFonts w:eastAsia="Times New Roman" w:cstheme="minorHAnsi"/>
            <w:color w:val="0F88B8"/>
            <w:u w:val="single"/>
            <w:bdr w:val="none" w:sz="0" w:space="0" w:color="auto" w:frame="1"/>
          </w:rPr>
          <w:t>http://www.phe.gov/Preparedness/legal/Pages/phe-qa.aspx</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CMS. “Emergency” webpage. Available at </w:t>
      </w:r>
      <w:hyperlink r:id="rId100" w:tgtFrame="_blank" w:tooltip="http://www.cms.gov/Emergency" w:history="1">
        <w:r w:rsidRPr="00EC48FD">
          <w:rPr>
            <w:rFonts w:eastAsia="Times New Roman" w:cstheme="minorHAnsi"/>
            <w:color w:val="0F88B8"/>
            <w:u w:val="single"/>
            <w:bdr w:val="none" w:sz="0" w:space="0" w:color="auto" w:frame="1"/>
          </w:rPr>
          <w:t>http://www.cms.gov/Emergency</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 CMS. “Medicare Fee-For-Service Emergency and Disaster-Related Policies and Procedures That May Be Implemented Only With a § 1135 Waiver.” October 3, 2011. Available at </w:t>
      </w:r>
      <w:hyperlink r:id="rId101" w:tgtFrame="_blank" w:tooltip="http://www.cms.gov/Emergency/downloads/MedicareFFS-EmergencyQsAs1135Waiver.pdf" w:history="1">
        <w:r w:rsidRPr="00EC48FD">
          <w:rPr>
            <w:rFonts w:eastAsia="Times New Roman" w:cstheme="minorHAnsi"/>
            <w:color w:val="0F88B8"/>
            <w:u w:val="single"/>
            <w:bdr w:val="none" w:sz="0" w:space="0" w:color="auto" w:frame="1"/>
          </w:rPr>
          <w:t>http://www.cms.gov/Emergency/downloads/MedicareFFS-EmergencyQsAs1135Waiver.pdf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lastRenderedPageBreak/>
        <w:br/>
        <w:t>• CMS. “Medicare Fee-For-Service Emergency-Related Policies and Procedures That May Be Implemented Without § 1135 Waivers.” October 30, 2011. Available at </w:t>
      </w:r>
      <w:hyperlink r:id="rId102" w:tgtFrame="_blank" w:tooltip="http://www.cms.gov/Emergency/Downloads/Consolidated_Medicare_FFS_Emergency_QsAs.pdf" w:history="1">
        <w:r w:rsidRPr="00EC48FD">
          <w:rPr>
            <w:rFonts w:eastAsia="Times New Roman" w:cstheme="minorHAnsi"/>
            <w:color w:val="0F88B8"/>
            <w:u w:val="single"/>
            <w:bdr w:val="none" w:sz="0" w:space="0" w:color="auto" w:frame="1"/>
          </w:rPr>
          <w:t>http://www.cms.gov/Emergency/Downloads/Consolidated_Medicare_FFS_Emergency_QsAs.pdf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 CMS. “Requesting an 1135 Waiver.” November 4, 2009. Available at </w:t>
      </w:r>
      <w:hyperlink r:id="rId103" w:tgtFrame="_blank" w:tooltip="http://www.cms.gov/H1N1/Downloads/RequestingAWaiver101.pdf" w:history="1">
        <w:r w:rsidRPr="00EC48FD">
          <w:rPr>
            <w:rFonts w:eastAsia="Times New Roman" w:cstheme="minorHAnsi"/>
            <w:color w:val="0F88B8"/>
            <w:u w:val="single"/>
            <w:bdr w:val="none" w:sz="0" w:space="0" w:color="auto" w:frame="1"/>
          </w:rPr>
          <w:t>http://www.cms.gov/H1N1/Downloads/RequestingAWaiver101.pdf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098B3B19"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Uniform Emergency Volunteer Health Practitioners Act (UEVHPA)</w:t>
      </w:r>
    </w:p>
    <w:p w14:paraId="3D66D8D9"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Uniform Emergency Volunteer Health Practitioners Act (UEVHPA). Uniform Law Commission. “Emergency Volunteer Health Practitioners” website. Available at </w:t>
      </w:r>
      <w:hyperlink r:id="rId104" w:tgtFrame="_blank" w:tooltip="http://uniformlaws.org/Act.aspx?title=Emergency%20Volunteer%20Health%20Practitioners" w:history="1">
        <w:r w:rsidRPr="00EC48FD">
          <w:rPr>
            <w:rFonts w:eastAsia="Times New Roman" w:cstheme="minorHAnsi"/>
            <w:color w:val="0F88B8"/>
            <w:u w:val="single"/>
            <w:bdr w:val="none" w:sz="0" w:space="0" w:color="auto" w:frame="1"/>
          </w:rPr>
          <w:t>http://uniformlaws.org/Act.aspx?title=Emergency%20Volunteer%20Health%20Practitioners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2D99D3A8"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Vaccination Resources</w:t>
      </w:r>
    </w:p>
    <w:p w14:paraId="0159A362"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U.S. Centers for Disease Control and Prevention. “Fact Sheet for Vaccine Information Statements” webpage. Updated December 7, 2010. Available at </w:t>
      </w:r>
      <w:hyperlink r:id="rId105" w:tgtFrame="_blank" w:tooltip="http://www.cdc.gov/vaccines/pubs/vis/vis-facts.htm" w:history="1">
        <w:r w:rsidRPr="00EC48FD">
          <w:rPr>
            <w:rFonts w:eastAsia="Times New Roman" w:cstheme="minorHAnsi"/>
            <w:color w:val="0F88B8"/>
            <w:u w:val="single"/>
            <w:bdr w:val="none" w:sz="0" w:space="0" w:color="auto" w:frame="1"/>
          </w:rPr>
          <w:t>http://www.cdc.gov/vaccines/pubs/vis/vis-facts.htm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Centers for Disease Control and Prevention. “Vaccines &amp; Immunizations: Requirements &amp; Laws” webpage. Updated July 21, 2011. Available at </w:t>
      </w:r>
      <w:hyperlink r:id="rId106" w:tgtFrame="_blank" w:tooltip="http://www.cdc.gov/vaccines/vac-gen/laws/" w:history="1">
        <w:r w:rsidRPr="00EC48FD">
          <w:rPr>
            <w:rFonts w:eastAsia="Times New Roman" w:cstheme="minorHAnsi"/>
            <w:color w:val="0F88B8"/>
            <w:u w:val="single"/>
            <w:bdr w:val="none" w:sz="0" w:space="0" w:color="auto" w:frame="1"/>
          </w:rPr>
          <w:t>http://www.cdc.gov/vaccines/vac-gen/laws/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Centers for Disease Control and Prevention. CDC Guidelines for Large-Scale Influenza Vaccination Clinic Planning. Webpage updated September 14, 2011. Available at </w:t>
      </w:r>
      <w:hyperlink r:id="rId107" w:tooltip="www.cdc.gov/flu/professionals/vaccination/vax_clinic.htm" w:history="1">
        <w:r w:rsidRPr="00EC48FD">
          <w:rPr>
            <w:rFonts w:eastAsia="Times New Roman" w:cstheme="minorHAnsi"/>
            <w:color w:val="0F88B8"/>
            <w:u w:val="single"/>
            <w:bdr w:val="none" w:sz="0" w:space="0" w:color="auto" w:frame="1"/>
          </w:rPr>
          <w:t>http://www.cdc.gov/vaccines/vac-gen/laws/www.cdc.gov/flu/professionals/vaccination/vax_clinic.htm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Department of Health and Human Services. “School Planning” webpage. Available at </w:t>
      </w:r>
      <w:hyperlink r:id="rId108" w:tgtFrame="_blank" w:tooltip="www.flu.gov/professional/school/index.html" w:history="1">
        <w:r w:rsidRPr="00EC48FD">
          <w:rPr>
            <w:rFonts w:eastAsia="Times New Roman" w:cstheme="minorHAnsi"/>
            <w:color w:val="0F88B8"/>
            <w:u w:val="single"/>
            <w:bdr w:val="none" w:sz="0" w:space="0" w:color="auto" w:frame="1"/>
          </w:rPr>
          <w:t>http://www.flu.gov/professional/school/index.html</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Centers for Disease Control and Prevention. 2009 H1N1 Influenza School-located Vaccination: Information for Planners. Undated. Available at </w:t>
      </w:r>
      <w:hyperlink r:id="rId109" w:tgtFrame="_blank" w:tooltip="http://www.cdc.gov/h1n1flu/vaccination/slv/planners.htm" w:history="1">
        <w:r w:rsidRPr="00EC48FD">
          <w:rPr>
            <w:rFonts w:eastAsia="Times New Roman" w:cstheme="minorHAnsi"/>
            <w:color w:val="0F88B8"/>
            <w:u w:val="single"/>
            <w:bdr w:val="none" w:sz="0" w:space="0" w:color="auto" w:frame="1"/>
          </w:rPr>
          <w:t>http://www.cdc.gov/h1n1flu/vaccination/slv/planners.htmww.flu.gov/professional/school/vaccinschools.html</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U.S. Department of Education. “Tips for Setting Up a Vaccination Clinic” Fact Sheet. October 8, 2009. Available at </w:t>
      </w:r>
      <w:hyperlink r:id="rId110" w:tgtFrame="_blank" w:tooltip="http://www2.ed.gov/admins/lead/safety/emergencyplan/pandemic/guidance/h1n1-news.pdf" w:history="1">
        <w:r w:rsidRPr="00EC48FD">
          <w:rPr>
            <w:rFonts w:eastAsia="Times New Roman" w:cstheme="minorHAnsi"/>
            <w:color w:val="0F88B8"/>
            <w:u w:val="single"/>
            <w:bdr w:val="none" w:sz="0" w:space="0" w:color="auto" w:frame="1"/>
          </w:rPr>
          <w:t>http://www2.ed.gov/admins/lead/safety/emergencyplan/pandemic/guidance/h1n1-news.pdf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66DDA7CA" w14:textId="77777777" w:rsidR="0050230C" w:rsidRPr="00EC48FD" w:rsidRDefault="0050230C" w:rsidP="00A05BCD">
      <w:pPr>
        <w:keepNext/>
        <w:rPr>
          <w:rFonts w:eastAsia="Times New Roman" w:cstheme="minorHAnsi"/>
          <w:b/>
          <w:bCs/>
          <w:color w:val="000000" w:themeColor="text1"/>
        </w:rPr>
      </w:pPr>
      <w:r w:rsidRPr="00EC48FD">
        <w:rPr>
          <w:rFonts w:eastAsia="Times New Roman" w:cstheme="minorHAnsi"/>
          <w:b/>
          <w:bCs/>
          <w:color w:val="000000" w:themeColor="text1"/>
        </w:rPr>
        <w:lastRenderedPageBreak/>
        <w:t>Vaccine Injury Compensation Program (VICP)</w:t>
      </w:r>
    </w:p>
    <w:p w14:paraId="607ACB45" w14:textId="77777777" w:rsidR="0050230C" w:rsidRPr="00EC48FD" w:rsidRDefault="0050230C" w:rsidP="007D0859">
      <w:pPr>
        <w:shd w:val="clear" w:color="auto" w:fill="FFFFFF"/>
        <w:spacing w:after="240" w:line="240" w:lineRule="atLeast"/>
        <w:textAlignment w:val="baseline"/>
        <w:rPr>
          <w:rFonts w:eastAsia="Times New Roman" w:cstheme="minorHAnsi"/>
          <w:color w:val="737373"/>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Offices/Programs/Activities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 Health Resources and Services Administration. “National Vaccine Injury Compensation Program (VICP)” webpage. Available at </w:t>
      </w:r>
      <w:hyperlink r:id="rId111" w:tgtFrame="_blank" w:tooltip="http://www.hrsa.gov/vaccinecompensation/default.htm" w:history="1">
        <w:r w:rsidRPr="00EC48FD">
          <w:rPr>
            <w:rFonts w:eastAsia="Times New Roman" w:cstheme="minorHAnsi"/>
            <w:color w:val="0F88B8"/>
            <w:u w:val="single"/>
            <w:bdr w:val="none" w:sz="0" w:space="0" w:color="auto" w:frame="1"/>
          </w:rPr>
          <w:t>http://www.hrsa.gov/vaccinecompensation/default.htm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737373"/>
        </w:rPr>
        <w:br/>
      </w:r>
    </w:p>
    <w:p w14:paraId="61D50808"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Volunteer Protection Act (VPA)</w:t>
      </w:r>
    </w:p>
    <w:p w14:paraId="44A1FF4F"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Public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Volunteer Protection Act of 1997. Pub. L. No. 105-19. Codified at 42 USC §14501 et seq. Available at</w:t>
      </w:r>
      <w:r w:rsidRPr="00EC48FD">
        <w:rPr>
          <w:rFonts w:eastAsia="Times New Roman" w:cstheme="minorHAnsi"/>
          <w:color w:val="737373"/>
        </w:rPr>
        <w:t> </w:t>
      </w:r>
      <w:hyperlink r:id="rId112" w:tgtFrame="_blank" w:tooltip="http://www.gpo.gov/fdsys/pkg/PLAW-105publ19/pdf/PLAW-105publ19.pdf" w:history="1">
        <w:r w:rsidRPr="00EC48FD">
          <w:rPr>
            <w:rFonts w:eastAsia="Times New Roman" w:cstheme="minorHAnsi"/>
            <w:color w:val="0F88B8"/>
            <w:u w:val="single"/>
            <w:bdr w:val="none" w:sz="0" w:space="0" w:color="auto" w:frame="1"/>
          </w:rPr>
          <w:t>http://www.gpo.gov/fdsys/pkg/PLAW-105publ19/pdf/PLAW-105publ19.pdf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Other Resources</w:t>
      </w:r>
      <w:r w:rsidRPr="00EC48FD">
        <w:rPr>
          <w:rFonts w:eastAsia="Times New Roman" w:cstheme="minorHAnsi"/>
          <w:color w:val="000000" w:themeColor="text1"/>
        </w:rPr>
        <w:t> </w:t>
      </w:r>
      <w:r w:rsidRPr="00EC48FD">
        <w:rPr>
          <w:rFonts w:eastAsia="Times New Roman" w:cstheme="minorHAnsi"/>
          <w:color w:val="000000" w:themeColor="text1"/>
        </w:rPr>
        <w:br/>
        <w:t>Chu V. Congressional Research Service. </w:t>
      </w:r>
      <w:r w:rsidRPr="00EC48FD">
        <w:rPr>
          <w:rFonts w:eastAsia="Times New Roman" w:cstheme="minorHAnsi"/>
          <w:i/>
          <w:iCs/>
          <w:color w:val="000000" w:themeColor="text1"/>
          <w:bdr w:val="none" w:sz="0" w:space="0" w:color="auto" w:frame="1"/>
        </w:rPr>
        <w:t>Emergency Response: Civil Liability of Volunteer Health Professionals</w:t>
      </w:r>
      <w:r w:rsidRPr="00EC48FD">
        <w:rPr>
          <w:rFonts w:eastAsia="Times New Roman" w:cstheme="minorHAnsi"/>
          <w:color w:val="000000" w:themeColor="text1"/>
        </w:rPr>
        <w:t> (R40176). January 19, 2011. Available at </w:t>
      </w:r>
      <w:hyperlink r:id="rId113" w:tgtFrame="_blank" w:tooltip="http://www.fas.org/sgp/crs/misc/R40176.pdf" w:history="1">
        <w:r w:rsidRPr="00EC48FD">
          <w:rPr>
            <w:rFonts w:eastAsia="Times New Roman" w:cstheme="minorHAnsi"/>
            <w:color w:val="0F88B8"/>
            <w:u w:val="single"/>
            <w:bdr w:val="none" w:sz="0" w:space="0" w:color="auto" w:frame="1"/>
          </w:rPr>
          <w:t>http://www.fas.org/sgp/crs/misc/R40176.pdf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Federal Emergency Management Agency. </w:t>
      </w:r>
      <w:r w:rsidRPr="00EC48FD">
        <w:rPr>
          <w:rFonts w:eastAsia="Times New Roman" w:cstheme="minorHAnsi"/>
          <w:i/>
          <w:iCs/>
          <w:color w:val="000000" w:themeColor="text1"/>
          <w:bdr w:val="none" w:sz="0" w:space="0" w:color="auto" w:frame="1"/>
        </w:rPr>
        <w:t>Citizen Corps Volunteer Liability Guide</w:t>
      </w:r>
      <w:r w:rsidRPr="00EC48FD">
        <w:rPr>
          <w:rFonts w:eastAsia="Times New Roman" w:cstheme="minorHAnsi"/>
          <w:color w:val="000000" w:themeColor="text1"/>
        </w:rPr>
        <w:t> (undated). Available at </w:t>
      </w:r>
      <w:hyperlink r:id="rId114" w:tgtFrame="_blank" w:tooltip="http://www.citizencorps.gov/councils/volunteer_mgmt.shtm" w:history="1">
        <w:r w:rsidRPr="00EC48FD">
          <w:rPr>
            <w:rFonts w:eastAsia="Times New Roman" w:cstheme="minorHAnsi"/>
            <w:color w:val="0F88B8"/>
            <w:u w:val="single"/>
            <w:bdr w:val="none" w:sz="0" w:space="0" w:color="auto" w:frame="1"/>
          </w:rPr>
          <w:t>http://www.citizencorps.gov/councils/volunteer_mgmt.shtm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Health Resources and Services Administration. </w:t>
      </w:r>
      <w:r w:rsidRPr="00EC48FD">
        <w:rPr>
          <w:rFonts w:eastAsia="Times New Roman" w:cstheme="minorHAnsi"/>
          <w:i/>
          <w:iCs/>
          <w:color w:val="000000" w:themeColor="text1"/>
          <w:bdr w:val="none" w:sz="0" w:space="0" w:color="auto" w:frame="1"/>
        </w:rPr>
        <w:t>Emergency System for Advance Registration of Volunteer Health Professionals (ESAR-VHP)—Legal and Regulatory Issues</w:t>
      </w:r>
      <w:r w:rsidRPr="00EC48FD">
        <w:rPr>
          <w:rFonts w:eastAsia="Times New Roman" w:cstheme="minorHAnsi"/>
          <w:color w:val="000000" w:themeColor="text1"/>
        </w:rPr>
        <w:t>. Draft Report—May 2006. Available at </w:t>
      </w:r>
      <w:hyperlink r:id="rId115" w:tgtFrame="_blank" w:tooltip="http://www.publichealthlaw.net/Research/PDF/ESAR%20VHP%20Report.pdf" w:history="1">
        <w:r w:rsidRPr="00EC48FD">
          <w:rPr>
            <w:rFonts w:eastAsia="Times New Roman" w:cstheme="minorHAnsi"/>
            <w:color w:val="0F88B8"/>
            <w:u w:val="single"/>
            <w:bdr w:val="none" w:sz="0" w:space="0" w:color="auto" w:frame="1"/>
          </w:rPr>
          <w:t>http://www.publichealthlaw.net/Research/PDF/ESAR%20VHP%20Report.pdf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Hodges JG and Arias JJ. “Liability Risks and Protections for Volunteer Health Practitioners in Emergencies.” Presentation to the Public Health Law Network-Western Region. November 2010. Available at </w:t>
      </w:r>
      <w:hyperlink r:id="rId116" w:tgtFrame="_blank" w:tooltip="https://www.networkforphl.org/_asset/5ywvc8/Western-Region---VHP-Liability-Webinar-12-2.pdf" w:history="1">
        <w:r w:rsidRPr="00EC48FD">
          <w:rPr>
            <w:rFonts w:eastAsia="Times New Roman" w:cstheme="minorHAnsi"/>
            <w:color w:val="0F88B8"/>
            <w:u w:val="single"/>
            <w:bdr w:val="none" w:sz="0" w:space="0" w:color="auto" w:frame="1"/>
          </w:rPr>
          <w:t>https://www.networkforphl.org/_asset/5ywvc8/Western-Region---VHP-Liability-Webinar-12-2.pdf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Hoffman S. “Responders’ Responsibility: Liability and Immunity in Public Health Emergencies.” 96 Geo. L.J. 1913, 1944. 2008. </w:t>
      </w:r>
      <w:r w:rsidRPr="00EC48FD">
        <w:rPr>
          <w:rFonts w:eastAsia="Times New Roman" w:cstheme="minorHAnsi"/>
          <w:color w:val="000000" w:themeColor="text1"/>
        </w:rPr>
        <w:br/>
      </w:r>
      <w:r w:rsidRPr="00EC48FD">
        <w:rPr>
          <w:rFonts w:eastAsia="Times New Roman" w:cstheme="minorHAnsi"/>
          <w:color w:val="000000" w:themeColor="text1"/>
        </w:rPr>
        <w:br/>
        <w:t>Nonprofit Risk Management Center. </w:t>
      </w:r>
      <w:r w:rsidRPr="00EC48FD">
        <w:rPr>
          <w:rFonts w:eastAsia="Times New Roman" w:cstheme="minorHAnsi"/>
          <w:i/>
          <w:iCs/>
          <w:color w:val="000000" w:themeColor="text1"/>
          <w:bdr w:val="none" w:sz="0" w:space="0" w:color="auto" w:frame="1"/>
        </w:rPr>
        <w:t>State Liability Laws for Charitable Organizations and Volunteers</w:t>
      </w:r>
      <w:r w:rsidRPr="00EC48FD">
        <w:rPr>
          <w:rFonts w:eastAsia="Times New Roman" w:cstheme="minorHAnsi"/>
          <w:color w:val="000000" w:themeColor="text1"/>
        </w:rPr>
        <w:t>. Updated as of December 2009. Available at</w:t>
      </w:r>
      <w:r w:rsidRPr="00EC48FD">
        <w:rPr>
          <w:rFonts w:eastAsia="Times New Roman" w:cstheme="minorHAnsi"/>
          <w:color w:val="737373"/>
        </w:rPr>
        <w:t> </w:t>
      </w:r>
      <w:hyperlink r:id="rId117" w:tgtFrame="_blank" w:tooltip="http://www.probonopartner.org/FileLib/Documents/nonprofitriskmgmtstateliability.pdf" w:history="1">
        <w:r w:rsidRPr="00EC48FD">
          <w:rPr>
            <w:rFonts w:eastAsia="Times New Roman" w:cstheme="minorHAnsi"/>
            <w:color w:val="0F88B8"/>
            <w:u w:val="single"/>
            <w:bdr w:val="none" w:sz="0" w:space="0" w:color="auto" w:frame="1"/>
          </w:rPr>
          <w:t>http://www.probonopartner.org/FileLib/Documents/nonprofitriskmgmtstateliability.pdf</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Uniform Emergency Volunteer Health Practitioners Act (UEVHPA). Uniform Law Commission. “Emergency Volunteer Health Practitioners” website. Available at </w:t>
      </w:r>
      <w:hyperlink r:id="rId118" w:tgtFrame="_blank" w:tooltip="http://uniformlaws.org/Act.aspx?title=Emergency%20Volunteer%20Health%20Practitioners" w:history="1">
        <w:r w:rsidRPr="00EC48FD">
          <w:rPr>
            <w:rFonts w:eastAsia="Times New Roman" w:cstheme="minorHAnsi"/>
            <w:color w:val="0F88B8"/>
            <w:u w:val="single"/>
            <w:bdr w:val="none" w:sz="0" w:space="0" w:color="auto" w:frame="1"/>
          </w:rPr>
          <w:t>http://uniformlaws.org/Act.aspx?title=Emergency%20Volunteer%20Health%20Practitioners</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
    <w:p w14:paraId="15CC62D4" w14:textId="77777777" w:rsidR="0050230C" w:rsidRPr="00EC48FD" w:rsidRDefault="0050230C" w:rsidP="00B323E1">
      <w:pPr>
        <w:rPr>
          <w:rFonts w:eastAsia="Times New Roman" w:cstheme="minorHAnsi"/>
          <w:b/>
          <w:bCs/>
          <w:color w:val="000000" w:themeColor="text1"/>
        </w:rPr>
      </w:pPr>
      <w:r w:rsidRPr="00EC48FD">
        <w:rPr>
          <w:rFonts w:eastAsia="Times New Roman" w:cstheme="minorHAnsi"/>
          <w:b/>
          <w:bCs/>
          <w:color w:val="000000" w:themeColor="text1"/>
        </w:rPr>
        <w:t>Workers’ Compensation and Disability</w:t>
      </w:r>
    </w:p>
    <w:p w14:paraId="5CF80C6C" w14:textId="77777777" w:rsidR="0050230C" w:rsidRPr="00EC48FD" w:rsidRDefault="0050230C" w:rsidP="007D0859">
      <w:pPr>
        <w:shd w:val="clear" w:color="auto" w:fill="FFFFFF"/>
        <w:spacing w:after="240" w:line="240" w:lineRule="atLeast"/>
        <w:textAlignment w:val="baseline"/>
        <w:rPr>
          <w:rFonts w:eastAsia="Times New Roman" w:cstheme="minorHAnsi"/>
          <w:color w:val="000000" w:themeColor="text1"/>
        </w:rPr>
      </w:pPr>
      <w:r w:rsidRPr="00EC48FD">
        <w:rPr>
          <w:rFonts w:eastAsia="Times New Roman" w:cstheme="minorHAnsi"/>
          <w:color w:val="000000" w:themeColor="text1"/>
        </w:rPr>
        <w:br/>
      </w:r>
      <w:r w:rsidRPr="00EC48FD">
        <w:rPr>
          <w:rFonts w:eastAsia="Times New Roman" w:cstheme="minorHAnsi"/>
          <w:b/>
          <w:bCs/>
          <w:color w:val="000000" w:themeColor="text1"/>
          <w:bdr w:val="none" w:sz="0" w:space="0" w:color="auto" w:frame="1"/>
        </w:rPr>
        <w:t>Summaries of Law, Statute, and Regulations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U.S. Department of Labor. “Summary of the Major Laws of the Department of Labor” webpage. Available at </w:t>
      </w:r>
      <w:hyperlink r:id="rId119" w:tgtFrame="_blank" w:tooltip="http://www.dol.gov/opa/aboutdol/lawsprog.htm" w:history="1">
        <w:r w:rsidRPr="00EC48FD">
          <w:rPr>
            <w:rFonts w:eastAsia="Times New Roman" w:cstheme="minorHAnsi"/>
            <w:color w:val="0F88B8"/>
            <w:u w:val="single"/>
            <w:bdr w:val="none" w:sz="0" w:space="0" w:color="auto" w:frame="1"/>
          </w:rPr>
          <w:t>http://www.dol.gov/opa/aboutdol/lawsprog.htm</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lastRenderedPageBreak/>
        <w:br/>
      </w:r>
      <w:r w:rsidRPr="00EC48FD">
        <w:rPr>
          <w:rFonts w:eastAsia="Times New Roman" w:cstheme="minorHAnsi"/>
          <w:b/>
          <w:bCs/>
          <w:color w:val="000000" w:themeColor="text1"/>
          <w:bdr w:val="none" w:sz="0" w:space="0" w:color="auto" w:frame="1"/>
        </w:rPr>
        <w:t>Other Resources </w:t>
      </w:r>
      <w:r w:rsidRPr="00EC48FD">
        <w:rPr>
          <w:rFonts w:eastAsia="Times New Roman" w:cstheme="minorHAnsi"/>
          <w:b/>
          <w:bCs/>
          <w:color w:val="000000" w:themeColor="text1"/>
          <w:bdr w:val="none" w:sz="0" w:space="0" w:color="auto" w:frame="1"/>
        </w:rPr>
        <w:br/>
      </w:r>
      <w:r w:rsidRPr="00EC48FD">
        <w:rPr>
          <w:rFonts w:eastAsia="Times New Roman" w:cstheme="minorHAnsi"/>
          <w:color w:val="000000" w:themeColor="text1"/>
        </w:rPr>
        <w:t>International Association of Industrial Accident Boards and Commissions webpage. Available at</w:t>
      </w:r>
      <w:r w:rsidRPr="00EC48FD">
        <w:rPr>
          <w:rFonts w:eastAsia="Times New Roman" w:cstheme="minorHAnsi"/>
          <w:color w:val="737373"/>
        </w:rPr>
        <w:t> </w:t>
      </w:r>
      <w:hyperlink r:id="rId120" w:tgtFrame="_blank" w:tooltip="http://www.iaiabc.org/i4a/pages/index.cfm?pageid=3303" w:history="1">
        <w:r w:rsidRPr="00EC48FD">
          <w:rPr>
            <w:rFonts w:eastAsia="Times New Roman" w:cstheme="minorHAnsi"/>
            <w:color w:val="0F88B8"/>
            <w:u w:val="single"/>
            <w:bdr w:val="none" w:sz="0" w:space="0" w:color="auto" w:frame="1"/>
          </w:rPr>
          <w:t>http://www.iaiabc.org</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r>
      <w:proofErr w:type="spellStart"/>
      <w:r w:rsidRPr="00EC48FD">
        <w:rPr>
          <w:rFonts w:eastAsia="Times New Roman" w:cstheme="minorHAnsi"/>
          <w:color w:val="000000" w:themeColor="text1"/>
        </w:rPr>
        <w:t>Mashaw</w:t>
      </w:r>
      <w:proofErr w:type="spellEnd"/>
      <w:r w:rsidRPr="00EC48FD">
        <w:rPr>
          <w:rFonts w:eastAsia="Times New Roman" w:cstheme="minorHAnsi"/>
          <w:color w:val="000000" w:themeColor="text1"/>
        </w:rPr>
        <w:t xml:space="preserve"> J and Reno V, eds. National Academy of Social Insurance. </w:t>
      </w:r>
      <w:r w:rsidRPr="00EC48FD">
        <w:rPr>
          <w:rFonts w:eastAsia="Times New Roman" w:cstheme="minorHAnsi"/>
          <w:i/>
          <w:iCs/>
          <w:color w:val="000000" w:themeColor="text1"/>
          <w:bdr w:val="none" w:sz="0" w:space="0" w:color="auto" w:frame="1"/>
        </w:rPr>
        <w:t>The Environment of Disability Income Policy: Programs, People, History, and Context: Interim Report of the Disability Policy Panel</w:t>
      </w:r>
      <w:r w:rsidRPr="00EC48FD">
        <w:rPr>
          <w:rFonts w:eastAsia="Times New Roman" w:cstheme="minorHAnsi"/>
          <w:color w:val="000000" w:themeColor="text1"/>
        </w:rPr>
        <w:t>. August 1996. Available at </w:t>
      </w:r>
      <w:hyperlink r:id="rId121" w:tgtFrame="_blank" w:tooltip="http://www.nasi.org/research/1996/environment-disability-income-policy-programs-people-history" w:history="1">
        <w:r w:rsidRPr="00EC48FD">
          <w:rPr>
            <w:rFonts w:eastAsia="Times New Roman" w:cstheme="minorHAnsi"/>
            <w:color w:val="0F88B8"/>
            <w:u w:val="single"/>
            <w:bdr w:val="none" w:sz="0" w:space="0" w:color="auto" w:frame="1"/>
          </w:rPr>
          <w:t>http://www.nasi.org/research/1996/environment-disability-income-policy-programs-people-history</w:t>
        </w:r>
      </w:hyperlink>
      <w:r w:rsidRPr="00EC48FD">
        <w:rPr>
          <w:rFonts w:eastAsia="Times New Roman" w:cstheme="minorHAnsi"/>
          <w:color w:val="737373"/>
        </w:rPr>
        <w:t>. </w:t>
      </w:r>
      <w:r w:rsidRPr="00EC48FD">
        <w:rPr>
          <w:rFonts w:eastAsia="Times New Roman" w:cstheme="minorHAnsi"/>
          <w:color w:val="737373"/>
        </w:rPr>
        <w:br/>
      </w:r>
      <w:r w:rsidRPr="00EC48FD">
        <w:rPr>
          <w:rFonts w:eastAsia="Times New Roman" w:cstheme="minorHAnsi"/>
          <w:color w:val="000000" w:themeColor="text1"/>
        </w:rPr>
        <w:br/>
        <w:t>Sengupta I et al. National Academy of Social Insurance. </w:t>
      </w:r>
      <w:r w:rsidRPr="00EC48FD">
        <w:rPr>
          <w:rFonts w:eastAsia="Times New Roman" w:cstheme="minorHAnsi"/>
          <w:i/>
          <w:iCs/>
          <w:color w:val="000000" w:themeColor="text1"/>
          <w:bdr w:val="none" w:sz="0" w:space="0" w:color="auto" w:frame="1"/>
        </w:rPr>
        <w:t>Workers’ Compensation: Benefits, Coverage, and Costs, 2008</w:t>
      </w:r>
      <w:r w:rsidRPr="00EC48FD">
        <w:rPr>
          <w:rFonts w:eastAsia="Times New Roman" w:cstheme="minorHAnsi"/>
          <w:color w:val="000000" w:themeColor="text1"/>
        </w:rPr>
        <w:t>. September 2010. Available at </w:t>
      </w:r>
      <w:hyperlink r:id="rId122" w:tgtFrame="_blank" w:tooltip="http://www.nasi.org/research/workers-compensation" w:history="1">
        <w:r w:rsidRPr="00EC48FD">
          <w:rPr>
            <w:rFonts w:eastAsia="Times New Roman" w:cstheme="minorHAnsi"/>
            <w:color w:val="000000" w:themeColor="text1"/>
            <w:u w:val="single"/>
            <w:bdr w:val="none" w:sz="0" w:space="0" w:color="auto" w:frame="1"/>
          </w:rPr>
          <w:t>http://www.nasi.org/research/workers-compensation</w:t>
        </w:r>
      </w:hyperlink>
      <w:r w:rsidRPr="00EC48FD">
        <w:rPr>
          <w:rFonts w:eastAsia="Times New Roman" w:cstheme="minorHAnsi"/>
          <w:color w:val="000000" w:themeColor="text1"/>
        </w:rPr>
        <w:t>. </w:t>
      </w:r>
      <w:r w:rsidRPr="00EC48FD">
        <w:rPr>
          <w:rFonts w:eastAsia="Times New Roman" w:cstheme="minorHAnsi"/>
          <w:color w:val="000000" w:themeColor="text1"/>
        </w:rPr>
        <w:br/>
      </w:r>
      <w:r w:rsidRPr="00EC48FD">
        <w:rPr>
          <w:rFonts w:eastAsia="Times New Roman" w:cstheme="minorHAnsi"/>
          <w:color w:val="000000" w:themeColor="text1"/>
        </w:rPr>
        <w:br/>
      </w:r>
    </w:p>
    <w:p w14:paraId="330167EC" w14:textId="685ED767" w:rsidR="0050230C" w:rsidRPr="00EC48FD" w:rsidRDefault="006E0594">
      <w:pPr>
        <w:rPr>
          <w:rFonts w:ascii="Calibri" w:hAnsi="Calibri" w:cs="Calibri"/>
          <w:color w:val="000000" w:themeColor="text1"/>
        </w:rPr>
      </w:pPr>
      <w:r>
        <w:rPr>
          <w:rFonts w:cstheme="minorHAnsi"/>
          <w:sz w:val="24"/>
        </w:rPr>
        <w:t>[</w:t>
      </w:r>
      <w:hyperlink w:anchor="TOC_top" w:history="1">
        <w:r w:rsidRPr="0082238F">
          <w:rPr>
            <w:rStyle w:val="Hyperlink"/>
            <w:rFonts w:cstheme="minorHAnsi"/>
            <w:sz w:val="24"/>
          </w:rPr>
          <w:t>TOC t</w:t>
        </w:r>
        <w:r w:rsidRPr="0082238F">
          <w:rPr>
            <w:rStyle w:val="Hyperlink"/>
            <w:rFonts w:cstheme="minorHAnsi"/>
            <w:sz w:val="24"/>
          </w:rPr>
          <w:t>o</w:t>
        </w:r>
        <w:r w:rsidRPr="0082238F">
          <w:rPr>
            <w:rStyle w:val="Hyperlink"/>
            <w:rFonts w:cstheme="minorHAnsi"/>
            <w:sz w:val="24"/>
          </w:rPr>
          <w:t>p</w:t>
        </w:r>
      </w:hyperlink>
      <w:r>
        <w:rPr>
          <w:rFonts w:cstheme="minorHAnsi"/>
          <w:sz w:val="24"/>
        </w:rPr>
        <w:t>]</w:t>
      </w:r>
    </w:p>
    <w:p w14:paraId="152A4B54" w14:textId="77777777" w:rsidR="005E3E4F" w:rsidRPr="00D76B1F" w:rsidRDefault="005E3E4F" w:rsidP="006C3F23">
      <w:pPr>
        <w:spacing w:line="480" w:lineRule="auto"/>
        <w:rPr>
          <w:rFonts w:cstheme="minorHAnsi"/>
        </w:rPr>
      </w:pPr>
    </w:p>
    <w:sectPr w:rsidR="005E3E4F" w:rsidRPr="00D76B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73A28" w14:textId="77777777" w:rsidR="00F73508" w:rsidRDefault="00F73508" w:rsidP="006C3F23">
      <w:r>
        <w:separator/>
      </w:r>
    </w:p>
  </w:endnote>
  <w:endnote w:type="continuationSeparator" w:id="0">
    <w:p w14:paraId="6A1E07CB" w14:textId="77777777" w:rsidR="00F73508" w:rsidRDefault="00F73508" w:rsidP="006C3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833876"/>
      <w:docPartObj>
        <w:docPartGallery w:val="Page Numbers (Bottom of Page)"/>
        <w:docPartUnique/>
      </w:docPartObj>
    </w:sdtPr>
    <w:sdtEndPr>
      <w:rPr>
        <w:noProof/>
      </w:rPr>
    </w:sdtEndPr>
    <w:sdtContent>
      <w:p w14:paraId="14E9FEC7" w14:textId="7981C040" w:rsidR="006C3F23" w:rsidRDefault="006C3F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526A6B" w14:textId="77777777" w:rsidR="006C3F23" w:rsidRDefault="006C3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2000B" w14:textId="77777777" w:rsidR="00F73508" w:rsidRDefault="00F73508" w:rsidP="006C3F23">
      <w:r>
        <w:separator/>
      </w:r>
    </w:p>
  </w:footnote>
  <w:footnote w:type="continuationSeparator" w:id="0">
    <w:p w14:paraId="1D815105" w14:textId="77777777" w:rsidR="00F73508" w:rsidRDefault="00F73508" w:rsidP="006C3F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A6B8A"/>
    <w:multiLevelType w:val="multilevel"/>
    <w:tmpl w:val="AA482E5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15:restartNumberingAfterBreak="0">
    <w:nsid w:val="08D4671C"/>
    <w:multiLevelType w:val="hybridMultilevel"/>
    <w:tmpl w:val="F0207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1806DD"/>
    <w:multiLevelType w:val="hybridMultilevel"/>
    <w:tmpl w:val="6D50FA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B52189"/>
    <w:multiLevelType w:val="multilevel"/>
    <w:tmpl w:val="634E3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D43E2"/>
    <w:multiLevelType w:val="hybridMultilevel"/>
    <w:tmpl w:val="A502A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1E47D4"/>
    <w:multiLevelType w:val="multilevel"/>
    <w:tmpl w:val="C1EE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20E1D"/>
    <w:multiLevelType w:val="multilevel"/>
    <w:tmpl w:val="502E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5A1D57"/>
    <w:multiLevelType w:val="multilevel"/>
    <w:tmpl w:val="A664F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4C7504"/>
    <w:multiLevelType w:val="hybridMultilevel"/>
    <w:tmpl w:val="FADE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040637"/>
    <w:multiLevelType w:val="hybridMultilevel"/>
    <w:tmpl w:val="B15C90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AAD5A5B"/>
    <w:multiLevelType w:val="multilevel"/>
    <w:tmpl w:val="19BC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61A6D"/>
    <w:multiLevelType w:val="hybridMultilevel"/>
    <w:tmpl w:val="1C2C1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960578"/>
    <w:multiLevelType w:val="multilevel"/>
    <w:tmpl w:val="E510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051E8"/>
    <w:multiLevelType w:val="hybridMultilevel"/>
    <w:tmpl w:val="CB68E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1733B5A"/>
    <w:multiLevelType w:val="hybridMultilevel"/>
    <w:tmpl w:val="BF523F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091284"/>
    <w:multiLevelType w:val="hybridMultilevel"/>
    <w:tmpl w:val="E3446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2056FCB"/>
    <w:multiLevelType w:val="hybridMultilevel"/>
    <w:tmpl w:val="10D876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836F42"/>
    <w:multiLevelType w:val="hybridMultilevel"/>
    <w:tmpl w:val="6C5ED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8B93568"/>
    <w:multiLevelType w:val="hybridMultilevel"/>
    <w:tmpl w:val="0A8CF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7E35BF0"/>
    <w:multiLevelType w:val="multilevel"/>
    <w:tmpl w:val="8A324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5A7BA9"/>
    <w:multiLevelType w:val="multilevel"/>
    <w:tmpl w:val="C55A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C077E5"/>
    <w:multiLevelType w:val="hybridMultilevel"/>
    <w:tmpl w:val="F6D6FA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BD63225"/>
    <w:multiLevelType w:val="hybridMultilevel"/>
    <w:tmpl w:val="0B701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AE68FD"/>
    <w:multiLevelType w:val="hybridMultilevel"/>
    <w:tmpl w:val="0DF25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CA239D"/>
    <w:multiLevelType w:val="multilevel"/>
    <w:tmpl w:val="E510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6A08EB"/>
    <w:multiLevelType w:val="hybridMultilevel"/>
    <w:tmpl w:val="A7D66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5B72B3"/>
    <w:multiLevelType w:val="multilevel"/>
    <w:tmpl w:val="2B74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2B2140"/>
    <w:multiLevelType w:val="hybridMultilevel"/>
    <w:tmpl w:val="97646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0"/>
  </w:num>
  <w:num w:numId="4">
    <w:abstractNumId w:val="6"/>
  </w:num>
  <w:num w:numId="5">
    <w:abstractNumId w:val="20"/>
  </w:num>
  <w:num w:numId="6">
    <w:abstractNumId w:val="26"/>
  </w:num>
  <w:num w:numId="7">
    <w:abstractNumId w:val="19"/>
  </w:num>
  <w:num w:numId="8">
    <w:abstractNumId w:val="5"/>
  </w:num>
  <w:num w:numId="9">
    <w:abstractNumId w:val="16"/>
  </w:num>
  <w:num w:numId="10">
    <w:abstractNumId w:val="14"/>
  </w:num>
  <w:num w:numId="11">
    <w:abstractNumId w:val="15"/>
  </w:num>
  <w:num w:numId="12">
    <w:abstractNumId w:val="13"/>
  </w:num>
  <w:num w:numId="13">
    <w:abstractNumId w:val="12"/>
  </w:num>
  <w:num w:numId="14">
    <w:abstractNumId w:val="7"/>
  </w:num>
  <w:num w:numId="15">
    <w:abstractNumId w:val="11"/>
  </w:num>
  <w:num w:numId="16">
    <w:abstractNumId w:val="1"/>
  </w:num>
  <w:num w:numId="17">
    <w:abstractNumId w:val="2"/>
  </w:num>
  <w:num w:numId="18">
    <w:abstractNumId w:val="23"/>
  </w:num>
  <w:num w:numId="19">
    <w:abstractNumId w:val="22"/>
  </w:num>
  <w:num w:numId="20">
    <w:abstractNumId w:val="4"/>
  </w:num>
  <w:num w:numId="21">
    <w:abstractNumId w:val="9"/>
  </w:num>
  <w:num w:numId="22">
    <w:abstractNumId w:val="17"/>
  </w:num>
  <w:num w:numId="23">
    <w:abstractNumId w:val="24"/>
  </w:num>
  <w:num w:numId="24">
    <w:abstractNumId w:val="21"/>
  </w:num>
  <w:num w:numId="25">
    <w:abstractNumId w:val="18"/>
  </w:num>
  <w:num w:numId="26">
    <w:abstractNumId w:val="27"/>
  </w:num>
  <w:num w:numId="27">
    <w:abstractNumId w:val="25"/>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E4F"/>
    <w:rsid w:val="00151278"/>
    <w:rsid w:val="00261B3E"/>
    <w:rsid w:val="00324338"/>
    <w:rsid w:val="003D6891"/>
    <w:rsid w:val="00476446"/>
    <w:rsid w:val="004B5528"/>
    <w:rsid w:val="0050230C"/>
    <w:rsid w:val="005E3E4F"/>
    <w:rsid w:val="006C3F23"/>
    <w:rsid w:val="006D213F"/>
    <w:rsid w:val="006E0594"/>
    <w:rsid w:val="00772E73"/>
    <w:rsid w:val="00783496"/>
    <w:rsid w:val="0082238F"/>
    <w:rsid w:val="0083564D"/>
    <w:rsid w:val="008B1871"/>
    <w:rsid w:val="00944745"/>
    <w:rsid w:val="00B51C1E"/>
    <w:rsid w:val="00B75B7F"/>
    <w:rsid w:val="00C0709B"/>
    <w:rsid w:val="00D76B1F"/>
    <w:rsid w:val="00D76F8A"/>
    <w:rsid w:val="00F11BD2"/>
    <w:rsid w:val="00F73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B0A878"/>
  <w15:chartTrackingRefBased/>
  <w15:docId w15:val="{2068CD46-6401-4FF9-BA5F-3D41F9C3F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E3E4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3E4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E4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3E4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5E3E4F"/>
    <w:rPr>
      <w:color w:val="0000FF"/>
      <w:u w:val="single"/>
    </w:rPr>
  </w:style>
  <w:style w:type="paragraph" w:styleId="NormalWeb">
    <w:name w:val="Normal (Web)"/>
    <w:basedOn w:val="Normal"/>
    <w:uiPriority w:val="99"/>
    <w:semiHidden/>
    <w:unhideWhenUsed/>
    <w:rsid w:val="005E3E4F"/>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5E3E4F"/>
    <w:rPr>
      <w:i/>
      <w:iCs/>
    </w:rPr>
  </w:style>
  <w:style w:type="character" w:styleId="Strong">
    <w:name w:val="Strong"/>
    <w:basedOn w:val="DefaultParagraphFont"/>
    <w:uiPriority w:val="22"/>
    <w:qFormat/>
    <w:rsid w:val="005E3E4F"/>
    <w:rPr>
      <w:b/>
      <w:bCs/>
    </w:rPr>
  </w:style>
  <w:style w:type="paragraph" w:styleId="BalloonText">
    <w:name w:val="Balloon Text"/>
    <w:basedOn w:val="Normal"/>
    <w:link w:val="BalloonTextChar"/>
    <w:uiPriority w:val="99"/>
    <w:semiHidden/>
    <w:unhideWhenUsed/>
    <w:rsid w:val="005E3E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E4F"/>
    <w:rPr>
      <w:rFonts w:ascii="Segoe UI" w:hAnsi="Segoe UI" w:cs="Segoe UI"/>
      <w:sz w:val="18"/>
      <w:szCs w:val="18"/>
    </w:rPr>
  </w:style>
  <w:style w:type="paragraph" w:styleId="Header">
    <w:name w:val="header"/>
    <w:basedOn w:val="Normal"/>
    <w:link w:val="HeaderChar"/>
    <w:uiPriority w:val="99"/>
    <w:unhideWhenUsed/>
    <w:rsid w:val="006C3F23"/>
    <w:pPr>
      <w:tabs>
        <w:tab w:val="center" w:pos="4680"/>
        <w:tab w:val="right" w:pos="9360"/>
      </w:tabs>
    </w:pPr>
  </w:style>
  <w:style w:type="character" w:customStyle="1" w:styleId="HeaderChar">
    <w:name w:val="Header Char"/>
    <w:basedOn w:val="DefaultParagraphFont"/>
    <w:link w:val="Header"/>
    <w:uiPriority w:val="99"/>
    <w:rsid w:val="006C3F23"/>
  </w:style>
  <w:style w:type="paragraph" w:styleId="Footer">
    <w:name w:val="footer"/>
    <w:basedOn w:val="Normal"/>
    <w:link w:val="FooterChar"/>
    <w:uiPriority w:val="99"/>
    <w:unhideWhenUsed/>
    <w:rsid w:val="006C3F23"/>
    <w:pPr>
      <w:tabs>
        <w:tab w:val="center" w:pos="4680"/>
        <w:tab w:val="right" w:pos="9360"/>
      </w:tabs>
    </w:pPr>
  </w:style>
  <w:style w:type="character" w:customStyle="1" w:styleId="FooterChar">
    <w:name w:val="Footer Char"/>
    <w:basedOn w:val="DefaultParagraphFont"/>
    <w:link w:val="Footer"/>
    <w:uiPriority w:val="99"/>
    <w:rsid w:val="006C3F23"/>
  </w:style>
  <w:style w:type="paragraph" w:styleId="ListParagraph">
    <w:name w:val="List Paragraph"/>
    <w:basedOn w:val="Normal"/>
    <w:uiPriority w:val="34"/>
    <w:qFormat/>
    <w:rsid w:val="00261B3E"/>
    <w:pPr>
      <w:ind w:left="720"/>
      <w:contextualSpacing/>
    </w:pPr>
  </w:style>
  <w:style w:type="paragraph" w:customStyle="1" w:styleId="Default">
    <w:name w:val="Default"/>
    <w:rsid w:val="0050230C"/>
    <w:pPr>
      <w:autoSpaceDE w:val="0"/>
      <w:autoSpaceDN w:val="0"/>
      <w:adjustRightInd w:val="0"/>
    </w:pPr>
    <w:rPr>
      <w:rFonts w:ascii="Garamond" w:hAnsi="Garamond" w:cs="Garamond"/>
      <w:color w:val="000000"/>
      <w:sz w:val="24"/>
      <w:szCs w:val="24"/>
    </w:rPr>
  </w:style>
  <w:style w:type="table" w:styleId="TableGrid">
    <w:name w:val="Table Grid"/>
    <w:basedOn w:val="TableNormal"/>
    <w:uiPriority w:val="59"/>
    <w:rsid w:val="00502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2238F"/>
    <w:rPr>
      <w:color w:val="605E5C"/>
      <w:shd w:val="clear" w:color="auto" w:fill="E1DFDD"/>
    </w:rPr>
  </w:style>
  <w:style w:type="character" w:styleId="FollowedHyperlink">
    <w:name w:val="FollowedHyperlink"/>
    <w:basedOn w:val="DefaultParagraphFont"/>
    <w:uiPriority w:val="99"/>
    <w:semiHidden/>
    <w:unhideWhenUsed/>
    <w:rsid w:val="008223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359246">
      <w:bodyDiv w:val="1"/>
      <w:marLeft w:val="0"/>
      <w:marRight w:val="0"/>
      <w:marTop w:val="0"/>
      <w:marBottom w:val="0"/>
      <w:divBdr>
        <w:top w:val="none" w:sz="0" w:space="0" w:color="auto"/>
        <w:left w:val="none" w:sz="0" w:space="0" w:color="auto"/>
        <w:bottom w:val="none" w:sz="0" w:space="0" w:color="auto"/>
        <w:right w:val="none" w:sz="0" w:space="0" w:color="auto"/>
      </w:divBdr>
      <w:divsChild>
        <w:div w:id="1035933220">
          <w:marLeft w:val="180"/>
          <w:marRight w:val="0"/>
          <w:marTop w:val="0"/>
          <w:marBottom w:val="0"/>
          <w:divBdr>
            <w:top w:val="dotted" w:sz="2" w:space="0" w:color="CCCCCC"/>
            <w:left w:val="dotted" w:sz="2" w:space="0" w:color="CCCCCC"/>
            <w:bottom w:val="dotted" w:sz="2" w:space="0" w:color="CCCCCC"/>
            <w:right w:val="dotted" w:sz="2" w:space="0" w:color="CCCCCC"/>
          </w:divBdr>
        </w:div>
        <w:div w:id="422265338">
          <w:marLeft w:val="0"/>
          <w:marRight w:val="270"/>
          <w:marTop w:val="0"/>
          <w:marBottom w:val="0"/>
          <w:divBdr>
            <w:top w:val="none" w:sz="0" w:space="0" w:color="auto"/>
            <w:left w:val="none" w:sz="0" w:space="0" w:color="auto"/>
            <w:bottom w:val="none" w:sz="0" w:space="0" w:color="auto"/>
            <w:right w:val="none" w:sz="0" w:space="0" w:color="auto"/>
          </w:divBdr>
          <w:divsChild>
            <w:div w:id="158888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stho.org/Programs/Preparedness/Public-Health-Emergency-Law/Scope-of-Practice-Toolkit/Scope-of-Practice-Toolkit-Supplemental-Materials/" TargetMode="External"/><Relationship Id="rId117" Type="http://schemas.openxmlformats.org/officeDocument/2006/relationships/hyperlink" Target="http://www.probonopartner.org/FileLib/Documents/nonprofitriskmgmtstateliability.pdf" TargetMode="External"/><Relationship Id="rId21" Type="http://schemas.openxmlformats.org/officeDocument/2006/relationships/hyperlink" Target="http://www.astho.org/Programs/Preparedness/Public-Health-Emergency-Law/Scope-of-Practice-Toolkit/Scope-of-Practice-Toolkit-Supplemental-Materials/" TargetMode="External"/><Relationship Id="rId42" Type="http://schemas.openxmlformats.org/officeDocument/2006/relationships/hyperlink" Target="http://www.astho.org/Programs/Infectious-Disease/At-Risk-Populations/" TargetMode="External"/><Relationship Id="rId47" Type="http://schemas.openxmlformats.org/officeDocument/2006/relationships/hyperlink" Target="http://www.emacweb.org/" TargetMode="External"/><Relationship Id="rId63" Type="http://schemas.openxmlformats.org/officeDocument/2006/relationships/hyperlink" Target="http://www.ncbi.nlm.nih.gov/books/NBK53126/pdf/TOC.pdf" TargetMode="External"/><Relationship Id="rId68" Type="http://schemas.openxmlformats.org/officeDocument/2006/relationships/hyperlink" Target="http://www.astho.org/Programs/Preparedness/Public-Health-Emergency-Law/Scope-of-Practice-Toolkit/Scope-of-Practice-Toolkit-Supplemental-Materials/" TargetMode="External"/><Relationship Id="rId84" Type="http://schemas.openxmlformats.org/officeDocument/2006/relationships/hyperlink" Target="http://www.flu.gov/planning-preparedness/federal/hhspandemicinfluenzaplan.pdf" TargetMode="External"/><Relationship Id="rId89" Type="http://schemas.openxmlformats.org/officeDocument/2006/relationships/hyperlink" Target="http://www.astho.org/Programs/Preparedness/Public-Health-Emergency-Law/Scope-of-Practice-Toolkit/Scope-of-Practice-Toolkit-Supplemental-Materials/" TargetMode="External"/><Relationship Id="rId112" Type="http://schemas.openxmlformats.org/officeDocument/2006/relationships/hyperlink" Target="http://www.gpo.gov/fdsys/pkg/PLAW-105publ19/pdf/PLAW-105publ19.pdf" TargetMode="External"/><Relationship Id="rId16" Type="http://schemas.openxmlformats.org/officeDocument/2006/relationships/hyperlink" Target="http://www.astho.org/Programs/Preparedness/Public-Health-Emergency-Law/Scope-of-Practice-Toolkit/Scope-of-Practice-Toolkit-Supplemental-Materials/" TargetMode="External"/><Relationship Id="rId107" Type="http://schemas.openxmlformats.org/officeDocument/2006/relationships/hyperlink" Target="http://www.cdc.gov/flu/professionals/vaccination/vax_clinic.htm" TargetMode="External"/><Relationship Id="rId11" Type="http://schemas.openxmlformats.org/officeDocument/2006/relationships/hyperlink" Target="http://www.fsmb.org/pdf/2005_grpol_scope_of_practice.pdf" TargetMode="External"/><Relationship Id="rId32" Type="http://schemas.openxmlformats.org/officeDocument/2006/relationships/hyperlink" Target="http://www.astho.org/Programs/Preparedness/Public-Health-Emergency-Law/Scope-of-Practice-Toolkit/Scope-of-Practice-Toolkit-Supplemental-Materials/" TargetMode="External"/><Relationship Id="rId37" Type="http://schemas.openxmlformats.org/officeDocument/2006/relationships/hyperlink" Target="http://www.phe.gov/preparedness/support/secauthority/Pages/default.aspx" TargetMode="External"/><Relationship Id="rId53" Type="http://schemas.openxmlformats.org/officeDocument/2006/relationships/hyperlink" Target="http://www.fema.gov/9500-series-policy-publications/95236-mutual-aid-agreements-public-assistance-fire-management" TargetMode="External"/><Relationship Id="rId58" Type="http://schemas.openxmlformats.org/officeDocument/2006/relationships/hyperlink" Target="http://www.fda.gov/emergencypreparedness/counterterrorism/ucm182568.htm" TargetMode="External"/><Relationship Id="rId74" Type="http://schemas.openxmlformats.org/officeDocument/2006/relationships/hyperlink" Target="http://www.gpo.gov/fdsys/pkg/BILLS-113hr307enr/pdf/BILLS-113hr307enr.pdf" TargetMode="External"/><Relationship Id="rId79" Type="http://schemas.openxmlformats.org/officeDocument/2006/relationships/hyperlink" Target="http://healthyamericans.org/reports/bioterror07/PAHPAProgressReport.pdf" TargetMode="External"/><Relationship Id="rId102" Type="http://schemas.openxmlformats.org/officeDocument/2006/relationships/hyperlink" Target="http://www.cms.gov/Emergency/Downloads/Consolidated_Medicare_FFS_Emergency_QsAs.pdf" TargetMode="External"/><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bt.cdc.gov/training/eua/index.html" TargetMode="External"/><Relationship Id="rId82" Type="http://schemas.openxmlformats.org/officeDocument/2006/relationships/hyperlink" Target="http://www.flu.gov/professional/federal/pandemic-influenza.pdf" TargetMode="External"/><Relationship Id="rId90" Type="http://schemas.openxmlformats.org/officeDocument/2006/relationships/hyperlink" Target="http://www.gpo.gov/fdsys/pkg/PLAW-109publ417/pdf/PLAW-109publ417.pdf" TargetMode="External"/><Relationship Id="rId95" Type="http://schemas.openxmlformats.org/officeDocument/2006/relationships/hyperlink" Target="http://www.fsmb.org/pdf/2005_grpol_scope_of_practice.pdf" TargetMode="External"/><Relationship Id="rId19" Type="http://schemas.openxmlformats.org/officeDocument/2006/relationships/hyperlink" Target="http://www.astho.org/Programs/Preparedness/Public-Health-Emergency-Law/Scope-of-Practice-Toolkit/Scope-of-Practice-Toolkit-Supplemental-Materials/" TargetMode="External"/><Relationship Id="rId14" Type="http://schemas.openxmlformats.org/officeDocument/2006/relationships/footer" Target="footer1.xml"/><Relationship Id="rId22" Type="http://schemas.openxmlformats.org/officeDocument/2006/relationships/hyperlink" Target="http://www.astho.org/Programs/Preparedness/Public-Health-Emergency-Law/Scope-of-Practice-Toolkit/Scope-of-Practice-Toolkit-Supplemental-Materials/" TargetMode="External"/><Relationship Id="rId27" Type="http://schemas.openxmlformats.org/officeDocument/2006/relationships/hyperlink" Target="http://www.astho.org/Programs/Preparedness/Public-Health-Emergency-Law/Scope-of-Practice-Toolkit/Scope-of-Practice-Toolkit-Supplemental-Materials/" TargetMode="External"/><Relationship Id="rId30" Type="http://schemas.openxmlformats.org/officeDocument/2006/relationships/hyperlink" Target="http://www.astho.org/Programs/Preparedness/Public-Health-Emergency-Law/Scope-of-Practice-Toolkit/Scope-of-Practice-Toolkit-Supplemental-Materials/" TargetMode="External"/><Relationship Id="rId35" Type="http://schemas.openxmlformats.org/officeDocument/2006/relationships/hyperlink" Target="http://www.cdc.gov/phlp/docs/ph-emergencies.pdf" TargetMode="External"/><Relationship Id="rId43" Type="http://schemas.openxmlformats.org/officeDocument/2006/relationships/hyperlink" Target="http://www.hrsa.gov/cicp/" TargetMode="External"/><Relationship Id="rId48" Type="http://schemas.openxmlformats.org/officeDocument/2006/relationships/hyperlink" Target="http://www.gao.gov/new.items/d07854.pdf" TargetMode="External"/><Relationship Id="rId56" Type="http://schemas.openxmlformats.org/officeDocument/2006/relationships/hyperlink" Target="http://www.gpo.gov/fdsys/pkg/BILLS-113hr307enr/pdf/BILLS-113hr307enr.pdf" TargetMode="External"/><Relationship Id="rId64" Type="http://schemas.openxmlformats.org/officeDocument/2006/relationships/hyperlink" Target="http://www.probonopartner.org/FileLib/Documents/nonprofitriskmgmtstateliability.pdf" TargetMode="External"/><Relationship Id="rId69" Type="http://schemas.openxmlformats.org/officeDocument/2006/relationships/hyperlink" Target="http://www2.cdc.gov/phlp/mutualaid/" TargetMode="External"/><Relationship Id="rId77" Type="http://schemas.openxmlformats.org/officeDocument/2006/relationships/hyperlink" Target="http://www.fas.org/programs/bio/resource/documents/CRS%20-%20PAHPA%203-07.pdf" TargetMode="External"/><Relationship Id="rId100" Type="http://schemas.openxmlformats.org/officeDocument/2006/relationships/hyperlink" Target="http://www.cms.gov/Emergency" TargetMode="External"/><Relationship Id="rId105" Type="http://schemas.openxmlformats.org/officeDocument/2006/relationships/hyperlink" Target="http://www.cdc.gov/vaccines/pubs/vis/vis-facts.htm" TargetMode="External"/><Relationship Id="rId113" Type="http://schemas.openxmlformats.org/officeDocument/2006/relationships/hyperlink" Target="http://www.fas.org/sgp/crs/misc/R40176.pdf" TargetMode="External"/><Relationship Id="rId118" Type="http://schemas.openxmlformats.org/officeDocument/2006/relationships/hyperlink" Target="http://uniformlaws.org/Act.aspx?title=Emergency%20Volunteer%20Health%20Practitioners" TargetMode="External"/><Relationship Id="rId8" Type="http://schemas.openxmlformats.org/officeDocument/2006/relationships/hyperlink" Target="http://www.astho.org/Programs/Preparedness/Public-Health-Emergency-Law/Scope-of-Practice-Toolkit/Scope-of-Practice-Issues-State-Analysis-Guide/" TargetMode="External"/><Relationship Id="rId51" Type="http://schemas.openxmlformats.org/officeDocument/2006/relationships/hyperlink" Target="http://www.cdc.gov/phlp/publications/topic/mutual_aid.html" TargetMode="External"/><Relationship Id="rId72" Type="http://schemas.openxmlformats.org/officeDocument/2006/relationships/hyperlink" Target="http://water.epa.gov/infrastructure/watersecurity/mutualaid/index.cfm" TargetMode="External"/><Relationship Id="rId80" Type="http://schemas.openxmlformats.org/officeDocument/2006/relationships/hyperlink" Target="http://www.phe.gov/Preparedness/legal/pahpa/Documents/pahpa-at-risk-report0901.pdf" TargetMode="External"/><Relationship Id="rId85" Type="http://schemas.openxmlformats.org/officeDocument/2006/relationships/hyperlink" Target="http://www.flu.gov/professional/pdf/cikrpandemicinfluenzaguide.pdf" TargetMode="External"/><Relationship Id="rId93" Type="http://schemas.openxmlformats.org/officeDocument/2006/relationships/hyperlink" Target="http://www.phe.gov/Preparedness/legal/prepact/Pages/prepqa.aspx" TargetMode="External"/><Relationship Id="rId98" Type="http://schemas.openxmlformats.org/officeDocument/2006/relationships/hyperlink" Target="http://www.ssa.gov/OP_Home/ssact/title11/1135.htm" TargetMode="External"/><Relationship Id="rId121" Type="http://schemas.openxmlformats.org/officeDocument/2006/relationships/hyperlink" Target="http://www.nasi.org/research/1996/environment-disability-income-policy-programs-people-history" TargetMode="External"/><Relationship Id="rId3" Type="http://schemas.openxmlformats.org/officeDocument/2006/relationships/styles" Target="styles.xml"/><Relationship Id="rId12" Type="http://schemas.openxmlformats.org/officeDocument/2006/relationships/hyperlink" Target="http://www.publichealthlaw.net/Research/PDF/ESAR%20VHP%20Report.pdf" TargetMode="External"/><Relationship Id="rId17" Type="http://schemas.openxmlformats.org/officeDocument/2006/relationships/hyperlink" Target="http://www.astho.org/Programs/Preparedness/Public-Health-Emergency-Law/Scope-of-Practice-Toolkit/Scope-of-Practice-Toolkit-Supplemental-Materials/" TargetMode="External"/><Relationship Id="rId25" Type="http://schemas.openxmlformats.org/officeDocument/2006/relationships/hyperlink" Target="http://www.astho.org/Programs/Preparedness/Public-Health-Emergency-Law/Scope-of-Practice-Toolkit/Scope-of-Practice-Toolkit-Supplemental-Materials/" TargetMode="External"/><Relationship Id="rId33" Type="http://schemas.openxmlformats.org/officeDocument/2006/relationships/hyperlink" Target="http://www.astho.org/Programs/Preparedness/Public-Health-Emergency-Law/Scope-of-Practice-Toolkit/Scope-of-Practice-Toolkit-Supplemental-Materials/" TargetMode="External"/><Relationship Id="rId38" Type="http://schemas.openxmlformats.org/officeDocument/2006/relationships/hyperlink" Target="http://digital.library.unt.edu/ark:/67531/metacrs9495/m1/1/high_res_d/RL33579_2006Jul28.pdf" TargetMode="External"/><Relationship Id="rId46" Type="http://schemas.openxmlformats.org/officeDocument/2006/relationships/hyperlink" Target="http://www.gpo.gov/fdsys/pkg/PLAW-104publ321/pdf/PLAW-104publ321.pdf" TargetMode="External"/><Relationship Id="rId59" Type="http://schemas.openxmlformats.org/officeDocument/2006/relationships/hyperlink" Target="http://www.fda.gov/NewsEvents/PublicHealthFocus/ucm153297.htm" TargetMode="External"/><Relationship Id="rId67" Type="http://schemas.openxmlformats.org/officeDocument/2006/relationships/hyperlink" Target="http://www.phe.gov/preparedness/support/secauthority/Pages/default.aspx" TargetMode="External"/><Relationship Id="rId103" Type="http://schemas.openxmlformats.org/officeDocument/2006/relationships/hyperlink" Target="http://www.cms.gov/H1N1/Downloads/RequestingAWaiver101.pdf" TargetMode="External"/><Relationship Id="rId108" Type="http://schemas.openxmlformats.org/officeDocument/2006/relationships/hyperlink" Target="http://www.flu.gov/professional/school/index.html" TargetMode="External"/><Relationship Id="rId116" Type="http://schemas.openxmlformats.org/officeDocument/2006/relationships/hyperlink" Target="https://www.networkforphl.org/_asset/5ywvc8/Western-Region---VHP-Liability-Webinar-12-2.pdf" TargetMode="External"/><Relationship Id="rId124" Type="http://schemas.openxmlformats.org/officeDocument/2006/relationships/theme" Target="theme/theme1.xml"/><Relationship Id="rId20" Type="http://schemas.openxmlformats.org/officeDocument/2006/relationships/hyperlink" Target="http://www.astho.org/Programs/Preparedness/Public-Health-Emergency-Law/Scope-of-Practice-Toolkit/Scope-of-Practice-Toolkit-Supplemental-Materials/" TargetMode="External"/><Relationship Id="rId41" Type="http://schemas.openxmlformats.org/officeDocument/2006/relationships/hyperlink" Target="http://www.phe.gov/Preparedness/planning/abc/Pages/default.aspx" TargetMode="External"/><Relationship Id="rId54" Type="http://schemas.openxmlformats.org/officeDocument/2006/relationships/hyperlink" Target="http://www.bt.cdc.gov/planning/emac/pdf/PACER_Model_MOU.pdf" TargetMode="External"/><Relationship Id="rId62" Type="http://schemas.openxmlformats.org/officeDocument/2006/relationships/hyperlink" Target="http://www.fda.gov/EmergencyPreparedness/Counterterrorism/ucm247676.htm" TargetMode="External"/><Relationship Id="rId70" Type="http://schemas.openxmlformats.org/officeDocument/2006/relationships/hyperlink" Target="http://www.emacweb.org/" TargetMode="External"/><Relationship Id="rId75" Type="http://schemas.openxmlformats.org/officeDocument/2006/relationships/hyperlink" Target="http://www.gpo.gov/fdsys/pkg/USCODE-2009-title42/pdf/USCODE-2009-title42-chap6A.pdf" TargetMode="External"/><Relationship Id="rId83" Type="http://schemas.openxmlformats.org/officeDocument/2006/relationships/hyperlink" Target="http://www.flu.gov/professional/federal/pandemic-influenza-implementation.pdf" TargetMode="External"/><Relationship Id="rId88" Type="http://schemas.openxmlformats.org/officeDocument/2006/relationships/hyperlink" Target="http://www.gpo.gov/fdsys/pkg/USCODE-2009-title42/html/USCODE-2009-title42-chap6A-subchapII.htm" TargetMode="External"/><Relationship Id="rId91" Type="http://schemas.openxmlformats.org/officeDocument/2006/relationships/hyperlink" Target="http://www.gpo.gov/fdsys/pkg/USCODE-2009-title42/html/USCODE-2009-title42-chap6A-subchapII.htm" TargetMode="External"/><Relationship Id="rId96" Type="http://schemas.openxmlformats.org/officeDocument/2006/relationships/hyperlink" Target="http://www.publichealthlaw.net/Research/PDF/ESAR%20VHP%20Report.pdf" TargetMode="External"/><Relationship Id="rId111" Type="http://schemas.openxmlformats.org/officeDocument/2006/relationships/hyperlink" Target="http://www.hrsa.gov/vaccinecompensation/default.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ommunications@astho.org" TargetMode="External"/><Relationship Id="rId23" Type="http://schemas.openxmlformats.org/officeDocument/2006/relationships/hyperlink" Target="http://www.astho.org/Programs/Preparedness/Public-Health-Emergency-Law/Scope-of-Practice-Toolkit/Scope-of-Practice-Toolkit-Supplemental-Materials/" TargetMode="External"/><Relationship Id="rId28" Type="http://schemas.openxmlformats.org/officeDocument/2006/relationships/hyperlink" Target="http://www.astho.org/Programs/Preparedness/Public-Health-Emergency-Law/Scope-of-Practice-Toolkit/Scope-of-Practice-Toolkit-Supplemental-Materials/" TargetMode="External"/><Relationship Id="rId36" Type="http://schemas.openxmlformats.org/officeDocument/2006/relationships/hyperlink" Target="http://www.phe.gov/Preparedness/planning/authority/Pages/default.aspx" TargetMode="External"/><Relationship Id="rId49" Type="http://schemas.openxmlformats.org/officeDocument/2006/relationships/hyperlink" Target="http://www.policyarchive.org/handle/10207/bitstreams/20206.pdf" TargetMode="External"/><Relationship Id="rId57" Type="http://schemas.openxmlformats.org/officeDocument/2006/relationships/hyperlink" Target="http://www.fda.gov/RegulatoryInformation/Guidances/ucm125127.htm" TargetMode="External"/><Relationship Id="rId106" Type="http://schemas.openxmlformats.org/officeDocument/2006/relationships/hyperlink" Target="http://www.cdc.gov/vaccines/vac-gen/laws/" TargetMode="External"/><Relationship Id="rId114" Type="http://schemas.openxmlformats.org/officeDocument/2006/relationships/hyperlink" Target="http://www.citizencorps.gov/councils/volunteer_mgmt.shtm" TargetMode="External"/><Relationship Id="rId119" Type="http://schemas.openxmlformats.org/officeDocument/2006/relationships/hyperlink" Target="http://www.dol.gov/opa/aboutdol/lawsprog.htm" TargetMode="External"/><Relationship Id="rId10" Type="http://schemas.openxmlformats.org/officeDocument/2006/relationships/hyperlink" Target="http://www.astho.org/EAIToolkit/" TargetMode="External"/><Relationship Id="rId31" Type="http://schemas.openxmlformats.org/officeDocument/2006/relationships/hyperlink" Target="http://www.astho.org/Programs/Preparedness/Public-Health-Emergency-Law/Scope-of-Practice-Toolkit/Scope-of-Practice-Toolkit-Supplemental-Materials/" TargetMode="External"/><Relationship Id="rId44" Type="http://schemas.openxmlformats.org/officeDocument/2006/relationships/hyperlink" Target="http://www.hrsa.gov/gethealthcare/conditions/countermeasurescomp/cicp_final_rule_correction.pdf" TargetMode="External"/><Relationship Id="rId52" Type="http://schemas.openxmlformats.org/officeDocument/2006/relationships/hyperlink" Target="http://www.emacweb.org/" TargetMode="External"/><Relationship Id="rId60" Type="http://schemas.openxmlformats.org/officeDocument/2006/relationships/hyperlink" Target="http://www.fda.gov/EmergencyPreparedness/Counterterrorism/MedicalCountermeasures/MCMLegalRegulatoryandPolicyFramework/ucm359581.htm" TargetMode="External"/><Relationship Id="rId65" Type="http://schemas.openxmlformats.org/officeDocument/2006/relationships/hyperlink" Target="http://uniformlaws.org/Act.aspx?title=Emergency%20Volunteer%20Health%20Practitioners" TargetMode="External"/><Relationship Id="rId73" Type="http://schemas.openxmlformats.org/officeDocument/2006/relationships/hyperlink" Target="http://www.gpo.gov/fdsys/pkg/PLAW-109publ417/pdf/PLAW-109publ417.pdf" TargetMode="External"/><Relationship Id="rId78" Type="http://schemas.openxmlformats.org/officeDocument/2006/relationships/hyperlink" Target="http://www.phe.gov/preparedness/pages/default.aspx" TargetMode="External"/><Relationship Id="rId81" Type="http://schemas.openxmlformats.org/officeDocument/2006/relationships/hyperlink" Target="http://www.phe.gov/Preparedness/legal/pahpa/Documents/telehealthrtc-091207.pdf" TargetMode="External"/><Relationship Id="rId86" Type="http://schemas.openxmlformats.org/officeDocument/2006/relationships/hyperlink" Target="https://www.whitehouse.gov/sites/default/files/National_Strategy_for_Biosurveillance_July_2012.pdf" TargetMode="External"/><Relationship Id="rId94" Type="http://schemas.openxmlformats.org/officeDocument/2006/relationships/hyperlink" Target="http://www.phe.gov/Preparedness/legal/prepact/Pages/default.aspx" TargetMode="External"/><Relationship Id="rId99" Type="http://schemas.openxmlformats.org/officeDocument/2006/relationships/hyperlink" Target="http://www.phe.gov/Preparedness/legal/Pages/phe-qa.aspx" TargetMode="External"/><Relationship Id="rId101" Type="http://schemas.openxmlformats.org/officeDocument/2006/relationships/hyperlink" Target="http://www.cms.gov/Emergency/downloads/MedicareFFS-EmergencyQsAs1135Waiver.pdf" TargetMode="External"/><Relationship Id="rId122" Type="http://schemas.openxmlformats.org/officeDocument/2006/relationships/hyperlink" Target="http://www.nasi.org/research/workers-compensation" TargetMode="External"/><Relationship Id="rId4" Type="http://schemas.openxmlformats.org/officeDocument/2006/relationships/settings" Target="settings.xml"/><Relationship Id="rId9" Type="http://schemas.openxmlformats.org/officeDocument/2006/relationships/hyperlink" Target="http://www.astho.org/EAIToolkit/" TargetMode="External"/><Relationship Id="rId13" Type="http://schemas.openxmlformats.org/officeDocument/2006/relationships/hyperlink" Target="http://www.ncsbn.org/Scope_of_Practice_2012.pdf" TargetMode="External"/><Relationship Id="rId18" Type="http://schemas.openxmlformats.org/officeDocument/2006/relationships/hyperlink" Target="http://www.astho.org/Programs/Preparedness/Public-Health-Emergency-Law/Scope-of-Practice-Toolkit/Scope-of-Practice-Toolkit-Supplemental-Materials/" TargetMode="External"/><Relationship Id="rId39" Type="http://schemas.openxmlformats.org/officeDocument/2006/relationships/hyperlink" Target="http://digital.library.unt.edu/ark:/67531/metadc26152/m1/1/high_res_d/R40560_2009Jun15.pdf" TargetMode="External"/><Relationship Id="rId109" Type="http://schemas.openxmlformats.org/officeDocument/2006/relationships/hyperlink" Target="http://www.cdc.gov/h1n1flu/vaccination/slv/planners.htm" TargetMode="External"/><Relationship Id="rId34" Type="http://schemas.openxmlformats.org/officeDocument/2006/relationships/hyperlink" Target="http://www.astho.org/Programs/Preparedness/Public-Health-Emergency-Law/Scope-of-Practice-Toolkit/Scope-of-Practice-Toolkit-Supplemental-Materials/" TargetMode="External"/><Relationship Id="rId50" Type="http://schemas.openxmlformats.org/officeDocument/2006/relationships/hyperlink" Target="http://www.emacweb.org/" TargetMode="External"/><Relationship Id="rId55" Type="http://schemas.openxmlformats.org/officeDocument/2006/relationships/hyperlink" Target="http://water.epa.gov/infrastructure/watersecurity/mutualaid/index.cfm" TargetMode="External"/><Relationship Id="rId76" Type="http://schemas.openxmlformats.org/officeDocument/2006/relationships/hyperlink" Target="http://www.phe.gov/Preparedness/legal/pahpa/Pages/default.aspx" TargetMode="External"/><Relationship Id="rId97" Type="http://schemas.openxmlformats.org/officeDocument/2006/relationships/hyperlink" Target="http://www.ncsbn.org/Scope_of_Practice_2012.pdf" TargetMode="External"/><Relationship Id="rId104" Type="http://schemas.openxmlformats.org/officeDocument/2006/relationships/hyperlink" Target="http://uniformlaws.org/Act.aspx?title=Emergency%20Volunteer%20Health%20Practitioners" TargetMode="External"/><Relationship Id="rId120" Type="http://schemas.openxmlformats.org/officeDocument/2006/relationships/hyperlink" Target="http://www.iaiabc.org/i4a/pages/index.cfm?pageid=3303" TargetMode="External"/><Relationship Id="rId7" Type="http://schemas.openxmlformats.org/officeDocument/2006/relationships/endnotes" Target="endnotes.xml"/><Relationship Id="rId71" Type="http://schemas.openxmlformats.org/officeDocument/2006/relationships/hyperlink" Target="http://www.bt.cdc.gov/planning/emac/pdf/PACER_Model_MOU.pdf" TargetMode="External"/><Relationship Id="rId92" Type="http://schemas.openxmlformats.org/officeDocument/2006/relationships/hyperlink" Target="http://www.phe.gov/Preparedness/legal/prepact/Pages/default.aspx" TargetMode="External"/><Relationship Id="rId2" Type="http://schemas.openxmlformats.org/officeDocument/2006/relationships/numbering" Target="numbering.xml"/><Relationship Id="rId29" Type="http://schemas.openxmlformats.org/officeDocument/2006/relationships/hyperlink" Target="http://www.astho.org/Programs/Preparedness/Public-Health-Emergency-Law/Scope-of-Practice-Toolkit/Scope-of-Practice-Toolkit-Supplemental-Materials/" TargetMode="External"/><Relationship Id="rId24" Type="http://schemas.openxmlformats.org/officeDocument/2006/relationships/hyperlink" Target="http://www.astho.org/Programs/Preparedness/Public-Health-Emergency-Law/Scope-of-Practice-Toolkit/Scope-of-Practice-Toolkit-Supplemental-Materials/" TargetMode="External"/><Relationship Id="rId40" Type="http://schemas.openxmlformats.org/officeDocument/2006/relationships/hyperlink" Target="http://www.healthlawyers.org/Members/PracticeGroups/THAMC/EmergencyPreparednessToolkit/Pages/default.aspx" TargetMode="External"/><Relationship Id="rId45" Type="http://schemas.openxmlformats.org/officeDocument/2006/relationships/hyperlink" Target="http://www.hrsa.gov/gethealthcare/conditions/countermeasurescomp/cicp_admin_final_rule.pdf" TargetMode="External"/><Relationship Id="rId66" Type="http://schemas.openxmlformats.org/officeDocument/2006/relationships/hyperlink" Target="http://origin.www.gpo.gov/fdsys/pkg/USCODE-2009-title28/pdf/USCODE-2009-title28-partIV-chap85-sec1346.pdf" TargetMode="External"/><Relationship Id="rId87" Type="http://schemas.openxmlformats.org/officeDocument/2006/relationships/hyperlink" Target="http://www.flu.gov/" TargetMode="External"/><Relationship Id="rId110" Type="http://schemas.openxmlformats.org/officeDocument/2006/relationships/hyperlink" Target="http://www2.ed.gov/admins/lead/safety/emergencyplan/pandemic/guidance/h1n1-news.pdf" TargetMode="External"/><Relationship Id="rId115" Type="http://schemas.openxmlformats.org/officeDocument/2006/relationships/hyperlink" Target="http://www.publichealthlaw.net/Research/PDF/ESAR%20VHP%20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F5801-3798-45D4-8399-4532EC3F4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43</Pages>
  <Words>12672</Words>
  <Characters>72236</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9</cp:revision>
  <dcterms:created xsi:type="dcterms:W3CDTF">2019-05-08T18:18:00Z</dcterms:created>
  <dcterms:modified xsi:type="dcterms:W3CDTF">2019-05-09T17:28:00Z</dcterms:modified>
</cp:coreProperties>
</file>