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Open Sans" w:cs="Open Sans" w:eastAsia="Open Sans" w:hAnsi="Open Sans"/>
          <w:b w:val="1"/>
          <w:sz w:val="30"/>
          <w:szCs w:val="30"/>
        </w:rPr>
      </w:pPr>
      <w:r w:rsidDel="00000000" w:rsidR="00000000" w:rsidRPr="00000000">
        <w:rPr>
          <w:rFonts w:ascii="Open Sans" w:cs="Open Sans" w:eastAsia="Open Sans" w:hAnsi="Open Sans"/>
          <w:b w:val="1"/>
          <w:sz w:val="30"/>
          <w:szCs w:val="30"/>
          <w:rtl w:val="0"/>
        </w:rPr>
        <w:t xml:space="preserve">Information for clinicians regarding possible monkeypox cases</w:t>
      </w:r>
    </w:p>
    <w:p w:rsidR="00000000" w:rsidDel="00000000" w:rsidP="00000000" w:rsidRDefault="00000000" w:rsidRPr="00000000" w14:paraId="00000002">
      <w:pPr>
        <w:ind w:left="0" w:firstLine="0"/>
        <w:rPr>
          <w:rFonts w:ascii="Open Sans" w:cs="Open Sans" w:eastAsia="Open Sans" w:hAnsi="Open Sans"/>
        </w:rPr>
      </w:pPr>
      <w:r w:rsidDel="00000000" w:rsidR="00000000" w:rsidRPr="00000000">
        <w:rPr>
          <w:rFonts w:ascii="Open Sans" w:cs="Open Sans" w:eastAsia="Open Sans" w:hAnsi="Open Sans"/>
          <w:rtl w:val="0"/>
        </w:rPr>
        <w:t xml:space="preserve">As of 6/30/22: updates will be sent as the situation develops</w:t>
      </w:r>
    </w:p>
    <w:p w:rsidR="00000000" w:rsidDel="00000000" w:rsidP="00000000" w:rsidRDefault="00000000" w:rsidRPr="00000000" w14:paraId="00000003">
      <w:pPr>
        <w:rPr>
          <w:rFonts w:ascii="Open Sans" w:cs="Open Sans" w:eastAsia="Open Sans" w:hAnsi="Open Sans"/>
        </w:rPr>
      </w:pPr>
      <w:r w:rsidDel="00000000" w:rsidR="00000000" w:rsidRPr="00000000">
        <w:rPr>
          <w:rtl w:val="0"/>
        </w:rPr>
      </w:r>
    </w:p>
    <w:p w:rsidR="00000000" w:rsidDel="00000000" w:rsidP="00000000" w:rsidRDefault="00000000" w:rsidRPr="00000000" w14:paraId="00000004">
      <w:pPr>
        <w:rPr>
          <w:rFonts w:ascii="Open Sans" w:cs="Open Sans" w:eastAsia="Open Sans" w:hAnsi="Open Sans"/>
        </w:rPr>
      </w:pPr>
      <w:r w:rsidDel="00000000" w:rsidR="00000000" w:rsidRPr="00000000">
        <w:rPr>
          <w:rFonts w:ascii="Open Sans" w:cs="Open Sans" w:eastAsia="Open Sans" w:hAnsi="Open Sans"/>
          <w:rtl w:val="0"/>
        </w:rPr>
        <w:t xml:space="preserve">For any patient that you suspect of having monkeypox, we encourage you to:</w:t>
      </w:r>
    </w:p>
    <w:p w:rsidR="00000000" w:rsidDel="00000000" w:rsidP="00000000" w:rsidRDefault="00000000" w:rsidRPr="00000000" w14:paraId="00000005">
      <w:pPr>
        <w:rPr>
          <w:rFonts w:ascii="Open Sans" w:cs="Open Sans" w:eastAsia="Open Sans" w:hAnsi="Open Sans"/>
        </w:rPr>
      </w:pPr>
      <w:r w:rsidDel="00000000" w:rsidR="00000000" w:rsidRPr="00000000">
        <w:rPr>
          <w:rtl w:val="0"/>
        </w:rPr>
      </w:r>
    </w:p>
    <w:p w:rsidR="00000000" w:rsidDel="00000000" w:rsidP="00000000" w:rsidRDefault="00000000" w:rsidRPr="00000000" w14:paraId="00000006">
      <w:pPr>
        <w:numPr>
          <w:ilvl w:val="0"/>
          <w:numId w:val="1"/>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Wear gloves, gown, eye protection and respiratory mask (N95 or PAPR) while interacting with the patient. </w:t>
      </w:r>
    </w:p>
    <w:p w:rsidR="00000000" w:rsidDel="00000000" w:rsidP="00000000" w:rsidRDefault="00000000" w:rsidRPr="00000000" w14:paraId="00000007">
      <w:pPr>
        <w:numPr>
          <w:ilvl w:val="0"/>
          <w:numId w:val="1"/>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Obtain information from the patient regarding:</w:t>
      </w:r>
    </w:p>
    <w:p w:rsidR="00000000" w:rsidDel="00000000" w:rsidP="00000000" w:rsidRDefault="00000000" w:rsidRPr="00000000" w14:paraId="00000008">
      <w:pPr>
        <w:numPr>
          <w:ilvl w:val="1"/>
          <w:numId w:val="1"/>
        </w:numPr>
        <w:ind w:left="1440" w:hanging="360"/>
        <w:rPr>
          <w:rFonts w:ascii="Open Sans" w:cs="Open Sans" w:eastAsia="Open Sans" w:hAnsi="Open Sans"/>
        </w:rPr>
      </w:pPr>
      <w:r w:rsidDel="00000000" w:rsidR="00000000" w:rsidRPr="00000000">
        <w:rPr>
          <w:rFonts w:ascii="Open Sans" w:cs="Open Sans" w:eastAsia="Open Sans" w:hAnsi="Open Sans"/>
          <w:rtl w:val="0"/>
        </w:rPr>
        <w:t xml:space="preserve">Any contact with individuals known to have monkeypox</w:t>
      </w:r>
    </w:p>
    <w:p w:rsidR="00000000" w:rsidDel="00000000" w:rsidP="00000000" w:rsidRDefault="00000000" w:rsidRPr="00000000" w14:paraId="00000009">
      <w:pPr>
        <w:numPr>
          <w:ilvl w:val="1"/>
          <w:numId w:val="1"/>
        </w:numPr>
        <w:ind w:left="1440" w:hanging="360"/>
        <w:rPr>
          <w:rFonts w:ascii="Open Sans" w:cs="Open Sans" w:eastAsia="Open Sans" w:hAnsi="Open Sans"/>
        </w:rPr>
      </w:pPr>
      <w:r w:rsidDel="00000000" w:rsidR="00000000" w:rsidRPr="00000000">
        <w:rPr>
          <w:rFonts w:ascii="Open Sans" w:cs="Open Sans" w:eastAsia="Open Sans" w:hAnsi="Open Sans"/>
          <w:rtl w:val="0"/>
        </w:rPr>
        <w:t xml:space="preserve">Recent travel</w:t>
      </w:r>
    </w:p>
    <w:p w:rsidR="00000000" w:rsidDel="00000000" w:rsidP="00000000" w:rsidRDefault="00000000" w:rsidRPr="00000000" w14:paraId="0000000A">
      <w:pPr>
        <w:numPr>
          <w:ilvl w:val="2"/>
          <w:numId w:val="1"/>
        </w:numPr>
        <w:ind w:left="2160" w:hanging="360"/>
        <w:rPr>
          <w:rFonts w:ascii="Open Sans" w:cs="Open Sans" w:eastAsia="Open Sans" w:hAnsi="Open Sans"/>
        </w:rPr>
      </w:pPr>
      <w:r w:rsidDel="00000000" w:rsidR="00000000" w:rsidRPr="00000000">
        <w:rPr>
          <w:rFonts w:ascii="Open Sans" w:cs="Open Sans" w:eastAsia="Open Sans" w:hAnsi="Open Sans"/>
          <w:rtl w:val="0"/>
        </w:rPr>
        <w:t xml:space="preserve">Participation in raves, sex parties, or bathhouses in Europe</w:t>
      </w:r>
    </w:p>
    <w:p w:rsidR="00000000" w:rsidDel="00000000" w:rsidP="00000000" w:rsidRDefault="00000000" w:rsidRPr="00000000" w14:paraId="0000000B">
      <w:pPr>
        <w:numPr>
          <w:ilvl w:val="1"/>
          <w:numId w:val="1"/>
        </w:numPr>
        <w:ind w:left="1440" w:hanging="360"/>
        <w:rPr>
          <w:rFonts w:ascii="Open Sans" w:cs="Open Sans" w:eastAsia="Open Sans" w:hAnsi="Open Sans"/>
        </w:rPr>
      </w:pPr>
      <w:r w:rsidDel="00000000" w:rsidR="00000000" w:rsidRPr="00000000">
        <w:rPr>
          <w:rFonts w:ascii="Open Sans" w:cs="Open Sans" w:eastAsia="Open Sans" w:hAnsi="Open Sans"/>
          <w:rtl w:val="0"/>
        </w:rPr>
        <w:t xml:space="preserve">Any recent sexual contact. </w:t>
      </w:r>
      <w:r w:rsidDel="00000000" w:rsidR="00000000" w:rsidRPr="00000000">
        <w:rPr>
          <w:rFonts w:ascii="Open Sans" w:cs="Open Sans" w:eastAsia="Open Sans" w:hAnsi="Open Sans"/>
          <w:rtl w:val="0"/>
        </w:rPr>
        <w:t xml:space="preserve">Specifically inquire about:</w:t>
      </w:r>
      <w:r w:rsidDel="00000000" w:rsidR="00000000" w:rsidRPr="00000000">
        <w:rPr>
          <w:rtl w:val="0"/>
        </w:rPr>
      </w:r>
    </w:p>
    <w:p w:rsidR="00000000" w:rsidDel="00000000" w:rsidP="00000000" w:rsidRDefault="00000000" w:rsidRPr="00000000" w14:paraId="0000000C">
      <w:pPr>
        <w:numPr>
          <w:ilvl w:val="2"/>
          <w:numId w:val="1"/>
        </w:numPr>
        <w:ind w:left="2160" w:hanging="360"/>
        <w:rPr>
          <w:rFonts w:ascii="Open Sans" w:cs="Open Sans" w:eastAsia="Open Sans" w:hAnsi="Open Sans"/>
        </w:rPr>
      </w:pPr>
      <w:r w:rsidDel="00000000" w:rsidR="00000000" w:rsidRPr="00000000">
        <w:rPr>
          <w:rFonts w:ascii="Open Sans" w:cs="Open Sans" w:eastAsia="Open Sans" w:hAnsi="Open Sans"/>
          <w:rtl w:val="0"/>
        </w:rPr>
        <w:t xml:space="preserve">Men who have sex with men (</w:t>
      </w:r>
      <w:r w:rsidDel="00000000" w:rsidR="00000000" w:rsidRPr="00000000">
        <w:rPr>
          <w:rFonts w:ascii="Open Sans" w:cs="Open Sans" w:eastAsia="Open Sans" w:hAnsi="Open Sans"/>
          <w:rtl w:val="0"/>
        </w:rPr>
        <w:t xml:space="preserve">MSM) </w:t>
      </w:r>
      <w:r w:rsidDel="00000000" w:rsidR="00000000" w:rsidRPr="00000000">
        <w:rPr>
          <w:rtl w:val="0"/>
        </w:rPr>
      </w:r>
    </w:p>
    <w:p w:rsidR="00000000" w:rsidDel="00000000" w:rsidP="00000000" w:rsidRDefault="00000000" w:rsidRPr="00000000" w14:paraId="0000000D">
      <w:pPr>
        <w:numPr>
          <w:ilvl w:val="2"/>
          <w:numId w:val="1"/>
        </w:numPr>
        <w:ind w:left="2160" w:hanging="360"/>
        <w:rPr>
          <w:rFonts w:ascii="Open Sans" w:cs="Open Sans" w:eastAsia="Open Sans" w:hAnsi="Open Sans"/>
        </w:rPr>
      </w:pPr>
      <w:r w:rsidDel="00000000" w:rsidR="00000000" w:rsidRPr="00000000">
        <w:rPr>
          <w:rFonts w:ascii="Open Sans" w:cs="Open Sans" w:eastAsia="Open Sans" w:hAnsi="Open Sans"/>
          <w:rtl w:val="0"/>
        </w:rPr>
        <w:t xml:space="preserve">Females of MSM partners</w:t>
      </w:r>
    </w:p>
    <w:p w:rsidR="00000000" w:rsidDel="00000000" w:rsidP="00000000" w:rsidRDefault="00000000" w:rsidRPr="00000000" w14:paraId="0000000E">
      <w:pPr>
        <w:numPr>
          <w:ilvl w:val="2"/>
          <w:numId w:val="1"/>
        </w:numPr>
        <w:ind w:left="2160" w:hanging="360"/>
        <w:rPr>
          <w:rFonts w:ascii="Open Sans" w:cs="Open Sans" w:eastAsia="Open Sans" w:hAnsi="Open Sans"/>
        </w:rPr>
      </w:pPr>
      <w:r w:rsidDel="00000000" w:rsidR="00000000" w:rsidRPr="00000000">
        <w:rPr>
          <w:rFonts w:ascii="Open Sans" w:cs="Open Sans" w:eastAsia="Open Sans" w:hAnsi="Open Sans"/>
          <w:rtl w:val="0"/>
        </w:rPr>
        <w:t xml:space="preserve">Sexual contact during travel</w:t>
      </w:r>
    </w:p>
    <w:p w:rsidR="00000000" w:rsidDel="00000000" w:rsidP="00000000" w:rsidRDefault="00000000" w:rsidRPr="00000000" w14:paraId="0000000F">
      <w:pPr>
        <w:numPr>
          <w:ilvl w:val="2"/>
          <w:numId w:val="1"/>
        </w:numPr>
        <w:ind w:left="2160" w:hanging="360"/>
        <w:rPr>
          <w:rFonts w:ascii="Open Sans" w:cs="Open Sans" w:eastAsia="Open Sans" w:hAnsi="Open Sans"/>
        </w:rPr>
      </w:pPr>
      <w:r w:rsidDel="00000000" w:rsidR="00000000" w:rsidRPr="00000000">
        <w:rPr>
          <w:rFonts w:ascii="Open Sans" w:cs="Open Sans" w:eastAsia="Open Sans" w:hAnsi="Open Sans"/>
          <w:rtl w:val="0"/>
        </w:rPr>
        <w:t xml:space="preserve">Anonymous sex through dating and hookup apps </w:t>
      </w:r>
    </w:p>
    <w:p w:rsidR="00000000" w:rsidDel="00000000" w:rsidP="00000000" w:rsidRDefault="00000000" w:rsidRPr="00000000" w14:paraId="00000010">
      <w:pPr>
        <w:numPr>
          <w:ilvl w:val="1"/>
          <w:numId w:val="1"/>
        </w:numPr>
        <w:ind w:left="1440" w:hanging="360"/>
        <w:rPr>
          <w:rFonts w:ascii="Open Sans" w:cs="Open Sans" w:eastAsia="Open Sans" w:hAnsi="Open Sans"/>
        </w:rPr>
      </w:pPr>
      <w:r w:rsidDel="00000000" w:rsidR="00000000" w:rsidRPr="00000000">
        <w:rPr>
          <w:rFonts w:ascii="Open Sans" w:cs="Open Sans" w:eastAsia="Open Sans" w:hAnsi="Open Sans"/>
          <w:rtl w:val="0"/>
        </w:rPr>
        <w:t xml:space="preserve">Symptom onset dates and progression</w:t>
      </w:r>
    </w:p>
    <w:p w:rsidR="00000000" w:rsidDel="00000000" w:rsidP="00000000" w:rsidRDefault="00000000" w:rsidRPr="00000000" w14:paraId="00000011">
      <w:pPr>
        <w:numPr>
          <w:ilvl w:val="0"/>
          <w:numId w:val="1"/>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Document as well as possible the symptom characteristics:</w:t>
      </w:r>
    </w:p>
    <w:p w:rsidR="00000000" w:rsidDel="00000000" w:rsidP="00000000" w:rsidRDefault="00000000" w:rsidRPr="00000000" w14:paraId="00000012">
      <w:pPr>
        <w:numPr>
          <w:ilvl w:val="1"/>
          <w:numId w:val="1"/>
        </w:numPr>
        <w:ind w:left="1440" w:hanging="360"/>
        <w:rPr>
          <w:rFonts w:ascii="Open Sans" w:cs="Open Sans" w:eastAsia="Open Sans" w:hAnsi="Open Sans"/>
        </w:rPr>
      </w:pPr>
      <w:r w:rsidDel="00000000" w:rsidR="00000000" w:rsidRPr="00000000">
        <w:rPr>
          <w:rFonts w:ascii="Open Sans" w:cs="Open Sans" w:eastAsia="Open Sans" w:hAnsi="Open Sans"/>
          <w:rtl w:val="0"/>
        </w:rPr>
        <w:t xml:space="preserve">Fever, muscle aches, lymphadenopathy</w:t>
      </w:r>
    </w:p>
    <w:p w:rsidR="00000000" w:rsidDel="00000000" w:rsidP="00000000" w:rsidRDefault="00000000" w:rsidRPr="00000000" w14:paraId="00000013">
      <w:pPr>
        <w:numPr>
          <w:ilvl w:val="1"/>
          <w:numId w:val="1"/>
        </w:numPr>
        <w:ind w:left="1440" w:hanging="360"/>
        <w:rPr>
          <w:rFonts w:ascii="Open Sans" w:cs="Open Sans" w:eastAsia="Open Sans" w:hAnsi="Open Sans"/>
        </w:rPr>
      </w:pPr>
      <w:r w:rsidDel="00000000" w:rsidR="00000000" w:rsidRPr="00000000">
        <w:rPr>
          <w:rFonts w:ascii="Open Sans" w:cs="Open Sans" w:eastAsia="Open Sans" w:hAnsi="Open Sans"/>
          <w:rtl w:val="0"/>
        </w:rPr>
        <w:t xml:space="preserve">Rash</w:t>
      </w:r>
    </w:p>
    <w:p w:rsidR="00000000" w:rsidDel="00000000" w:rsidP="00000000" w:rsidRDefault="00000000" w:rsidRPr="00000000" w14:paraId="00000014">
      <w:pPr>
        <w:numPr>
          <w:ilvl w:val="2"/>
          <w:numId w:val="1"/>
        </w:numPr>
        <w:ind w:left="2160" w:hanging="360"/>
        <w:rPr>
          <w:rFonts w:ascii="Open Sans" w:cs="Open Sans" w:eastAsia="Open Sans" w:hAnsi="Open Sans"/>
        </w:rPr>
      </w:pPr>
      <w:r w:rsidDel="00000000" w:rsidR="00000000" w:rsidRPr="00000000">
        <w:rPr>
          <w:rFonts w:ascii="Open Sans" w:cs="Open Sans" w:eastAsia="Open Sans" w:hAnsi="Open Sans"/>
          <w:rtl w:val="0"/>
        </w:rPr>
        <w:t xml:space="preserve">Distribution</w:t>
      </w:r>
    </w:p>
    <w:p w:rsidR="00000000" w:rsidDel="00000000" w:rsidP="00000000" w:rsidRDefault="00000000" w:rsidRPr="00000000" w14:paraId="00000015">
      <w:pPr>
        <w:numPr>
          <w:ilvl w:val="2"/>
          <w:numId w:val="1"/>
        </w:numPr>
        <w:ind w:left="2160" w:hanging="360"/>
        <w:rPr>
          <w:rFonts w:ascii="Open Sans" w:cs="Open Sans" w:eastAsia="Open Sans" w:hAnsi="Open Sans"/>
        </w:rPr>
      </w:pPr>
      <w:r w:rsidDel="00000000" w:rsidR="00000000" w:rsidRPr="00000000">
        <w:rPr>
          <w:rFonts w:ascii="Open Sans" w:cs="Open Sans" w:eastAsia="Open Sans" w:hAnsi="Open Sans"/>
          <w:rtl w:val="0"/>
        </w:rPr>
        <w:t xml:space="preserve">Characteristics - umbilication? Fluid filled? </w:t>
      </w:r>
    </w:p>
    <w:p w:rsidR="00000000" w:rsidDel="00000000" w:rsidP="00000000" w:rsidRDefault="00000000" w:rsidRPr="00000000" w14:paraId="00000016">
      <w:pPr>
        <w:numPr>
          <w:ilvl w:val="2"/>
          <w:numId w:val="1"/>
        </w:numPr>
        <w:ind w:left="2160" w:hanging="360"/>
        <w:rPr>
          <w:rFonts w:ascii="Open Sans" w:cs="Open Sans" w:eastAsia="Open Sans" w:hAnsi="Open Sans"/>
        </w:rPr>
      </w:pPr>
      <w:r w:rsidDel="00000000" w:rsidR="00000000" w:rsidRPr="00000000">
        <w:rPr>
          <w:rFonts w:ascii="Open Sans" w:cs="Open Sans" w:eastAsia="Open Sans" w:hAnsi="Open Sans"/>
          <w:rtl w:val="0"/>
        </w:rPr>
        <w:t xml:space="preserve">If possible, take photos of the rash to review with public health. Try to avoid areas that would identify the person unless needed</w:t>
      </w:r>
    </w:p>
    <w:p w:rsidR="00000000" w:rsidDel="00000000" w:rsidP="00000000" w:rsidRDefault="00000000" w:rsidRPr="00000000" w14:paraId="00000017">
      <w:pPr>
        <w:numPr>
          <w:ilvl w:val="0"/>
          <w:numId w:val="1"/>
        </w:numPr>
        <w:ind w:left="720" w:hanging="360"/>
        <w:rPr>
          <w:rFonts w:ascii="Open Sans" w:cs="Open Sans" w:eastAsia="Open Sans" w:hAnsi="Open Sans"/>
        </w:rPr>
      </w:pPr>
      <w:r w:rsidDel="00000000" w:rsidR="00000000" w:rsidRPr="00000000">
        <w:rPr>
          <w:rFonts w:ascii="Open Sans" w:cs="Open Sans" w:eastAsia="Open Sans" w:hAnsi="Open Sans"/>
          <w:rtl w:val="0"/>
        </w:rPr>
        <w:t xml:space="preserve">If</w:t>
      </w:r>
      <w:r w:rsidDel="00000000" w:rsidR="00000000" w:rsidRPr="00000000">
        <w:rPr>
          <w:rFonts w:ascii="Open Sans" w:cs="Open Sans" w:eastAsia="Open Sans" w:hAnsi="Open Sans"/>
          <w:rtl w:val="0"/>
        </w:rPr>
        <w:t xml:space="preserve"> you suspect monkeypox, it is better to collect samples at the time of visit rather than asking the patient to return later. </w:t>
      </w:r>
    </w:p>
    <w:p w:rsidR="00000000" w:rsidDel="00000000" w:rsidP="00000000" w:rsidRDefault="00000000" w:rsidRPr="00000000" w14:paraId="00000018">
      <w:pPr>
        <w:ind w:left="0" w:firstLine="720"/>
        <w:rPr>
          <w:rFonts w:ascii="Open Sans" w:cs="Open Sans" w:eastAsia="Open Sans" w:hAnsi="Open Sans"/>
        </w:rPr>
      </w:pPr>
      <w:r w:rsidDel="00000000" w:rsidR="00000000" w:rsidRPr="00000000">
        <w:rPr>
          <w:rFonts w:ascii="Open Sans" w:cs="Open Sans" w:eastAsia="Open Sans" w:hAnsi="Open Sans"/>
          <w:rtl w:val="0"/>
        </w:rPr>
        <w:t xml:space="preserve">Specimen Collection Instructions</w:t>
      </w:r>
    </w:p>
    <w:p w:rsidR="00000000" w:rsidDel="00000000" w:rsidP="00000000" w:rsidRDefault="00000000" w:rsidRPr="00000000" w14:paraId="00000019">
      <w:pPr>
        <w:widowControl w:val="0"/>
        <w:numPr>
          <w:ilvl w:val="1"/>
          <w:numId w:val="1"/>
        </w:numPr>
        <w:spacing w:after="0" w:line="240"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Identify the “juiciest” looking lesion</w:t>
      </w:r>
    </w:p>
    <w:p w:rsidR="00000000" w:rsidDel="00000000" w:rsidP="00000000" w:rsidRDefault="00000000" w:rsidRPr="00000000" w14:paraId="0000001A">
      <w:pPr>
        <w:widowControl w:val="0"/>
        <w:numPr>
          <w:ilvl w:val="1"/>
          <w:numId w:val="1"/>
        </w:numPr>
        <w:spacing w:after="0" w:line="240"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Vigorously swab or brush the lesion with two separate sterile dry polyester or </w:t>
      </w:r>
      <w:r w:rsidDel="00000000" w:rsidR="00000000" w:rsidRPr="00000000">
        <w:rPr>
          <w:rFonts w:ascii="Open Sans" w:cs="Open Sans" w:eastAsia="Open Sans" w:hAnsi="Open Sans"/>
          <w:rtl w:val="0"/>
        </w:rPr>
        <w:t xml:space="preserve">Dacron swabs</w:t>
      </w:r>
      <w:r w:rsidDel="00000000" w:rsidR="00000000" w:rsidRPr="00000000">
        <w:rPr>
          <w:rFonts w:ascii="Open Sans" w:cs="Open Sans" w:eastAsia="Open Sans" w:hAnsi="Open Sans"/>
          <w:rtl w:val="0"/>
        </w:rPr>
        <w:t xml:space="preserve">. It is not necessary to unroof the lesion. These lesions can be tender or painful, please keep this in mind when swabbing.</w:t>
      </w:r>
      <w:r w:rsidDel="00000000" w:rsidR="00000000" w:rsidRPr="00000000">
        <w:rPr>
          <w:rtl w:val="0"/>
        </w:rPr>
      </w:r>
    </w:p>
    <w:p w:rsidR="00000000" w:rsidDel="00000000" w:rsidP="00000000" w:rsidRDefault="00000000" w:rsidRPr="00000000" w14:paraId="0000001B">
      <w:pPr>
        <w:widowControl w:val="0"/>
        <w:numPr>
          <w:ilvl w:val="1"/>
          <w:numId w:val="1"/>
        </w:numPr>
        <w:spacing w:after="0" w:line="240"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Only one set of swabs (used to test the same lesions) is necessary, however if there are lesions on different locations on the body or lesions that are in different stages it is appropriate to send additional sets of swabs. Be sure to label what swabs are duplicates of each other.</w:t>
      </w:r>
      <w:r w:rsidDel="00000000" w:rsidR="00000000" w:rsidRPr="00000000">
        <w:rPr>
          <w:rtl w:val="0"/>
        </w:rPr>
      </w:r>
    </w:p>
    <w:p w:rsidR="00000000" w:rsidDel="00000000" w:rsidP="00000000" w:rsidRDefault="00000000" w:rsidRPr="00000000" w14:paraId="0000001C">
      <w:pPr>
        <w:numPr>
          <w:ilvl w:val="1"/>
          <w:numId w:val="1"/>
        </w:numPr>
        <w:ind w:left="1440" w:hanging="360"/>
        <w:rPr/>
      </w:pPr>
      <w:r w:rsidDel="00000000" w:rsidR="00000000" w:rsidRPr="00000000">
        <w:rPr>
          <w:rFonts w:ascii="Open Sans" w:cs="Open Sans" w:eastAsia="Open Sans" w:hAnsi="Open Sans"/>
          <w:highlight w:val="white"/>
          <w:rtl w:val="0"/>
        </w:rPr>
        <w:t xml:space="preserve">Place each swab in a dry sterile tube and seal (one tube for each swab). </w:t>
      </w:r>
      <w:r w:rsidDel="00000000" w:rsidR="00000000" w:rsidRPr="00000000">
        <w:rPr>
          <w:rFonts w:ascii="Open Sans" w:cs="Open Sans" w:eastAsia="Open Sans" w:hAnsi="Open Sans"/>
          <w:b w:val="1"/>
          <w:highlight w:val="white"/>
          <w:rtl w:val="0"/>
        </w:rPr>
        <w:t xml:space="preserve">DO NOT ADD ANY TRANSPORT MEDIA or BUFFER SOLUTION.</w:t>
      </w:r>
    </w:p>
    <w:p w:rsidR="00000000" w:rsidDel="00000000" w:rsidP="00000000" w:rsidRDefault="00000000" w:rsidRPr="00000000" w14:paraId="0000001D">
      <w:pPr>
        <w:numPr>
          <w:ilvl w:val="1"/>
          <w:numId w:val="1"/>
        </w:numPr>
        <w:ind w:left="1440" w:hanging="360"/>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Store tube</w:t>
      </w:r>
      <w:r w:rsidDel="00000000" w:rsidR="00000000" w:rsidRPr="00000000">
        <w:rPr>
          <w:rFonts w:ascii="Open Sans" w:cs="Open Sans" w:eastAsia="Open Sans" w:hAnsi="Open Sans"/>
          <w:highlight w:val="white"/>
          <w:rtl w:val="0"/>
        </w:rPr>
        <w:t xml:space="preserve"> </w:t>
      </w:r>
      <w:r w:rsidDel="00000000" w:rsidR="00000000" w:rsidRPr="00000000">
        <w:rPr>
          <w:rFonts w:ascii="Open Sans" w:cs="Open Sans" w:eastAsia="Open Sans" w:hAnsi="Open Sans"/>
          <w:highlight w:val="white"/>
          <w:rtl w:val="0"/>
        </w:rPr>
        <w:t xml:space="preserve">with swab</w:t>
      </w:r>
      <w:r w:rsidDel="00000000" w:rsidR="00000000" w:rsidRPr="00000000">
        <w:rPr>
          <w:rFonts w:ascii="Open Sans" w:cs="Open Sans" w:eastAsia="Open Sans" w:hAnsi="Open Sans"/>
          <w:highlight w:val="white"/>
          <w:rtl w:val="0"/>
        </w:rPr>
        <w:t xml:space="preserve"> in a refrigerator or -20 degree freezer</w:t>
      </w:r>
      <w:r w:rsidDel="00000000" w:rsidR="00000000" w:rsidRPr="00000000">
        <w:rPr>
          <w:rFonts w:ascii="Open Sans" w:cs="Open Sans" w:eastAsia="Open Sans" w:hAnsi="Open Sans"/>
          <w:highlight w:val="white"/>
          <w:rtl w:val="0"/>
        </w:rPr>
        <w:t xml:space="preserve">. Collected specimens are stable for 7 days refrigerated and 60 days frozen. They should be transported to The Utah Public Health Laboratory (UPHL) refrigerated or frozen within the stability timeframe mentioned above.</w:t>
      </w:r>
    </w:p>
    <w:p w:rsidR="00000000" w:rsidDel="00000000" w:rsidP="00000000" w:rsidRDefault="00000000" w:rsidRPr="00000000" w14:paraId="0000001E">
      <w:pPr>
        <w:numPr>
          <w:ilvl w:val="1"/>
          <w:numId w:val="1"/>
        </w:numPr>
        <w:ind w:left="1440" w:hanging="360"/>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Submit specimens to UPHL with individual completed </w:t>
      </w:r>
      <w:hyperlink r:id="rId6">
        <w:r w:rsidDel="00000000" w:rsidR="00000000" w:rsidRPr="00000000">
          <w:rPr>
            <w:rFonts w:ascii="Open Sans" w:cs="Open Sans" w:eastAsia="Open Sans" w:hAnsi="Open Sans"/>
            <w:color w:val="1155cc"/>
            <w:highlight w:val="white"/>
            <w:u w:val="single"/>
            <w:rtl w:val="0"/>
          </w:rPr>
          <w:t xml:space="preserve">UPHL Infectious Disease test Request Forms</w:t>
        </w:r>
      </w:hyperlink>
      <w:r w:rsidDel="00000000" w:rsidR="00000000" w:rsidRPr="00000000">
        <w:rPr>
          <w:rFonts w:ascii="Open Sans" w:cs="Open Sans" w:eastAsia="Open Sans" w:hAnsi="Open Sans"/>
          <w:highlight w:val="white"/>
          <w:rtl w:val="0"/>
        </w:rPr>
        <w:t xml:space="preserve">. </w:t>
      </w:r>
      <w:r w:rsidDel="00000000" w:rsidR="00000000" w:rsidRPr="00000000">
        <w:rPr>
          <w:rFonts w:ascii="Open Sans" w:cs="Open Sans" w:eastAsia="Open Sans" w:hAnsi="Open Sans"/>
          <w:highlight w:val="white"/>
          <w:rtl w:val="0"/>
        </w:rPr>
        <w:t xml:space="preserve">Mark “other” and write in MonkeyPox</w:t>
      </w:r>
      <w:r w:rsidDel="00000000" w:rsidR="00000000" w:rsidRPr="00000000">
        <w:rPr>
          <w:rFonts w:ascii="Open Sans" w:cs="Open Sans" w:eastAsia="Open Sans" w:hAnsi="Open Sans"/>
          <w:highlight w:val="white"/>
          <w:rtl w:val="0"/>
        </w:rPr>
        <w:t xml:space="preserve">.</w:t>
      </w:r>
      <w:r w:rsidDel="00000000" w:rsidR="00000000" w:rsidRPr="00000000">
        <w:rPr>
          <w:rtl w:val="0"/>
        </w:rPr>
      </w:r>
    </w:p>
    <w:p w:rsidR="00000000" w:rsidDel="00000000" w:rsidP="00000000" w:rsidRDefault="00000000" w:rsidRPr="00000000" w14:paraId="0000001F">
      <w:pPr>
        <w:numPr>
          <w:ilvl w:val="0"/>
          <w:numId w:val="1"/>
        </w:numPr>
        <w:ind w:left="720" w:hanging="360"/>
        <w:rPr>
          <w:rFonts w:ascii="Open Sans" w:cs="Open Sans" w:eastAsia="Open Sans" w:hAnsi="Open Sans"/>
          <w:highlight w:val="white"/>
        </w:rPr>
      </w:pPr>
      <w:r w:rsidDel="00000000" w:rsidR="00000000" w:rsidRPr="00000000">
        <w:rPr>
          <w:rFonts w:ascii="Open Sans" w:cs="Open Sans" w:eastAsia="Open Sans" w:hAnsi="Open Sans"/>
          <w:b w:val="1"/>
          <w:highlight w:val="white"/>
          <w:rtl w:val="0"/>
        </w:rPr>
        <w:t xml:space="preserve">Call your local health department </w:t>
      </w:r>
      <w:r w:rsidDel="00000000" w:rsidR="00000000" w:rsidRPr="00000000">
        <w:rPr>
          <w:rFonts w:ascii="Open Sans" w:cs="Open Sans" w:eastAsia="Open Sans" w:hAnsi="Open Sans"/>
          <w:b w:val="1"/>
          <w:color w:val="202124"/>
          <w:highlight w:val="white"/>
          <w:rtl w:val="0"/>
        </w:rPr>
        <w:t xml:space="preserve">to report the suspect case and get approval for testing at UPHL</w:t>
      </w:r>
      <w:r w:rsidDel="00000000" w:rsidR="00000000" w:rsidRPr="00000000">
        <w:rPr>
          <w:rFonts w:ascii="Open Sans" w:cs="Open Sans" w:eastAsia="Open Sans" w:hAnsi="Open Sans"/>
          <w:color w:val="202124"/>
          <w:highlight w:val="white"/>
          <w:rtl w:val="0"/>
        </w:rPr>
        <w:t xml:space="preserve">.</w:t>
      </w:r>
      <w:r w:rsidDel="00000000" w:rsidR="00000000" w:rsidRPr="00000000">
        <w:rPr>
          <w:rFonts w:ascii="Open Sans" w:cs="Open Sans" w:eastAsia="Open Sans" w:hAnsi="Open Sans"/>
          <w:highlight w:val="white"/>
          <w:rtl w:val="0"/>
        </w:rPr>
        <w:t xml:space="preserve"> Weekend and after-hour reports can be directed to </w:t>
      </w:r>
      <w:r w:rsidDel="00000000" w:rsidR="00000000" w:rsidRPr="00000000">
        <w:rPr>
          <w:rFonts w:ascii="Open Sans" w:cs="Open Sans" w:eastAsia="Open Sans" w:hAnsi="Open Sans"/>
          <w:color w:val="202124"/>
          <w:highlight w:val="white"/>
          <w:rtl w:val="0"/>
        </w:rPr>
        <w:t xml:space="preserve">the 24 hour phone disease reporting line (1-888-EPI-UTAH). </w:t>
      </w:r>
    </w:p>
    <w:p w:rsidR="00000000" w:rsidDel="00000000" w:rsidP="00000000" w:rsidRDefault="00000000" w:rsidRPr="00000000" w14:paraId="00000020">
      <w:pPr>
        <w:numPr>
          <w:ilvl w:val="1"/>
          <w:numId w:val="1"/>
        </w:numPr>
        <w:ind w:left="1440" w:hanging="360"/>
        <w:rPr>
          <w:rFonts w:ascii="Open Sans" w:cs="Open Sans" w:eastAsia="Open Sans" w:hAnsi="Open Sans"/>
          <w:color w:val="202124"/>
          <w:highlight w:val="white"/>
          <w:u w:val="none"/>
        </w:rPr>
      </w:pPr>
      <w:r w:rsidDel="00000000" w:rsidR="00000000" w:rsidRPr="00000000">
        <w:rPr>
          <w:rFonts w:ascii="Open Sans" w:cs="Open Sans" w:eastAsia="Open Sans" w:hAnsi="Open Sans"/>
          <w:color w:val="202124"/>
          <w:highlight w:val="white"/>
          <w:rtl w:val="0"/>
        </w:rPr>
        <w:t xml:space="preserve">If applicable, the local health department and DHHS will begin contact tracing and assessing exposed persons for post-exposure prophylactic (PEP) treatments like </w:t>
      </w:r>
      <w:r w:rsidDel="00000000" w:rsidR="00000000" w:rsidRPr="00000000">
        <w:rPr>
          <w:rFonts w:ascii="Open Sans" w:cs="Open Sans" w:eastAsia="Open Sans" w:hAnsi="Open Sans"/>
          <w:color w:val="202124"/>
          <w:highlight w:val="white"/>
          <w:rtl w:val="0"/>
        </w:rPr>
        <w:t xml:space="preserve">vaccines</w:t>
      </w:r>
      <w:r w:rsidDel="00000000" w:rsidR="00000000" w:rsidRPr="00000000">
        <w:rPr>
          <w:rFonts w:ascii="Open Sans" w:cs="Open Sans" w:eastAsia="Open Sans" w:hAnsi="Open Sans"/>
          <w:color w:val="202124"/>
          <w:highlight w:val="white"/>
          <w:rtl w:val="0"/>
        </w:rPr>
        <w:t xml:space="preserve">. Severely ill cases of MPX may be considered for antivirals.</w:t>
      </w:r>
      <w:r w:rsidDel="00000000" w:rsidR="00000000" w:rsidRPr="00000000">
        <w:rPr>
          <w:rtl w:val="0"/>
        </w:rPr>
      </w:r>
    </w:p>
    <w:p w:rsidR="00000000" w:rsidDel="00000000" w:rsidP="00000000" w:rsidRDefault="00000000" w:rsidRPr="00000000" w14:paraId="00000021">
      <w:pPr>
        <w:numPr>
          <w:ilvl w:val="0"/>
          <w:numId w:val="1"/>
        </w:numPr>
        <w:ind w:left="720" w:hanging="360"/>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ANY patient with high suspicion for monkeypox should be told to isolate at home away from other people and animals. They should </w:t>
      </w:r>
      <w:r w:rsidDel="00000000" w:rsidR="00000000" w:rsidRPr="00000000">
        <w:rPr>
          <w:rFonts w:ascii="Open Sans" w:cs="Open Sans" w:eastAsia="Open Sans" w:hAnsi="Open Sans"/>
          <w:highlight w:val="white"/>
          <w:rtl w:val="0"/>
        </w:rPr>
        <w:t xml:space="preserve">isolate</w:t>
      </w:r>
      <w:r w:rsidDel="00000000" w:rsidR="00000000" w:rsidRPr="00000000">
        <w:rPr>
          <w:rFonts w:ascii="Open Sans" w:cs="Open Sans" w:eastAsia="Open Sans" w:hAnsi="Open Sans"/>
          <w:highlight w:val="white"/>
          <w:rtl w:val="0"/>
        </w:rPr>
        <w:t xml:space="preserve"> until monkeypox is ruled out or until new skin forms over all the lesions (typically around two weeks). </w:t>
      </w:r>
    </w:p>
    <w:p w:rsidR="00000000" w:rsidDel="00000000" w:rsidP="00000000" w:rsidRDefault="00000000" w:rsidRPr="00000000" w14:paraId="00000022">
      <w:pPr>
        <w:numPr>
          <w:ilvl w:val="0"/>
          <w:numId w:val="1"/>
        </w:numPr>
        <w:ind w:left="720" w:hanging="360"/>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For patients who report engaging in unprotected sex, STD testing (e.g syphilis, gonorrhea, chlamydia) is highly encouraged in the areas of exposure. Extragenital testing (oral, anal) can be conducted in exposed sites via a swab.  </w:t>
      </w:r>
      <w:r w:rsidDel="00000000" w:rsidR="00000000" w:rsidRPr="00000000">
        <w:rPr>
          <w:rFonts w:ascii="Open Sans" w:cs="Open Sans" w:eastAsia="Open Sans" w:hAnsi="Open Sans"/>
          <w:highlight w:val="white"/>
          <w:rtl w:val="0"/>
        </w:rPr>
        <w:t xml:space="preserve">If additional STD testing is being done, the clinician should inform the testing laboratory that the patient is being evaluated for monkeypox so that the laboratory staff can handle the samples safel</w:t>
      </w:r>
      <w:r w:rsidDel="00000000" w:rsidR="00000000" w:rsidRPr="00000000">
        <w:rPr>
          <w:rFonts w:ascii="Open Sans" w:cs="Open Sans" w:eastAsia="Open Sans" w:hAnsi="Open Sans"/>
          <w:highlight w:val="white"/>
          <w:rtl w:val="0"/>
        </w:rPr>
        <w:t xml:space="preserve">y. </w:t>
      </w:r>
    </w:p>
    <w:p w:rsidR="00000000" w:rsidDel="00000000" w:rsidP="00000000" w:rsidRDefault="00000000" w:rsidRPr="00000000" w14:paraId="00000023">
      <w:pPr>
        <w:numPr>
          <w:ilvl w:val="0"/>
          <w:numId w:val="1"/>
        </w:numPr>
        <w:ind w:left="720" w:hanging="360"/>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People who handle any linens used by the suspect patient should use PPE to protect from exposure. </w:t>
      </w:r>
    </w:p>
    <w:p w:rsidR="00000000" w:rsidDel="00000000" w:rsidP="00000000" w:rsidRDefault="00000000" w:rsidRPr="00000000" w14:paraId="00000024">
      <w:pPr>
        <w:numPr>
          <w:ilvl w:val="0"/>
          <w:numId w:val="1"/>
        </w:numPr>
        <w:ind w:left="720" w:hanging="360"/>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Additional general information can be found on the CDC website: </w:t>
      </w:r>
      <w:hyperlink r:id="rId7">
        <w:r w:rsidDel="00000000" w:rsidR="00000000" w:rsidRPr="00000000">
          <w:rPr>
            <w:rFonts w:ascii="Open Sans" w:cs="Open Sans" w:eastAsia="Open Sans" w:hAnsi="Open Sans"/>
            <w:color w:val="1155cc"/>
            <w:highlight w:val="white"/>
            <w:u w:val="single"/>
            <w:rtl w:val="0"/>
          </w:rPr>
          <w:t xml:space="preserve">https://www.cdc.gov/poxvirus/monkeypox/clinicians/index.html</w:t>
        </w:r>
      </w:hyperlink>
      <w:r w:rsidDel="00000000" w:rsidR="00000000" w:rsidRPr="00000000">
        <w:rPr>
          <w:rtl w:val="0"/>
        </w:rPr>
      </w:r>
    </w:p>
    <w:p w:rsidR="00000000" w:rsidDel="00000000" w:rsidP="00000000" w:rsidRDefault="00000000" w:rsidRPr="00000000" w14:paraId="00000025">
      <w:pPr>
        <w:ind w:left="1440" w:firstLine="0"/>
        <w:rPr>
          <w:rFonts w:ascii="Open Sans" w:cs="Open Sans" w:eastAsia="Open Sans" w:hAnsi="Open Sans"/>
          <w:highlight w:val="white"/>
        </w:rPr>
      </w:pPr>
      <w:r w:rsidDel="00000000" w:rsidR="00000000" w:rsidRPr="00000000">
        <w:rPr>
          <w:rtl w:val="0"/>
        </w:rPr>
      </w:r>
    </w:p>
    <w:p w:rsidR="00000000" w:rsidDel="00000000" w:rsidP="00000000" w:rsidRDefault="00000000" w:rsidRPr="00000000" w14:paraId="00000026">
      <w:pPr>
        <w:ind w:left="1440" w:firstLine="0"/>
        <w:rPr>
          <w:rFonts w:ascii="Open Sans" w:cs="Open Sans" w:eastAsia="Open Sans" w:hAnsi="Open Sans"/>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phl.utah.gov/wp-content/uploads/Infectious_Disease_Test-Requisition-Form.pdf" TargetMode="External"/><Relationship Id="rId7" Type="http://schemas.openxmlformats.org/officeDocument/2006/relationships/hyperlink" Target="https://www.cdc.gov/poxvirus/monkeypox/clinicians/index.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