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AA768" w14:textId="09B99C26" w:rsidR="00715697" w:rsidRPr="00715697" w:rsidRDefault="00715697" w:rsidP="00715697">
      <w:pPr>
        <w:jc w:val="center"/>
        <w:rPr>
          <w:b/>
          <w:bCs/>
        </w:rPr>
      </w:pPr>
      <w:r w:rsidRPr="00715697">
        <w:rPr>
          <w:b/>
          <w:bCs/>
        </w:rPr>
        <w:t>ASPR-CSTE MPX Vaccine and Therapeutics Call</w:t>
      </w:r>
    </w:p>
    <w:p w14:paraId="2A91E7B2" w14:textId="0929A6F3" w:rsidR="00176095" w:rsidRPr="00715697" w:rsidRDefault="00E06EF8" w:rsidP="00715697">
      <w:pPr>
        <w:jc w:val="center"/>
        <w:rPr>
          <w:b/>
          <w:bCs/>
        </w:rPr>
      </w:pPr>
      <w:r>
        <w:rPr>
          <w:b/>
          <w:bCs/>
        </w:rPr>
        <w:t>31</w:t>
      </w:r>
      <w:r w:rsidR="00715697" w:rsidRPr="00715697">
        <w:rPr>
          <w:b/>
          <w:bCs/>
        </w:rPr>
        <w:t xml:space="preserve"> August 2022</w:t>
      </w:r>
    </w:p>
    <w:p w14:paraId="3C86137D" w14:textId="7EA6865C" w:rsidR="00715697" w:rsidRDefault="00715697"/>
    <w:p w14:paraId="026F98EF" w14:textId="4489D4DD" w:rsidR="00715697" w:rsidRDefault="00C63410">
      <w:pPr>
        <w:rPr>
          <w:b/>
          <w:bCs/>
          <w:u w:val="single"/>
        </w:rPr>
      </w:pPr>
      <w:r>
        <w:rPr>
          <w:b/>
          <w:bCs/>
          <w:u w:val="single"/>
        </w:rPr>
        <w:t xml:space="preserve">TPOXX </w:t>
      </w:r>
    </w:p>
    <w:p w14:paraId="016EE7C7" w14:textId="43140D5B" w:rsidR="007D7CBE" w:rsidRPr="00C63410" w:rsidRDefault="003A5E05" w:rsidP="003A5E05">
      <w:pPr>
        <w:rPr>
          <w:u w:val="single"/>
        </w:rPr>
      </w:pPr>
      <w:r w:rsidRPr="00C63410">
        <w:rPr>
          <w:u w:val="single"/>
        </w:rPr>
        <w:t xml:space="preserve">TPOXX Ordering and Reporting </w:t>
      </w:r>
    </w:p>
    <w:p w14:paraId="1DA5C6F8" w14:textId="7B952AF0" w:rsidR="007862D0" w:rsidRDefault="009653E9" w:rsidP="003A5E05">
      <w:r>
        <w:t xml:space="preserve">Dataset containing aggregate enrollment forms received data, </w:t>
      </w:r>
      <w:r w:rsidR="00530E2E">
        <w:t xml:space="preserve">by jurisdiction: what are expectations of jurisdictions? Is this actionable data? </w:t>
      </w:r>
    </w:p>
    <w:p w14:paraId="28A26697" w14:textId="39C0A3A3" w:rsidR="00530E2E" w:rsidRDefault="00E47233" w:rsidP="00530E2E">
      <w:pPr>
        <w:pStyle w:val="ListParagraph"/>
        <w:numPr>
          <w:ilvl w:val="0"/>
          <w:numId w:val="7"/>
        </w:numPr>
      </w:pPr>
      <w:r>
        <w:t xml:space="preserve">A: </w:t>
      </w:r>
      <w:r w:rsidR="00530E2E">
        <w:t>Aggregate data will be available in Tiberius, but there</w:t>
      </w:r>
      <w:r>
        <w:t xml:space="preserve"> will not be more granular data </w:t>
      </w:r>
      <w:r w:rsidR="005B6EE4">
        <w:t>available</w:t>
      </w:r>
      <w:r w:rsidR="00530E2E">
        <w:t xml:space="preserve">. </w:t>
      </w:r>
      <w:r w:rsidR="000B0874">
        <w:t>Aggregate data will be updated weekly</w:t>
      </w:r>
      <w:r w:rsidR="00530E2E">
        <w:t xml:space="preserve">. </w:t>
      </w:r>
      <w:r w:rsidR="00FF5235">
        <w:t xml:space="preserve">These data are being shared with ASPR to establish a baseline for courses used/needed in the jurisdiction </w:t>
      </w:r>
    </w:p>
    <w:p w14:paraId="40D0EB5D" w14:textId="7B775B9F" w:rsidR="007D4803" w:rsidRPr="003A5E05" w:rsidRDefault="007D4803" w:rsidP="002C7DC1">
      <w:pPr>
        <w:pStyle w:val="ListParagraph"/>
        <w:numPr>
          <w:ilvl w:val="0"/>
          <w:numId w:val="7"/>
        </w:numPr>
      </w:pPr>
      <w:r>
        <w:t xml:space="preserve">Q: Can jurisdictions receiving TPOXX directly have their (aggregate) data split from state level? </w:t>
      </w:r>
    </w:p>
    <w:p w14:paraId="28C648BE" w14:textId="77777777" w:rsidR="00C96FAF" w:rsidRPr="00C96FAF" w:rsidRDefault="00C96FAF">
      <w:pPr>
        <w:rPr>
          <w:u w:val="single"/>
        </w:rPr>
      </w:pPr>
      <w:r w:rsidRPr="00C96FAF">
        <w:rPr>
          <w:u w:val="single"/>
        </w:rPr>
        <w:t xml:space="preserve">Messaging and Communications: </w:t>
      </w:r>
    </w:p>
    <w:p w14:paraId="57E08F59" w14:textId="0562F8F2" w:rsidR="009D3F4F" w:rsidRDefault="009D3F4F">
      <w:r>
        <w:t>Please share more resources regarding information on development of viral resistance to TPOXX</w:t>
      </w:r>
    </w:p>
    <w:p w14:paraId="689CBA9F" w14:textId="4130FFC0" w:rsidR="009E1A0B" w:rsidRDefault="003721BB">
      <w:pPr>
        <w:rPr>
          <w:u w:val="single"/>
        </w:rPr>
      </w:pPr>
      <w:r>
        <w:rPr>
          <w:u w:val="single"/>
        </w:rPr>
        <w:t xml:space="preserve">Supply Chain and Planning Considerations </w:t>
      </w:r>
    </w:p>
    <w:p w14:paraId="0FD04D9B" w14:textId="4CA84310" w:rsidR="003721BB" w:rsidRDefault="003721BB">
      <w:r>
        <w:t xml:space="preserve">Planning considerations for allocation to pharmacies </w:t>
      </w:r>
      <w:proofErr w:type="gramStart"/>
      <w:r w:rsidR="000B0C80">
        <w:t>as a way to</w:t>
      </w:r>
      <w:proofErr w:type="gramEnd"/>
      <w:r w:rsidR="000B0C80">
        <w:t xml:space="preserve"> increase reach and improve access to care, especially if MPX does not burn out quickly and becomes endemic </w:t>
      </w:r>
    </w:p>
    <w:p w14:paraId="45F420F2" w14:textId="2AF36E3F" w:rsidR="005B2AA4" w:rsidRDefault="005B2AA4">
      <w:r>
        <w:t xml:space="preserve">TPOXX Distribution Models </w:t>
      </w:r>
    </w:p>
    <w:p w14:paraId="57D93C14" w14:textId="67857325" w:rsidR="005B2AA4" w:rsidRDefault="00210A81" w:rsidP="005B2AA4">
      <w:pPr>
        <w:pStyle w:val="ListParagraph"/>
        <w:numPr>
          <w:ilvl w:val="0"/>
          <w:numId w:val="7"/>
        </w:numPr>
      </w:pPr>
      <w:r>
        <w:t xml:space="preserve">Are </w:t>
      </w:r>
      <w:r w:rsidR="004D27E3">
        <w:t>jurisdictions</w:t>
      </w:r>
      <w:r>
        <w:t xml:space="preserve"> having Emergency Departments and Urgent Cares give TPOXX sine the clinical outcome form is not required? </w:t>
      </w:r>
    </w:p>
    <w:p w14:paraId="18B9F814" w14:textId="039F78A7" w:rsidR="00210A81" w:rsidRPr="003721BB" w:rsidRDefault="00210A81" w:rsidP="00210A81">
      <w:pPr>
        <w:pStyle w:val="ListParagraph"/>
        <w:numPr>
          <w:ilvl w:val="1"/>
          <w:numId w:val="7"/>
        </w:numPr>
      </w:pPr>
      <w:r>
        <w:t xml:space="preserve">Salt Lake City: </w:t>
      </w:r>
      <w:r w:rsidR="00232758">
        <w:t xml:space="preserve">large healthcare provider is using affiliated urgent care clinics; providers are completing required paperwork and use telehealth </w:t>
      </w:r>
      <w:r w:rsidR="004D27E3">
        <w:t xml:space="preserve">as needed (initial visit and/or follow up) </w:t>
      </w:r>
      <w:r w:rsidR="00232758">
        <w:t xml:space="preserve"> </w:t>
      </w:r>
    </w:p>
    <w:p w14:paraId="76EFE625" w14:textId="2D7C0425" w:rsidR="009F3967" w:rsidRDefault="003610AA">
      <w:pPr>
        <w:rPr>
          <w:u w:val="single"/>
        </w:rPr>
      </w:pPr>
      <w:r w:rsidRPr="009F3967">
        <w:rPr>
          <w:u w:val="single"/>
        </w:rPr>
        <w:t xml:space="preserve">Administrative </w:t>
      </w:r>
      <w:r w:rsidR="003A5E05">
        <w:rPr>
          <w:u w:val="single"/>
        </w:rPr>
        <w:t>and Regulatory</w:t>
      </w:r>
      <w:r w:rsidR="009F3967">
        <w:rPr>
          <w:u w:val="single"/>
        </w:rPr>
        <w:t xml:space="preserve">: </w:t>
      </w:r>
    </w:p>
    <w:p w14:paraId="12E167B8" w14:textId="4F01B67E" w:rsidR="002D28B5" w:rsidRDefault="002D28B5">
      <w:r>
        <w:t xml:space="preserve">Any updates on the EUA and being able to expand access to </w:t>
      </w:r>
      <w:r w:rsidR="00023339">
        <w:t>high-risk</w:t>
      </w:r>
      <w:r>
        <w:t xml:space="preserve"> populations? </w:t>
      </w:r>
    </w:p>
    <w:p w14:paraId="6D355D7C" w14:textId="57D1E916" w:rsidR="002D28B5" w:rsidRDefault="002D28B5" w:rsidP="002D28B5">
      <w:pPr>
        <w:pStyle w:val="ListParagraph"/>
        <w:numPr>
          <w:ilvl w:val="0"/>
          <w:numId w:val="6"/>
        </w:numPr>
      </w:pPr>
      <w:r>
        <w:t xml:space="preserve">A: </w:t>
      </w:r>
      <w:r w:rsidR="00CF6B4D">
        <w:t xml:space="preserve">Since this is an asset from the SNS, providers need to have PREP Act coverage, and </w:t>
      </w:r>
      <w:r w:rsidR="007C65FD">
        <w:t xml:space="preserve">there </w:t>
      </w:r>
      <w:proofErr w:type="gramStart"/>
      <w:r w:rsidR="007C65FD">
        <w:t>are</w:t>
      </w:r>
      <w:proofErr w:type="gramEnd"/>
      <w:r w:rsidR="007C65FD">
        <w:t xml:space="preserve"> certain constraint with the PREP Act and the EA IND. </w:t>
      </w:r>
    </w:p>
    <w:p w14:paraId="2AE7DD1E" w14:textId="0A7C2E39" w:rsidR="007C65FD" w:rsidRDefault="007C65FD" w:rsidP="002D28B5">
      <w:pPr>
        <w:pStyle w:val="ListParagraph"/>
        <w:numPr>
          <w:ilvl w:val="0"/>
          <w:numId w:val="6"/>
        </w:numPr>
      </w:pPr>
      <w:r>
        <w:t xml:space="preserve">A: it will also be difficult to determine the true effectiveness of TPOXX in the current outbreak given regulatory concerns, so difficult to expand access knowing TPOXX is an investigational drug that has not yet been tested against monkeypox in human populations.  </w:t>
      </w:r>
    </w:p>
    <w:p w14:paraId="1482CA28" w14:textId="5A29DBC8" w:rsidR="003A5E05" w:rsidRDefault="00F1437D">
      <w:r>
        <w:t xml:space="preserve">Expectation to have 100% data for every patient treated will lead to access and equity issues as it may lead providers to be less willing to initiate treatment </w:t>
      </w:r>
    </w:p>
    <w:p w14:paraId="6CD37597" w14:textId="08E188A9" w:rsidR="002500A7" w:rsidRDefault="002500A7">
      <w:r>
        <w:t>Providers have asked about the need to submit both the short form consent form and the written summary form – both of which require signatures</w:t>
      </w:r>
      <w:r w:rsidR="009E1A0B">
        <w:t xml:space="preserve">. Providers who are doing telemedicine visits are having difficult in getting signatures on both. </w:t>
      </w:r>
    </w:p>
    <w:p w14:paraId="4F44656E" w14:textId="18F87669" w:rsidR="009E1A0B" w:rsidRDefault="000B0C80">
      <w:r>
        <w:lastRenderedPageBreak/>
        <w:t xml:space="preserve">Having to actively track </w:t>
      </w:r>
      <w:r w:rsidR="008A46B0">
        <w:t xml:space="preserve">patient courses delivered and dispensed, then </w:t>
      </w:r>
      <w:proofErr w:type="gramStart"/>
      <w:r w:rsidR="008A46B0">
        <w:t>entering into</w:t>
      </w:r>
      <w:proofErr w:type="gramEnd"/>
      <w:r w:rsidR="008A46B0">
        <w:t xml:space="preserve"> HPOP is timely and a drain on staff time/resources. </w:t>
      </w:r>
      <w:r w:rsidR="00F318C4">
        <w:t xml:space="preserve">There have also been </w:t>
      </w:r>
      <w:r w:rsidR="0025799E">
        <w:t>discrepancies</w:t>
      </w:r>
      <w:r w:rsidR="00F318C4">
        <w:t xml:space="preserve"> </w:t>
      </w:r>
      <w:r w:rsidR="0025799E">
        <w:t>with</w:t>
      </w:r>
      <w:r w:rsidR="00F318C4">
        <w:t xml:space="preserve"> ordered amount vs received amount when tracking inventory with </w:t>
      </w:r>
      <w:r w:rsidR="0025799E">
        <w:t>providers/facilities. Can the provider reporting option be turned on?</w:t>
      </w:r>
    </w:p>
    <w:p w14:paraId="24BCB975" w14:textId="422B181F" w:rsidR="003C3407" w:rsidRDefault="003C3407" w:rsidP="003C3407">
      <w:pPr>
        <w:pStyle w:val="ListParagraph"/>
        <w:numPr>
          <w:ilvl w:val="0"/>
          <w:numId w:val="5"/>
        </w:numPr>
      </w:pPr>
      <w:r>
        <w:t>A: in Tiberius, the provider reporting function will be on and active in the next week or so, but jurisdictions will have to make the decision to turn on and share information and education with providers (similar reporting mechanism to COVID therapeutics use reporting)</w:t>
      </w:r>
    </w:p>
    <w:p w14:paraId="0A492A54" w14:textId="10F32F14" w:rsidR="00F318C4" w:rsidRDefault="00F318C4" w:rsidP="003C3407">
      <w:pPr>
        <w:pStyle w:val="ListParagraph"/>
        <w:numPr>
          <w:ilvl w:val="0"/>
          <w:numId w:val="5"/>
        </w:numPr>
      </w:pPr>
      <w:r>
        <w:t xml:space="preserve">A: Data from pre-HPOP orders and deliveries are available for </w:t>
      </w:r>
      <w:r w:rsidR="0025799E">
        <w:t>jurisdictions</w:t>
      </w:r>
      <w:r>
        <w:t xml:space="preserve"> to view in Tiberius </w:t>
      </w:r>
    </w:p>
    <w:p w14:paraId="7A3D5162" w14:textId="0E66B036" w:rsidR="00FB7A4B" w:rsidRPr="00C63410" w:rsidRDefault="00FB7A4B">
      <w:pPr>
        <w:rPr>
          <w:u w:val="single"/>
        </w:rPr>
      </w:pPr>
      <w:r w:rsidRPr="00C63410">
        <w:rPr>
          <w:u w:val="single"/>
        </w:rPr>
        <w:t xml:space="preserve">Planned and Ongoing Studies </w:t>
      </w:r>
    </w:p>
    <w:p w14:paraId="4F762038" w14:textId="21067884" w:rsidR="00FB7A4B" w:rsidRDefault="00FB7A4B">
      <w:r>
        <w:t xml:space="preserve">Information on bridging the divide between experimental data form the field and active clinical trials in decision-making at the boots on the ground level? </w:t>
      </w:r>
    </w:p>
    <w:p w14:paraId="104A166E" w14:textId="3D382BA0" w:rsidR="00FB7A4B" w:rsidRDefault="00FB7A4B">
      <w:r>
        <w:t xml:space="preserve">Update on </w:t>
      </w:r>
      <w:hyperlink r:id="rId5" w:history="1">
        <w:r w:rsidRPr="00654624">
          <w:rPr>
            <w:rStyle w:val="Hyperlink"/>
          </w:rPr>
          <w:t>PLATINUM</w:t>
        </w:r>
      </w:hyperlink>
      <w:r>
        <w:t xml:space="preserve"> and </w:t>
      </w:r>
      <w:hyperlink r:id="rId6" w:history="1">
        <w:r w:rsidRPr="00895C58">
          <w:rPr>
            <w:rStyle w:val="Hyperlink"/>
          </w:rPr>
          <w:t>STOMP</w:t>
        </w:r>
      </w:hyperlink>
      <w:r>
        <w:t xml:space="preserve"> trials </w:t>
      </w:r>
    </w:p>
    <w:p w14:paraId="69BF91CB" w14:textId="4CE89D83" w:rsidR="008B1AD3" w:rsidRPr="00C63410" w:rsidRDefault="00F93E16">
      <w:pPr>
        <w:rPr>
          <w:u w:val="single"/>
        </w:rPr>
      </w:pPr>
      <w:r w:rsidRPr="00C63410">
        <w:rPr>
          <w:u w:val="single"/>
        </w:rPr>
        <w:t>Viral Resistance</w:t>
      </w:r>
    </w:p>
    <w:p w14:paraId="12EF88ED" w14:textId="1AEDFF81" w:rsidR="00430CE2" w:rsidRPr="00C77D75" w:rsidRDefault="001D2422">
      <w:r w:rsidRPr="00C77D75">
        <w:t>Are there planned updates and messaging around viral resis</w:t>
      </w:r>
      <w:r w:rsidR="009D1C7F" w:rsidRPr="00C77D75">
        <w:t xml:space="preserve">tance? </w:t>
      </w:r>
    </w:p>
    <w:p w14:paraId="376FB8AD" w14:textId="4BD8E11A" w:rsidR="009D1C7F" w:rsidRPr="00C77D75" w:rsidRDefault="009D1C7F">
      <w:r w:rsidRPr="00C77D75">
        <w:t>It seems like the CDC guidance has shifted from being more restrictive (for who qualifies for TPOXX</w:t>
      </w:r>
      <w:r w:rsidR="00442C18" w:rsidRPr="00C77D75">
        <w:t>; initially for hospitalized patients only</w:t>
      </w:r>
      <w:r w:rsidRPr="00C77D75">
        <w:t xml:space="preserve">) to less restrictive </w:t>
      </w:r>
      <w:proofErr w:type="gramStart"/>
      <w:r w:rsidRPr="00C77D75">
        <w:t>as a way to</w:t>
      </w:r>
      <w:proofErr w:type="gramEnd"/>
      <w:r w:rsidRPr="00C77D75">
        <w:t xml:space="preserve"> increase access to treatment</w:t>
      </w:r>
      <w:r w:rsidR="00442C18" w:rsidRPr="00C77D75">
        <w:t>.</w:t>
      </w:r>
    </w:p>
    <w:p w14:paraId="0604FFB6" w14:textId="3CD251B5" w:rsidR="00C12C61" w:rsidRPr="00C77D75" w:rsidRDefault="00442C18" w:rsidP="00C12C61">
      <w:pPr>
        <w:pStyle w:val="ListParagraph"/>
        <w:numPr>
          <w:ilvl w:val="0"/>
          <w:numId w:val="5"/>
        </w:numPr>
      </w:pPr>
      <w:r w:rsidRPr="00C77D75">
        <w:t xml:space="preserve">A: </w:t>
      </w:r>
      <w:r w:rsidR="00160896" w:rsidRPr="00C77D75">
        <w:t>There have been changes made to improve access, but because TPOXX is under EA IND</w:t>
      </w:r>
      <w:r w:rsidR="00871178" w:rsidRPr="00C77D75">
        <w:t xml:space="preserve">, difficult to expand eligibility for treatment. Improved access has been focused on the regulatory side by lessening the burden of paperwork and other reporting needs. The </w:t>
      </w:r>
      <w:r w:rsidR="00C12C61" w:rsidRPr="00C77D75">
        <w:t xml:space="preserve">decreased hurdles (paperwork, etc.) may have </w:t>
      </w:r>
      <w:proofErr w:type="gramStart"/>
      <w:r w:rsidR="00C12C61" w:rsidRPr="00C77D75">
        <w:t>lead</w:t>
      </w:r>
      <w:proofErr w:type="gramEnd"/>
      <w:r w:rsidR="00C12C61" w:rsidRPr="00C77D75">
        <w:t xml:space="preserve"> to increased demand from providers for patients who may not be at high risk of severe illness (higher risk of severe illness for those with low CD4 counts, etc.), </w:t>
      </w:r>
      <w:r w:rsidR="00BB3084" w:rsidRPr="00C77D75">
        <w:t xml:space="preserve">and </w:t>
      </w:r>
      <w:r w:rsidR="00D95DB0" w:rsidRPr="00C77D75">
        <w:t xml:space="preserve">may not benefit the most significantly from TPOXX treatment. Important to remember that, currently, </w:t>
      </w:r>
      <w:r w:rsidR="00C12C61" w:rsidRPr="00C77D75">
        <w:t xml:space="preserve"> no data exists to support  </w:t>
      </w:r>
      <w:r w:rsidR="00BB3084" w:rsidRPr="00C77D75">
        <w:t>TPOXX as an effective tool, in humans, against monkeypox</w:t>
      </w:r>
      <w:r w:rsidR="00D95DB0" w:rsidRPr="00C77D75">
        <w:t xml:space="preserve"> so still trying to limit use regardless of </w:t>
      </w:r>
      <w:r w:rsidR="00C77D75" w:rsidRPr="00C77D75">
        <w:t xml:space="preserve">supply. </w:t>
      </w:r>
      <w:r w:rsidR="00D95DB0" w:rsidRPr="00C77D75">
        <w:t xml:space="preserve"> </w:t>
      </w:r>
    </w:p>
    <w:p w14:paraId="09B98F53" w14:textId="77777777" w:rsidR="005765CA" w:rsidRDefault="005765CA" w:rsidP="00AE4D6E">
      <w:pPr>
        <w:rPr>
          <w:b/>
          <w:bCs/>
          <w:sz w:val="24"/>
          <w:szCs w:val="24"/>
          <w:u w:val="single"/>
        </w:rPr>
      </w:pPr>
    </w:p>
    <w:p w14:paraId="00B170AE" w14:textId="77777777" w:rsidR="005765CA" w:rsidRDefault="005765CA" w:rsidP="00AE4D6E">
      <w:pPr>
        <w:rPr>
          <w:b/>
          <w:bCs/>
          <w:sz w:val="24"/>
          <w:szCs w:val="24"/>
          <w:u w:val="single"/>
        </w:rPr>
      </w:pPr>
    </w:p>
    <w:p w14:paraId="570933EF" w14:textId="77777777" w:rsidR="005765CA" w:rsidRDefault="005765CA" w:rsidP="00AE4D6E">
      <w:pPr>
        <w:rPr>
          <w:b/>
          <w:bCs/>
          <w:sz w:val="24"/>
          <w:szCs w:val="24"/>
          <w:u w:val="single"/>
        </w:rPr>
      </w:pPr>
    </w:p>
    <w:p w14:paraId="64A9549D" w14:textId="31332C96" w:rsidR="005765CA" w:rsidRDefault="005765CA" w:rsidP="00AE4D6E">
      <w:pPr>
        <w:rPr>
          <w:b/>
          <w:bCs/>
          <w:sz w:val="24"/>
          <w:szCs w:val="24"/>
          <w:u w:val="single"/>
        </w:rPr>
      </w:pPr>
    </w:p>
    <w:p w14:paraId="1342470B" w14:textId="70AC2E96" w:rsidR="00252BC6" w:rsidRDefault="00252BC6" w:rsidP="00AE4D6E">
      <w:pPr>
        <w:rPr>
          <w:b/>
          <w:bCs/>
          <w:sz w:val="24"/>
          <w:szCs w:val="24"/>
          <w:u w:val="single"/>
        </w:rPr>
      </w:pPr>
    </w:p>
    <w:p w14:paraId="1884162C" w14:textId="77777777" w:rsidR="00252BC6" w:rsidRDefault="00252BC6" w:rsidP="00AE4D6E">
      <w:pPr>
        <w:rPr>
          <w:b/>
          <w:bCs/>
          <w:sz w:val="24"/>
          <w:szCs w:val="24"/>
          <w:u w:val="single"/>
        </w:rPr>
      </w:pPr>
    </w:p>
    <w:p w14:paraId="19004FFE" w14:textId="77777777" w:rsidR="005765CA" w:rsidRDefault="005765CA" w:rsidP="00AE4D6E">
      <w:pPr>
        <w:rPr>
          <w:b/>
          <w:bCs/>
          <w:sz w:val="24"/>
          <w:szCs w:val="24"/>
          <w:u w:val="single"/>
        </w:rPr>
      </w:pPr>
    </w:p>
    <w:p w14:paraId="55425136" w14:textId="77777777" w:rsidR="005765CA" w:rsidRDefault="005765CA" w:rsidP="00AE4D6E">
      <w:pPr>
        <w:rPr>
          <w:b/>
          <w:bCs/>
          <w:sz w:val="24"/>
          <w:szCs w:val="24"/>
          <w:u w:val="single"/>
        </w:rPr>
      </w:pPr>
    </w:p>
    <w:p w14:paraId="62DA461F" w14:textId="77777777" w:rsidR="005765CA" w:rsidRDefault="005765CA" w:rsidP="00AE4D6E">
      <w:pPr>
        <w:rPr>
          <w:b/>
          <w:bCs/>
          <w:sz w:val="24"/>
          <w:szCs w:val="24"/>
          <w:u w:val="single"/>
        </w:rPr>
      </w:pPr>
    </w:p>
    <w:p w14:paraId="47155523" w14:textId="6C325B02" w:rsidR="00AE4D6E" w:rsidRPr="00ED355A" w:rsidRDefault="00AE4D6E" w:rsidP="00AE4D6E">
      <w:pPr>
        <w:rPr>
          <w:b/>
          <w:bCs/>
          <w:sz w:val="24"/>
          <w:szCs w:val="24"/>
          <w:u w:val="single"/>
        </w:rPr>
      </w:pPr>
      <w:r w:rsidRPr="00ED355A">
        <w:rPr>
          <w:b/>
          <w:bCs/>
          <w:sz w:val="24"/>
          <w:szCs w:val="24"/>
          <w:u w:val="single"/>
        </w:rPr>
        <w:lastRenderedPageBreak/>
        <w:t>Vaccine Ordering &amp; Reporting</w:t>
      </w:r>
    </w:p>
    <w:p w14:paraId="186FEB2C" w14:textId="62688514" w:rsidR="00AE4D6E" w:rsidRDefault="00837267" w:rsidP="00AE4D6E">
      <w:pPr>
        <w:rPr>
          <w:u w:val="single"/>
        </w:rPr>
      </w:pPr>
      <w:r>
        <w:rPr>
          <w:u w:val="single"/>
        </w:rPr>
        <w:t xml:space="preserve">Provider Agreement </w:t>
      </w:r>
    </w:p>
    <w:p w14:paraId="5EC62F20" w14:textId="074645B4" w:rsidR="00837267" w:rsidRDefault="00837267" w:rsidP="00AE4D6E">
      <w:r>
        <w:t xml:space="preserve">What are expectations for newly posted (22 August) Provider Agreement </w:t>
      </w:r>
    </w:p>
    <w:p w14:paraId="2DECC476" w14:textId="53FB22EE" w:rsidR="00837267" w:rsidRDefault="00837267" w:rsidP="00837267">
      <w:pPr>
        <w:pStyle w:val="ListParagraph"/>
        <w:numPr>
          <w:ilvl w:val="0"/>
          <w:numId w:val="1"/>
        </w:numPr>
      </w:pPr>
      <w:r>
        <w:t>A:</w:t>
      </w:r>
      <w:r w:rsidR="00C86E2C">
        <w:t xml:space="preserve"> Email guidance should go out (from CDC) by end of the week. There is no signature required for the agreement, but states will be asked to attest to sending out the agreement to all vaccine providers (ideally via email, with </w:t>
      </w:r>
      <w:r w:rsidR="008B1AD3">
        <w:t xml:space="preserve">specific consideration/information included); if a provider is administering </w:t>
      </w:r>
      <w:proofErr w:type="gramStart"/>
      <w:r w:rsidR="008B1AD3">
        <w:t>vaccine</w:t>
      </w:r>
      <w:proofErr w:type="gramEnd"/>
      <w:r w:rsidR="008B1AD3">
        <w:t xml:space="preserve"> it is assumed that the provider is agreeing to language included in the agreement </w:t>
      </w:r>
    </w:p>
    <w:p w14:paraId="731FE85B" w14:textId="77777777" w:rsidR="00AE4D6E" w:rsidRPr="00AE4D6E" w:rsidRDefault="00AE4D6E" w:rsidP="00AE4D6E">
      <w:pPr>
        <w:rPr>
          <w:u w:val="single"/>
        </w:rPr>
      </w:pPr>
      <w:r w:rsidRPr="00D533EC">
        <w:rPr>
          <w:u w:val="single"/>
        </w:rPr>
        <w:t xml:space="preserve">Planning for </w:t>
      </w:r>
      <w:r>
        <w:rPr>
          <w:u w:val="single"/>
        </w:rPr>
        <w:t>Micro</w:t>
      </w:r>
      <w:r w:rsidRPr="00D533EC">
        <w:rPr>
          <w:u w:val="single"/>
        </w:rPr>
        <w:t xml:space="preserve"> Events: </w:t>
      </w:r>
    </w:p>
    <w:p w14:paraId="2F6AFF08" w14:textId="302D64FD" w:rsidR="00AE4D6E" w:rsidRDefault="004A02B7">
      <w:r>
        <w:t>CDC is working on email to go to jurisdictions with details; the process will be similar to the process for large events, and jurisdictions will be asked to address/</w:t>
      </w:r>
      <w:proofErr w:type="gramStart"/>
      <w:r>
        <w:t>consider:</w:t>
      </w:r>
      <w:proofErr w:type="gramEnd"/>
      <w:r>
        <w:t xml:space="preserve"> education, resources, second doses, improving equity </w:t>
      </w:r>
    </w:p>
    <w:sectPr w:rsidR="00AE4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0B6F"/>
    <w:multiLevelType w:val="hybridMultilevel"/>
    <w:tmpl w:val="C7582AD8"/>
    <w:lvl w:ilvl="0" w:tplc="EDA0C5F4">
      <w:start w:val="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C4E0F"/>
    <w:multiLevelType w:val="hybridMultilevel"/>
    <w:tmpl w:val="9F4A80D2"/>
    <w:lvl w:ilvl="0" w:tplc="C496352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B911C0"/>
    <w:multiLevelType w:val="hybridMultilevel"/>
    <w:tmpl w:val="0C6CC9C8"/>
    <w:lvl w:ilvl="0" w:tplc="0D7CA10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EC1F88"/>
    <w:multiLevelType w:val="hybridMultilevel"/>
    <w:tmpl w:val="4614D62C"/>
    <w:lvl w:ilvl="0" w:tplc="3662A0B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41D2D"/>
    <w:multiLevelType w:val="hybridMultilevel"/>
    <w:tmpl w:val="49A80D52"/>
    <w:lvl w:ilvl="0" w:tplc="10C80E6A">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F600FF"/>
    <w:multiLevelType w:val="hybridMultilevel"/>
    <w:tmpl w:val="C4DA763A"/>
    <w:lvl w:ilvl="0" w:tplc="693A65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0234E0"/>
    <w:multiLevelType w:val="hybridMultilevel"/>
    <w:tmpl w:val="22E4C716"/>
    <w:lvl w:ilvl="0" w:tplc="E370F04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667297">
    <w:abstractNumId w:val="6"/>
  </w:num>
  <w:num w:numId="2" w16cid:durableId="785663858">
    <w:abstractNumId w:val="3"/>
  </w:num>
  <w:num w:numId="3" w16cid:durableId="1778523751">
    <w:abstractNumId w:val="2"/>
  </w:num>
  <w:num w:numId="4" w16cid:durableId="1753509255">
    <w:abstractNumId w:val="5"/>
  </w:num>
  <w:num w:numId="5" w16cid:durableId="391083074">
    <w:abstractNumId w:val="1"/>
  </w:num>
  <w:num w:numId="6" w16cid:durableId="6562467">
    <w:abstractNumId w:val="4"/>
  </w:num>
  <w:num w:numId="7" w16cid:durableId="1264413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697"/>
    <w:rsid w:val="00012BF6"/>
    <w:rsid w:val="00023339"/>
    <w:rsid w:val="000476EB"/>
    <w:rsid w:val="000540DD"/>
    <w:rsid w:val="00063B02"/>
    <w:rsid w:val="000B0874"/>
    <w:rsid w:val="000B0C80"/>
    <w:rsid w:val="00160896"/>
    <w:rsid w:val="001A55E6"/>
    <w:rsid w:val="001B31EB"/>
    <w:rsid w:val="001D2422"/>
    <w:rsid w:val="00210A81"/>
    <w:rsid w:val="00226507"/>
    <w:rsid w:val="00232758"/>
    <w:rsid w:val="002500A7"/>
    <w:rsid w:val="00252BC6"/>
    <w:rsid w:val="0025799E"/>
    <w:rsid w:val="00281AB7"/>
    <w:rsid w:val="00291C47"/>
    <w:rsid w:val="002C5908"/>
    <w:rsid w:val="002C7DC1"/>
    <w:rsid w:val="002D28B5"/>
    <w:rsid w:val="002F1984"/>
    <w:rsid w:val="002F5766"/>
    <w:rsid w:val="003247F1"/>
    <w:rsid w:val="00355E12"/>
    <w:rsid w:val="003610AA"/>
    <w:rsid w:val="00362920"/>
    <w:rsid w:val="003721BB"/>
    <w:rsid w:val="003A2A2C"/>
    <w:rsid w:val="003A5E05"/>
    <w:rsid w:val="003A6F94"/>
    <w:rsid w:val="003B363C"/>
    <w:rsid w:val="003C3407"/>
    <w:rsid w:val="003C71ED"/>
    <w:rsid w:val="00430CE2"/>
    <w:rsid w:val="00442C18"/>
    <w:rsid w:val="00462D91"/>
    <w:rsid w:val="00487652"/>
    <w:rsid w:val="004A02B7"/>
    <w:rsid w:val="004B3192"/>
    <w:rsid w:val="004B6A02"/>
    <w:rsid w:val="004D27E3"/>
    <w:rsid w:val="004F0744"/>
    <w:rsid w:val="00530E2E"/>
    <w:rsid w:val="00540A4E"/>
    <w:rsid w:val="00557FBF"/>
    <w:rsid w:val="005703FF"/>
    <w:rsid w:val="0057580E"/>
    <w:rsid w:val="005765CA"/>
    <w:rsid w:val="005B2AA4"/>
    <w:rsid w:val="005B6EE4"/>
    <w:rsid w:val="005C0A70"/>
    <w:rsid w:val="005D53F0"/>
    <w:rsid w:val="00654624"/>
    <w:rsid w:val="006A2B94"/>
    <w:rsid w:val="00705089"/>
    <w:rsid w:val="00715697"/>
    <w:rsid w:val="0072097B"/>
    <w:rsid w:val="007829B2"/>
    <w:rsid w:val="007862D0"/>
    <w:rsid w:val="007B1A40"/>
    <w:rsid w:val="007C65FD"/>
    <w:rsid w:val="007D4803"/>
    <w:rsid w:val="007D7CBE"/>
    <w:rsid w:val="007F7366"/>
    <w:rsid w:val="00837267"/>
    <w:rsid w:val="00871178"/>
    <w:rsid w:val="00895C58"/>
    <w:rsid w:val="008A46B0"/>
    <w:rsid w:val="008B1AD3"/>
    <w:rsid w:val="008E3AD3"/>
    <w:rsid w:val="008E75D0"/>
    <w:rsid w:val="009653E9"/>
    <w:rsid w:val="00965DD0"/>
    <w:rsid w:val="009D1C7F"/>
    <w:rsid w:val="009D3F4F"/>
    <w:rsid w:val="009D6511"/>
    <w:rsid w:val="009E1A0B"/>
    <w:rsid w:val="009E6F41"/>
    <w:rsid w:val="009F3967"/>
    <w:rsid w:val="009F699A"/>
    <w:rsid w:val="00A12807"/>
    <w:rsid w:val="00A761E4"/>
    <w:rsid w:val="00AD0BEB"/>
    <w:rsid w:val="00AE4D6E"/>
    <w:rsid w:val="00B018F4"/>
    <w:rsid w:val="00B33429"/>
    <w:rsid w:val="00BB3084"/>
    <w:rsid w:val="00BF6044"/>
    <w:rsid w:val="00C12C61"/>
    <w:rsid w:val="00C30DA6"/>
    <w:rsid w:val="00C63410"/>
    <w:rsid w:val="00C77D75"/>
    <w:rsid w:val="00C80857"/>
    <w:rsid w:val="00C86E2C"/>
    <w:rsid w:val="00C96FAF"/>
    <w:rsid w:val="00CA2A9E"/>
    <w:rsid w:val="00CF2B22"/>
    <w:rsid w:val="00CF6B4D"/>
    <w:rsid w:val="00D06253"/>
    <w:rsid w:val="00D533EC"/>
    <w:rsid w:val="00D642B1"/>
    <w:rsid w:val="00D9179D"/>
    <w:rsid w:val="00D95DB0"/>
    <w:rsid w:val="00DE278C"/>
    <w:rsid w:val="00E06EF8"/>
    <w:rsid w:val="00E47233"/>
    <w:rsid w:val="00E6345F"/>
    <w:rsid w:val="00E9276F"/>
    <w:rsid w:val="00ED123B"/>
    <w:rsid w:val="00ED355A"/>
    <w:rsid w:val="00EF31A1"/>
    <w:rsid w:val="00F1437D"/>
    <w:rsid w:val="00F318C4"/>
    <w:rsid w:val="00F36705"/>
    <w:rsid w:val="00F514EE"/>
    <w:rsid w:val="00F572AB"/>
    <w:rsid w:val="00F65109"/>
    <w:rsid w:val="00F6513D"/>
    <w:rsid w:val="00F93E16"/>
    <w:rsid w:val="00FB4F0D"/>
    <w:rsid w:val="00FB7A4B"/>
    <w:rsid w:val="00FF5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406E0"/>
  <w15:chartTrackingRefBased/>
  <w15:docId w15:val="{4F111361-3B1B-4FCC-8FB5-3D5F8CC8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BEB"/>
    <w:pPr>
      <w:ind w:left="720"/>
      <w:contextualSpacing/>
    </w:pPr>
  </w:style>
  <w:style w:type="character" w:styleId="Hyperlink">
    <w:name w:val="Hyperlink"/>
    <w:basedOn w:val="DefaultParagraphFont"/>
    <w:uiPriority w:val="99"/>
    <w:unhideWhenUsed/>
    <w:rsid w:val="00654624"/>
    <w:rPr>
      <w:color w:val="0563C1" w:themeColor="hyperlink"/>
      <w:u w:val="single"/>
    </w:rPr>
  </w:style>
  <w:style w:type="character" w:styleId="UnresolvedMention">
    <w:name w:val="Unresolved Mention"/>
    <w:basedOn w:val="DefaultParagraphFont"/>
    <w:uiPriority w:val="99"/>
    <w:semiHidden/>
    <w:unhideWhenUsed/>
    <w:rsid w:val="00654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nc.info/resources/sops-guidelines-resources/monkeypox.html" TargetMode="External"/><Relationship Id="rId5" Type="http://schemas.openxmlformats.org/officeDocument/2006/relationships/hyperlink" Target="https://www.nihr.ac.uk/news/new-clinical-trial-to-test-treatment-for-monkeypox/3135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Adams</dc:creator>
  <cp:keywords/>
  <dc:description/>
  <cp:lastModifiedBy>Andrew Adams</cp:lastModifiedBy>
  <cp:revision>64</cp:revision>
  <dcterms:created xsi:type="dcterms:W3CDTF">2022-08-31T20:25:00Z</dcterms:created>
  <dcterms:modified xsi:type="dcterms:W3CDTF">2022-08-31T21:32:00Z</dcterms:modified>
</cp:coreProperties>
</file>