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3AA1FCC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Some industries and occupations </w:t>
      </w:r>
      <w:r>
        <w:t xml:space="preserve">will </w:t>
      </w:r>
      <w:r>
        <w:t xml:space="preserve">be at greater risk for climate related health outcomes than others. States can utilize the National Institute for Occupational Safety and Health (NIOSH) Employment Labor Force Query (ELF) system to estimate the number of workers within </w:t>
      </w:r>
      <w:proofErr w:type="gramStart"/>
      <w:r>
        <w:t>particular industries</w:t>
      </w:r>
      <w:proofErr w:type="gramEnd"/>
      <w:r>
        <w:t xml:space="preserve"> or occupations to enumerate the number of workers at risk for a climate-related outcome. This information can provide insight into the magnitude and distribution of potentially impacted workers, enabling targeted interventions. States should consider integrating social vulnerability indices, which can help identify where occupational vulnerabilities intersect with broader socioeconomic vulnerabilities, including income and education </w:t>
      </w:r>
      <w:r w:rsidRPr="00A31329">
        <w:t xml:space="preserve">level, </w:t>
      </w:r>
      <w:r>
        <w:t xml:space="preserve">race/ethnicity, health insurance and housing quality. </w:t>
      </w:r>
    </w:p>
    <w:p w14:paraId="0B99D9E1" w14:textId="77777777" w:rsidR="0071246B" w:rsidRDefault="0071246B" w:rsidP="0071246B">
      <w:pPr>
        <w:spacing w:after="0" w:line="240" w:lineRule="auto"/>
      </w:pPr>
    </w:p>
    <w:p w14:paraId="15BA8117" w14:textId="43F80A56"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Emphasizing occupation as a determinant of health</w:t>
      </w:r>
    </w:p>
    <w:p w14:paraId="1DB155B8" w14:textId="2EBD0F53"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What is the income/racial/ethnic make-up of the state – how</w:t>
      </w:r>
      <w:r w:rsidR="00A21C08" w:rsidRPr="0071246B">
        <w:rPr>
          <w:color w:val="2E74B5" w:themeColor="accent5" w:themeShade="BF"/>
        </w:rPr>
        <w:t xml:space="preserve"> does this overlap with</w:t>
      </w:r>
      <w:r w:rsidRPr="0071246B">
        <w:rPr>
          <w:color w:val="2E74B5" w:themeColor="accent5" w:themeShade="BF"/>
        </w:rPr>
        <w:t xml:space="preserve"> I/O</w:t>
      </w:r>
    </w:p>
    <w:p w14:paraId="61834084" w14:textId="3EEFD2DE" w:rsidR="006C340C" w:rsidRPr="0071246B" w:rsidRDefault="006C340C" w:rsidP="00A17571">
      <w:pPr>
        <w:pStyle w:val="ListParagraph"/>
        <w:numPr>
          <w:ilvl w:val="2"/>
          <w:numId w:val="1"/>
        </w:numPr>
        <w:spacing w:after="0" w:line="240" w:lineRule="auto"/>
        <w:rPr>
          <w:color w:val="2E74B5" w:themeColor="accent5" w:themeShade="BF"/>
        </w:rPr>
      </w:pPr>
      <w:r w:rsidRPr="0071246B">
        <w:rPr>
          <w:color w:val="2E74B5" w:themeColor="accent5" w:themeShade="BF"/>
        </w:rPr>
        <w:t xml:space="preserve">Examples: </w:t>
      </w:r>
      <w:hyperlink r:id="rId12" w:history="1">
        <w:r w:rsidRPr="0071246B">
          <w:rPr>
            <w:rStyle w:val="Hyperlink"/>
            <w:color w:val="2E74B5" w:themeColor="accent5" w:themeShade="BF"/>
          </w:rPr>
          <w:t>EJ Screen</w:t>
        </w:r>
      </w:hyperlink>
      <w:r w:rsidRPr="0071246B">
        <w:rPr>
          <w:color w:val="2E74B5" w:themeColor="accent5" w:themeShade="BF"/>
        </w:rPr>
        <w:t>,</w:t>
      </w:r>
      <w:hyperlink r:id="rId13" w:history="1">
        <w:r w:rsidRPr="0071246B">
          <w:rPr>
            <w:rStyle w:val="Hyperlink"/>
            <w:color w:val="2E74B5" w:themeColor="accent5" w:themeShade="BF"/>
          </w:rPr>
          <w:t xml:space="preserve"> County Health Rankings</w:t>
        </w:r>
      </w:hyperlink>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2BD81195" w14:textId="414249A0"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 xml:space="preserve">Use Indoor/Outdoor SOEM </w:t>
      </w:r>
      <w:r w:rsidR="00E94F73" w:rsidRPr="0071246B">
        <w:rPr>
          <w:color w:val="2E74B5" w:themeColor="accent5" w:themeShade="BF"/>
        </w:rPr>
        <w:t>to identify relevant workers for response (can pair with ELF query to enumerate for a given state)</w:t>
      </w:r>
    </w:p>
    <w:p w14:paraId="4DE01202" w14:textId="41264A73"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Use Essential Workers Code</w:t>
      </w:r>
      <w:r w:rsidR="007D2D13" w:rsidRPr="0071246B">
        <w:rPr>
          <w:color w:val="2E74B5" w:themeColor="accent5" w:themeShade="BF"/>
        </w:rPr>
        <w:t xml:space="preserve"> </w:t>
      </w:r>
      <w:r w:rsidRPr="0071246B">
        <w:rPr>
          <w:color w:val="2E74B5" w:themeColor="accent5" w:themeShade="BF"/>
        </w:rPr>
        <w:t>set</w:t>
      </w:r>
      <w:r w:rsidR="00E94F73" w:rsidRPr="0071246B">
        <w:rPr>
          <w:color w:val="2E74B5" w:themeColor="accent5" w:themeShade="BF"/>
        </w:rPr>
        <w:t xml:space="preserve"> – to identify relevant workers for response (can pair with ELF query to enumerate for a given state)</w:t>
      </w:r>
    </w:p>
    <w:p w14:paraId="3DAF8A3B" w14:textId="0A9BC5A6" w:rsidR="00A21C08" w:rsidRPr="0071246B" w:rsidRDefault="00A21C08" w:rsidP="00FB66E3">
      <w:pPr>
        <w:pStyle w:val="ListParagraph"/>
        <w:numPr>
          <w:ilvl w:val="2"/>
          <w:numId w:val="1"/>
        </w:numPr>
        <w:spacing w:after="0" w:line="240" w:lineRule="auto"/>
        <w:rPr>
          <w:color w:val="2E74B5" w:themeColor="accent5" w:themeShade="BF"/>
        </w:rPr>
      </w:pPr>
      <w:r w:rsidRPr="0071246B">
        <w:rPr>
          <w:color w:val="2E74B5" w:themeColor="accent5" w:themeShade="BF"/>
        </w:rPr>
        <w:t>Volunteer cleaning crews/citizen groups</w:t>
      </w: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w:t>
      </w:r>
      <w:proofErr w:type="gramStart"/>
      <w:r w:rsidR="00D13238" w:rsidRPr="0071246B">
        <w:rPr>
          <w:color w:val="2E74B5" w:themeColor="accent5" w:themeShade="BF"/>
        </w:rPr>
        <w:t>are</w:t>
      </w:r>
      <w:proofErr w:type="gramEnd"/>
      <w:r w:rsidR="00D13238" w:rsidRPr="0071246B">
        <w:rPr>
          <w:color w:val="2E74B5" w:themeColor="accent5" w:themeShade="BF"/>
        </w:rPr>
        <w:t xml:space="preserve"> the climate-related impacts your jurisdiction has experienced (increased temps, fires, hurricanes)? </w:t>
      </w:r>
      <w:r w:rsidR="00FB66E3" w:rsidRPr="0071246B">
        <w:rPr>
          <w:color w:val="2E74B5" w:themeColor="accent5" w:themeShade="BF"/>
        </w:rPr>
        <w:t xml:space="preserve"> (</w:t>
      </w:r>
      <w:proofErr w:type="gramStart"/>
      <w:r w:rsidR="00FB66E3" w:rsidRPr="0071246B">
        <w:rPr>
          <w:color w:val="2E74B5" w:themeColor="accent5" w:themeShade="BF"/>
        </w:rPr>
        <w:t>work</w:t>
      </w:r>
      <w:proofErr w:type="gramEnd"/>
      <w:r w:rsidR="00FB66E3" w:rsidRPr="0071246B">
        <w:rPr>
          <w:color w:val="2E74B5" w:themeColor="accent5" w:themeShade="BF"/>
        </w:rPr>
        <w:t xml:space="preserve">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1"/>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2"/>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Climate.gov</w:t>
      </w:r>
      <w:r w:rsidR="00324A82">
        <w:t>.</w:t>
      </w:r>
      <w:r w:rsidR="00866C4E">
        <w:rPr>
          <w:rStyle w:val="FootnoteReference"/>
        </w:rPr>
        <w:footnoteReference w:id="3"/>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4"/>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5"/>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lastRenderedPageBreak/>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6"/>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Cite CSTE White paper – syndromic guidance document and example</w:t>
      </w:r>
    </w:p>
    <w:p w14:paraId="03DC609A" w14:textId="77777777"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7FB7918D" w14:textId="731BEBB1" w:rsidR="0071246B" w:rsidRPr="0071246B" w:rsidRDefault="0071246B" w:rsidP="0071246B">
      <w:pPr>
        <w:pStyle w:val="ListParagraph"/>
        <w:spacing w:after="0" w:line="240" w:lineRule="auto"/>
        <w:ind w:left="360"/>
        <w:rPr>
          <w:color w:val="2E74B5" w:themeColor="accent5" w:themeShade="BF"/>
        </w:rPr>
      </w:pPr>
      <w:r>
        <w:t>The data source a jurisdiction chooses to work with will inform the extent to which jurisdictions can identify work-relatedness of the injury or illness. Common data sources include syndromic surveillance, death record data, emergency discharge and hospitalization data, and workers compensation claims. Additional details, including strengths and weaknesses of these data sources are included in the table below.</w:t>
      </w:r>
    </w:p>
    <w:p w14:paraId="22B7F250" w14:textId="77777777" w:rsidR="0071246B" w:rsidRPr="0071246B" w:rsidRDefault="0071246B" w:rsidP="0071246B">
      <w:pPr>
        <w:pStyle w:val="ListParagraph"/>
        <w:spacing w:after="0" w:line="240" w:lineRule="auto"/>
        <w:ind w:left="360"/>
        <w:rPr>
          <w:color w:val="FF0000"/>
        </w:rPr>
      </w:pPr>
    </w:p>
    <w:p w14:paraId="4057C19D" w14:textId="77777777" w:rsidR="0071246B" w:rsidRPr="0071246B" w:rsidRDefault="0071246B" w:rsidP="0071246B">
      <w:pPr>
        <w:spacing w:after="0" w:line="480" w:lineRule="auto"/>
        <w:rPr>
          <w:b/>
          <w:bCs/>
        </w:rPr>
      </w:pPr>
      <w:r w:rsidRPr="0071246B">
        <w:rPr>
          <w:b/>
          <w:bCs/>
        </w:rPr>
        <w:t xml:space="preserve">Table 1. Data sources to consider, availability, </w:t>
      </w:r>
      <w:proofErr w:type="gramStart"/>
      <w:r w:rsidRPr="0071246B">
        <w:rPr>
          <w:b/>
          <w:bCs/>
        </w:rPr>
        <w:t>pros</w:t>
      </w:r>
      <w:proofErr w:type="gramEnd"/>
      <w:r w:rsidRPr="0071246B">
        <w:rPr>
          <w:b/>
          <w:bCs/>
        </w:rPr>
        <w:t xml:space="preserve"> and cons:</w:t>
      </w:r>
    </w:p>
    <w:tbl>
      <w:tblPr>
        <w:tblStyle w:val="TableGrid"/>
        <w:tblW w:w="10525" w:type="dxa"/>
        <w:tblLayout w:type="fixed"/>
        <w:tblLook w:val="04A0" w:firstRow="1" w:lastRow="0" w:firstColumn="1" w:lastColumn="0" w:noHBand="0" w:noVBand="1"/>
      </w:tblPr>
      <w:tblGrid>
        <w:gridCol w:w="2335"/>
        <w:gridCol w:w="1710"/>
        <w:gridCol w:w="3153"/>
        <w:gridCol w:w="3327"/>
      </w:tblGrid>
      <w:tr w:rsidR="0071246B" w14:paraId="0939720A" w14:textId="77777777" w:rsidTr="0071246B">
        <w:trPr>
          <w:trHeight w:val="388"/>
        </w:trPr>
        <w:tc>
          <w:tcPr>
            <w:tcW w:w="2335" w:type="dxa"/>
          </w:tcPr>
          <w:p w14:paraId="01AB7EED" w14:textId="77777777" w:rsidR="0071246B" w:rsidRDefault="0071246B" w:rsidP="008F5D5E">
            <w:pPr>
              <w:spacing w:line="480" w:lineRule="auto"/>
              <w:rPr>
                <w:b/>
                <w:bCs/>
              </w:rPr>
            </w:pPr>
            <w:r>
              <w:rPr>
                <w:b/>
                <w:bCs/>
              </w:rPr>
              <w:t>Data Source</w:t>
            </w:r>
          </w:p>
        </w:tc>
        <w:tc>
          <w:tcPr>
            <w:tcW w:w="1710" w:type="dxa"/>
          </w:tcPr>
          <w:p w14:paraId="2B310A3D" w14:textId="77777777" w:rsidR="0071246B" w:rsidRDefault="0071246B" w:rsidP="008F5D5E">
            <w:pPr>
              <w:rPr>
                <w:b/>
                <w:bCs/>
              </w:rPr>
            </w:pPr>
            <w:r>
              <w:rPr>
                <w:b/>
                <w:bCs/>
              </w:rPr>
              <w:t>Available in real time or lag?</w:t>
            </w:r>
          </w:p>
        </w:tc>
        <w:tc>
          <w:tcPr>
            <w:tcW w:w="3153" w:type="dxa"/>
          </w:tcPr>
          <w:p w14:paraId="13628C39" w14:textId="77777777" w:rsidR="0071246B" w:rsidRDefault="0071246B" w:rsidP="008F5D5E">
            <w:pPr>
              <w:spacing w:line="480" w:lineRule="auto"/>
              <w:rPr>
                <w:b/>
                <w:bCs/>
              </w:rPr>
            </w:pPr>
            <w:r>
              <w:rPr>
                <w:b/>
                <w:bCs/>
              </w:rPr>
              <w:t>Pros</w:t>
            </w:r>
          </w:p>
        </w:tc>
        <w:tc>
          <w:tcPr>
            <w:tcW w:w="3327" w:type="dxa"/>
          </w:tcPr>
          <w:p w14:paraId="46AA2AD1" w14:textId="77777777" w:rsidR="0071246B" w:rsidRDefault="0071246B" w:rsidP="008F5D5E">
            <w:pPr>
              <w:spacing w:line="480" w:lineRule="auto"/>
              <w:rPr>
                <w:b/>
                <w:bCs/>
              </w:rPr>
            </w:pPr>
            <w:r>
              <w:rPr>
                <w:b/>
                <w:bCs/>
              </w:rPr>
              <w:t>Cons</w:t>
            </w:r>
          </w:p>
        </w:tc>
      </w:tr>
      <w:tr w:rsidR="0071246B" w14:paraId="6EAC3CE7" w14:textId="77777777" w:rsidTr="0071246B">
        <w:trPr>
          <w:trHeight w:val="1367"/>
        </w:trPr>
        <w:tc>
          <w:tcPr>
            <w:tcW w:w="2335" w:type="dxa"/>
          </w:tcPr>
          <w:p w14:paraId="7BD8A280" w14:textId="77777777" w:rsidR="0071246B" w:rsidRPr="00405DDA" w:rsidRDefault="0071246B" w:rsidP="008F5D5E">
            <w:r w:rsidRPr="00405DDA">
              <w:t>Syndromic Surveillance (ESSENCE System)</w:t>
            </w:r>
          </w:p>
        </w:tc>
        <w:tc>
          <w:tcPr>
            <w:tcW w:w="1710" w:type="dxa"/>
          </w:tcPr>
          <w:p w14:paraId="40DF0388" w14:textId="77777777" w:rsidR="0071246B" w:rsidRPr="00405DDA" w:rsidRDefault="0071246B" w:rsidP="008F5D5E">
            <w:r w:rsidRPr="00405DDA">
              <w:t>Real-time</w:t>
            </w:r>
          </w:p>
        </w:tc>
        <w:tc>
          <w:tcPr>
            <w:tcW w:w="3153" w:type="dxa"/>
          </w:tcPr>
          <w:p w14:paraId="46975C23" w14:textId="77777777" w:rsidR="0071246B" w:rsidRPr="00405DDA" w:rsidRDefault="0071246B" w:rsidP="008F5D5E">
            <w:r>
              <w:t>Available in real time</w:t>
            </w:r>
          </w:p>
        </w:tc>
        <w:tc>
          <w:tcPr>
            <w:tcW w:w="3327" w:type="dxa"/>
          </w:tcPr>
          <w:p w14:paraId="37B67B7D" w14:textId="77777777" w:rsidR="0071246B" w:rsidRPr="00405DDA" w:rsidRDefault="0071246B" w:rsidP="008F5D5E">
            <w:r>
              <w:t xml:space="preserve">May not have enough information to determine if event is work-related. Not all hospitals report into ESSENCE system. Data are preliminary and subject to change. </w:t>
            </w:r>
          </w:p>
        </w:tc>
      </w:tr>
      <w:tr w:rsidR="0071246B" w14:paraId="4150876C" w14:textId="77777777" w:rsidTr="0071246B">
        <w:trPr>
          <w:trHeight w:val="778"/>
        </w:trPr>
        <w:tc>
          <w:tcPr>
            <w:tcW w:w="2335" w:type="dxa"/>
          </w:tcPr>
          <w:p w14:paraId="60A96998" w14:textId="77777777" w:rsidR="0071246B" w:rsidRPr="00405DDA" w:rsidRDefault="0071246B" w:rsidP="008F5D5E">
            <w:r w:rsidRPr="00405DDA">
              <w:t>Death Data</w:t>
            </w:r>
          </w:p>
        </w:tc>
        <w:tc>
          <w:tcPr>
            <w:tcW w:w="1710" w:type="dxa"/>
          </w:tcPr>
          <w:p w14:paraId="5E44D9D6" w14:textId="77777777" w:rsidR="0071246B" w:rsidRPr="00405DDA" w:rsidRDefault="0071246B" w:rsidP="008F5D5E">
            <w:r>
              <w:t>Lag</w:t>
            </w:r>
          </w:p>
        </w:tc>
        <w:tc>
          <w:tcPr>
            <w:tcW w:w="3153" w:type="dxa"/>
          </w:tcPr>
          <w:p w14:paraId="1265DCFB" w14:textId="77777777" w:rsidR="0071246B" w:rsidRPr="00405DDA" w:rsidRDefault="0071246B" w:rsidP="008F5D5E">
            <w:r>
              <w:t xml:space="preserve">Free-text usual industry and occupation available, with census codes available. </w:t>
            </w:r>
          </w:p>
        </w:tc>
        <w:tc>
          <w:tcPr>
            <w:tcW w:w="3327" w:type="dxa"/>
          </w:tcPr>
          <w:p w14:paraId="68DB54C9" w14:textId="77777777" w:rsidR="0071246B" w:rsidRPr="00405DDA" w:rsidRDefault="0071246B" w:rsidP="008F5D5E"/>
        </w:tc>
      </w:tr>
      <w:tr w:rsidR="0071246B" w14:paraId="0A6BF67D" w14:textId="77777777" w:rsidTr="0071246B">
        <w:trPr>
          <w:trHeight w:val="1369"/>
        </w:trPr>
        <w:tc>
          <w:tcPr>
            <w:tcW w:w="2335" w:type="dxa"/>
          </w:tcPr>
          <w:p w14:paraId="4968235C" w14:textId="38A924DB" w:rsidR="0071246B" w:rsidRPr="00405DDA" w:rsidRDefault="0071246B" w:rsidP="008F5D5E">
            <w:r w:rsidRPr="00405DDA">
              <w:t>Emergency Discharge/</w:t>
            </w:r>
            <w:r>
              <w:t xml:space="preserve"> </w:t>
            </w:r>
            <w:r w:rsidRPr="00405DDA">
              <w:t>Hospitalization</w:t>
            </w:r>
          </w:p>
        </w:tc>
        <w:tc>
          <w:tcPr>
            <w:tcW w:w="1710" w:type="dxa"/>
          </w:tcPr>
          <w:p w14:paraId="3B215431" w14:textId="77777777" w:rsidR="0071246B" w:rsidRPr="00405DDA" w:rsidRDefault="0071246B" w:rsidP="008F5D5E">
            <w:r w:rsidRPr="00405DDA">
              <w:t>Lag, depending on jurisdiction</w:t>
            </w:r>
          </w:p>
        </w:tc>
        <w:tc>
          <w:tcPr>
            <w:tcW w:w="3153" w:type="dxa"/>
          </w:tcPr>
          <w:p w14:paraId="08A7B87E" w14:textId="77777777" w:rsidR="0071246B" w:rsidRPr="00405DDA" w:rsidRDefault="0071246B" w:rsidP="008F5D5E">
            <w:r>
              <w:t>Data is well QA’d, reporting from all acute care hospitals in the state, all diagnostic codes affiliated with ED/inpatient visits are available</w:t>
            </w:r>
          </w:p>
        </w:tc>
        <w:tc>
          <w:tcPr>
            <w:tcW w:w="3327" w:type="dxa"/>
          </w:tcPr>
          <w:p w14:paraId="255D6156" w14:textId="77777777" w:rsidR="0071246B" w:rsidRPr="00405DDA" w:rsidRDefault="0071246B" w:rsidP="008F5D5E">
            <w:r>
              <w:t xml:space="preserve">Challenging to identify work-relatedness, </w:t>
            </w:r>
          </w:p>
        </w:tc>
      </w:tr>
      <w:tr w:rsidR="0071246B" w14:paraId="7959C4D3" w14:textId="77777777" w:rsidTr="0071246B">
        <w:trPr>
          <w:trHeight w:val="1916"/>
        </w:trPr>
        <w:tc>
          <w:tcPr>
            <w:tcW w:w="2335" w:type="dxa"/>
          </w:tcPr>
          <w:p w14:paraId="6ADBCF82" w14:textId="77777777" w:rsidR="0071246B" w:rsidRPr="00405DDA" w:rsidRDefault="0071246B" w:rsidP="008F5D5E">
            <w:r>
              <w:t>Workers Compensation Claims</w:t>
            </w:r>
          </w:p>
        </w:tc>
        <w:tc>
          <w:tcPr>
            <w:tcW w:w="1710" w:type="dxa"/>
          </w:tcPr>
          <w:p w14:paraId="0DB48D9D" w14:textId="77777777" w:rsidR="0071246B" w:rsidRPr="00405DDA" w:rsidRDefault="0071246B" w:rsidP="008F5D5E">
            <w:r>
              <w:t>Lag</w:t>
            </w:r>
          </w:p>
        </w:tc>
        <w:tc>
          <w:tcPr>
            <w:tcW w:w="3153" w:type="dxa"/>
          </w:tcPr>
          <w:p w14:paraId="62A97C5A" w14:textId="77777777" w:rsidR="0071246B" w:rsidRPr="00405DDA" w:rsidRDefault="0071246B" w:rsidP="008F5D5E">
            <w:r>
              <w:t xml:space="preserve">Industry and occupation available, employer-related information, billing data, </w:t>
            </w:r>
          </w:p>
        </w:tc>
        <w:tc>
          <w:tcPr>
            <w:tcW w:w="3327" w:type="dxa"/>
          </w:tcPr>
          <w:p w14:paraId="1B146B01" w14:textId="77777777" w:rsidR="0071246B" w:rsidRPr="00405DDA" w:rsidRDefault="0071246B" w:rsidP="008F5D5E">
            <w:r>
              <w:t>Underreporting for less severe illnesses or injuries. Not all workers are covered by workers compensation claim systems; ICD-10 codes are not always reliable and narrative field searches can be time intensive</w:t>
            </w:r>
          </w:p>
        </w:tc>
      </w:tr>
    </w:tbl>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lastRenderedPageBreak/>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w:t>
      </w:r>
      <w:proofErr w:type="gramStart"/>
      <w:r w:rsidRPr="0071246B">
        <w:rPr>
          <w:color w:val="FF0000"/>
        </w:rPr>
        <w:t>cite</w:t>
      </w:r>
      <w:proofErr w:type="gramEnd"/>
      <w:r w:rsidRPr="0071246B">
        <w:rPr>
          <w:color w:val="FF0000"/>
        </w:rPr>
        <w:t xml:space="preserve"> OHI indicators document).</w:t>
      </w:r>
    </w:p>
    <w:p w14:paraId="2B8023A4" w14:textId="77777777" w:rsidR="0071246B" w:rsidRDefault="0071246B" w:rsidP="0071246B">
      <w:pPr>
        <w:pStyle w:val="ListParagraph"/>
        <w:spacing w:after="0" w:line="240" w:lineRule="auto"/>
        <w:ind w:left="360"/>
      </w:pPr>
    </w:p>
    <w:p w14:paraId="3F2A7A1F" w14:textId="23F75FCD" w:rsidR="0071246B" w:rsidRPr="00384800" w:rsidRDefault="0071246B" w:rsidP="0071246B">
      <w:pPr>
        <w:pStyle w:val="ListParagraph"/>
        <w:spacing w:after="0" w:line="240" w:lineRule="auto"/>
        <w:ind w:left="360"/>
      </w:pPr>
      <w:r>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 xml:space="preserve">Heat-Related Illness Syndrome Query: </w:t>
      </w:r>
      <w:proofErr w:type="gramStart"/>
      <w:r w:rsidRPr="0071246B">
        <w:rPr>
          <w:i/>
          <w:iCs/>
        </w:rPr>
        <w:t>a</w:t>
      </w:r>
      <w:proofErr w:type="gramEnd"/>
      <w:r w:rsidRPr="0071246B">
        <w:rPr>
          <w:i/>
          <w:iCs/>
        </w:rPr>
        <w:t xml:space="preserve">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retrospective analysis</w:t>
      </w:r>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70EE2929"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Wildland fires</w:t>
      </w:r>
      <w:r w:rsidR="00A76151" w:rsidRPr="0071246B">
        <w:rPr>
          <w:color w:val="2E74B5" w:themeColor="accent5" w:themeShade="BF"/>
        </w:rPr>
        <w:t xml:space="preserve"> </w:t>
      </w:r>
      <w:r w:rsidR="00A76151" w:rsidRPr="0071246B">
        <w:rPr>
          <w:color w:val="2E74B5" w:themeColor="accent5" w:themeShade="BF"/>
          <w:highlight w:val="cyan"/>
        </w:rPr>
        <w:t>(Marija)</w:t>
      </w:r>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health outcomes to consider</w:t>
      </w:r>
      <w:r w:rsidR="00023F5E" w:rsidRPr="0071246B">
        <w:rPr>
          <w:color w:val="2E74B5" w:themeColor="accent5" w:themeShade="BF"/>
        </w:rPr>
        <w:t>:</w:t>
      </w:r>
    </w:p>
    <w:p w14:paraId="74597F52" w14:textId="71B6F0DF" w:rsidR="001C234A" w:rsidRPr="0071246B" w:rsidRDefault="00000000" w:rsidP="00023F5E">
      <w:pPr>
        <w:pStyle w:val="ListParagraph"/>
        <w:numPr>
          <w:ilvl w:val="3"/>
          <w:numId w:val="1"/>
        </w:numPr>
        <w:spacing w:after="0" w:line="240" w:lineRule="auto"/>
        <w:rPr>
          <w:color w:val="2E74B5" w:themeColor="accent5" w:themeShade="BF"/>
        </w:rPr>
      </w:pPr>
      <w:hyperlink r:id="rId14" w:history="1">
        <w:r w:rsidR="00023F5E" w:rsidRPr="0071246B">
          <w:rPr>
            <w:rStyle w:val="Hyperlink"/>
            <w:color w:val="2E74B5" w:themeColor="accent5" w:themeShade="BF"/>
          </w:rPr>
          <w:t>CSTE Syndromic Surveillance Wildfire Smoke Inhalation Guide</w:t>
        </w:r>
      </w:hyperlink>
      <w:r w:rsidR="00B114BD" w:rsidRPr="0071246B">
        <w:rPr>
          <w:color w:val="2E74B5" w:themeColor="accent5" w:themeShade="BF"/>
        </w:rPr>
        <w:t xml:space="preserve"> </w:t>
      </w:r>
    </w:p>
    <w:p w14:paraId="642D7181" w14:textId="77777777" w:rsidR="004E068C"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2FBACE9A" w14:textId="42A2108B"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11B9C2EE" w14:textId="4C0EEA58" w:rsidR="003747AA" w:rsidRPr="0071246B"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8EB76C3" w14:textId="400D750D"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definitions</w:t>
      </w:r>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 xml:space="preserve">FQHCs that do outreach with </w:t>
      </w:r>
      <w:proofErr w:type="gramStart"/>
      <w:r w:rsidRPr="0071246B">
        <w:rPr>
          <w:color w:val="2E74B5" w:themeColor="accent5" w:themeShade="BF"/>
        </w:rPr>
        <w:t>farmworkers</w:t>
      </w:r>
      <w:proofErr w:type="gramEnd"/>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w:t>
      </w:r>
      <w:proofErr w:type="gramStart"/>
      <w:r w:rsidRPr="0071246B">
        <w:rPr>
          <w:color w:val="2E74B5" w:themeColor="accent5" w:themeShade="BF"/>
          <w:highlight w:val="yellow"/>
        </w:rPr>
        <w:t>sources</w:t>
      </w:r>
      <w:proofErr w:type="gramEnd"/>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particular needs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15"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000000" w:rsidP="003F37E3">
      <w:pPr>
        <w:pStyle w:val="ListParagraph"/>
        <w:numPr>
          <w:ilvl w:val="1"/>
          <w:numId w:val="3"/>
        </w:numPr>
        <w:spacing w:after="0" w:line="240" w:lineRule="auto"/>
        <w:rPr>
          <w:color w:val="2E74B5" w:themeColor="accent5" w:themeShade="BF"/>
        </w:rPr>
      </w:pPr>
      <w:hyperlink r:id="rId16"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wildland vs wildfire</w:t>
      </w:r>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17"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05DCAA00" w:rsidR="000948F8" w:rsidRDefault="00AD629A" w:rsidP="000F4C11">
      <w:pPr>
        <w:pStyle w:val="ListParagraph"/>
      </w:pPr>
      <w:fldSimple w:instr=" ADDIN EN.REFLIST "/>
    </w:p>
    <w:sectPr w:rsidR="000948F8">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1E258" w14:textId="77777777" w:rsidR="00F96B22" w:rsidRDefault="00F96B22" w:rsidP="00753CDA">
      <w:pPr>
        <w:spacing w:after="0" w:line="240" w:lineRule="auto"/>
      </w:pPr>
      <w:r>
        <w:separator/>
      </w:r>
    </w:p>
  </w:endnote>
  <w:endnote w:type="continuationSeparator" w:id="0">
    <w:p w14:paraId="76499C5A" w14:textId="77777777" w:rsidR="00F96B22" w:rsidRDefault="00F96B22" w:rsidP="0075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36D57" w14:textId="77777777" w:rsidR="00F96B22" w:rsidRDefault="00F96B22" w:rsidP="00753CDA">
      <w:pPr>
        <w:spacing w:after="0" w:line="240" w:lineRule="auto"/>
      </w:pPr>
      <w:r>
        <w:separator/>
      </w:r>
    </w:p>
  </w:footnote>
  <w:footnote w:type="continuationSeparator" w:id="0">
    <w:p w14:paraId="1799ADA8" w14:textId="77777777" w:rsidR="00F96B22" w:rsidRDefault="00F96B22" w:rsidP="00753CDA">
      <w:pPr>
        <w:spacing w:after="0" w:line="240" w:lineRule="auto"/>
      </w:pPr>
      <w:r>
        <w:continuationSeparator/>
      </w:r>
    </w:p>
  </w:footnote>
  <w:footnote w:id="1">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1" w:history="1">
        <w:r w:rsidRPr="002E01B4">
          <w:rPr>
            <w:rStyle w:val="Hyperlink"/>
          </w:rPr>
          <w:t>https://www.cnn.com/2023/07/16/weather/canada-wildfires-us-air-quality-alerts-sunday/index.html</w:t>
        </w:r>
      </w:hyperlink>
      <w:r>
        <w:t xml:space="preserve"> </w:t>
      </w:r>
    </w:p>
  </w:footnote>
  <w:footnote w:id="2">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2" w:history="1">
        <w:r w:rsidRPr="002E01B4">
          <w:rPr>
            <w:rStyle w:val="Hyperlink"/>
          </w:rPr>
          <w:t>https://www.forbes.com/sites/brianbushard/2023/07/24/phoenix-records-three-plus-weeks-above-110-degrees-heres-where-else-daily-records-have-fallen/</w:t>
        </w:r>
      </w:hyperlink>
      <w:r>
        <w:t xml:space="preserve"> </w:t>
      </w:r>
    </w:p>
  </w:footnote>
  <w:footnote w:id="3">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3" w:history="1">
        <w:r w:rsidRPr="002E01B4">
          <w:rPr>
            <w:rStyle w:val="Hyperlink"/>
          </w:rPr>
          <w:t>https://www.climate.gov/maps-data/dataset/future-climate-projections-graphs-maps</w:t>
        </w:r>
      </w:hyperlink>
      <w:r>
        <w:t xml:space="preserve"> </w:t>
      </w:r>
    </w:p>
  </w:footnote>
  <w:footnote w:id="4">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4" w:history="1">
        <w:r w:rsidRPr="002E01B4">
          <w:rPr>
            <w:rStyle w:val="Hyperlink"/>
          </w:rPr>
          <w:t>https://www.cdc.gov/climateandhealth/crsci_grantees.htm</w:t>
        </w:r>
      </w:hyperlink>
      <w:r>
        <w:t xml:space="preserve"> </w:t>
      </w:r>
    </w:p>
  </w:footnote>
  <w:footnote w:id="5">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5" w:history="1">
        <w:r w:rsidRPr="002E01B4">
          <w:rPr>
            <w:rStyle w:val="Hyperlink"/>
          </w:rPr>
          <w:t>https://www.cdc.gov/nceh/tracking/index.html</w:t>
        </w:r>
      </w:hyperlink>
      <w:r>
        <w:t xml:space="preserve"> </w:t>
      </w:r>
    </w:p>
  </w:footnote>
  <w:footnote w:id="6">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6" w:history="1">
        <w:r w:rsidRPr="002E01B4">
          <w:rPr>
            <w:rStyle w:val="Hyperlink"/>
          </w:rPr>
          <w:t>https://stateclimate.org/about-us/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3F5E"/>
    <w:rsid w:val="00054FC2"/>
    <w:rsid w:val="000948F8"/>
    <w:rsid w:val="0009550D"/>
    <w:rsid w:val="000A7695"/>
    <w:rsid w:val="000E4932"/>
    <w:rsid w:val="000E65B8"/>
    <w:rsid w:val="000E723C"/>
    <w:rsid w:val="000F4C11"/>
    <w:rsid w:val="0014727F"/>
    <w:rsid w:val="00157C9F"/>
    <w:rsid w:val="0017161E"/>
    <w:rsid w:val="001718B6"/>
    <w:rsid w:val="001A3E7F"/>
    <w:rsid w:val="001C234A"/>
    <w:rsid w:val="001D77B8"/>
    <w:rsid w:val="00204CF0"/>
    <w:rsid w:val="00216A13"/>
    <w:rsid w:val="00292752"/>
    <w:rsid w:val="002D37E0"/>
    <w:rsid w:val="002D5DA3"/>
    <w:rsid w:val="002F384E"/>
    <w:rsid w:val="00324A82"/>
    <w:rsid w:val="00336CE2"/>
    <w:rsid w:val="00370BE0"/>
    <w:rsid w:val="003747AA"/>
    <w:rsid w:val="00383EA6"/>
    <w:rsid w:val="003D6DD5"/>
    <w:rsid w:val="003F37E3"/>
    <w:rsid w:val="004104B4"/>
    <w:rsid w:val="004659F5"/>
    <w:rsid w:val="004B0F8B"/>
    <w:rsid w:val="004E068C"/>
    <w:rsid w:val="005242CE"/>
    <w:rsid w:val="00586985"/>
    <w:rsid w:val="005B27DF"/>
    <w:rsid w:val="00695EC0"/>
    <w:rsid w:val="006C340C"/>
    <w:rsid w:val="00704D02"/>
    <w:rsid w:val="00707AAC"/>
    <w:rsid w:val="0071246B"/>
    <w:rsid w:val="0072582C"/>
    <w:rsid w:val="00725AFB"/>
    <w:rsid w:val="0073629D"/>
    <w:rsid w:val="00753CDA"/>
    <w:rsid w:val="00784B99"/>
    <w:rsid w:val="007B1664"/>
    <w:rsid w:val="007D2D13"/>
    <w:rsid w:val="007E2CEC"/>
    <w:rsid w:val="00866C4E"/>
    <w:rsid w:val="008A3E6A"/>
    <w:rsid w:val="00906EC0"/>
    <w:rsid w:val="00926497"/>
    <w:rsid w:val="009817E1"/>
    <w:rsid w:val="009A0501"/>
    <w:rsid w:val="009B4951"/>
    <w:rsid w:val="00A15D7B"/>
    <w:rsid w:val="00A17571"/>
    <w:rsid w:val="00A21C08"/>
    <w:rsid w:val="00A3286D"/>
    <w:rsid w:val="00A7041A"/>
    <w:rsid w:val="00A76151"/>
    <w:rsid w:val="00AA0D46"/>
    <w:rsid w:val="00AB2EB1"/>
    <w:rsid w:val="00AC0ADC"/>
    <w:rsid w:val="00AD629A"/>
    <w:rsid w:val="00B0272C"/>
    <w:rsid w:val="00B0530D"/>
    <w:rsid w:val="00B103BA"/>
    <w:rsid w:val="00B114BD"/>
    <w:rsid w:val="00B47314"/>
    <w:rsid w:val="00B745B2"/>
    <w:rsid w:val="00B751D7"/>
    <w:rsid w:val="00B82A5A"/>
    <w:rsid w:val="00B907A7"/>
    <w:rsid w:val="00B917EF"/>
    <w:rsid w:val="00B944CF"/>
    <w:rsid w:val="00B964EC"/>
    <w:rsid w:val="00BA2F06"/>
    <w:rsid w:val="00BB7F1A"/>
    <w:rsid w:val="00BC5B81"/>
    <w:rsid w:val="00BD0DAE"/>
    <w:rsid w:val="00BF2714"/>
    <w:rsid w:val="00C27171"/>
    <w:rsid w:val="00C52FF3"/>
    <w:rsid w:val="00C726C4"/>
    <w:rsid w:val="00C738B6"/>
    <w:rsid w:val="00C86CBF"/>
    <w:rsid w:val="00CC4342"/>
    <w:rsid w:val="00D05470"/>
    <w:rsid w:val="00D13238"/>
    <w:rsid w:val="00D76986"/>
    <w:rsid w:val="00DC692D"/>
    <w:rsid w:val="00DD6536"/>
    <w:rsid w:val="00DF2583"/>
    <w:rsid w:val="00E10E38"/>
    <w:rsid w:val="00E35C10"/>
    <w:rsid w:val="00E44338"/>
    <w:rsid w:val="00E46740"/>
    <w:rsid w:val="00E71D41"/>
    <w:rsid w:val="00E94F73"/>
    <w:rsid w:val="00EC0502"/>
    <w:rsid w:val="00F23898"/>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ountyhealthrankings.org/explore-health-ranking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pa.gov/ejscreen" TargetMode="External"/><Relationship Id="rId17" Type="http://schemas.openxmlformats.org/officeDocument/2006/relationships/hyperlink" Target="https://www.frames.gov/event/539664" TargetMode="External"/><Relationship Id="rId2" Type="http://schemas.openxmlformats.org/officeDocument/2006/relationships/numbering" Target="numbering.xml"/><Relationship Id="rId16" Type="http://schemas.openxmlformats.org/officeDocument/2006/relationships/hyperlink" Target="https://www.cdc.gov/niosh/topics/disasterscience/default.htm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atsdr.cdc.gov/rapidresponse/"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cste-my.sharepoint.com/personal/aaltabbaa_cste_org/_layouts/15/onedrive.aspx?id=%2Fpersonal%2Faaltabbaa%5Fcste%5Forg%2FDocuments%2FAlyaa%20Altabbaa%2FWildfire%20and%20Smoke%20Syndromic%20Surveillance%5FFINAL%2Epdf&amp;parent=%2Fpersonal%2Faaltabbaa%5Fcste%5Forg%2FDocuments%2FAlyaa%20Altabbaa&amp;ga=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gov/maps-data/dataset/future-climate-projections-graphs-maps" TargetMode="External"/><Relationship Id="rId2" Type="http://schemas.openxmlformats.org/officeDocument/2006/relationships/hyperlink" Target="https://www.forbes.com/sites/brianbushard/2023/07/24/phoenix-records-three-plus-weeks-above-110-degrees-heres-where-else-daily-records-have-fallen/" TargetMode="External"/><Relationship Id="rId1" Type="http://schemas.openxmlformats.org/officeDocument/2006/relationships/hyperlink" Target="https://www.cnn.com/2023/07/16/weather/canada-wildfires-us-air-quality-alerts-sunday/index.html" TargetMode="External"/><Relationship Id="rId6" Type="http://schemas.openxmlformats.org/officeDocument/2006/relationships/hyperlink" Target="https://stateclimate.org/about-us/" TargetMode="External"/><Relationship Id="rId5" Type="http://schemas.openxmlformats.org/officeDocument/2006/relationships/hyperlink" Target="https://www.cdc.gov/nceh/tracking/index.html" TargetMode="External"/><Relationship Id="rId4" Type="http://schemas.openxmlformats.org/officeDocument/2006/relationships/hyperlink" Target="https://www.cdc.gov/climateandhealth/crsci_grante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Gibb, Kathryn@CDPH</cp:lastModifiedBy>
  <cp:revision>3</cp:revision>
  <dcterms:created xsi:type="dcterms:W3CDTF">2023-08-02T22:35:00Z</dcterms:created>
  <dcterms:modified xsi:type="dcterms:W3CDTF">2023-08-02T22:35:00Z</dcterms:modified>
</cp:coreProperties>
</file>