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3FB27" w14:textId="77209FC9" w:rsidR="00B751D7" w:rsidRPr="00B751D7" w:rsidRDefault="00B751D7" w:rsidP="00B751D7">
      <w:pPr>
        <w:spacing w:after="0" w:line="240" w:lineRule="auto"/>
        <w:jc w:val="center"/>
        <w:rPr>
          <w:sz w:val="24"/>
          <w:szCs w:val="24"/>
        </w:rPr>
      </w:pPr>
      <w:r w:rsidRPr="00B751D7">
        <w:rPr>
          <w:sz w:val="24"/>
          <w:szCs w:val="24"/>
        </w:rPr>
        <w:t>Occupational Health Surveillance for Tracking Climate-Related Health Impacts o</w:t>
      </w:r>
      <w:r w:rsidR="002D37E0">
        <w:rPr>
          <w:sz w:val="24"/>
          <w:szCs w:val="24"/>
        </w:rPr>
        <w:t>n</w:t>
      </w:r>
      <w:r w:rsidRPr="00B751D7">
        <w:rPr>
          <w:sz w:val="24"/>
          <w:szCs w:val="24"/>
        </w:rPr>
        <w:t xml:space="preserve"> Workers</w:t>
      </w:r>
    </w:p>
    <w:p w14:paraId="53DC3D54" w14:textId="21F3068C" w:rsidR="00B751D7" w:rsidRDefault="00B751D7" w:rsidP="00B751D7">
      <w:pPr>
        <w:spacing w:after="0" w:line="240" w:lineRule="auto"/>
        <w:jc w:val="center"/>
      </w:pPr>
    </w:p>
    <w:p w14:paraId="034F0028" w14:textId="77777777" w:rsidR="00B47314" w:rsidRDefault="00B47314" w:rsidP="00B751D7">
      <w:pPr>
        <w:spacing w:after="0" w:line="240" w:lineRule="auto"/>
        <w:jc w:val="center"/>
      </w:pPr>
    </w:p>
    <w:p w14:paraId="318AA017" w14:textId="1D9E1304" w:rsidR="00B751D7" w:rsidRDefault="00B751D7" w:rsidP="00707AAC">
      <w:pPr>
        <w:pStyle w:val="ListParagraph"/>
        <w:numPr>
          <w:ilvl w:val="0"/>
          <w:numId w:val="1"/>
        </w:numPr>
        <w:spacing w:after="0" w:line="240" w:lineRule="auto"/>
      </w:pPr>
      <w:r>
        <w:t>Introduction</w:t>
      </w:r>
      <w:r w:rsidR="00A76151">
        <w:t xml:space="preserve"> </w:t>
      </w:r>
      <w:r w:rsidR="00A76151" w:rsidRPr="00A76151">
        <w:rPr>
          <w:highlight w:val="cyan"/>
        </w:rPr>
        <w:t>(KG)</w:t>
      </w:r>
    </w:p>
    <w:p w14:paraId="7A04DE0E" w14:textId="77777777" w:rsidR="0071246B" w:rsidRPr="009F7680" w:rsidRDefault="0071246B" w:rsidP="0071246B">
      <w:pPr>
        <w:spacing w:after="0" w:line="240" w:lineRule="auto"/>
      </w:pPr>
    </w:p>
    <w:p w14:paraId="27C7CB6E" w14:textId="77777777" w:rsidR="0071246B" w:rsidRDefault="0071246B" w:rsidP="0071246B">
      <w:pPr>
        <w:spacing w:after="0" w:line="240" w:lineRule="auto"/>
        <w:ind w:firstLine="720"/>
      </w:pPr>
      <w:r>
        <w:t xml:space="preserve">Climate-change related issues including extreme heat, wildfires, and floods, pose substantial risks to occupational health. Extreme weather events and environmental hazards will result in direct and indirect effects on the health and wellbeing of workers. Understanding which workers will be most affected by climate change related events is critical to emergency preparedness and response. Occupational health surveillance plays a vital role in identifying, tracking, and understanding the impact of injuries and illnesses among workers, which informs intervention and prevention strategies. Extending occupational health surveillance beyond traditional occupational injuries and illnesses is necessary in the face of changing environmental conditions. By focusing on climate-related outcomes in occupational health surveillance, health departments can provide critical insights into emerging health risks faced by workers. Climate change poses unique and complex risks to workers. </w:t>
      </w:r>
    </w:p>
    <w:p w14:paraId="36D3F6AE" w14:textId="54BF495F" w:rsidR="0071246B" w:rsidRDefault="0071246B" w:rsidP="0071246B">
      <w:pPr>
        <w:spacing w:after="0" w:line="240" w:lineRule="auto"/>
        <w:ind w:firstLine="720"/>
        <w:rPr>
          <w:color w:val="FF0000"/>
        </w:rPr>
      </w:pPr>
      <w:r>
        <w:t xml:space="preserve">The primary goal of this document is to provide guidance for occupational health professionals to explore climate-change related outcomes for occupational health surveillance. There is considerable variation in climate-related outcomes in the United States; this document will serve as a resource for approaches to defining heat, wildfire, and flood-related health outcomes for workers. While there are other extreme weather event related outcomes, such as extreme cold, and storm-related impacts, these are not the focus of this document. By offering a framework for occupational health surveillance in the context of climate change, this white paper indents to support health departments in developing their own </w:t>
      </w:r>
      <w:r>
        <w:rPr>
          <w:color w:val="FF0000"/>
        </w:rPr>
        <w:t xml:space="preserve">approaches to __________. </w:t>
      </w:r>
    </w:p>
    <w:p w14:paraId="496E9ECC" w14:textId="77777777" w:rsidR="0071246B" w:rsidRPr="00815F11" w:rsidRDefault="0071246B" w:rsidP="0071246B">
      <w:pPr>
        <w:spacing w:after="0" w:line="240" w:lineRule="auto"/>
        <w:ind w:firstLine="720"/>
      </w:pPr>
    </w:p>
    <w:p w14:paraId="3397F9D0" w14:textId="0F30873A" w:rsidR="00FB66E3" w:rsidRPr="0071246B" w:rsidRDefault="00FB66E3" w:rsidP="0071246B">
      <w:pPr>
        <w:pStyle w:val="ListParagraph"/>
        <w:numPr>
          <w:ilvl w:val="0"/>
          <w:numId w:val="6"/>
        </w:numPr>
        <w:spacing w:after="0" w:line="240" w:lineRule="auto"/>
        <w:rPr>
          <w:color w:val="2E74B5" w:themeColor="accent5" w:themeShade="BF"/>
        </w:rPr>
      </w:pPr>
      <w:commentRangeStart w:id="0"/>
      <w:r w:rsidRPr="0071246B">
        <w:rPr>
          <w:color w:val="2E74B5" w:themeColor="accent5" w:themeShade="BF"/>
        </w:rPr>
        <w:t xml:space="preserve">Inclusion of Map with Climate Zones </w:t>
      </w:r>
      <w:commentRangeEnd w:id="0"/>
      <w:r w:rsidR="0071246B">
        <w:rPr>
          <w:rStyle w:val="CommentReference"/>
        </w:rPr>
        <w:commentReference w:id="0"/>
      </w:r>
    </w:p>
    <w:p w14:paraId="18E96101" w14:textId="77777777" w:rsidR="0071246B" w:rsidRPr="0071246B" w:rsidRDefault="0071246B" w:rsidP="0071246B">
      <w:pPr>
        <w:pStyle w:val="ListParagraph"/>
        <w:spacing w:after="0" w:line="240" w:lineRule="auto"/>
        <w:ind w:left="1080"/>
        <w:rPr>
          <w:color w:val="2E74B5" w:themeColor="accent5" w:themeShade="BF"/>
        </w:rPr>
      </w:pPr>
    </w:p>
    <w:p w14:paraId="7D8EC32E" w14:textId="77777777" w:rsidR="0071246B" w:rsidRPr="0071246B" w:rsidRDefault="00926497" w:rsidP="0071246B">
      <w:pPr>
        <w:pStyle w:val="ListParagraph"/>
        <w:numPr>
          <w:ilvl w:val="0"/>
          <w:numId w:val="1"/>
        </w:numPr>
        <w:spacing w:after="0" w:line="240" w:lineRule="auto"/>
        <w:rPr>
          <w:color w:val="2E74B5" w:themeColor="accent5" w:themeShade="BF"/>
        </w:rPr>
      </w:pPr>
      <w:r w:rsidRPr="0071246B">
        <w:rPr>
          <w:color w:val="2E74B5" w:themeColor="accent5" w:themeShade="BF"/>
        </w:rPr>
        <w:t>Identifying a climate-related outcome for occupational health surveillance</w:t>
      </w:r>
      <w:r w:rsidR="005B27DF" w:rsidRPr="0071246B">
        <w:rPr>
          <w:color w:val="2E74B5" w:themeColor="accent5" w:themeShade="BF"/>
        </w:rPr>
        <w:t xml:space="preserve"> in your jurisdiction</w:t>
      </w:r>
      <w:r w:rsidR="00A76151" w:rsidRPr="0071246B">
        <w:rPr>
          <w:color w:val="2E74B5" w:themeColor="accent5" w:themeShade="BF"/>
        </w:rPr>
        <w:t xml:space="preserve"> </w:t>
      </w:r>
      <w:r w:rsidR="00A76151" w:rsidRPr="0071246B">
        <w:rPr>
          <w:color w:val="2E74B5" w:themeColor="accent5" w:themeShade="BF"/>
          <w:highlight w:val="cyan"/>
        </w:rPr>
        <w:t>(</w:t>
      </w:r>
      <w:r w:rsidR="004E068C" w:rsidRPr="0071246B">
        <w:rPr>
          <w:color w:val="2E74B5" w:themeColor="accent5" w:themeShade="BF"/>
          <w:highlight w:val="cyan"/>
        </w:rPr>
        <w:t>Group</w:t>
      </w:r>
      <w:r w:rsidR="00A76151" w:rsidRPr="0071246B">
        <w:rPr>
          <w:color w:val="2E74B5" w:themeColor="accent5" w:themeShade="BF"/>
          <w:highlight w:val="cyan"/>
        </w:rPr>
        <w:t>)</w:t>
      </w:r>
    </w:p>
    <w:p w14:paraId="302E6064" w14:textId="77777777" w:rsidR="0071246B" w:rsidRDefault="0071246B" w:rsidP="0071246B">
      <w:pPr>
        <w:spacing w:after="0" w:line="240" w:lineRule="auto"/>
      </w:pPr>
    </w:p>
    <w:p w14:paraId="3A61688D" w14:textId="3AA1FCC3" w:rsidR="0071246B" w:rsidRDefault="0071246B" w:rsidP="0071246B">
      <w:pPr>
        <w:spacing w:after="0" w:line="240" w:lineRule="auto"/>
      </w:pPr>
      <w:r>
        <w:t xml:space="preserve">Identifying climate-related health outcomes for occupational health surveillance requires considering the types of industries and occupations within a given jurisdiction. Some industries and occupations will be at greater risk for climate related health outcomes than others. States can utilize the National Institute for Occupational Safety and Health (NIOSH) Employment Labor Force Query (ELF) system to estimate the number of workers within particular industries or occupations to enumerate the number of workers at risk for a climate-related outcome. This information can provide insight into the magnitude and distribution of potentially impacted workers, enabling targeted interventions. States should consider integrating social vulnerability indices, which can help identify where occupational vulnerabilities intersect with broader socioeconomic vulnerabilities, including income and education </w:t>
      </w:r>
      <w:r w:rsidRPr="00A31329">
        <w:t xml:space="preserve">level, </w:t>
      </w:r>
      <w:r>
        <w:t xml:space="preserve">race/ethnicity, health insurance and housing quality. </w:t>
      </w:r>
    </w:p>
    <w:p w14:paraId="0B99D9E1" w14:textId="77777777" w:rsidR="0071246B" w:rsidRDefault="0071246B" w:rsidP="0071246B">
      <w:pPr>
        <w:spacing w:after="0" w:line="240" w:lineRule="auto"/>
      </w:pPr>
    </w:p>
    <w:p w14:paraId="15BA8117" w14:textId="43F80A56" w:rsidR="00A17571" w:rsidRPr="0071246B" w:rsidRDefault="00A17571" w:rsidP="00A17571">
      <w:pPr>
        <w:pStyle w:val="ListParagraph"/>
        <w:numPr>
          <w:ilvl w:val="2"/>
          <w:numId w:val="1"/>
        </w:numPr>
        <w:spacing w:after="0" w:line="240" w:lineRule="auto"/>
        <w:rPr>
          <w:color w:val="2E74B5" w:themeColor="accent5" w:themeShade="BF"/>
        </w:rPr>
      </w:pPr>
      <w:r w:rsidRPr="0071246B">
        <w:rPr>
          <w:color w:val="2E74B5" w:themeColor="accent5" w:themeShade="BF"/>
        </w:rPr>
        <w:t>Emphasizing occupation as a determinant of health</w:t>
      </w:r>
    </w:p>
    <w:p w14:paraId="1DB155B8" w14:textId="2EBD0F53" w:rsidR="00A17571" w:rsidRPr="0071246B" w:rsidRDefault="00A17571" w:rsidP="00A17571">
      <w:pPr>
        <w:pStyle w:val="ListParagraph"/>
        <w:numPr>
          <w:ilvl w:val="2"/>
          <w:numId w:val="1"/>
        </w:numPr>
        <w:spacing w:after="0" w:line="240" w:lineRule="auto"/>
        <w:rPr>
          <w:color w:val="2E74B5" w:themeColor="accent5" w:themeShade="BF"/>
        </w:rPr>
      </w:pPr>
      <w:r w:rsidRPr="0071246B">
        <w:rPr>
          <w:color w:val="2E74B5" w:themeColor="accent5" w:themeShade="BF"/>
        </w:rPr>
        <w:t>What is the income/racial/ethnic make-up of the state – how</w:t>
      </w:r>
      <w:r w:rsidR="00A21C08" w:rsidRPr="0071246B">
        <w:rPr>
          <w:color w:val="2E74B5" w:themeColor="accent5" w:themeShade="BF"/>
        </w:rPr>
        <w:t xml:space="preserve"> does this overlap with</w:t>
      </w:r>
      <w:r w:rsidRPr="0071246B">
        <w:rPr>
          <w:color w:val="2E74B5" w:themeColor="accent5" w:themeShade="BF"/>
        </w:rPr>
        <w:t xml:space="preserve"> I/O</w:t>
      </w:r>
    </w:p>
    <w:p w14:paraId="61834084" w14:textId="3EEFD2DE" w:rsidR="006C340C" w:rsidRPr="0071246B" w:rsidRDefault="006C340C" w:rsidP="00A17571">
      <w:pPr>
        <w:pStyle w:val="ListParagraph"/>
        <w:numPr>
          <w:ilvl w:val="2"/>
          <w:numId w:val="1"/>
        </w:numPr>
        <w:spacing w:after="0" w:line="240" w:lineRule="auto"/>
        <w:rPr>
          <w:color w:val="2E74B5" w:themeColor="accent5" w:themeShade="BF"/>
        </w:rPr>
      </w:pPr>
      <w:r w:rsidRPr="0071246B">
        <w:rPr>
          <w:color w:val="2E74B5" w:themeColor="accent5" w:themeShade="BF"/>
        </w:rPr>
        <w:t xml:space="preserve">Examples: </w:t>
      </w:r>
      <w:hyperlink r:id="rId12" w:history="1">
        <w:r w:rsidRPr="0071246B">
          <w:rPr>
            <w:rStyle w:val="Hyperlink"/>
            <w:color w:val="2E74B5" w:themeColor="accent5" w:themeShade="BF"/>
          </w:rPr>
          <w:t>EJ Screen</w:t>
        </w:r>
      </w:hyperlink>
      <w:r w:rsidRPr="0071246B">
        <w:rPr>
          <w:color w:val="2E74B5" w:themeColor="accent5" w:themeShade="BF"/>
        </w:rPr>
        <w:t>,</w:t>
      </w:r>
      <w:hyperlink r:id="rId13" w:history="1">
        <w:r w:rsidRPr="0071246B">
          <w:rPr>
            <w:rStyle w:val="Hyperlink"/>
            <w:color w:val="2E74B5" w:themeColor="accent5" w:themeShade="BF"/>
          </w:rPr>
          <w:t xml:space="preserve"> County Health Rankings</w:t>
        </w:r>
      </w:hyperlink>
      <w:r w:rsidRPr="0071246B">
        <w:rPr>
          <w:color w:val="2E74B5" w:themeColor="accent5" w:themeShade="BF"/>
        </w:rPr>
        <w:t xml:space="preserve"> </w:t>
      </w:r>
    </w:p>
    <w:p w14:paraId="63FACCEC" w14:textId="04CC26CB" w:rsidR="00B0530D" w:rsidRPr="0071246B" w:rsidRDefault="00B0530D" w:rsidP="005B27DF">
      <w:pPr>
        <w:pStyle w:val="ListParagraph"/>
        <w:numPr>
          <w:ilvl w:val="1"/>
          <w:numId w:val="1"/>
        </w:numPr>
        <w:spacing w:after="0" w:line="240" w:lineRule="auto"/>
        <w:rPr>
          <w:color w:val="2E74B5" w:themeColor="accent5" w:themeShade="BF"/>
        </w:rPr>
      </w:pPr>
      <w:r w:rsidRPr="0071246B">
        <w:rPr>
          <w:color w:val="2E74B5" w:themeColor="accent5" w:themeShade="BF"/>
        </w:rPr>
        <w:t>Besides traditional first responders (i.e., fire, police, EMS), who else would be involved in response and recovery (i.e., tree-care, construction</w:t>
      </w:r>
      <w:r w:rsidR="00336CE2" w:rsidRPr="0071246B">
        <w:rPr>
          <w:color w:val="2E74B5" w:themeColor="accent5" w:themeShade="BF"/>
        </w:rPr>
        <w:t>, national guard</w:t>
      </w:r>
      <w:r w:rsidR="00204CF0" w:rsidRPr="0071246B">
        <w:rPr>
          <w:color w:val="2E74B5" w:themeColor="accent5" w:themeShade="BF"/>
        </w:rPr>
        <w:t>?</w:t>
      </w:r>
      <w:r w:rsidRPr="0071246B">
        <w:rPr>
          <w:color w:val="2E74B5" w:themeColor="accent5" w:themeShade="BF"/>
        </w:rPr>
        <w:t>)</w:t>
      </w:r>
      <w:r w:rsidR="004E068C" w:rsidRPr="0071246B">
        <w:rPr>
          <w:color w:val="2E74B5" w:themeColor="accent5" w:themeShade="BF"/>
        </w:rPr>
        <w:t xml:space="preserve"> </w:t>
      </w:r>
      <w:r w:rsidR="004E068C" w:rsidRPr="0071246B">
        <w:rPr>
          <w:color w:val="2E74B5" w:themeColor="accent5" w:themeShade="BF"/>
          <w:highlight w:val="cyan"/>
        </w:rPr>
        <w:t>(Ximena)</w:t>
      </w:r>
    </w:p>
    <w:p w14:paraId="2BD81195" w14:textId="414249A0" w:rsidR="00FB66E3" w:rsidRPr="0071246B" w:rsidRDefault="00FB66E3" w:rsidP="00FB66E3">
      <w:pPr>
        <w:pStyle w:val="ListParagraph"/>
        <w:numPr>
          <w:ilvl w:val="2"/>
          <w:numId w:val="1"/>
        </w:numPr>
        <w:spacing w:after="0" w:line="240" w:lineRule="auto"/>
        <w:rPr>
          <w:color w:val="2E74B5" w:themeColor="accent5" w:themeShade="BF"/>
        </w:rPr>
      </w:pPr>
      <w:r w:rsidRPr="0071246B">
        <w:rPr>
          <w:color w:val="2E74B5" w:themeColor="accent5" w:themeShade="BF"/>
        </w:rPr>
        <w:t xml:space="preserve">Use Indoor/Outdoor SOEM </w:t>
      </w:r>
      <w:r w:rsidR="00E94F73" w:rsidRPr="0071246B">
        <w:rPr>
          <w:color w:val="2E74B5" w:themeColor="accent5" w:themeShade="BF"/>
        </w:rPr>
        <w:t>to identify relevant workers for response (can pair with ELF query to enumerate for a given state)</w:t>
      </w:r>
    </w:p>
    <w:p w14:paraId="4DE01202" w14:textId="41264A73" w:rsidR="00FB66E3" w:rsidRPr="0071246B" w:rsidRDefault="00FB66E3" w:rsidP="00FB66E3">
      <w:pPr>
        <w:pStyle w:val="ListParagraph"/>
        <w:numPr>
          <w:ilvl w:val="2"/>
          <w:numId w:val="1"/>
        </w:numPr>
        <w:spacing w:after="0" w:line="240" w:lineRule="auto"/>
        <w:rPr>
          <w:color w:val="2E74B5" w:themeColor="accent5" w:themeShade="BF"/>
        </w:rPr>
      </w:pPr>
      <w:r w:rsidRPr="0071246B">
        <w:rPr>
          <w:color w:val="2E74B5" w:themeColor="accent5" w:themeShade="BF"/>
        </w:rPr>
        <w:lastRenderedPageBreak/>
        <w:t>Use Essential Workers Code</w:t>
      </w:r>
      <w:r w:rsidR="007D2D13" w:rsidRPr="0071246B">
        <w:rPr>
          <w:color w:val="2E74B5" w:themeColor="accent5" w:themeShade="BF"/>
        </w:rPr>
        <w:t xml:space="preserve"> </w:t>
      </w:r>
      <w:r w:rsidRPr="0071246B">
        <w:rPr>
          <w:color w:val="2E74B5" w:themeColor="accent5" w:themeShade="BF"/>
        </w:rPr>
        <w:t>set</w:t>
      </w:r>
      <w:r w:rsidR="00E94F73" w:rsidRPr="0071246B">
        <w:rPr>
          <w:color w:val="2E74B5" w:themeColor="accent5" w:themeShade="BF"/>
        </w:rPr>
        <w:t xml:space="preserve"> – to identify relevant workers for response (can pair with ELF query to enumerate for a given state)</w:t>
      </w:r>
    </w:p>
    <w:p w14:paraId="3DAF8A3B" w14:textId="0A9BC5A6" w:rsidR="00A21C08" w:rsidRPr="0071246B" w:rsidRDefault="00A21C08" w:rsidP="00FB66E3">
      <w:pPr>
        <w:pStyle w:val="ListParagraph"/>
        <w:numPr>
          <w:ilvl w:val="2"/>
          <w:numId w:val="1"/>
        </w:numPr>
        <w:spacing w:after="0" w:line="240" w:lineRule="auto"/>
        <w:rPr>
          <w:color w:val="2E74B5" w:themeColor="accent5" w:themeShade="BF"/>
        </w:rPr>
      </w:pPr>
      <w:r w:rsidRPr="0071246B">
        <w:rPr>
          <w:color w:val="2E74B5" w:themeColor="accent5" w:themeShade="BF"/>
        </w:rPr>
        <w:t>Volunteer cleaning crews/citizen groups</w:t>
      </w:r>
    </w:p>
    <w:p w14:paraId="6A4096B3" w14:textId="4A4BFFEE" w:rsidR="004B0F8B" w:rsidRPr="0071246B" w:rsidRDefault="005B27DF" w:rsidP="004B0F8B">
      <w:pPr>
        <w:pStyle w:val="ListParagraph"/>
        <w:numPr>
          <w:ilvl w:val="1"/>
          <w:numId w:val="1"/>
        </w:numPr>
        <w:spacing w:after="0" w:line="240" w:lineRule="auto"/>
        <w:rPr>
          <w:color w:val="2E74B5" w:themeColor="accent5" w:themeShade="BF"/>
        </w:rPr>
      </w:pPr>
      <w:r w:rsidRPr="0071246B">
        <w:rPr>
          <w:color w:val="2E74B5" w:themeColor="accent5" w:themeShade="BF"/>
        </w:rPr>
        <w:t>What is the state of climate in your region?</w:t>
      </w:r>
      <w:r w:rsidR="00D13238" w:rsidRPr="0071246B">
        <w:rPr>
          <w:color w:val="2E74B5" w:themeColor="accent5" w:themeShade="BF"/>
        </w:rPr>
        <w:t xml:space="preserve"> What are the climate-related impacts your jurisdiction has experienced (increased temps, fires, hurricanes)? </w:t>
      </w:r>
      <w:r w:rsidR="00FB66E3" w:rsidRPr="0071246B">
        <w:rPr>
          <w:color w:val="2E74B5" w:themeColor="accent5" w:themeShade="BF"/>
        </w:rPr>
        <w:t xml:space="preserve"> (work with EPHT to define the state of climate in your region). Work with state climatologist. </w:t>
      </w:r>
      <w:r w:rsidR="004E068C" w:rsidRPr="0071246B">
        <w:rPr>
          <w:color w:val="2E74B5" w:themeColor="accent5" w:themeShade="BF"/>
        </w:rPr>
        <w:t xml:space="preserve"> </w:t>
      </w:r>
      <w:r w:rsidR="004E068C" w:rsidRPr="0071246B">
        <w:rPr>
          <w:color w:val="2E74B5" w:themeColor="accent5" w:themeShade="BF"/>
          <w:highlight w:val="cyan"/>
        </w:rPr>
        <w:t>(Paul)</w:t>
      </w:r>
    </w:p>
    <w:p w14:paraId="60A61E02" w14:textId="77777777" w:rsidR="00C27171" w:rsidRDefault="00C27171" w:rsidP="00C27171">
      <w:pPr>
        <w:pStyle w:val="ListParagraph"/>
        <w:spacing w:after="0" w:line="240" w:lineRule="auto"/>
        <w:ind w:left="1080"/>
      </w:pPr>
    </w:p>
    <w:p w14:paraId="758DD278" w14:textId="635D29B5" w:rsidR="004B0F8B" w:rsidRDefault="004B0F8B" w:rsidP="004B0F8B">
      <w:pPr>
        <w:spacing w:after="0" w:line="240" w:lineRule="auto"/>
      </w:pPr>
      <w:r>
        <w:t>Different regions of the United States will have different experiences of climate and different anticipated outcomes from climate change. For example,</w:t>
      </w:r>
      <w:r w:rsidR="00BA2F06">
        <w:t xml:space="preserve"> in the summer of 2023</w:t>
      </w:r>
      <w:r>
        <w:t xml:space="preserve"> the Midwest and east coast </w:t>
      </w:r>
      <w:r w:rsidR="00695EC0">
        <w:t>have</w:t>
      </w:r>
      <w:r>
        <w:t xml:space="preserve"> experienced </w:t>
      </w:r>
      <w:r w:rsidR="00BA2F06">
        <w:t>poor air-quality as a downstream effect of Canadian wild-fire smoke.</w:t>
      </w:r>
      <w:r w:rsidR="00753CDA">
        <w:rPr>
          <w:rStyle w:val="FootnoteReference"/>
        </w:rPr>
        <w:footnoteReference w:id="1"/>
      </w:r>
      <w:r w:rsidR="00BA2F06">
        <w:t xml:space="preserve"> </w:t>
      </w:r>
      <w:r w:rsidR="00695EC0">
        <w:t>Concurrently, o</w:t>
      </w:r>
      <w:r w:rsidR="002D5DA3">
        <w:t>n</w:t>
      </w:r>
      <w:r w:rsidR="00BA2F06">
        <w:t xml:space="preserve"> July 19</w:t>
      </w:r>
      <w:r w:rsidR="00BA2F06" w:rsidRPr="00BA2F06">
        <w:rPr>
          <w:vertAlign w:val="superscript"/>
        </w:rPr>
        <w:t>th</w:t>
      </w:r>
      <w:r w:rsidR="00BA2F06">
        <w:t xml:space="preserve"> of 2023, Arizona broke </w:t>
      </w:r>
      <w:r w:rsidR="002D5DA3">
        <w:t xml:space="preserve">a record set in 1974 for </w:t>
      </w:r>
      <w:r w:rsidR="00BA2F06">
        <w:t>the most consecutive days above 110</w:t>
      </w:r>
      <w:r w:rsidR="000F4C11">
        <w:t xml:space="preserve"> degrees </w:t>
      </w:r>
      <w:r w:rsidR="00753CDA" w:rsidRPr="00753CDA">
        <w:t>Fahrenheit</w:t>
      </w:r>
      <w:r w:rsidR="00BA2F06">
        <w:t>.</w:t>
      </w:r>
      <w:r w:rsidR="00753CDA">
        <w:rPr>
          <w:rStyle w:val="FootnoteReference"/>
        </w:rPr>
        <w:footnoteReference w:id="2"/>
      </w:r>
      <w:r w:rsidR="002D5DA3">
        <w:t xml:space="preserve"> Knowing what potential hazards the workers in your region face requires knowing a bit about the climate models for your region, knowing what kinds of work is being done in your region, and understanding where to</w:t>
      </w:r>
      <w:r w:rsidR="00C738B6">
        <w:t xml:space="preserve"> turn for </w:t>
      </w:r>
      <w:r w:rsidR="000F4C11">
        <w:t xml:space="preserve">further </w:t>
      </w:r>
      <w:r w:rsidR="00C738B6">
        <w:t>information.</w:t>
      </w:r>
    </w:p>
    <w:p w14:paraId="5ED0370C" w14:textId="74DCAF6F" w:rsidR="00C738B6" w:rsidRDefault="00C738B6" w:rsidP="004B0F8B">
      <w:pPr>
        <w:spacing w:after="0" w:line="240" w:lineRule="auto"/>
      </w:pPr>
    </w:p>
    <w:p w14:paraId="51431AA0" w14:textId="1293864E" w:rsidR="00C738B6" w:rsidRPr="00054FC2" w:rsidRDefault="000F4C11" w:rsidP="000F4C11">
      <w:pPr>
        <w:spacing w:after="0" w:line="240" w:lineRule="auto"/>
        <w:rPr>
          <w:i/>
          <w:iCs/>
        </w:rPr>
      </w:pPr>
      <w:r w:rsidRPr="00054FC2">
        <w:rPr>
          <w:i/>
          <w:iCs/>
        </w:rPr>
        <w:t>Climate models:</w:t>
      </w:r>
    </w:p>
    <w:p w14:paraId="40941D20" w14:textId="0B9EAEA9" w:rsidR="000F4C11" w:rsidRDefault="000F4C11" w:rsidP="000F4C11">
      <w:pPr>
        <w:spacing w:after="0" w:line="240" w:lineRule="auto"/>
      </w:pPr>
      <w:r>
        <w:t xml:space="preserve">The </w:t>
      </w:r>
      <w:r w:rsidRPr="000F4C11">
        <w:t>National Oceanic and Atmospheric Administration</w:t>
      </w:r>
      <w:r>
        <w:t xml:space="preserve"> (NOAA) provides climate projections that can be viewed on their website and through their Climate Explorer</w:t>
      </w:r>
      <w:r w:rsidR="00B944CF">
        <w:t>/</w:t>
      </w:r>
      <w:r>
        <w:t>U.S. Climate Resilience Toolkit</w:t>
      </w:r>
      <w:r w:rsidR="00324A82">
        <w:t xml:space="preserve"> </w:t>
      </w:r>
      <w:r w:rsidR="00B944CF">
        <w:t>on</w:t>
      </w:r>
      <w:r w:rsidR="00054FC2">
        <w:t xml:space="preserve"> Climate.gov</w:t>
      </w:r>
      <w:r w:rsidR="00324A82">
        <w:t>.</w:t>
      </w:r>
      <w:r w:rsidR="00866C4E">
        <w:rPr>
          <w:rStyle w:val="FootnoteReference"/>
        </w:rPr>
        <w:footnoteReference w:id="3"/>
      </w:r>
      <w:r w:rsidR="00324A82">
        <w:t xml:space="preserve"> </w:t>
      </w:r>
      <w:r w:rsidR="00695EC0">
        <w:t>As an</w:t>
      </w:r>
      <w:r w:rsidR="00054FC2">
        <w:t xml:space="preserve"> example</w:t>
      </w:r>
      <w:r w:rsidR="00324A82">
        <w:t>, these tools</w:t>
      </w:r>
      <w:r w:rsidR="00054FC2">
        <w:t xml:space="preserve"> allow one to see that, if emissions remain high, the average daily temperature in Madison, Wisconsin in 2050 will be approximately the same as the average historical temperature of St. Louis (1961-1990). Modeled data like these provide an opportunity for planning and mitigation based on what </w:t>
      </w:r>
      <w:r w:rsidR="0009550D">
        <w:t xml:space="preserve">climatic conditions </w:t>
      </w:r>
      <w:r w:rsidR="00B944CF">
        <w:t>we</w:t>
      </w:r>
      <w:r w:rsidR="0009550D">
        <w:t xml:space="preserve"> can</w:t>
      </w:r>
      <w:r w:rsidR="00054FC2">
        <w:t xml:space="preserve"> expect the workforce to be facing now and in the future.</w:t>
      </w:r>
      <w:r w:rsidR="00A15D7B">
        <w:t xml:space="preserve"> </w:t>
      </w:r>
    </w:p>
    <w:p w14:paraId="62960EC3" w14:textId="79F5F15B" w:rsidR="00054FC2" w:rsidRDefault="00054FC2" w:rsidP="000F4C11">
      <w:pPr>
        <w:spacing w:after="0" w:line="240" w:lineRule="auto"/>
      </w:pPr>
    </w:p>
    <w:p w14:paraId="6B39264B" w14:textId="50119DCD" w:rsidR="00054FC2" w:rsidRPr="00A15D7B" w:rsidRDefault="00054FC2" w:rsidP="000F4C11">
      <w:pPr>
        <w:spacing w:after="0" w:line="240" w:lineRule="auto"/>
        <w:rPr>
          <w:i/>
          <w:iCs/>
        </w:rPr>
      </w:pPr>
      <w:r w:rsidRPr="00A15D7B">
        <w:rPr>
          <w:i/>
          <w:iCs/>
        </w:rPr>
        <w:t>Curren</w:t>
      </w:r>
      <w:r w:rsidR="00A15D7B">
        <w:rPr>
          <w:i/>
          <w:iCs/>
        </w:rPr>
        <w:t>t work and resources</w:t>
      </w:r>
      <w:r w:rsidRPr="00A15D7B">
        <w:rPr>
          <w:i/>
          <w:iCs/>
        </w:rPr>
        <w:t>:</w:t>
      </w:r>
    </w:p>
    <w:p w14:paraId="74980F3F" w14:textId="1744D048" w:rsidR="00A15D7B" w:rsidRDefault="0009550D" w:rsidP="000F4C11">
      <w:pPr>
        <w:spacing w:after="0" w:line="240" w:lineRule="auto"/>
      </w:pPr>
      <w:r>
        <w:t>Each</w:t>
      </w:r>
      <w:r w:rsidR="00054FC2">
        <w:t xml:space="preserve"> region </w:t>
      </w:r>
      <w:r w:rsidR="00B944CF">
        <w:t>has</w:t>
      </w:r>
      <w:r w:rsidR="00054FC2">
        <w:t xml:space="preserve"> different work </w:t>
      </w:r>
      <w:r>
        <w:t xml:space="preserve">being </w:t>
      </w:r>
      <w:r w:rsidR="00695EC0">
        <w:t>conducted</w:t>
      </w:r>
      <w:r>
        <w:t xml:space="preserve"> at the local level. It is useful to assess ongoing projects and potential partnerships</w:t>
      </w:r>
      <w:r w:rsidR="00B944CF">
        <w:t xml:space="preserve"> (</w:t>
      </w:r>
      <w:r w:rsidR="00695EC0">
        <w:t xml:space="preserve">also see the </w:t>
      </w:r>
      <w:r w:rsidR="00C27171">
        <w:t>“Identifying and engaging potential partners” section of this document</w:t>
      </w:r>
      <w:r w:rsidR="00B944CF">
        <w:t>)</w:t>
      </w:r>
      <w:r>
        <w:t>. For instance, many universities and colleges will have environmental sciences or conservation programs. There also may be ongoing work from federal grants in your region. Both th</w:t>
      </w:r>
      <w:r w:rsidR="00DD6536">
        <w:t xml:space="preserve">e </w:t>
      </w:r>
      <w:r w:rsidR="00DD6536" w:rsidRPr="00DD6536">
        <w:t>Climate-Ready States &amp; Cities Initiative</w:t>
      </w:r>
      <w:r w:rsidR="00753CDA">
        <w:t xml:space="preserve"> (CRSCI)</w:t>
      </w:r>
      <w:r w:rsidR="00E10E38">
        <w:rPr>
          <w:rStyle w:val="FootnoteReference"/>
        </w:rPr>
        <w:footnoteReference w:id="4"/>
      </w:r>
      <w:r w:rsidR="00DD6536" w:rsidRPr="00DD6536">
        <w:t xml:space="preserve"> </w:t>
      </w:r>
      <w:r w:rsidR="00DD6536">
        <w:t xml:space="preserve">and the </w:t>
      </w:r>
      <w:r w:rsidR="00753CDA">
        <w:t xml:space="preserve">National </w:t>
      </w:r>
      <w:r w:rsidR="00DD6536">
        <w:t xml:space="preserve">Environmental Public Health Tracking </w:t>
      </w:r>
      <w:r w:rsidR="00753CDA">
        <w:t xml:space="preserve">(EPHT) </w:t>
      </w:r>
      <w:r w:rsidR="00DD6536">
        <w:t>Program</w:t>
      </w:r>
      <w:r w:rsidR="00E10E38">
        <w:rPr>
          <w:rStyle w:val="FootnoteReference"/>
        </w:rPr>
        <w:footnoteReference w:id="5"/>
      </w:r>
      <w:r w:rsidR="00DD6536">
        <w:t xml:space="preserve"> have </w:t>
      </w:r>
      <w:r w:rsidR="00A15D7B">
        <w:t>state-level</w:t>
      </w:r>
      <w:r w:rsidR="00DD6536">
        <w:t xml:space="preserve"> grant recipients </w:t>
      </w:r>
      <w:r w:rsidR="00A15D7B">
        <w:t xml:space="preserve">throughout the country. These groups are involved in efforts that could provide the groundwork for any initiatives aimed at worker populations. </w:t>
      </w:r>
      <w:r w:rsidR="00B745B2">
        <w:t xml:space="preserve">They are also resources that could help you </w:t>
      </w:r>
      <w:r w:rsidR="00695EC0">
        <w:t>establish</w:t>
      </w:r>
      <w:r w:rsidR="00B745B2">
        <w:t xml:space="preserve"> the state of the climate in your region.</w:t>
      </w:r>
    </w:p>
    <w:p w14:paraId="4634DAF3" w14:textId="77777777" w:rsidR="00A15D7B" w:rsidRDefault="00A15D7B" w:rsidP="000F4C11">
      <w:pPr>
        <w:spacing w:after="0" w:line="240" w:lineRule="auto"/>
      </w:pPr>
    </w:p>
    <w:p w14:paraId="3555078E" w14:textId="77777777" w:rsidR="00A15D7B" w:rsidRPr="00A15D7B" w:rsidRDefault="00A15D7B" w:rsidP="000F4C11">
      <w:pPr>
        <w:spacing w:after="0" w:line="240" w:lineRule="auto"/>
        <w:rPr>
          <w:i/>
          <w:iCs/>
        </w:rPr>
      </w:pPr>
      <w:r w:rsidRPr="00A15D7B">
        <w:rPr>
          <w:i/>
          <w:iCs/>
        </w:rPr>
        <w:t>State climatologists:</w:t>
      </w:r>
    </w:p>
    <w:p w14:paraId="09E38908" w14:textId="2B12B097" w:rsidR="00A15D7B" w:rsidRDefault="00A15D7B" w:rsidP="000F4C11">
      <w:pPr>
        <w:spacing w:after="0" w:line="240" w:lineRule="auto"/>
      </w:pPr>
      <w:r>
        <w:lastRenderedPageBreak/>
        <w:t>Most states have a state climatologist whose job it is to study climatic changes and variability and predict the effects of weather and climate for economic</w:t>
      </w:r>
      <w:r w:rsidR="0014727F">
        <w:t xml:space="preserve"> and other</w:t>
      </w:r>
      <w:r>
        <w:t xml:space="preserve"> purposes.</w:t>
      </w:r>
      <w:r w:rsidR="00B944CF">
        <w:rPr>
          <w:rStyle w:val="FootnoteReference"/>
        </w:rPr>
        <w:footnoteReference w:id="6"/>
      </w:r>
      <w:r>
        <w:t xml:space="preserve"> The state climatologist is a potential informational resource as well as someone with a vested interest in </w:t>
      </w:r>
      <w:r w:rsidR="00753CDA">
        <w:t xml:space="preserve">how climate change will affect workers and the economy. Connecting with your state climatologist may provide opportunities to leverage existing resources or collaborate on future initiatives. </w:t>
      </w:r>
      <w:r w:rsidR="00784B99">
        <w:t xml:space="preserve">This person may also be aware of </w:t>
      </w:r>
      <w:r w:rsidR="00292752">
        <w:t xml:space="preserve">existing </w:t>
      </w:r>
      <w:r w:rsidR="00FA2EA8">
        <w:t xml:space="preserve">outreach, analysis, or </w:t>
      </w:r>
      <w:r w:rsidR="00292752">
        <w:t xml:space="preserve">mitigation efforts within other branches of state or local government. </w:t>
      </w:r>
    </w:p>
    <w:p w14:paraId="3FE21DBA" w14:textId="609B4EB2" w:rsidR="000A7695" w:rsidRDefault="000A7695" w:rsidP="000F4C11">
      <w:pPr>
        <w:spacing w:after="0" w:line="240" w:lineRule="auto"/>
      </w:pPr>
    </w:p>
    <w:p w14:paraId="4126F29B" w14:textId="2AC8A684" w:rsidR="000A7695" w:rsidRDefault="000A7695" w:rsidP="000F4C11">
      <w:pPr>
        <w:spacing w:after="0" w:line="240" w:lineRule="auto"/>
      </w:pPr>
      <w:r w:rsidRPr="000A7695">
        <w:rPr>
          <w:i/>
          <w:iCs/>
        </w:rPr>
        <w:t>Region specific issues:</w:t>
      </w:r>
      <w:r>
        <w:t xml:space="preserve"> [</w:t>
      </w:r>
      <w:r w:rsidRPr="000A7695">
        <w:rPr>
          <w:highlight w:val="yellow"/>
        </w:rPr>
        <w:t>Example, housing in Wisconsin</w:t>
      </w:r>
      <w:r>
        <w:t>]</w:t>
      </w:r>
    </w:p>
    <w:p w14:paraId="3EA509BA" w14:textId="5C72F052" w:rsidR="00A15D7B" w:rsidRDefault="00A15D7B" w:rsidP="000F4C11">
      <w:pPr>
        <w:spacing w:after="0" w:line="240" w:lineRule="auto"/>
      </w:pPr>
    </w:p>
    <w:p w14:paraId="05010CA0" w14:textId="2AF4E58E" w:rsidR="00FB66E3" w:rsidRPr="0071246B" w:rsidRDefault="00FB66E3" w:rsidP="005B27DF">
      <w:pPr>
        <w:pStyle w:val="ListParagraph"/>
        <w:numPr>
          <w:ilvl w:val="1"/>
          <w:numId w:val="1"/>
        </w:numPr>
        <w:spacing w:after="0" w:line="240" w:lineRule="auto"/>
        <w:rPr>
          <w:color w:val="2E74B5" w:themeColor="accent5" w:themeShade="BF"/>
        </w:rPr>
      </w:pPr>
      <w:r w:rsidRPr="0071246B">
        <w:rPr>
          <w:color w:val="2E74B5" w:themeColor="accent5" w:themeShade="BF"/>
        </w:rPr>
        <w:t xml:space="preserve">Add Brief description of identifying work-related </w:t>
      </w:r>
      <w:r w:rsidR="004E068C" w:rsidRPr="0071246B">
        <w:rPr>
          <w:color w:val="2E74B5" w:themeColor="accent5" w:themeShade="BF"/>
          <w:highlight w:val="cyan"/>
        </w:rPr>
        <w:t>(Marija)</w:t>
      </w:r>
    </w:p>
    <w:p w14:paraId="0892F02F" w14:textId="74CDF98F" w:rsidR="00FB66E3" w:rsidRPr="0071246B" w:rsidRDefault="00FB66E3" w:rsidP="00FB66E3">
      <w:pPr>
        <w:pStyle w:val="ListParagraph"/>
        <w:numPr>
          <w:ilvl w:val="2"/>
          <w:numId w:val="1"/>
        </w:numPr>
        <w:spacing w:after="0" w:line="240" w:lineRule="auto"/>
        <w:rPr>
          <w:color w:val="2E74B5" w:themeColor="accent5" w:themeShade="BF"/>
        </w:rPr>
      </w:pPr>
      <w:r w:rsidRPr="0071246B">
        <w:rPr>
          <w:color w:val="2E74B5" w:themeColor="accent5" w:themeShade="BF"/>
        </w:rPr>
        <w:t>Inclusion / reference to Terry Bunn paper</w:t>
      </w:r>
    </w:p>
    <w:p w14:paraId="1CEBCBA0" w14:textId="28F4C700" w:rsidR="00E71D41" w:rsidRPr="0071246B" w:rsidRDefault="00E71D41" w:rsidP="00FB66E3">
      <w:pPr>
        <w:pStyle w:val="ListParagraph"/>
        <w:numPr>
          <w:ilvl w:val="2"/>
          <w:numId w:val="1"/>
        </w:numPr>
        <w:spacing w:after="0" w:line="240" w:lineRule="auto"/>
        <w:rPr>
          <w:color w:val="2E74B5" w:themeColor="accent5" w:themeShade="BF"/>
        </w:rPr>
      </w:pPr>
      <w:r w:rsidRPr="0071246B">
        <w:rPr>
          <w:color w:val="2E74B5" w:themeColor="accent5" w:themeShade="BF"/>
        </w:rPr>
        <w:t>Cite CSTE White paper – syndromic guidance document and example</w:t>
      </w:r>
    </w:p>
    <w:p w14:paraId="5E07BC43" w14:textId="69CE4DA0" w:rsidR="00F51F46" w:rsidRDefault="00F51F46" w:rsidP="00F51F46">
      <w:pPr>
        <w:pStyle w:val="ListParagraph"/>
        <w:spacing w:after="0" w:line="240" w:lineRule="auto"/>
        <w:ind w:left="360"/>
        <w:rPr>
          <w:color w:val="2E74B5" w:themeColor="accent5" w:themeShade="BF"/>
        </w:rPr>
      </w:pPr>
    </w:p>
    <w:p w14:paraId="47B3CB18" w14:textId="77777777" w:rsidR="00617252" w:rsidRDefault="00F51F46" w:rsidP="00F51F46">
      <w:pPr>
        <w:spacing w:after="0" w:line="240" w:lineRule="auto"/>
      </w:pPr>
      <w:r>
        <w:t>There is no single</w:t>
      </w:r>
      <w:r>
        <w:t xml:space="preserve"> source of data </w:t>
      </w:r>
      <w:r>
        <w:t xml:space="preserve">that </w:t>
      </w:r>
      <w:r>
        <w:t xml:space="preserve">is available </w:t>
      </w:r>
      <w:r>
        <w:t>that can</w:t>
      </w:r>
      <w:r>
        <w:t xml:space="preserve"> identify</w:t>
      </w:r>
      <w:r>
        <w:t xml:space="preserve"> all</w:t>
      </w:r>
      <w:r>
        <w:t xml:space="preserve"> work-related injuries and illnesses</w:t>
      </w:r>
      <w:r>
        <w:t xml:space="preserve"> and</w:t>
      </w:r>
      <w:r>
        <w:t xml:space="preserve"> multiple data sources are often </w:t>
      </w:r>
      <w:r>
        <w:t>needed</w:t>
      </w:r>
      <w:r>
        <w:t xml:space="preserve"> to help provide information on the distribution of work-related illnesses and injuries.</w:t>
      </w:r>
      <w:r>
        <w:rPr>
          <w:rStyle w:val="FootnoteReference"/>
        </w:rPr>
        <w:footnoteReference w:id="7"/>
      </w:r>
      <w:r w:rsidRPr="006F1EBD">
        <w:rPr>
          <w:vertAlign w:val="superscript"/>
        </w:rPr>
        <w:t>,</w:t>
      </w:r>
      <w:r>
        <w:rPr>
          <w:rStyle w:val="FootnoteReference"/>
        </w:rPr>
        <w:footnoteReference w:id="8"/>
      </w:r>
      <w:r>
        <w:rPr>
          <w:vertAlign w:val="superscript"/>
        </w:rPr>
        <w:t xml:space="preserve"> </w:t>
      </w:r>
      <w:r>
        <w:rPr>
          <w:vertAlign w:val="superscript"/>
        </w:rPr>
        <w:t xml:space="preserve"> </w:t>
      </w:r>
      <w:r>
        <w:t>Therefore,</w:t>
      </w:r>
      <w:r>
        <w:t xml:space="preserve"> states need to identify the data sources they have access </w:t>
      </w:r>
      <w:r>
        <w:t>to</w:t>
      </w:r>
      <w:r>
        <w:t xml:space="preserve"> </w:t>
      </w:r>
      <w:r w:rsidR="00617252">
        <w:t xml:space="preserve">in their jurisdiction </w:t>
      </w:r>
      <w:r>
        <w:t xml:space="preserve">and what variables are available in those data sources to help identify work-related injuries and illnesses. </w:t>
      </w:r>
    </w:p>
    <w:p w14:paraId="60CBB8B4" w14:textId="77777777" w:rsidR="00617252" w:rsidRDefault="00617252" w:rsidP="00F51F46">
      <w:pPr>
        <w:spacing w:after="0" w:line="240" w:lineRule="auto"/>
      </w:pPr>
    </w:p>
    <w:p w14:paraId="47FD7697" w14:textId="29E1FD44" w:rsidR="00617252" w:rsidRDefault="00F51F46" w:rsidP="00F51F46">
      <w:pPr>
        <w:spacing w:after="0" w:line="240" w:lineRule="auto"/>
      </w:pPr>
      <w:r>
        <w:t xml:space="preserve">The table below lists the most commonly used data sources for occupational health surveillance along with </w:t>
      </w:r>
      <w:r w:rsidR="00617252">
        <w:t xml:space="preserve">example </w:t>
      </w:r>
      <w:r>
        <w:t>variables</w:t>
      </w:r>
      <w:r w:rsidR="00041542">
        <w:t>,</w:t>
      </w:r>
      <w:r w:rsidR="00617252">
        <w:t xml:space="preserve"> and references</w:t>
      </w:r>
      <w:r w:rsidR="00041542">
        <w:t>,</w:t>
      </w:r>
      <w:r w:rsidR="00617252">
        <w:t xml:space="preserve"> that</w:t>
      </w:r>
      <w:r>
        <w:t xml:space="preserve"> may be used to</w:t>
      </w:r>
      <w:r w:rsidR="00617252">
        <w:t xml:space="preserve"> help determine</w:t>
      </w:r>
      <w:r>
        <w:t xml:space="preserve"> work-relatedness. It should be noted that these variables may </w:t>
      </w:r>
      <w:r w:rsidR="00B178D7">
        <w:t>differ</w:t>
      </w:r>
      <w:r>
        <w:t xml:space="preserve"> by state</w:t>
      </w:r>
      <w:r w:rsidR="00041542">
        <w:t>,</w:t>
      </w:r>
      <w:r w:rsidR="00617252">
        <w:t xml:space="preserve"> as </w:t>
      </w:r>
      <w:r w:rsidR="00617252">
        <w:t>states often have access to different data sources</w:t>
      </w:r>
      <w:r w:rsidR="00617252">
        <w:t>;</w:t>
      </w:r>
      <w:r w:rsidR="00617252">
        <w:t xml:space="preserve"> information for similar data sources may be collected differently state-to-state</w:t>
      </w:r>
      <w:r w:rsidR="00617252">
        <w:t>; and</w:t>
      </w:r>
      <w:r w:rsidR="00617252">
        <w:t xml:space="preserve"> </w:t>
      </w:r>
      <w:r w:rsidR="00617252">
        <w:t>d</w:t>
      </w:r>
      <w:r w:rsidR="00617252" w:rsidRPr="00C33F9B">
        <w:t xml:space="preserve">ata </w:t>
      </w:r>
      <w:r w:rsidR="00617252">
        <w:t xml:space="preserve">may </w:t>
      </w:r>
      <w:r w:rsidR="00617252" w:rsidRPr="00C33F9B">
        <w:t>vary state-to-state as different regions of the country experience different types of work-related injuries and illnesses.</w:t>
      </w:r>
      <w:r w:rsidR="00617252">
        <w:rPr>
          <w:rStyle w:val="FootnoteReference"/>
        </w:rPr>
        <w:footnoteReference w:id="9"/>
      </w:r>
    </w:p>
    <w:p w14:paraId="18F869B0" w14:textId="77777777" w:rsidR="00F51F46" w:rsidRDefault="00F51F46" w:rsidP="00F51F46">
      <w:pPr>
        <w:spacing w:after="0" w:line="240" w:lineRule="auto"/>
      </w:pPr>
    </w:p>
    <w:p w14:paraId="0CFB4BF9" w14:textId="77777777" w:rsidR="00F51F46" w:rsidRDefault="00F51F46" w:rsidP="00F51F46">
      <w:pPr>
        <w:spacing w:after="0" w:line="240" w:lineRule="auto"/>
      </w:pPr>
      <w:r w:rsidRPr="00FB535A">
        <w:rPr>
          <w:b/>
          <w:bCs/>
        </w:rPr>
        <w:t>Table</w:t>
      </w:r>
      <w:r>
        <w:t>. Data sources containing work-related variables</w:t>
      </w:r>
    </w:p>
    <w:p w14:paraId="1F9E4A6E" w14:textId="77777777" w:rsidR="00F51F46" w:rsidRDefault="00F51F46" w:rsidP="00F51F46">
      <w:pPr>
        <w:spacing w:after="0" w:line="240" w:lineRule="auto"/>
      </w:pPr>
    </w:p>
    <w:tbl>
      <w:tblPr>
        <w:tblStyle w:val="TableGrid"/>
        <w:tblW w:w="0" w:type="auto"/>
        <w:tblLook w:val="04A0" w:firstRow="1" w:lastRow="0" w:firstColumn="1" w:lastColumn="0" w:noHBand="0" w:noVBand="1"/>
      </w:tblPr>
      <w:tblGrid>
        <w:gridCol w:w="1795"/>
        <w:gridCol w:w="1710"/>
        <w:gridCol w:w="3455"/>
        <w:gridCol w:w="2390"/>
      </w:tblGrid>
      <w:tr w:rsidR="00F51F46" w:rsidRPr="008635C5" w14:paraId="516B92E9" w14:textId="77777777" w:rsidTr="003D5EDB">
        <w:tc>
          <w:tcPr>
            <w:tcW w:w="1795" w:type="dxa"/>
            <w:shd w:val="clear" w:color="auto" w:fill="D9D9D9" w:themeFill="background1" w:themeFillShade="D9"/>
          </w:tcPr>
          <w:p w14:paraId="169A0F91" w14:textId="77777777" w:rsidR="00F51F46" w:rsidRPr="008635C5" w:rsidRDefault="00F51F46" w:rsidP="003D5EDB">
            <w:pPr>
              <w:rPr>
                <w:b/>
                <w:bCs/>
              </w:rPr>
            </w:pPr>
            <w:r w:rsidRPr="008635C5">
              <w:rPr>
                <w:b/>
                <w:bCs/>
              </w:rPr>
              <w:t>Data Source</w:t>
            </w:r>
          </w:p>
        </w:tc>
        <w:tc>
          <w:tcPr>
            <w:tcW w:w="1710" w:type="dxa"/>
            <w:shd w:val="clear" w:color="auto" w:fill="D9D9D9" w:themeFill="background1" w:themeFillShade="D9"/>
          </w:tcPr>
          <w:p w14:paraId="2F53EA98" w14:textId="77777777" w:rsidR="00F51F46" w:rsidRPr="008635C5" w:rsidRDefault="00F51F46" w:rsidP="003D5EDB">
            <w:pPr>
              <w:rPr>
                <w:b/>
                <w:bCs/>
              </w:rPr>
            </w:pPr>
            <w:r>
              <w:rPr>
                <w:b/>
                <w:bCs/>
              </w:rPr>
              <w:t>Collected By</w:t>
            </w:r>
          </w:p>
        </w:tc>
        <w:tc>
          <w:tcPr>
            <w:tcW w:w="3455" w:type="dxa"/>
            <w:shd w:val="clear" w:color="auto" w:fill="D9D9D9" w:themeFill="background1" w:themeFillShade="D9"/>
          </w:tcPr>
          <w:p w14:paraId="415B968C" w14:textId="77777777" w:rsidR="00F51F46" w:rsidRPr="008635C5" w:rsidRDefault="00F51F46" w:rsidP="003D5EDB">
            <w:pPr>
              <w:rPr>
                <w:b/>
                <w:bCs/>
              </w:rPr>
            </w:pPr>
            <w:r w:rsidRPr="008635C5">
              <w:rPr>
                <w:b/>
                <w:bCs/>
              </w:rPr>
              <w:t>Possible Work Variables*</w:t>
            </w:r>
          </w:p>
        </w:tc>
        <w:tc>
          <w:tcPr>
            <w:tcW w:w="2390" w:type="dxa"/>
            <w:shd w:val="clear" w:color="auto" w:fill="D9D9D9" w:themeFill="background1" w:themeFillShade="D9"/>
          </w:tcPr>
          <w:p w14:paraId="71AB3DB7" w14:textId="77777777" w:rsidR="00F51F46" w:rsidRPr="008635C5" w:rsidRDefault="00F51F46" w:rsidP="003D5EDB">
            <w:pPr>
              <w:rPr>
                <w:b/>
                <w:bCs/>
              </w:rPr>
            </w:pPr>
            <w:r>
              <w:rPr>
                <w:b/>
                <w:bCs/>
              </w:rPr>
              <w:t>References</w:t>
            </w:r>
          </w:p>
        </w:tc>
      </w:tr>
      <w:tr w:rsidR="00F51F46" w14:paraId="3659F7EB" w14:textId="77777777" w:rsidTr="003D5EDB">
        <w:tc>
          <w:tcPr>
            <w:tcW w:w="1795" w:type="dxa"/>
          </w:tcPr>
          <w:p w14:paraId="26EFD12F" w14:textId="77777777" w:rsidR="00F51F46" w:rsidRDefault="00F51F46" w:rsidP="003D5EDB">
            <w:r>
              <w:t>Emergency and Hospital Discharge Data</w:t>
            </w:r>
          </w:p>
        </w:tc>
        <w:tc>
          <w:tcPr>
            <w:tcW w:w="1710" w:type="dxa"/>
          </w:tcPr>
          <w:p w14:paraId="5938B810" w14:textId="77777777" w:rsidR="00F51F46" w:rsidRDefault="00F51F46" w:rsidP="003D5EDB">
            <w:r>
              <w:t>State health department</w:t>
            </w:r>
          </w:p>
        </w:tc>
        <w:tc>
          <w:tcPr>
            <w:tcW w:w="3455" w:type="dxa"/>
          </w:tcPr>
          <w:p w14:paraId="6FFA1C4B" w14:textId="77777777" w:rsidR="00F51F46" w:rsidRDefault="00F51F46" w:rsidP="003D5EDB">
            <w:r>
              <w:t xml:space="preserve">Workers’ Compensation as primary payer; ICD-codes in discharge diagnosis (disease conditions or indicating work-relatedness); V- and Z- codes indicating work-relatedness </w:t>
            </w:r>
          </w:p>
        </w:tc>
        <w:tc>
          <w:tcPr>
            <w:tcW w:w="2390" w:type="dxa"/>
          </w:tcPr>
          <w:p w14:paraId="691C6B52" w14:textId="77777777" w:rsidR="00F51F46" w:rsidRDefault="00F51F46" w:rsidP="003D5EDB">
            <w:hyperlink r:id="rId14" w:history="1">
              <w:r w:rsidRPr="0060027F">
                <w:rPr>
                  <w:rStyle w:val="Hyperlink"/>
                </w:rPr>
                <w:t>CSTE Occupational Health Indicators How-To Guide</w:t>
              </w:r>
            </w:hyperlink>
            <w:r>
              <w:t>;</w:t>
            </w:r>
          </w:p>
          <w:p w14:paraId="024E0F38" w14:textId="7C40D513" w:rsidR="00F51F46" w:rsidRDefault="00F51F46" w:rsidP="003D5EDB">
            <w:hyperlink r:id="rId15" w:history="1">
              <w:r w:rsidRPr="0060027F">
                <w:rPr>
                  <w:rStyle w:val="Hyperlink"/>
                </w:rPr>
                <w:t>Identification of Work-Related Injuries (Bush et al)</w:t>
              </w:r>
            </w:hyperlink>
          </w:p>
          <w:p w14:paraId="07AA9670" w14:textId="77777777" w:rsidR="00F51F46" w:rsidRDefault="00F51F46" w:rsidP="003D5EDB"/>
        </w:tc>
      </w:tr>
      <w:tr w:rsidR="00F51F46" w14:paraId="19C3FBDA" w14:textId="77777777" w:rsidTr="003D5EDB">
        <w:tc>
          <w:tcPr>
            <w:tcW w:w="1795" w:type="dxa"/>
          </w:tcPr>
          <w:p w14:paraId="3488C9CE" w14:textId="77777777" w:rsidR="00F51F46" w:rsidRDefault="00F51F46" w:rsidP="003D5EDB">
            <w:r>
              <w:lastRenderedPageBreak/>
              <w:t>Death Certificates</w:t>
            </w:r>
          </w:p>
        </w:tc>
        <w:tc>
          <w:tcPr>
            <w:tcW w:w="1710" w:type="dxa"/>
          </w:tcPr>
          <w:p w14:paraId="7EB2AD69" w14:textId="77777777" w:rsidR="00F51F46" w:rsidRDefault="00F51F46" w:rsidP="003D5EDB">
            <w:r>
              <w:t>State vital statistics</w:t>
            </w:r>
          </w:p>
        </w:tc>
        <w:tc>
          <w:tcPr>
            <w:tcW w:w="3455" w:type="dxa"/>
          </w:tcPr>
          <w:p w14:paraId="27B3A396" w14:textId="77777777" w:rsidR="00F51F46" w:rsidRDefault="00F51F46" w:rsidP="003D5EDB">
            <w:r>
              <w:t>Industry and occupation free text fields; location of death; place of injury; employer name and address; flag for injury at work</w:t>
            </w:r>
          </w:p>
        </w:tc>
        <w:tc>
          <w:tcPr>
            <w:tcW w:w="2390" w:type="dxa"/>
          </w:tcPr>
          <w:p w14:paraId="31977082" w14:textId="77777777" w:rsidR="00F51F46" w:rsidRDefault="00F51F46" w:rsidP="003D5EDB"/>
        </w:tc>
      </w:tr>
      <w:tr w:rsidR="00F51F46" w14:paraId="7EF203E7" w14:textId="77777777" w:rsidTr="003D5EDB">
        <w:tc>
          <w:tcPr>
            <w:tcW w:w="1795" w:type="dxa"/>
          </w:tcPr>
          <w:p w14:paraId="0EA19EC2" w14:textId="77777777" w:rsidR="00F51F46" w:rsidRDefault="00F51F46" w:rsidP="003D5EDB">
            <w:r>
              <w:t>Workers’ Compensation</w:t>
            </w:r>
          </w:p>
        </w:tc>
        <w:tc>
          <w:tcPr>
            <w:tcW w:w="1710" w:type="dxa"/>
          </w:tcPr>
          <w:p w14:paraId="695433AB" w14:textId="77777777" w:rsidR="00F51F46" w:rsidRDefault="00F51F46" w:rsidP="003D5EDB">
            <w:r>
              <w:t>Data owner/manager of WC data in your state</w:t>
            </w:r>
          </w:p>
        </w:tc>
        <w:tc>
          <w:tcPr>
            <w:tcW w:w="3455" w:type="dxa"/>
          </w:tcPr>
          <w:p w14:paraId="5E4F13FE" w14:textId="77777777" w:rsidR="00F51F46" w:rsidRDefault="00F51F46" w:rsidP="003D5EDB">
            <w:r>
              <w:t>All data is work-related by default; industry and occupation available; ICD-codes; keyword search in narratives</w:t>
            </w:r>
          </w:p>
        </w:tc>
        <w:tc>
          <w:tcPr>
            <w:tcW w:w="2390" w:type="dxa"/>
          </w:tcPr>
          <w:p w14:paraId="1ABECE31" w14:textId="77777777" w:rsidR="00F51F46" w:rsidRDefault="00F51F46" w:rsidP="003D5EDB">
            <w:hyperlink r:id="rId16" w:history="1">
              <w:r w:rsidRPr="0060027F">
                <w:rPr>
                  <w:rStyle w:val="Hyperlink"/>
                </w:rPr>
                <w:t>CSTE Occupational Health Indicators How-To Guide</w:t>
              </w:r>
            </w:hyperlink>
            <w:r>
              <w:t>;</w:t>
            </w:r>
          </w:p>
          <w:p w14:paraId="24F8FC41" w14:textId="77777777" w:rsidR="00F51F46" w:rsidRDefault="00F51F46" w:rsidP="003D5EDB"/>
        </w:tc>
      </w:tr>
      <w:tr w:rsidR="00F51F46" w14:paraId="470B94EB" w14:textId="77777777" w:rsidTr="003D5EDB">
        <w:tc>
          <w:tcPr>
            <w:tcW w:w="1795" w:type="dxa"/>
          </w:tcPr>
          <w:p w14:paraId="258CC143" w14:textId="77777777" w:rsidR="00F51F46" w:rsidRDefault="00F51F46" w:rsidP="003D5EDB">
            <w:r>
              <w:t>Syndromic Surveillance (ESSENCE or in-house system)</w:t>
            </w:r>
          </w:p>
        </w:tc>
        <w:tc>
          <w:tcPr>
            <w:tcW w:w="1710" w:type="dxa"/>
          </w:tcPr>
          <w:p w14:paraId="23DEE30F" w14:textId="77777777" w:rsidR="00F51F46" w:rsidRDefault="00F51F46" w:rsidP="003D5EDB">
            <w:r>
              <w:t xml:space="preserve">Liaison in state health department infectious disease program </w:t>
            </w:r>
          </w:p>
        </w:tc>
        <w:tc>
          <w:tcPr>
            <w:tcW w:w="3455" w:type="dxa"/>
          </w:tcPr>
          <w:p w14:paraId="38B9875F" w14:textId="77777777" w:rsidR="00F51F46" w:rsidRDefault="00F51F46" w:rsidP="003D5EDB">
            <w:r>
              <w:t>Chief complaint keyword search; triage notes; ICD-codes (disease conditions or indicating work-relatedness)</w:t>
            </w:r>
          </w:p>
        </w:tc>
        <w:tc>
          <w:tcPr>
            <w:tcW w:w="2390" w:type="dxa"/>
          </w:tcPr>
          <w:p w14:paraId="408B27F2" w14:textId="77777777" w:rsidR="00F51F46" w:rsidRDefault="00F51F46" w:rsidP="003D5EDB">
            <w:hyperlink r:id="rId17" w:history="1">
              <w:r w:rsidRPr="0060027F">
                <w:rPr>
                  <w:rStyle w:val="Hyperlink"/>
                </w:rPr>
                <w:t>CSTE Syndromic Surveillance for Occupational Health Surveillance</w:t>
              </w:r>
            </w:hyperlink>
            <w:r>
              <w:t>;</w:t>
            </w:r>
          </w:p>
          <w:p w14:paraId="35883FFD" w14:textId="77777777" w:rsidR="00F51F46" w:rsidRDefault="00F51F46" w:rsidP="003D5EDB">
            <w:hyperlink r:id="rId18" w:history="1">
              <w:r w:rsidRPr="0060027F">
                <w:rPr>
                  <w:rStyle w:val="Hyperlink"/>
                </w:rPr>
                <w:t>Evaluation of State Based Syndromic (Borjan et al)</w:t>
              </w:r>
            </w:hyperlink>
          </w:p>
        </w:tc>
      </w:tr>
      <w:tr w:rsidR="00F51F46" w14:paraId="79082105" w14:textId="77777777" w:rsidTr="003D5EDB">
        <w:tc>
          <w:tcPr>
            <w:tcW w:w="1795" w:type="dxa"/>
          </w:tcPr>
          <w:p w14:paraId="225CC434" w14:textId="77777777" w:rsidR="00F51F46" w:rsidRDefault="00F51F46" w:rsidP="003D5EDB">
            <w:r>
              <w:t>Survey of Occupational Illnesses (SOII)</w:t>
            </w:r>
          </w:p>
        </w:tc>
        <w:tc>
          <w:tcPr>
            <w:tcW w:w="1710" w:type="dxa"/>
          </w:tcPr>
          <w:p w14:paraId="5BDFC7A5" w14:textId="77777777" w:rsidR="00F51F46" w:rsidRDefault="00F51F46" w:rsidP="003D5EDB">
            <w:hyperlink r:id="rId19" w:history="1">
              <w:r w:rsidRPr="00830AF0">
                <w:rPr>
                  <w:rStyle w:val="Hyperlink"/>
                </w:rPr>
                <w:t>Bureau of Labor Statistics</w:t>
              </w:r>
            </w:hyperlink>
            <w:r>
              <w:t xml:space="preserve"> </w:t>
            </w:r>
          </w:p>
        </w:tc>
        <w:tc>
          <w:tcPr>
            <w:tcW w:w="3455" w:type="dxa"/>
          </w:tcPr>
          <w:p w14:paraId="32FAED18" w14:textId="77777777" w:rsidR="00F51F46" w:rsidRDefault="00F51F46" w:rsidP="003D5EDB">
            <w:r>
              <w:t>Industry and occupation; number of days away from work</w:t>
            </w:r>
          </w:p>
        </w:tc>
        <w:tc>
          <w:tcPr>
            <w:tcW w:w="2390" w:type="dxa"/>
          </w:tcPr>
          <w:p w14:paraId="5F6677A0" w14:textId="77777777" w:rsidR="00F51F46" w:rsidRDefault="00F51F46" w:rsidP="003D5EDB"/>
        </w:tc>
      </w:tr>
      <w:tr w:rsidR="00F51F46" w14:paraId="63428053" w14:textId="77777777" w:rsidTr="003D5EDB">
        <w:tc>
          <w:tcPr>
            <w:tcW w:w="1795" w:type="dxa"/>
          </w:tcPr>
          <w:p w14:paraId="47E7AC3C" w14:textId="77777777" w:rsidR="00F51F46" w:rsidRDefault="00F51F46" w:rsidP="003D5EDB">
            <w:r>
              <w:t>Census of Occupational Injuries (CFOI)</w:t>
            </w:r>
          </w:p>
        </w:tc>
        <w:tc>
          <w:tcPr>
            <w:tcW w:w="1710" w:type="dxa"/>
          </w:tcPr>
          <w:p w14:paraId="1DC75789" w14:textId="77777777" w:rsidR="00F51F46" w:rsidRDefault="00F51F46" w:rsidP="003D5EDB">
            <w:hyperlink r:id="rId20" w:history="1">
              <w:r w:rsidRPr="00830AF0">
                <w:rPr>
                  <w:rStyle w:val="Hyperlink"/>
                </w:rPr>
                <w:t>Bureau of Labor Statistics</w:t>
              </w:r>
            </w:hyperlink>
          </w:p>
        </w:tc>
        <w:tc>
          <w:tcPr>
            <w:tcW w:w="3455" w:type="dxa"/>
          </w:tcPr>
          <w:p w14:paraId="0375DF2A" w14:textId="77777777" w:rsidR="00F51F46" w:rsidRDefault="00F51F46" w:rsidP="003D5EDB">
            <w:r>
              <w:t>Industry and occupation; employee status</w:t>
            </w:r>
          </w:p>
        </w:tc>
        <w:tc>
          <w:tcPr>
            <w:tcW w:w="2390" w:type="dxa"/>
          </w:tcPr>
          <w:p w14:paraId="5BFF112B" w14:textId="77777777" w:rsidR="00F51F46" w:rsidRDefault="00F51F46" w:rsidP="003D5EDB"/>
        </w:tc>
      </w:tr>
      <w:tr w:rsidR="00F51F46" w14:paraId="78017C0F" w14:textId="77777777" w:rsidTr="003D5EDB">
        <w:tc>
          <w:tcPr>
            <w:tcW w:w="1795" w:type="dxa"/>
          </w:tcPr>
          <w:p w14:paraId="0941EAF7" w14:textId="77777777" w:rsidR="00F51F46" w:rsidRDefault="00F51F46" w:rsidP="003D5EDB">
            <w:r>
              <w:t>Trauma Registry</w:t>
            </w:r>
          </w:p>
        </w:tc>
        <w:tc>
          <w:tcPr>
            <w:tcW w:w="1710" w:type="dxa"/>
          </w:tcPr>
          <w:p w14:paraId="40DFAE0B" w14:textId="77777777" w:rsidR="00F51F46" w:rsidRDefault="00F51F46" w:rsidP="003D5EDB">
            <w:r>
              <w:t>State health department</w:t>
            </w:r>
          </w:p>
        </w:tc>
        <w:tc>
          <w:tcPr>
            <w:tcW w:w="3455" w:type="dxa"/>
          </w:tcPr>
          <w:p w14:paraId="6024AB32" w14:textId="77777777" w:rsidR="00F51F46" w:rsidRDefault="00F51F46" w:rsidP="003D5EDB">
            <w:r>
              <w:t>ICD-codes; injury description fields</w:t>
            </w:r>
          </w:p>
        </w:tc>
        <w:tc>
          <w:tcPr>
            <w:tcW w:w="2390" w:type="dxa"/>
          </w:tcPr>
          <w:p w14:paraId="79C876C6" w14:textId="77777777" w:rsidR="00F51F46" w:rsidRDefault="00F51F46" w:rsidP="003D5EDB">
            <w:hyperlink r:id="rId21" w:history="1">
              <w:r w:rsidRPr="00617544">
                <w:rPr>
                  <w:rStyle w:val="Hyperlink"/>
                </w:rPr>
                <w:t>Work-Related Injuries in State Trauma Registry (Bunn et al)</w:t>
              </w:r>
            </w:hyperlink>
            <w:r>
              <w:t xml:space="preserve">; </w:t>
            </w:r>
          </w:p>
          <w:p w14:paraId="1A81936D" w14:textId="77777777" w:rsidR="00F51F46" w:rsidRDefault="00F51F46" w:rsidP="003D5EDB">
            <w:hyperlink r:id="rId22" w:history="1">
              <w:r w:rsidRPr="00BD6503">
                <w:rPr>
                  <w:rStyle w:val="Hyperlink"/>
                </w:rPr>
                <w:t>State Trauma Reg Occ Surv (Sears et al)</w:t>
              </w:r>
            </w:hyperlink>
          </w:p>
        </w:tc>
      </w:tr>
    </w:tbl>
    <w:p w14:paraId="6C0145E1" w14:textId="77777777" w:rsidR="00F51F46" w:rsidRDefault="00F51F46" w:rsidP="00F51F46">
      <w:pPr>
        <w:spacing w:after="0" w:line="240" w:lineRule="auto"/>
      </w:pPr>
      <w:r>
        <w:t>*May vary by state.</w:t>
      </w:r>
    </w:p>
    <w:p w14:paraId="2A84D38F" w14:textId="44B4E606" w:rsidR="00F51F46" w:rsidRPr="00F51F46" w:rsidRDefault="00F51F46" w:rsidP="00F51F46">
      <w:pPr>
        <w:spacing w:after="0" w:line="240" w:lineRule="auto"/>
        <w:rPr>
          <w:color w:val="2E74B5" w:themeColor="accent5" w:themeShade="BF"/>
        </w:rPr>
      </w:pPr>
    </w:p>
    <w:p w14:paraId="6AE93C2F" w14:textId="77777777" w:rsidR="00F51F46" w:rsidRDefault="00F51F46" w:rsidP="00F51F46">
      <w:pPr>
        <w:pStyle w:val="ListParagraph"/>
        <w:spacing w:after="0" w:line="240" w:lineRule="auto"/>
        <w:ind w:left="360"/>
        <w:rPr>
          <w:color w:val="2E74B5" w:themeColor="accent5" w:themeShade="BF"/>
        </w:rPr>
      </w:pPr>
    </w:p>
    <w:p w14:paraId="03DC609A" w14:textId="28BC61FC" w:rsidR="0071246B" w:rsidRDefault="00383EA6" w:rsidP="0071246B">
      <w:pPr>
        <w:pStyle w:val="ListParagraph"/>
        <w:numPr>
          <w:ilvl w:val="0"/>
          <w:numId w:val="1"/>
        </w:numPr>
        <w:spacing w:after="0" w:line="240" w:lineRule="auto"/>
        <w:rPr>
          <w:color w:val="2E74B5" w:themeColor="accent5" w:themeShade="BF"/>
        </w:rPr>
      </w:pPr>
      <w:r w:rsidRPr="0071246B">
        <w:rPr>
          <w:color w:val="2E74B5" w:themeColor="accent5" w:themeShade="BF"/>
        </w:rPr>
        <w:t xml:space="preserve">Considerations for </w:t>
      </w:r>
      <w:r w:rsidR="00E71D41" w:rsidRPr="0071246B">
        <w:rPr>
          <w:color w:val="2E74B5" w:themeColor="accent5" w:themeShade="BF"/>
        </w:rPr>
        <w:t>Climate-Related Occ Health Outcomes</w:t>
      </w:r>
    </w:p>
    <w:p w14:paraId="20EF9305" w14:textId="77777777" w:rsidR="0071246B" w:rsidRDefault="0071246B" w:rsidP="0071246B">
      <w:pPr>
        <w:pStyle w:val="ListParagraph"/>
        <w:spacing w:after="0" w:line="240" w:lineRule="auto"/>
        <w:ind w:left="360"/>
        <w:rPr>
          <w:color w:val="2E74B5" w:themeColor="accent5" w:themeShade="BF"/>
        </w:rPr>
      </w:pPr>
    </w:p>
    <w:p w14:paraId="7FB7918D" w14:textId="731BEBB1" w:rsidR="0071246B" w:rsidRPr="0071246B" w:rsidRDefault="0071246B" w:rsidP="0071246B">
      <w:pPr>
        <w:pStyle w:val="ListParagraph"/>
        <w:spacing w:after="0" w:line="240" w:lineRule="auto"/>
        <w:ind w:left="360"/>
        <w:rPr>
          <w:color w:val="2E74B5" w:themeColor="accent5" w:themeShade="BF"/>
        </w:rPr>
      </w:pPr>
      <w:r>
        <w:t>The data source a jurisdiction chooses to work with will inform the extent to which jurisdictions can identify work-relatedness of the injury or illness. Common data sources include syndromic surveillance, death record data, emergency discharge and hospitalization data, and workers compensation claims. Additional details, including strengths and weaknesses of these data sources are included in the table below.</w:t>
      </w:r>
    </w:p>
    <w:p w14:paraId="22B7F250" w14:textId="77777777" w:rsidR="0071246B" w:rsidRPr="0071246B" w:rsidRDefault="0071246B" w:rsidP="0071246B">
      <w:pPr>
        <w:pStyle w:val="ListParagraph"/>
        <w:spacing w:after="0" w:line="240" w:lineRule="auto"/>
        <w:ind w:left="360"/>
        <w:rPr>
          <w:color w:val="FF0000"/>
        </w:rPr>
      </w:pPr>
    </w:p>
    <w:p w14:paraId="4057C19D" w14:textId="77777777" w:rsidR="0071246B" w:rsidRPr="0071246B" w:rsidRDefault="0071246B" w:rsidP="0071246B">
      <w:pPr>
        <w:spacing w:after="0" w:line="480" w:lineRule="auto"/>
        <w:rPr>
          <w:b/>
          <w:bCs/>
        </w:rPr>
      </w:pPr>
      <w:r w:rsidRPr="0071246B">
        <w:rPr>
          <w:b/>
          <w:bCs/>
        </w:rPr>
        <w:t>Table 1. Data sources to consider, availability, pros and cons:</w:t>
      </w:r>
    </w:p>
    <w:tbl>
      <w:tblPr>
        <w:tblStyle w:val="TableGrid"/>
        <w:tblW w:w="10525" w:type="dxa"/>
        <w:tblLayout w:type="fixed"/>
        <w:tblLook w:val="04A0" w:firstRow="1" w:lastRow="0" w:firstColumn="1" w:lastColumn="0" w:noHBand="0" w:noVBand="1"/>
      </w:tblPr>
      <w:tblGrid>
        <w:gridCol w:w="2335"/>
        <w:gridCol w:w="1710"/>
        <w:gridCol w:w="3153"/>
        <w:gridCol w:w="3327"/>
      </w:tblGrid>
      <w:tr w:rsidR="0071246B" w14:paraId="0939720A" w14:textId="77777777" w:rsidTr="0071246B">
        <w:trPr>
          <w:trHeight w:val="388"/>
        </w:trPr>
        <w:tc>
          <w:tcPr>
            <w:tcW w:w="2335" w:type="dxa"/>
          </w:tcPr>
          <w:p w14:paraId="01AB7EED" w14:textId="77777777" w:rsidR="0071246B" w:rsidRDefault="0071246B" w:rsidP="008F5D5E">
            <w:pPr>
              <w:spacing w:line="480" w:lineRule="auto"/>
              <w:rPr>
                <w:b/>
                <w:bCs/>
              </w:rPr>
            </w:pPr>
            <w:r>
              <w:rPr>
                <w:b/>
                <w:bCs/>
              </w:rPr>
              <w:t>Data Source</w:t>
            </w:r>
          </w:p>
        </w:tc>
        <w:tc>
          <w:tcPr>
            <w:tcW w:w="1710" w:type="dxa"/>
          </w:tcPr>
          <w:p w14:paraId="2B310A3D" w14:textId="77777777" w:rsidR="0071246B" w:rsidRDefault="0071246B" w:rsidP="008F5D5E">
            <w:pPr>
              <w:rPr>
                <w:b/>
                <w:bCs/>
              </w:rPr>
            </w:pPr>
            <w:r>
              <w:rPr>
                <w:b/>
                <w:bCs/>
              </w:rPr>
              <w:t>Available in real time or lag?</w:t>
            </w:r>
          </w:p>
        </w:tc>
        <w:tc>
          <w:tcPr>
            <w:tcW w:w="3153" w:type="dxa"/>
          </w:tcPr>
          <w:p w14:paraId="13628C39" w14:textId="77777777" w:rsidR="0071246B" w:rsidRDefault="0071246B" w:rsidP="008F5D5E">
            <w:pPr>
              <w:spacing w:line="480" w:lineRule="auto"/>
              <w:rPr>
                <w:b/>
                <w:bCs/>
              </w:rPr>
            </w:pPr>
            <w:r>
              <w:rPr>
                <w:b/>
                <w:bCs/>
              </w:rPr>
              <w:t>Pros</w:t>
            </w:r>
          </w:p>
        </w:tc>
        <w:tc>
          <w:tcPr>
            <w:tcW w:w="3327" w:type="dxa"/>
          </w:tcPr>
          <w:p w14:paraId="46AA2AD1" w14:textId="77777777" w:rsidR="0071246B" w:rsidRDefault="0071246B" w:rsidP="008F5D5E">
            <w:pPr>
              <w:spacing w:line="480" w:lineRule="auto"/>
              <w:rPr>
                <w:b/>
                <w:bCs/>
              </w:rPr>
            </w:pPr>
            <w:r>
              <w:rPr>
                <w:b/>
                <w:bCs/>
              </w:rPr>
              <w:t>Cons</w:t>
            </w:r>
          </w:p>
        </w:tc>
      </w:tr>
      <w:tr w:rsidR="0071246B" w14:paraId="6EAC3CE7" w14:textId="77777777" w:rsidTr="0071246B">
        <w:trPr>
          <w:trHeight w:val="1367"/>
        </w:trPr>
        <w:tc>
          <w:tcPr>
            <w:tcW w:w="2335" w:type="dxa"/>
          </w:tcPr>
          <w:p w14:paraId="7BD8A280" w14:textId="77777777" w:rsidR="0071246B" w:rsidRPr="00405DDA" w:rsidRDefault="0071246B" w:rsidP="008F5D5E">
            <w:r w:rsidRPr="00405DDA">
              <w:t>Syndromic Surveillance (ESSENCE System)</w:t>
            </w:r>
          </w:p>
        </w:tc>
        <w:tc>
          <w:tcPr>
            <w:tcW w:w="1710" w:type="dxa"/>
          </w:tcPr>
          <w:p w14:paraId="40DF0388" w14:textId="77777777" w:rsidR="0071246B" w:rsidRPr="00405DDA" w:rsidRDefault="0071246B" w:rsidP="008F5D5E">
            <w:r w:rsidRPr="00405DDA">
              <w:t>Real-time</w:t>
            </w:r>
          </w:p>
        </w:tc>
        <w:tc>
          <w:tcPr>
            <w:tcW w:w="3153" w:type="dxa"/>
          </w:tcPr>
          <w:p w14:paraId="46975C23" w14:textId="77777777" w:rsidR="0071246B" w:rsidRPr="00405DDA" w:rsidRDefault="0071246B" w:rsidP="008F5D5E">
            <w:r>
              <w:t>Available in real time</w:t>
            </w:r>
          </w:p>
        </w:tc>
        <w:tc>
          <w:tcPr>
            <w:tcW w:w="3327" w:type="dxa"/>
          </w:tcPr>
          <w:p w14:paraId="37B67B7D" w14:textId="77777777" w:rsidR="0071246B" w:rsidRPr="00405DDA" w:rsidRDefault="0071246B" w:rsidP="008F5D5E">
            <w:r>
              <w:t xml:space="preserve">May not have enough information to determine if event is work-related. Not all hospitals report into ESSENCE system. Data are preliminary and subject to change. </w:t>
            </w:r>
          </w:p>
        </w:tc>
      </w:tr>
      <w:tr w:rsidR="0071246B" w14:paraId="4150876C" w14:textId="77777777" w:rsidTr="0071246B">
        <w:trPr>
          <w:trHeight w:val="778"/>
        </w:trPr>
        <w:tc>
          <w:tcPr>
            <w:tcW w:w="2335" w:type="dxa"/>
          </w:tcPr>
          <w:p w14:paraId="60A96998" w14:textId="77777777" w:rsidR="0071246B" w:rsidRPr="00405DDA" w:rsidRDefault="0071246B" w:rsidP="008F5D5E">
            <w:r w:rsidRPr="00405DDA">
              <w:lastRenderedPageBreak/>
              <w:t>Death Data</w:t>
            </w:r>
          </w:p>
        </w:tc>
        <w:tc>
          <w:tcPr>
            <w:tcW w:w="1710" w:type="dxa"/>
          </w:tcPr>
          <w:p w14:paraId="5E44D9D6" w14:textId="77777777" w:rsidR="0071246B" w:rsidRPr="00405DDA" w:rsidRDefault="0071246B" w:rsidP="008F5D5E">
            <w:r>
              <w:t>Lag</w:t>
            </w:r>
          </w:p>
        </w:tc>
        <w:tc>
          <w:tcPr>
            <w:tcW w:w="3153" w:type="dxa"/>
          </w:tcPr>
          <w:p w14:paraId="1265DCFB" w14:textId="77777777" w:rsidR="0071246B" w:rsidRPr="00405DDA" w:rsidRDefault="0071246B" w:rsidP="008F5D5E">
            <w:r>
              <w:t xml:space="preserve">Free-text usual industry and occupation available, with census codes available. </w:t>
            </w:r>
          </w:p>
        </w:tc>
        <w:tc>
          <w:tcPr>
            <w:tcW w:w="3327" w:type="dxa"/>
          </w:tcPr>
          <w:p w14:paraId="68DB54C9" w14:textId="77777777" w:rsidR="0071246B" w:rsidRPr="00405DDA" w:rsidRDefault="0071246B" w:rsidP="008F5D5E"/>
        </w:tc>
      </w:tr>
      <w:tr w:rsidR="0071246B" w14:paraId="0A6BF67D" w14:textId="77777777" w:rsidTr="0071246B">
        <w:trPr>
          <w:trHeight w:val="1369"/>
        </w:trPr>
        <w:tc>
          <w:tcPr>
            <w:tcW w:w="2335" w:type="dxa"/>
          </w:tcPr>
          <w:p w14:paraId="4968235C" w14:textId="38A924DB" w:rsidR="0071246B" w:rsidRPr="00405DDA" w:rsidRDefault="0071246B" w:rsidP="008F5D5E">
            <w:r w:rsidRPr="00405DDA">
              <w:t>Emergency Discharge/</w:t>
            </w:r>
            <w:r>
              <w:t xml:space="preserve"> </w:t>
            </w:r>
            <w:r w:rsidRPr="00405DDA">
              <w:t>Hospitalization</w:t>
            </w:r>
          </w:p>
        </w:tc>
        <w:tc>
          <w:tcPr>
            <w:tcW w:w="1710" w:type="dxa"/>
          </w:tcPr>
          <w:p w14:paraId="3B215431" w14:textId="77777777" w:rsidR="0071246B" w:rsidRPr="00405DDA" w:rsidRDefault="0071246B" w:rsidP="008F5D5E">
            <w:r w:rsidRPr="00405DDA">
              <w:t>Lag, depending on jurisdiction</w:t>
            </w:r>
          </w:p>
        </w:tc>
        <w:tc>
          <w:tcPr>
            <w:tcW w:w="3153" w:type="dxa"/>
          </w:tcPr>
          <w:p w14:paraId="08A7B87E" w14:textId="77777777" w:rsidR="0071246B" w:rsidRPr="00405DDA" w:rsidRDefault="0071246B" w:rsidP="008F5D5E">
            <w:r>
              <w:t>Data is well QA’d, reporting from all acute care hospitals in the state, all diagnostic codes affiliated with ED/inpatient visits are available</w:t>
            </w:r>
          </w:p>
        </w:tc>
        <w:tc>
          <w:tcPr>
            <w:tcW w:w="3327" w:type="dxa"/>
          </w:tcPr>
          <w:p w14:paraId="255D6156" w14:textId="77777777" w:rsidR="0071246B" w:rsidRPr="00405DDA" w:rsidRDefault="0071246B" w:rsidP="008F5D5E">
            <w:r>
              <w:t xml:space="preserve">Challenging to identify work-relatedness, </w:t>
            </w:r>
          </w:p>
        </w:tc>
      </w:tr>
      <w:tr w:rsidR="0071246B" w14:paraId="7959C4D3" w14:textId="77777777" w:rsidTr="0071246B">
        <w:trPr>
          <w:trHeight w:val="1916"/>
        </w:trPr>
        <w:tc>
          <w:tcPr>
            <w:tcW w:w="2335" w:type="dxa"/>
          </w:tcPr>
          <w:p w14:paraId="6ADBCF82" w14:textId="77777777" w:rsidR="0071246B" w:rsidRPr="00405DDA" w:rsidRDefault="0071246B" w:rsidP="008F5D5E">
            <w:r>
              <w:t>Workers Compensation Claims</w:t>
            </w:r>
          </w:p>
        </w:tc>
        <w:tc>
          <w:tcPr>
            <w:tcW w:w="1710" w:type="dxa"/>
          </w:tcPr>
          <w:p w14:paraId="0DB48D9D" w14:textId="77777777" w:rsidR="0071246B" w:rsidRPr="00405DDA" w:rsidRDefault="0071246B" w:rsidP="008F5D5E">
            <w:r>
              <w:t>Lag</w:t>
            </w:r>
          </w:p>
        </w:tc>
        <w:tc>
          <w:tcPr>
            <w:tcW w:w="3153" w:type="dxa"/>
          </w:tcPr>
          <w:p w14:paraId="62A97C5A" w14:textId="77777777" w:rsidR="0071246B" w:rsidRPr="00405DDA" w:rsidRDefault="0071246B" w:rsidP="008F5D5E">
            <w:r>
              <w:t xml:space="preserve">Industry and occupation available, employer-related information, billing data, </w:t>
            </w:r>
          </w:p>
        </w:tc>
        <w:tc>
          <w:tcPr>
            <w:tcW w:w="3327" w:type="dxa"/>
          </w:tcPr>
          <w:p w14:paraId="1B146B01" w14:textId="77777777" w:rsidR="0071246B" w:rsidRPr="00405DDA" w:rsidRDefault="0071246B" w:rsidP="008F5D5E">
            <w:r>
              <w:t>Underreporting for less severe illnesses or injuries. Not all workers are covered by workers compensation claim systems; ICD-10 codes are not always reliable and narrative field searches can be time intensive</w:t>
            </w:r>
          </w:p>
        </w:tc>
      </w:tr>
    </w:tbl>
    <w:p w14:paraId="309F5285" w14:textId="06B92500" w:rsidR="00383EA6" w:rsidRPr="0071246B" w:rsidRDefault="00383EA6" w:rsidP="00E71D41">
      <w:pPr>
        <w:pStyle w:val="ListParagraph"/>
        <w:numPr>
          <w:ilvl w:val="1"/>
          <w:numId w:val="1"/>
        </w:numPr>
        <w:spacing w:after="0" w:line="240" w:lineRule="auto"/>
        <w:rPr>
          <w:color w:val="2E74B5" w:themeColor="accent5" w:themeShade="BF"/>
        </w:rPr>
      </w:pPr>
      <w:r w:rsidRPr="0071246B">
        <w:rPr>
          <w:color w:val="2E74B5" w:themeColor="accent5" w:themeShade="BF"/>
        </w:rPr>
        <w:t>Variables that are important for linking/connecting Environmental Exposure Data and Outcome Data</w:t>
      </w:r>
      <w:r w:rsidR="004E068C" w:rsidRPr="0071246B">
        <w:rPr>
          <w:color w:val="2E74B5" w:themeColor="accent5" w:themeShade="BF"/>
        </w:rPr>
        <w:t xml:space="preserve"> </w:t>
      </w:r>
      <w:r w:rsidR="004E068C" w:rsidRPr="0071246B">
        <w:rPr>
          <w:color w:val="2E74B5" w:themeColor="accent5" w:themeShade="BF"/>
          <w:highlight w:val="cyan"/>
        </w:rPr>
        <w:t>(Ximena)</w:t>
      </w:r>
    </w:p>
    <w:p w14:paraId="646E3504" w14:textId="69E25141" w:rsidR="00383EA6" w:rsidRPr="0071246B" w:rsidRDefault="00383EA6" w:rsidP="00383EA6">
      <w:pPr>
        <w:pStyle w:val="ListParagraph"/>
        <w:numPr>
          <w:ilvl w:val="2"/>
          <w:numId w:val="1"/>
        </w:numPr>
        <w:spacing w:after="0" w:line="240" w:lineRule="auto"/>
        <w:rPr>
          <w:color w:val="2E74B5" w:themeColor="accent5" w:themeShade="BF"/>
        </w:rPr>
      </w:pPr>
      <w:r w:rsidRPr="0071246B">
        <w:rPr>
          <w:color w:val="2E74B5" w:themeColor="accent5" w:themeShade="BF"/>
        </w:rPr>
        <w:t>Geographic variables</w:t>
      </w:r>
    </w:p>
    <w:p w14:paraId="2A5409D9" w14:textId="313DE7C0" w:rsidR="00383EA6" w:rsidRPr="0071246B" w:rsidRDefault="00383EA6" w:rsidP="00383EA6">
      <w:pPr>
        <w:pStyle w:val="ListParagraph"/>
        <w:numPr>
          <w:ilvl w:val="2"/>
          <w:numId w:val="1"/>
        </w:numPr>
        <w:spacing w:after="0" w:line="240" w:lineRule="auto"/>
        <w:rPr>
          <w:color w:val="2E74B5" w:themeColor="accent5" w:themeShade="BF"/>
        </w:rPr>
      </w:pPr>
      <w:r w:rsidRPr="0071246B">
        <w:rPr>
          <w:color w:val="2E74B5" w:themeColor="accent5" w:themeShade="BF"/>
        </w:rPr>
        <w:t>Time?</w:t>
      </w:r>
    </w:p>
    <w:p w14:paraId="660BA6E8" w14:textId="012F07A2" w:rsidR="00707AAC" w:rsidRPr="0071246B" w:rsidRDefault="00707AAC" w:rsidP="00707AAC">
      <w:pPr>
        <w:pStyle w:val="ListParagraph"/>
        <w:numPr>
          <w:ilvl w:val="0"/>
          <w:numId w:val="1"/>
        </w:numPr>
        <w:spacing w:after="0" w:line="240" w:lineRule="auto"/>
        <w:rPr>
          <w:color w:val="2E74B5" w:themeColor="accent5" w:themeShade="BF"/>
        </w:rPr>
      </w:pPr>
      <w:r w:rsidRPr="0071246B">
        <w:rPr>
          <w:color w:val="2E74B5" w:themeColor="accent5" w:themeShade="BF"/>
        </w:rPr>
        <w:t xml:space="preserve">Developing case definitions </w:t>
      </w:r>
      <w:r w:rsidR="00BB7F1A" w:rsidRPr="0071246B">
        <w:rPr>
          <w:color w:val="2E74B5" w:themeColor="accent5" w:themeShade="BF"/>
        </w:rPr>
        <w:t xml:space="preserve">for your jurisdiction </w:t>
      </w:r>
    </w:p>
    <w:p w14:paraId="04449391" w14:textId="368936D7" w:rsidR="00FB66E3" w:rsidRPr="0071246B" w:rsidRDefault="00B114BD" w:rsidP="00FB66E3">
      <w:pPr>
        <w:pStyle w:val="ListParagraph"/>
        <w:numPr>
          <w:ilvl w:val="1"/>
          <w:numId w:val="1"/>
        </w:numPr>
        <w:spacing w:after="0" w:line="240" w:lineRule="auto"/>
        <w:rPr>
          <w:color w:val="2E74B5" w:themeColor="accent5" w:themeShade="BF"/>
        </w:rPr>
      </w:pPr>
      <w:r w:rsidRPr="0071246B">
        <w:rPr>
          <w:color w:val="2E74B5" w:themeColor="accent5" w:themeShade="BF"/>
        </w:rPr>
        <w:t>Generalized r</w:t>
      </w:r>
      <w:r w:rsidR="00FB66E3" w:rsidRPr="0071246B">
        <w:rPr>
          <w:color w:val="2E74B5" w:themeColor="accent5" w:themeShade="BF"/>
        </w:rPr>
        <w:t>eminder that there are other climate specific outcomes that are not heat, cold, wildland fires, or floods</w:t>
      </w:r>
      <w:r w:rsidR="00023F5E" w:rsidRPr="0071246B">
        <w:rPr>
          <w:color w:val="2E74B5" w:themeColor="accent5" w:themeShade="BF"/>
        </w:rPr>
        <w:t xml:space="preserve"> that may be more relevant for your given jurisdiction</w:t>
      </w:r>
      <w:r w:rsidR="00FB66E3" w:rsidRPr="0071246B">
        <w:rPr>
          <w:color w:val="2E74B5" w:themeColor="accent5" w:themeShade="BF"/>
        </w:rPr>
        <w:t>.</w:t>
      </w:r>
    </w:p>
    <w:p w14:paraId="05B91E1E" w14:textId="155F10B7" w:rsidR="00BB7F1A" w:rsidRDefault="00BB7F1A" w:rsidP="00BB7F1A">
      <w:pPr>
        <w:pStyle w:val="ListParagraph"/>
        <w:numPr>
          <w:ilvl w:val="1"/>
          <w:numId w:val="1"/>
        </w:numPr>
        <w:spacing w:after="0" w:line="240" w:lineRule="auto"/>
        <w:rPr>
          <w:color w:val="2E74B5" w:themeColor="accent5" w:themeShade="BF"/>
        </w:rPr>
      </w:pPr>
      <w:r w:rsidRPr="0071246B">
        <w:rPr>
          <w:color w:val="2E74B5" w:themeColor="accent5" w:themeShade="BF"/>
        </w:rPr>
        <w:t>Heat-related illness</w:t>
      </w:r>
      <w:r w:rsidR="00A76151" w:rsidRPr="0071246B">
        <w:rPr>
          <w:color w:val="2E74B5" w:themeColor="accent5" w:themeShade="BF"/>
        </w:rPr>
        <w:t xml:space="preserve"> </w:t>
      </w:r>
      <w:r w:rsidR="00A76151" w:rsidRPr="0071246B">
        <w:rPr>
          <w:color w:val="2E74B5" w:themeColor="accent5" w:themeShade="BF"/>
          <w:highlight w:val="cyan"/>
        </w:rPr>
        <w:t>(Kathryn)</w:t>
      </w:r>
    </w:p>
    <w:p w14:paraId="7B10EDC8" w14:textId="77777777" w:rsidR="0071246B" w:rsidRPr="0071246B" w:rsidRDefault="0071246B" w:rsidP="0071246B">
      <w:pPr>
        <w:spacing w:after="0" w:line="240" w:lineRule="auto"/>
        <w:rPr>
          <w:color w:val="2E74B5" w:themeColor="accent5" w:themeShade="BF"/>
        </w:rPr>
      </w:pPr>
    </w:p>
    <w:p w14:paraId="2DB6215B" w14:textId="6F019A0F" w:rsidR="0071246B" w:rsidRDefault="0071246B" w:rsidP="0071246B">
      <w:pPr>
        <w:pStyle w:val="ListParagraph"/>
        <w:spacing w:after="0" w:line="240" w:lineRule="auto"/>
        <w:ind w:left="360"/>
        <w:rPr>
          <w:color w:val="FF0000"/>
        </w:rPr>
      </w:pPr>
      <w:r>
        <w:t>There are a wide-range of heat-related health outcomes, including heat exhaustion, heat stroke, dehydration, and exacerbation of cardiovascular and respiratory conditions. Many health departments track heat-related illness and heat-deaths from ED/Hospitalization data to inform prevention efforts surrounding heat events. While diagnosis codes can identify heat-related illness, identifying work-relatedness can be more challenging to identify within these data. The CSTE OHI indicators group has an occupational heat-related illness indicator, which examines heat-related ED visits with th</w:t>
      </w:r>
      <w:r w:rsidRPr="00E448C6">
        <w:t xml:space="preserve">e primary payer listed </w:t>
      </w:r>
      <w:r>
        <w:t>a</w:t>
      </w:r>
      <w:r w:rsidRPr="00E448C6">
        <w:t xml:space="preserve">s Workers’ Compensation </w:t>
      </w:r>
      <w:r>
        <w:t xml:space="preserve">or </w:t>
      </w:r>
      <w:r w:rsidRPr="00E448C6">
        <w:t xml:space="preserve">if the </w:t>
      </w:r>
      <w:r>
        <w:t>visit</w:t>
      </w:r>
      <w:r w:rsidRPr="00E448C6">
        <w:t xml:space="preserve"> contains </w:t>
      </w:r>
      <w:r>
        <w:t>external</w:t>
      </w:r>
      <w:r w:rsidRPr="00E448C6">
        <w:t xml:space="preserve"> causes of morbidity </w:t>
      </w:r>
      <w:r w:rsidRPr="00E934F8">
        <w:t xml:space="preserve">which indicate a work accident or that the injury occurred at work. </w:t>
      </w:r>
      <w:r w:rsidRPr="0071246B">
        <w:rPr>
          <w:color w:val="FF0000"/>
        </w:rPr>
        <w:t>(cite OHI indicators document).</w:t>
      </w:r>
    </w:p>
    <w:p w14:paraId="2B8023A4" w14:textId="77777777" w:rsidR="0071246B" w:rsidRDefault="0071246B" w:rsidP="0071246B">
      <w:pPr>
        <w:pStyle w:val="ListParagraph"/>
        <w:spacing w:after="0" w:line="240" w:lineRule="auto"/>
        <w:ind w:left="360"/>
      </w:pPr>
    </w:p>
    <w:p w14:paraId="3F2A7A1F" w14:textId="23F75FCD" w:rsidR="0071246B" w:rsidRPr="00384800" w:rsidRDefault="0071246B" w:rsidP="0071246B">
      <w:pPr>
        <w:pStyle w:val="ListParagraph"/>
        <w:spacing w:after="0" w:line="240" w:lineRule="auto"/>
        <w:ind w:left="360"/>
      </w:pPr>
      <w:r>
        <w:t xml:space="preserve">Aside from heat-related ED visits, jurisdictions may choose to monitor a more specific heat-related outcome. Possible heat-related outcomes to consider and affiliated ICD-10 codes can be found within the CSTE Climate Change subcommittee white paper on </w:t>
      </w:r>
      <w:r w:rsidRPr="0071246B">
        <w:rPr>
          <w:i/>
          <w:iCs/>
        </w:rPr>
        <w:t>Heat-Related Illness Syndrome Query: a Guidance Document for Implementing Heat-Related Illness Syndromic Surveillance in Public Health Practice</w:t>
      </w:r>
      <w:r>
        <w:t>. Direct and indirect heat-related outcomes exist; respiratory and cardiovascular complications are more challenging to identify as heat-related. Any estimate of heat-related illness from is likely an underestimate, as excess heat may not be explicitly documented as a contributing factor to the visit/hospitalization/death.</w:t>
      </w:r>
    </w:p>
    <w:p w14:paraId="3D8DBA98" w14:textId="23F75FCD" w:rsidR="00BF2714" w:rsidRPr="0071246B" w:rsidRDefault="004E068C" w:rsidP="00BF2714">
      <w:pPr>
        <w:pStyle w:val="ListParagraph"/>
        <w:numPr>
          <w:ilvl w:val="2"/>
          <w:numId w:val="1"/>
        </w:numPr>
        <w:spacing w:after="0" w:line="240" w:lineRule="auto"/>
        <w:rPr>
          <w:color w:val="2E74B5" w:themeColor="accent5" w:themeShade="BF"/>
        </w:rPr>
      </w:pPr>
      <w:r w:rsidRPr="0071246B">
        <w:rPr>
          <w:color w:val="2E74B5" w:themeColor="accent5" w:themeShade="BF"/>
        </w:rPr>
        <w:t>Exposure Table</w:t>
      </w:r>
    </w:p>
    <w:p w14:paraId="513A7B00" w14:textId="081BCDE3" w:rsidR="001C234A" w:rsidRPr="0071246B" w:rsidRDefault="0071246B" w:rsidP="00BB7F1A">
      <w:pPr>
        <w:pStyle w:val="ListParagraph"/>
        <w:numPr>
          <w:ilvl w:val="2"/>
          <w:numId w:val="1"/>
        </w:numPr>
        <w:spacing w:after="0" w:line="240" w:lineRule="auto"/>
        <w:rPr>
          <w:color w:val="2E74B5" w:themeColor="accent5" w:themeShade="BF"/>
        </w:rPr>
      </w:pPr>
      <w:r>
        <w:rPr>
          <w:color w:val="2E74B5" w:themeColor="accent5" w:themeShade="BF"/>
        </w:rPr>
        <w:t>Case Examples</w:t>
      </w:r>
    </w:p>
    <w:p w14:paraId="66002E38" w14:textId="76962D1F" w:rsidR="00DC692D" w:rsidRPr="0071246B" w:rsidRDefault="00DC692D" w:rsidP="00DC692D">
      <w:pPr>
        <w:pStyle w:val="ListParagraph"/>
        <w:numPr>
          <w:ilvl w:val="3"/>
          <w:numId w:val="1"/>
        </w:numPr>
        <w:spacing w:after="0" w:line="240" w:lineRule="auto"/>
        <w:rPr>
          <w:color w:val="2E74B5" w:themeColor="accent5" w:themeShade="BF"/>
        </w:rPr>
      </w:pPr>
      <w:r w:rsidRPr="0071246B">
        <w:rPr>
          <w:color w:val="2E74B5" w:themeColor="accent5" w:themeShade="BF"/>
        </w:rPr>
        <w:t>Heat-Related Illness example from Louisiana</w:t>
      </w:r>
    </w:p>
    <w:p w14:paraId="675DBF57" w14:textId="7B87A369" w:rsidR="00DC692D" w:rsidRPr="0071246B" w:rsidRDefault="00DC692D" w:rsidP="00DC692D">
      <w:pPr>
        <w:pStyle w:val="ListParagraph"/>
        <w:numPr>
          <w:ilvl w:val="3"/>
          <w:numId w:val="1"/>
        </w:numPr>
        <w:spacing w:after="0" w:line="240" w:lineRule="auto"/>
        <w:rPr>
          <w:color w:val="2E74B5" w:themeColor="accent5" w:themeShade="BF"/>
        </w:rPr>
      </w:pPr>
      <w:r w:rsidRPr="0071246B">
        <w:rPr>
          <w:color w:val="2E74B5" w:themeColor="accent5" w:themeShade="BF"/>
        </w:rPr>
        <w:t xml:space="preserve">Sarah </w:t>
      </w:r>
      <w:proofErr w:type="spellStart"/>
      <w:r w:rsidRPr="0071246B">
        <w:rPr>
          <w:color w:val="2E74B5" w:themeColor="accent5" w:themeShade="BF"/>
        </w:rPr>
        <w:t>Woellner</w:t>
      </w:r>
      <w:proofErr w:type="spellEnd"/>
      <w:r w:rsidRPr="0071246B">
        <w:rPr>
          <w:color w:val="2E74B5" w:themeColor="accent5" w:themeShade="BF"/>
        </w:rPr>
        <w:t xml:space="preserve"> – at SHARP – Washington State, working with RHINO – surveillance. </w:t>
      </w:r>
    </w:p>
    <w:p w14:paraId="1D94FB24" w14:textId="56BE631E" w:rsidR="00DC692D" w:rsidRPr="0071246B" w:rsidRDefault="00DC692D" w:rsidP="00DC692D">
      <w:pPr>
        <w:pStyle w:val="ListParagraph"/>
        <w:numPr>
          <w:ilvl w:val="3"/>
          <w:numId w:val="1"/>
        </w:numPr>
        <w:spacing w:after="0" w:line="240" w:lineRule="auto"/>
        <w:rPr>
          <w:color w:val="2E74B5" w:themeColor="accent5" w:themeShade="BF"/>
        </w:rPr>
      </w:pPr>
      <w:r w:rsidRPr="0071246B">
        <w:rPr>
          <w:color w:val="2E74B5" w:themeColor="accent5" w:themeShade="BF"/>
        </w:rPr>
        <w:lastRenderedPageBreak/>
        <w:t xml:space="preserve">Wisconsin/Washington </w:t>
      </w:r>
      <w:r w:rsidR="00B114BD" w:rsidRPr="0071246B">
        <w:rPr>
          <w:color w:val="2E74B5" w:themeColor="accent5" w:themeShade="BF"/>
        </w:rPr>
        <w:t xml:space="preserve">using </w:t>
      </w:r>
      <w:r w:rsidRPr="0071246B">
        <w:rPr>
          <w:color w:val="2E74B5" w:themeColor="accent5" w:themeShade="BF"/>
        </w:rPr>
        <w:t>Workers Comp for HRI</w:t>
      </w:r>
      <w:r w:rsidR="00023F5E" w:rsidRPr="0071246B">
        <w:rPr>
          <w:color w:val="2E74B5" w:themeColor="accent5" w:themeShade="BF"/>
        </w:rPr>
        <w:t>, retrospective analysis</w:t>
      </w:r>
    </w:p>
    <w:p w14:paraId="7968A660" w14:textId="3680C885" w:rsidR="00BF2714" w:rsidRPr="0071246B" w:rsidRDefault="00BF2714" w:rsidP="00BB7F1A">
      <w:pPr>
        <w:pStyle w:val="ListParagraph"/>
        <w:numPr>
          <w:ilvl w:val="2"/>
          <w:numId w:val="1"/>
        </w:numPr>
        <w:spacing w:after="0" w:line="240" w:lineRule="auto"/>
        <w:rPr>
          <w:color w:val="2E74B5" w:themeColor="accent5" w:themeShade="BF"/>
        </w:rPr>
      </w:pPr>
      <w:r w:rsidRPr="0071246B">
        <w:rPr>
          <w:color w:val="2E74B5" w:themeColor="accent5" w:themeShade="BF"/>
        </w:rPr>
        <w:t>Strengths and limitations</w:t>
      </w:r>
    </w:p>
    <w:p w14:paraId="20F8FB2D" w14:textId="7D5C933B" w:rsidR="003747AA" w:rsidRPr="0071246B" w:rsidRDefault="003747AA" w:rsidP="003747AA">
      <w:pPr>
        <w:pStyle w:val="ListParagraph"/>
        <w:numPr>
          <w:ilvl w:val="2"/>
          <w:numId w:val="1"/>
        </w:numPr>
        <w:spacing w:after="0" w:line="240" w:lineRule="auto"/>
        <w:rPr>
          <w:color w:val="2E74B5" w:themeColor="accent5" w:themeShade="BF"/>
        </w:rPr>
      </w:pPr>
      <w:r w:rsidRPr="0071246B">
        <w:rPr>
          <w:color w:val="2E74B5" w:themeColor="accent5" w:themeShade="BF"/>
        </w:rPr>
        <w:t>Dissemination Strategies</w:t>
      </w:r>
    </w:p>
    <w:p w14:paraId="6389302C" w14:textId="4AC29324" w:rsidR="00023F5E" w:rsidRPr="0071246B" w:rsidRDefault="00023F5E" w:rsidP="00023F5E">
      <w:pPr>
        <w:pStyle w:val="ListParagraph"/>
        <w:numPr>
          <w:ilvl w:val="3"/>
          <w:numId w:val="1"/>
        </w:numPr>
        <w:spacing w:after="0" w:line="240" w:lineRule="auto"/>
        <w:rPr>
          <w:color w:val="2E74B5" w:themeColor="accent5" w:themeShade="BF"/>
        </w:rPr>
      </w:pPr>
      <w:r w:rsidRPr="0071246B">
        <w:rPr>
          <w:color w:val="2E74B5" w:themeColor="accent5" w:themeShade="BF"/>
        </w:rPr>
        <w:t>Webinars, publications</w:t>
      </w:r>
    </w:p>
    <w:p w14:paraId="47D7B001" w14:textId="70EE2929" w:rsidR="00BB7F1A" w:rsidRPr="0071246B" w:rsidRDefault="00BB7F1A" w:rsidP="00BB7F1A">
      <w:pPr>
        <w:pStyle w:val="ListParagraph"/>
        <w:numPr>
          <w:ilvl w:val="1"/>
          <w:numId w:val="1"/>
        </w:numPr>
        <w:spacing w:after="0" w:line="240" w:lineRule="auto"/>
        <w:rPr>
          <w:color w:val="2E74B5" w:themeColor="accent5" w:themeShade="BF"/>
        </w:rPr>
      </w:pPr>
      <w:r w:rsidRPr="0071246B">
        <w:rPr>
          <w:color w:val="2E74B5" w:themeColor="accent5" w:themeShade="BF"/>
        </w:rPr>
        <w:t>Wildland fires</w:t>
      </w:r>
      <w:r w:rsidR="00A76151" w:rsidRPr="0071246B">
        <w:rPr>
          <w:color w:val="2E74B5" w:themeColor="accent5" w:themeShade="BF"/>
        </w:rPr>
        <w:t xml:space="preserve"> </w:t>
      </w:r>
      <w:r w:rsidR="00A76151" w:rsidRPr="0071246B">
        <w:rPr>
          <w:color w:val="2E74B5" w:themeColor="accent5" w:themeShade="BF"/>
          <w:highlight w:val="cyan"/>
        </w:rPr>
        <w:t>(Marija)</w:t>
      </w:r>
    </w:p>
    <w:p w14:paraId="2D3D3B2F" w14:textId="5C8760F7" w:rsidR="00023F5E" w:rsidRPr="0071246B" w:rsidRDefault="00383EA6" w:rsidP="001C234A">
      <w:pPr>
        <w:pStyle w:val="ListParagraph"/>
        <w:numPr>
          <w:ilvl w:val="2"/>
          <w:numId w:val="1"/>
        </w:numPr>
        <w:spacing w:after="0" w:line="240" w:lineRule="auto"/>
        <w:rPr>
          <w:color w:val="2E74B5" w:themeColor="accent5" w:themeShade="BF"/>
        </w:rPr>
      </w:pPr>
      <w:r w:rsidRPr="0071246B">
        <w:rPr>
          <w:color w:val="2E74B5" w:themeColor="accent5" w:themeShade="BF"/>
        </w:rPr>
        <w:t>Link to resources with health outcomes to consider</w:t>
      </w:r>
      <w:r w:rsidR="00023F5E" w:rsidRPr="0071246B">
        <w:rPr>
          <w:color w:val="2E74B5" w:themeColor="accent5" w:themeShade="BF"/>
        </w:rPr>
        <w:t>:</w:t>
      </w:r>
    </w:p>
    <w:p w14:paraId="74597F52" w14:textId="71B6F0DF" w:rsidR="001C234A" w:rsidRPr="0071246B" w:rsidRDefault="00B178D7" w:rsidP="00023F5E">
      <w:pPr>
        <w:pStyle w:val="ListParagraph"/>
        <w:numPr>
          <w:ilvl w:val="3"/>
          <w:numId w:val="1"/>
        </w:numPr>
        <w:spacing w:after="0" w:line="240" w:lineRule="auto"/>
        <w:rPr>
          <w:color w:val="2E74B5" w:themeColor="accent5" w:themeShade="BF"/>
        </w:rPr>
      </w:pPr>
      <w:hyperlink r:id="rId23" w:history="1">
        <w:r w:rsidR="00023F5E" w:rsidRPr="0071246B">
          <w:rPr>
            <w:rStyle w:val="Hyperlink"/>
            <w:color w:val="2E74B5" w:themeColor="accent5" w:themeShade="BF"/>
          </w:rPr>
          <w:t>CSTE Syndromic Surveillance Wildfire Smoke Inhalation Guide</w:t>
        </w:r>
      </w:hyperlink>
      <w:r w:rsidR="00B114BD" w:rsidRPr="0071246B">
        <w:rPr>
          <w:color w:val="2E74B5" w:themeColor="accent5" w:themeShade="BF"/>
        </w:rPr>
        <w:t xml:space="preserve"> </w:t>
      </w:r>
    </w:p>
    <w:p w14:paraId="642D7181" w14:textId="77777777" w:rsidR="004E068C" w:rsidRPr="0071246B" w:rsidRDefault="004E068C" w:rsidP="004E068C">
      <w:pPr>
        <w:pStyle w:val="ListParagraph"/>
        <w:numPr>
          <w:ilvl w:val="2"/>
          <w:numId w:val="1"/>
        </w:numPr>
        <w:spacing w:after="0" w:line="240" w:lineRule="auto"/>
        <w:rPr>
          <w:color w:val="2E74B5" w:themeColor="accent5" w:themeShade="BF"/>
        </w:rPr>
      </w:pPr>
      <w:r w:rsidRPr="0071246B">
        <w:rPr>
          <w:color w:val="2E74B5" w:themeColor="accent5" w:themeShade="BF"/>
        </w:rPr>
        <w:t>Exposure Table</w:t>
      </w:r>
    </w:p>
    <w:p w14:paraId="52770E37" w14:textId="77777777" w:rsidR="00023F5E" w:rsidRPr="0071246B" w:rsidRDefault="001C234A" w:rsidP="00023F5E">
      <w:pPr>
        <w:pStyle w:val="ListParagraph"/>
        <w:numPr>
          <w:ilvl w:val="2"/>
          <w:numId w:val="1"/>
        </w:numPr>
        <w:spacing w:after="0" w:line="240" w:lineRule="auto"/>
        <w:rPr>
          <w:color w:val="2E74B5" w:themeColor="accent5" w:themeShade="BF"/>
        </w:rPr>
      </w:pPr>
      <w:r w:rsidRPr="0071246B">
        <w:rPr>
          <w:color w:val="2E74B5" w:themeColor="accent5" w:themeShade="BF"/>
        </w:rPr>
        <w:t>Examples from jurisdictions</w:t>
      </w:r>
      <w:r w:rsidR="0073629D" w:rsidRPr="0071246B">
        <w:rPr>
          <w:color w:val="2E74B5" w:themeColor="accent5" w:themeShade="BF"/>
        </w:rPr>
        <w:t xml:space="preserve"> and additional resources for creating case definitions</w:t>
      </w:r>
    </w:p>
    <w:p w14:paraId="2FBACE9A" w14:textId="42A2108B" w:rsidR="00023F5E" w:rsidRPr="0071246B" w:rsidRDefault="00023F5E" w:rsidP="00023F5E">
      <w:pPr>
        <w:pStyle w:val="ListParagraph"/>
        <w:numPr>
          <w:ilvl w:val="3"/>
          <w:numId w:val="1"/>
        </w:numPr>
        <w:spacing w:after="0" w:line="240" w:lineRule="auto"/>
        <w:rPr>
          <w:color w:val="2E74B5" w:themeColor="accent5" w:themeShade="BF"/>
        </w:rPr>
      </w:pPr>
      <w:r w:rsidRPr="0071246B">
        <w:rPr>
          <w:color w:val="2E74B5" w:themeColor="accent5" w:themeShade="BF"/>
        </w:rPr>
        <w:t>Oregon case example (may or may not be specific to occupation, need to confirm).</w:t>
      </w:r>
    </w:p>
    <w:p w14:paraId="676A065C" w14:textId="56C2FEE7" w:rsidR="00BF2714" w:rsidRPr="0071246B" w:rsidRDefault="00BF2714" w:rsidP="00BF2714">
      <w:pPr>
        <w:pStyle w:val="ListParagraph"/>
        <w:numPr>
          <w:ilvl w:val="2"/>
          <w:numId w:val="1"/>
        </w:numPr>
        <w:spacing w:after="0" w:line="240" w:lineRule="auto"/>
        <w:rPr>
          <w:color w:val="2E74B5" w:themeColor="accent5" w:themeShade="BF"/>
        </w:rPr>
      </w:pPr>
      <w:r w:rsidRPr="0071246B">
        <w:rPr>
          <w:color w:val="2E74B5" w:themeColor="accent5" w:themeShade="BF"/>
        </w:rPr>
        <w:t>Strengths and limitations</w:t>
      </w:r>
    </w:p>
    <w:p w14:paraId="11B9C2EE" w14:textId="4C0EEA58" w:rsidR="003747AA" w:rsidRPr="0071246B" w:rsidRDefault="003747AA" w:rsidP="00BF2714">
      <w:pPr>
        <w:pStyle w:val="ListParagraph"/>
        <w:numPr>
          <w:ilvl w:val="2"/>
          <w:numId w:val="1"/>
        </w:numPr>
        <w:spacing w:after="0" w:line="240" w:lineRule="auto"/>
        <w:rPr>
          <w:color w:val="2E74B5" w:themeColor="accent5" w:themeShade="BF"/>
        </w:rPr>
      </w:pPr>
      <w:r w:rsidRPr="0071246B">
        <w:rPr>
          <w:color w:val="2E74B5" w:themeColor="accent5" w:themeShade="BF"/>
        </w:rPr>
        <w:t>Dissemination Strategies</w:t>
      </w:r>
    </w:p>
    <w:p w14:paraId="68EB76C3" w14:textId="400D750D" w:rsidR="00BB7F1A" w:rsidRPr="0071246B" w:rsidRDefault="00BB7F1A" w:rsidP="00BB7F1A">
      <w:pPr>
        <w:pStyle w:val="ListParagraph"/>
        <w:numPr>
          <w:ilvl w:val="1"/>
          <w:numId w:val="1"/>
        </w:numPr>
        <w:spacing w:after="0" w:line="240" w:lineRule="auto"/>
        <w:rPr>
          <w:color w:val="2E74B5" w:themeColor="accent5" w:themeShade="BF"/>
        </w:rPr>
      </w:pPr>
      <w:r w:rsidRPr="0071246B">
        <w:rPr>
          <w:color w:val="2E74B5" w:themeColor="accent5" w:themeShade="BF"/>
        </w:rPr>
        <w:t>Floods</w:t>
      </w:r>
      <w:r w:rsidR="00157C9F" w:rsidRPr="0071246B">
        <w:rPr>
          <w:color w:val="2E74B5" w:themeColor="accent5" w:themeShade="BF"/>
        </w:rPr>
        <w:t xml:space="preserve"> </w:t>
      </w:r>
      <w:r w:rsidR="00157C9F" w:rsidRPr="0071246B">
        <w:rPr>
          <w:b/>
          <w:bCs/>
          <w:color w:val="2E74B5" w:themeColor="accent5" w:themeShade="BF"/>
        </w:rPr>
        <w:t>(consider</w:t>
      </w:r>
      <w:r w:rsidR="00B103BA" w:rsidRPr="0071246B">
        <w:rPr>
          <w:b/>
          <w:bCs/>
          <w:color w:val="2E74B5" w:themeColor="accent5" w:themeShade="BF"/>
        </w:rPr>
        <w:t xml:space="preserve"> reframing </w:t>
      </w:r>
      <w:r w:rsidR="00157C9F" w:rsidRPr="0071246B">
        <w:rPr>
          <w:b/>
          <w:bCs/>
          <w:color w:val="2E74B5" w:themeColor="accent5" w:themeShade="BF"/>
        </w:rPr>
        <w:t>to storm, extreme precipitation, weather-related event)</w:t>
      </w:r>
      <w:r w:rsidR="00A76151" w:rsidRPr="0071246B">
        <w:rPr>
          <w:b/>
          <w:bCs/>
          <w:color w:val="2E74B5" w:themeColor="accent5" w:themeShade="BF"/>
        </w:rPr>
        <w:t xml:space="preserve"> </w:t>
      </w:r>
      <w:r w:rsidR="00A76151" w:rsidRPr="0071246B">
        <w:rPr>
          <w:color w:val="2E74B5" w:themeColor="accent5" w:themeShade="BF"/>
          <w:highlight w:val="cyan"/>
        </w:rPr>
        <w:t>(Ximena)</w:t>
      </w:r>
    </w:p>
    <w:p w14:paraId="15D0DF89" w14:textId="182C2C94" w:rsidR="001C234A" w:rsidRPr="0071246B" w:rsidRDefault="00BD0DAE" w:rsidP="001C234A">
      <w:pPr>
        <w:pStyle w:val="ListParagraph"/>
        <w:numPr>
          <w:ilvl w:val="2"/>
          <w:numId w:val="1"/>
        </w:numPr>
        <w:spacing w:after="0" w:line="240" w:lineRule="auto"/>
        <w:rPr>
          <w:color w:val="2E74B5" w:themeColor="accent5" w:themeShade="BF"/>
        </w:rPr>
      </w:pPr>
      <w:r w:rsidRPr="0071246B">
        <w:rPr>
          <w:color w:val="2E74B5" w:themeColor="accent5" w:themeShade="BF"/>
        </w:rPr>
        <w:t>Link to resources with -</w:t>
      </w:r>
      <w:r w:rsidR="001C234A" w:rsidRPr="0071246B">
        <w:rPr>
          <w:color w:val="2E74B5" w:themeColor="accent5" w:themeShade="BF"/>
        </w:rPr>
        <w:t>health outcomes to consider</w:t>
      </w:r>
      <w:r w:rsidRPr="0071246B">
        <w:rPr>
          <w:color w:val="2E74B5" w:themeColor="accent5" w:themeShade="BF"/>
        </w:rPr>
        <w:t>. If no well-defined resources, mention:</w:t>
      </w:r>
    </w:p>
    <w:p w14:paraId="058CEB0D" w14:textId="18B4DE7B" w:rsidR="00BC5B81" w:rsidRPr="0071246B" w:rsidRDefault="00BC5B81" w:rsidP="00BC5B81">
      <w:pPr>
        <w:pStyle w:val="ListParagraph"/>
        <w:numPr>
          <w:ilvl w:val="3"/>
          <w:numId w:val="1"/>
        </w:numPr>
        <w:spacing w:after="0" w:line="240" w:lineRule="auto"/>
        <w:rPr>
          <w:color w:val="2E74B5" w:themeColor="accent5" w:themeShade="BF"/>
        </w:rPr>
      </w:pPr>
      <w:r w:rsidRPr="0071246B">
        <w:rPr>
          <w:color w:val="2E74B5" w:themeColor="accent5" w:themeShade="BF"/>
        </w:rPr>
        <w:t>Motor vehicle accidents</w:t>
      </w:r>
    </w:p>
    <w:p w14:paraId="6DC7D33F" w14:textId="5CB9DFFD" w:rsidR="00BC5B81" w:rsidRPr="0071246B" w:rsidRDefault="00157C9F" w:rsidP="00BC5B81">
      <w:pPr>
        <w:pStyle w:val="ListParagraph"/>
        <w:numPr>
          <w:ilvl w:val="3"/>
          <w:numId w:val="1"/>
        </w:numPr>
        <w:spacing w:after="0" w:line="240" w:lineRule="auto"/>
        <w:rPr>
          <w:color w:val="2E74B5" w:themeColor="accent5" w:themeShade="BF"/>
        </w:rPr>
      </w:pPr>
      <w:r w:rsidRPr="0071246B">
        <w:rPr>
          <w:color w:val="2E74B5" w:themeColor="accent5" w:themeShade="BF"/>
        </w:rPr>
        <w:t xml:space="preserve">Direct/Indirect effects related to flood - </w:t>
      </w:r>
    </w:p>
    <w:p w14:paraId="1A8CF412" w14:textId="3A2979AB" w:rsidR="001C234A" w:rsidRPr="0071246B" w:rsidRDefault="004E068C" w:rsidP="004E068C">
      <w:pPr>
        <w:pStyle w:val="ListParagraph"/>
        <w:numPr>
          <w:ilvl w:val="2"/>
          <w:numId w:val="1"/>
        </w:numPr>
        <w:spacing w:after="0" w:line="240" w:lineRule="auto"/>
        <w:rPr>
          <w:color w:val="2E74B5" w:themeColor="accent5" w:themeShade="BF"/>
        </w:rPr>
      </w:pPr>
      <w:r w:rsidRPr="0071246B">
        <w:rPr>
          <w:color w:val="2E74B5" w:themeColor="accent5" w:themeShade="BF"/>
        </w:rPr>
        <w:t>Exposure Table</w:t>
      </w:r>
    </w:p>
    <w:p w14:paraId="595B1210" w14:textId="53C7DAD2" w:rsidR="001C234A" w:rsidRPr="0071246B" w:rsidRDefault="001C234A" w:rsidP="001C234A">
      <w:pPr>
        <w:pStyle w:val="ListParagraph"/>
        <w:numPr>
          <w:ilvl w:val="2"/>
          <w:numId w:val="1"/>
        </w:numPr>
        <w:spacing w:after="0" w:line="240" w:lineRule="auto"/>
        <w:rPr>
          <w:color w:val="2E74B5" w:themeColor="accent5" w:themeShade="BF"/>
        </w:rPr>
      </w:pPr>
      <w:r w:rsidRPr="0071246B">
        <w:rPr>
          <w:color w:val="2E74B5" w:themeColor="accent5" w:themeShade="BF"/>
        </w:rPr>
        <w:t>Examples from jurisdictions</w:t>
      </w:r>
      <w:r w:rsidR="0073629D" w:rsidRPr="0071246B">
        <w:rPr>
          <w:color w:val="2E74B5" w:themeColor="accent5" w:themeShade="BF"/>
        </w:rPr>
        <w:t xml:space="preserve"> and additional resources for creating case definitions</w:t>
      </w:r>
    </w:p>
    <w:p w14:paraId="3522954A" w14:textId="4FC99CB9" w:rsidR="00383EA6" w:rsidRPr="0071246B" w:rsidRDefault="00383EA6" w:rsidP="00383EA6">
      <w:pPr>
        <w:pStyle w:val="ListParagraph"/>
        <w:numPr>
          <w:ilvl w:val="3"/>
          <w:numId w:val="1"/>
        </w:numPr>
        <w:spacing w:after="0" w:line="240" w:lineRule="auto"/>
        <w:rPr>
          <w:color w:val="2E74B5" w:themeColor="accent5" w:themeShade="BF"/>
        </w:rPr>
      </w:pPr>
      <w:r w:rsidRPr="0071246B">
        <w:rPr>
          <w:color w:val="2E74B5" w:themeColor="accent5" w:themeShade="BF"/>
        </w:rPr>
        <w:t>Kentucky – FACE data – detection of flood-related deaths</w:t>
      </w:r>
    </w:p>
    <w:p w14:paraId="47F9F184" w14:textId="5765432D" w:rsidR="003747AA" w:rsidRPr="0071246B" w:rsidRDefault="00BF2714" w:rsidP="003747AA">
      <w:pPr>
        <w:pStyle w:val="ListParagraph"/>
        <w:numPr>
          <w:ilvl w:val="2"/>
          <w:numId w:val="1"/>
        </w:numPr>
        <w:spacing w:after="0" w:line="240" w:lineRule="auto"/>
        <w:rPr>
          <w:color w:val="2E74B5" w:themeColor="accent5" w:themeShade="BF"/>
        </w:rPr>
      </w:pPr>
      <w:r w:rsidRPr="0071246B">
        <w:rPr>
          <w:color w:val="2E74B5" w:themeColor="accent5" w:themeShade="BF"/>
        </w:rPr>
        <w:t>Strengths and limitations</w:t>
      </w:r>
    </w:p>
    <w:p w14:paraId="62CEFB79" w14:textId="1989CE7B" w:rsidR="003747AA" w:rsidRPr="0071246B" w:rsidRDefault="003747AA" w:rsidP="003747AA">
      <w:pPr>
        <w:pStyle w:val="ListParagraph"/>
        <w:numPr>
          <w:ilvl w:val="2"/>
          <w:numId w:val="1"/>
        </w:numPr>
        <w:spacing w:after="0" w:line="240" w:lineRule="auto"/>
        <w:rPr>
          <w:color w:val="2E74B5" w:themeColor="accent5" w:themeShade="BF"/>
        </w:rPr>
      </w:pPr>
      <w:r w:rsidRPr="0071246B">
        <w:rPr>
          <w:color w:val="2E74B5" w:themeColor="accent5" w:themeShade="BF"/>
        </w:rPr>
        <w:t>Dissemination Strategies</w:t>
      </w:r>
    </w:p>
    <w:p w14:paraId="748BEEF8" w14:textId="4CF70B5D" w:rsidR="00A3286D" w:rsidRPr="0071246B" w:rsidRDefault="008A3E6A" w:rsidP="00707AAC">
      <w:pPr>
        <w:pStyle w:val="ListParagraph"/>
        <w:numPr>
          <w:ilvl w:val="0"/>
          <w:numId w:val="1"/>
        </w:numPr>
        <w:spacing w:after="0" w:line="240" w:lineRule="auto"/>
        <w:rPr>
          <w:color w:val="2E74B5" w:themeColor="accent5" w:themeShade="BF"/>
        </w:rPr>
      </w:pPr>
      <w:r w:rsidRPr="0071246B">
        <w:rPr>
          <w:color w:val="2E74B5" w:themeColor="accent5" w:themeShade="BF"/>
        </w:rPr>
        <w:t>Identifying and engaging potential partners</w:t>
      </w:r>
      <w:r w:rsidR="00A76151" w:rsidRPr="0071246B">
        <w:rPr>
          <w:color w:val="2E74B5" w:themeColor="accent5" w:themeShade="BF"/>
        </w:rPr>
        <w:t xml:space="preserve"> </w:t>
      </w:r>
      <w:r w:rsidR="00A76151" w:rsidRPr="0071246B">
        <w:rPr>
          <w:color w:val="2E74B5" w:themeColor="accent5" w:themeShade="BF"/>
          <w:highlight w:val="cyan"/>
        </w:rPr>
        <w:t>(Paul)</w:t>
      </w:r>
    </w:p>
    <w:p w14:paraId="43603AAE" w14:textId="2D52FF5D" w:rsidR="00A3286D" w:rsidRPr="0071246B" w:rsidRDefault="00A3286D" w:rsidP="00A3286D">
      <w:pPr>
        <w:pStyle w:val="ListParagraph"/>
        <w:numPr>
          <w:ilvl w:val="1"/>
          <w:numId w:val="1"/>
        </w:numPr>
        <w:spacing w:after="0" w:line="240" w:lineRule="auto"/>
        <w:rPr>
          <w:color w:val="2E74B5" w:themeColor="accent5" w:themeShade="BF"/>
        </w:rPr>
      </w:pPr>
      <w:r w:rsidRPr="0071246B">
        <w:rPr>
          <w:color w:val="2E74B5" w:themeColor="accent5" w:themeShade="BF"/>
        </w:rPr>
        <w:t xml:space="preserve">Identifying potential partners outside of occupational health </w:t>
      </w:r>
      <w:r w:rsidR="009A0501" w:rsidRPr="0071246B">
        <w:rPr>
          <w:color w:val="2E74B5" w:themeColor="accent5" w:themeShade="BF"/>
        </w:rPr>
        <w:t>(include example partners)</w:t>
      </w:r>
      <w:r w:rsidR="006C340C" w:rsidRPr="0071246B">
        <w:rPr>
          <w:color w:val="2E74B5" w:themeColor="accent5" w:themeShade="BF"/>
        </w:rPr>
        <w:t xml:space="preserve"> (Refer to Lens Doc).</w:t>
      </w:r>
    </w:p>
    <w:p w14:paraId="2DEEE83E" w14:textId="1CC82CC8" w:rsidR="006C340C" w:rsidRPr="0071246B" w:rsidRDefault="006C340C" w:rsidP="006C340C">
      <w:pPr>
        <w:pStyle w:val="ListParagraph"/>
        <w:numPr>
          <w:ilvl w:val="2"/>
          <w:numId w:val="1"/>
        </w:numPr>
        <w:spacing w:after="0" w:line="240" w:lineRule="auto"/>
        <w:rPr>
          <w:color w:val="2E74B5" w:themeColor="accent5" w:themeShade="BF"/>
        </w:rPr>
      </w:pPr>
      <w:r w:rsidRPr="0071246B">
        <w:rPr>
          <w:color w:val="2E74B5" w:themeColor="accent5" w:themeShade="BF"/>
        </w:rPr>
        <w:t>Army core of engineers</w:t>
      </w:r>
    </w:p>
    <w:p w14:paraId="466AB851" w14:textId="3EDD6F3A" w:rsidR="006C340C" w:rsidRPr="0071246B" w:rsidRDefault="006C340C" w:rsidP="006C340C">
      <w:pPr>
        <w:pStyle w:val="ListParagraph"/>
        <w:numPr>
          <w:ilvl w:val="2"/>
          <w:numId w:val="1"/>
        </w:numPr>
        <w:spacing w:after="0" w:line="240" w:lineRule="auto"/>
        <w:rPr>
          <w:color w:val="2E74B5" w:themeColor="accent5" w:themeShade="BF"/>
        </w:rPr>
      </w:pPr>
      <w:r w:rsidRPr="0071246B">
        <w:rPr>
          <w:color w:val="2E74B5" w:themeColor="accent5" w:themeShade="BF"/>
        </w:rPr>
        <w:t>Total worker health centers</w:t>
      </w:r>
    </w:p>
    <w:p w14:paraId="5000E51A" w14:textId="0B6DF6BE" w:rsidR="006C340C" w:rsidRPr="0071246B" w:rsidRDefault="006C340C" w:rsidP="006C340C">
      <w:pPr>
        <w:pStyle w:val="ListParagraph"/>
        <w:numPr>
          <w:ilvl w:val="2"/>
          <w:numId w:val="1"/>
        </w:numPr>
        <w:spacing w:after="0" w:line="240" w:lineRule="auto"/>
        <w:rPr>
          <w:color w:val="2E74B5" w:themeColor="accent5" w:themeShade="BF"/>
        </w:rPr>
      </w:pPr>
      <w:r w:rsidRPr="0071246B">
        <w:rPr>
          <w:color w:val="2E74B5" w:themeColor="accent5" w:themeShade="BF"/>
        </w:rPr>
        <w:t>FQHCs that do outreach with farmworkers</w:t>
      </w:r>
    </w:p>
    <w:p w14:paraId="149F9A03" w14:textId="3283BDC0" w:rsidR="005242CE" w:rsidRPr="0071246B" w:rsidRDefault="005242CE" w:rsidP="006C340C">
      <w:pPr>
        <w:pStyle w:val="ListParagraph"/>
        <w:numPr>
          <w:ilvl w:val="2"/>
          <w:numId w:val="1"/>
        </w:numPr>
        <w:spacing w:after="0" w:line="240" w:lineRule="auto"/>
        <w:rPr>
          <w:color w:val="2E74B5" w:themeColor="accent5" w:themeShade="BF"/>
        </w:rPr>
      </w:pPr>
      <w:r w:rsidRPr="0071246B">
        <w:rPr>
          <w:color w:val="2E74B5" w:themeColor="accent5" w:themeShade="BF"/>
        </w:rPr>
        <w:t>Migrant Clinicians Network</w:t>
      </w:r>
    </w:p>
    <w:p w14:paraId="5E8BE896" w14:textId="269BD18D" w:rsidR="00707AAC" w:rsidRPr="0071246B" w:rsidRDefault="00A3286D" w:rsidP="00A3286D">
      <w:pPr>
        <w:pStyle w:val="ListParagraph"/>
        <w:numPr>
          <w:ilvl w:val="1"/>
          <w:numId w:val="1"/>
        </w:numPr>
        <w:spacing w:after="0" w:line="240" w:lineRule="auto"/>
        <w:rPr>
          <w:color w:val="2E74B5" w:themeColor="accent5" w:themeShade="BF"/>
          <w:highlight w:val="yellow"/>
        </w:rPr>
      </w:pPr>
      <w:r w:rsidRPr="0071246B">
        <w:rPr>
          <w:color w:val="2E74B5" w:themeColor="accent5" w:themeShade="BF"/>
          <w:highlight w:val="yellow"/>
        </w:rPr>
        <w:t xml:space="preserve">How </w:t>
      </w:r>
      <w:r w:rsidR="009A0501" w:rsidRPr="0071246B">
        <w:rPr>
          <w:color w:val="2E74B5" w:themeColor="accent5" w:themeShade="BF"/>
          <w:highlight w:val="yellow"/>
        </w:rPr>
        <w:t>can</w:t>
      </w:r>
      <w:r w:rsidRPr="0071246B">
        <w:rPr>
          <w:color w:val="2E74B5" w:themeColor="accent5" w:themeShade="BF"/>
          <w:highlight w:val="yellow"/>
        </w:rPr>
        <w:t xml:space="preserve"> occupational health programs access non-traditional occupational data sources</w:t>
      </w:r>
      <w:r w:rsidR="00707AAC" w:rsidRPr="0071246B">
        <w:rPr>
          <w:color w:val="2E74B5" w:themeColor="accent5" w:themeShade="BF"/>
          <w:highlight w:val="yellow"/>
        </w:rPr>
        <w:t xml:space="preserve"> </w:t>
      </w:r>
    </w:p>
    <w:p w14:paraId="31264FEE" w14:textId="7DC35D2F" w:rsidR="009A0501" w:rsidRPr="0071246B" w:rsidRDefault="009A0501" w:rsidP="00A3286D">
      <w:pPr>
        <w:pStyle w:val="ListParagraph"/>
        <w:numPr>
          <w:ilvl w:val="1"/>
          <w:numId w:val="1"/>
        </w:numPr>
        <w:spacing w:after="0" w:line="240" w:lineRule="auto"/>
        <w:rPr>
          <w:color w:val="2E74B5" w:themeColor="accent5" w:themeShade="BF"/>
          <w:highlight w:val="yellow"/>
        </w:rPr>
      </w:pPr>
      <w:r w:rsidRPr="0071246B">
        <w:rPr>
          <w:color w:val="2E74B5" w:themeColor="accent5" w:themeShade="BF"/>
          <w:highlight w:val="yellow"/>
        </w:rPr>
        <w:t>How can occupational health programs work with partners to use the data</w:t>
      </w:r>
      <w:r w:rsidR="003D6DD5" w:rsidRPr="0071246B">
        <w:rPr>
          <w:color w:val="2E74B5" w:themeColor="accent5" w:themeShade="BF"/>
          <w:highlight w:val="yellow"/>
        </w:rPr>
        <w:t xml:space="preserve">, disseminate the data. </w:t>
      </w:r>
    </w:p>
    <w:p w14:paraId="4ADACB49" w14:textId="1945D471" w:rsidR="003D6DD5" w:rsidRPr="0071246B" w:rsidRDefault="003D6DD5" w:rsidP="00A3286D">
      <w:pPr>
        <w:pStyle w:val="ListParagraph"/>
        <w:numPr>
          <w:ilvl w:val="1"/>
          <w:numId w:val="1"/>
        </w:numPr>
        <w:spacing w:after="0" w:line="240" w:lineRule="auto"/>
        <w:rPr>
          <w:color w:val="2E74B5" w:themeColor="accent5" w:themeShade="BF"/>
          <w:highlight w:val="yellow"/>
        </w:rPr>
      </w:pPr>
      <w:r w:rsidRPr="0071246B">
        <w:rPr>
          <w:color w:val="2E74B5" w:themeColor="accent5" w:themeShade="BF"/>
          <w:highlight w:val="yellow"/>
        </w:rPr>
        <w:t xml:space="preserve">Developing questions for partners – knowing what to ask academics. </w:t>
      </w:r>
    </w:p>
    <w:p w14:paraId="26F3ABB3" w14:textId="566CE77C" w:rsidR="00B907A7" w:rsidRDefault="00B907A7" w:rsidP="00B907A7">
      <w:pPr>
        <w:spacing w:after="0" w:line="240" w:lineRule="auto"/>
      </w:pPr>
    </w:p>
    <w:p w14:paraId="2AF968A6" w14:textId="0C2E7FB9" w:rsidR="00B907A7" w:rsidRPr="001718B6" w:rsidRDefault="001718B6" w:rsidP="00B907A7">
      <w:pPr>
        <w:spacing w:after="0" w:line="240" w:lineRule="auto"/>
        <w:rPr>
          <w:i/>
          <w:iCs/>
        </w:rPr>
      </w:pPr>
      <w:r w:rsidRPr="001718B6">
        <w:rPr>
          <w:i/>
          <w:iCs/>
        </w:rPr>
        <w:t>Identifying partners:</w:t>
      </w:r>
    </w:p>
    <w:p w14:paraId="63F05FCD" w14:textId="4B0E32C0" w:rsidR="00C726C4" w:rsidRDefault="001718B6" w:rsidP="00B907A7">
      <w:pPr>
        <w:spacing w:after="0" w:line="240" w:lineRule="auto"/>
      </w:pPr>
      <w:r>
        <w:t xml:space="preserve">One way to make progress in the climate and occupational health space is to partner with other groups that are involved in this work. </w:t>
      </w:r>
      <w:r w:rsidR="00B964EC">
        <w:t xml:space="preserve">Such partnerships can lead to synergies that move the work further along for both parties. </w:t>
      </w:r>
      <w:r>
        <w:t xml:space="preserve">Non-traditional partners may be particularly valuable as they might have alternative data sources, additional networks, and diverse perspectives. Partners could be groups working on equity, environmental justice, or labor issues. Unions (e.g., AFL/CIO, IAFF, </w:t>
      </w:r>
      <w:r w:rsidR="00C52FF3">
        <w:t>etc.</w:t>
      </w:r>
      <w:r>
        <w:t xml:space="preserve">), </w:t>
      </w:r>
      <w:r w:rsidR="00DF2583">
        <w:t xml:space="preserve">non-profits (e.g., National Resource Defense Council </w:t>
      </w:r>
      <w:r w:rsidR="00F23898">
        <w:t>[</w:t>
      </w:r>
      <w:r w:rsidR="00DF2583">
        <w:t>NRDC</w:t>
      </w:r>
      <w:r w:rsidR="00F23898">
        <w:t>]</w:t>
      </w:r>
      <w:r w:rsidR="00DF2583">
        <w:t>), Total Worker Health Centers</w:t>
      </w:r>
      <w:r w:rsidR="004104B4">
        <w:t xml:space="preserve">, </w:t>
      </w:r>
      <w:r w:rsidR="00DF2583">
        <w:t>Federally Qualified Health Centers (FQHCs)</w:t>
      </w:r>
      <w:r w:rsidR="00B964EC">
        <w:t xml:space="preserve"> – especially those that do outreach with farmer worker populations –</w:t>
      </w:r>
      <w:r w:rsidR="004104B4">
        <w:t xml:space="preserve"> and state climatologists</w:t>
      </w:r>
      <w:r w:rsidR="00DF2583">
        <w:t xml:space="preserve"> are examples of </w:t>
      </w:r>
      <w:r w:rsidR="00B964EC">
        <w:t xml:space="preserve">potential </w:t>
      </w:r>
      <w:r w:rsidR="00DF2583">
        <w:t>partners that share the priorities of protecting workers from the effects of climate change.</w:t>
      </w:r>
      <w:r w:rsidR="004104B4">
        <w:t xml:space="preserve"> </w:t>
      </w:r>
    </w:p>
    <w:p w14:paraId="4392ABE9" w14:textId="77777777" w:rsidR="00C726C4" w:rsidRDefault="00C726C4" w:rsidP="00B907A7">
      <w:pPr>
        <w:spacing w:after="0" w:line="240" w:lineRule="auto"/>
      </w:pPr>
    </w:p>
    <w:p w14:paraId="6EE6A46F" w14:textId="33CED76B" w:rsidR="001718B6" w:rsidRDefault="00C726C4" w:rsidP="00B907A7">
      <w:pPr>
        <w:spacing w:after="0" w:line="240" w:lineRule="auto"/>
      </w:pPr>
      <w:r>
        <w:lastRenderedPageBreak/>
        <w:t>Ma</w:t>
      </w:r>
      <w:r w:rsidR="004104B4">
        <w:t>ny data providers are</w:t>
      </w:r>
      <w:r>
        <w:t xml:space="preserve"> also</w:t>
      </w:r>
      <w:r w:rsidR="004104B4">
        <w:t xml:space="preserve"> potential partners. These might include your state poison control center, local preparedness organizations, your state-level Environmental Public Health Tracking (EPHT) program, or the </w:t>
      </w:r>
      <w:r w:rsidR="004104B4" w:rsidRPr="004104B4">
        <w:t>Climate-Ready States &amp; Cities Initiative (CRSCI</w:t>
      </w:r>
      <w:r w:rsidR="004104B4">
        <w:t>).</w:t>
      </w:r>
      <w:r w:rsidR="00AC0ADC">
        <w:t xml:space="preserve"> Departments of workforce development, the national guard, and the army core of engineers are all potential partners as well. Give some thought to the particular needs of your region when considering where to look for partnerships. </w:t>
      </w:r>
      <w:r w:rsidR="00216A13">
        <w:t xml:space="preserve">Table </w:t>
      </w:r>
      <w:r w:rsidR="00216A13" w:rsidRPr="00216A13">
        <w:rPr>
          <w:highlight w:val="yellow"/>
        </w:rPr>
        <w:t>X</w:t>
      </w:r>
      <w:r w:rsidR="00216A13">
        <w:t xml:space="preserve"> (below)</w:t>
      </w:r>
      <w:r w:rsidR="00AC0ADC">
        <w:t xml:space="preserve"> follows provides some examples of partnerships categorized their level (</w:t>
      </w:r>
      <w:r w:rsidR="00216A13">
        <w:t xml:space="preserve">i.e., </w:t>
      </w:r>
      <w:r w:rsidR="00AC0ADC">
        <w:t>national</w:t>
      </w:r>
      <w:r w:rsidR="009817E1">
        <w:t xml:space="preserve"> and</w:t>
      </w:r>
      <w:r w:rsidR="00AC0ADC">
        <w:t xml:space="preserve"> state). </w:t>
      </w:r>
      <w:r>
        <w:t xml:space="preserve">Please note that this table is intended to be suggestive, not exhaustive. </w:t>
      </w:r>
    </w:p>
    <w:p w14:paraId="212AFF83" w14:textId="0998FDB0" w:rsidR="0071246B" w:rsidRDefault="0071246B" w:rsidP="00B907A7">
      <w:pPr>
        <w:spacing w:after="0" w:line="240" w:lineRule="auto"/>
      </w:pPr>
    </w:p>
    <w:p w14:paraId="4D490C26" w14:textId="0663E506" w:rsidR="0071246B" w:rsidRDefault="0071246B" w:rsidP="00B907A7">
      <w:pPr>
        <w:spacing w:after="0" w:line="240" w:lineRule="auto"/>
      </w:pPr>
    </w:p>
    <w:p w14:paraId="4155DB24" w14:textId="15C4C441" w:rsidR="0071246B" w:rsidRDefault="0071246B" w:rsidP="00B907A7">
      <w:pPr>
        <w:spacing w:after="0" w:line="240" w:lineRule="auto"/>
      </w:pPr>
    </w:p>
    <w:p w14:paraId="38A9B2BA" w14:textId="54E00A03" w:rsidR="0071246B" w:rsidRDefault="0071246B" w:rsidP="00B907A7">
      <w:pPr>
        <w:spacing w:after="0" w:line="240" w:lineRule="auto"/>
      </w:pPr>
    </w:p>
    <w:p w14:paraId="31ECFCA4" w14:textId="6BA4FA77" w:rsidR="00EC0502" w:rsidRDefault="00EC0502" w:rsidP="00B907A7">
      <w:pPr>
        <w:spacing w:after="0" w:line="240" w:lineRule="auto"/>
      </w:pPr>
    </w:p>
    <w:p w14:paraId="33298DBC" w14:textId="5C2F2B5A" w:rsidR="00EC0502" w:rsidRDefault="00EC0502" w:rsidP="00B907A7">
      <w:pPr>
        <w:spacing w:after="0" w:line="240" w:lineRule="auto"/>
      </w:pPr>
    </w:p>
    <w:p w14:paraId="189F1588" w14:textId="77777777" w:rsidR="00EC0502" w:rsidRDefault="00EC0502" w:rsidP="00B907A7">
      <w:pPr>
        <w:spacing w:after="0" w:line="240" w:lineRule="auto"/>
      </w:pPr>
    </w:p>
    <w:p w14:paraId="17216F09" w14:textId="77777777" w:rsidR="0071246B" w:rsidRDefault="0071246B" w:rsidP="00B907A7">
      <w:pPr>
        <w:spacing w:after="0" w:line="240" w:lineRule="auto"/>
      </w:pPr>
    </w:p>
    <w:p w14:paraId="6333462D" w14:textId="41182223" w:rsidR="00AC0ADC" w:rsidRDefault="00AC0ADC" w:rsidP="00B907A7">
      <w:pPr>
        <w:spacing w:after="0" w:line="240" w:lineRule="auto"/>
      </w:pPr>
    </w:p>
    <w:tbl>
      <w:tblPr>
        <w:tblW w:w="9400" w:type="dxa"/>
        <w:tblLook w:val="04A0" w:firstRow="1" w:lastRow="0" w:firstColumn="1" w:lastColumn="0" w:noHBand="0" w:noVBand="1"/>
      </w:tblPr>
      <w:tblGrid>
        <w:gridCol w:w="1204"/>
        <w:gridCol w:w="4646"/>
        <w:gridCol w:w="3550"/>
      </w:tblGrid>
      <w:tr w:rsidR="00A7041A" w:rsidRPr="00A7041A" w14:paraId="76A8578B" w14:textId="77777777" w:rsidTr="00704D02">
        <w:trPr>
          <w:trHeight w:val="364"/>
        </w:trPr>
        <w:tc>
          <w:tcPr>
            <w:tcW w:w="1204" w:type="dxa"/>
            <w:tcBorders>
              <w:top w:val="nil"/>
              <w:left w:val="nil"/>
              <w:bottom w:val="nil"/>
              <w:right w:val="nil"/>
            </w:tcBorders>
            <w:shd w:val="clear" w:color="auto" w:fill="auto"/>
            <w:vAlign w:val="center"/>
            <w:hideMark/>
          </w:tcPr>
          <w:p w14:paraId="168EE463" w14:textId="77777777" w:rsidR="00A7041A" w:rsidRPr="00A7041A" w:rsidRDefault="00A7041A" w:rsidP="00A7041A">
            <w:pPr>
              <w:spacing w:after="0" w:line="240" w:lineRule="auto"/>
              <w:rPr>
                <w:rFonts w:ascii="Times New Roman" w:eastAsia="Times New Roman" w:hAnsi="Times New Roman" w:cs="Times New Roman"/>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02DC6DEE" w14:textId="77777777" w:rsidR="00A7041A" w:rsidRPr="00A7041A" w:rsidRDefault="00A7041A" w:rsidP="00A7041A">
            <w:pPr>
              <w:spacing w:after="0" w:line="240" w:lineRule="auto"/>
              <w:jc w:val="center"/>
              <w:rPr>
                <w:rFonts w:ascii="Arial" w:eastAsia="Times New Roman" w:hAnsi="Arial" w:cs="Arial"/>
                <w:color w:val="000000"/>
                <w:sz w:val="16"/>
                <w:szCs w:val="16"/>
              </w:rPr>
            </w:pPr>
            <w:r w:rsidRPr="00A7041A">
              <w:rPr>
                <w:rFonts w:ascii="Arial" w:eastAsia="Times New Roman" w:hAnsi="Arial" w:cs="Arial"/>
                <w:color w:val="000000"/>
                <w:sz w:val="16"/>
                <w:szCs w:val="16"/>
              </w:rPr>
              <w:t>National</w:t>
            </w:r>
          </w:p>
        </w:tc>
        <w:tc>
          <w:tcPr>
            <w:tcW w:w="3550" w:type="dxa"/>
            <w:tcBorders>
              <w:top w:val="single" w:sz="4" w:space="0" w:color="auto"/>
              <w:left w:val="nil"/>
              <w:bottom w:val="single" w:sz="4" w:space="0" w:color="auto"/>
              <w:right w:val="single" w:sz="4" w:space="0" w:color="auto"/>
            </w:tcBorders>
            <w:shd w:val="clear" w:color="000000" w:fill="E7E6E6"/>
            <w:vAlign w:val="center"/>
            <w:hideMark/>
          </w:tcPr>
          <w:p w14:paraId="5D71ED45" w14:textId="77777777" w:rsidR="00A7041A" w:rsidRPr="00A7041A" w:rsidRDefault="00A7041A" w:rsidP="00A7041A">
            <w:pPr>
              <w:spacing w:after="0" w:line="240" w:lineRule="auto"/>
              <w:jc w:val="center"/>
              <w:rPr>
                <w:rFonts w:ascii="Arial" w:eastAsia="Times New Roman" w:hAnsi="Arial" w:cs="Arial"/>
                <w:color w:val="000000"/>
                <w:sz w:val="16"/>
                <w:szCs w:val="16"/>
              </w:rPr>
            </w:pPr>
            <w:r w:rsidRPr="00A7041A">
              <w:rPr>
                <w:rFonts w:ascii="Arial" w:eastAsia="Times New Roman" w:hAnsi="Arial" w:cs="Arial"/>
                <w:color w:val="000000"/>
                <w:sz w:val="16"/>
                <w:szCs w:val="16"/>
              </w:rPr>
              <w:t>State</w:t>
            </w:r>
          </w:p>
        </w:tc>
      </w:tr>
      <w:tr w:rsidR="00A7041A" w:rsidRPr="00A7041A" w14:paraId="3F98B267" w14:textId="77777777" w:rsidTr="00216A13">
        <w:trPr>
          <w:trHeight w:val="4040"/>
        </w:trPr>
        <w:tc>
          <w:tcPr>
            <w:tcW w:w="120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3335A6B" w14:textId="77777777" w:rsidR="00A7041A" w:rsidRPr="00A7041A" w:rsidRDefault="00A7041A" w:rsidP="00A7041A">
            <w:pPr>
              <w:spacing w:after="0" w:line="240" w:lineRule="auto"/>
              <w:jc w:val="center"/>
              <w:rPr>
                <w:rFonts w:ascii="Arial" w:eastAsia="Times New Roman" w:hAnsi="Arial" w:cs="Arial"/>
                <w:color w:val="000000"/>
                <w:sz w:val="14"/>
                <w:szCs w:val="14"/>
              </w:rPr>
            </w:pPr>
            <w:r w:rsidRPr="00A7041A">
              <w:rPr>
                <w:rFonts w:ascii="Arial" w:eastAsia="Times New Roman" w:hAnsi="Arial" w:cs="Arial"/>
                <w:color w:val="000000"/>
                <w:sz w:val="16"/>
                <w:szCs w:val="16"/>
              </w:rPr>
              <w:t>Organizations</w:t>
            </w:r>
          </w:p>
        </w:tc>
        <w:tc>
          <w:tcPr>
            <w:tcW w:w="4646" w:type="dxa"/>
            <w:tcBorders>
              <w:top w:val="nil"/>
              <w:left w:val="nil"/>
              <w:bottom w:val="single" w:sz="4" w:space="0" w:color="auto"/>
              <w:right w:val="single" w:sz="4" w:space="0" w:color="auto"/>
            </w:tcBorders>
            <w:shd w:val="clear" w:color="auto" w:fill="auto"/>
            <w:vAlign w:val="center"/>
            <w:hideMark/>
          </w:tcPr>
          <w:p w14:paraId="6A97630E" w14:textId="7ABDC397" w:rsidR="00D05470"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Bureau of Labor Statistics (BLS)</w:t>
            </w:r>
            <w:r w:rsidRPr="00A7041A">
              <w:rPr>
                <w:rFonts w:ascii="Arial" w:eastAsia="Times New Roman" w:hAnsi="Arial" w:cs="Arial"/>
                <w:color w:val="000000"/>
                <w:sz w:val="16"/>
                <w:szCs w:val="16"/>
              </w:rPr>
              <w:br/>
              <w:t>• National Institute for Occupational Safety &amp; Health (NIOSH)</w:t>
            </w:r>
            <w:r w:rsidRPr="00A7041A">
              <w:rPr>
                <w:rFonts w:ascii="Arial" w:eastAsia="Times New Roman" w:hAnsi="Arial" w:cs="Arial"/>
                <w:color w:val="000000"/>
                <w:sz w:val="16"/>
                <w:szCs w:val="16"/>
              </w:rPr>
              <w:br/>
              <w:t>• Occupational Health and Safety Administration (OSHA)</w:t>
            </w:r>
            <w:r w:rsidRPr="00A7041A">
              <w:rPr>
                <w:rFonts w:ascii="Arial" w:eastAsia="Times New Roman" w:hAnsi="Arial" w:cs="Arial"/>
                <w:color w:val="000000"/>
                <w:sz w:val="16"/>
                <w:szCs w:val="16"/>
              </w:rPr>
              <w:br/>
              <w:t>• Environmental Protection Agency (EPA)</w:t>
            </w:r>
            <w:r w:rsidRPr="00A7041A">
              <w:rPr>
                <w:rFonts w:ascii="Arial" w:eastAsia="Times New Roman" w:hAnsi="Arial" w:cs="Arial"/>
                <w:color w:val="000000"/>
                <w:sz w:val="16"/>
                <w:szCs w:val="16"/>
              </w:rPr>
              <w:br/>
              <w:t>• The Centers for Disease Control and Prevention (CDC)</w:t>
            </w:r>
            <w:r w:rsidRPr="00A7041A">
              <w:rPr>
                <w:rFonts w:ascii="Arial" w:eastAsia="Times New Roman" w:hAnsi="Arial" w:cs="Arial"/>
                <w:color w:val="000000"/>
                <w:sz w:val="16"/>
                <w:szCs w:val="16"/>
              </w:rPr>
              <w:br/>
              <w:t>• National Oceanic and Atmospheric Administration (NOAA)</w:t>
            </w:r>
            <w:r w:rsidRPr="00A7041A">
              <w:rPr>
                <w:rFonts w:ascii="Arial" w:eastAsia="Times New Roman" w:hAnsi="Arial" w:cs="Arial"/>
                <w:color w:val="000000"/>
                <w:sz w:val="16"/>
                <w:szCs w:val="16"/>
              </w:rPr>
              <w:br/>
              <w:t xml:space="preserve">• The National Weather Service (NWS) </w:t>
            </w:r>
            <w:r w:rsidRPr="00A7041A">
              <w:rPr>
                <w:rFonts w:ascii="Arial" w:eastAsia="Times New Roman" w:hAnsi="Arial" w:cs="Arial"/>
                <w:color w:val="000000"/>
                <w:sz w:val="16"/>
                <w:szCs w:val="16"/>
              </w:rPr>
              <w:br/>
              <w:t>• United States Department of Labor (USDOL)</w:t>
            </w:r>
            <w:r w:rsidRPr="00A7041A">
              <w:rPr>
                <w:rFonts w:ascii="Arial" w:eastAsia="Times New Roman" w:hAnsi="Arial" w:cs="Arial"/>
                <w:color w:val="000000"/>
                <w:sz w:val="16"/>
                <w:szCs w:val="16"/>
              </w:rPr>
              <w:br/>
              <w:t>• Federal Emergency Management Agency (FEMA)</w:t>
            </w:r>
          </w:p>
          <w:p w14:paraId="5D0581DF" w14:textId="645B2722" w:rsidR="00F23898" w:rsidRDefault="00F23898"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National Environmental Public Health Tracking (EPHT)</w:t>
            </w:r>
          </w:p>
          <w:p w14:paraId="17F92FDA" w14:textId="2932FCF1" w:rsidR="00F23898" w:rsidRDefault="00F23898"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Pr="00F23898">
              <w:rPr>
                <w:rFonts w:ascii="Arial" w:eastAsia="Times New Roman" w:hAnsi="Arial" w:cs="Arial"/>
                <w:color w:val="000000"/>
                <w:sz w:val="16"/>
                <w:szCs w:val="16"/>
              </w:rPr>
              <w:t>Climate-Ready States &amp; Cities Initiative (CRSCI</w:t>
            </w:r>
            <w:r>
              <w:rPr>
                <w:rFonts w:ascii="Arial" w:eastAsia="Times New Roman" w:hAnsi="Arial" w:cs="Arial"/>
                <w:color w:val="000000"/>
                <w:sz w:val="16"/>
                <w:szCs w:val="16"/>
              </w:rPr>
              <w:t>)</w:t>
            </w:r>
          </w:p>
          <w:p w14:paraId="58EE5EB4" w14:textId="44CD896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Army core of engineers</w:t>
            </w:r>
          </w:p>
          <w:p w14:paraId="1C1D0DF6" w14:textId="22C28CEF"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National guard</w:t>
            </w:r>
          </w:p>
          <w:p w14:paraId="09FE2345" w14:textId="77777777" w:rsidR="00216A13"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National Poison Data System</w:t>
            </w:r>
            <w:r w:rsidRPr="00A7041A">
              <w:rPr>
                <w:rFonts w:ascii="Arial" w:eastAsia="Times New Roman" w:hAnsi="Arial" w:cs="Arial"/>
                <w:color w:val="000000"/>
                <w:sz w:val="16"/>
                <w:szCs w:val="16"/>
              </w:rPr>
              <w:br/>
              <w:t>• Agency for Toxic Substance and Disease Registry (ATSDR)</w:t>
            </w:r>
            <w:r w:rsidRPr="00A7041A">
              <w:rPr>
                <w:rFonts w:ascii="Arial" w:eastAsia="Times New Roman" w:hAnsi="Arial" w:cs="Arial"/>
                <w:color w:val="000000"/>
                <w:sz w:val="16"/>
                <w:szCs w:val="16"/>
              </w:rPr>
              <w:br/>
              <w:t>• Center for Protection of Workers Rights (CPWR)</w:t>
            </w:r>
            <w:r w:rsidRPr="00A7041A">
              <w:rPr>
                <w:rFonts w:ascii="Arial" w:eastAsia="Times New Roman" w:hAnsi="Arial" w:cs="Arial"/>
                <w:color w:val="000000"/>
                <w:sz w:val="16"/>
                <w:szCs w:val="16"/>
              </w:rPr>
              <w:br/>
              <w:t>• Unions (e.g., AFL/CIO, IAFF, UFCW, etc.)</w:t>
            </w:r>
          </w:p>
          <w:p w14:paraId="54209C80" w14:textId="61883228" w:rsidR="00D05470" w:rsidRPr="00A7041A" w:rsidRDefault="00216A13"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Pr="00216A13">
              <w:rPr>
                <w:rFonts w:ascii="Arial" w:eastAsia="Times New Roman" w:hAnsi="Arial" w:cs="Arial"/>
                <w:color w:val="000000"/>
                <w:sz w:val="16"/>
                <w:szCs w:val="16"/>
              </w:rPr>
              <w:t>Migrant Clinicians Network</w:t>
            </w:r>
            <w:r w:rsidR="00A7041A" w:rsidRPr="00A7041A">
              <w:rPr>
                <w:rFonts w:ascii="Arial" w:eastAsia="Times New Roman" w:hAnsi="Arial" w:cs="Arial"/>
                <w:color w:val="000000"/>
                <w:sz w:val="16"/>
                <w:szCs w:val="16"/>
              </w:rPr>
              <w:br/>
              <w:t>• National Resources Defense Council (NRDC)</w:t>
            </w:r>
            <w:r w:rsidR="00A7041A" w:rsidRPr="00A7041A">
              <w:rPr>
                <w:rFonts w:ascii="Arial" w:eastAsia="Times New Roman" w:hAnsi="Arial" w:cs="Arial"/>
                <w:color w:val="000000"/>
                <w:sz w:val="16"/>
                <w:szCs w:val="16"/>
              </w:rPr>
              <w:br/>
              <w:t xml:space="preserve">• Other national NGOs (e.g., </w:t>
            </w:r>
            <w:proofErr w:type="spellStart"/>
            <w:r w:rsidR="00A7041A" w:rsidRPr="00A7041A">
              <w:rPr>
                <w:rFonts w:ascii="Arial" w:eastAsia="Times New Roman" w:hAnsi="Arial" w:cs="Arial"/>
                <w:color w:val="000000"/>
                <w:sz w:val="16"/>
                <w:szCs w:val="16"/>
              </w:rPr>
              <w:t>ISeeChange</w:t>
            </w:r>
            <w:proofErr w:type="spellEnd"/>
            <w:r w:rsidR="00A7041A" w:rsidRPr="00A7041A">
              <w:rPr>
                <w:rFonts w:ascii="Arial" w:eastAsia="Times New Roman" w:hAnsi="Arial" w:cs="Arial"/>
                <w:color w:val="000000"/>
                <w:sz w:val="16"/>
                <w:szCs w:val="16"/>
              </w:rPr>
              <w:t>)</w:t>
            </w:r>
          </w:p>
        </w:tc>
        <w:tc>
          <w:tcPr>
            <w:tcW w:w="3550" w:type="dxa"/>
            <w:tcBorders>
              <w:top w:val="nil"/>
              <w:left w:val="nil"/>
              <w:bottom w:val="single" w:sz="4" w:space="0" w:color="auto"/>
              <w:right w:val="single" w:sz="4" w:space="0" w:color="auto"/>
            </w:tcBorders>
            <w:shd w:val="clear" w:color="auto" w:fill="auto"/>
            <w:vAlign w:val="center"/>
            <w:hideMark/>
          </w:tcPr>
          <w:p w14:paraId="793066A7" w14:textId="77777777" w:rsidR="00D05470"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Health interview systems</w:t>
            </w:r>
            <w:r w:rsidRPr="00A7041A">
              <w:rPr>
                <w:rFonts w:ascii="Arial" w:eastAsia="Times New Roman" w:hAnsi="Arial" w:cs="Arial"/>
                <w:color w:val="000000"/>
                <w:sz w:val="16"/>
                <w:szCs w:val="16"/>
              </w:rPr>
              <w:br/>
              <w:t>• State OSHA offices</w:t>
            </w:r>
            <w:r w:rsidRPr="00A7041A">
              <w:rPr>
                <w:rFonts w:ascii="Arial" w:eastAsia="Times New Roman" w:hAnsi="Arial" w:cs="Arial"/>
                <w:color w:val="000000"/>
                <w:sz w:val="16"/>
                <w:szCs w:val="16"/>
              </w:rPr>
              <w:br/>
              <w:t>• Departments of natural resources</w:t>
            </w:r>
            <w:r w:rsidRPr="00A7041A">
              <w:rPr>
                <w:rFonts w:ascii="Arial" w:eastAsia="Times New Roman" w:hAnsi="Arial" w:cs="Arial"/>
                <w:color w:val="000000"/>
                <w:sz w:val="16"/>
                <w:szCs w:val="16"/>
              </w:rPr>
              <w:br/>
              <w:t>• Departments of workforce development/labor</w:t>
            </w:r>
            <w:r w:rsidRPr="00A7041A">
              <w:rPr>
                <w:rFonts w:ascii="Arial" w:eastAsia="Times New Roman" w:hAnsi="Arial" w:cs="Arial"/>
                <w:color w:val="000000"/>
                <w:sz w:val="16"/>
                <w:szCs w:val="16"/>
              </w:rPr>
              <w:br/>
              <w:t>• Departments of agriculture</w:t>
            </w:r>
            <w:r w:rsidRPr="00A7041A">
              <w:rPr>
                <w:rFonts w:ascii="Arial" w:eastAsia="Times New Roman" w:hAnsi="Arial" w:cs="Arial"/>
                <w:color w:val="000000"/>
                <w:sz w:val="16"/>
                <w:szCs w:val="16"/>
              </w:rPr>
              <w:br/>
              <w:t>• State climatologists</w:t>
            </w:r>
            <w:r w:rsidRPr="00A7041A">
              <w:rPr>
                <w:rFonts w:ascii="Arial" w:eastAsia="Times New Roman" w:hAnsi="Arial" w:cs="Arial"/>
                <w:color w:val="000000"/>
                <w:sz w:val="16"/>
                <w:szCs w:val="16"/>
              </w:rPr>
              <w:br/>
              <w:t>• Emergency preparedness</w:t>
            </w:r>
            <w:r w:rsidRPr="00A7041A">
              <w:rPr>
                <w:rFonts w:ascii="Arial" w:eastAsia="Times New Roman" w:hAnsi="Arial" w:cs="Arial"/>
                <w:color w:val="000000"/>
                <w:sz w:val="16"/>
                <w:szCs w:val="16"/>
              </w:rPr>
              <w:br/>
              <w:t>• Poison control centers</w:t>
            </w:r>
            <w:r w:rsidRPr="00A7041A">
              <w:rPr>
                <w:rFonts w:ascii="Arial" w:eastAsia="Times New Roman" w:hAnsi="Arial" w:cs="Arial"/>
                <w:color w:val="000000"/>
                <w:sz w:val="16"/>
                <w:szCs w:val="16"/>
              </w:rPr>
              <w:br/>
              <w:t xml:space="preserve">• University environmental programs </w:t>
            </w:r>
          </w:p>
          <w:p w14:paraId="2EC2E2F3" w14:textId="03878164" w:rsidR="00A7041A"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 xml:space="preserve">University occupational safety </w:t>
            </w:r>
            <w:r w:rsidR="00216A13">
              <w:rPr>
                <w:rFonts w:ascii="Arial" w:eastAsia="Times New Roman" w:hAnsi="Arial" w:cs="Arial"/>
                <w:color w:val="000000"/>
                <w:sz w:val="16"/>
                <w:szCs w:val="16"/>
              </w:rPr>
              <w:t>programs</w:t>
            </w:r>
            <w:r>
              <w:rPr>
                <w:rFonts w:ascii="Arial" w:eastAsia="Times New Roman" w:hAnsi="Arial" w:cs="Arial"/>
                <w:color w:val="000000"/>
                <w:sz w:val="16"/>
                <w:szCs w:val="16"/>
              </w:rPr>
              <w:t xml:space="preserve"> </w:t>
            </w:r>
            <w:r w:rsidR="00A7041A" w:rsidRPr="00A7041A">
              <w:rPr>
                <w:rFonts w:ascii="Arial" w:eastAsia="Times New Roman" w:hAnsi="Arial" w:cs="Arial"/>
                <w:color w:val="000000"/>
                <w:sz w:val="16"/>
                <w:szCs w:val="16"/>
              </w:rPr>
              <w:br/>
              <w:t>• Energy or weatherization groups</w:t>
            </w:r>
            <w:r w:rsidR="00A7041A" w:rsidRPr="00A7041A">
              <w:rPr>
                <w:rFonts w:ascii="Arial" w:eastAsia="Times New Roman" w:hAnsi="Arial" w:cs="Arial"/>
                <w:color w:val="000000"/>
                <w:sz w:val="16"/>
                <w:szCs w:val="16"/>
              </w:rPr>
              <w:br/>
              <w:t xml:space="preserve">• Local labor programs (e.g., </w:t>
            </w:r>
            <w:proofErr w:type="spellStart"/>
            <w:r w:rsidR="00A7041A" w:rsidRPr="00A7041A">
              <w:rPr>
                <w:rFonts w:ascii="Arial" w:eastAsia="Times New Roman" w:hAnsi="Arial" w:cs="Arial"/>
                <w:color w:val="000000"/>
                <w:sz w:val="16"/>
                <w:szCs w:val="16"/>
              </w:rPr>
              <w:t>Worksafe</w:t>
            </w:r>
            <w:proofErr w:type="spellEnd"/>
            <w:r w:rsidR="00A7041A" w:rsidRPr="00A7041A">
              <w:rPr>
                <w:rFonts w:ascii="Arial" w:eastAsia="Times New Roman" w:hAnsi="Arial" w:cs="Arial"/>
                <w:color w:val="000000"/>
                <w:sz w:val="16"/>
                <w:szCs w:val="16"/>
              </w:rPr>
              <w:t xml:space="preserve"> in CA) </w:t>
            </w:r>
          </w:p>
          <w:p w14:paraId="00805C84"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Total Worker Health Centers</w:t>
            </w:r>
          </w:p>
          <w:p w14:paraId="7BF336FC"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Federally Qualified Health Centers (FQHCs)</w:t>
            </w:r>
          </w:p>
          <w:p w14:paraId="446D0208"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Local national guard</w:t>
            </w:r>
          </w:p>
          <w:p w14:paraId="0220CE58" w14:textId="007B8517" w:rsidR="00D05470" w:rsidRPr="00A7041A"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00F23898">
              <w:rPr>
                <w:rFonts w:ascii="Arial" w:eastAsia="Times New Roman" w:hAnsi="Arial" w:cs="Arial"/>
                <w:color w:val="000000"/>
                <w:sz w:val="16"/>
                <w:szCs w:val="16"/>
              </w:rPr>
              <w:t xml:space="preserve">Physician groups </w:t>
            </w:r>
          </w:p>
        </w:tc>
      </w:tr>
    </w:tbl>
    <w:p w14:paraId="55E260DF" w14:textId="77777777" w:rsidR="00AC0ADC" w:rsidRDefault="00AC0ADC" w:rsidP="00B907A7">
      <w:pPr>
        <w:spacing w:after="0" w:line="240" w:lineRule="auto"/>
      </w:pPr>
    </w:p>
    <w:p w14:paraId="0880F1F2" w14:textId="77777777" w:rsidR="00DF2583" w:rsidRDefault="00DF2583" w:rsidP="00B907A7">
      <w:pPr>
        <w:spacing w:after="0" w:line="240" w:lineRule="auto"/>
      </w:pPr>
    </w:p>
    <w:p w14:paraId="43DB7D90" w14:textId="77777777" w:rsidR="00B907A7" w:rsidRPr="001D77B8" w:rsidRDefault="00B907A7" w:rsidP="00B907A7">
      <w:pPr>
        <w:spacing w:after="0" w:line="240" w:lineRule="auto"/>
      </w:pPr>
    </w:p>
    <w:p w14:paraId="35FDE520" w14:textId="3FE48C63" w:rsidR="00707AAC" w:rsidRPr="0071246B" w:rsidRDefault="00707AAC" w:rsidP="00707AAC">
      <w:pPr>
        <w:pStyle w:val="ListParagraph"/>
        <w:numPr>
          <w:ilvl w:val="0"/>
          <w:numId w:val="1"/>
        </w:numPr>
        <w:spacing w:after="0" w:line="240" w:lineRule="auto"/>
        <w:rPr>
          <w:color w:val="2E74B5" w:themeColor="accent5" w:themeShade="BF"/>
        </w:rPr>
      </w:pPr>
      <w:r w:rsidRPr="0071246B">
        <w:rPr>
          <w:color w:val="2E74B5" w:themeColor="accent5" w:themeShade="BF"/>
        </w:rPr>
        <w:t>Conclusion and recommendations</w:t>
      </w:r>
      <w:r w:rsidR="004659F5" w:rsidRPr="0071246B">
        <w:rPr>
          <w:color w:val="2E74B5" w:themeColor="accent5" w:themeShade="BF"/>
        </w:rPr>
        <w:t xml:space="preserve"> (also consider applying above to other climate-related worker issues)</w:t>
      </w:r>
    </w:p>
    <w:p w14:paraId="7488350E" w14:textId="4B806F97" w:rsidR="00BB7F1A" w:rsidRPr="0071246B" w:rsidRDefault="00BB7F1A" w:rsidP="00707AAC">
      <w:pPr>
        <w:pStyle w:val="ListParagraph"/>
        <w:numPr>
          <w:ilvl w:val="0"/>
          <w:numId w:val="1"/>
        </w:numPr>
        <w:spacing w:after="0" w:line="240" w:lineRule="auto"/>
        <w:rPr>
          <w:color w:val="2E74B5" w:themeColor="accent5" w:themeShade="BF"/>
        </w:rPr>
      </w:pPr>
      <w:r w:rsidRPr="0071246B">
        <w:rPr>
          <w:color w:val="2E74B5" w:themeColor="accent5" w:themeShade="BF"/>
        </w:rPr>
        <w:t>References</w:t>
      </w:r>
    </w:p>
    <w:p w14:paraId="19AF1517" w14:textId="2A54854F" w:rsidR="002F384E" w:rsidRPr="0071246B" w:rsidRDefault="00BB7F1A" w:rsidP="00B751D7">
      <w:pPr>
        <w:pStyle w:val="ListParagraph"/>
        <w:numPr>
          <w:ilvl w:val="0"/>
          <w:numId w:val="1"/>
        </w:numPr>
        <w:spacing w:after="0" w:line="240" w:lineRule="auto"/>
        <w:rPr>
          <w:color w:val="2E74B5" w:themeColor="accent5" w:themeShade="BF"/>
        </w:rPr>
      </w:pPr>
      <w:r w:rsidRPr="0071246B">
        <w:rPr>
          <w:color w:val="2E74B5" w:themeColor="accent5" w:themeShade="BF"/>
        </w:rPr>
        <w:t>Appendix</w:t>
      </w:r>
    </w:p>
    <w:p w14:paraId="03BAD0EB" w14:textId="77777777" w:rsidR="003F37E3" w:rsidRPr="0071246B" w:rsidRDefault="00B103BA" w:rsidP="003F37E3">
      <w:pPr>
        <w:pStyle w:val="ListParagraph"/>
        <w:numPr>
          <w:ilvl w:val="1"/>
          <w:numId w:val="1"/>
        </w:numPr>
        <w:spacing w:after="0" w:line="240" w:lineRule="auto"/>
        <w:rPr>
          <w:color w:val="2E74B5" w:themeColor="accent5" w:themeShade="BF"/>
        </w:rPr>
      </w:pPr>
      <w:r w:rsidRPr="0071246B">
        <w:rPr>
          <w:color w:val="2E74B5" w:themeColor="accent5" w:themeShade="BF"/>
        </w:rPr>
        <w:t>References for SOE</w:t>
      </w:r>
      <w:r w:rsidR="00AA0D46" w:rsidRPr="0071246B">
        <w:rPr>
          <w:color w:val="2E74B5" w:themeColor="accent5" w:themeShade="BF"/>
        </w:rPr>
        <w:t>M</w:t>
      </w:r>
      <w:r w:rsidRPr="0071246B">
        <w:rPr>
          <w:color w:val="2E74B5" w:themeColor="accent5" w:themeShade="BF"/>
        </w:rPr>
        <w:t>, NIOSH Essential workers code set.</w:t>
      </w:r>
    </w:p>
    <w:p w14:paraId="4D09BA16" w14:textId="77777777" w:rsidR="003F37E3" w:rsidRPr="0071246B" w:rsidRDefault="003F37E3" w:rsidP="003F37E3">
      <w:pPr>
        <w:spacing w:after="0" w:line="240" w:lineRule="auto"/>
        <w:rPr>
          <w:color w:val="2E74B5" w:themeColor="accent5" w:themeShade="BF"/>
          <w:u w:val="single"/>
        </w:rPr>
      </w:pPr>
    </w:p>
    <w:p w14:paraId="1055DF7C" w14:textId="3F1CC04A" w:rsidR="000E65B8" w:rsidRPr="0071246B" w:rsidRDefault="000E65B8" w:rsidP="003F37E3">
      <w:pPr>
        <w:spacing w:after="0" w:line="240" w:lineRule="auto"/>
        <w:rPr>
          <w:color w:val="2E74B5" w:themeColor="accent5" w:themeShade="BF"/>
        </w:rPr>
      </w:pPr>
      <w:r w:rsidRPr="0071246B">
        <w:rPr>
          <w:color w:val="2E74B5" w:themeColor="accent5" w:themeShade="BF"/>
          <w:u w:val="single"/>
        </w:rPr>
        <w:t>Additional resources noted during discussion:</w:t>
      </w:r>
    </w:p>
    <w:p w14:paraId="29D8E503" w14:textId="77777777" w:rsidR="003F37E3" w:rsidRPr="0071246B" w:rsidRDefault="003F37E3" w:rsidP="003F37E3">
      <w:pPr>
        <w:spacing w:after="0" w:line="240" w:lineRule="auto"/>
        <w:rPr>
          <w:b/>
          <w:bCs/>
          <w:color w:val="2E74B5" w:themeColor="accent5" w:themeShade="BF"/>
        </w:rPr>
      </w:pPr>
    </w:p>
    <w:p w14:paraId="6BEA4578" w14:textId="26947F00" w:rsidR="000E65B8" w:rsidRPr="0071246B" w:rsidRDefault="000E65B8" w:rsidP="003F37E3">
      <w:pPr>
        <w:pStyle w:val="ListParagraph"/>
        <w:numPr>
          <w:ilvl w:val="0"/>
          <w:numId w:val="3"/>
        </w:numPr>
        <w:spacing w:after="0" w:line="240" w:lineRule="auto"/>
        <w:rPr>
          <w:b/>
          <w:bCs/>
          <w:color w:val="2E74B5" w:themeColor="accent5" w:themeShade="BF"/>
        </w:rPr>
      </w:pPr>
      <w:r w:rsidRPr="0071246B">
        <w:rPr>
          <w:b/>
          <w:bCs/>
          <w:color w:val="2E74B5" w:themeColor="accent5" w:themeShade="BF"/>
        </w:rPr>
        <w:t>Available on CDC’s website:</w:t>
      </w:r>
    </w:p>
    <w:p w14:paraId="5A8C40B4" w14:textId="5BC2F026" w:rsidR="003F37E3" w:rsidRPr="0071246B" w:rsidRDefault="000E65B8" w:rsidP="000E65B8">
      <w:pPr>
        <w:pStyle w:val="ListParagraph"/>
        <w:numPr>
          <w:ilvl w:val="1"/>
          <w:numId w:val="3"/>
        </w:numPr>
        <w:spacing w:after="0" w:line="240" w:lineRule="auto"/>
        <w:rPr>
          <w:color w:val="2E74B5" w:themeColor="accent5" w:themeShade="BF"/>
        </w:rPr>
      </w:pPr>
      <w:r w:rsidRPr="0071246B">
        <w:rPr>
          <w:color w:val="2E74B5" w:themeColor="accent5" w:themeShade="BF"/>
        </w:rPr>
        <w:t>2-page survey tool – ATSDR – when public health is deployed, can be used to collect data from workers, and other community workers. (</w:t>
      </w:r>
      <w:hyperlink r:id="rId24" w:history="1">
        <w:r w:rsidR="003F37E3" w:rsidRPr="0071246B">
          <w:rPr>
            <w:rStyle w:val="Hyperlink"/>
            <w:color w:val="2E74B5" w:themeColor="accent5" w:themeShade="BF"/>
          </w:rPr>
          <w:t>https://www.atsdr.cdc.gov/rapidresponse/</w:t>
        </w:r>
      </w:hyperlink>
      <w:r w:rsidRPr="0071246B">
        <w:rPr>
          <w:color w:val="2E74B5" w:themeColor="accent5" w:themeShade="BF"/>
        </w:rPr>
        <w:t>)</w:t>
      </w:r>
    </w:p>
    <w:p w14:paraId="0A0D5491" w14:textId="77777777" w:rsidR="003F37E3" w:rsidRPr="0071246B" w:rsidRDefault="003F37E3" w:rsidP="003F37E3">
      <w:pPr>
        <w:pStyle w:val="ListParagraph"/>
        <w:spacing w:after="0" w:line="240" w:lineRule="auto"/>
        <w:ind w:left="1440"/>
        <w:rPr>
          <w:color w:val="2E74B5" w:themeColor="accent5" w:themeShade="BF"/>
        </w:rPr>
      </w:pPr>
    </w:p>
    <w:p w14:paraId="17E91DC7" w14:textId="77777777" w:rsidR="003F37E3" w:rsidRPr="0071246B" w:rsidRDefault="000E65B8" w:rsidP="000E65B8">
      <w:pPr>
        <w:pStyle w:val="ListParagraph"/>
        <w:numPr>
          <w:ilvl w:val="0"/>
          <w:numId w:val="3"/>
        </w:numPr>
        <w:spacing w:after="0" w:line="240" w:lineRule="auto"/>
        <w:rPr>
          <w:color w:val="2E74B5" w:themeColor="accent5" w:themeShade="BF"/>
        </w:rPr>
      </w:pPr>
      <w:r w:rsidRPr="0071246B">
        <w:rPr>
          <w:b/>
          <w:bCs/>
          <w:color w:val="2E74B5" w:themeColor="accent5" w:themeShade="BF"/>
        </w:rPr>
        <w:t>NIOSH di</w:t>
      </w:r>
      <w:r w:rsidR="003F37E3" w:rsidRPr="0071246B">
        <w:rPr>
          <w:b/>
          <w:bCs/>
          <w:color w:val="2E74B5" w:themeColor="accent5" w:themeShade="BF"/>
        </w:rPr>
        <w:t>s</w:t>
      </w:r>
      <w:r w:rsidRPr="0071246B">
        <w:rPr>
          <w:b/>
          <w:bCs/>
          <w:color w:val="2E74B5" w:themeColor="accent5" w:themeShade="BF"/>
        </w:rPr>
        <w:t>aster research response program</w:t>
      </w:r>
    </w:p>
    <w:p w14:paraId="7072A719" w14:textId="40D225D1" w:rsidR="000E65B8" w:rsidRPr="0071246B" w:rsidRDefault="00B178D7" w:rsidP="003F37E3">
      <w:pPr>
        <w:pStyle w:val="ListParagraph"/>
        <w:numPr>
          <w:ilvl w:val="1"/>
          <w:numId w:val="3"/>
        </w:numPr>
        <w:spacing w:after="0" w:line="240" w:lineRule="auto"/>
        <w:rPr>
          <w:color w:val="2E74B5" w:themeColor="accent5" w:themeShade="BF"/>
        </w:rPr>
      </w:pPr>
      <w:hyperlink r:id="rId25" w:anchor=":~:text=The%20goal%20of%20the%20DSRR,impact%20of%20a%20novel%20exposure" w:history="1">
        <w:r w:rsidR="003F37E3" w:rsidRPr="0071246B">
          <w:rPr>
            <w:rStyle w:val="Hyperlink"/>
            <w:color w:val="2E74B5" w:themeColor="accent5" w:themeShade="BF"/>
          </w:rPr>
          <w:t>https://www.cdc.gov/niosh/topics/disasterscience/default.html#:~:text=The%20goal%20of%20the%20DSRR,impact%20of%20a%20novel%20exposure</w:t>
        </w:r>
      </w:hyperlink>
    </w:p>
    <w:p w14:paraId="6DAF6A77" w14:textId="2C55250E" w:rsidR="00157C9F" w:rsidRPr="0071246B" w:rsidRDefault="00157C9F" w:rsidP="000E65B8">
      <w:pPr>
        <w:spacing w:after="0" w:line="240" w:lineRule="auto"/>
        <w:rPr>
          <w:color w:val="2E74B5" w:themeColor="accent5" w:themeShade="BF"/>
        </w:rPr>
      </w:pPr>
    </w:p>
    <w:p w14:paraId="0E3CF8EC" w14:textId="7A2F3F2A" w:rsidR="00157C9F" w:rsidRPr="0071246B" w:rsidRDefault="00157C9F" w:rsidP="000E65B8">
      <w:pPr>
        <w:spacing w:after="0" w:line="240" w:lineRule="auto"/>
        <w:rPr>
          <w:color w:val="2E74B5" w:themeColor="accent5" w:themeShade="BF"/>
        </w:rPr>
      </w:pPr>
    </w:p>
    <w:p w14:paraId="01971849" w14:textId="761E65CD" w:rsidR="003F37E3" w:rsidRPr="0071246B" w:rsidRDefault="003F37E3" w:rsidP="000E65B8">
      <w:pPr>
        <w:spacing w:after="0" w:line="240" w:lineRule="auto"/>
        <w:rPr>
          <w:color w:val="2E74B5" w:themeColor="accent5" w:themeShade="BF"/>
        </w:rPr>
      </w:pPr>
      <w:r w:rsidRPr="0071246B">
        <w:rPr>
          <w:color w:val="2E74B5" w:themeColor="accent5" w:themeShade="BF"/>
        </w:rPr>
        <w:t>Things to look into / be aware of:</w:t>
      </w:r>
    </w:p>
    <w:p w14:paraId="595B6805" w14:textId="77777777" w:rsidR="003F37E3" w:rsidRPr="0071246B" w:rsidRDefault="00157C9F" w:rsidP="000E65B8">
      <w:pPr>
        <w:pStyle w:val="ListParagraph"/>
        <w:numPr>
          <w:ilvl w:val="0"/>
          <w:numId w:val="4"/>
        </w:numPr>
        <w:spacing w:after="0" w:line="240" w:lineRule="auto"/>
        <w:rPr>
          <w:color w:val="2E74B5" w:themeColor="accent5" w:themeShade="BF"/>
        </w:rPr>
      </w:pPr>
      <w:r w:rsidRPr="0071246B">
        <w:rPr>
          <w:color w:val="2E74B5" w:themeColor="accent5" w:themeShade="BF"/>
        </w:rPr>
        <w:t xml:space="preserve">NIOSH study – respiratory impact of mold in the aftermath of Katrina </w:t>
      </w:r>
    </w:p>
    <w:p w14:paraId="2513D7FA" w14:textId="0327F114" w:rsidR="003F37E3" w:rsidRPr="0071246B" w:rsidRDefault="003F37E3" w:rsidP="003F37E3">
      <w:pPr>
        <w:pStyle w:val="ListParagraph"/>
        <w:numPr>
          <w:ilvl w:val="0"/>
          <w:numId w:val="4"/>
        </w:numPr>
        <w:spacing w:after="0" w:line="240" w:lineRule="auto"/>
        <w:rPr>
          <w:color w:val="2E74B5" w:themeColor="accent5" w:themeShade="BF"/>
        </w:rPr>
      </w:pPr>
      <w:r w:rsidRPr="0071246B">
        <w:rPr>
          <w:color w:val="2E74B5" w:themeColor="accent5" w:themeShade="BF"/>
        </w:rPr>
        <w:t xml:space="preserve">Terminology uses: </w:t>
      </w:r>
      <w:r w:rsidR="00906EC0" w:rsidRPr="0071246B">
        <w:rPr>
          <w:color w:val="2E74B5" w:themeColor="accent5" w:themeShade="BF"/>
        </w:rPr>
        <w:t>Climate</w:t>
      </w:r>
      <w:r w:rsidRPr="0071246B">
        <w:rPr>
          <w:color w:val="2E74B5" w:themeColor="accent5" w:themeShade="BF"/>
        </w:rPr>
        <w:t xml:space="preserve"> vs. </w:t>
      </w:r>
      <w:r w:rsidR="00906EC0" w:rsidRPr="0071246B">
        <w:rPr>
          <w:color w:val="2E74B5" w:themeColor="accent5" w:themeShade="BF"/>
        </w:rPr>
        <w:t>weather</w:t>
      </w:r>
      <w:r w:rsidRPr="0071246B">
        <w:rPr>
          <w:color w:val="2E74B5" w:themeColor="accent5" w:themeShade="BF"/>
        </w:rPr>
        <w:t>; wildland vs wildfire</w:t>
      </w:r>
    </w:p>
    <w:p w14:paraId="67BD3402" w14:textId="77777777" w:rsidR="003F37E3" w:rsidRPr="0071246B" w:rsidRDefault="00B103BA" w:rsidP="000E65B8">
      <w:pPr>
        <w:pStyle w:val="ListParagraph"/>
        <w:numPr>
          <w:ilvl w:val="0"/>
          <w:numId w:val="4"/>
        </w:numPr>
        <w:spacing w:after="0" w:line="240" w:lineRule="auto"/>
        <w:rPr>
          <w:color w:val="2E74B5" w:themeColor="accent5" w:themeShade="BF"/>
        </w:rPr>
      </w:pPr>
      <w:r w:rsidRPr="0071246B">
        <w:rPr>
          <w:color w:val="2E74B5" w:themeColor="accent5" w:themeShade="BF"/>
        </w:rPr>
        <w:t xml:space="preserve">Social vulnerability indexes (SVI, EPA environmental justice data), disparities, county rankings, smoke vulnerability index, </w:t>
      </w:r>
      <w:hyperlink r:id="rId26" w:history="1">
        <w:r w:rsidRPr="0071246B">
          <w:rPr>
            <w:rStyle w:val="Hyperlink"/>
            <w:color w:val="2E74B5" w:themeColor="accent5" w:themeShade="BF"/>
          </w:rPr>
          <w:t>Webinar - Wildfires and the Community Health Vulnerability Index | FRAMES</w:t>
        </w:r>
      </w:hyperlink>
    </w:p>
    <w:p w14:paraId="49410BA2" w14:textId="77777777" w:rsidR="000F4C11" w:rsidRPr="0071246B" w:rsidRDefault="00725AFB" w:rsidP="000E65B8">
      <w:pPr>
        <w:pStyle w:val="ListParagraph"/>
        <w:numPr>
          <w:ilvl w:val="0"/>
          <w:numId w:val="4"/>
        </w:numPr>
        <w:spacing w:after="0" w:line="240" w:lineRule="auto"/>
        <w:rPr>
          <w:color w:val="2E74B5" w:themeColor="accent5" w:themeShade="BF"/>
        </w:rPr>
      </w:pPr>
      <w:r w:rsidRPr="0071246B">
        <w:rPr>
          <w:color w:val="2E74B5" w:themeColor="accent5" w:themeShade="BF"/>
        </w:rPr>
        <w:t xml:space="preserve">Smoke Sense App – Citizen Science </w:t>
      </w:r>
      <w:r w:rsidR="003F37E3" w:rsidRPr="0071246B">
        <w:rPr>
          <w:color w:val="2E74B5" w:themeColor="accent5" w:themeShade="BF"/>
        </w:rPr>
        <w:t>initiatives</w:t>
      </w:r>
    </w:p>
    <w:p w14:paraId="363BD601" w14:textId="77777777" w:rsidR="000F4C11" w:rsidRDefault="000F4C11" w:rsidP="0071246B">
      <w:pPr>
        <w:pStyle w:val="ListParagraph"/>
        <w:spacing w:after="0" w:line="240" w:lineRule="auto"/>
      </w:pPr>
    </w:p>
    <w:p w14:paraId="220E29AF" w14:textId="05DCAA00" w:rsidR="000948F8" w:rsidRDefault="00B178D7" w:rsidP="000F4C11">
      <w:pPr>
        <w:pStyle w:val="ListParagraph"/>
      </w:pPr>
      <w:r>
        <w:fldChar w:fldCharType="begin"/>
      </w:r>
      <w:r>
        <w:instrText xml:space="preserve"> ADDIN EN.REFLIST </w:instrText>
      </w:r>
      <w:r>
        <w:fldChar w:fldCharType="separate"/>
      </w:r>
      <w:r>
        <w:fldChar w:fldCharType="end"/>
      </w:r>
    </w:p>
    <w:sectPr w:rsidR="000948F8">
      <w:footerReference w:type="default" r:id="rId2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Gibb, Kathryn@CDPH" w:date="2023-08-02T15:30:00Z" w:initials="GK">
    <w:p w14:paraId="06911C36" w14:textId="77777777" w:rsidR="0071246B" w:rsidRDefault="0071246B" w:rsidP="00135794">
      <w:pPr>
        <w:pStyle w:val="CommentText"/>
      </w:pPr>
      <w:r>
        <w:rPr>
          <w:rStyle w:val="CommentReference"/>
        </w:rPr>
        <w:annotationRef/>
      </w:r>
      <w:r>
        <w:t>As discussed on call, we can remove sections of the outline as we complete them / fill in with narrative text. I made the original outline text in blue, so its easier to distinguish between what was written as draft text for the white paper vs. original outline.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6911C3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74F501" w16cex:dateUtc="2023-08-02T22: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6911C36" w16cid:durableId="2874F5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1E258" w14:textId="77777777" w:rsidR="00F96B22" w:rsidRDefault="00F96B22" w:rsidP="00753CDA">
      <w:pPr>
        <w:spacing w:after="0" w:line="240" w:lineRule="auto"/>
      </w:pPr>
      <w:r>
        <w:separator/>
      </w:r>
    </w:p>
  </w:endnote>
  <w:endnote w:type="continuationSeparator" w:id="0">
    <w:p w14:paraId="76499C5A" w14:textId="77777777" w:rsidR="00F96B22" w:rsidRDefault="00F96B22" w:rsidP="00753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190869"/>
      <w:docPartObj>
        <w:docPartGallery w:val="Page Numbers (Bottom of Page)"/>
        <w:docPartUnique/>
      </w:docPartObj>
    </w:sdtPr>
    <w:sdtEndPr>
      <w:rPr>
        <w:noProof/>
      </w:rPr>
    </w:sdtEndPr>
    <w:sdtContent>
      <w:p w14:paraId="5B8C5D63" w14:textId="6800921C" w:rsidR="00EC0502" w:rsidRDefault="00EC05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4E701D" w14:textId="77777777" w:rsidR="00EC0502" w:rsidRDefault="00EC05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36D57" w14:textId="77777777" w:rsidR="00F96B22" w:rsidRDefault="00F96B22" w:rsidP="00753CDA">
      <w:pPr>
        <w:spacing w:after="0" w:line="240" w:lineRule="auto"/>
      </w:pPr>
      <w:r>
        <w:separator/>
      </w:r>
    </w:p>
  </w:footnote>
  <w:footnote w:type="continuationSeparator" w:id="0">
    <w:p w14:paraId="1799ADA8" w14:textId="77777777" w:rsidR="00F96B22" w:rsidRDefault="00F96B22" w:rsidP="00753CDA">
      <w:pPr>
        <w:spacing w:after="0" w:line="240" w:lineRule="auto"/>
      </w:pPr>
      <w:r>
        <w:continuationSeparator/>
      </w:r>
    </w:p>
  </w:footnote>
  <w:footnote w:id="1">
    <w:p w14:paraId="2AE3B696" w14:textId="068F45EA" w:rsidR="00753CDA" w:rsidRDefault="00753CDA">
      <w:pPr>
        <w:pStyle w:val="FootnoteText"/>
      </w:pPr>
      <w:r>
        <w:rPr>
          <w:rStyle w:val="FootnoteReference"/>
        </w:rPr>
        <w:footnoteRef/>
      </w:r>
      <w:r>
        <w:t xml:space="preserve"> </w:t>
      </w:r>
      <w:r w:rsidRPr="00753CDA">
        <w:t xml:space="preserve">Kaiser C. Canadian wildfire smoke puts around 70 million US residents under air quality alerts. CNN. Cable News Network; 2023. July 16, 2023. Accessed July 25, 2023. </w:t>
      </w:r>
      <w:hyperlink r:id="rId1" w:history="1">
        <w:r w:rsidRPr="002E01B4">
          <w:rPr>
            <w:rStyle w:val="Hyperlink"/>
          </w:rPr>
          <w:t>https://www.cnn.com/2023/07/16/weather/canada-wildfires-us-air-quality-alerts-sunday/index.html</w:t>
        </w:r>
      </w:hyperlink>
      <w:r>
        <w:t xml:space="preserve"> </w:t>
      </w:r>
    </w:p>
  </w:footnote>
  <w:footnote w:id="2">
    <w:p w14:paraId="24F4E64A" w14:textId="5AFAB957" w:rsidR="00753CDA" w:rsidRDefault="00753CDA">
      <w:pPr>
        <w:pStyle w:val="FootnoteText"/>
      </w:pPr>
      <w:r>
        <w:rPr>
          <w:rStyle w:val="FootnoteReference"/>
        </w:rPr>
        <w:footnoteRef/>
      </w:r>
      <w:r>
        <w:t xml:space="preserve"> </w:t>
      </w:r>
      <w:proofErr w:type="spellStart"/>
      <w:r w:rsidRPr="00753CDA">
        <w:t>Bushard</w:t>
      </w:r>
      <w:proofErr w:type="spellEnd"/>
      <w:r w:rsidRPr="00753CDA">
        <w:t xml:space="preserve"> B. Phoenix Records Three-Plus Weeks Above 110 Degrees: Here’s Where Else Daily Records Have Fallen. Forbes. Forbes Media, LLC; 2023. July 24, 2023. Accessed July 25, 2023. </w:t>
      </w:r>
      <w:hyperlink r:id="rId2" w:history="1">
        <w:r w:rsidRPr="002E01B4">
          <w:rPr>
            <w:rStyle w:val="Hyperlink"/>
          </w:rPr>
          <w:t>https://www.forbes.com/sites/brianbushard/2023/07/24/phoenix-records-three-plus-weeks-above-110-degrees-heres-where-else-daily-records-have-fallen/</w:t>
        </w:r>
      </w:hyperlink>
      <w:r>
        <w:t xml:space="preserve"> </w:t>
      </w:r>
    </w:p>
  </w:footnote>
  <w:footnote w:id="3">
    <w:p w14:paraId="3A37CA11" w14:textId="27EDCD5B" w:rsidR="00866C4E" w:rsidRDefault="00866C4E">
      <w:pPr>
        <w:pStyle w:val="FootnoteText"/>
      </w:pPr>
      <w:r>
        <w:rPr>
          <w:rStyle w:val="FootnoteReference"/>
        </w:rPr>
        <w:footnoteRef/>
      </w:r>
      <w:r>
        <w:t xml:space="preserve"> </w:t>
      </w:r>
      <w:r w:rsidRPr="00866C4E">
        <w:t xml:space="preserve">NOAA. Future Climate Projections - Graphs &amp; Maps. Accessed July 25, 2023. </w:t>
      </w:r>
      <w:hyperlink r:id="rId3" w:history="1">
        <w:r w:rsidRPr="002E01B4">
          <w:rPr>
            <w:rStyle w:val="Hyperlink"/>
          </w:rPr>
          <w:t>https://www.climate.gov/maps-data/dataset/future-climate-projections-graphs-maps</w:t>
        </w:r>
      </w:hyperlink>
      <w:r>
        <w:t xml:space="preserve"> </w:t>
      </w:r>
    </w:p>
  </w:footnote>
  <w:footnote w:id="4">
    <w:p w14:paraId="1EA3AB34" w14:textId="1B0EA651" w:rsidR="00E10E38" w:rsidRDefault="00E10E38">
      <w:pPr>
        <w:pStyle w:val="FootnoteText"/>
      </w:pPr>
      <w:r>
        <w:rPr>
          <w:rStyle w:val="FootnoteReference"/>
        </w:rPr>
        <w:footnoteRef/>
      </w:r>
      <w:r>
        <w:t xml:space="preserve"> </w:t>
      </w:r>
      <w:r w:rsidRPr="00E10E38">
        <w:t xml:space="preserve">CDC. Climate-Ready States &amp; Cities Initiative Grant Recipients. Updated July 18, 2023. Accessed July 25, 2023. </w:t>
      </w:r>
      <w:hyperlink r:id="rId4" w:history="1">
        <w:r w:rsidRPr="002E01B4">
          <w:rPr>
            <w:rStyle w:val="Hyperlink"/>
          </w:rPr>
          <w:t>https://www.cdc.gov/climateandhealth/crsci_grantees.htm</w:t>
        </w:r>
      </w:hyperlink>
      <w:r>
        <w:t xml:space="preserve"> </w:t>
      </w:r>
    </w:p>
  </w:footnote>
  <w:footnote w:id="5">
    <w:p w14:paraId="21481E54" w14:textId="3D9B7416" w:rsidR="00E10E38" w:rsidRDefault="00E10E38">
      <w:pPr>
        <w:pStyle w:val="FootnoteText"/>
      </w:pPr>
      <w:r>
        <w:rPr>
          <w:rStyle w:val="FootnoteReference"/>
        </w:rPr>
        <w:footnoteRef/>
      </w:r>
      <w:r>
        <w:t xml:space="preserve"> </w:t>
      </w:r>
      <w:r w:rsidRPr="00E10E38">
        <w:t xml:space="preserve">CDC. National Environmental Public Health Tracking. Updated November 3, 2022. Accessed July 25, 2023. </w:t>
      </w:r>
      <w:hyperlink r:id="rId5" w:history="1">
        <w:r w:rsidRPr="002E01B4">
          <w:rPr>
            <w:rStyle w:val="Hyperlink"/>
          </w:rPr>
          <w:t>https://www.cdc.gov/nceh/tracking/index.html</w:t>
        </w:r>
      </w:hyperlink>
      <w:r>
        <w:t xml:space="preserve"> </w:t>
      </w:r>
    </w:p>
  </w:footnote>
  <w:footnote w:id="6">
    <w:p w14:paraId="416A59ED" w14:textId="5833323C" w:rsidR="00B944CF" w:rsidRDefault="00B944CF">
      <w:pPr>
        <w:pStyle w:val="FootnoteText"/>
      </w:pPr>
      <w:r>
        <w:rPr>
          <w:rStyle w:val="FootnoteReference"/>
        </w:rPr>
        <w:footnoteRef/>
      </w:r>
      <w:r>
        <w:t xml:space="preserve"> AASC. American Association of State Climatologists: About Us. Accessed July 25, 2023. </w:t>
      </w:r>
      <w:hyperlink r:id="rId6" w:history="1">
        <w:r w:rsidRPr="002E01B4">
          <w:rPr>
            <w:rStyle w:val="Hyperlink"/>
          </w:rPr>
          <w:t>https://stateclimate.org/about-us/</w:t>
        </w:r>
      </w:hyperlink>
      <w:r>
        <w:t xml:space="preserve"> </w:t>
      </w:r>
    </w:p>
  </w:footnote>
  <w:footnote w:id="7">
    <w:p w14:paraId="07E2C174" w14:textId="77777777" w:rsidR="00F51F46" w:rsidRDefault="00F51F46" w:rsidP="00F51F46">
      <w:pPr>
        <w:pStyle w:val="FootnoteText"/>
      </w:pPr>
      <w:r>
        <w:rPr>
          <w:rStyle w:val="FootnoteReference"/>
        </w:rPr>
        <w:footnoteRef/>
      </w:r>
      <w:r>
        <w:t xml:space="preserve"> Borjan, M. and Lumia, M. Evaluation of a state based syndromic surveillance system for the classification and capture of non-fatal occupational injuries and illnesses in New Jersey. American Journal of Industrial Medicine. 2017. 9999: 1-6.</w:t>
      </w:r>
    </w:p>
  </w:footnote>
  <w:footnote w:id="8">
    <w:p w14:paraId="2124243B" w14:textId="77777777" w:rsidR="00F51F46" w:rsidRDefault="00F51F46" w:rsidP="00F51F46">
      <w:pPr>
        <w:pStyle w:val="FootnoteText"/>
      </w:pPr>
      <w:r>
        <w:rPr>
          <w:rStyle w:val="FootnoteReference"/>
        </w:rPr>
        <w:footnoteRef/>
      </w:r>
      <w:r>
        <w:t xml:space="preserve"> Bush, A., Bunn, T, and Liford, M. Identification of work-related injury emergency department visits using International Classification of Diseases, Tenth Revision, Clinical Modification (ICD-10) codes. Injury Prevention. 2021. 27: i3-i8.</w:t>
      </w:r>
    </w:p>
  </w:footnote>
  <w:footnote w:id="9">
    <w:p w14:paraId="69B9C82E" w14:textId="77777777" w:rsidR="00617252" w:rsidRDefault="00617252" w:rsidP="00617252">
      <w:pPr>
        <w:pStyle w:val="FootnoteText"/>
      </w:pPr>
      <w:r>
        <w:rPr>
          <w:rStyle w:val="FootnoteReference"/>
        </w:rPr>
        <w:footnoteRef/>
      </w:r>
      <w:r>
        <w:t xml:space="preserve"> CSTE. Occupational Health Surveillance Subcommittee. Syndromic Surveillance for Occupational Health Surveillance Guidance Document and Example. 2021. Accessed July 24, 2023. </w:t>
      </w:r>
      <w:hyperlink r:id="rId7" w:history="1">
        <w:r w:rsidRPr="00A905FD">
          <w:rPr>
            <w:rStyle w:val="Hyperlink"/>
          </w:rPr>
          <w:t>https://cdn.ymaws.com/www.cste.org/resource/resmgr/occupationalhealth/publications/OccSyS_WhitePaper_03_08_21.pdf</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C5CD6"/>
    <w:multiLevelType w:val="hybridMultilevel"/>
    <w:tmpl w:val="217292E4"/>
    <w:lvl w:ilvl="0" w:tplc="04090013">
      <w:start w:val="1"/>
      <w:numFmt w:val="upperRoman"/>
      <w:lvlText w:val="%1."/>
      <w:lvlJc w:val="right"/>
      <w:pPr>
        <w:ind w:left="360" w:hanging="360"/>
      </w:pPr>
    </w:lvl>
    <w:lvl w:ilvl="1" w:tplc="B9081180">
      <w:start w:val="1"/>
      <w:numFmt w:val="lowerLetter"/>
      <w:lvlText w:val="%2."/>
      <w:lvlJc w:val="left"/>
      <w:pPr>
        <w:ind w:left="1080" w:hanging="360"/>
      </w:pPr>
      <w:rPr>
        <w:b w:val="0"/>
        <w:bCs w:val="0"/>
        <w:color w:val="auto"/>
      </w:rPr>
    </w:lvl>
    <w:lvl w:ilvl="2" w:tplc="7A8CC1C2">
      <w:start w:val="1"/>
      <w:numFmt w:val="lowerRoman"/>
      <w:lvlText w:val="%3."/>
      <w:lvlJc w:val="right"/>
      <w:pPr>
        <w:ind w:left="1800" w:hanging="180"/>
      </w:pPr>
      <w:rPr>
        <w:b w:val="0"/>
        <w:bCs w:val="0"/>
      </w:rPr>
    </w:lvl>
    <w:lvl w:ilvl="3" w:tplc="551A258E">
      <w:start w:val="1"/>
      <w:numFmt w:val="decimal"/>
      <w:lvlText w:val="%4."/>
      <w:lvlJc w:val="left"/>
      <w:pPr>
        <w:ind w:left="2520" w:hanging="360"/>
      </w:pPr>
      <w:rPr>
        <w:b w:val="0"/>
        <w:bCs w:val="0"/>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4331CF0"/>
    <w:multiLevelType w:val="hybridMultilevel"/>
    <w:tmpl w:val="CFFEB878"/>
    <w:lvl w:ilvl="0" w:tplc="B9081180">
      <w:start w:val="1"/>
      <w:numFmt w:val="lowerLetter"/>
      <w:lvlText w:val="%1."/>
      <w:lvlJc w:val="left"/>
      <w:pPr>
        <w:ind w:left="108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F41100"/>
    <w:multiLevelType w:val="hybridMultilevel"/>
    <w:tmpl w:val="7B5CF0EC"/>
    <w:lvl w:ilvl="0" w:tplc="B23E9220">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9AE6BF5"/>
    <w:multiLevelType w:val="hybridMultilevel"/>
    <w:tmpl w:val="158859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0E1309"/>
    <w:multiLevelType w:val="hybridMultilevel"/>
    <w:tmpl w:val="C6565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2657106">
    <w:abstractNumId w:val="0"/>
  </w:num>
  <w:num w:numId="2" w16cid:durableId="11861407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5162759">
    <w:abstractNumId w:val="3"/>
  </w:num>
  <w:num w:numId="4" w16cid:durableId="2113085834">
    <w:abstractNumId w:val="4"/>
  </w:num>
  <w:num w:numId="5" w16cid:durableId="240724367">
    <w:abstractNumId w:val="1"/>
  </w:num>
  <w:num w:numId="6" w16cid:durableId="135830915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ibb, Kathryn@CDPH">
    <w15:presenceInfo w15:providerId="AD" w15:userId="S::Kathryn.Gibb@cdph.ca.gov::b8b75f9a-390a-4ecc-ab1a-c20ac9315d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axsztxfefzet0ev9dm5sxvptf0s2xww5xw9&quot;&gt;Climate_whitepaper&lt;record-ids&gt;&lt;item&gt;5&lt;/item&gt;&lt;/record-ids&gt;&lt;/item&gt;&lt;/Libraries&gt;"/>
  </w:docVars>
  <w:rsids>
    <w:rsidRoot w:val="00B751D7"/>
    <w:rsid w:val="00023F5E"/>
    <w:rsid w:val="00041542"/>
    <w:rsid w:val="00054FC2"/>
    <w:rsid w:val="000948F8"/>
    <w:rsid w:val="0009550D"/>
    <w:rsid w:val="000A7695"/>
    <w:rsid w:val="000E4932"/>
    <w:rsid w:val="000E65B8"/>
    <w:rsid w:val="000E723C"/>
    <w:rsid w:val="000F4C11"/>
    <w:rsid w:val="0014727F"/>
    <w:rsid w:val="00157C9F"/>
    <w:rsid w:val="0017161E"/>
    <w:rsid w:val="001718B6"/>
    <w:rsid w:val="001A3E7F"/>
    <w:rsid w:val="001C234A"/>
    <w:rsid w:val="001D77B8"/>
    <w:rsid w:val="00204CF0"/>
    <w:rsid w:val="00216A13"/>
    <w:rsid w:val="00292752"/>
    <w:rsid w:val="002D37E0"/>
    <w:rsid w:val="002D5DA3"/>
    <w:rsid w:val="002F384E"/>
    <w:rsid w:val="00324A82"/>
    <w:rsid w:val="00336CE2"/>
    <w:rsid w:val="00370BE0"/>
    <w:rsid w:val="003747AA"/>
    <w:rsid w:val="00383EA6"/>
    <w:rsid w:val="003D6DD5"/>
    <w:rsid w:val="003F37E3"/>
    <w:rsid w:val="004104B4"/>
    <w:rsid w:val="004659F5"/>
    <w:rsid w:val="004B0F8B"/>
    <w:rsid w:val="004E068C"/>
    <w:rsid w:val="005242CE"/>
    <w:rsid w:val="00586985"/>
    <w:rsid w:val="005B27DF"/>
    <w:rsid w:val="00617252"/>
    <w:rsid w:val="00695EC0"/>
    <w:rsid w:val="006C340C"/>
    <w:rsid w:val="00704D02"/>
    <w:rsid w:val="00707AAC"/>
    <w:rsid w:val="0071246B"/>
    <w:rsid w:val="0072582C"/>
    <w:rsid w:val="00725AFB"/>
    <w:rsid w:val="0073629D"/>
    <w:rsid w:val="00753CDA"/>
    <w:rsid w:val="00784B99"/>
    <w:rsid w:val="007B1664"/>
    <w:rsid w:val="007D2D13"/>
    <w:rsid w:val="007E2CEC"/>
    <w:rsid w:val="00866C4E"/>
    <w:rsid w:val="008A3E6A"/>
    <w:rsid w:val="00906EC0"/>
    <w:rsid w:val="00926497"/>
    <w:rsid w:val="009817E1"/>
    <w:rsid w:val="009A0501"/>
    <w:rsid w:val="009B4951"/>
    <w:rsid w:val="00A15D7B"/>
    <w:rsid w:val="00A17571"/>
    <w:rsid w:val="00A21C08"/>
    <w:rsid w:val="00A3286D"/>
    <w:rsid w:val="00A7041A"/>
    <w:rsid w:val="00A76151"/>
    <w:rsid w:val="00AA0D46"/>
    <w:rsid w:val="00AB2EB1"/>
    <w:rsid w:val="00AC0ADC"/>
    <w:rsid w:val="00AD629A"/>
    <w:rsid w:val="00B0272C"/>
    <w:rsid w:val="00B0530D"/>
    <w:rsid w:val="00B103BA"/>
    <w:rsid w:val="00B114BD"/>
    <w:rsid w:val="00B178D7"/>
    <w:rsid w:val="00B47314"/>
    <w:rsid w:val="00B745B2"/>
    <w:rsid w:val="00B751D7"/>
    <w:rsid w:val="00B82A5A"/>
    <w:rsid w:val="00B907A7"/>
    <w:rsid w:val="00B917EF"/>
    <w:rsid w:val="00B944CF"/>
    <w:rsid w:val="00B964EC"/>
    <w:rsid w:val="00BA2F06"/>
    <w:rsid w:val="00BB7F1A"/>
    <w:rsid w:val="00BC5B81"/>
    <w:rsid w:val="00BD0DAE"/>
    <w:rsid w:val="00BF2714"/>
    <w:rsid w:val="00C27171"/>
    <w:rsid w:val="00C52FF3"/>
    <w:rsid w:val="00C726C4"/>
    <w:rsid w:val="00C738B6"/>
    <w:rsid w:val="00C86CBF"/>
    <w:rsid w:val="00CC4342"/>
    <w:rsid w:val="00D05470"/>
    <w:rsid w:val="00D13238"/>
    <w:rsid w:val="00D76986"/>
    <w:rsid w:val="00DC692D"/>
    <w:rsid w:val="00DD6536"/>
    <w:rsid w:val="00DF2583"/>
    <w:rsid w:val="00E10E38"/>
    <w:rsid w:val="00E35C10"/>
    <w:rsid w:val="00E44338"/>
    <w:rsid w:val="00E46740"/>
    <w:rsid w:val="00E52D2F"/>
    <w:rsid w:val="00E71D41"/>
    <w:rsid w:val="00E94F73"/>
    <w:rsid w:val="00EC0502"/>
    <w:rsid w:val="00F23898"/>
    <w:rsid w:val="00F51F46"/>
    <w:rsid w:val="00F86D1F"/>
    <w:rsid w:val="00F96B22"/>
    <w:rsid w:val="00FA2EA8"/>
    <w:rsid w:val="00FB6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FB976"/>
  <w15:chartTrackingRefBased/>
  <w15:docId w15:val="{55D9EF9F-7C31-4036-83DB-931FABFE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6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7AAC"/>
    <w:pPr>
      <w:ind w:left="720"/>
      <w:contextualSpacing/>
    </w:pPr>
  </w:style>
  <w:style w:type="paragraph" w:styleId="Revision">
    <w:name w:val="Revision"/>
    <w:hidden/>
    <w:uiPriority w:val="99"/>
    <w:semiHidden/>
    <w:rsid w:val="007B1664"/>
    <w:pPr>
      <w:spacing w:after="0" w:line="240" w:lineRule="auto"/>
    </w:pPr>
  </w:style>
  <w:style w:type="character" w:styleId="CommentReference">
    <w:name w:val="annotation reference"/>
    <w:basedOn w:val="DefaultParagraphFont"/>
    <w:uiPriority w:val="99"/>
    <w:semiHidden/>
    <w:unhideWhenUsed/>
    <w:rsid w:val="007B1664"/>
    <w:rPr>
      <w:sz w:val="16"/>
      <w:szCs w:val="16"/>
    </w:rPr>
  </w:style>
  <w:style w:type="paragraph" w:styleId="CommentText">
    <w:name w:val="annotation text"/>
    <w:basedOn w:val="Normal"/>
    <w:link w:val="CommentTextChar"/>
    <w:uiPriority w:val="99"/>
    <w:unhideWhenUsed/>
    <w:rsid w:val="007B1664"/>
    <w:pPr>
      <w:spacing w:line="240" w:lineRule="auto"/>
    </w:pPr>
    <w:rPr>
      <w:sz w:val="20"/>
      <w:szCs w:val="20"/>
    </w:rPr>
  </w:style>
  <w:style w:type="character" w:customStyle="1" w:styleId="CommentTextChar">
    <w:name w:val="Comment Text Char"/>
    <w:basedOn w:val="DefaultParagraphFont"/>
    <w:link w:val="CommentText"/>
    <w:uiPriority w:val="99"/>
    <w:rsid w:val="007B1664"/>
    <w:rPr>
      <w:sz w:val="20"/>
      <w:szCs w:val="20"/>
    </w:rPr>
  </w:style>
  <w:style w:type="paragraph" w:styleId="CommentSubject">
    <w:name w:val="annotation subject"/>
    <w:basedOn w:val="CommentText"/>
    <w:next w:val="CommentText"/>
    <w:link w:val="CommentSubjectChar"/>
    <w:uiPriority w:val="99"/>
    <w:semiHidden/>
    <w:unhideWhenUsed/>
    <w:rsid w:val="007B1664"/>
    <w:rPr>
      <w:b/>
      <w:bCs/>
    </w:rPr>
  </w:style>
  <w:style w:type="character" w:customStyle="1" w:styleId="CommentSubjectChar">
    <w:name w:val="Comment Subject Char"/>
    <w:basedOn w:val="CommentTextChar"/>
    <w:link w:val="CommentSubject"/>
    <w:uiPriority w:val="99"/>
    <w:semiHidden/>
    <w:rsid w:val="007B1664"/>
    <w:rPr>
      <w:b/>
      <w:bCs/>
      <w:sz w:val="20"/>
      <w:szCs w:val="20"/>
    </w:rPr>
  </w:style>
  <w:style w:type="character" w:styleId="Hyperlink">
    <w:name w:val="Hyperlink"/>
    <w:basedOn w:val="DefaultParagraphFont"/>
    <w:uiPriority w:val="99"/>
    <w:unhideWhenUsed/>
    <w:rsid w:val="00157C9F"/>
    <w:rPr>
      <w:color w:val="0563C1" w:themeColor="hyperlink"/>
      <w:u w:val="single"/>
    </w:rPr>
  </w:style>
  <w:style w:type="character" w:styleId="UnresolvedMention">
    <w:name w:val="Unresolved Mention"/>
    <w:basedOn w:val="DefaultParagraphFont"/>
    <w:uiPriority w:val="99"/>
    <w:semiHidden/>
    <w:unhideWhenUsed/>
    <w:rsid w:val="00157C9F"/>
    <w:rPr>
      <w:color w:val="605E5C"/>
      <w:shd w:val="clear" w:color="auto" w:fill="E1DFDD"/>
    </w:rPr>
  </w:style>
  <w:style w:type="paragraph" w:customStyle="1" w:styleId="EndNoteBibliographyTitle">
    <w:name w:val="EndNote Bibliography Title"/>
    <w:basedOn w:val="Normal"/>
    <w:link w:val="EndNoteBibliographyTitleChar"/>
    <w:rsid w:val="000F4C1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F4C11"/>
    <w:rPr>
      <w:rFonts w:ascii="Calibri" w:hAnsi="Calibri" w:cs="Calibri"/>
      <w:noProof/>
    </w:rPr>
  </w:style>
  <w:style w:type="paragraph" w:customStyle="1" w:styleId="EndNoteBibliography">
    <w:name w:val="EndNote Bibliography"/>
    <w:basedOn w:val="Normal"/>
    <w:link w:val="EndNoteBibliographyChar"/>
    <w:rsid w:val="000F4C1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F4C11"/>
    <w:rPr>
      <w:rFonts w:ascii="Calibri" w:hAnsi="Calibri" w:cs="Calibri"/>
      <w:noProof/>
    </w:rPr>
  </w:style>
  <w:style w:type="paragraph" w:styleId="FootnoteText">
    <w:name w:val="footnote text"/>
    <w:basedOn w:val="Normal"/>
    <w:link w:val="FootnoteTextChar"/>
    <w:uiPriority w:val="99"/>
    <w:semiHidden/>
    <w:unhideWhenUsed/>
    <w:rsid w:val="00753C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3CDA"/>
    <w:rPr>
      <w:sz w:val="20"/>
      <w:szCs w:val="20"/>
    </w:rPr>
  </w:style>
  <w:style w:type="character" w:styleId="FootnoteReference">
    <w:name w:val="footnote reference"/>
    <w:basedOn w:val="DefaultParagraphFont"/>
    <w:uiPriority w:val="99"/>
    <w:semiHidden/>
    <w:unhideWhenUsed/>
    <w:rsid w:val="00753CDA"/>
    <w:rPr>
      <w:vertAlign w:val="superscript"/>
    </w:rPr>
  </w:style>
  <w:style w:type="paragraph" w:styleId="Header">
    <w:name w:val="header"/>
    <w:basedOn w:val="Normal"/>
    <w:link w:val="HeaderChar"/>
    <w:uiPriority w:val="99"/>
    <w:unhideWhenUsed/>
    <w:rsid w:val="00EC05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502"/>
  </w:style>
  <w:style w:type="paragraph" w:styleId="Footer">
    <w:name w:val="footer"/>
    <w:basedOn w:val="Normal"/>
    <w:link w:val="FooterChar"/>
    <w:uiPriority w:val="99"/>
    <w:unhideWhenUsed/>
    <w:rsid w:val="00EC05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5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972509">
      <w:bodyDiv w:val="1"/>
      <w:marLeft w:val="0"/>
      <w:marRight w:val="0"/>
      <w:marTop w:val="0"/>
      <w:marBottom w:val="0"/>
      <w:divBdr>
        <w:top w:val="none" w:sz="0" w:space="0" w:color="auto"/>
        <w:left w:val="none" w:sz="0" w:space="0" w:color="auto"/>
        <w:bottom w:val="none" w:sz="0" w:space="0" w:color="auto"/>
        <w:right w:val="none" w:sz="0" w:space="0" w:color="auto"/>
      </w:divBdr>
    </w:div>
    <w:div w:id="1045564963">
      <w:bodyDiv w:val="1"/>
      <w:marLeft w:val="0"/>
      <w:marRight w:val="0"/>
      <w:marTop w:val="0"/>
      <w:marBottom w:val="0"/>
      <w:divBdr>
        <w:top w:val="none" w:sz="0" w:space="0" w:color="auto"/>
        <w:left w:val="none" w:sz="0" w:space="0" w:color="auto"/>
        <w:bottom w:val="none" w:sz="0" w:space="0" w:color="auto"/>
        <w:right w:val="none" w:sz="0" w:space="0" w:color="auto"/>
      </w:divBdr>
    </w:div>
    <w:div w:id="1284076247">
      <w:bodyDiv w:val="1"/>
      <w:marLeft w:val="0"/>
      <w:marRight w:val="0"/>
      <w:marTop w:val="0"/>
      <w:marBottom w:val="0"/>
      <w:divBdr>
        <w:top w:val="none" w:sz="0" w:space="0" w:color="auto"/>
        <w:left w:val="none" w:sz="0" w:space="0" w:color="auto"/>
        <w:bottom w:val="none" w:sz="0" w:space="0" w:color="auto"/>
        <w:right w:val="none" w:sz="0" w:space="0" w:color="auto"/>
      </w:divBdr>
    </w:div>
    <w:div w:id="1658921330">
      <w:bodyDiv w:val="1"/>
      <w:marLeft w:val="0"/>
      <w:marRight w:val="0"/>
      <w:marTop w:val="0"/>
      <w:marBottom w:val="0"/>
      <w:divBdr>
        <w:top w:val="none" w:sz="0" w:space="0" w:color="auto"/>
        <w:left w:val="none" w:sz="0" w:space="0" w:color="auto"/>
        <w:bottom w:val="none" w:sz="0" w:space="0" w:color="auto"/>
        <w:right w:val="none" w:sz="0" w:space="0" w:color="auto"/>
      </w:divBdr>
    </w:div>
    <w:div w:id="196438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countyhealthrankings.org/explore-health-rankings" TargetMode="External"/><Relationship Id="rId18" Type="http://schemas.openxmlformats.org/officeDocument/2006/relationships/hyperlink" Target="https://onlinelibrary.wiley.com/doi/10.1002/ajim.22734" TargetMode="External"/><Relationship Id="rId26" Type="http://schemas.openxmlformats.org/officeDocument/2006/relationships/hyperlink" Target="https://www.frames.gov/event/539664" TargetMode="External"/><Relationship Id="rId3" Type="http://schemas.openxmlformats.org/officeDocument/2006/relationships/styles" Target="styles.xml"/><Relationship Id="rId21" Type="http://schemas.openxmlformats.org/officeDocument/2006/relationships/hyperlink" Target="https://pubmed.ncbi.nlm.nih.gov/25058254/" TargetMode="External"/><Relationship Id="rId7" Type="http://schemas.openxmlformats.org/officeDocument/2006/relationships/endnotes" Target="endnotes.xml"/><Relationship Id="rId12" Type="http://schemas.openxmlformats.org/officeDocument/2006/relationships/hyperlink" Target="https://www.epa.gov/ejscreen" TargetMode="External"/><Relationship Id="rId17" Type="http://schemas.openxmlformats.org/officeDocument/2006/relationships/hyperlink" Target="https://cdn.ymaws.com/www.cste.org/resource/resmgr/occupationalhealth/publications/OccSyS_WhitePaper_03_08_21.pdf" TargetMode="External"/><Relationship Id="rId25" Type="http://schemas.openxmlformats.org/officeDocument/2006/relationships/hyperlink" Target="https://www.cdc.gov/niosh/topics/disasterscience/default.html" TargetMode="External"/><Relationship Id="rId2" Type="http://schemas.openxmlformats.org/officeDocument/2006/relationships/numbering" Target="numbering.xml"/><Relationship Id="rId16" Type="http://schemas.openxmlformats.org/officeDocument/2006/relationships/hyperlink" Target="https://cdn.ymaws.com/www.cste.org/resource/resmgr/occupationalhealth/OHI_GuidanceManual_2018_FINA.pdf" TargetMode="External"/><Relationship Id="rId20" Type="http://schemas.openxmlformats.org/officeDocument/2006/relationships/hyperlink" Target="https://www.bls.gov/iif/state-data.htm"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yperlink" Target="https://www.atsdr.cdc.gov/rapidresponse/" TargetMode="External"/><Relationship Id="rId5" Type="http://schemas.openxmlformats.org/officeDocument/2006/relationships/webSettings" Target="webSettings.xml"/><Relationship Id="rId15" Type="http://schemas.openxmlformats.org/officeDocument/2006/relationships/hyperlink" Target="file:///C:\Users\mborjan\Downloads\Identification%20of%20work-related%20injury%20emergency" TargetMode="External"/><Relationship Id="rId23" Type="http://schemas.openxmlformats.org/officeDocument/2006/relationships/hyperlink" Target="https://cste-my.sharepoint.com/personal/aaltabbaa_cste_org/_layouts/15/onedrive.aspx?id=%2Fpersonal%2Faaltabbaa%5Fcste%5Forg%2FDocuments%2FAlyaa%20Altabbaa%2FWildfire%20and%20Smoke%20Syndromic%20Surveillance%5FFINAL%2Epdf&amp;parent=%2Fpersonal%2Faaltabbaa%5Fcste%5Forg%2FDocuments%2FAlyaa%20Altabbaa&amp;ga=1" TargetMode="External"/><Relationship Id="rId28"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hyperlink" Target="https://www.bls.gov/iif/nonfatal-injuries-and-illnesses-tables.htm"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cdn.ymaws.com/www.cste.org/resource/resmgr/occupationalhealth/OHI_GuidanceManual_2018_FINA.pdf" TargetMode="External"/><Relationship Id="rId22" Type="http://schemas.openxmlformats.org/officeDocument/2006/relationships/hyperlink" Target="https://www.ncbi.nlm.nih.gov/pmc/articles/PMC5230832/pdf/10.1177_0033354916669358.pdf" TargetMode="External"/><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limate.gov/maps-data/dataset/future-climate-projections-graphs-maps" TargetMode="External"/><Relationship Id="rId7" Type="http://schemas.openxmlformats.org/officeDocument/2006/relationships/hyperlink" Target="https://cdn.ymaws.com/www.cste.org/resource/resmgr/occupationalhealth/publications/OccSyS_WhitePaper_03_08_21.pdf" TargetMode="External"/><Relationship Id="rId2" Type="http://schemas.openxmlformats.org/officeDocument/2006/relationships/hyperlink" Target="https://www.forbes.com/sites/brianbushard/2023/07/24/phoenix-records-three-plus-weeks-above-110-degrees-heres-where-else-daily-records-have-fallen/" TargetMode="External"/><Relationship Id="rId1" Type="http://schemas.openxmlformats.org/officeDocument/2006/relationships/hyperlink" Target="https://www.cnn.com/2023/07/16/weather/canada-wildfires-us-air-quality-alerts-sunday/index.html" TargetMode="External"/><Relationship Id="rId6" Type="http://schemas.openxmlformats.org/officeDocument/2006/relationships/hyperlink" Target="https://stateclimate.org/about-us/" TargetMode="External"/><Relationship Id="rId5" Type="http://schemas.openxmlformats.org/officeDocument/2006/relationships/hyperlink" Target="https://www.cdc.gov/nceh/tracking/index.html" TargetMode="External"/><Relationship Id="rId4" Type="http://schemas.openxmlformats.org/officeDocument/2006/relationships/hyperlink" Target="https://www.cdc.gov/climateandhealth/crsci_grantee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A647E-2D07-4274-8EEB-BC1D6E07D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8</Pages>
  <Words>2992</Words>
  <Characters>17060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Borjan, Marija [DOH]</dc:creator>
  <cp:keywords/>
  <dc:description/>
  <cp:lastModifiedBy>Borjan, Marija [DOH]</cp:lastModifiedBy>
  <cp:revision>4</cp:revision>
  <dcterms:created xsi:type="dcterms:W3CDTF">2023-08-03T16:15:00Z</dcterms:created>
  <dcterms:modified xsi:type="dcterms:W3CDTF">2023-08-03T17:08:00Z</dcterms:modified>
</cp:coreProperties>
</file>