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A04DE0E" w14:textId="77777777" w:rsidR="0071246B" w:rsidRPr="009F7680" w:rsidRDefault="0071246B" w:rsidP="0071246B">
      <w:pPr>
        <w:spacing w:after="0" w:line="240" w:lineRule="auto"/>
      </w:pPr>
    </w:p>
    <w:p w14:paraId="27C7CB6E" w14:textId="77777777" w:rsidR="0071246B" w:rsidRDefault="0071246B" w:rsidP="0071246B">
      <w:pPr>
        <w:spacing w:after="0" w:line="240" w:lineRule="auto"/>
        <w:ind w:firstLine="720"/>
      </w:pPr>
      <w:r>
        <w:t xml:space="preserve">Climate-change related issues including extreme heat, wildfires, and floods, pose substantial risks to occupational health. Extreme weather events and environmental hazards will result in direct and indirect effects on the health and wellbeing of workers. Understanding which workers will be most affected by climate change related events is critical to emergency preparedness and response. Occupational health surveillance plays a vital role in identifying, tracking, and understanding the impact of injuries and illnesses among workers, which informs intervention and prevention strategies. Extending occupational health surveillance beyond traditional occupational injuries and illnesses is necessary in the face of changing environmental conditions. By focusing on climate-related outcomes in occupational health surveillance, health departments can provide critical insights into emerging health risks faced by workers. Climate change poses unique and complex risks to workers. </w:t>
      </w:r>
    </w:p>
    <w:p w14:paraId="36D3F6AE" w14:textId="54BF495F" w:rsidR="0071246B" w:rsidRDefault="0071246B" w:rsidP="0071246B">
      <w:pPr>
        <w:spacing w:after="0" w:line="240" w:lineRule="auto"/>
        <w:ind w:firstLine="720"/>
        <w:rPr>
          <w:color w:val="FF0000"/>
        </w:rPr>
      </w:pPr>
      <w:r>
        <w:t xml:space="preserve">The primary goal of this document is to provide guidance for occupational health professionals to explore climate-change related outcomes for occupational health surveillance. There is considerable variation in climate-related outcomes in the United States; this document will serve as a resource for approaches to defining heat, wildfire, and flood-related health outcomes for workers. While there are other extreme weather event related outcomes, such as extreme cold, and storm-related impacts, these are not the focus of this document. By offering a framework for occupational health surveillance in the context of climate change, this white paper indents to support health departments in developing their own </w:t>
      </w:r>
      <w:r>
        <w:rPr>
          <w:color w:val="FF0000"/>
        </w:rPr>
        <w:t xml:space="preserve">approaches to __________. </w:t>
      </w:r>
    </w:p>
    <w:p w14:paraId="496E9ECC" w14:textId="77777777" w:rsidR="0071246B" w:rsidRPr="00815F11" w:rsidRDefault="0071246B" w:rsidP="0071246B">
      <w:pPr>
        <w:spacing w:after="0" w:line="240" w:lineRule="auto"/>
        <w:ind w:firstLine="720"/>
      </w:pPr>
    </w:p>
    <w:p w14:paraId="3397F9D0" w14:textId="0F30873A" w:rsidR="00FB66E3" w:rsidRPr="0071246B" w:rsidRDefault="00FB66E3" w:rsidP="0071246B">
      <w:pPr>
        <w:pStyle w:val="ListParagraph"/>
        <w:numPr>
          <w:ilvl w:val="0"/>
          <w:numId w:val="6"/>
        </w:numPr>
        <w:spacing w:after="0" w:line="240" w:lineRule="auto"/>
        <w:rPr>
          <w:color w:val="2E74B5" w:themeColor="accent5" w:themeShade="BF"/>
        </w:rPr>
      </w:pPr>
      <w:commentRangeStart w:id="0"/>
      <w:r w:rsidRPr="0071246B">
        <w:rPr>
          <w:color w:val="2E74B5" w:themeColor="accent5" w:themeShade="BF"/>
        </w:rPr>
        <w:t xml:space="preserve">Inclusion of Map with Climate Zones </w:t>
      </w:r>
      <w:commentRangeEnd w:id="0"/>
      <w:r w:rsidR="0071246B">
        <w:rPr>
          <w:rStyle w:val="CommentReference"/>
        </w:rPr>
        <w:commentReference w:id="0"/>
      </w:r>
    </w:p>
    <w:p w14:paraId="18E96101" w14:textId="77777777" w:rsidR="0071246B" w:rsidRPr="0071246B" w:rsidRDefault="0071246B" w:rsidP="0071246B">
      <w:pPr>
        <w:pStyle w:val="ListParagraph"/>
        <w:spacing w:after="0" w:line="240" w:lineRule="auto"/>
        <w:ind w:left="1080"/>
        <w:rPr>
          <w:color w:val="2E74B5" w:themeColor="accent5" w:themeShade="BF"/>
        </w:rPr>
      </w:pPr>
    </w:p>
    <w:p w14:paraId="7D8EC32E" w14:textId="77777777" w:rsidR="0071246B" w:rsidRPr="0071246B" w:rsidRDefault="00926497" w:rsidP="0071246B">
      <w:pPr>
        <w:pStyle w:val="ListParagraph"/>
        <w:numPr>
          <w:ilvl w:val="0"/>
          <w:numId w:val="1"/>
        </w:numPr>
        <w:spacing w:after="0" w:line="240" w:lineRule="auto"/>
        <w:rPr>
          <w:color w:val="2E74B5" w:themeColor="accent5" w:themeShade="BF"/>
        </w:rPr>
      </w:pPr>
      <w:r w:rsidRPr="0071246B">
        <w:rPr>
          <w:color w:val="2E74B5" w:themeColor="accent5" w:themeShade="BF"/>
        </w:rPr>
        <w:t>Identifying a climate-related outcome for occupational health surveillance</w:t>
      </w:r>
      <w:r w:rsidR="005B27DF" w:rsidRPr="0071246B">
        <w:rPr>
          <w:color w:val="2E74B5" w:themeColor="accent5" w:themeShade="BF"/>
        </w:rPr>
        <w:t xml:space="preserve"> in your jurisdiction</w:t>
      </w:r>
      <w:r w:rsidR="00A76151" w:rsidRPr="0071246B">
        <w:rPr>
          <w:color w:val="2E74B5" w:themeColor="accent5" w:themeShade="BF"/>
        </w:rPr>
        <w:t xml:space="preserve"> </w:t>
      </w:r>
      <w:r w:rsidR="00A76151" w:rsidRPr="0071246B">
        <w:rPr>
          <w:color w:val="2E74B5" w:themeColor="accent5" w:themeShade="BF"/>
          <w:highlight w:val="cyan"/>
        </w:rPr>
        <w:t>(</w:t>
      </w:r>
      <w:r w:rsidR="004E068C" w:rsidRPr="0071246B">
        <w:rPr>
          <w:color w:val="2E74B5" w:themeColor="accent5" w:themeShade="BF"/>
          <w:highlight w:val="cyan"/>
        </w:rPr>
        <w:t>Group</w:t>
      </w:r>
      <w:r w:rsidR="00A76151" w:rsidRPr="0071246B">
        <w:rPr>
          <w:color w:val="2E74B5" w:themeColor="accent5" w:themeShade="BF"/>
          <w:highlight w:val="cyan"/>
        </w:rPr>
        <w:t>)</w:t>
      </w:r>
    </w:p>
    <w:p w14:paraId="302E6064" w14:textId="77777777" w:rsidR="0071246B" w:rsidRDefault="0071246B" w:rsidP="0071246B">
      <w:pPr>
        <w:spacing w:after="0" w:line="240" w:lineRule="auto"/>
      </w:pPr>
    </w:p>
    <w:p w14:paraId="3A61688D" w14:textId="3AA1FCC3" w:rsidR="0071246B" w:rsidRDefault="0071246B" w:rsidP="0071246B">
      <w:pPr>
        <w:spacing w:after="0" w:line="240" w:lineRule="auto"/>
      </w:pPr>
      <w:r>
        <w:t xml:space="preserve">Identifying climate-related health outcomes for occupational health surveillance requires considering the types of industries and occupations within a given jurisdiction. Some industries and occupations will be at greater risk for climate related health outcomes than others. States can utilize the National Institute for Occupational Safety and Health (NIOSH) Employment Labor Force Query (ELF) system to estimate the number of workers within </w:t>
      </w:r>
      <w:proofErr w:type="gramStart"/>
      <w:r>
        <w:t>particular industries</w:t>
      </w:r>
      <w:proofErr w:type="gramEnd"/>
      <w:r>
        <w:t xml:space="preserve"> or occupations to enumerate the number of workers at risk for a climate-related outcome. This information can provide insight into the magnitude and distribution of potentially impacted workers, enabling targeted interventions. States should consider integrating social vulnerability indices, which can help identify where occupational vulnerabilities intersect with broader socioeconomic vulnerabilities, including income and education </w:t>
      </w:r>
      <w:r w:rsidRPr="00A31329">
        <w:t xml:space="preserve">level, </w:t>
      </w:r>
      <w:r>
        <w:t xml:space="preserve">race/ethnicity, health insurance and housing quality. </w:t>
      </w:r>
    </w:p>
    <w:p w14:paraId="0B99D9E1" w14:textId="77777777" w:rsidR="0071246B" w:rsidRDefault="0071246B" w:rsidP="0071246B">
      <w:pPr>
        <w:spacing w:after="0" w:line="240" w:lineRule="auto"/>
      </w:pPr>
    </w:p>
    <w:p w14:paraId="15BA8117" w14:textId="43F80A56"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Emphasizing occupation as a determinant of health</w:t>
      </w:r>
    </w:p>
    <w:p w14:paraId="1DB155B8" w14:textId="2EBD0F53" w:rsidR="00A17571" w:rsidRPr="0071246B" w:rsidRDefault="00A17571" w:rsidP="00A17571">
      <w:pPr>
        <w:pStyle w:val="ListParagraph"/>
        <w:numPr>
          <w:ilvl w:val="2"/>
          <w:numId w:val="1"/>
        </w:numPr>
        <w:spacing w:after="0" w:line="240" w:lineRule="auto"/>
        <w:rPr>
          <w:color w:val="2E74B5" w:themeColor="accent5" w:themeShade="BF"/>
        </w:rPr>
      </w:pPr>
      <w:r w:rsidRPr="0071246B">
        <w:rPr>
          <w:color w:val="2E74B5" w:themeColor="accent5" w:themeShade="BF"/>
        </w:rPr>
        <w:t>What is the income/racial/ethnic make-up of the state – how</w:t>
      </w:r>
      <w:r w:rsidR="00A21C08" w:rsidRPr="0071246B">
        <w:rPr>
          <w:color w:val="2E74B5" w:themeColor="accent5" w:themeShade="BF"/>
        </w:rPr>
        <w:t xml:space="preserve"> does this overlap with</w:t>
      </w:r>
      <w:r w:rsidRPr="0071246B">
        <w:rPr>
          <w:color w:val="2E74B5" w:themeColor="accent5" w:themeShade="BF"/>
        </w:rPr>
        <w:t xml:space="preserve"> I/</w:t>
      </w:r>
      <w:proofErr w:type="gramStart"/>
      <w:r w:rsidRPr="0071246B">
        <w:rPr>
          <w:color w:val="2E74B5" w:themeColor="accent5" w:themeShade="BF"/>
        </w:rPr>
        <w:t>O</w:t>
      </w:r>
      <w:proofErr w:type="gramEnd"/>
    </w:p>
    <w:p w14:paraId="61834084" w14:textId="3EEFD2DE" w:rsidR="006C340C" w:rsidRPr="0071246B" w:rsidRDefault="006C340C" w:rsidP="00A17571">
      <w:pPr>
        <w:pStyle w:val="ListParagraph"/>
        <w:numPr>
          <w:ilvl w:val="2"/>
          <w:numId w:val="1"/>
        </w:numPr>
        <w:spacing w:after="0" w:line="240" w:lineRule="auto"/>
        <w:rPr>
          <w:color w:val="2E74B5" w:themeColor="accent5" w:themeShade="BF"/>
        </w:rPr>
      </w:pPr>
      <w:r w:rsidRPr="0071246B">
        <w:rPr>
          <w:color w:val="2E74B5" w:themeColor="accent5" w:themeShade="BF"/>
        </w:rPr>
        <w:t xml:space="preserve">Examples: </w:t>
      </w:r>
      <w:hyperlink r:id="rId12" w:history="1">
        <w:r w:rsidRPr="0071246B">
          <w:rPr>
            <w:rStyle w:val="Hyperlink"/>
            <w:color w:val="2E74B5" w:themeColor="accent5" w:themeShade="BF"/>
          </w:rPr>
          <w:t>EJ Screen</w:t>
        </w:r>
      </w:hyperlink>
      <w:r w:rsidRPr="0071246B">
        <w:rPr>
          <w:color w:val="2E74B5" w:themeColor="accent5" w:themeShade="BF"/>
        </w:rPr>
        <w:t>,</w:t>
      </w:r>
      <w:hyperlink r:id="rId13" w:history="1">
        <w:r w:rsidRPr="0071246B">
          <w:rPr>
            <w:rStyle w:val="Hyperlink"/>
            <w:color w:val="2E74B5" w:themeColor="accent5" w:themeShade="BF"/>
          </w:rPr>
          <w:t xml:space="preserve"> County Health Rankings</w:t>
        </w:r>
      </w:hyperlink>
      <w:r w:rsidRPr="0071246B">
        <w:rPr>
          <w:color w:val="2E74B5" w:themeColor="accent5" w:themeShade="BF"/>
        </w:rPr>
        <w:t xml:space="preserve"> </w:t>
      </w:r>
    </w:p>
    <w:p w14:paraId="63FACCEC" w14:textId="04CC26CB" w:rsidR="00B0530D" w:rsidRPr="0071246B" w:rsidRDefault="00B0530D" w:rsidP="005B27DF">
      <w:pPr>
        <w:pStyle w:val="ListParagraph"/>
        <w:numPr>
          <w:ilvl w:val="1"/>
          <w:numId w:val="1"/>
        </w:numPr>
        <w:spacing w:after="0" w:line="240" w:lineRule="auto"/>
        <w:rPr>
          <w:color w:val="2E74B5" w:themeColor="accent5" w:themeShade="BF"/>
        </w:rPr>
      </w:pPr>
      <w:r w:rsidRPr="0071246B">
        <w:rPr>
          <w:color w:val="2E74B5" w:themeColor="accent5" w:themeShade="BF"/>
        </w:rPr>
        <w:t>Besides traditional first responders (i.e., fire, police, EMS), who else would be involved in response and recovery (i.e., tree-care, construction</w:t>
      </w:r>
      <w:r w:rsidR="00336CE2" w:rsidRPr="0071246B">
        <w:rPr>
          <w:color w:val="2E74B5" w:themeColor="accent5" w:themeShade="BF"/>
        </w:rPr>
        <w:t>, national guard</w:t>
      </w:r>
      <w:r w:rsidR="00204CF0" w:rsidRPr="0071246B">
        <w:rPr>
          <w:color w:val="2E74B5" w:themeColor="accent5" w:themeShade="BF"/>
        </w:rPr>
        <w:t>?</w:t>
      </w:r>
      <w:r w:rsidRPr="0071246B">
        <w:rPr>
          <w:color w:val="2E74B5" w:themeColor="accent5" w:themeShade="BF"/>
        </w:rPr>
        <w:t>)</w:t>
      </w:r>
      <w:r w:rsidR="004E068C" w:rsidRPr="0071246B">
        <w:rPr>
          <w:color w:val="2E74B5" w:themeColor="accent5" w:themeShade="BF"/>
        </w:rPr>
        <w:t xml:space="preserve"> </w:t>
      </w:r>
      <w:r w:rsidR="004E068C" w:rsidRPr="0071246B">
        <w:rPr>
          <w:color w:val="2E74B5" w:themeColor="accent5" w:themeShade="BF"/>
          <w:highlight w:val="cyan"/>
        </w:rPr>
        <w:t>(Ximena)</w:t>
      </w:r>
    </w:p>
    <w:p w14:paraId="68C88621" w14:textId="77777777" w:rsidR="004D0A86" w:rsidRDefault="004D0A86" w:rsidP="004D0A86"/>
    <w:p w14:paraId="594A99BA" w14:textId="4D985A2E" w:rsidR="004D0A86" w:rsidRDefault="004D0A86" w:rsidP="004D0A86">
      <w:r>
        <w:lastRenderedPageBreak/>
        <w:t>Besides workers who respond to assist with first-aid, treatment, and recovery during climate change disasters, other workers can be affected.  During Hurricane Sandy, New Jersey found increased tree-injury related emergency department room visits.</w:t>
      </w:r>
      <w:r>
        <w:rPr>
          <w:rStyle w:val="FootnoteReference"/>
        </w:rPr>
        <w:footnoteReference w:id="1"/>
      </w:r>
      <w:r>
        <w:t xml:space="preserve"> These findings prompted a more detailed investigation about the nature of work.</w:t>
      </w:r>
      <w:r>
        <w:rPr>
          <w:rStyle w:val="FootnoteReference"/>
        </w:rPr>
        <w:footnoteReference w:id="2"/>
      </w:r>
      <w:r>
        <w:t xml:space="preserve"> Utility workers clear trees from power lines while municipal workers clear from roadways – both at risk of injuries due to response. These findings highlight how other workers can incur injuries or illnesses due to disaster events.  </w:t>
      </w:r>
    </w:p>
    <w:p w14:paraId="1DF858AD" w14:textId="77777777" w:rsidR="004D0A86" w:rsidRDefault="004D0A86" w:rsidP="004D0A86">
      <w:r>
        <w:t>Slow moving c</w:t>
      </w:r>
      <w:r w:rsidRPr="000C2B3C">
        <w:t>hanges to the climate</w:t>
      </w:r>
      <w:r>
        <w:t xml:space="preserve">, </w:t>
      </w:r>
      <w:r w:rsidRPr="000C2B3C">
        <w:t>not defined by discrete time periods</w:t>
      </w:r>
      <w:r>
        <w:t xml:space="preserve"> as during disasters, can </w:t>
      </w:r>
      <w:r w:rsidRPr="000C2B3C">
        <w:t xml:space="preserve">upend our preconceptions </w:t>
      </w:r>
      <w:r>
        <w:t>about</w:t>
      </w:r>
      <w:r w:rsidRPr="000C2B3C">
        <w:t xml:space="preserve"> which workers may be considered at high-risk. Health care support workers, aides, work indoors and are not typically considered at risk of wildfire smoke. Yet, health care support workers acted as first responders evacuating residents from assisted living and skilled nursing facilities during the 2018 California Camp fire.</w:t>
      </w:r>
      <w:r w:rsidRPr="000C2B3C">
        <w:rPr>
          <w:rStyle w:val="FootnoteReference"/>
        </w:rPr>
        <w:footnoteReference w:id="3"/>
      </w:r>
      <w:r w:rsidRPr="000C2B3C">
        <w:t xml:space="preserve"> Hence, understanding the number of workers </w:t>
      </w:r>
      <w:r>
        <w:t>employed in an occupation</w:t>
      </w:r>
      <w:r w:rsidRPr="000C2B3C">
        <w:t xml:space="preserve"> may </w:t>
      </w:r>
      <w:r>
        <w:t>be critical to know in advance</w:t>
      </w:r>
      <w:r w:rsidRPr="000C2B3C">
        <w:t xml:space="preserve">.  </w:t>
      </w:r>
    </w:p>
    <w:p w14:paraId="5B6EB219" w14:textId="77777777" w:rsidR="004D0A86" w:rsidRDefault="004D0A86" w:rsidP="004D0A86">
      <w:r w:rsidRPr="000C2B3C">
        <w:t xml:space="preserve">As the first step, understanding who the population of workers are within each </w:t>
      </w:r>
      <w:r>
        <w:t>jurisdiction</w:t>
      </w:r>
      <w:r w:rsidRPr="000C2B3C">
        <w:t xml:space="preserve"> is fundamental. We provide some potential </w:t>
      </w:r>
      <w:r w:rsidRPr="004D0A86">
        <w:rPr>
          <w:i/>
          <w:iCs/>
        </w:rPr>
        <w:t>a priori</w:t>
      </w:r>
      <w:r w:rsidRPr="000C2B3C">
        <w:t xml:space="preserve"> approaches to understanding the workforce within each jurisdiction.</w:t>
      </w:r>
    </w:p>
    <w:p w14:paraId="40B34D56" w14:textId="12BE12B4" w:rsidR="004D0A86" w:rsidRPr="004D0A86" w:rsidRDefault="004D0A86" w:rsidP="004D0A86">
      <w:pPr>
        <w:rPr>
          <w:i/>
          <w:iCs/>
        </w:rPr>
      </w:pPr>
      <w:r w:rsidRPr="004D0A86">
        <w:rPr>
          <w:i/>
          <w:iCs/>
        </w:rPr>
        <w:t>Approaches to Characteriz</w:t>
      </w:r>
      <w:r>
        <w:rPr>
          <w:i/>
          <w:iCs/>
        </w:rPr>
        <w:t>e</w:t>
      </w:r>
      <w:r w:rsidRPr="004D0A86">
        <w:rPr>
          <w:i/>
          <w:iCs/>
        </w:rPr>
        <w:t xml:space="preserve"> Worker Populations</w:t>
      </w:r>
      <w:r>
        <w:rPr>
          <w:i/>
          <w:iCs/>
        </w:rPr>
        <w:t>:</w:t>
      </w:r>
    </w:p>
    <w:p w14:paraId="39AAB76E" w14:textId="77777777" w:rsidR="004D0A86" w:rsidRPr="000C2B3C" w:rsidRDefault="004D0A86" w:rsidP="004D0A86">
      <w:r w:rsidRPr="000C2B3C">
        <w:t>Essential workers, as identified using NIOSH Essential Industries matrix</w:t>
      </w:r>
      <w:r>
        <w:rPr>
          <w:rStyle w:val="FootnoteReference"/>
        </w:rPr>
        <w:footnoteReference w:id="4"/>
      </w:r>
      <w:r w:rsidRPr="000C2B3C">
        <w:t xml:space="preserve">, ensure critical functions keep society functioning during emergency situations such as a pandemic or natural disaster. New tools like the NIOSH Essential Workers Code Set (coded to </w:t>
      </w:r>
      <w:r>
        <w:t>2017 North American Industry NAICS, 2012 NAICS and 2012 CIC with industry-occupation pairs coded 2012 CIC-2010</w:t>
      </w:r>
      <w:r w:rsidRPr="000C2B3C">
        <w:t xml:space="preserve">) may also be used to identify potentially high-risk industries.  For example, when coupled to ELF data, states can key in on industries deemed mostly essential. </w:t>
      </w:r>
    </w:p>
    <w:p w14:paraId="654BD2F9" w14:textId="77777777" w:rsidR="004D0A86" w:rsidRPr="000C2B3C" w:rsidRDefault="004D0A86" w:rsidP="004D0A86">
      <w:r w:rsidRPr="000C2B3C">
        <w:t>The CSTE SARS-CoV-2 Occupational Exposure Matrix</w:t>
      </w:r>
      <w:r>
        <w:t xml:space="preserve"> (SOEM)</w:t>
      </w:r>
      <w:r w:rsidRPr="000C2B3C">
        <w:t xml:space="preserve"> (coded to 2010 SOC and 2010 COC) may be employed to define which groups and how many workers may be potentially at risk of environmental impacts. For example, states can use the NIOSH Employed Labor Force (ELF) data</w:t>
      </w:r>
      <w:r w:rsidRPr="000C2B3C">
        <w:rPr>
          <w:rStyle w:val="FootnoteReference"/>
        </w:rPr>
        <w:footnoteReference w:id="5"/>
      </w:r>
      <w:r w:rsidRPr="000C2B3C">
        <w:t>, which uses Current Population Survey, to understand who may be working indoors versus outdoors</w:t>
      </w:r>
      <w:r>
        <w:t xml:space="preserve"> (Figure 1)</w:t>
      </w:r>
      <w:r w:rsidRPr="000C2B3C">
        <w:t xml:space="preserve">. </w:t>
      </w:r>
      <w:r>
        <w:t>Jurisdictions</w:t>
      </w:r>
      <w:r w:rsidRPr="000C2B3C">
        <w:t xml:space="preserve"> can opt to use the American Community Survey 5-year data for more stable estimates</w:t>
      </w:r>
      <w:r>
        <w:t>,</w:t>
      </w:r>
      <w:r w:rsidRPr="000C2B3C">
        <w:t xml:space="preserve"> but </w:t>
      </w:r>
      <w:r>
        <w:t>they may</w:t>
      </w:r>
      <w:r w:rsidRPr="000C2B3C">
        <w:t xml:space="preserve"> need to</w:t>
      </w:r>
      <w:r>
        <w:t xml:space="preserve"> convert to 2010 COC or 2018 SOC to use with the SOEM</w:t>
      </w:r>
      <w:r w:rsidRPr="000C2B3C">
        <w:t xml:space="preserve">.   </w:t>
      </w:r>
    </w:p>
    <w:p w14:paraId="28E97665" w14:textId="77777777" w:rsidR="004D0A86" w:rsidRPr="004D0A86" w:rsidRDefault="004D0A86" w:rsidP="004D0A86">
      <w:pPr>
        <w:rPr>
          <w:b/>
          <w:bCs/>
        </w:rPr>
      </w:pPr>
      <w:r w:rsidRPr="004D0A86">
        <w:rPr>
          <w:b/>
          <w:bCs/>
          <w:i/>
          <w:iCs/>
        </w:rPr>
        <w:lastRenderedPageBreak/>
        <w:t>Figure 1. California Worker Population (16-60+ years) Characterized by the SARS-CoV-2 Exposure Matrix</w:t>
      </w:r>
      <w:r w:rsidRPr="004D0A86">
        <w:rPr>
          <w:b/>
          <w:bCs/>
          <w:vertAlign w:val="superscript"/>
        </w:rPr>
        <w:t>1</w:t>
      </w:r>
    </w:p>
    <w:p w14:paraId="1F6FD5AA" w14:textId="77777777" w:rsidR="004D0A86" w:rsidRPr="004D0A86" w:rsidRDefault="004D0A86" w:rsidP="004D0A86">
      <w:pPr>
        <w:spacing w:after="0" w:line="240" w:lineRule="auto"/>
        <w:jc w:val="center"/>
        <w:rPr>
          <w:rFonts w:ascii="Times New Roman" w:eastAsia="Times New Roman" w:hAnsi="Times New Roman" w:cs="Times New Roman"/>
          <w:sz w:val="24"/>
          <w:szCs w:val="24"/>
        </w:rPr>
      </w:pPr>
      <w:r>
        <w:rPr>
          <w:noProof/>
        </w:rPr>
        <w:drawing>
          <wp:inline distT="0" distB="0" distL="0" distR="0" wp14:anchorId="4C94A6C3" wp14:editId="7DCE6313">
            <wp:extent cx="3993264" cy="2271171"/>
            <wp:effectExtent l="0" t="0" r="762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rotWithShape="1">
                    <a:blip r:embed="rId14">
                      <a:extLst>
                        <a:ext uri="{28A0092B-C50C-407E-A947-70E740481C1C}">
                          <a14:useLocalDpi xmlns:a14="http://schemas.microsoft.com/office/drawing/2010/main" val="0"/>
                        </a:ext>
                      </a:extLst>
                    </a:blip>
                    <a:srcRect t="6622"/>
                    <a:stretch/>
                  </pic:blipFill>
                  <pic:spPr bwMode="auto">
                    <a:xfrm>
                      <a:off x="0" y="0"/>
                      <a:ext cx="4023975" cy="2288638"/>
                    </a:xfrm>
                    <a:prstGeom prst="rect">
                      <a:avLst/>
                    </a:prstGeom>
                    <a:ln>
                      <a:noFill/>
                    </a:ln>
                    <a:extLst>
                      <a:ext uri="{53640926-AAD7-44D8-BBD7-CCE9431645EC}">
                        <a14:shadowObscured xmlns:a14="http://schemas.microsoft.com/office/drawing/2010/main"/>
                      </a:ext>
                    </a:extLst>
                  </pic:spPr>
                </pic:pic>
              </a:graphicData>
            </a:graphic>
          </wp:inline>
        </w:drawing>
      </w:r>
    </w:p>
    <w:p w14:paraId="20648D7D" w14:textId="77777777" w:rsidR="004D0A86" w:rsidRPr="000C2B3C" w:rsidRDefault="004D0A86" w:rsidP="004D0A86">
      <w:r w:rsidRPr="000C2B3C">
        <w:t xml:space="preserve">Jurisdictions </w:t>
      </w:r>
      <w:r>
        <w:t>may choose</w:t>
      </w:r>
      <w:r w:rsidRPr="000C2B3C">
        <w:t xml:space="preserve"> to monitor </w:t>
      </w:r>
      <w:r>
        <w:t xml:space="preserve">the emergence and decline of industries </w:t>
      </w:r>
      <w:r w:rsidRPr="000C2B3C">
        <w:t>over time. The US has seen a rise in disaster clean-up industries as climate events occur more regularly and with higher severity.</w:t>
      </w:r>
      <w:r w:rsidRPr="000C2B3C">
        <w:rPr>
          <w:rStyle w:val="FootnoteReference"/>
        </w:rPr>
        <w:t xml:space="preserve"> </w:t>
      </w:r>
      <w:r w:rsidRPr="000C2B3C">
        <w:rPr>
          <w:rStyle w:val="FootnoteReference"/>
        </w:rPr>
        <w:footnoteReference w:id="6"/>
      </w:r>
      <w:r w:rsidRPr="000C2B3C">
        <w:t xml:space="preserve"> These companies </w:t>
      </w:r>
      <w:r>
        <w:t>may rely on</w:t>
      </w:r>
      <w:r w:rsidRPr="000C2B3C">
        <w:t xml:space="preserve"> volunteers or workers </w:t>
      </w:r>
      <w:r>
        <w:t xml:space="preserve">migrating </w:t>
      </w:r>
      <w:r w:rsidRPr="000C2B3C">
        <w:t xml:space="preserve">from other regions or countries ---thus, challenging to enumerate using traditional national surveys. </w:t>
      </w:r>
      <w:r>
        <w:t>O</w:t>
      </w:r>
      <w:r w:rsidRPr="000C2B3C">
        <w:t xml:space="preserve">ngoing assessment of the workforce by industry </w:t>
      </w:r>
      <w:r>
        <w:t>within a jurisdiction using survey data source remains a reasonable approach, despite data source limitations</w:t>
      </w:r>
      <w:r w:rsidRPr="000C2B3C">
        <w:t xml:space="preserve">.  </w:t>
      </w:r>
    </w:p>
    <w:p w14:paraId="378269A4" w14:textId="77777777" w:rsidR="004D0A86" w:rsidRPr="004D0A86" w:rsidRDefault="004D0A86" w:rsidP="004D0A86">
      <w:pPr>
        <w:spacing w:after="0" w:line="240" w:lineRule="auto"/>
        <w:rPr>
          <w:color w:val="2E74B5" w:themeColor="accent5" w:themeShade="BF"/>
        </w:rPr>
      </w:pPr>
    </w:p>
    <w:p w14:paraId="6A4096B3" w14:textId="4A4BFFEE" w:rsidR="004B0F8B" w:rsidRPr="0071246B" w:rsidRDefault="005B27DF" w:rsidP="004B0F8B">
      <w:pPr>
        <w:pStyle w:val="ListParagraph"/>
        <w:numPr>
          <w:ilvl w:val="1"/>
          <w:numId w:val="1"/>
        </w:numPr>
        <w:spacing w:after="0" w:line="240" w:lineRule="auto"/>
        <w:rPr>
          <w:color w:val="2E74B5" w:themeColor="accent5" w:themeShade="BF"/>
        </w:rPr>
      </w:pPr>
      <w:r w:rsidRPr="0071246B">
        <w:rPr>
          <w:color w:val="2E74B5" w:themeColor="accent5" w:themeShade="BF"/>
        </w:rPr>
        <w:t>What is the state of climate in your region?</w:t>
      </w:r>
      <w:r w:rsidR="00D13238" w:rsidRPr="0071246B">
        <w:rPr>
          <w:color w:val="2E74B5" w:themeColor="accent5" w:themeShade="BF"/>
        </w:rPr>
        <w:t xml:space="preserve"> What </w:t>
      </w:r>
      <w:proofErr w:type="gramStart"/>
      <w:r w:rsidR="00D13238" w:rsidRPr="0071246B">
        <w:rPr>
          <w:color w:val="2E74B5" w:themeColor="accent5" w:themeShade="BF"/>
        </w:rPr>
        <w:t>are</w:t>
      </w:r>
      <w:proofErr w:type="gramEnd"/>
      <w:r w:rsidR="00D13238" w:rsidRPr="0071246B">
        <w:rPr>
          <w:color w:val="2E74B5" w:themeColor="accent5" w:themeShade="BF"/>
        </w:rPr>
        <w:t xml:space="preserve"> the climate-related impacts your jurisdiction has experienced (increased temps, fires, hurricanes)? </w:t>
      </w:r>
      <w:r w:rsidR="00FB66E3" w:rsidRPr="0071246B">
        <w:rPr>
          <w:color w:val="2E74B5" w:themeColor="accent5" w:themeShade="BF"/>
        </w:rPr>
        <w:t xml:space="preserve"> (</w:t>
      </w:r>
      <w:proofErr w:type="gramStart"/>
      <w:r w:rsidR="00FB66E3" w:rsidRPr="0071246B">
        <w:rPr>
          <w:color w:val="2E74B5" w:themeColor="accent5" w:themeShade="BF"/>
        </w:rPr>
        <w:t>work</w:t>
      </w:r>
      <w:proofErr w:type="gramEnd"/>
      <w:r w:rsidR="00FB66E3" w:rsidRPr="0071246B">
        <w:rPr>
          <w:color w:val="2E74B5" w:themeColor="accent5" w:themeShade="BF"/>
        </w:rPr>
        <w:t xml:space="preserve"> with EPHT to define the state of climate in your region). Work with state climatologist. </w:t>
      </w:r>
      <w:r w:rsidR="004E068C" w:rsidRPr="0071246B">
        <w:rPr>
          <w:color w:val="2E74B5" w:themeColor="accent5" w:themeShade="BF"/>
        </w:rPr>
        <w:t xml:space="preserve"> </w:t>
      </w:r>
      <w:r w:rsidR="004E068C" w:rsidRPr="0071246B">
        <w:rPr>
          <w:color w:val="2E74B5" w:themeColor="accent5" w:themeShade="BF"/>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7"/>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8"/>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w:t>
      </w:r>
      <w:r w:rsidR="00054FC2">
        <w:lastRenderedPageBreak/>
        <w:t>Climate.gov</w:t>
      </w:r>
      <w:r w:rsidR="00324A82">
        <w:t>.</w:t>
      </w:r>
      <w:r w:rsidR="00866C4E">
        <w:rPr>
          <w:rStyle w:val="FootnoteReference"/>
        </w:rPr>
        <w:footnoteReference w:id="9"/>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1744D048"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“Identifying and engaging potential partners”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10"/>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11"/>
      </w:r>
      <w:r w:rsidR="00DD6536">
        <w:t xml:space="preserve"> 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2B12B097" w:rsidR="00A15D7B" w:rsidRDefault="00A15D7B" w:rsidP="000F4C11">
      <w:pPr>
        <w:spacing w:after="0" w:line="240" w:lineRule="auto"/>
      </w:pPr>
      <w:r>
        <w:t>Most states have a state climatologist whose job it is to study climatic changes and variability and predict the effects of weather and climate for economic</w:t>
      </w:r>
      <w:r w:rsidR="0014727F">
        <w:t xml:space="preserve"> and other</w:t>
      </w:r>
      <w:r>
        <w:t xml:space="preserve"> purposes.</w:t>
      </w:r>
      <w:r w:rsidR="00B944CF">
        <w:rPr>
          <w:rStyle w:val="FootnoteReference"/>
        </w:rPr>
        <w:footnoteReference w:id="12"/>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w:t>
      </w:r>
      <w:r w:rsidR="00FA2EA8">
        <w:t xml:space="preserve">outreach, analysis, or </w:t>
      </w:r>
      <w:r w:rsidR="00292752">
        <w:t xml:space="preserve">mitigation efforts within other branches of state or local government. </w:t>
      </w:r>
    </w:p>
    <w:p w14:paraId="3FE21DBA" w14:textId="609B4EB2" w:rsidR="000A7695" w:rsidRDefault="000A7695" w:rsidP="000F4C11">
      <w:pPr>
        <w:spacing w:after="0" w:line="240" w:lineRule="auto"/>
      </w:pPr>
    </w:p>
    <w:p w14:paraId="4126F29B" w14:textId="2AC8A684" w:rsidR="000A7695" w:rsidRDefault="000A7695" w:rsidP="000F4C11">
      <w:pPr>
        <w:spacing w:after="0" w:line="240" w:lineRule="auto"/>
      </w:pPr>
      <w:r w:rsidRPr="000A7695">
        <w:rPr>
          <w:i/>
          <w:iCs/>
        </w:rPr>
        <w:t>Region specific issues:</w:t>
      </w:r>
      <w:r>
        <w:t xml:space="preserve"> [</w:t>
      </w:r>
      <w:r w:rsidRPr="000A7695">
        <w:rPr>
          <w:highlight w:val="yellow"/>
        </w:rPr>
        <w:t>Example, housing in Wisconsin</w:t>
      </w:r>
      <w:r>
        <w:t>]</w:t>
      </w:r>
    </w:p>
    <w:p w14:paraId="3EA509BA" w14:textId="5C72F052" w:rsidR="00A15D7B" w:rsidRDefault="00A15D7B" w:rsidP="000F4C11">
      <w:pPr>
        <w:spacing w:after="0" w:line="240" w:lineRule="auto"/>
      </w:pPr>
    </w:p>
    <w:p w14:paraId="05010CA0" w14:textId="2AF4E58E" w:rsidR="00FB66E3" w:rsidRPr="0071246B" w:rsidRDefault="00FB66E3" w:rsidP="005B27DF">
      <w:pPr>
        <w:pStyle w:val="ListParagraph"/>
        <w:numPr>
          <w:ilvl w:val="1"/>
          <w:numId w:val="1"/>
        </w:numPr>
        <w:spacing w:after="0" w:line="240" w:lineRule="auto"/>
        <w:rPr>
          <w:color w:val="2E74B5" w:themeColor="accent5" w:themeShade="BF"/>
        </w:rPr>
      </w:pPr>
      <w:r w:rsidRPr="0071246B">
        <w:rPr>
          <w:color w:val="2E74B5" w:themeColor="accent5" w:themeShade="BF"/>
        </w:rPr>
        <w:t xml:space="preserve">Add Brief description of identifying work-related </w:t>
      </w:r>
      <w:r w:rsidR="004E068C" w:rsidRPr="0071246B">
        <w:rPr>
          <w:color w:val="2E74B5" w:themeColor="accent5" w:themeShade="BF"/>
          <w:highlight w:val="cyan"/>
        </w:rPr>
        <w:t>(Marija)</w:t>
      </w:r>
    </w:p>
    <w:p w14:paraId="0892F02F" w14:textId="74CDF98F" w:rsidR="00FB66E3" w:rsidRPr="0071246B" w:rsidRDefault="00FB66E3" w:rsidP="00FB66E3">
      <w:pPr>
        <w:pStyle w:val="ListParagraph"/>
        <w:numPr>
          <w:ilvl w:val="2"/>
          <w:numId w:val="1"/>
        </w:numPr>
        <w:spacing w:after="0" w:line="240" w:lineRule="auto"/>
        <w:rPr>
          <w:color w:val="2E74B5" w:themeColor="accent5" w:themeShade="BF"/>
        </w:rPr>
      </w:pPr>
      <w:r w:rsidRPr="0071246B">
        <w:rPr>
          <w:color w:val="2E74B5" w:themeColor="accent5" w:themeShade="BF"/>
        </w:rPr>
        <w:t>Inclusion / reference to Terry Bunn paper</w:t>
      </w:r>
    </w:p>
    <w:p w14:paraId="1CEBCBA0" w14:textId="28F4C700" w:rsidR="00E71D41" w:rsidRPr="0071246B" w:rsidRDefault="00E71D41" w:rsidP="00FB66E3">
      <w:pPr>
        <w:pStyle w:val="ListParagraph"/>
        <w:numPr>
          <w:ilvl w:val="2"/>
          <w:numId w:val="1"/>
        </w:numPr>
        <w:spacing w:after="0" w:line="240" w:lineRule="auto"/>
        <w:rPr>
          <w:color w:val="2E74B5" w:themeColor="accent5" w:themeShade="BF"/>
        </w:rPr>
      </w:pPr>
      <w:r w:rsidRPr="0071246B">
        <w:rPr>
          <w:color w:val="2E74B5" w:themeColor="accent5" w:themeShade="BF"/>
        </w:rPr>
        <w:t xml:space="preserve">Cite CSTE White paper – syndromic guidance document and </w:t>
      </w:r>
      <w:proofErr w:type="gramStart"/>
      <w:r w:rsidRPr="0071246B">
        <w:rPr>
          <w:color w:val="2E74B5" w:themeColor="accent5" w:themeShade="BF"/>
        </w:rPr>
        <w:t>example</w:t>
      </w:r>
      <w:proofErr w:type="gramEnd"/>
    </w:p>
    <w:p w14:paraId="5E07BC43" w14:textId="69CE4DA0" w:rsidR="00F51F46" w:rsidRDefault="00F51F46" w:rsidP="00F51F46">
      <w:pPr>
        <w:pStyle w:val="ListParagraph"/>
        <w:spacing w:after="0" w:line="240" w:lineRule="auto"/>
        <w:ind w:left="360"/>
        <w:rPr>
          <w:color w:val="2E74B5" w:themeColor="accent5" w:themeShade="BF"/>
        </w:rPr>
      </w:pPr>
    </w:p>
    <w:p w14:paraId="47B3CB18" w14:textId="77777777" w:rsidR="00617252" w:rsidRDefault="00F51F46" w:rsidP="00F51F46">
      <w:pPr>
        <w:spacing w:after="0" w:line="240" w:lineRule="auto"/>
      </w:pPr>
      <w:r>
        <w:t>There is no single source of data that is available that can identify all work-related injuries and illnesses and multiple data sources are often needed to help provide information on the distribution of work-related illnesses and injuries.</w:t>
      </w:r>
      <w:r>
        <w:rPr>
          <w:rStyle w:val="FootnoteReference"/>
        </w:rPr>
        <w:footnoteReference w:id="13"/>
      </w:r>
      <w:r w:rsidRPr="006F1EBD">
        <w:rPr>
          <w:vertAlign w:val="superscript"/>
        </w:rPr>
        <w:t>,</w:t>
      </w:r>
      <w:r>
        <w:rPr>
          <w:rStyle w:val="FootnoteReference"/>
        </w:rPr>
        <w:footnoteReference w:id="14"/>
      </w:r>
      <w:r>
        <w:rPr>
          <w:vertAlign w:val="superscript"/>
        </w:rPr>
        <w:t xml:space="preserve">  </w:t>
      </w:r>
      <w:r>
        <w:t xml:space="preserve">Therefore, states need to identify the data sources they have access to </w:t>
      </w:r>
      <w:r w:rsidR="00617252">
        <w:lastRenderedPageBreak/>
        <w:t xml:space="preserve">in their jurisdiction </w:t>
      </w:r>
      <w:r>
        <w:t xml:space="preserve">and what variables are available in those data sources to help identify work-related injuries and illnesses. </w:t>
      </w:r>
    </w:p>
    <w:p w14:paraId="60CBB8B4" w14:textId="77777777" w:rsidR="00617252" w:rsidRDefault="00617252" w:rsidP="00F51F46">
      <w:pPr>
        <w:spacing w:after="0" w:line="240" w:lineRule="auto"/>
      </w:pPr>
    </w:p>
    <w:p w14:paraId="47FD7697" w14:textId="29E1FD44" w:rsidR="00617252" w:rsidRDefault="00F51F46" w:rsidP="00F51F46">
      <w:pPr>
        <w:spacing w:after="0" w:line="240" w:lineRule="auto"/>
      </w:pPr>
      <w:r>
        <w:t xml:space="preserve">The table below lists the </w:t>
      </w:r>
      <w:proofErr w:type="gramStart"/>
      <w:r>
        <w:t>most commonly used</w:t>
      </w:r>
      <w:proofErr w:type="gramEnd"/>
      <w:r>
        <w:t xml:space="preserve"> data sources for occupational health surveillance along with </w:t>
      </w:r>
      <w:r w:rsidR="00617252">
        <w:t xml:space="preserve">example </w:t>
      </w:r>
      <w:r>
        <w:t>variables</w:t>
      </w:r>
      <w:r w:rsidR="00041542">
        <w:t>,</w:t>
      </w:r>
      <w:r w:rsidR="00617252">
        <w:t xml:space="preserve"> and references</w:t>
      </w:r>
      <w:r w:rsidR="00041542">
        <w:t>,</w:t>
      </w:r>
      <w:r w:rsidR="00617252">
        <w:t xml:space="preserve"> that</w:t>
      </w:r>
      <w:r>
        <w:t xml:space="preserve"> may be used to</w:t>
      </w:r>
      <w:r w:rsidR="00617252">
        <w:t xml:space="preserve"> help determine</w:t>
      </w:r>
      <w:r>
        <w:t xml:space="preserve"> work-relatedness. It should be noted that these variables may </w:t>
      </w:r>
      <w:r w:rsidR="00B178D7">
        <w:t>differ</w:t>
      </w:r>
      <w:r>
        <w:t xml:space="preserve"> by state</w:t>
      </w:r>
      <w:r w:rsidR="00041542">
        <w:t>,</w:t>
      </w:r>
      <w:r w:rsidR="00617252">
        <w:t xml:space="preserve"> as states often have access to different data sources; information for similar data sources may be collected differently state-to-state; and d</w:t>
      </w:r>
      <w:r w:rsidR="00617252" w:rsidRPr="00C33F9B">
        <w:t xml:space="preserve">ata </w:t>
      </w:r>
      <w:r w:rsidR="00617252">
        <w:t xml:space="preserve">may </w:t>
      </w:r>
      <w:r w:rsidR="00617252" w:rsidRPr="00C33F9B">
        <w:t>vary state-to-state as different regions of the country experience different types of work-related injuries and illnesses.</w:t>
      </w:r>
      <w:r w:rsidR="00617252">
        <w:rPr>
          <w:rStyle w:val="FootnoteReference"/>
        </w:rPr>
        <w:footnoteReference w:id="15"/>
      </w:r>
    </w:p>
    <w:p w14:paraId="18F869B0" w14:textId="77777777" w:rsidR="00F51F46" w:rsidRDefault="00F51F46" w:rsidP="00F51F46">
      <w:pPr>
        <w:spacing w:after="0" w:line="240" w:lineRule="auto"/>
      </w:pPr>
    </w:p>
    <w:p w14:paraId="0CFB4BF9" w14:textId="77777777" w:rsidR="00F51F46" w:rsidRDefault="00F51F46" w:rsidP="00F51F46">
      <w:pPr>
        <w:spacing w:after="0" w:line="240" w:lineRule="auto"/>
      </w:pPr>
      <w:r w:rsidRPr="00FB535A">
        <w:rPr>
          <w:b/>
          <w:bCs/>
        </w:rPr>
        <w:t>Table</w:t>
      </w:r>
      <w:r>
        <w:t xml:space="preserve">. Data sources containing work-related </w:t>
      </w:r>
      <w:proofErr w:type="gramStart"/>
      <w:r>
        <w:t>variables</w:t>
      </w:r>
      <w:proofErr w:type="gramEnd"/>
    </w:p>
    <w:p w14:paraId="1F9E4A6E" w14:textId="77777777" w:rsidR="00F51F46" w:rsidRDefault="00F51F46" w:rsidP="00F51F46">
      <w:pPr>
        <w:spacing w:after="0" w:line="240" w:lineRule="auto"/>
      </w:pPr>
    </w:p>
    <w:tbl>
      <w:tblPr>
        <w:tblStyle w:val="TableGrid"/>
        <w:tblW w:w="0" w:type="auto"/>
        <w:tblLook w:val="04A0" w:firstRow="1" w:lastRow="0" w:firstColumn="1" w:lastColumn="0" w:noHBand="0" w:noVBand="1"/>
      </w:tblPr>
      <w:tblGrid>
        <w:gridCol w:w="1795"/>
        <w:gridCol w:w="1710"/>
        <w:gridCol w:w="3455"/>
        <w:gridCol w:w="2390"/>
      </w:tblGrid>
      <w:tr w:rsidR="00F51F46" w:rsidRPr="008635C5" w14:paraId="516B92E9" w14:textId="77777777" w:rsidTr="003D5EDB">
        <w:tc>
          <w:tcPr>
            <w:tcW w:w="1795" w:type="dxa"/>
            <w:shd w:val="clear" w:color="auto" w:fill="D9D9D9" w:themeFill="background1" w:themeFillShade="D9"/>
          </w:tcPr>
          <w:p w14:paraId="169A0F91" w14:textId="77777777" w:rsidR="00F51F46" w:rsidRPr="008635C5" w:rsidRDefault="00F51F46" w:rsidP="003D5EDB">
            <w:pPr>
              <w:rPr>
                <w:b/>
                <w:bCs/>
              </w:rPr>
            </w:pPr>
            <w:r w:rsidRPr="008635C5">
              <w:rPr>
                <w:b/>
                <w:bCs/>
              </w:rPr>
              <w:t>Data Source</w:t>
            </w:r>
          </w:p>
        </w:tc>
        <w:tc>
          <w:tcPr>
            <w:tcW w:w="1710" w:type="dxa"/>
            <w:shd w:val="clear" w:color="auto" w:fill="D9D9D9" w:themeFill="background1" w:themeFillShade="D9"/>
          </w:tcPr>
          <w:p w14:paraId="2F53EA98" w14:textId="77777777" w:rsidR="00F51F46" w:rsidRPr="008635C5" w:rsidRDefault="00F51F46" w:rsidP="003D5EDB">
            <w:pPr>
              <w:rPr>
                <w:b/>
                <w:bCs/>
              </w:rPr>
            </w:pPr>
            <w:r>
              <w:rPr>
                <w:b/>
                <w:bCs/>
              </w:rPr>
              <w:t>Collected By</w:t>
            </w:r>
          </w:p>
        </w:tc>
        <w:tc>
          <w:tcPr>
            <w:tcW w:w="3455" w:type="dxa"/>
            <w:shd w:val="clear" w:color="auto" w:fill="D9D9D9" w:themeFill="background1" w:themeFillShade="D9"/>
          </w:tcPr>
          <w:p w14:paraId="415B968C" w14:textId="77777777" w:rsidR="00F51F46" w:rsidRPr="008635C5" w:rsidRDefault="00F51F46" w:rsidP="003D5EDB">
            <w:pPr>
              <w:rPr>
                <w:b/>
                <w:bCs/>
              </w:rPr>
            </w:pPr>
            <w:r w:rsidRPr="008635C5">
              <w:rPr>
                <w:b/>
                <w:bCs/>
              </w:rPr>
              <w:t>Possible Work Variables*</w:t>
            </w:r>
          </w:p>
        </w:tc>
        <w:tc>
          <w:tcPr>
            <w:tcW w:w="2390" w:type="dxa"/>
            <w:shd w:val="clear" w:color="auto" w:fill="D9D9D9" w:themeFill="background1" w:themeFillShade="D9"/>
          </w:tcPr>
          <w:p w14:paraId="71AB3DB7" w14:textId="77777777" w:rsidR="00F51F46" w:rsidRPr="008635C5" w:rsidRDefault="00F51F46" w:rsidP="003D5EDB">
            <w:pPr>
              <w:rPr>
                <w:b/>
                <w:bCs/>
              </w:rPr>
            </w:pPr>
            <w:r>
              <w:rPr>
                <w:b/>
                <w:bCs/>
              </w:rPr>
              <w:t>References</w:t>
            </w:r>
          </w:p>
        </w:tc>
      </w:tr>
      <w:tr w:rsidR="00F51F46" w14:paraId="3659F7EB" w14:textId="77777777" w:rsidTr="003D5EDB">
        <w:tc>
          <w:tcPr>
            <w:tcW w:w="1795" w:type="dxa"/>
          </w:tcPr>
          <w:p w14:paraId="26EFD12F" w14:textId="77777777" w:rsidR="00F51F46" w:rsidRDefault="00F51F46" w:rsidP="003D5EDB">
            <w:r>
              <w:t>Emergency and Hospital Discharge Data</w:t>
            </w:r>
          </w:p>
        </w:tc>
        <w:tc>
          <w:tcPr>
            <w:tcW w:w="1710" w:type="dxa"/>
          </w:tcPr>
          <w:p w14:paraId="5938B810" w14:textId="77777777" w:rsidR="00F51F46" w:rsidRDefault="00F51F46" w:rsidP="003D5EDB">
            <w:r>
              <w:t>State health department</w:t>
            </w:r>
          </w:p>
        </w:tc>
        <w:tc>
          <w:tcPr>
            <w:tcW w:w="3455" w:type="dxa"/>
          </w:tcPr>
          <w:p w14:paraId="6FFA1C4B" w14:textId="77777777" w:rsidR="00F51F46" w:rsidRDefault="00F51F46" w:rsidP="003D5EDB">
            <w:r>
              <w:t xml:space="preserve">Workers’ Compensation as primary payer; ICD-codes in discharge diagnosis (disease conditions or indicating work-relatedness); V- and Z- codes indicating work-relatedness </w:t>
            </w:r>
          </w:p>
        </w:tc>
        <w:tc>
          <w:tcPr>
            <w:tcW w:w="2390" w:type="dxa"/>
          </w:tcPr>
          <w:p w14:paraId="691C6B52" w14:textId="77777777" w:rsidR="00F51F46" w:rsidRDefault="00000000" w:rsidP="003D5EDB">
            <w:hyperlink r:id="rId15" w:history="1">
              <w:r w:rsidR="00F51F46" w:rsidRPr="0060027F">
                <w:rPr>
                  <w:rStyle w:val="Hyperlink"/>
                </w:rPr>
                <w:t>CSTE Occupational Health Indicators How-To Guide</w:t>
              </w:r>
            </w:hyperlink>
            <w:r w:rsidR="00F51F46">
              <w:t>;</w:t>
            </w:r>
          </w:p>
          <w:p w14:paraId="024E0F38" w14:textId="7C40D513" w:rsidR="00F51F46" w:rsidRDefault="00000000" w:rsidP="003D5EDB">
            <w:hyperlink r:id="rId16" w:history="1">
              <w:r w:rsidR="00F51F46" w:rsidRPr="0060027F">
                <w:rPr>
                  <w:rStyle w:val="Hyperlink"/>
                </w:rPr>
                <w:t>Identification of Work-Related Injuries (Bush et al)</w:t>
              </w:r>
            </w:hyperlink>
          </w:p>
          <w:p w14:paraId="07AA9670" w14:textId="77777777" w:rsidR="00F51F46" w:rsidRDefault="00F51F46" w:rsidP="003D5EDB"/>
        </w:tc>
      </w:tr>
      <w:tr w:rsidR="00F51F46" w14:paraId="19C3FBDA" w14:textId="77777777" w:rsidTr="003D5EDB">
        <w:tc>
          <w:tcPr>
            <w:tcW w:w="1795" w:type="dxa"/>
          </w:tcPr>
          <w:p w14:paraId="3488C9CE" w14:textId="77777777" w:rsidR="00F51F46" w:rsidRDefault="00F51F46" w:rsidP="003D5EDB">
            <w:r>
              <w:t>Death Certificates</w:t>
            </w:r>
          </w:p>
        </w:tc>
        <w:tc>
          <w:tcPr>
            <w:tcW w:w="1710" w:type="dxa"/>
          </w:tcPr>
          <w:p w14:paraId="7EB2AD69" w14:textId="77777777" w:rsidR="00F51F46" w:rsidRDefault="00F51F46" w:rsidP="003D5EDB">
            <w:r>
              <w:t>State vital statistics</w:t>
            </w:r>
          </w:p>
        </w:tc>
        <w:tc>
          <w:tcPr>
            <w:tcW w:w="3455" w:type="dxa"/>
          </w:tcPr>
          <w:p w14:paraId="27B3A396" w14:textId="77777777" w:rsidR="00F51F46" w:rsidRDefault="00F51F46" w:rsidP="003D5EDB">
            <w:r>
              <w:t>Industry and occupation free text fields; location of death; place of injury; employer name and address; flag for injury at work</w:t>
            </w:r>
          </w:p>
        </w:tc>
        <w:tc>
          <w:tcPr>
            <w:tcW w:w="2390" w:type="dxa"/>
          </w:tcPr>
          <w:p w14:paraId="31977082" w14:textId="77777777" w:rsidR="00F51F46" w:rsidRDefault="00F51F46" w:rsidP="003D5EDB"/>
        </w:tc>
      </w:tr>
      <w:tr w:rsidR="00F51F46" w14:paraId="7EF203E7" w14:textId="77777777" w:rsidTr="003D5EDB">
        <w:tc>
          <w:tcPr>
            <w:tcW w:w="1795" w:type="dxa"/>
          </w:tcPr>
          <w:p w14:paraId="0EA19EC2" w14:textId="77777777" w:rsidR="00F51F46" w:rsidRDefault="00F51F46" w:rsidP="003D5EDB">
            <w:r>
              <w:t>Workers’ Compensation</w:t>
            </w:r>
          </w:p>
        </w:tc>
        <w:tc>
          <w:tcPr>
            <w:tcW w:w="1710" w:type="dxa"/>
          </w:tcPr>
          <w:p w14:paraId="695433AB" w14:textId="77777777" w:rsidR="00F51F46" w:rsidRDefault="00F51F46" w:rsidP="003D5EDB">
            <w:r>
              <w:t>Data owner/manager of WC data in your state</w:t>
            </w:r>
          </w:p>
        </w:tc>
        <w:tc>
          <w:tcPr>
            <w:tcW w:w="3455" w:type="dxa"/>
          </w:tcPr>
          <w:p w14:paraId="5E4F13FE" w14:textId="77777777" w:rsidR="00F51F46" w:rsidRDefault="00F51F46" w:rsidP="003D5EDB">
            <w:r>
              <w:t>All data is work-related by default; industry and occupation available; ICD-codes; keyword search in narratives</w:t>
            </w:r>
          </w:p>
        </w:tc>
        <w:tc>
          <w:tcPr>
            <w:tcW w:w="2390" w:type="dxa"/>
          </w:tcPr>
          <w:p w14:paraId="1ABECE31" w14:textId="77777777" w:rsidR="00F51F46" w:rsidRDefault="00000000" w:rsidP="003D5EDB">
            <w:hyperlink r:id="rId17" w:history="1">
              <w:r w:rsidR="00F51F46" w:rsidRPr="0060027F">
                <w:rPr>
                  <w:rStyle w:val="Hyperlink"/>
                </w:rPr>
                <w:t>CSTE Occupational Health Indicators How-To Guide</w:t>
              </w:r>
            </w:hyperlink>
            <w:r w:rsidR="00F51F46">
              <w:t>;</w:t>
            </w:r>
          </w:p>
          <w:p w14:paraId="24F8FC41" w14:textId="77777777" w:rsidR="00F51F46" w:rsidRDefault="00F51F46" w:rsidP="003D5EDB"/>
        </w:tc>
      </w:tr>
      <w:tr w:rsidR="00F51F46" w14:paraId="470B94EB" w14:textId="77777777" w:rsidTr="003D5EDB">
        <w:tc>
          <w:tcPr>
            <w:tcW w:w="1795" w:type="dxa"/>
          </w:tcPr>
          <w:p w14:paraId="258CC143" w14:textId="77777777" w:rsidR="00F51F46" w:rsidRDefault="00F51F46" w:rsidP="003D5EDB">
            <w:r>
              <w:t>Syndromic Surveillance (ESSENCE or in-house system)</w:t>
            </w:r>
          </w:p>
        </w:tc>
        <w:tc>
          <w:tcPr>
            <w:tcW w:w="1710" w:type="dxa"/>
          </w:tcPr>
          <w:p w14:paraId="23DEE30F" w14:textId="77777777" w:rsidR="00F51F46" w:rsidRDefault="00F51F46" w:rsidP="003D5EDB">
            <w:r>
              <w:t xml:space="preserve">Liaison in state health department infectious disease program </w:t>
            </w:r>
          </w:p>
        </w:tc>
        <w:tc>
          <w:tcPr>
            <w:tcW w:w="3455" w:type="dxa"/>
          </w:tcPr>
          <w:p w14:paraId="38B9875F" w14:textId="77777777" w:rsidR="00F51F46" w:rsidRDefault="00F51F46" w:rsidP="003D5EDB">
            <w:r>
              <w:t>Chief complaint keyword search; triage notes; ICD-codes (disease conditions or indicating work-relatedness)</w:t>
            </w:r>
          </w:p>
        </w:tc>
        <w:tc>
          <w:tcPr>
            <w:tcW w:w="2390" w:type="dxa"/>
          </w:tcPr>
          <w:p w14:paraId="408B27F2" w14:textId="77777777" w:rsidR="00F51F46" w:rsidRDefault="00000000" w:rsidP="003D5EDB">
            <w:hyperlink r:id="rId18" w:history="1">
              <w:r w:rsidR="00F51F46" w:rsidRPr="0060027F">
                <w:rPr>
                  <w:rStyle w:val="Hyperlink"/>
                </w:rPr>
                <w:t>CSTE Syndromic Surveillance for Occupational Health Surveillance</w:t>
              </w:r>
            </w:hyperlink>
            <w:r w:rsidR="00F51F46">
              <w:t>;</w:t>
            </w:r>
          </w:p>
          <w:p w14:paraId="35883FFD" w14:textId="77777777" w:rsidR="00F51F46" w:rsidRDefault="00000000" w:rsidP="003D5EDB">
            <w:hyperlink r:id="rId19" w:history="1">
              <w:r w:rsidR="00F51F46" w:rsidRPr="0060027F">
                <w:rPr>
                  <w:rStyle w:val="Hyperlink"/>
                </w:rPr>
                <w:t>Evaluation of State Based Syndromic (Borjan et al)</w:t>
              </w:r>
            </w:hyperlink>
          </w:p>
        </w:tc>
      </w:tr>
      <w:tr w:rsidR="00F51F46" w14:paraId="79082105" w14:textId="77777777" w:rsidTr="003D5EDB">
        <w:tc>
          <w:tcPr>
            <w:tcW w:w="1795" w:type="dxa"/>
          </w:tcPr>
          <w:p w14:paraId="225CC434" w14:textId="77777777" w:rsidR="00F51F46" w:rsidRDefault="00F51F46" w:rsidP="003D5EDB">
            <w:r>
              <w:t>Survey of Occupational Illnesses (SOII)</w:t>
            </w:r>
          </w:p>
        </w:tc>
        <w:tc>
          <w:tcPr>
            <w:tcW w:w="1710" w:type="dxa"/>
          </w:tcPr>
          <w:p w14:paraId="5BDFC7A5" w14:textId="77777777" w:rsidR="00F51F46" w:rsidRDefault="00000000" w:rsidP="003D5EDB">
            <w:hyperlink r:id="rId20" w:history="1">
              <w:r w:rsidR="00F51F46" w:rsidRPr="00830AF0">
                <w:rPr>
                  <w:rStyle w:val="Hyperlink"/>
                </w:rPr>
                <w:t>Bureau of Labor Statistics</w:t>
              </w:r>
            </w:hyperlink>
            <w:r w:rsidR="00F51F46">
              <w:t xml:space="preserve"> </w:t>
            </w:r>
          </w:p>
        </w:tc>
        <w:tc>
          <w:tcPr>
            <w:tcW w:w="3455" w:type="dxa"/>
          </w:tcPr>
          <w:p w14:paraId="32FAED18" w14:textId="77777777" w:rsidR="00F51F46" w:rsidRDefault="00F51F46" w:rsidP="003D5EDB">
            <w:r>
              <w:t>Industry and occupation; number of days away from work</w:t>
            </w:r>
          </w:p>
        </w:tc>
        <w:tc>
          <w:tcPr>
            <w:tcW w:w="2390" w:type="dxa"/>
          </w:tcPr>
          <w:p w14:paraId="5F6677A0" w14:textId="77777777" w:rsidR="00F51F46" w:rsidRDefault="00F51F46" w:rsidP="003D5EDB"/>
        </w:tc>
      </w:tr>
      <w:tr w:rsidR="00F51F46" w14:paraId="63428053" w14:textId="77777777" w:rsidTr="003D5EDB">
        <w:tc>
          <w:tcPr>
            <w:tcW w:w="1795" w:type="dxa"/>
          </w:tcPr>
          <w:p w14:paraId="47E7AC3C" w14:textId="77777777" w:rsidR="00F51F46" w:rsidRDefault="00F51F46" w:rsidP="003D5EDB">
            <w:r>
              <w:t>Census of Occupational Injuries (CFOI)</w:t>
            </w:r>
          </w:p>
        </w:tc>
        <w:tc>
          <w:tcPr>
            <w:tcW w:w="1710" w:type="dxa"/>
          </w:tcPr>
          <w:p w14:paraId="1DC75789" w14:textId="77777777" w:rsidR="00F51F46" w:rsidRDefault="00000000" w:rsidP="003D5EDB">
            <w:hyperlink r:id="rId21" w:history="1">
              <w:r w:rsidR="00F51F46" w:rsidRPr="00830AF0">
                <w:rPr>
                  <w:rStyle w:val="Hyperlink"/>
                </w:rPr>
                <w:t>Bureau of Labor Statistics</w:t>
              </w:r>
            </w:hyperlink>
          </w:p>
        </w:tc>
        <w:tc>
          <w:tcPr>
            <w:tcW w:w="3455" w:type="dxa"/>
          </w:tcPr>
          <w:p w14:paraId="0375DF2A" w14:textId="77777777" w:rsidR="00F51F46" w:rsidRDefault="00F51F46" w:rsidP="003D5EDB">
            <w:r>
              <w:t>Industry and occupation; employee status</w:t>
            </w:r>
          </w:p>
        </w:tc>
        <w:tc>
          <w:tcPr>
            <w:tcW w:w="2390" w:type="dxa"/>
          </w:tcPr>
          <w:p w14:paraId="5BFF112B" w14:textId="77777777" w:rsidR="00F51F46" w:rsidRDefault="00F51F46" w:rsidP="003D5EDB"/>
        </w:tc>
      </w:tr>
      <w:tr w:rsidR="00F51F46" w14:paraId="78017C0F" w14:textId="77777777" w:rsidTr="003D5EDB">
        <w:tc>
          <w:tcPr>
            <w:tcW w:w="1795" w:type="dxa"/>
          </w:tcPr>
          <w:p w14:paraId="0941EAF7" w14:textId="77777777" w:rsidR="00F51F46" w:rsidRDefault="00F51F46" w:rsidP="003D5EDB">
            <w:r>
              <w:lastRenderedPageBreak/>
              <w:t>Trauma Registry</w:t>
            </w:r>
          </w:p>
        </w:tc>
        <w:tc>
          <w:tcPr>
            <w:tcW w:w="1710" w:type="dxa"/>
          </w:tcPr>
          <w:p w14:paraId="40DFAE0B" w14:textId="77777777" w:rsidR="00F51F46" w:rsidRDefault="00F51F46" w:rsidP="003D5EDB">
            <w:r>
              <w:t>State health department</w:t>
            </w:r>
          </w:p>
        </w:tc>
        <w:tc>
          <w:tcPr>
            <w:tcW w:w="3455" w:type="dxa"/>
          </w:tcPr>
          <w:p w14:paraId="6024AB32" w14:textId="77777777" w:rsidR="00F51F46" w:rsidRDefault="00F51F46" w:rsidP="003D5EDB">
            <w:r>
              <w:t>ICD-codes; injury description fields</w:t>
            </w:r>
          </w:p>
        </w:tc>
        <w:tc>
          <w:tcPr>
            <w:tcW w:w="2390" w:type="dxa"/>
          </w:tcPr>
          <w:p w14:paraId="79C876C6" w14:textId="77777777" w:rsidR="00F51F46" w:rsidRDefault="00000000" w:rsidP="003D5EDB">
            <w:hyperlink r:id="rId22" w:history="1">
              <w:r w:rsidR="00F51F46" w:rsidRPr="00617544">
                <w:rPr>
                  <w:rStyle w:val="Hyperlink"/>
                </w:rPr>
                <w:t>Work-Related Injuries in State Trauma Registry (Bunn et al)</w:t>
              </w:r>
            </w:hyperlink>
            <w:r w:rsidR="00F51F46">
              <w:t xml:space="preserve">; </w:t>
            </w:r>
          </w:p>
          <w:p w14:paraId="1A81936D" w14:textId="77777777" w:rsidR="00F51F46" w:rsidRDefault="00000000" w:rsidP="003D5EDB">
            <w:hyperlink r:id="rId23" w:history="1">
              <w:r w:rsidR="00F51F46" w:rsidRPr="00BD6503">
                <w:rPr>
                  <w:rStyle w:val="Hyperlink"/>
                </w:rPr>
                <w:t>State Trauma Reg Occ Surv (Sears et al)</w:t>
              </w:r>
            </w:hyperlink>
          </w:p>
        </w:tc>
      </w:tr>
    </w:tbl>
    <w:p w14:paraId="6C0145E1" w14:textId="77777777" w:rsidR="00F51F46" w:rsidRDefault="00F51F46" w:rsidP="00F51F46">
      <w:pPr>
        <w:spacing w:after="0" w:line="240" w:lineRule="auto"/>
      </w:pPr>
      <w:r>
        <w:t>*May vary by state.</w:t>
      </w:r>
    </w:p>
    <w:p w14:paraId="2A84D38F" w14:textId="44B4E606" w:rsidR="00F51F46" w:rsidRPr="00F51F46" w:rsidRDefault="00F51F46" w:rsidP="00F51F46">
      <w:pPr>
        <w:spacing w:after="0" w:line="240" w:lineRule="auto"/>
        <w:rPr>
          <w:color w:val="2E74B5" w:themeColor="accent5" w:themeShade="BF"/>
        </w:rPr>
      </w:pPr>
    </w:p>
    <w:p w14:paraId="6AE93C2F" w14:textId="77777777" w:rsidR="00F51F46" w:rsidRDefault="00F51F46" w:rsidP="00F51F46">
      <w:pPr>
        <w:pStyle w:val="ListParagraph"/>
        <w:spacing w:after="0" w:line="240" w:lineRule="auto"/>
        <w:ind w:left="360"/>
        <w:rPr>
          <w:color w:val="2E74B5" w:themeColor="accent5" w:themeShade="BF"/>
        </w:rPr>
      </w:pPr>
    </w:p>
    <w:p w14:paraId="03DC609A" w14:textId="28BC61FC" w:rsidR="0071246B" w:rsidRDefault="00383EA6" w:rsidP="0071246B">
      <w:pPr>
        <w:pStyle w:val="ListParagraph"/>
        <w:numPr>
          <w:ilvl w:val="0"/>
          <w:numId w:val="1"/>
        </w:numPr>
        <w:spacing w:after="0" w:line="240" w:lineRule="auto"/>
        <w:rPr>
          <w:color w:val="2E74B5" w:themeColor="accent5" w:themeShade="BF"/>
        </w:rPr>
      </w:pPr>
      <w:r w:rsidRPr="0071246B">
        <w:rPr>
          <w:color w:val="2E74B5" w:themeColor="accent5" w:themeShade="BF"/>
        </w:rPr>
        <w:t xml:space="preserve">Considerations for </w:t>
      </w:r>
      <w:r w:rsidR="00E71D41" w:rsidRPr="0071246B">
        <w:rPr>
          <w:color w:val="2E74B5" w:themeColor="accent5" w:themeShade="BF"/>
        </w:rPr>
        <w:t>Climate-Related Occ Health Outcomes</w:t>
      </w:r>
    </w:p>
    <w:p w14:paraId="20EF9305" w14:textId="77777777" w:rsidR="0071246B" w:rsidRDefault="0071246B" w:rsidP="0071246B">
      <w:pPr>
        <w:pStyle w:val="ListParagraph"/>
        <w:spacing w:after="0" w:line="240" w:lineRule="auto"/>
        <w:ind w:left="360"/>
        <w:rPr>
          <w:color w:val="2E74B5" w:themeColor="accent5" w:themeShade="BF"/>
        </w:rPr>
      </w:pPr>
    </w:p>
    <w:p w14:paraId="7FB7918D" w14:textId="731BEBB1" w:rsidR="0071246B" w:rsidRPr="0071246B" w:rsidRDefault="0071246B" w:rsidP="0071246B">
      <w:pPr>
        <w:pStyle w:val="ListParagraph"/>
        <w:spacing w:after="0" w:line="240" w:lineRule="auto"/>
        <w:ind w:left="360"/>
        <w:rPr>
          <w:color w:val="2E74B5" w:themeColor="accent5" w:themeShade="BF"/>
        </w:rPr>
      </w:pPr>
      <w:r>
        <w:t>The data source a jurisdiction chooses to work with will inform the extent to which jurisdictions can identify work-relatedness of the injury or illness. Common data sources include syndromic surveillance, death record data, emergency discharge and hospitalization data, and workers compensation claims. Additional details, including strengths and weaknesses of these data sources are included in the table below.</w:t>
      </w:r>
    </w:p>
    <w:p w14:paraId="22B7F250" w14:textId="77777777" w:rsidR="0071246B" w:rsidRPr="0071246B" w:rsidRDefault="0071246B" w:rsidP="0071246B">
      <w:pPr>
        <w:pStyle w:val="ListParagraph"/>
        <w:spacing w:after="0" w:line="240" w:lineRule="auto"/>
        <w:ind w:left="360"/>
        <w:rPr>
          <w:color w:val="FF0000"/>
        </w:rPr>
      </w:pPr>
    </w:p>
    <w:p w14:paraId="4057C19D" w14:textId="77777777" w:rsidR="0071246B" w:rsidRPr="0071246B" w:rsidRDefault="0071246B" w:rsidP="0071246B">
      <w:pPr>
        <w:spacing w:after="0" w:line="480" w:lineRule="auto"/>
        <w:rPr>
          <w:b/>
          <w:bCs/>
        </w:rPr>
      </w:pPr>
      <w:r w:rsidRPr="0071246B">
        <w:rPr>
          <w:b/>
          <w:bCs/>
        </w:rPr>
        <w:t xml:space="preserve">Table 1. Data sources to consider, availability, </w:t>
      </w:r>
      <w:proofErr w:type="gramStart"/>
      <w:r w:rsidRPr="0071246B">
        <w:rPr>
          <w:b/>
          <w:bCs/>
        </w:rPr>
        <w:t>pros</w:t>
      </w:r>
      <w:proofErr w:type="gramEnd"/>
      <w:r w:rsidRPr="0071246B">
        <w:rPr>
          <w:b/>
          <w:bCs/>
        </w:rPr>
        <w:t xml:space="preserve"> and cons:</w:t>
      </w:r>
    </w:p>
    <w:tbl>
      <w:tblPr>
        <w:tblStyle w:val="TableGrid"/>
        <w:tblW w:w="10525" w:type="dxa"/>
        <w:tblLayout w:type="fixed"/>
        <w:tblLook w:val="04A0" w:firstRow="1" w:lastRow="0" w:firstColumn="1" w:lastColumn="0" w:noHBand="0" w:noVBand="1"/>
      </w:tblPr>
      <w:tblGrid>
        <w:gridCol w:w="2335"/>
        <w:gridCol w:w="1710"/>
        <w:gridCol w:w="3153"/>
        <w:gridCol w:w="3327"/>
      </w:tblGrid>
      <w:tr w:rsidR="0071246B" w14:paraId="0939720A" w14:textId="77777777" w:rsidTr="0071246B">
        <w:trPr>
          <w:trHeight w:val="388"/>
        </w:trPr>
        <w:tc>
          <w:tcPr>
            <w:tcW w:w="2335" w:type="dxa"/>
          </w:tcPr>
          <w:p w14:paraId="01AB7EED" w14:textId="77777777" w:rsidR="0071246B" w:rsidRDefault="0071246B" w:rsidP="008F5D5E">
            <w:pPr>
              <w:spacing w:line="480" w:lineRule="auto"/>
              <w:rPr>
                <w:b/>
                <w:bCs/>
              </w:rPr>
            </w:pPr>
            <w:r>
              <w:rPr>
                <w:b/>
                <w:bCs/>
              </w:rPr>
              <w:t>Data Source</w:t>
            </w:r>
          </w:p>
        </w:tc>
        <w:tc>
          <w:tcPr>
            <w:tcW w:w="1710" w:type="dxa"/>
          </w:tcPr>
          <w:p w14:paraId="2B310A3D" w14:textId="77777777" w:rsidR="0071246B" w:rsidRDefault="0071246B" w:rsidP="008F5D5E">
            <w:pPr>
              <w:rPr>
                <w:b/>
                <w:bCs/>
              </w:rPr>
            </w:pPr>
            <w:r>
              <w:rPr>
                <w:b/>
                <w:bCs/>
              </w:rPr>
              <w:t>Available in real time or lag?</w:t>
            </w:r>
          </w:p>
        </w:tc>
        <w:tc>
          <w:tcPr>
            <w:tcW w:w="3153" w:type="dxa"/>
          </w:tcPr>
          <w:p w14:paraId="13628C39" w14:textId="77777777" w:rsidR="0071246B" w:rsidRDefault="0071246B" w:rsidP="008F5D5E">
            <w:pPr>
              <w:spacing w:line="480" w:lineRule="auto"/>
              <w:rPr>
                <w:b/>
                <w:bCs/>
              </w:rPr>
            </w:pPr>
            <w:r>
              <w:rPr>
                <w:b/>
                <w:bCs/>
              </w:rPr>
              <w:t>Pros</w:t>
            </w:r>
          </w:p>
        </w:tc>
        <w:tc>
          <w:tcPr>
            <w:tcW w:w="3327" w:type="dxa"/>
          </w:tcPr>
          <w:p w14:paraId="46AA2AD1" w14:textId="77777777" w:rsidR="0071246B" w:rsidRDefault="0071246B" w:rsidP="008F5D5E">
            <w:pPr>
              <w:spacing w:line="480" w:lineRule="auto"/>
              <w:rPr>
                <w:b/>
                <w:bCs/>
              </w:rPr>
            </w:pPr>
            <w:r>
              <w:rPr>
                <w:b/>
                <w:bCs/>
              </w:rPr>
              <w:t>Cons</w:t>
            </w:r>
          </w:p>
        </w:tc>
      </w:tr>
      <w:tr w:rsidR="0071246B" w14:paraId="6EAC3CE7" w14:textId="77777777" w:rsidTr="0071246B">
        <w:trPr>
          <w:trHeight w:val="1367"/>
        </w:trPr>
        <w:tc>
          <w:tcPr>
            <w:tcW w:w="2335" w:type="dxa"/>
          </w:tcPr>
          <w:p w14:paraId="7BD8A280" w14:textId="77777777" w:rsidR="0071246B" w:rsidRPr="00405DDA" w:rsidRDefault="0071246B" w:rsidP="008F5D5E">
            <w:r w:rsidRPr="00405DDA">
              <w:t>Syndromic Surveillance (ESSENCE System)</w:t>
            </w:r>
          </w:p>
        </w:tc>
        <w:tc>
          <w:tcPr>
            <w:tcW w:w="1710" w:type="dxa"/>
          </w:tcPr>
          <w:p w14:paraId="40DF0388" w14:textId="77777777" w:rsidR="0071246B" w:rsidRPr="00405DDA" w:rsidRDefault="0071246B" w:rsidP="008F5D5E">
            <w:r w:rsidRPr="00405DDA">
              <w:t>Real-time</w:t>
            </w:r>
          </w:p>
        </w:tc>
        <w:tc>
          <w:tcPr>
            <w:tcW w:w="3153" w:type="dxa"/>
          </w:tcPr>
          <w:p w14:paraId="46975C23" w14:textId="77777777" w:rsidR="0071246B" w:rsidRPr="00405DDA" w:rsidRDefault="0071246B" w:rsidP="008F5D5E">
            <w:r>
              <w:t>Available in real time</w:t>
            </w:r>
          </w:p>
        </w:tc>
        <w:tc>
          <w:tcPr>
            <w:tcW w:w="3327" w:type="dxa"/>
          </w:tcPr>
          <w:p w14:paraId="37B67B7D" w14:textId="77777777" w:rsidR="0071246B" w:rsidRPr="00405DDA" w:rsidRDefault="0071246B" w:rsidP="008F5D5E">
            <w:r>
              <w:t xml:space="preserve">May not have enough information to determine if event is work-related. Not all hospitals report into ESSENCE system. Data are preliminary and subject to change. </w:t>
            </w:r>
          </w:p>
        </w:tc>
      </w:tr>
      <w:tr w:rsidR="0071246B" w14:paraId="4150876C" w14:textId="77777777" w:rsidTr="0071246B">
        <w:trPr>
          <w:trHeight w:val="778"/>
        </w:trPr>
        <w:tc>
          <w:tcPr>
            <w:tcW w:w="2335" w:type="dxa"/>
          </w:tcPr>
          <w:p w14:paraId="60A96998" w14:textId="77777777" w:rsidR="0071246B" w:rsidRPr="00405DDA" w:rsidRDefault="0071246B" w:rsidP="008F5D5E">
            <w:r w:rsidRPr="00405DDA">
              <w:t>Death Data</w:t>
            </w:r>
          </w:p>
        </w:tc>
        <w:tc>
          <w:tcPr>
            <w:tcW w:w="1710" w:type="dxa"/>
          </w:tcPr>
          <w:p w14:paraId="5E44D9D6" w14:textId="77777777" w:rsidR="0071246B" w:rsidRPr="00405DDA" w:rsidRDefault="0071246B" w:rsidP="008F5D5E">
            <w:r>
              <w:t>Lag</w:t>
            </w:r>
          </w:p>
        </w:tc>
        <w:tc>
          <w:tcPr>
            <w:tcW w:w="3153" w:type="dxa"/>
          </w:tcPr>
          <w:p w14:paraId="1265DCFB" w14:textId="77777777" w:rsidR="0071246B" w:rsidRPr="00405DDA" w:rsidRDefault="0071246B" w:rsidP="008F5D5E">
            <w:r>
              <w:t xml:space="preserve">Free-text usual industry and occupation available, with census codes available. </w:t>
            </w:r>
          </w:p>
        </w:tc>
        <w:tc>
          <w:tcPr>
            <w:tcW w:w="3327" w:type="dxa"/>
          </w:tcPr>
          <w:p w14:paraId="68DB54C9" w14:textId="77777777" w:rsidR="0071246B" w:rsidRPr="00405DDA" w:rsidRDefault="0071246B" w:rsidP="008F5D5E"/>
        </w:tc>
      </w:tr>
      <w:tr w:rsidR="0071246B" w14:paraId="0A6BF67D" w14:textId="77777777" w:rsidTr="0071246B">
        <w:trPr>
          <w:trHeight w:val="1369"/>
        </w:trPr>
        <w:tc>
          <w:tcPr>
            <w:tcW w:w="2335" w:type="dxa"/>
          </w:tcPr>
          <w:p w14:paraId="4968235C" w14:textId="38A924DB" w:rsidR="0071246B" w:rsidRPr="00405DDA" w:rsidRDefault="0071246B" w:rsidP="008F5D5E">
            <w:r w:rsidRPr="00405DDA">
              <w:t>Emergency Discharge/</w:t>
            </w:r>
            <w:r>
              <w:t xml:space="preserve"> </w:t>
            </w:r>
            <w:r w:rsidRPr="00405DDA">
              <w:t>Hospitalization</w:t>
            </w:r>
          </w:p>
        </w:tc>
        <w:tc>
          <w:tcPr>
            <w:tcW w:w="1710" w:type="dxa"/>
          </w:tcPr>
          <w:p w14:paraId="3B215431" w14:textId="77777777" w:rsidR="0071246B" w:rsidRPr="00405DDA" w:rsidRDefault="0071246B" w:rsidP="008F5D5E">
            <w:r w:rsidRPr="00405DDA">
              <w:t>Lag, depending on jurisdiction</w:t>
            </w:r>
          </w:p>
        </w:tc>
        <w:tc>
          <w:tcPr>
            <w:tcW w:w="3153" w:type="dxa"/>
          </w:tcPr>
          <w:p w14:paraId="08A7B87E" w14:textId="77777777" w:rsidR="0071246B" w:rsidRPr="00405DDA" w:rsidRDefault="0071246B" w:rsidP="008F5D5E">
            <w:r>
              <w:t>Data is well QA’d, reporting from all acute care hospitals in the state, all diagnostic codes affiliated with ED/inpatient visits are available</w:t>
            </w:r>
          </w:p>
        </w:tc>
        <w:tc>
          <w:tcPr>
            <w:tcW w:w="3327" w:type="dxa"/>
          </w:tcPr>
          <w:p w14:paraId="255D6156" w14:textId="77777777" w:rsidR="0071246B" w:rsidRPr="00405DDA" w:rsidRDefault="0071246B" w:rsidP="008F5D5E">
            <w:r>
              <w:t xml:space="preserve">Challenging to identify work-relatedness, </w:t>
            </w:r>
          </w:p>
        </w:tc>
      </w:tr>
      <w:tr w:rsidR="0071246B" w14:paraId="7959C4D3" w14:textId="77777777" w:rsidTr="0071246B">
        <w:trPr>
          <w:trHeight w:val="1916"/>
        </w:trPr>
        <w:tc>
          <w:tcPr>
            <w:tcW w:w="2335" w:type="dxa"/>
          </w:tcPr>
          <w:p w14:paraId="6ADBCF82" w14:textId="77777777" w:rsidR="0071246B" w:rsidRPr="00405DDA" w:rsidRDefault="0071246B" w:rsidP="008F5D5E">
            <w:r>
              <w:t>Workers Compensation Claims</w:t>
            </w:r>
          </w:p>
        </w:tc>
        <w:tc>
          <w:tcPr>
            <w:tcW w:w="1710" w:type="dxa"/>
          </w:tcPr>
          <w:p w14:paraId="0DB48D9D" w14:textId="77777777" w:rsidR="0071246B" w:rsidRPr="00405DDA" w:rsidRDefault="0071246B" w:rsidP="008F5D5E">
            <w:r>
              <w:t>Lag</w:t>
            </w:r>
          </w:p>
        </w:tc>
        <w:tc>
          <w:tcPr>
            <w:tcW w:w="3153" w:type="dxa"/>
          </w:tcPr>
          <w:p w14:paraId="62A97C5A" w14:textId="77777777" w:rsidR="0071246B" w:rsidRPr="00405DDA" w:rsidRDefault="0071246B" w:rsidP="008F5D5E">
            <w:r>
              <w:t xml:space="preserve">Industry and occupation available, employer-related information, billing data, </w:t>
            </w:r>
          </w:p>
        </w:tc>
        <w:tc>
          <w:tcPr>
            <w:tcW w:w="3327" w:type="dxa"/>
          </w:tcPr>
          <w:p w14:paraId="1B146B01" w14:textId="77777777" w:rsidR="0071246B" w:rsidRPr="00405DDA" w:rsidRDefault="0071246B" w:rsidP="008F5D5E">
            <w:r>
              <w:t>Underreporting for less severe illnesses or injuries. Not all workers are covered by workers compensation claim systems; ICD-10 codes are not always reliable and narrative field searches can be time intensive</w:t>
            </w:r>
          </w:p>
        </w:tc>
      </w:tr>
    </w:tbl>
    <w:p w14:paraId="309F5285" w14:textId="06B92500" w:rsidR="00383EA6" w:rsidRPr="0071246B" w:rsidRDefault="00383EA6" w:rsidP="00E71D41">
      <w:pPr>
        <w:pStyle w:val="ListParagraph"/>
        <w:numPr>
          <w:ilvl w:val="1"/>
          <w:numId w:val="1"/>
        </w:numPr>
        <w:spacing w:after="0" w:line="240" w:lineRule="auto"/>
        <w:rPr>
          <w:color w:val="2E74B5" w:themeColor="accent5" w:themeShade="BF"/>
        </w:rPr>
      </w:pPr>
      <w:r w:rsidRPr="0071246B">
        <w:rPr>
          <w:color w:val="2E74B5" w:themeColor="accent5" w:themeShade="BF"/>
        </w:rPr>
        <w:t>Variables that are important for linking/connecting Environmental Exposure Data and Outcome Data</w:t>
      </w:r>
      <w:r w:rsidR="004E068C" w:rsidRPr="0071246B">
        <w:rPr>
          <w:color w:val="2E74B5" w:themeColor="accent5" w:themeShade="BF"/>
        </w:rPr>
        <w:t xml:space="preserve"> </w:t>
      </w:r>
      <w:r w:rsidR="004E068C" w:rsidRPr="0071246B">
        <w:rPr>
          <w:color w:val="2E74B5" w:themeColor="accent5" w:themeShade="BF"/>
          <w:highlight w:val="cyan"/>
        </w:rPr>
        <w:t>(Ximena)</w:t>
      </w:r>
    </w:p>
    <w:p w14:paraId="646E3504" w14:textId="69E25141"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Geographic variables</w:t>
      </w:r>
    </w:p>
    <w:p w14:paraId="2A5409D9" w14:textId="313DE7C0" w:rsidR="00383EA6" w:rsidRPr="0071246B" w:rsidRDefault="00383EA6" w:rsidP="00383EA6">
      <w:pPr>
        <w:pStyle w:val="ListParagraph"/>
        <w:numPr>
          <w:ilvl w:val="2"/>
          <w:numId w:val="1"/>
        </w:numPr>
        <w:spacing w:after="0" w:line="240" w:lineRule="auto"/>
        <w:rPr>
          <w:color w:val="2E74B5" w:themeColor="accent5" w:themeShade="BF"/>
        </w:rPr>
      </w:pPr>
      <w:r w:rsidRPr="0071246B">
        <w:rPr>
          <w:color w:val="2E74B5" w:themeColor="accent5" w:themeShade="BF"/>
        </w:rPr>
        <w:t>Time?</w:t>
      </w:r>
    </w:p>
    <w:p w14:paraId="660BA6E8" w14:textId="012F07A2"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 xml:space="preserve">Developing case definitions </w:t>
      </w:r>
      <w:r w:rsidR="00BB7F1A" w:rsidRPr="0071246B">
        <w:rPr>
          <w:color w:val="2E74B5" w:themeColor="accent5" w:themeShade="BF"/>
        </w:rPr>
        <w:t xml:space="preserve">for your jurisdiction </w:t>
      </w:r>
    </w:p>
    <w:p w14:paraId="04449391" w14:textId="368936D7" w:rsidR="00FB66E3" w:rsidRPr="0071246B" w:rsidRDefault="00B114BD" w:rsidP="00FB66E3">
      <w:pPr>
        <w:pStyle w:val="ListParagraph"/>
        <w:numPr>
          <w:ilvl w:val="1"/>
          <w:numId w:val="1"/>
        </w:numPr>
        <w:spacing w:after="0" w:line="240" w:lineRule="auto"/>
        <w:rPr>
          <w:color w:val="2E74B5" w:themeColor="accent5" w:themeShade="BF"/>
        </w:rPr>
      </w:pPr>
      <w:r w:rsidRPr="0071246B">
        <w:rPr>
          <w:color w:val="2E74B5" w:themeColor="accent5" w:themeShade="BF"/>
        </w:rPr>
        <w:t>Generalized r</w:t>
      </w:r>
      <w:r w:rsidR="00FB66E3" w:rsidRPr="0071246B">
        <w:rPr>
          <w:color w:val="2E74B5" w:themeColor="accent5" w:themeShade="BF"/>
        </w:rPr>
        <w:t>eminder that there are other climate specific outcomes that are not heat, cold, wildland fires, or floods</w:t>
      </w:r>
      <w:r w:rsidR="00023F5E" w:rsidRPr="0071246B">
        <w:rPr>
          <w:color w:val="2E74B5" w:themeColor="accent5" w:themeShade="BF"/>
        </w:rPr>
        <w:t xml:space="preserve"> that may be more relevant for your given jurisdiction</w:t>
      </w:r>
      <w:r w:rsidR="00FB66E3" w:rsidRPr="0071246B">
        <w:rPr>
          <w:color w:val="2E74B5" w:themeColor="accent5" w:themeShade="BF"/>
        </w:rPr>
        <w:t>.</w:t>
      </w:r>
    </w:p>
    <w:p w14:paraId="05B91E1E" w14:textId="155F10B7" w:rsidR="00BB7F1A"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lastRenderedPageBreak/>
        <w:t>Heat-related illness</w:t>
      </w:r>
      <w:r w:rsidR="00A76151" w:rsidRPr="0071246B">
        <w:rPr>
          <w:color w:val="2E74B5" w:themeColor="accent5" w:themeShade="BF"/>
        </w:rPr>
        <w:t xml:space="preserve"> </w:t>
      </w:r>
      <w:r w:rsidR="00A76151" w:rsidRPr="0071246B">
        <w:rPr>
          <w:color w:val="2E74B5" w:themeColor="accent5" w:themeShade="BF"/>
          <w:highlight w:val="cyan"/>
        </w:rPr>
        <w:t>(Kathryn)</w:t>
      </w:r>
    </w:p>
    <w:p w14:paraId="7B10EDC8" w14:textId="77777777" w:rsidR="0071246B" w:rsidRPr="0071246B" w:rsidRDefault="0071246B" w:rsidP="0071246B">
      <w:pPr>
        <w:spacing w:after="0" w:line="240" w:lineRule="auto"/>
        <w:rPr>
          <w:color w:val="2E74B5" w:themeColor="accent5" w:themeShade="BF"/>
        </w:rPr>
      </w:pPr>
    </w:p>
    <w:p w14:paraId="2DB6215B" w14:textId="6F019A0F" w:rsidR="0071246B" w:rsidRDefault="0071246B" w:rsidP="0071246B">
      <w:pPr>
        <w:pStyle w:val="ListParagraph"/>
        <w:spacing w:after="0" w:line="240" w:lineRule="auto"/>
        <w:ind w:left="360"/>
        <w:rPr>
          <w:color w:val="FF0000"/>
        </w:rPr>
      </w:pPr>
      <w:r>
        <w:t>There are a wide-range of heat-related health outcomes, including heat exhaustion, heat stroke, dehydration, and exacerbation of cardiovascular and respiratory conditions. Many health departments track heat-related illness and heat-deaths from ED/Hospitalization data to inform prevention efforts surrounding heat events. While diagnosis codes can identify heat-related illness, identifying work-relatedness can be more challenging to identify within these data. The CSTE OHI indicators group has an occupational heat-related illness indicator, which examines heat-related ED visits with th</w:t>
      </w:r>
      <w:r w:rsidRPr="00E448C6">
        <w:t xml:space="preserve">e primary payer listed </w:t>
      </w:r>
      <w:r>
        <w:t>a</w:t>
      </w:r>
      <w:r w:rsidRPr="00E448C6">
        <w:t xml:space="preserve">s Workers’ Compensation </w:t>
      </w:r>
      <w:r>
        <w:t xml:space="preserve">or </w:t>
      </w:r>
      <w:r w:rsidRPr="00E448C6">
        <w:t xml:space="preserve">if the </w:t>
      </w:r>
      <w:r>
        <w:t>visit</w:t>
      </w:r>
      <w:r w:rsidRPr="00E448C6">
        <w:t xml:space="preserve"> contains </w:t>
      </w:r>
      <w:r>
        <w:t>external</w:t>
      </w:r>
      <w:r w:rsidRPr="00E448C6">
        <w:t xml:space="preserve"> causes of morbidity </w:t>
      </w:r>
      <w:r w:rsidRPr="00E934F8">
        <w:t xml:space="preserve">which indicate a work accident or that the injury occurred at work. </w:t>
      </w:r>
      <w:r w:rsidRPr="0071246B">
        <w:rPr>
          <w:color w:val="FF0000"/>
        </w:rPr>
        <w:t>(</w:t>
      </w:r>
      <w:proofErr w:type="gramStart"/>
      <w:r w:rsidRPr="0071246B">
        <w:rPr>
          <w:color w:val="FF0000"/>
        </w:rPr>
        <w:t>cite</w:t>
      </w:r>
      <w:proofErr w:type="gramEnd"/>
      <w:r w:rsidRPr="0071246B">
        <w:rPr>
          <w:color w:val="FF0000"/>
        </w:rPr>
        <w:t xml:space="preserve"> OHI indicators document).</w:t>
      </w:r>
    </w:p>
    <w:p w14:paraId="2B8023A4" w14:textId="77777777" w:rsidR="0071246B" w:rsidRDefault="0071246B" w:rsidP="0071246B">
      <w:pPr>
        <w:pStyle w:val="ListParagraph"/>
        <w:spacing w:after="0" w:line="240" w:lineRule="auto"/>
        <w:ind w:left="360"/>
      </w:pPr>
    </w:p>
    <w:p w14:paraId="3F2A7A1F" w14:textId="23F75FCD" w:rsidR="0071246B" w:rsidRPr="00384800" w:rsidRDefault="0071246B" w:rsidP="0071246B">
      <w:pPr>
        <w:pStyle w:val="ListParagraph"/>
        <w:spacing w:after="0" w:line="240" w:lineRule="auto"/>
        <w:ind w:left="360"/>
      </w:pPr>
      <w:r>
        <w:t xml:space="preserve">Aside from heat-related ED visits, jurisdictions may choose to monitor a more specific heat-related outcome. Possible heat-related outcomes to consider and affiliated ICD-10 codes can be found within the CSTE Climate Change subcommittee white paper on </w:t>
      </w:r>
      <w:r w:rsidRPr="0071246B">
        <w:rPr>
          <w:i/>
          <w:iCs/>
        </w:rPr>
        <w:t xml:space="preserve">Heat-Related Illness Syndrome Query: </w:t>
      </w:r>
      <w:proofErr w:type="gramStart"/>
      <w:r w:rsidRPr="0071246B">
        <w:rPr>
          <w:i/>
          <w:iCs/>
        </w:rPr>
        <w:t>a</w:t>
      </w:r>
      <w:proofErr w:type="gramEnd"/>
      <w:r w:rsidRPr="0071246B">
        <w:rPr>
          <w:i/>
          <w:iCs/>
        </w:rPr>
        <w:t xml:space="preserve"> Guidance Document for Implementing Heat-Related Illness Syndromic Surveillance in Public Health Practice</w:t>
      </w:r>
      <w:r>
        <w:t>. Direct and indirect heat-related outcomes exist; respiratory and cardiovascular complications are more challenging to identify as heat-related. Any estimate of heat-related illness from is likely an underestimate, as excess heat may not be explicitly documented as a contributing factor to the visit/hospitalization/death.</w:t>
      </w:r>
    </w:p>
    <w:p w14:paraId="3D8DBA98" w14:textId="23F75FCD" w:rsidR="00BF2714" w:rsidRPr="0071246B" w:rsidRDefault="004E068C" w:rsidP="00BF2714">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13A7B00" w14:textId="081BCDE3" w:rsidR="001C234A" w:rsidRPr="0071246B" w:rsidRDefault="0071246B" w:rsidP="00BB7F1A">
      <w:pPr>
        <w:pStyle w:val="ListParagraph"/>
        <w:numPr>
          <w:ilvl w:val="2"/>
          <w:numId w:val="1"/>
        </w:numPr>
        <w:spacing w:after="0" w:line="240" w:lineRule="auto"/>
        <w:rPr>
          <w:color w:val="2E74B5" w:themeColor="accent5" w:themeShade="BF"/>
        </w:rPr>
      </w:pPr>
      <w:r>
        <w:rPr>
          <w:color w:val="2E74B5" w:themeColor="accent5" w:themeShade="BF"/>
        </w:rPr>
        <w:t>Case Examples</w:t>
      </w:r>
    </w:p>
    <w:p w14:paraId="66002E38" w14:textId="76962D1F"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Heat-Related Illness example from Louisiana</w:t>
      </w:r>
    </w:p>
    <w:p w14:paraId="675DBF57" w14:textId="7B87A369"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Sarah </w:t>
      </w:r>
      <w:proofErr w:type="spellStart"/>
      <w:r w:rsidRPr="0071246B">
        <w:rPr>
          <w:color w:val="2E74B5" w:themeColor="accent5" w:themeShade="BF"/>
        </w:rPr>
        <w:t>Woellner</w:t>
      </w:r>
      <w:proofErr w:type="spellEnd"/>
      <w:r w:rsidRPr="0071246B">
        <w:rPr>
          <w:color w:val="2E74B5" w:themeColor="accent5" w:themeShade="BF"/>
        </w:rPr>
        <w:t xml:space="preserve"> – at SHARP – Washington State, working with RHINO – surveillance. </w:t>
      </w:r>
    </w:p>
    <w:p w14:paraId="1D94FB24" w14:textId="56BE631E" w:rsidR="00DC692D" w:rsidRPr="0071246B" w:rsidRDefault="00DC692D" w:rsidP="00DC692D">
      <w:pPr>
        <w:pStyle w:val="ListParagraph"/>
        <w:numPr>
          <w:ilvl w:val="3"/>
          <w:numId w:val="1"/>
        </w:numPr>
        <w:spacing w:after="0" w:line="240" w:lineRule="auto"/>
        <w:rPr>
          <w:color w:val="2E74B5" w:themeColor="accent5" w:themeShade="BF"/>
        </w:rPr>
      </w:pPr>
      <w:r w:rsidRPr="0071246B">
        <w:rPr>
          <w:color w:val="2E74B5" w:themeColor="accent5" w:themeShade="BF"/>
        </w:rPr>
        <w:t xml:space="preserve">Wisconsin/Washington </w:t>
      </w:r>
      <w:r w:rsidR="00B114BD" w:rsidRPr="0071246B">
        <w:rPr>
          <w:color w:val="2E74B5" w:themeColor="accent5" w:themeShade="BF"/>
        </w:rPr>
        <w:t xml:space="preserve">using </w:t>
      </w:r>
      <w:r w:rsidRPr="0071246B">
        <w:rPr>
          <w:color w:val="2E74B5" w:themeColor="accent5" w:themeShade="BF"/>
        </w:rPr>
        <w:t>Workers Comp for HRI</w:t>
      </w:r>
      <w:r w:rsidR="00023F5E" w:rsidRPr="0071246B">
        <w:rPr>
          <w:color w:val="2E74B5" w:themeColor="accent5" w:themeShade="BF"/>
        </w:rPr>
        <w:t xml:space="preserve">, retrospective </w:t>
      </w:r>
      <w:proofErr w:type="gramStart"/>
      <w:r w:rsidR="00023F5E" w:rsidRPr="0071246B">
        <w:rPr>
          <w:color w:val="2E74B5" w:themeColor="accent5" w:themeShade="BF"/>
        </w:rPr>
        <w:t>analysis</w:t>
      </w:r>
      <w:proofErr w:type="gramEnd"/>
    </w:p>
    <w:p w14:paraId="7968A660" w14:textId="3680C885" w:rsidR="00BF2714" w:rsidRPr="0071246B" w:rsidRDefault="00BF2714" w:rsidP="00BB7F1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20F8FB2D" w14:textId="7D5C933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389302C" w14:textId="4AC29324"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Webinars, publications</w:t>
      </w:r>
    </w:p>
    <w:p w14:paraId="47D7B001" w14:textId="70EE2929" w:rsidR="00BB7F1A" w:rsidRPr="0071246B"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Wildland fires</w:t>
      </w:r>
      <w:r w:rsidR="00A76151" w:rsidRPr="0071246B">
        <w:rPr>
          <w:color w:val="2E74B5" w:themeColor="accent5" w:themeShade="BF"/>
        </w:rPr>
        <w:t xml:space="preserve"> </w:t>
      </w:r>
      <w:r w:rsidR="00A76151" w:rsidRPr="0071246B">
        <w:rPr>
          <w:color w:val="2E74B5" w:themeColor="accent5" w:themeShade="BF"/>
          <w:highlight w:val="cyan"/>
        </w:rPr>
        <w:t>(Marija)</w:t>
      </w:r>
    </w:p>
    <w:p w14:paraId="2D3D3B2F" w14:textId="5C8760F7" w:rsidR="00023F5E" w:rsidRPr="0071246B" w:rsidRDefault="00383EA6"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health outcomes to consider</w:t>
      </w:r>
      <w:r w:rsidR="00023F5E" w:rsidRPr="0071246B">
        <w:rPr>
          <w:color w:val="2E74B5" w:themeColor="accent5" w:themeShade="BF"/>
        </w:rPr>
        <w:t>:</w:t>
      </w:r>
    </w:p>
    <w:p w14:paraId="74597F52" w14:textId="71B6F0DF" w:rsidR="001C234A" w:rsidRPr="0071246B" w:rsidRDefault="00000000" w:rsidP="00023F5E">
      <w:pPr>
        <w:pStyle w:val="ListParagraph"/>
        <w:numPr>
          <w:ilvl w:val="3"/>
          <w:numId w:val="1"/>
        </w:numPr>
        <w:spacing w:after="0" w:line="240" w:lineRule="auto"/>
        <w:rPr>
          <w:color w:val="2E74B5" w:themeColor="accent5" w:themeShade="BF"/>
        </w:rPr>
      </w:pPr>
      <w:hyperlink r:id="rId24" w:history="1">
        <w:r w:rsidR="00023F5E" w:rsidRPr="0071246B">
          <w:rPr>
            <w:rStyle w:val="Hyperlink"/>
            <w:color w:val="2E74B5" w:themeColor="accent5" w:themeShade="BF"/>
          </w:rPr>
          <w:t>CSTE Syndromic Surveillance Wildfire Smoke Inhalation Guide</w:t>
        </w:r>
      </w:hyperlink>
      <w:r w:rsidR="00B114BD" w:rsidRPr="0071246B">
        <w:rPr>
          <w:color w:val="2E74B5" w:themeColor="accent5" w:themeShade="BF"/>
        </w:rPr>
        <w:t xml:space="preserve"> </w:t>
      </w:r>
    </w:p>
    <w:p w14:paraId="642D7181" w14:textId="77777777" w:rsidR="004E068C"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2770E37" w14:textId="77777777" w:rsidR="00023F5E" w:rsidRPr="0071246B" w:rsidRDefault="001C234A" w:rsidP="00023F5E">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w:t>
      </w:r>
      <w:proofErr w:type="gramStart"/>
      <w:r w:rsidR="0073629D" w:rsidRPr="0071246B">
        <w:rPr>
          <w:color w:val="2E74B5" w:themeColor="accent5" w:themeShade="BF"/>
        </w:rPr>
        <w:t>definitions</w:t>
      </w:r>
      <w:proofErr w:type="gramEnd"/>
    </w:p>
    <w:p w14:paraId="2FBACE9A" w14:textId="42A2108B" w:rsidR="00023F5E" w:rsidRPr="0071246B" w:rsidRDefault="00023F5E" w:rsidP="00023F5E">
      <w:pPr>
        <w:pStyle w:val="ListParagraph"/>
        <w:numPr>
          <w:ilvl w:val="3"/>
          <w:numId w:val="1"/>
        </w:numPr>
        <w:spacing w:after="0" w:line="240" w:lineRule="auto"/>
        <w:rPr>
          <w:color w:val="2E74B5" w:themeColor="accent5" w:themeShade="BF"/>
        </w:rPr>
      </w:pPr>
      <w:r w:rsidRPr="0071246B">
        <w:rPr>
          <w:color w:val="2E74B5" w:themeColor="accent5" w:themeShade="BF"/>
        </w:rPr>
        <w:t>Oregon case example (may or may not be specific to occupation, need to confirm).</w:t>
      </w:r>
    </w:p>
    <w:p w14:paraId="676A065C" w14:textId="56C2FEE7" w:rsidR="00BF2714" w:rsidRPr="0071246B" w:rsidRDefault="00BF2714" w:rsidP="00BF2714">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11B9C2EE" w14:textId="4C0EEA58" w:rsidR="003747AA" w:rsidRPr="0071246B" w:rsidRDefault="003747AA" w:rsidP="00BF2714">
      <w:pPr>
        <w:pStyle w:val="ListParagraph"/>
        <w:numPr>
          <w:ilvl w:val="2"/>
          <w:numId w:val="1"/>
        </w:numPr>
        <w:spacing w:after="0" w:line="240" w:lineRule="auto"/>
        <w:rPr>
          <w:color w:val="2E74B5" w:themeColor="accent5" w:themeShade="BF"/>
        </w:rPr>
      </w:pPr>
      <w:r w:rsidRPr="0071246B">
        <w:rPr>
          <w:color w:val="2E74B5" w:themeColor="accent5" w:themeShade="BF"/>
        </w:rPr>
        <w:t>Dissemination Strategies</w:t>
      </w:r>
    </w:p>
    <w:p w14:paraId="68EB76C3" w14:textId="400D750D" w:rsidR="00BB7F1A" w:rsidRPr="0071246B" w:rsidRDefault="00BB7F1A" w:rsidP="00BB7F1A">
      <w:pPr>
        <w:pStyle w:val="ListParagraph"/>
        <w:numPr>
          <w:ilvl w:val="1"/>
          <w:numId w:val="1"/>
        </w:numPr>
        <w:spacing w:after="0" w:line="240" w:lineRule="auto"/>
        <w:rPr>
          <w:color w:val="2E74B5" w:themeColor="accent5" w:themeShade="BF"/>
        </w:rPr>
      </w:pPr>
      <w:r w:rsidRPr="0071246B">
        <w:rPr>
          <w:color w:val="2E74B5" w:themeColor="accent5" w:themeShade="BF"/>
        </w:rPr>
        <w:t>Floods</w:t>
      </w:r>
      <w:r w:rsidR="00157C9F" w:rsidRPr="0071246B">
        <w:rPr>
          <w:color w:val="2E74B5" w:themeColor="accent5" w:themeShade="BF"/>
        </w:rPr>
        <w:t xml:space="preserve"> </w:t>
      </w:r>
      <w:r w:rsidR="00157C9F" w:rsidRPr="0071246B">
        <w:rPr>
          <w:b/>
          <w:bCs/>
          <w:color w:val="2E74B5" w:themeColor="accent5" w:themeShade="BF"/>
        </w:rPr>
        <w:t>(consider</w:t>
      </w:r>
      <w:r w:rsidR="00B103BA" w:rsidRPr="0071246B">
        <w:rPr>
          <w:b/>
          <w:bCs/>
          <w:color w:val="2E74B5" w:themeColor="accent5" w:themeShade="BF"/>
        </w:rPr>
        <w:t xml:space="preserve"> reframing </w:t>
      </w:r>
      <w:r w:rsidR="00157C9F" w:rsidRPr="0071246B">
        <w:rPr>
          <w:b/>
          <w:bCs/>
          <w:color w:val="2E74B5" w:themeColor="accent5" w:themeShade="BF"/>
        </w:rPr>
        <w:t>to storm, extreme precipitation, weather-related event)</w:t>
      </w:r>
      <w:r w:rsidR="00A76151" w:rsidRPr="0071246B">
        <w:rPr>
          <w:b/>
          <w:bCs/>
          <w:color w:val="2E74B5" w:themeColor="accent5" w:themeShade="BF"/>
        </w:rPr>
        <w:t xml:space="preserve"> </w:t>
      </w:r>
      <w:r w:rsidR="00A76151" w:rsidRPr="0071246B">
        <w:rPr>
          <w:color w:val="2E74B5" w:themeColor="accent5" w:themeShade="BF"/>
          <w:highlight w:val="cyan"/>
        </w:rPr>
        <w:t>(Ximena)</w:t>
      </w:r>
    </w:p>
    <w:p w14:paraId="15D0DF89" w14:textId="182C2C94" w:rsidR="001C234A" w:rsidRPr="0071246B" w:rsidRDefault="00BD0DAE" w:rsidP="001C234A">
      <w:pPr>
        <w:pStyle w:val="ListParagraph"/>
        <w:numPr>
          <w:ilvl w:val="2"/>
          <w:numId w:val="1"/>
        </w:numPr>
        <w:spacing w:after="0" w:line="240" w:lineRule="auto"/>
        <w:rPr>
          <w:color w:val="2E74B5" w:themeColor="accent5" w:themeShade="BF"/>
        </w:rPr>
      </w:pPr>
      <w:r w:rsidRPr="0071246B">
        <w:rPr>
          <w:color w:val="2E74B5" w:themeColor="accent5" w:themeShade="BF"/>
        </w:rPr>
        <w:t>Link to resources with -</w:t>
      </w:r>
      <w:r w:rsidR="001C234A" w:rsidRPr="0071246B">
        <w:rPr>
          <w:color w:val="2E74B5" w:themeColor="accent5" w:themeShade="BF"/>
        </w:rPr>
        <w:t>health outcomes to consider</w:t>
      </w:r>
      <w:r w:rsidRPr="0071246B">
        <w:rPr>
          <w:color w:val="2E74B5" w:themeColor="accent5" w:themeShade="BF"/>
        </w:rPr>
        <w:t>. If no well-defined resources, mention:</w:t>
      </w:r>
    </w:p>
    <w:p w14:paraId="058CEB0D" w14:textId="18B4DE7B" w:rsidR="00BC5B81" w:rsidRPr="0071246B" w:rsidRDefault="00BC5B81" w:rsidP="00BC5B81">
      <w:pPr>
        <w:pStyle w:val="ListParagraph"/>
        <w:numPr>
          <w:ilvl w:val="3"/>
          <w:numId w:val="1"/>
        </w:numPr>
        <w:spacing w:after="0" w:line="240" w:lineRule="auto"/>
        <w:rPr>
          <w:color w:val="2E74B5" w:themeColor="accent5" w:themeShade="BF"/>
        </w:rPr>
      </w:pPr>
      <w:r w:rsidRPr="0071246B">
        <w:rPr>
          <w:color w:val="2E74B5" w:themeColor="accent5" w:themeShade="BF"/>
        </w:rPr>
        <w:t>Motor vehicle accidents</w:t>
      </w:r>
    </w:p>
    <w:p w14:paraId="6DC7D33F" w14:textId="5CB9DFFD" w:rsidR="00BC5B81" w:rsidRPr="0071246B" w:rsidRDefault="00157C9F" w:rsidP="00BC5B81">
      <w:pPr>
        <w:pStyle w:val="ListParagraph"/>
        <w:numPr>
          <w:ilvl w:val="3"/>
          <w:numId w:val="1"/>
        </w:numPr>
        <w:spacing w:after="0" w:line="240" w:lineRule="auto"/>
        <w:rPr>
          <w:color w:val="2E74B5" w:themeColor="accent5" w:themeShade="BF"/>
        </w:rPr>
      </w:pPr>
      <w:r w:rsidRPr="0071246B">
        <w:rPr>
          <w:color w:val="2E74B5" w:themeColor="accent5" w:themeShade="BF"/>
        </w:rPr>
        <w:t xml:space="preserve">Direct/Indirect effects related to flood - </w:t>
      </w:r>
    </w:p>
    <w:p w14:paraId="1A8CF412" w14:textId="3A2979AB" w:rsidR="001C234A" w:rsidRPr="0071246B" w:rsidRDefault="004E068C" w:rsidP="004E068C">
      <w:pPr>
        <w:pStyle w:val="ListParagraph"/>
        <w:numPr>
          <w:ilvl w:val="2"/>
          <w:numId w:val="1"/>
        </w:numPr>
        <w:spacing w:after="0" w:line="240" w:lineRule="auto"/>
        <w:rPr>
          <w:color w:val="2E74B5" w:themeColor="accent5" w:themeShade="BF"/>
        </w:rPr>
      </w:pPr>
      <w:r w:rsidRPr="0071246B">
        <w:rPr>
          <w:color w:val="2E74B5" w:themeColor="accent5" w:themeShade="BF"/>
        </w:rPr>
        <w:t>Exposure Table</w:t>
      </w:r>
    </w:p>
    <w:p w14:paraId="595B1210" w14:textId="53C7DAD2" w:rsidR="001C234A" w:rsidRPr="0071246B" w:rsidRDefault="001C234A" w:rsidP="001C234A">
      <w:pPr>
        <w:pStyle w:val="ListParagraph"/>
        <w:numPr>
          <w:ilvl w:val="2"/>
          <w:numId w:val="1"/>
        </w:numPr>
        <w:spacing w:after="0" w:line="240" w:lineRule="auto"/>
        <w:rPr>
          <w:color w:val="2E74B5" w:themeColor="accent5" w:themeShade="BF"/>
        </w:rPr>
      </w:pPr>
      <w:r w:rsidRPr="0071246B">
        <w:rPr>
          <w:color w:val="2E74B5" w:themeColor="accent5" w:themeShade="BF"/>
        </w:rPr>
        <w:t>Examples from jurisdictions</w:t>
      </w:r>
      <w:r w:rsidR="0073629D" w:rsidRPr="0071246B">
        <w:rPr>
          <w:color w:val="2E74B5" w:themeColor="accent5" w:themeShade="BF"/>
        </w:rPr>
        <w:t xml:space="preserve"> and additional resources for creating case </w:t>
      </w:r>
      <w:proofErr w:type="gramStart"/>
      <w:r w:rsidR="0073629D" w:rsidRPr="0071246B">
        <w:rPr>
          <w:color w:val="2E74B5" w:themeColor="accent5" w:themeShade="BF"/>
        </w:rPr>
        <w:t>definitions</w:t>
      </w:r>
      <w:proofErr w:type="gramEnd"/>
    </w:p>
    <w:p w14:paraId="3522954A" w14:textId="4FC99CB9" w:rsidR="00383EA6" w:rsidRPr="0071246B" w:rsidRDefault="00383EA6" w:rsidP="00383EA6">
      <w:pPr>
        <w:pStyle w:val="ListParagraph"/>
        <w:numPr>
          <w:ilvl w:val="3"/>
          <w:numId w:val="1"/>
        </w:numPr>
        <w:spacing w:after="0" w:line="240" w:lineRule="auto"/>
        <w:rPr>
          <w:color w:val="2E74B5" w:themeColor="accent5" w:themeShade="BF"/>
        </w:rPr>
      </w:pPr>
      <w:r w:rsidRPr="0071246B">
        <w:rPr>
          <w:color w:val="2E74B5" w:themeColor="accent5" w:themeShade="BF"/>
        </w:rPr>
        <w:t>Kentucky – FACE data – detection of flood-related deaths</w:t>
      </w:r>
    </w:p>
    <w:p w14:paraId="47F9F184" w14:textId="5765432D" w:rsidR="003747AA" w:rsidRPr="0071246B" w:rsidRDefault="00BF2714" w:rsidP="003747AA">
      <w:pPr>
        <w:pStyle w:val="ListParagraph"/>
        <w:numPr>
          <w:ilvl w:val="2"/>
          <w:numId w:val="1"/>
        </w:numPr>
        <w:spacing w:after="0" w:line="240" w:lineRule="auto"/>
        <w:rPr>
          <w:color w:val="2E74B5" w:themeColor="accent5" w:themeShade="BF"/>
        </w:rPr>
      </w:pPr>
      <w:r w:rsidRPr="0071246B">
        <w:rPr>
          <w:color w:val="2E74B5" w:themeColor="accent5" w:themeShade="BF"/>
        </w:rPr>
        <w:t>Strengths and limitations</w:t>
      </w:r>
    </w:p>
    <w:p w14:paraId="62CEFB79" w14:textId="1989CE7B" w:rsidR="003747AA" w:rsidRPr="0071246B" w:rsidRDefault="003747AA" w:rsidP="003747AA">
      <w:pPr>
        <w:pStyle w:val="ListParagraph"/>
        <w:numPr>
          <w:ilvl w:val="2"/>
          <w:numId w:val="1"/>
        </w:numPr>
        <w:spacing w:after="0" w:line="240" w:lineRule="auto"/>
        <w:rPr>
          <w:color w:val="2E74B5" w:themeColor="accent5" w:themeShade="BF"/>
        </w:rPr>
      </w:pPr>
      <w:r w:rsidRPr="0071246B">
        <w:rPr>
          <w:color w:val="2E74B5" w:themeColor="accent5" w:themeShade="BF"/>
        </w:rPr>
        <w:lastRenderedPageBreak/>
        <w:t>Dissemination Strategies</w:t>
      </w:r>
    </w:p>
    <w:p w14:paraId="748BEEF8" w14:textId="4CF70B5D" w:rsidR="00A3286D" w:rsidRPr="0071246B" w:rsidRDefault="008A3E6A" w:rsidP="00707AAC">
      <w:pPr>
        <w:pStyle w:val="ListParagraph"/>
        <w:numPr>
          <w:ilvl w:val="0"/>
          <w:numId w:val="1"/>
        </w:numPr>
        <w:spacing w:after="0" w:line="240" w:lineRule="auto"/>
        <w:rPr>
          <w:color w:val="2E74B5" w:themeColor="accent5" w:themeShade="BF"/>
        </w:rPr>
      </w:pPr>
      <w:r w:rsidRPr="0071246B">
        <w:rPr>
          <w:color w:val="2E74B5" w:themeColor="accent5" w:themeShade="BF"/>
        </w:rPr>
        <w:t>Identifying and engaging potential partners</w:t>
      </w:r>
      <w:r w:rsidR="00A76151" w:rsidRPr="0071246B">
        <w:rPr>
          <w:color w:val="2E74B5" w:themeColor="accent5" w:themeShade="BF"/>
        </w:rPr>
        <w:t xml:space="preserve"> </w:t>
      </w:r>
      <w:r w:rsidR="00A76151" w:rsidRPr="0071246B">
        <w:rPr>
          <w:color w:val="2E74B5" w:themeColor="accent5" w:themeShade="BF"/>
          <w:highlight w:val="cyan"/>
        </w:rPr>
        <w:t>(Paul)</w:t>
      </w:r>
    </w:p>
    <w:p w14:paraId="43603AAE" w14:textId="2D52FF5D" w:rsidR="00A3286D" w:rsidRPr="0071246B" w:rsidRDefault="00A3286D" w:rsidP="00A3286D">
      <w:pPr>
        <w:pStyle w:val="ListParagraph"/>
        <w:numPr>
          <w:ilvl w:val="1"/>
          <w:numId w:val="1"/>
        </w:numPr>
        <w:spacing w:after="0" w:line="240" w:lineRule="auto"/>
        <w:rPr>
          <w:color w:val="2E74B5" w:themeColor="accent5" w:themeShade="BF"/>
        </w:rPr>
      </w:pPr>
      <w:r w:rsidRPr="0071246B">
        <w:rPr>
          <w:color w:val="2E74B5" w:themeColor="accent5" w:themeShade="BF"/>
        </w:rPr>
        <w:t xml:space="preserve">Identifying potential partners outside of occupational health </w:t>
      </w:r>
      <w:r w:rsidR="009A0501" w:rsidRPr="0071246B">
        <w:rPr>
          <w:color w:val="2E74B5" w:themeColor="accent5" w:themeShade="BF"/>
        </w:rPr>
        <w:t>(include example partners)</w:t>
      </w:r>
      <w:r w:rsidR="006C340C" w:rsidRPr="0071246B">
        <w:rPr>
          <w:color w:val="2E74B5" w:themeColor="accent5" w:themeShade="BF"/>
        </w:rPr>
        <w:t xml:space="preserve"> (Refer to Lens Doc).</w:t>
      </w:r>
    </w:p>
    <w:p w14:paraId="2DEEE83E" w14:textId="1CC82CC8"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Army core of engineers</w:t>
      </w:r>
    </w:p>
    <w:p w14:paraId="466AB851" w14:textId="3EDD6F3A"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Total worker health centers</w:t>
      </w:r>
    </w:p>
    <w:p w14:paraId="5000E51A" w14:textId="0B6DF6BE" w:rsidR="006C340C" w:rsidRPr="0071246B" w:rsidRDefault="006C340C" w:rsidP="006C340C">
      <w:pPr>
        <w:pStyle w:val="ListParagraph"/>
        <w:numPr>
          <w:ilvl w:val="2"/>
          <w:numId w:val="1"/>
        </w:numPr>
        <w:spacing w:after="0" w:line="240" w:lineRule="auto"/>
        <w:rPr>
          <w:color w:val="2E74B5" w:themeColor="accent5" w:themeShade="BF"/>
        </w:rPr>
      </w:pPr>
      <w:r w:rsidRPr="0071246B">
        <w:rPr>
          <w:color w:val="2E74B5" w:themeColor="accent5" w:themeShade="BF"/>
        </w:rPr>
        <w:t xml:space="preserve">FQHCs that do outreach with </w:t>
      </w:r>
      <w:proofErr w:type="gramStart"/>
      <w:r w:rsidRPr="0071246B">
        <w:rPr>
          <w:color w:val="2E74B5" w:themeColor="accent5" w:themeShade="BF"/>
        </w:rPr>
        <w:t>farmworkers</w:t>
      </w:r>
      <w:proofErr w:type="gramEnd"/>
    </w:p>
    <w:p w14:paraId="149F9A03" w14:textId="3283BDC0" w:rsidR="005242CE" w:rsidRPr="0071246B" w:rsidRDefault="005242CE" w:rsidP="006C340C">
      <w:pPr>
        <w:pStyle w:val="ListParagraph"/>
        <w:numPr>
          <w:ilvl w:val="2"/>
          <w:numId w:val="1"/>
        </w:numPr>
        <w:spacing w:after="0" w:line="240" w:lineRule="auto"/>
        <w:rPr>
          <w:color w:val="2E74B5" w:themeColor="accent5" w:themeShade="BF"/>
        </w:rPr>
      </w:pPr>
      <w:r w:rsidRPr="0071246B">
        <w:rPr>
          <w:color w:val="2E74B5" w:themeColor="accent5" w:themeShade="BF"/>
        </w:rPr>
        <w:t>Migrant Clinicians Network</w:t>
      </w:r>
    </w:p>
    <w:p w14:paraId="5E8BE896" w14:textId="269BD18D" w:rsidR="00707AAC" w:rsidRPr="0071246B" w:rsidRDefault="00A3286D"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How </w:t>
      </w:r>
      <w:r w:rsidR="009A0501" w:rsidRPr="0071246B">
        <w:rPr>
          <w:color w:val="2E74B5" w:themeColor="accent5" w:themeShade="BF"/>
          <w:highlight w:val="yellow"/>
        </w:rPr>
        <w:t>can</w:t>
      </w:r>
      <w:r w:rsidRPr="0071246B">
        <w:rPr>
          <w:color w:val="2E74B5" w:themeColor="accent5" w:themeShade="BF"/>
          <w:highlight w:val="yellow"/>
        </w:rPr>
        <w:t xml:space="preserve"> occupational health programs access non-traditional occupational data </w:t>
      </w:r>
      <w:proofErr w:type="gramStart"/>
      <w:r w:rsidRPr="0071246B">
        <w:rPr>
          <w:color w:val="2E74B5" w:themeColor="accent5" w:themeShade="BF"/>
          <w:highlight w:val="yellow"/>
        </w:rPr>
        <w:t>sources</w:t>
      </w:r>
      <w:proofErr w:type="gramEnd"/>
      <w:r w:rsidR="00707AAC" w:rsidRPr="0071246B">
        <w:rPr>
          <w:color w:val="2E74B5" w:themeColor="accent5" w:themeShade="BF"/>
          <w:highlight w:val="yellow"/>
        </w:rPr>
        <w:t xml:space="preserve"> </w:t>
      </w:r>
    </w:p>
    <w:p w14:paraId="31264FEE" w14:textId="7DC35D2F" w:rsidR="009A0501" w:rsidRPr="0071246B" w:rsidRDefault="009A0501"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How can occupational health programs work with partners to use the data</w:t>
      </w:r>
      <w:r w:rsidR="003D6DD5" w:rsidRPr="0071246B">
        <w:rPr>
          <w:color w:val="2E74B5" w:themeColor="accent5" w:themeShade="BF"/>
          <w:highlight w:val="yellow"/>
        </w:rPr>
        <w:t xml:space="preserve">, disseminate the data. </w:t>
      </w:r>
    </w:p>
    <w:p w14:paraId="4ADACB49" w14:textId="1945D471" w:rsidR="003D6DD5" w:rsidRPr="0071246B" w:rsidRDefault="003D6DD5" w:rsidP="00A3286D">
      <w:pPr>
        <w:pStyle w:val="ListParagraph"/>
        <w:numPr>
          <w:ilvl w:val="1"/>
          <w:numId w:val="1"/>
        </w:numPr>
        <w:spacing w:after="0" w:line="240" w:lineRule="auto"/>
        <w:rPr>
          <w:color w:val="2E74B5" w:themeColor="accent5" w:themeShade="BF"/>
          <w:highlight w:val="yellow"/>
        </w:rPr>
      </w:pPr>
      <w:r w:rsidRPr="0071246B">
        <w:rPr>
          <w:color w:val="2E74B5" w:themeColor="accent5" w:themeShade="BF"/>
          <w:highlight w:val="yellow"/>
        </w:rPr>
        <w:t xml:space="preserve">Developing questions for partners – knowing what to ask academics. </w:t>
      </w:r>
    </w:p>
    <w:p w14:paraId="26F3ABB3" w14:textId="566CE77C" w:rsidR="00B907A7" w:rsidRDefault="00B907A7" w:rsidP="00B907A7">
      <w:pPr>
        <w:spacing w:after="0" w:line="240" w:lineRule="auto"/>
      </w:pPr>
    </w:p>
    <w:p w14:paraId="2AF968A6" w14:textId="0C2E7FB9" w:rsidR="00B907A7" w:rsidRPr="001718B6" w:rsidRDefault="001718B6" w:rsidP="00B907A7">
      <w:pPr>
        <w:spacing w:after="0" w:line="240" w:lineRule="auto"/>
        <w:rPr>
          <w:i/>
          <w:iCs/>
        </w:rPr>
      </w:pPr>
      <w:r w:rsidRPr="001718B6">
        <w:rPr>
          <w:i/>
          <w:iCs/>
        </w:rPr>
        <w:t>Identifying partners:</w:t>
      </w:r>
    </w:p>
    <w:p w14:paraId="63F05FCD" w14:textId="4B0E32C0" w:rsidR="00C726C4" w:rsidRDefault="001718B6" w:rsidP="00B907A7">
      <w:pPr>
        <w:spacing w:after="0" w:line="240" w:lineRule="auto"/>
      </w:pPr>
      <w:r>
        <w:t xml:space="preserve">One way to make progress in the climate and occupational health space is to partner with other groups that are involved in this work. </w:t>
      </w:r>
      <w:r w:rsidR="00B964EC">
        <w:t xml:space="preserve">Such partnerships can lead to synergies that move the work further along for both parties. </w:t>
      </w:r>
      <w:r>
        <w:t xml:space="preserve">Non-traditional partners may be particularly valuable as they might have alternative data sources, additional networks, and diverse perspectives. Partners could be groups working on equity, environmental justice, or labor issues. Unions (e.g., AFL/CIO, IAFF, </w:t>
      </w:r>
      <w:r w:rsidR="00C52FF3">
        <w:t>etc.</w:t>
      </w:r>
      <w:r>
        <w:t xml:space="preserve">), </w:t>
      </w:r>
      <w:r w:rsidR="00DF2583">
        <w:t xml:space="preserve">non-profits (e.g., National Resource Defense Council </w:t>
      </w:r>
      <w:r w:rsidR="00F23898">
        <w:t>[</w:t>
      </w:r>
      <w:r w:rsidR="00DF2583">
        <w:t>NRDC</w:t>
      </w:r>
      <w:r w:rsidR="00F23898">
        <w:t>]</w:t>
      </w:r>
      <w:r w:rsidR="00DF2583">
        <w:t>), Total Worker Health Centers</w:t>
      </w:r>
      <w:r w:rsidR="004104B4">
        <w:t xml:space="preserve">, </w:t>
      </w:r>
      <w:r w:rsidR="00DF2583">
        <w:t>Federally Qualified Health Centers (FQHCs)</w:t>
      </w:r>
      <w:r w:rsidR="00B964EC">
        <w:t xml:space="preserve"> – especially those that do outreach with farmer worker populations –</w:t>
      </w:r>
      <w:r w:rsidR="004104B4">
        <w:t xml:space="preserve"> and state climatologists</w:t>
      </w:r>
      <w:r w:rsidR="00DF2583">
        <w:t xml:space="preserve"> are examples of </w:t>
      </w:r>
      <w:r w:rsidR="00B964EC">
        <w:t xml:space="preserve">potential </w:t>
      </w:r>
      <w:r w:rsidR="00DF2583">
        <w:t>partners that share the priorities of protecting workers from the effects of climate change.</w:t>
      </w:r>
      <w:r w:rsidR="004104B4">
        <w:t xml:space="preserve"> </w:t>
      </w:r>
    </w:p>
    <w:p w14:paraId="4392ABE9" w14:textId="77777777" w:rsidR="00C726C4" w:rsidRDefault="00C726C4" w:rsidP="00B907A7">
      <w:pPr>
        <w:spacing w:after="0" w:line="240" w:lineRule="auto"/>
      </w:pPr>
    </w:p>
    <w:p w14:paraId="6EE6A46F" w14:textId="33CED76B" w:rsidR="001718B6" w:rsidRDefault="00C726C4" w:rsidP="00B907A7">
      <w:pPr>
        <w:spacing w:after="0" w:line="240" w:lineRule="auto"/>
      </w:pPr>
      <w:r>
        <w:t>Ma</w:t>
      </w:r>
      <w:r w:rsidR="004104B4">
        <w:t>ny data providers are</w:t>
      </w:r>
      <w:r>
        <w:t xml:space="preserve"> also</w:t>
      </w:r>
      <w:r w:rsidR="004104B4">
        <w:t xml:space="preserve"> potential partners. These might include your state poison control center, local preparedness organizations, your state-level Environmental Public Health Tracking (EPHT) program, or the </w:t>
      </w:r>
      <w:r w:rsidR="004104B4" w:rsidRPr="004104B4">
        <w:t>Climate-Ready States &amp; Cities Initiative (CRSCI</w:t>
      </w:r>
      <w:r w:rsidR="004104B4">
        <w:t>).</w:t>
      </w:r>
      <w:r w:rsidR="00AC0ADC">
        <w:t xml:space="preserve"> Departments of workforce development, the national guard, and the army core of engineers are all potential partners as well. Give some thought to the </w:t>
      </w:r>
      <w:proofErr w:type="gramStart"/>
      <w:r w:rsidR="00AC0ADC">
        <w:t>particular needs</w:t>
      </w:r>
      <w:proofErr w:type="gramEnd"/>
      <w:r w:rsidR="00AC0ADC">
        <w:t xml:space="preserve"> of your region when considering where to look for partnerships. </w:t>
      </w:r>
      <w:r w:rsidR="00216A13">
        <w:t xml:space="preserve">Table </w:t>
      </w:r>
      <w:r w:rsidR="00216A13" w:rsidRPr="00216A13">
        <w:rPr>
          <w:highlight w:val="yellow"/>
        </w:rPr>
        <w:t>X</w:t>
      </w:r>
      <w:r w:rsidR="00216A13">
        <w:t xml:space="preserve"> (below)</w:t>
      </w:r>
      <w:r w:rsidR="00AC0ADC">
        <w:t xml:space="preserve"> follows provides some examples of partnerships categorized their level (</w:t>
      </w:r>
      <w:r w:rsidR="00216A13">
        <w:t xml:space="preserve">i.e., </w:t>
      </w:r>
      <w:r w:rsidR="00AC0ADC">
        <w:t>national</w:t>
      </w:r>
      <w:r w:rsidR="009817E1">
        <w:t xml:space="preserve"> and</w:t>
      </w:r>
      <w:r w:rsidR="00AC0ADC">
        <w:t xml:space="preserve"> state). </w:t>
      </w:r>
      <w:r>
        <w:t xml:space="preserve">Please note that this table is intended to be suggestive, not exhaustive. </w:t>
      </w:r>
    </w:p>
    <w:p w14:paraId="212AFF83" w14:textId="0998FDB0" w:rsidR="0071246B" w:rsidRDefault="0071246B" w:rsidP="00B907A7">
      <w:pPr>
        <w:spacing w:after="0" w:line="240" w:lineRule="auto"/>
      </w:pPr>
    </w:p>
    <w:p w14:paraId="4D490C26" w14:textId="0663E506" w:rsidR="0071246B" w:rsidRDefault="0071246B" w:rsidP="00B907A7">
      <w:pPr>
        <w:spacing w:after="0" w:line="240" w:lineRule="auto"/>
      </w:pPr>
    </w:p>
    <w:p w14:paraId="4155DB24" w14:textId="15C4C441" w:rsidR="0071246B" w:rsidRDefault="0071246B" w:rsidP="00B907A7">
      <w:pPr>
        <w:spacing w:after="0" w:line="240" w:lineRule="auto"/>
      </w:pPr>
    </w:p>
    <w:p w14:paraId="38A9B2BA" w14:textId="54E00A03" w:rsidR="0071246B" w:rsidRDefault="0071246B" w:rsidP="00B907A7">
      <w:pPr>
        <w:spacing w:after="0" w:line="240" w:lineRule="auto"/>
      </w:pPr>
    </w:p>
    <w:p w14:paraId="31ECFCA4" w14:textId="6BA4FA77" w:rsidR="00EC0502" w:rsidRDefault="00EC0502" w:rsidP="00B907A7">
      <w:pPr>
        <w:spacing w:after="0" w:line="240" w:lineRule="auto"/>
      </w:pPr>
    </w:p>
    <w:p w14:paraId="33298DBC" w14:textId="5C2F2B5A" w:rsidR="00EC0502" w:rsidRDefault="00EC0502" w:rsidP="00B907A7">
      <w:pPr>
        <w:spacing w:after="0" w:line="240" w:lineRule="auto"/>
      </w:pPr>
    </w:p>
    <w:p w14:paraId="189F1588" w14:textId="77777777" w:rsidR="00EC0502" w:rsidRDefault="00EC0502" w:rsidP="00B907A7">
      <w:pPr>
        <w:spacing w:after="0" w:line="240" w:lineRule="auto"/>
      </w:pPr>
    </w:p>
    <w:p w14:paraId="17216F09" w14:textId="77777777" w:rsidR="0071246B" w:rsidRDefault="0071246B" w:rsidP="00B907A7">
      <w:pPr>
        <w:spacing w:after="0" w:line="240" w:lineRule="auto"/>
      </w:pPr>
    </w:p>
    <w:p w14:paraId="6333462D" w14:textId="41182223" w:rsidR="00AC0ADC" w:rsidRDefault="00AC0ADC" w:rsidP="00B907A7">
      <w:pPr>
        <w:spacing w:after="0" w:line="240" w:lineRule="auto"/>
      </w:pPr>
    </w:p>
    <w:tbl>
      <w:tblPr>
        <w:tblW w:w="9400" w:type="dxa"/>
        <w:tblLook w:val="04A0" w:firstRow="1" w:lastRow="0" w:firstColumn="1" w:lastColumn="0" w:noHBand="0" w:noVBand="1"/>
      </w:tblPr>
      <w:tblGrid>
        <w:gridCol w:w="1204"/>
        <w:gridCol w:w="4646"/>
        <w:gridCol w:w="3550"/>
      </w:tblGrid>
      <w:tr w:rsidR="00A7041A" w:rsidRPr="00A7041A" w14:paraId="76A8578B" w14:textId="77777777" w:rsidTr="00704D02">
        <w:trPr>
          <w:trHeight w:val="364"/>
        </w:trPr>
        <w:tc>
          <w:tcPr>
            <w:tcW w:w="1204" w:type="dxa"/>
            <w:tcBorders>
              <w:top w:val="nil"/>
              <w:left w:val="nil"/>
              <w:bottom w:val="nil"/>
              <w:right w:val="nil"/>
            </w:tcBorders>
            <w:shd w:val="clear" w:color="auto" w:fill="auto"/>
            <w:vAlign w:val="center"/>
            <w:hideMark/>
          </w:tcPr>
          <w:p w14:paraId="168EE463" w14:textId="77777777" w:rsidR="00A7041A" w:rsidRPr="00A7041A" w:rsidRDefault="00A7041A" w:rsidP="00A7041A">
            <w:pPr>
              <w:spacing w:after="0" w:line="240" w:lineRule="auto"/>
              <w:rPr>
                <w:rFonts w:ascii="Times New Roman" w:eastAsia="Times New Roman" w:hAnsi="Times New Roman" w:cs="Times New Roman"/>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2DC6DEE"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National</w:t>
            </w:r>
          </w:p>
        </w:tc>
        <w:tc>
          <w:tcPr>
            <w:tcW w:w="3550" w:type="dxa"/>
            <w:tcBorders>
              <w:top w:val="single" w:sz="4" w:space="0" w:color="auto"/>
              <w:left w:val="nil"/>
              <w:bottom w:val="single" w:sz="4" w:space="0" w:color="auto"/>
              <w:right w:val="single" w:sz="4" w:space="0" w:color="auto"/>
            </w:tcBorders>
            <w:shd w:val="clear" w:color="000000" w:fill="E7E6E6"/>
            <w:vAlign w:val="center"/>
            <w:hideMark/>
          </w:tcPr>
          <w:p w14:paraId="5D71ED45"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State</w:t>
            </w:r>
          </w:p>
        </w:tc>
      </w:tr>
      <w:tr w:rsidR="00A7041A" w:rsidRPr="00A7041A" w14:paraId="3F98B267" w14:textId="77777777" w:rsidTr="00216A13">
        <w:trPr>
          <w:trHeight w:val="4040"/>
        </w:trPr>
        <w:tc>
          <w:tcPr>
            <w:tcW w:w="12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3335A6B" w14:textId="77777777" w:rsidR="00A7041A" w:rsidRPr="00A7041A" w:rsidRDefault="00A7041A" w:rsidP="00A7041A">
            <w:pPr>
              <w:spacing w:after="0" w:line="240" w:lineRule="auto"/>
              <w:jc w:val="center"/>
              <w:rPr>
                <w:rFonts w:ascii="Arial" w:eastAsia="Times New Roman" w:hAnsi="Arial" w:cs="Arial"/>
                <w:color w:val="000000"/>
                <w:sz w:val="14"/>
                <w:szCs w:val="14"/>
              </w:rPr>
            </w:pPr>
            <w:r w:rsidRPr="00A7041A">
              <w:rPr>
                <w:rFonts w:ascii="Arial" w:eastAsia="Times New Roman" w:hAnsi="Arial" w:cs="Arial"/>
                <w:color w:val="000000"/>
                <w:sz w:val="16"/>
                <w:szCs w:val="16"/>
              </w:rPr>
              <w:lastRenderedPageBreak/>
              <w:t>Organizations</w:t>
            </w:r>
          </w:p>
        </w:tc>
        <w:tc>
          <w:tcPr>
            <w:tcW w:w="4646" w:type="dxa"/>
            <w:tcBorders>
              <w:top w:val="nil"/>
              <w:left w:val="nil"/>
              <w:bottom w:val="single" w:sz="4" w:space="0" w:color="auto"/>
              <w:right w:val="single" w:sz="4" w:space="0" w:color="auto"/>
            </w:tcBorders>
            <w:shd w:val="clear" w:color="auto" w:fill="auto"/>
            <w:vAlign w:val="center"/>
            <w:hideMark/>
          </w:tcPr>
          <w:p w14:paraId="6A97630E" w14:textId="7ABDC39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Bureau of Labor Statistics (BLS)</w:t>
            </w:r>
            <w:r w:rsidRPr="00A7041A">
              <w:rPr>
                <w:rFonts w:ascii="Arial" w:eastAsia="Times New Roman" w:hAnsi="Arial" w:cs="Arial"/>
                <w:color w:val="000000"/>
                <w:sz w:val="16"/>
                <w:szCs w:val="16"/>
              </w:rPr>
              <w:br/>
              <w:t>• National Institute for Occupational Safety &amp; Health (NIOSH)</w:t>
            </w:r>
            <w:r w:rsidRPr="00A7041A">
              <w:rPr>
                <w:rFonts w:ascii="Arial" w:eastAsia="Times New Roman" w:hAnsi="Arial" w:cs="Arial"/>
                <w:color w:val="000000"/>
                <w:sz w:val="16"/>
                <w:szCs w:val="16"/>
              </w:rPr>
              <w:br/>
              <w:t>• Occupational Health and Safety Administration (OSHA)</w:t>
            </w:r>
            <w:r w:rsidRPr="00A7041A">
              <w:rPr>
                <w:rFonts w:ascii="Arial" w:eastAsia="Times New Roman" w:hAnsi="Arial" w:cs="Arial"/>
                <w:color w:val="000000"/>
                <w:sz w:val="16"/>
                <w:szCs w:val="16"/>
              </w:rPr>
              <w:br/>
              <w:t>• Environmental Protection Agency (EPA)</w:t>
            </w:r>
            <w:r w:rsidRPr="00A7041A">
              <w:rPr>
                <w:rFonts w:ascii="Arial" w:eastAsia="Times New Roman" w:hAnsi="Arial" w:cs="Arial"/>
                <w:color w:val="000000"/>
                <w:sz w:val="16"/>
                <w:szCs w:val="16"/>
              </w:rPr>
              <w:br/>
              <w:t>• The Centers for Disease Control and Prevention (CDC)</w:t>
            </w:r>
            <w:r w:rsidRPr="00A7041A">
              <w:rPr>
                <w:rFonts w:ascii="Arial" w:eastAsia="Times New Roman" w:hAnsi="Arial" w:cs="Arial"/>
                <w:color w:val="000000"/>
                <w:sz w:val="16"/>
                <w:szCs w:val="16"/>
              </w:rPr>
              <w:br/>
              <w:t>• National Oceanic and Atmospheric Administration (NOAA)</w:t>
            </w:r>
            <w:r w:rsidRPr="00A7041A">
              <w:rPr>
                <w:rFonts w:ascii="Arial" w:eastAsia="Times New Roman" w:hAnsi="Arial" w:cs="Arial"/>
                <w:color w:val="000000"/>
                <w:sz w:val="16"/>
                <w:szCs w:val="16"/>
              </w:rPr>
              <w:br/>
              <w:t xml:space="preserve">• The National Weather Service (NWS) </w:t>
            </w:r>
            <w:r w:rsidRPr="00A7041A">
              <w:rPr>
                <w:rFonts w:ascii="Arial" w:eastAsia="Times New Roman" w:hAnsi="Arial" w:cs="Arial"/>
                <w:color w:val="000000"/>
                <w:sz w:val="16"/>
                <w:szCs w:val="16"/>
              </w:rPr>
              <w:br/>
              <w:t>• United States Department of Labor (USDOL)</w:t>
            </w:r>
            <w:r w:rsidRPr="00A7041A">
              <w:rPr>
                <w:rFonts w:ascii="Arial" w:eastAsia="Times New Roman" w:hAnsi="Arial" w:cs="Arial"/>
                <w:color w:val="000000"/>
                <w:sz w:val="16"/>
                <w:szCs w:val="16"/>
              </w:rPr>
              <w:br/>
              <w:t>• Federal Emergency Management Agency (FEMA)</w:t>
            </w:r>
          </w:p>
          <w:p w14:paraId="5D0581DF" w14:textId="645B2722"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Environmental Public Health Tracking (EPHT)</w:t>
            </w:r>
          </w:p>
          <w:p w14:paraId="17F92FDA" w14:textId="2932FCF1"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F23898">
              <w:rPr>
                <w:rFonts w:ascii="Arial" w:eastAsia="Times New Roman" w:hAnsi="Arial" w:cs="Arial"/>
                <w:color w:val="000000"/>
                <w:sz w:val="16"/>
                <w:szCs w:val="16"/>
              </w:rPr>
              <w:t>Climate-Ready States &amp; Cities Initiative (CRSCI</w:t>
            </w:r>
            <w:r>
              <w:rPr>
                <w:rFonts w:ascii="Arial" w:eastAsia="Times New Roman" w:hAnsi="Arial" w:cs="Arial"/>
                <w:color w:val="000000"/>
                <w:sz w:val="16"/>
                <w:szCs w:val="16"/>
              </w:rPr>
              <w:t>)</w:t>
            </w:r>
          </w:p>
          <w:p w14:paraId="58EE5EB4" w14:textId="44CD896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Army core of engineers</w:t>
            </w:r>
          </w:p>
          <w:p w14:paraId="1C1D0DF6" w14:textId="22C28CEF"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guard</w:t>
            </w:r>
          </w:p>
          <w:p w14:paraId="09FE2345" w14:textId="77777777" w:rsidR="00216A13"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National Poison Data System</w:t>
            </w:r>
            <w:r w:rsidRPr="00A7041A">
              <w:rPr>
                <w:rFonts w:ascii="Arial" w:eastAsia="Times New Roman" w:hAnsi="Arial" w:cs="Arial"/>
                <w:color w:val="000000"/>
                <w:sz w:val="16"/>
                <w:szCs w:val="16"/>
              </w:rPr>
              <w:br/>
              <w:t>• Agency for Toxic Substance and Disease Registry (ATSDR)</w:t>
            </w:r>
            <w:r w:rsidRPr="00A7041A">
              <w:rPr>
                <w:rFonts w:ascii="Arial" w:eastAsia="Times New Roman" w:hAnsi="Arial" w:cs="Arial"/>
                <w:color w:val="000000"/>
                <w:sz w:val="16"/>
                <w:szCs w:val="16"/>
              </w:rPr>
              <w:br/>
              <w:t>• Center for Protection of Workers Rights (CPWR)</w:t>
            </w:r>
            <w:r w:rsidRPr="00A7041A">
              <w:rPr>
                <w:rFonts w:ascii="Arial" w:eastAsia="Times New Roman" w:hAnsi="Arial" w:cs="Arial"/>
                <w:color w:val="000000"/>
                <w:sz w:val="16"/>
                <w:szCs w:val="16"/>
              </w:rPr>
              <w:br/>
              <w:t>• Unions (e.g., AFL/CIO, IAFF, UFCW, etc.)</w:t>
            </w:r>
          </w:p>
          <w:p w14:paraId="54209C80" w14:textId="61883228" w:rsidR="00D05470" w:rsidRPr="00A7041A" w:rsidRDefault="00216A13"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216A13">
              <w:rPr>
                <w:rFonts w:ascii="Arial" w:eastAsia="Times New Roman" w:hAnsi="Arial" w:cs="Arial"/>
                <w:color w:val="000000"/>
                <w:sz w:val="16"/>
                <w:szCs w:val="16"/>
              </w:rPr>
              <w:t>Migrant Clinicians Network</w:t>
            </w:r>
            <w:r w:rsidR="00A7041A" w:rsidRPr="00A7041A">
              <w:rPr>
                <w:rFonts w:ascii="Arial" w:eastAsia="Times New Roman" w:hAnsi="Arial" w:cs="Arial"/>
                <w:color w:val="000000"/>
                <w:sz w:val="16"/>
                <w:szCs w:val="16"/>
              </w:rPr>
              <w:br/>
              <w:t>• National Resources Defense Council (NRDC)</w:t>
            </w:r>
            <w:r w:rsidR="00A7041A" w:rsidRPr="00A7041A">
              <w:rPr>
                <w:rFonts w:ascii="Arial" w:eastAsia="Times New Roman" w:hAnsi="Arial" w:cs="Arial"/>
                <w:color w:val="000000"/>
                <w:sz w:val="16"/>
                <w:szCs w:val="16"/>
              </w:rPr>
              <w:br/>
              <w:t xml:space="preserve">• Other national NGOs (e.g., </w:t>
            </w:r>
            <w:proofErr w:type="spellStart"/>
            <w:r w:rsidR="00A7041A" w:rsidRPr="00A7041A">
              <w:rPr>
                <w:rFonts w:ascii="Arial" w:eastAsia="Times New Roman" w:hAnsi="Arial" w:cs="Arial"/>
                <w:color w:val="000000"/>
                <w:sz w:val="16"/>
                <w:szCs w:val="16"/>
              </w:rPr>
              <w:t>ISeeChange</w:t>
            </w:r>
            <w:proofErr w:type="spellEnd"/>
            <w:r w:rsidR="00A7041A" w:rsidRPr="00A7041A">
              <w:rPr>
                <w:rFonts w:ascii="Arial" w:eastAsia="Times New Roman" w:hAnsi="Arial" w:cs="Arial"/>
                <w:color w:val="000000"/>
                <w:sz w:val="16"/>
                <w:szCs w:val="16"/>
              </w:rPr>
              <w:t>)</w:t>
            </w:r>
          </w:p>
        </w:tc>
        <w:tc>
          <w:tcPr>
            <w:tcW w:w="3550" w:type="dxa"/>
            <w:tcBorders>
              <w:top w:val="nil"/>
              <w:left w:val="nil"/>
              <w:bottom w:val="single" w:sz="4" w:space="0" w:color="auto"/>
              <w:right w:val="single" w:sz="4" w:space="0" w:color="auto"/>
            </w:tcBorders>
            <w:shd w:val="clear" w:color="auto" w:fill="auto"/>
            <w:vAlign w:val="center"/>
            <w:hideMark/>
          </w:tcPr>
          <w:p w14:paraId="793066A7" w14:textId="7777777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Health interview systems</w:t>
            </w:r>
            <w:r w:rsidRPr="00A7041A">
              <w:rPr>
                <w:rFonts w:ascii="Arial" w:eastAsia="Times New Roman" w:hAnsi="Arial" w:cs="Arial"/>
                <w:color w:val="000000"/>
                <w:sz w:val="16"/>
                <w:szCs w:val="16"/>
              </w:rPr>
              <w:br/>
              <w:t>• State OSHA offices</w:t>
            </w:r>
            <w:r w:rsidRPr="00A7041A">
              <w:rPr>
                <w:rFonts w:ascii="Arial" w:eastAsia="Times New Roman" w:hAnsi="Arial" w:cs="Arial"/>
                <w:color w:val="000000"/>
                <w:sz w:val="16"/>
                <w:szCs w:val="16"/>
              </w:rPr>
              <w:br/>
              <w:t>• Departments of natural resources</w:t>
            </w:r>
            <w:r w:rsidRPr="00A7041A">
              <w:rPr>
                <w:rFonts w:ascii="Arial" w:eastAsia="Times New Roman" w:hAnsi="Arial" w:cs="Arial"/>
                <w:color w:val="000000"/>
                <w:sz w:val="16"/>
                <w:szCs w:val="16"/>
              </w:rPr>
              <w:br/>
              <w:t>• Departments of workforce development/labor</w:t>
            </w:r>
            <w:r w:rsidRPr="00A7041A">
              <w:rPr>
                <w:rFonts w:ascii="Arial" w:eastAsia="Times New Roman" w:hAnsi="Arial" w:cs="Arial"/>
                <w:color w:val="000000"/>
                <w:sz w:val="16"/>
                <w:szCs w:val="16"/>
              </w:rPr>
              <w:br/>
              <w:t>• Departments of agriculture</w:t>
            </w:r>
            <w:r w:rsidRPr="00A7041A">
              <w:rPr>
                <w:rFonts w:ascii="Arial" w:eastAsia="Times New Roman" w:hAnsi="Arial" w:cs="Arial"/>
                <w:color w:val="000000"/>
                <w:sz w:val="16"/>
                <w:szCs w:val="16"/>
              </w:rPr>
              <w:br/>
              <w:t>• State climatologists</w:t>
            </w:r>
            <w:r w:rsidRPr="00A7041A">
              <w:rPr>
                <w:rFonts w:ascii="Arial" w:eastAsia="Times New Roman" w:hAnsi="Arial" w:cs="Arial"/>
                <w:color w:val="000000"/>
                <w:sz w:val="16"/>
                <w:szCs w:val="16"/>
              </w:rPr>
              <w:br/>
              <w:t>• Emergency preparedness</w:t>
            </w:r>
            <w:r w:rsidRPr="00A7041A">
              <w:rPr>
                <w:rFonts w:ascii="Arial" w:eastAsia="Times New Roman" w:hAnsi="Arial" w:cs="Arial"/>
                <w:color w:val="000000"/>
                <w:sz w:val="16"/>
                <w:szCs w:val="16"/>
              </w:rPr>
              <w:br/>
              <w:t>• Poison control centers</w:t>
            </w:r>
            <w:r w:rsidRPr="00A7041A">
              <w:rPr>
                <w:rFonts w:ascii="Arial" w:eastAsia="Times New Roman" w:hAnsi="Arial" w:cs="Arial"/>
                <w:color w:val="000000"/>
                <w:sz w:val="16"/>
                <w:szCs w:val="16"/>
              </w:rPr>
              <w:br/>
              <w:t xml:space="preserve">• University environmental programs </w:t>
            </w:r>
          </w:p>
          <w:p w14:paraId="2EC2E2F3" w14:textId="03878164" w:rsid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 xml:space="preserve">University occupational safety </w:t>
            </w:r>
            <w:r w:rsidR="00216A13">
              <w:rPr>
                <w:rFonts w:ascii="Arial" w:eastAsia="Times New Roman" w:hAnsi="Arial" w:cs="Arial"/>
                <w:color w:val="000000"/>
                <w:sz w:val="16"/>
                <w:szCs w:val="16"/>
              </w:rPr>
              <w:t>programs</w:t>
            </w:r>
            <w:r>
              <w:rPr>
                <w:rFonts w:ascii="Arial" w:eastAsia="Times New Roman" w:hAnsi="Arial" w:cs="Arial"/>
                <w:color w:val="000000"/>
                <w:sz w:val="16"/>
                <w:szCs w:val="16"/>
              </w:rPr>
              <w:t xml:space="preserve"> </w:t>
            </w:r>
            <w:r w:rsidR="00A7041A" w:rsidRPr="00A7041A">
              <w:rPr>
                <w:rFonts w:ascii="Arial" w:eastAsia="Times New Roman" w:hAnsi="Arial" w:cs="Arial"/>
                <w:color w:val="000000"/>
                <w:sz w:val="16"/>
                <w:szCs w:val="16"/>
              </w:rPr>
              <w:br/>
              <w:t>• Energy or weatherization groups</w:t>
            </w:r>
            <w:r w:rsidR="00A7041A" w:rsidRPr="00A7041A">
              <w:rPr>
                <w:rFonts w:ascii="Arial" w:eastAsia="Times New Roman" w:hAnsi="Arial" w:cs="Arial"/>
                <w:color w:val="000000"/>
                <w:sz w:val="16"/>
                <w:szCs w:val="16"/>
              </w:rPr>
              <w:br/>
              <w:t xml:space="preserve">• Local labor programs (e.g., </w:t>
            </w:r>
            <w:proofErr w:type="spellStart"/>
            <w:r w:rsidR="00A7041A" w:rsidRPr="00A7041A">
              <w:rPr>
                <w:rFonts w:ascii="Arial" w:eastAsia="Times New Roman" w:hAnsi="Arial" w:cs="Arial"/>
                <w:color w:val="000000"/>
                <w:sz w:val="16"/>
                <w:szCs w:val="16"/>
              </w:rPr>
              <w:t>Worksafe</w:t>
            </w:r>
            <w:proofErr w:type="spellEnd"/>
            <w:r w:rsidR="00A7041A" w:rsidRPr="00A7041A">
              <w:rPr>
                <w:rFonts w:ascii="Arial" w:eastAsia="Times New Roman" w:hAnsi="Arial" w:cs="Arial"/>
                <w:color w:val="000000"/>
                <w:sz w:val="16"/>
                <w:szCs w:val="16"/>
              </w:rPr>
              <w:t xml:space="preserve"> in CA) </w:t>
            </w:r>
          </w:p>
          <w:p w14:paraId="00805C84"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Total Worker Health Centers</w:t>
            </w:r>
          </w:p>
          <w:p w14:paraId="7BF336FC"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Federally Qualified Health Centers (FQHCs)</w:t>
            </w:r>
          </w:p>
          <w:p w14:paraId="446D0208"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Local national guard</w:t>
            </w:r>
          </w:p>
          <w:p w14:paraId="0220CE58" w14:textId="007B8517" w:rsidR="00D05470" w:rsidRP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00F23898">
              <w:rPr>
                <w:rFonts w:ascii="Arial" w:eastAsia="Times New Roman" w:hAnsi="Arial" w:cs="Arial"/>
                <w:color w:val="000000"/>
                <w:sz w:val="16"/>
                <w:szCs w:val="16"/>
              </w:rPr>
              <w:t xml:space="preserve">Physician groups </w:t>
            </w:r>
          </w:p>
        </w:tc>
      </w:tr>
    </w:tbl>
    <w:p w14:paraId="55E260DF" w14:textId="77777777" w:rsidR="00AC0ADC" w:rsidRDefault="00AC0ADC" w:rsidP="00B907A7">
      <w:pPr>
        <w:spacing w:after="0" w:line="240" w:lineRule="auto"/>
      </w:pPr>
    </w:p>
    <w:p w14:paraId="0880F1F2" w14:textId="77777777" w:rsidR="00DF2583" w:rsidRDefault="00DF2583" w:rsidP="00B907A7">
      <w:pPr>
        <w:spacing w:after="0" w:line="240" w:lineRule="auto"/>
      </w:pPr>
    </w:p>
    <w:p w14:paraId="43DB7D90" w14:textId="77777777" w:rsidR="00B907A7" w:rsidRPr="001D77B8" w:rsidRDefault="00B907A7" w:rsidP="00B907A7">
      <w:pPr>
        <w:spacing w:after="0" w:line="240" w:lineRule="auto"/>
      </w:pPr>
    </w:p>
    <w:p w14:paraId="35FDE520" w14:textId="3FE48C63" w:rsidR="00707AAC" w:rsidRPr="0071246B" w:rsidRDefault="00707AAC" w:rsidP="00707AAC">
      <w:pPr>
        <w:pStyle w:val="ListParagraph"/>
        <w:numPr>
          <w:ilvl w:val="0"/>
          <w:numId w:val="1"/>
        </w:numPr>
        <w:spacing w:after="0" w:line="240" w:lineRule="auto"/>
        <w:rPr>
          <w:color w:val="2E74B5" w:themeColor="accent5" w:themeShade="BF"/>
        </w:rPr>
      </w:pPr>
      <w:r w:rsidRPr="0071246B">
        <w:rPr>
          <w:color w:val="2E74B5" w:themeColor="accent5" w:themeShade="BF"/>
        </w:rPr>
        <w:t>Conclusion and recommendations</w:t>
      </w:r>
      <w:r w:rsidR="004659F5" w:rsidRPr="0071246B">
        <w:rPr>
          <w:color w:val="2E74B5" w:themeColor="accent5" w:themeShade="BF"/>
        </w:rPr>
        <w:t xml:space="preserve"> (also consider applying above to other climate-related worker issues)</w:t>
      </w:r>
    </w:p>
    <w:p w14:paraId="7488350E" w14:textId="4B806F97" w:rsidR="00BB7F1A" w:rsidRPr="0071246B" w:rsidRDefault="00BB7F1A" w:rsidP="00707AAC">
      <w:pPr>
        <w:pStyle w:val="ListParagraph"/>
        <w:numPr>
          <w:ilvl w:val="0"/>
          <w:numId w:val="1"/>
        </w:numPr>
        <w:spacing w:after="0" w:line="240" w:lineRule="auto"/>
        <w:rPr>
          <w:color w:val="2E74B5" w:themeColor="accent5" w:themeShade="BF"/>
        </w:rPr>
      </w:pPr>
      <w:r w:rsidRPr="0071246B">
        <w:rPr>
          <w:color w:val="2E74B5" w:themeColor="accent5" w:themeShade="BF"/>
        </w:rPr>
        <w:t>References</w:t>
      </w:r>
    </w:p>
    <w:p w14:paraId="19AF1517" w14:textId="2A54854F" w:rsidR="002F384E" w:rsidRPr="0071246B" w:rsidRDefault="00BB7F1A" w:rsidP="00B751D7">
      <w:pPr>
        <w:pStyle w:val="ListParagraph"/>
        <w:numPr>
          <w:ilvl w:val="0"/>
          <w:numId w:val="1"/>
        </w:numPr>
        <w:spacing w:after="0" w:line="240" w:lineRule="auto"/>
        <w:rPr>
          <w:color w:val="2E74B5" w:themeColor="accent5" w:themeShade="BF"/>
        </w:rPr>
      </w:pPr>
      <w:r w:rsidRPr="0071246B">
        <w:rPr>
          <w:color w:val="2E74B5" w:themeColor="accent5" w:themeShade="BF"/>
        </w:rPr>
        <w:t>Appendix</w:t>
      </w:r>
    </w:p>
    <w:p w14:paraId="03BAD0EB" w14:textId="77777777" w:rsidR="003F37E3" w:rsidRPr="0071246B" w:rsidRDefault="00B103BA" w:rsidP="003F37E3">
      <w:pPr>
        <w:pStyle w:val="ListParagraph"/>
        <w:numPr>
          <w:ilvl w:val="1"/>
          <w:numId w:val="1"/>
        </w:numPr>
        <w:spacing w:after="0" w:line="240" w:lineRule="auto"/>
        <w:rPr>
          <w:color w:val="2E74B5" w:themeColor="accent5" w:themeShade="BF"/>
        </w:rPr>
      </w:pPr>
      <w:r w:rsidRPr="0071246B">
        <w:rPr>
          <w:color w:val="2E74B5" w:themeColor="accent5" w:themeShade="BF"/>
        </w:rPr>
        <w:t>References for SOE</w:t>
      </w:r>
      <w:r w:rsidR="00AA0D46" w:rsidRPr="0071246B">
        <w:rPr>
          <w:color w:val="2E74B5" w:themeColor="accent5" w:themeShade="BF"/>
        </w:rPr>
        <w:t>M</w:t>
      </w:r>
      <w:r w:rsidRPr="0071246B">
        <w:rPr>
          <w:color w:val="2E74B5" w:themeColor="accent5" w:themeShade="BF"/>
        </w:rPr>
        <w:t>, NIOSH Essential workers code set.</w:t>
      </w:r>
    </w:p>
    <w:p w14:paraId="4D09BA16" w14:textId="77777777" w:rsidR="003F37E3" w:rsidRPr="0071246B" w:rsidRDefault="003F37E3" w:rsidP="003F37E3">
      <w:pPr>
        <w:spacing w:after="0" w:line="240" w:lineRule="auto"/>
        <w:rPr>
          <w:color w:val="2E74B5" w:themeColor="accent5" w:themeShade="BF"/>
          <w:u w:val="single"/>
        </w:rPr>
      </w:pPr>
    </w:p>
    <w:p w14:paraId="1055DF7C" w14:textId="3F1CC04A" w:rsidR="000E65B8" w:rsidRPr="0071246B" w:rsidRDefault="000E65B8" w:rsidP="003F37E3">
      <w:pPr>
        <w:spacing w:after="0" w:line="240" w:lineRule="auto"/>
        <w:rPr>
          <w:color w:val="2E74B5" w:themeColor="accent5" w:themeShade="BF"/>
        </w:rPr>
      </w:pPr>
      <w:r w:rsidRPr="0071246B">
        <w:rPr>
          <w:color w:val="2E74B5" w:themeColor="accent5" w:themeShade="BF"/>
          <w:u w:val="single"/>
        </w:rPr>
        <w:t>Additional resources noted during discussion:</w:t>
      </w:r>
    </w:p>
    <w:p w14:paraId="29D8E503" w14:textId="77777777" w:rsidR="003F37E3" w:rsidRPr="0071246B" w:rsidRDefault="003F37E3" w:rsidP="003F37E3">
      <w:pPr>
        <w:spacing w:after="0" w:line="240" w:lineRule="auto"/>
        <w:rPr>
          <w:b/>
          <w:bCs/>
          <w:color w:val="2E74B5" w:themeColor="accent5" w:themeShade="BF"/>
        </w:rPr>
      </w:pPr>
    </w:p>
    <w:p w14:paraId="6BEA4578" w14:textId="26947F00" w:rsidR="000E65B8" w:rsidRPr="0071246B" w:rsidRDefault="000E65B8" w:rsidP="003F37E3">
      <w:pPr>
        <w:pStyle w:val="ListParagraph"/>
        <w:numPr>
          <w:ilvl w:val="0"/>
          <w:numId w:val="3"/>
        </w:numPr>
        <w:spacing w:after="0" w:line="240" w:lineRule="auto"/>
        <w:rPr>
          <w:b/>
          <w:bCs/>
          <w:color w:val="2E74B5" w:themeColor="accent5" w:themeShade="BF"/>
        </w:rPr>
      </w:pPr>
      <w:r w:rsidRPr="0071246B">
        <w:rPr>
          <w:b/>
          <w:bCs/>
          <w:color w:val="2E74B5" w:themeColor="accent5" w:themeShade="BF"/>
        </w:rPr>
        <w:t>Available on CDC’s website:</w:t>
      </w:r>
    </w:p>
    <w:p w14:paraId="5A8C40B4" w14:textId="5BC2F026" w:rsidR="003F37E3" w:rsidRPr="0071246B" w:rsidRDefault="000E65B8" w:rsidP="000E65B8">
      <w:pPr>
        <w:pStyle w:val="ListParagraph"/>
        <w:numPr>
          <w:ilvl w:val="1"/>
          <w:numId w:val="3"/>
        </w:numPr>
        <w:spacing w:after="0" w:line="240" w:lineRule="auto"/>
        <w:rPr>
          <w:color w:val="2E74B5" w:themeColor="accent5" w:themeShade="BF"/>
        </w:rPr>
      </w:pPr>
      <w:r w:rsidRPr="0071246B">
        <w:rPr>
          <w:color w:val="2E74B5" w:themeColor="accent5" w:themeShade="BF"/>
        </w:rPr>
        <w:t>2-page survey tool – ATSDR – when public health is deployed, can be used to collect data from workers, and other community workers. (</w:t>
      </w:r>
      <w:hyperlink r:id="rId25" w:history="1">
        <w:r w:rsidR="003F37E3" w:rsidRPr="0071246B">
          <w:rPr>
            <w:rStyle w:val="Hyperlink"/>
            <w:color w:val="2E74B5" w:themeColor="accent5" w:themeShade="BF"/>
          </w:rPr>
          <w:t>https://www.atsdr.cdc.gov/rapidresponse/</w:t>
        </w:r>
      </w:hyperlink>
      <w:r w:rsidRPr="0071246B">
        <w:rPr>
          <w:color w:val="2E74B5" w:themeColor="accent5" w:themeShade="BF"/>
        </w:rPr>
        <w:t>)</w:t>
      </w:r>
    </w:p>
    <w:p w14:paraId="0A0D5491" w14:textId="77777777" w:rsidR="003F37E3" w:rsidRPr="0071246B" w:rsidRDefault="003F37E3" w:rsidP="003F37E3">
      <w:pPr>
        <w:pStyle w:val="ListParagraph"/>
        <w:spacing w:after="0" w:line="240" w:lineRule="auto"/>
        <w:ind w:left="1440"/>
        <w:rPr>
          <w:color w:val="2E74B5" w:themeColor="accent5" w:themeShade="BF"/>
        </w:rPr>
      </w:pPr>
    </w:p>
    <w:p w14:paraId="17E91DC7" w14:textId="77777777" w:rsidR="003F37E3" w:rsidRPr="0071246B" w:rsidRDefault="000E65B8" w:rsidP="000E65B8">
      <w:pPr>
        <w:pStyle w:val="ListParagraph"/>
        <w:numPr>
          <w:ilvl w:val="0"/>
          <w:numId w:val="3"/>
        </w:numPr>
        <w:spacing w:after="0" w:line="240" w:lineRule="auto"/>
        <w:rPr>
          <w:color w:val="2E74B5" w:themeColor="accent5" w:themeShade="BF"/>
        </w:rPr>
      </w:pPr>
      <w:r w:rsidRPr="0071246B">
        <w:rPr>
          <w:b/>
          <w:bCs/>
          <w:color w:val="2E74B5" w:themeColor="accent5" w:themeShade="BF"/>
        </w:rPr>
        <w:t>NIOSH di</w:t>
      </w:r>
      <w:r w:rsidR="003F37E3" w:rsidRPr="0071246B">
        <w:rPr>
          <w:b/>
          <w:bCs/>
          <w:color w:val="2E74B5" w:themeColor="accent5" w:themeShade="BF"/>
        </w:rPr>
        <w:t>s</w:t>
      </w:r>
      <w:r w:rsidRPr="0071246B">
        <w:rPr>
          <w:b/>
          <w:bCs/>
          <w:color w:val="2E74B5" w:themeColor="accent5" w:themeShade="BF"/>
        </w:rPr>
        <w:t>aster research response program</w:t>
      </w:r>
    </w:p>
    <w:p w14:paraId="7072A719" w14:textId="40D225D1" w:rsidR="000E65B8" w:rsidRPr="0071246B" w:rsidRDefault="00000000" w:rsidP="003F37E3">
      <w:pPr>
        <w:pStyle w:val="ListParagraph"/>
        <w:numPr>
          <w:ilvl w:val="1"/>
          <w:numId w:val="3"/>
        </w:numPr>
        <w:spacing w:after="0" w:line="240" w:lineRule="auto"/>
        <w:rPr>
          <w:color w:val="2E74B5" w:themeColor="accent5" w:themeShade="BF"/>
        </w:rPr>
      </w:pPr>
      <w:hyperlink r:id="rId26" w:anchor=":~:text=The%20goal%20of%20the%20DSRR,impact%20of%20a%20novel%20exposure" w:history="1">
        <w:r w:rsidR="003F37E3" w:rsidRPr="0071246B">
          <w:rPr>
            <w:rStyle w:val="Hyperlink"/>
            <w:color w:val="2E74B5" w:themeColor="accent5" w:themeShade="BF"/>
          </w:rPr>
          <w:t>https://www.cdc.gov/niosh/topics/disasterscience/default.html#:~:text=The%20goal%20of%20the%20DSRR,impact%20of%20a%20novel%20exposure</w:t>
        </w:r>
      </w:hyperlink>
    </w:p>
    <w:p w14:paraId="6DAF6A77" w14:textId="2C55250E" w:rsidR="00157C9F" w:rsidRPr="0071246B" w:rsidRDefault="00157C9F" w:rsidP="000E65B8">
      <w:pPr>
        <w:spacing w:after="0" w:line="240" w:lineRule="auto"/>
        <w:rPr>
          <w:color w:val="2E74B5" w:themeColor="accent5" w:themeShade="BF"/>
        </w:rPr>
      </w:pPr>
    </w:p>
    <w:p w14:paraId="0E3CF8EC" w14:textId="7A2F3F2A" w:rsidR="00157C9F" w:rsidRPr="0071246B" w:rsidRDefault="00157C9F" w:rsidP="000E65B8">
      <w:pPr>
        <w:spacing w:after="0" w:line="240" w:lineRule="auto"/>
        <w:rPr>
          <w:color w:val="2E74B5" w:themeColor="accent5" w:themeShade="BF"/>
        </w:rPr>
      </w:pPr>
    </w:p>
    <w:p w14:paraId="01971849" w14:textId="761E65CD" w:rsidR="003F37E3" w:rsidRPr="0071246B" w:rsidRDefault="003F37E3" w:rsidP="000E65B8">
      <w:pPr>
        <w:spacing w:after="0" w:line="240" w:lineRule="auto"/>
        <w:rPr>
          <w:color w:val="2E74B5" w:themeColor="accent5" w:themeShade="BF"/>
        </w:rPr>
      </w:pPr>
      <w:r w:rsidRPr="0071246B">
        <w:rPr>
          <w:color w:val="2E74B5" w:themeColor="accent5" w:themeShade="BF"/>
        </w:rPr>
        <w:t>Things to look into / be aware of:</w:t>
      </w:r>
    </w:p>
    <w:p w14:paraId="595B6805" w14:textId="77777777" w:rsidR="003F37E3" w:rsidRPr="0071246B" w:rsidRDefault="00157C9F"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NIOSH study – respiratory impact of mold in the aftermath of Katrina </w:t>
      </w:r>
    </w:p>
    <w:p w14:paraId="2513D7FA" w14:textId="0327F114" w:rsidR="003F37E3" w:rsidRPr="0071246B" w:rsidRDefault="003F37E3" w:rsidP="003F37E3">
      <w:pPr>
        <w:pStyle w:val="ListParagraph"/>
        <w:numPr>
          <w:ilvl w:val="0"/>
          <w:numId w:val="4"/>
        </w:numPr>
        <w:spacing w:after="0" w:line="240" w:lineRule="auto"/>
        <w:rPr>
          <w:color w:val="2E74B5" w:themeColor="accent5" w:themeShade="BF"/>
        </w:rPr>
      </w:pPr>
      <w:r w:rsidRPr="0071246B">
        <w:rPr>
          <w:color w:val="2E74B5" w:themeColor="accent5" w:themeShade="BF"/>
        </w:rPr>
        <w:t xml:space="preserve">Terminology uses: </w:t>
      </w:r>
      <w:r w:rsidR="00906EC0" w:rsidRPr="0071246B">
        <w:rPr>
          <w:color w:val="2E74B5" w:themeColor="accent5" w:themeShade="BF"/>
        </w:rPr>
        <w:t>Climate</w:t>
      </w:r>
      <w:r w:rsidRPr="0071246B">
        <w:rPr>
          <w:color w:val="2E74B5" w:themeColor="accent5" w:themeShade="BF"/>
        </w:rPr>
        <w:t xml:space="preserve"> vs. </w:t>
      </w:r>
      <w:r w:rsidR="00906EC0" w:rsidRPr="0071246B">
        <w:rPr>
          <w:color w:val="2E74B5" w:themeColor="accent5" w:themeShade="BF"/>
        </w:rPr>
        <w:t>weather</w:t>
      </w:r>
      <w:r w:rsidRPr="0071246B">
        <w:rPr>
          <w:color w:val="2E74B5" w:themeColor="accent5" w:themeShade="BF"/>
        </w:rPr>
        <w:t xml:space="preserve">; wildland vs </w:t>
      </w:r>
      <w:proofErr w:type="gramStart"/>
      <w:r w:rsidRPr="0071246B">
        <w:rPr>
          <w:color w:val="2E74B5" w:themeColor="accent5" w:themeShade="BF"/>
        </w:rPr>
        <w:t>wildfire</w:t>
      </w:r>
      <w:proofErr w:type="gramEnd"/>
    </w:p>
    <w:p w14:paraId="67BD3402" w14:textId="77777777" w:rsidR="003F37E3" w:rsidRPr="0071246B" w:rsidRDefault="00B103BA"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Social vulnerability indexes (SVI, EPA environmental justice data), disparities, county rankings, smoke vulnerability index, </w:t>
      </w:r>
      <w:hyperlink r:id="rId27" w:history="1">
        <w:r w:rsidRPr="0071246B">
          <w:rPr>
            <w:rStyle w:val="Hyperlink"/>
            <w:color w:val="2E74B5" w:themeColor="accent5" w:themeShade="BF"/>
          </w:rPr>
          <w:t>Webinar - Wildfires and the Community Health Vulnerability Index | FRAMES</w:t>
        </w:r>
      </w:hyperlink>
    </w:p>
    <w:p w14:paraId="49410BA2" w14:textId="77777777" w:rsidR="000F4C11" w:rsidRPr="0071246B" w:rsidRDefault="00725AFB" w:rsidP="000E65B8">
      <w:pPr>
        <w:pStyle w:val="ListParagraph"/>
        <w:numPr>
          <w:ilvl w:val="0"/>
          <w:numId w:val="4"/>
        </w:numPr>
        <w:spacing w:after="0" w:line="240" w:lineRule="auto"/>
        <w:rPr>
          <w:color w:val="2E74B5" w:themeColor="accent5" w:themeShade="BF"/>
        </w:rPr>
      </w:pPr>
      <w:r w:rsidRPr="0071246B">
        <w:rPr>
          <w:color w:val="2E74B5" w:themeColor="accent5" w:themeShade="BF"/>
        </w:rPr>
        <w:t xml:space="preserve">Smoke Sense App – Citizen Science </w:t>
      </w:r>
      <w:r w:rsidR="003F37E3" w:rsidRPr="0071246B">
        <w:rPr>
          <w:color w:val="2E74B5" w:themeColor="accent5" w:themeShade="BF"/>
        </w:rPr>
        <w:t>initiatives</w:t>
      </w:r>
    </w:p>
    <w:p w14:paraId="363BD601" w14:textId="77777777" w:rsidR="000F4C11" w:rsidRDefault="000F4C11" w:rsidP="0071246B">
      <w:pPr>
        <w:pStyle w:val="ListParagraph"/>
        <w:spacing w:after="0" w:line="240" w:lineRule="auto"/>
      </w:pPr>
    </w:p>
    <w:p w14:paraId="220E29AF" w14:textId="580C3299" w:rsidR="000948F8" w:rsidRDefault="00B178D7" w:rsidP="000F4C11">
      <w:pPr>
        <w:pStyle w:val="ListParagraph"/>
      </w:pPr>
      <w:fldSimple w:instr=" ADDIN EN.REFLIST "/>
    </w:p>
    <w:sectPr w:rsidR="000948F8">
      <w:footerReference w:type="default" r:id="rId2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ibb, Kathryn@CDPH" w:date="2023-08-02T15:30:00Z" w:initials="GK">
    <w:p w14:paraId="06911C36" w14:textId="77777777" w:rsidR="0071246B" w:rsidRDefault="0071246B" w:rsidP="00135794">
      <w:pPr>
        <w:pStyle w:val="CommentText"/>
      </w:pPr>
      <w:r>
        <w:rPr>
          <w:rStyle w:val="CommentReference"/>
        </w:rPr>
        <w:annotationRef/>
      </w:r>
      <w:r>
        <w:t>As discussed on call, we can remove sections of the outline as we complete them / fill in with narrative text. I made the original outline text in blue, so its easier to distinguish between what was written as draft text for the white paper vs. original outline.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911C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4F501" w16cex:dateUtc="2023-08-02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911C36" w16cid:durableId="2874F5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57C01" w14:textId="77777777" w:rsidR="00370737" w:rsidRDefault="00370737" w:rsidP="00753CDA">
      <w:pPr>
        <w:spacing w:after="0" w:line="240" w:lineRule="auto"/>
      </w:pPr>
      <w:r>
        <w:separator/>
      </w:r>
    </w:p>
  </w:endnote>
  <w:endnote w:type="continuationSeparator" w:id="0">
    <w:p w14:paraId="1D7335E8" w14:textId="77777777" w:rsidR="00370737" w:rsidRDefault="00370737" w:rsidP="0075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90869"/>
      <w:docPartObj>
        <w:docPartGallery w:val="Page Numbers (Bottom of Page)"/>
        <w:docPartUnique/>
      </w:docPartObj>
    </w:sdtPr>
    <w:sdtEndPr>
      <w:rPr>
        <w:noProof/>
      </w:rPr>
    </w:sdtEndPr>
    <w:sdtContent>
      <w:p w14:paraId="5B8C5D63" w14:textId="6800921C" w:rsidR="00EC0502" w:rsidRDefault="00EC05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E701D" w14:textId="77777777" w:rsidR="00EC0502" w:rsidRDefault="00EC0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9F1C6" w14:textId="77777777" w:rsidR="00370737" w:rsidRDefault="00370737" w:rsidP="00753CDA">
      <w:pPr>
        <w:spacing w:after="0" w:line="240" w:lineRule="auto"/>
      </w:pPr>
      <w:r>
        <w:separator/>
      </w:r>
    </w:p>
  </w:footnote>
  <w:footnote w:type="continuationSeparator" w:id="0">
    <w:p w14:paraId="54CA31FE" w14:textId="77777777" w:rsidR="00370737" w:rsidRDefault="00370737" w:rsidP="00753CDA">
      <w:pPr>
        <w:spacing w:after="0" w:line="240" w:lineRule="auto"/>
      </w:pPr>
      <w:r>
        <w:continuationSeparator/>
      </w:r>
    </w:p>
  </w:footnote>
  <w:footnote w:id="1">
    <w:p w14:paraId="71BBC0BE" w14:textId="77777777" w:rsidR="004D0A86" w:rsidRDefault="004D0A86" w:rsidP="004D0A86">
      <w:pPr>
        <w:pStyle w:val="FootnoteText"/>
      </w:pPr>
      <w:r>
        <w:rPr>
          <w:rStyle w:val="FootnoteReference"/>
        </w:rPr>
        <w:footnoteRef/>
      </w:r>
      <w:r>
        <w:t xml:space="preserve"> </w:t>
      </w:r>
      <w:r w:rsidRPr="0079342A">
        <w:t>Marshall, Elizabeth G., Shou-En Lu, Abimbola O. Williams, Daniel Lefkowitz, and Marija Borjan. "Tree-related injuries associated with response and recovery from Hurricane Sandy, New Jersey, 2011-2014." Public Health Reports 133, no. 3 (2018): 266-273.</w:t>
      </w:r>
    </w:p>
  </w:footnote>
  <w:footnote w:id="2">
    <w:p w14:paraId="4ADE2824" w14:textId="77777777" w:rsidR="004D0A86" w:rsidRDefault="004D0A86" w:rsidP="004D0A86">
      <w:pPr>
        <w:pStyle w:val="FootnoteText"/>
      </w:pPr>
      <w:r>
        <w:rPr>
          <w:rStyle w:val="FootnoteReference"/>
        </w:rPr>
        <w:footnoteRef/>
      </w:r>
      <w:r>
        <w:t xml:space="preserve"> </w:t>
      </w:r>
      <w:r w:rsidRPr="00FC0086">
        <w:t>Ochsner, Michele, Elizabeth G. Marshall, and Daniel Lefkowitz. "Trees down, hazards abound: Observations and lessons from Hurricane Sandy." American journal of industrial medicine 61, no. 5 (2018): 361-371.</w:t>
      </w:r>
    </w:p>
  </w:footnote>
  <w:footnote w:id="3">
    <w:p w14:paraId="47B6D54E" w14:textId="77777777" w:rsidR="004D0A86" w:rsidRDefault="004D0A86" w:rsidP="004D0A86">
      <w:pPr>
        <w:pStyle w:val="FootnoteText"/>
      </w:pPr>
      <w:r>
        <w:rPr>
          <w:rStyle w:val="FootnoteReference"/>
        </w:rPr>
        <w:footnoteRef/>
      </w:r>
      <w:r>
        <w:t xml:space="preserve"> </w:t>
      </w:r>
      <w:r w:rsidRPr="001C2BC1">
        <w:t>Under Climate Change, Care Workers Often Act as First Responders</w:t>
      </w:r>
      <w:r>
        <w:t xml:space="preserve"> </w:t>
      </w:r>
      <w:r w:rsidRPr="001C2BC1">
        <w:t>https://undark.org/2022/06/07/climate-care-workers-first-responders/.</w:t>
      </w:r>
    </w:p>
  </w:footnote>
  <w:footnote w:id="4">
    <w:p w14:paraId="4C21DE36" w14:textId="77777777" w:rsidR="004D0A86" w:rsidRDefault="004D0A86" w:rsidP="004D0A86">
      <w:pPr>
        <w:pStyle w:val="FootnoteText"/>
      </w:pPr>
      <w:r>
        <w:rPr>
          <w:rStyle w:val="FootnoteReference"/>
        </w:rPr>
        <w:footnoteRef/>
      </w:r>
      <w:r>
        <w:t xml:space="preserve"> </w:t>
      </w:r>
      <w:r w:rsidRPr="00250BF4">
        <w:t>Billock, Rachael M., Marie Haring Sweeney, Andrea L. Steege, Ryan Michaels, and Sara E. Luckhaupt. "Identifying essential critical infrastructure workers during the COVID‐19 pandemic using standardized industry codes." American Journal of Industrial Medicine 65, no. 7 (2022): 548-555.</w:t>
      </w:r>
    </w:p>
  </w:footnote>
  <w:footnote w:id="5">
    <w:p w14:paraId="4A56A564" w14:textId="77777777" w:rsidR="004D0A86" w:rsidRDefault="004D0A86" w:rsidP="004D0A86">
      <w:pPr>
        <w:pStyle w:val="FootnoteText"/>
      </w:pPr>
      <w:r>
        <w:rPr>
          <w:rStyle w:val="FootnoteReference"/>
        </w:rPr>
        <w:footnoteRef/>
      </w:r>
      <w:r>
        <w:t xml:space="preserve"> NIOSH Employed Labor Force (NIOSH ELF), Current Population Survey. To use with the SOEM it is advisable to use estimates for 2019.  </w:t>
      </w:r>
    </w:p>
  </w:footnote>
  <w:footnote w:id="6">
    <w:p w14:paraId="7913DD1E" w14:textId="77777777" w:rsidR="004D0A86" w:rsidRDefault="004D0A86" w:rsidP="004D0A86">
      <w:pPr>
        <w:pStyle w:val="FootnoteText"/>
      </w:pPr>
      <w:r>
        <w:rPr>
          <w:rStyle w:val="FootnoteReference"/>
        </w:rPr>
        <w:footnoteRef/>
      </w:r>
      <w:r>
        <w:t xml:space="preserve"> </w:t>
      </w:r>
      <w:hyperlink r:id="rId1" w:history="1">
        <w:r>
          <w:rPr>
            <w:rStyle w:val="Hyperlink"/>
          </w:rPr>
          <w:t>The Migrant Workers Who Follow Climate Disasters | The New Yorker</w:t>
        </w:r>
      </w:hyperlink>
      <w:r>
        <w:t>, Accessed June 20, 2022</w:t>
      </w:r>
    </w:p>
  </w:footnote>
  <w:footnote w:id="7">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2" w:history="1">
        <w:r w:rsidRPr="002E01B4">
          <w:rPr>
            <w:rStyle w:val="Hyperlink"/>
          </w:rPr>
          <w:t>https://www.cnn.com/2023/07/16/weather/canada-wildfires-us-air-quality-alerts-sunday/index.html</w:t>
        </w:r>
      </w:hyperlink>
      <w:r>
        <w:t xml:space="preserve"> </w:t>
      </w:r>
    </w:p>
  </w:footnote>
  <w:footnote w:id="8">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3" w:history="1">
        <w:r w:rsidRPr="002E01B4">
          <w:rPr>
            <w:rStyle w:val="Hyperlink"/>
          </w:rPr>
          <w:t>https://www.forbes.com/sites/brianbushard/2023/07/24/phoenix-records-three-plus-weeks-above-110-degrees-heres-where-else-daily-records-have-fallen/</w:t>
        </w:r>
      </w:hyperlink>
      <w:r>
        <w:t xml:space="preserve"> </w:t>
      </w:r>
    </w:p>
  </w:footnote>
  <w:footnote w:id="9">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4" w:history="1">
        <w:r w:rsidRPr="002E01B4">
          <w:rPr>
            <w:rStyle w:val="Hyperlink"/>
          </w:rPr>
          <w:t>https://www.climate.gov/maps-data/dataset/future-climate-projections-graphs-maps</w:t>
        </w:r>
      </w:hyperlink>
      <w:r>
        <w:t xml:space="preserve"> </w:t>
      </w:r>
    </w:p>
  </w:footnote>
  <w:footnote w:id="10">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5" w:history="1">
        <w:r w:rsidRPr="002E01B4">
          <w:rPr>
            <w:rStyle w:val="Hyperlink"/>
          </w:rPr>
          <w:t>https://www.cdc.gov/climateandhealth/crsci_grantees.htm</w:t>
        </w:r>
      </w:hyperlink>
      <w:r>
        <w:t xml:space="preserve"> </w:t>
      </w:r>
    </w:p>
  </w:footnote>
  <w:footnote w:id="11">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6" w:history="1">
        <w:r w:rsidRPr="002E01B4">
          <w:rPr>
            <w:rStyle w:val="Hyperlink"/>
          </w:rPr>
          <w:t>https://www.cdc.gov/nceh/tracking/index.html</w:t>
        </w:r>
      </w:hyperlink>
      <w:r>
        <w:t xml:space="preserve"> </w:t>
      </w:r>
    </w:p>
  </w:footnote>
  <w:footnote w:id="12">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7" w:history="1">
        <w:r w:rsidRPr="002E01B4">
          <w:rPr>
            <w:rStyle w:val="Hyperlink"/>
          </w:rPr>
          <w:t>https://stateclimate.org/about-us/</w:t>
        </w:r>
      </w:hyperlink>
      <w:r>
        <w:t xml:space="preserve"> </w:t>
      </w:r>
    </w:p>
  </w:footnote>
  <w:footnote w:id="13">
    <w:p w14:paraId="07E2C174" w14:textId="77777777" w:rsidR="00F51F46" w:rsidRDefault="00F51F46" w:rsidP="00F51F46">
      <w:pPr>
        <w:pStyle w:val="FootnoteText"/>
      </w:pPr>
      <w:r>
        <w:rPr>
          <w:rStyle w:val="FootnoteReference"/>
        </w:rPr>
        <w:footnoteRef/>
      </w:r>
      <w:r>
        <w:t xml:space="preserve"> Borjan, M. and Lumia, M. Evaluation of a state based syndromic surveillance system for the classification and capture of non-fatal occupational injuries and illnesses in New Jersey. American Journal of Industrial Medicine. 2017. 9999: 1-6.</w:t>
      </w:r>
    </w:p>
  </w:footnote>
  <w:footnote w:id="14">
    <w:p w14:paraId="2124243B" w14:textId="77777777" w:rsidR="00F51F46" w:rsidRDefault="00F51F46" w:rsidP="00F51F46">
      <w:pPr>
        <w:pStyle w:val="FootnoteText"/>
      </w:pPr>
      <w:r>
        <w:rPr>
          <w:rStyle w:val="FootnoteReference"/>
        </w:rPr>
        <w:footnoteRef/>
      </w:r>
      <w:r>
        <w:t xml:space="preserve"> Bush, A., Bunn, T, and Liford, M. Identification of work-related injury emergency department visits using International Classification of Diseases, Tenth Revision, Clinical Modification (ICD-10) codes. Injury Prevention. 2021. 27: i3-i8.</w:t>
      </w:r>
    </w:p>
  </w:footnote>
  <w:footnote w:id="15">
    <w:p w14:paraId="69B9C82E" w14:textId="77777777" w:rsidR="00617252" w:rsidRDefault="00617252" w:rsidP="00617252">
      <w:pPr>
        <w:pStyle w:val="FootnoteText"/>
      </w:pPr>
      <w:r>
        <w:rPr>
          <w:rStyle w:val="FootnoteReference"/>
        </w:rPr>
        <w:footnoteRef/>
      </w:r>
      <w:r>
        <w:t xml:space="preserve"> CSTE. Occupational Health Surveillance Subcommittee. Syndromic Surveillance for Occupational Health Surveillance Guidance Document and Example. 2021. Accessed July 24, 2023. </w:t>
      </w:r>
      <w:hyperlink r:id="rId8" w:history="1">
        <w:r w:rsidRPr="00A905FD">
          <w:rPr>
            <w:rStyle w:val="Hyperlink"/>
          </w:rPr>
          <w:t>https://cdn.ymaws.com/www.cste.org/resource/resmgr/occupationalhealth/publications/OccSyS_WhitePaper_03_08_21.pdf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331CF0"/>
    <w:multiLevelType w:val="hybridMultilevel"/>
    <w:tmpl w:val="CFFEB878"/>
    <w:lvl w:ilvl="0" w:tplc="B9081180">
      <w:start w:val="1"/>
      <w:numFmt w:val="lowerLetter"/>
      <w:lvlText w:val="%1."/>
      <w:lvlJc w:val="left"/>
      <w:pPr>
        <w:ind w:left="108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41100"/>
    <w:multiLevelType w:val="hybridMultilevel"/>
    <w:tmpl w:val="7B5CF0EC"/>
    <w:lvl w:ilvl="0" w:tplc="B23E922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3"/>
  </w:num>
  <w:num w:numId="4" w16cid:durableId="2113085834">
    <w:abstractNumId w:val="4"/>
  </w:num>
  <w:num w:numId="5" w16cid:durableId="240724367">
    <w:abstractNumId w:val="1"/>
  </w:num>
  <w:num w:numId="6" w16cid:durableId="135830915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bb, Kathryn@CDPH">
    <w15:presenceInfo w15:providerId="AD" w15:userId="S::Kathryn.Gibb@cdph.ca.gov::b8b75f9a-390a-4ecc-ab1a-c20ac9315d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3F5E"/>
    <w:rsid w:val="00041542"/>
    <w:rsid w:val="00054FC2"/>
    <w:rsid w:val="000948F8"/>
    <w:rsid w:val="0009550D"/>
    <w:rsid w:val="000A7695"/>
    <w:rsid w:val="000E4932"/>
    <w:rsid w:val="000E65B8"/>
    <w:rsid w:val="000E723C"/>
    <w:rsid w:val="000F4C11"/>
    <w:rsid w:val="0014727F"/>
    <w:rsid w:val="00157C9F"/>
    <w:rsid w:val="0017161E"/>
    <w:rsid w:val="001718B6"/>
    <w:rsid w:val="001A3E7F"/>
    <w:rsid w:val="001C234A"/>
    <w:rsid w:val="001D77B8"/>
    <w:rsid w:val="00204CF0"/>
    <w:rsid w:val="00216A13"/>
    <w:rsid w:val="00292752"/>
    <w:rsid w:val="002D37E0"/>
    <w:rsid w:val="002D5DA3"/>
    <w:rsid w:val="002F384E"/>
    <w:rsid w:val="00324A82"/>
    <w:rsid w:val="00336CE2"/>
    <w:rsid w:val="00370737"/>
    <w:rsid w:val="00370BE0"/>
    <w:rsid w:val="003747AA"/>
    <w:rsid w:val="00383EA6"/>
    <w:rsid w:val="003D6DD5"/>
    <w:rsid w:val="003F37E3"/>
    <w:rsid w:val="004104B4"/>
    <w:rsid w:val="004659F5"/>
    <w:rsid w:val="004B0F8B"/>
    <w:rsid w:val="004D0A86"/>
    <w:rsid w:val="004E068C"/>
    <w:rsid w:val="005242CE"/>
    <w:rsid w:val="00586985"/>
    <w:rsid w:val="005B27DF"/>
    <w:rsid w:val="00617252"/>
    <w:rsid w:val="00695EC0"/>
    <w:rsid w:val="006C340C"/>
    <w:rsid w:val="00704D02"/>
    <w:rsid w:val="00707AAC"/>
    <w:rsid w:val="0071246B"/>
    <w:rsid w:val="0072582C"/>
    <w:rsid w:val="00725AFB"/>
    <w:rsid w:val="0073629D"/>
    <w:rsid w:val="00753CDA"/>
    <w:rsid w:val="00784B99"/>
    <w:rsid w:val="007B1664"/>
    <w:rsid w:val="007D2D13"/>
    <w:rsid w:val="007E2CEC"/>
    <w:rsid w:val="00866C4E"/>
    <w:rsid w:val="008A3E6A"/>
    <w:rsid w:val="00906EC0"/>
    <w:rsid w:val="00926497"/>
    <w:rsid w:val="009817E1"/>
    <w:rsid w:val="009A0501"/>
    <w:rsid w:val="009B4951"/>
    <w:rsid w:val="00A15D7B"/>
    <w:rsid w:val="00A17571"/>
    <w:rsid w:val="00A21C08"/>
    <w:rsid w:val="00A3286D"/>
    <w:rsid w:val="00A7041A"/>
    <w:rsid w:val="00A76151"/>
    <w:rsid w:val="00AA0D46"/>
    <w:rsid w:val="00AB2EB1"/>
    <w:rsid w:val="00AC0ADC"/>
    <w:rsid w:val="00AD629A"/>
    <w:rsid w:val="00B0272C"/>
    <w:rsid w:val="00B0530D"/>
    <w:rsid w:val="00B103BA"/>
    <w:rsid w:val="00B114BD"/>
    <w:rsid w:val="00B178D7"/>
    <w:rsid w:val="00B47314"/>
    <w:rsid w:val="00B745B2"/>
    <w:rsid w:val="00B751D7"/>
    <w:rsid w:val="00B82A5A"/>
    <w:rsid w:val="00B907A7"/>
    <w:rsid w:val="00B917EF"/>
    <w:rsid w:val="00B944CF"/>
    <w:rsid w:val="00B964EC"/>
    <w:rsid w:val="00BA2F06"/>
    <w:rsid w:val="00BB7F1A"/>
    <w:rsid w:val="00BC5B81"/>
    <w:rsid w:val="00BD0DAE"/>
    <w:rsid w:val="00BF2714"/>
    <w:rsid w:val="00C27171"/>
    <w:rsid w:val="00C52FF3"/>
    <w:rsid w:val="00C726C4"/>
    <w:rsid w:val="00C738B6"/>
    <w:rsid w:val="00C86CBF"/>
    <w:rsid w:val="00CC4342"/>
    <w:rsid w:val="00D05470"/>
    <w:rsid w:val="00D13238"/>
    <w:rsid w:val="00D76986"/>
    <w:rsid w:val="00DC692D"/>
    <w:rsid w:val="00DD6536"/>
    <w:rsid w:val="00DF2583"/>
    <w:rsid w:val="00E10E38"/>
    <w:rsid w:val="00E35C10"/>
    <w:rsid w:val="00E44338"/>
    <w:rsid w:val="00E46740"/>
    <w:rsid w:val="00E52D2F"/>
    <w:rsid w:val="00E71D41"/>
    <w:rsid w:val="00E94F73"/>
    <w:rsid w:val="00EC0502"/>
    <w:rsid w:val="00F23898"/>
    <w:rsid w:val="00F51F46"/>
    <w:rsid w:val="00F86D1F"/>
    <w:rsid w:val="00F96B22"/>
    <w:rsid w:val="00FA2EA8"/>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 w:type="paragraph" w:styleId="Header">
    <w:name w:val="header"/>
    <w:basedOn w:val="Normal"/>
    <w:link w:val="HeaderChar"/>
    <w:uiPriority w:val="99"/>
    <w:unhideWhenUsed/>
    <w:rsid w:val="00EC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02"/>
  </w:style>
  <w:style w:type="paragraph" w:styleId="Footer">
    <w:name w:val="footer"/>
    <w:basedOn w:val="Normal"/>
    <w:link w:val="FooterChar"/>
    <w:uiPriority w:val="99"/>
    <w:unhideWhenUsed/>
    <w:rsid w:val="00EC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284076247">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 w:id="196438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ountyhealthrankings.org/explore-health-rankings" TargetMode="External"/><Relationship Id="rId18" Type="http://schemas.openxmlformats.org/officeDocument/2006/relationships/hyperlink" Target="https://cdn.ymaws.com/www.cste.org/resource/resmgr/occupationalhealth/publications/OccSyS_WhitePaper_03_08_21.pdf" TargetMode="External"/><Relationship Id="rId26" Type="http://schemas.openxmlformats.org/officeDocument/2006/relationships/hyperlink" Target="https://www.cdc.gov/niosh/topics/disasterscience/default.html" TargetMode="External"/><Relationship Id="rId3" Type="http://schemas.openxmlformats.org/officeDocument/2006/relationships/styles" Target="styles.xml"/><Relationship Id="rId21" Type="http://schemas.openxmlformats.org/officeDocument/2006/relationships/hyperlink" Target="https://www.bls.gov/iif/state-data.htm" TargetMode="External"/><Relationship Id="rId7" Type="http://schemas.openxmlformats.org/officeDocument/2006/relationships/endnotes" Target="endnotes.xml"/><Relationship Id="rId12" Type="http://schemas.openxmlformats.org/officeDocument/2006/relationships/hyperlink" Target="https://www.epa.gov/ejscreen" TargetMode="External"/><Relationship Id="rId17" Type="http://schemas.openxmlformats.org/officeDocument/2006/relationships/hyperlink" Target="https://cdn.ymaws.com/www.cste.org/resource/resmgr/occupationalhealth/OHI_GuidanceManual_2018_FINA.pdf" TargetMode="External"/><Relationship Id="rId25" Type="http://schemas.openxmlformats.org/officeDocument/2006/relationships/hyperlink" Target="https://www.atsdr.cdc.gov/rapidresponse/" TargetMode="External"/><Relationship Id="rId2" Type="http://schemas.openxmlformats.org/officeDocument/2006/relationships/numbering" Target="numbering.xml"/><Relationship Id="rId16" Type="http://schemas.openxmlformats.org/officeDocument/2006/relationships/hyperlink" Target="file:///C:\Users\mborjan\Downloads\Identification%20of%20work-related%20injury%20emergency" TargetMode="External"/><Relationship Id="rId20" Type="http://schemas.openxmlformats.org/officeDocument/2006/relationships/hyperlink" Target="https://www.bls.gov/iif/nonfatal-injuries-and-illnesses-tables.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cste-my.sharepoint.com/personal/aaltabbaa_cste_org/_layouts/15/onedrive.aspx?id=%2Fpersonal%2Faaltabbaa%5Fcste%5Forg%2FDocuments%2FAlyaa%20Altabbaa%2FWildfire%20and%20Smoke%20Syndromic%20Surveillance%5FFINAL%2Epdf&amp;parent=%2Fpersonal%2Faaltabbaa%5Fcste%5Forg%2FDocuments%2FAlyaa%20Altabbaa&amp;ga=1" TargetMode="External"/><Relationship Id="rId5" Type="http://schemas.openxmlformats.org/officeDocument/2006/relationships/webSettings" Target="webSettings.xml"/><Relationship Id="rId15" Type="http://schemas.openxmlformats.org/officeDocument/2006/relationships/hyperlink" Target="https://cdn.ymaws.com/www.cste.org/resource/resmgr/occupationalhealth/OHI_GuidanceManual_2018_FINA.pdf" TargetMode="External"/><Relationship Id="rId23" Type="http://schemas.openxmlformats.org/officeDocument/2006/relationships/hyperlink" Target="https://www.ncbi.nlm.nih.gov/pmc/articles/PMC5230832/pdf/10.1177_0033354916669358.pdf" TargetMode="External"/><Relationship Id="rId28" Type="http://schemas.openxmlformats.org/officeDocument/2006/relationships/footer" Target="footer1.xml"/><Relationship Id="rId10" Type="http://schemas.microsoft.com/office/2016/09/relationships/commentsIds" Target="commentsIds.xml"/><Relationship Id="rId19" Type="http://schemas.openxmlformats.org/officeDocument/2006/relationships/hyperlink" Target="https://onlinelibrary.wiley.com/doi/10.1002/ajim.22734" TargetMode="External"/><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tif"/><Relationship Id="rId22" Type="http://schemas.openxmlformats.org/officeDocument/2006/relationships/hyperlink" Target="https://pubmed.ncbi.nlm.nih.gov/25058254/" TargetMode="External"/><Relationship Id="rId27" Type="http://schemas.openxmlformats.org/officeDocument/2006/relationships/hyperlink" Target="https://www.frames.gov/event/539664" TargetMode="External"/><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cdn.ymaws.com/www.cste.org/resource/resmgr/occupationalhealth/publications/OccSyS_WhitePaper_03_08_21.pdf" TargetMode="External"/><Relationship Id="rId3" Type="http://schemas.openxmlformats.org/officeDocument/2006/relationships/hyperlink" Target="https://www.forbes.com/sites/brianbushard/2023/07/24/phoenix-records-three-plus-weeks-above-110-degrees-heres-where-else-daily-records-have-fallen/" TargetMode="External"/><Relationship Id="rId7" Type="http://schemas.openxmlformats.org/officeDocument/2006/relationships/hyperlink" Target="https://stateclimate.org/about-us/" TargetMode="External"/><Relationship Id="rId2" Type="http://schemas.openxmlformats.org/officeDocument/2006/relationships/hyperlink" Target="https://www.cnn.com/2023/07/16/weather/canada-wildfires-us-air-quality-alerts-sunday/index.html" TargetMode="External"/><Relationship Id="rId1" Type="http://schemas.openxmlformats.org/officeDocument/2006/relationships/hyperlink" Target="https://www.newyorker.com/magazine/2021/11/08/the-migrant-workers-who-follow-climate-disasters" TargetMode="External"/><Relationship Id="rId6" Type="http://schemas.openxmlformats.org/officeDocument/2006/relationships/hyperlink" Target="https://www.cdc.gov/nceh/tracking/index.html" TargetMode="External"/><Relationship Id="rId5" Type="http://schemas.openxmlformats.org/officeDocument/2006/relationships/hyperlink" Target="https://www.cdc.gov/climateandhealth/crsci_grantees.htm" TargetMode="External"/><Relationship Id="rId4" Type="http://schemas.openxmlformats.org/officeDocument/2006/relationships/hyperlink" Target="https://www.climate.gov/maps-data/dataset/future-climate-projections-graphs-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3413</Words>
  <Characters>19455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Vergara, Ximena@CDPH</cp:lastModifiedBy>
  <cp:revision>2</cp:revision>
  <dcterms:created xsi:type="dcterms:W3CDTF">2023-08-03T18:04:00Z</dcterms:created>
  <dcterms:modified xsi:type="dcterms:W3CDTF">2023-08-03T18:04:00Z</dcterms:modified>
</cp:coreProperties>
</file>