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3AA1FCC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Some industries and occupations will be at greater risk for climate related health outcomes than others. States can utilize the National Institute for Occupational Safety and Health (NIOSH) Employment Labor Force Query (ELF) system to estimate the number of workers within </w:t>
      </w:r>
      <w:proofErr w:type="gramStart"/>
      <w:r>
        <w:t>particular industries</w:t>
      </w:r>
      <w:proofErr w:type="gramEnd"/>
      <w:r>
        <w:t xml:space="preserve"> or occupations to enumerate the number of workers at risk for a climate-related outcome. This information can provide insight into the magnitude and distribution of potentially impacted workers, enabling targeted interventions. States should consider integrating social vulnerability indices, which can help identify where occupational vulnerabilities intersect with broader socioeconomic vulnerabilities, including income and education </w:t>
      </w:r>
      <w:r w:rsidRPr="00A31329">
        <w:t xml:space="preserve">level, </w:t>
      </w:r>
      <w:r>
        <w:t xml:space="preserve">race/ethnicity, health insurance and housing quality. </w:t>
      </w:r>
    </w:p>
    <w:p w14:paraId="0B99D9E1" w14:textId="77777777" w:rsidR="0071246B" w:rsidRDefault="0071246B" w:rsidP="0071246B">
      <w:pPr>
        <w:spacing w:after="0" w:line="240" w:lineRule="auto"/>
      </w:pPr>
    </w:p>
    <w:p w14:paraId="15BA8117" w14:textId="43F80A56"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Emphasizing occupation as a determinant of health</w:t>
      </w:r>
    </w:p>
    <w:p w14:paraId="1DB155B8" w14:textId="2EBD0F53"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What is the income/racial/ethnic make-up of the state – how</w:t>
      </w:r>
      <w:r w:rsidR="00A21C08" w:rsidRPr="0071246B">
        <w:rPr>
          <w:color w:val="2E74B5" w:themeColor="accent5" w:themeShade="BF"/>
        </w:rPr>
        <w:t xml:space="preserve"> does this overlap with</w:t>
      </w:r>
      <w:r w:rsidRPr="0071246B">
        <w:rPr>
          <w:color w:val="2E74B5" w:themeColor="accent5" w:themeShade="BF"/>
        </w:rPr>
        <w:t xml:space="preserve"> I/</w:t>
      </w:r>
      <w:proofErr w:type="gramStart"/>
      <w:r w:rsidRPr="0071246B">
        <w:rPr>
          <w:color w:val="2E74B5" w:themeColor="accent5" w:themeShade="BF"/>
        </w:rPr>
        <w:t>O</w:t>
      </w:r>
      <w:proofErr w:type="gramEnd"/>
    </w:p>
    <w:p w14:paraId="61834084" w14:textId="3EEFD2DE" w:rsidR="006C340C" w:rsidRPr="0071246B" w:rsidRDefault="006C340C" w:rsidP="00A17571">
      <w:pPr>
        <w:pStyle w:val="ListParagraph"/>
        <w:numPr>
          <w:ilvl w:val="2"/>
          <w:numId w:val="1"/>
        </w:numPr>
        <w:spacing w:after="0" w:line="240" w:lineRule="auto"/>
        <w:rPr>
          <w:color w:val="2E74B5" w:themeColor="accent5" w:themeShade="BF"/>
        </w:rPr>
      </w:pPr>
      <w:r w:rsidRPr="0071246B">
        <w:rPr>
          <w:color w:val="2E74B5" w:themeColor="accent5" w:themeShade="BF"/>
        </w:rPr>
        <w:t xml:space="preserve">Examples: </w:t>
      </w:r>
      <w:hyperlink r:id="rId12" w:history="1">
        <w:r w:rsidRPr="0071246B">
          <w:rPr>
            <w:rStyle w:val="Hyperlink"/>
            <w:color w:val="2E74B5" w:themeColor="accent5" w:themeShade="BF"/>
          </w:rPr>
          <w:t>EJ Screen</w:t>
        </w:r>
      </w:hyperlink>
      <w:r w:rsidRPr="0071246B">
        <w:rPr>
          <w:color w:val="2E74B5" w:themeColor="accent5" w:themeShade="BF"/>
        </w:rPr>
        <w:t>,</w:t>
      </w:r>
      <w:hyperlink r:id="rId13" w:history="1">
        <w:r w:rsidRPr="0071246B">
          <w:rPr>
            <w:rStyle w:val="Hyperlink"/>
            <w:color w:val="2E74B5" w:themeColor="accent5" w:themeShade="BF"/>
          </w:rPr>
          <w:t xml:space="preserve"> County Health Rankings</w:t>
        </w:r>
      </w:hyperlink>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68C88621" w14:textId="77777777" w:rsidR="004D0A86" w:rsidRDefault="004D0A86" w:rsidP="004D0A86"/>
    <w:p w14:paraId="594A99BA" w14:textId="4D985A2E" w:rsidR="004D0A86" w:rsidRDefault="004D0A86" w:rsidP="004D0A86">
      <w:r>
        <w:lastRenderedPageBreak/>
        <w:t>Besides workers who respond to assist with first-aid, treatment, and recovery during climate change disasters, other workers can be affected.  During Hurricane Sandy, New Jersey found increased tree-injury related emergency department room visits.</w:t>
      </w:r>
      <w:r>
        <w:rPr>
          <w:rStyle w:val="FootnoteReference"/>
        </w:rPr>
        <w:footnoteReference w:id="1"/>
      </w:r>
      <w:r>
        <w:t xml:space="preserve"> These findings prompted a more detailed investigation about the nature of work.</w:t>
      </w:r>
      <w:r>
        <w:rPr>
          <w:rStyle w:val="FootnoteReference"/>
        </w:rPr>
        <w:footnoteReference w:id="2"/>
      </w:r>
      <w:r>
        <w:t xml:space="preserve"> Utility workers clear trees from power lines while municipal workers clear from roadways – both at risk of injuries due to response. These findings highlight how other workers can incur injuries or illnesses due to disaster events.  </w:t>
      </w:r>
    </w:p>
    <w:p w14:paraId="1DF858AD" w14:textId="77777777" w:rsidR="004D0A86" w:rsidRDefault="004D0A86" w:rsidP="004D0A86">
      <w:r>
        <w:t>Slow moving c</w:t>
      </w:r>
      <w:r w:rsidRPr="000C2B3C">
        <w:t>hanges to the climate</w:t>
      </w:r>
      <w:r>
        <w:t xml:space="preserve">, </w:t>
      </w:r>
      <w:r w:rsidRPr="000C2B3C">
        <w:t>not defined by discrete time periods</w:t>
      </w:r>
      <w:r>
        <w:t xml:space="preserve"> as during disasters, can </w:t>
      </w:r>
      <w:r w:rsidRPr="000C2B3C">
        <w:t xml:space="preserve">upend our preconceptions </w:t>
      </w:r>
      <w:r>
        <w:t>about</w:t>
      </w:r>
      <w:r w:rsidRPr="000C2B3C">
        <w:t xml:space="preserve"> which workers may be considered at high-risk. Health care support workers, aides, work indoors and are not typically considered at risk of wildfire smoke. Yet, health care support workers acted as first responders evacuating residents from assisted living and skilled nursing facilities during the 2018 California Camp fire.</w:t>
      </w:r>
      <w:r w:rsidRPr="000C2B3C">
        <w:rPr>
          <w:rStyle w:val="FootnoteReference"/>
        </w:rPr>
        <w:footnoteReference w:id="3"/>
      </w:r>
      <w:r w:rsidRPr="000C2B3C">
        <w:t xml:space="preserve"> Hence, understanding the number of workers </w:t>
      </w:r>
      <w:r>
        <w:t>employed in an occupation</w:t>
      </w:r>
      <w:r w:rsidRPr="000C2B3C">
        <w:t xml:space="preserve"> may </w:t>
      </w:r>
      <w:r>
        <w:t>be critical to know in advance</w:t>
      </w:r>
      <w:r w:rsidRPr="000C2B3C">
        <w:t xml:space="preserve">.  </w:t>
      </w:r>
    </w:p>
    <w:p w14:paraId="5B6EB219" w14:textId="77777777" w:rsidR="004D0A86" w:rsidRDefault="004D0A86" w:rsidP="004D0A86">
      <w:r w:rsidRPr="000C2B3C">
        <w:t xml:space="preserve">As the first step, understanding who the population of workers are within each </w:t>
      </w:r>
      <w:r>
        <w:t>jurisdiction</w:t>
      </w:r>
      <w:r w:rsidRPr="000C2B3C">
        <w:t xml:space="preserve"> is fundamental. We provide some potential </w:t>
      </w:r>
      <w:r w:rsidRPr="004D0A86">
        <w:rPr>
          <w:i/>
          <w:iCs/>
        </w:rPr>
        <w:t>a priori</w:t>
      </w:r>
      <w:r w:rsidRPr="000C2B3C">
        <w:t xml:space="preserve"> approaches to understanding the workforce within each jurisdiction.</w:t>
      </w:r>
    </w:p>
    <w:p w14:paraId="40B34D56" w14:textId="12BE12B4" w:rsidR="004D0A86" w:rsidRPr="004D0A86" w:rsidRDefault="004D0A86" w:rsidP="004D0A86">
      <w:pPr>
        <w:rPr>
          <w:i/>
          <w:iCs/>
        </w:rPr>
      </w:pPr>
      <w:r w:rsidRPr="004D0A86">
        <w:rPr>
          <w:i/>
          <w:iCs/>
        </w:rPr>
        <w:t>Approaches to Characteriz</w:t>
      </w:r>
      <w:r>
        <w:rPr>
          <w:i/>
          <w:iCs/>
        </w:rPr>
        <w:t>e</w:t>
      </w:r>
      <w:r w:rsidRPr="004D0A86">
        <w:rPr>
          <w:i/>
          <w:iCs/>
        </w:rPr>
        <w:t xml:space="preserve"> Worker Populations</w:t>
      </w:r>
      <w:r>
        <w:rPr>
          <w:i/>
          <w:iCs/>
        </w:rPr>
        <w:t>:</w:t>
      </w:r>
    </w:p>
    <w:p w14:paraId="39AAB76E" w14:textId="77777777" w:rsidR="004D0A86" w:rsidRPr="000C2B3C" w:rsidRDefault="004D0A86" w:rsidP="004D0A86">
      <w:r w:rsidRPr="000C2B3C">
        <w:t>Essential workers, as identified using NIOSH Essential Industries matrix</w:t>
      </w:r>
      <w:r>
        <w:rPr>
          <w:rStyle w:val="FootnoteReference"/>
        </w:rPr>
        <w:footnoteReference w:id="4"/>
      </w:r>
      <w:r w:rsidRPr="000C2B3C">
        <w:t xml:space="preserve">, ensure critical functions keep society functioning during emergency situations such as a pandemic or natural disaster. New tools like the NIOSH Essential Workers Code Set (coded to </w:t>
      </w:r>
      <w:r>
        <w:t>2017 North American Industry NAICS, 2012 NAICS and 2012 CIC with industry-occupation pairs coded 2012 CIC-2010</w:t>
      </w:r>
      <w:r w:rsidRPr="000C2B3C">
        <w:t xml:space="preserve">) may also be used to identify potentially high-risk industries.  For example, when coupled to ELF data, states can key in on industries deemed mostly essential. </w:t>
      </w:r>
    </w:p>
    <w:p w14:paraId="654BD2F9" w14:textId="77777777" w:rsidR="004D0A86" w:rsidRPr="000C2B3C" w:rsidRDefault="004D0A86" w:rsidP="004D0A86">
      <w:r w:rsidRPr="000C2B3C">
        <w:t>The CSTE SARS-CoV-2 Occupational Exposure Matrix</w:t>
      </w:r>
      <w:r>
        <w:t xml:space="preserve"> (SOEM)</w:t>
      </w:r>
      <w:r w:rsidRPr="000C2B3C">
        <w:t xml:space="preserve"> (coded to 2010 SOC and 2010 COC) may be employed to define which groups and how many workers may be potentially at risk of environmental impacts. For example, states can use the NIOSH Employed Labor Force (ELF) data</w:t>
      </w:r>
      <w:r w:rsidRPr="000C2B3C">
        <w:rPr>
          <w:rStyle w:val="FootnoteReference"/>
        </w:rPr>
        <w:footnoteReference w:id="5"/>
      </w:r>
      <w:r w:rsidRPr="000C2B3C">
        <w:t>, which uses Current Population Survey, to understand who may be working indoors versus outdoors</w:t>
      </w:r>
      <w:r>
        <w:t xml:space="preserve"> (Figure 1)</w:t>
      </w:r>
      <w:r w:rsidRPr="000C2B3C">
        <w:t xml:space="preserve">. </w:t>
      </w:r>
      <w:r>
        <w:t>Jurisdictions</w:t>
      </w:r>
      <w:r w:rsidRPr="000C2B3C">
        <w:t xml:space="preserve"> can opt to use the American Community Survey 5-year data for more stable estimates</w:t>
      </w:r>
      <w:r>
        <w:t>,</w:t>
      </w:r>
      <w:r w:rsidRPr="000C2B3C">
        <w:t xml:space="preserve"> but </w:t>
      </w:r>
      <w:r>
        <w:t>they may</w:t>
      </w:r>
      <w:r w:rsidRPr="000C2B3C">
        <w:t xml:space="preserve"> need to</w:t>
      </w:r>
      <w:r>
        <w:t xml:space="preserve"> convert to 2010 COC or 2018 SOC to use with the SOEM</w:t>
      </w:r>
      <w:r w:rsidRPr="000C2B3C">
        <w:t xml:space="preserve">.   </w:t>
      </w:r>
    </w:p>
    <w:p w14:paraId="28E97665" w14:textId="77777777" w:rsidR="004D0A86" w:rsidRPr="004D0A86" w:rsidRDefault="004D0A86" w:rsidP="004D0A86">
      <w:pPr>
        <w:rPr>
          <w:b/>
          <w:bCs/>
        </w:rPr>
      </w:pPr>
      <w:r w:rsidRPr="004D0A86">
        <w:rPr>
          <w:b/>
          <w:bCs/>
          <w:i/>
          <w:iCs/>
        </w:rPr>
        <w:lastRenderedPageBreak/>
        <w:t>Figure 1. California Worker Population (16-60+ years) Characterized by the SARS-CoV-2 Exposure Matrix</w:t>
      </w:r>
      <w:r w:rsidRPr="004D0A86">
        <w:rPr>
          <w:b/>
          <w:bCs/>
          <w:vertAlign w:val="superscript"/>
        </w:rPr>
        <w:t>1</w:t>
      </w:r>
    </w:p>
    <w:p w14:paraId="1F6FD5AA" w14:textId="77777777" w:rsidR="004D0A86" w:rsidRPr="004D0A86" w:rsidRDefault="004D0A86" w:rsidP="004D0A86">
      <w:pPr>
        <w:spacing w:after="0" w:line="240" w:lineRule="auto"/>
        <w:jc w:val="center"/>
        <w:rPr>
          <w:rFonts w:ascii="Times New Roman" w:eastAsia="Times New Roman" w:hAnsi="Times New Roman" w:cs="Times New Roman"/>
          <w:sz w:val="24"/>
          <w:szCs w:val="24"/>
        </w:rPr>
      </w:pPr>
      <w:r>
        <w:rPr>
          <w:noProof/>
        </w:rPr>
        <w:drawing>
          <wp:inline distT="0" distB="0" distL="0" distR="0" wp14:anchorId="4C94A6C3" wp14:editId="7DCE6313">
            <wp:extent cx="3993264" cy="2271171"/>
            <wp:effectExtent l="0" t="0" r="762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rotWithShape="1">
                    <a:blip r:embed="rId14">
                      <a:extLst>
                        <a:ext uri="{28A0092B-C50C-407E-A947-70E740481C1C}">
                          <a14:useLocalDpi xmlns:a14="http://schemas.microsoft.com/office/drawing/2010/main" val="0"/>
                        </a:ext>
                      </a:extLst>
                    </a:blip>
                    <a:srcRect t="6622"/>
                    <a:stretch/>
                  </pic:blipFill>
                  <pic:spPr bwMode="auto">
                    <a:xfrm>
                      <a:off x="0" y="0"/>
                      <a:ext cx="4023975" cy="2288638"/>
                    </a:xfrm>
                    <a:prstGeom prst="rect">
                      <a:avLst/>
                    </a:prstGeom>
                    <a:ln>
                      <a:noFill/>
                    </a:ln>
                    <a:extLst>
                      <a:ext uri="{53640926-AAD7-44D8-BBD7-CCE9431645EC}">
                        <a14:shadowObscured xmlns:a14="http://schemas.microsoft.com/office/drawing/2010/main"/>
                      </a:ext>
                    </a:extLst>
                  </pic:spPr>
                </pic:pic>
              </a:graphicData>
            </a:graphic>
          </wp:inline>
        </w:drawing>
      </w:r>
    </w:p>
    <w:p w14:paraId="20648D7D" w14:textId="77777777" w:rsidR="004D0A86" w:rsidRPr="000C2B3C" w:rsidRDefault="004D0A86" w:rsidP="004D0A86">
      <w:r w:rsidRPr="000C2B3C">
        <w:t xml:space="preserve">Jurisdictions </w:t>
      </w:r>
      <w:r>
        <w:t>may choose</w:t>
      </w:r>
      <w:r w:rsidRPr="000C2B3C">
        <w:t xml:space="preserve"> to monitor </w:t>
      </w:r>
      <w:r>
        <w:t xml:space="preserve">the emergence and decline of industries </w:t>
      </w:r>
      <w:r w:rsidRPr="000C2B3C">
        <w:t>over time. The US has seen a rise in disaster clean-up industries as climate events occur more regularly and with higher severity.</w:t>
      </w:r>
      <w:r w:rsidRPr="000C2B3C">
        <w:rPr>
          <w:rStyle w:val="FootnoteReference"/>
        </w:rPr>
        <w:t xml:space="preserve"> </w:t>
      </w:r>
      <w:r w:rsidRPr="000C2B3C">
        <w:rPr>
          <w:rStyle w:val="FootnoteReference"/>
        </w:rPr>
        <w:footnoteReference w:id="6"/>
      </w:r>
      <w:r w:rsidRPr="000C2B3C">
        <w:t xml:space="preserve"> These companies </w:t>
      </w:r>
      <w:r>
        <w:t>may rely on</w:t>
      </w:r>
      <w:r w:rsidRPr="000C2B3C">
        <w:t xml:space="preserve"> volunteers or workers </w:t>
      </w:r>
      <w:r>
        <w:t xml:space="preserve">migrating </w:t>
      </w:r>
      <w:r w:rsidRPr="000C2B3C">
        <w:t xml:space="preserve">from other regions or countries ---thus, challenging to enumerate using traditional national surveys. </w:t>
      </w:r>
      <w:r>
        <w:t>O</w:t>
      </w:r>
      <w:r w:rsidRPr="000C2B3C">
        <w:t xml:space="preserve">ngoing assessment of the workforce by industry </w:t>
      </w:r>
      <w:r>
        <w:t>within a jurisdiction using survey data source remains a reasonable approach, despite data source limitations</w:t>
      </w:r>
      <w:r w:rsidRPr="000C2B3C">
        <w:t xml:space="preserve">.  </w:t>
      </w:r>
    </w:p>
    <w:p w14:paraId="378269A4" w14:textId="77777777" w:rsidR="004D0A86" w:rsidRPr="004D0A86" w:rsidRDefault="004D0A86" w:rsidP="004D0A86">
      <w:pPr>
        <w:spacing w:after="0" w:line="240" w:lineRule="auto"/>
        <w:rPr>
          <w:color w:val="2E74B5" w:themeColor="accent5" w:themeShade="BF"/>
        </w:rPr>
      </w:pP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w:t>
      </w:r>
      <w:proofErr w:type="gramStart"/>
      <w:r w:rsidR="00D13238" w:rsidRPr="0071246B">
        <w:rPr>
          <w:color w:val="2E74B5" w:themeColor="accent5" w:themeShade="BF"/>
        </w:rPr>
        <w:t>are</w:t>
      </w:r>
      <w:proofErr w:type="gramEnd"/>
      <w:r w:rsidR="00D13238" w:rsidRPr="0071246B">
        <w:rPr>
          <w:color w:val="2E74B5" w:themeColor="accent5" w:themeShade="BF"/>
        </w:rPr>
        <w:t xml:space="preserve"> the climate-related impacts your jurisdiction has experienced (increased temps, fires, hurricanes)? </w:t>
      </w:r>
      <w:r w:rsidR="00FB66E3" w:rsidRPr="0071246B">
        <w:rPr>
          <w:color w:val="2E74B5" w:themeColor="accent5" w:themeShade="BF"/>
        </w:rPr>
        <w:t xml:space="preserve"> (</w:t>
      </w:r>
      <w:proofErr w:type="gramStart"/>
      <w:r w:rsidR="00FB66E3" w:rsidRPr="0071246B">
        <w:rPr>
          <w:color w:val="2E74B5" w:themeColor="accent5" w:themeShade="BF"/>
        </w:rPr>
        <w:t>work</w:t>
      </w:r>
      <w:proofErr w:type="gramEnd"/>
      <w:r w:rsidR="00FB66E3" w:rsidRPr="0071246B">
        <w:rPr>
          <w:color w:val="2E74B5" w:themeColor="accent5" w:themeShade="BF"/>
        </w:rPr>
        <w:t xml:space="preserve">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7"/>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8"/>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w:t>
      </w:r>
      <w:r w:rsidR="00054FC2">
        <w:lastRenderedPageBreak/>
        <w:t>Climate.gov</w:t>
      </w:r>
      <w:r w:rsidR="00324A82">
        <w:t>.</w:t>
      </w:r>
      <w:r w:rsidR="00866C4E">
        <w:rPr>
          <w:rStyle w:val="FootnoteReference"/>
        </w:rPr>
        <w:footnoteReference w:id="9"/>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10"/>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11"/>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12"/>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 xml:space="preserve">Cite CSTE White paper – syndromic guidance document and </w:t>
      </w:r>
      <w:proofErr w:type="gramStart"/>
      <w:r w:rsidRPr="0071246B">
        <w:rPr>
          <w:color w:val="2E74B5" w:themeColor="accent5" w:themeShade="BF"/>
        </w:rPr>
        <w:t>example</w:t>
      </w:r>
      <w:proofErr w:type="gramEnd"/>
    </w:p>
    <w:p w14:paraId="5E07BC43" w14:textId="69CE4DA0" w:rsidR="00F51F46" w:rsidRDefault="00F51F46" w:rsidP="00F51F46">
      <w:pPr>
        <w:pStyle w:val="ListParagraph"/>
        <w:spacing w:after="0" w:line="240" w:lineRule="auto"/>
        <w:ind w:left="360"/>
        <w:rPr>
          <w:color w:val="2E74B5" w:themeColor="accent5" w:themeShade="BF"/>
        </w:rPr>
      </w:pPr>
    </w:p>
    <w:p w14:paraId="56315CB3" w14:textId="4ECA48B5" w:rsidR="00BF07EC" w:rsidRDefault="00F51F46" w:rsidP="00F51F46">
      <w:pPr>
        <w:spacing w:after="0" w:line="240" w:lineRule="auto"/>
      </w:pPr>
      <w:r>
        <w:t>There is no single source of data that is available that can identify all work-related injuries and illnesses</w:t>
      </w:r>
      <w:r w:rsidR="00313412">
        <w:t>,</w:t>
      </w:r>
      <w:r>
        <w:t xml:space="preserve"> and multiple data sources are often needed to help provide information on the distribution of work-related illnesses and injuries.</w:t>
      </w:r>
      <w:r>
        <w:rPr>
          <w:rStyle w:val="FootnoteReference"/>
        </w:rPr>
        <w:footnoteReference w:id="13"/>
      </w:r>
      <w:r w:rsidRPr="006F1EBD">
        <w:rPr>
          <w:vertAlign w:val="superscript"/>
        </w:rPr>
        <w:t>,</w:t>
      </w:r>
      <w:r>
        <w:rPr>
          <w:rStyle w:val="FootnoteReference"/>
        </w:rPr>
        <w:footnoteReference w:id="14"/>
      </w:r>
      <w:r>
        <w:rPr>
          <w:vertAlign w:val="superscript"/>
        </w:rPr>
        <w:t xml:space="preserve">  </w:t>
      </w:r>
      <w:r>
        <w:t xml:space="preserve">Therefore, states need to identify the data sources they have access </w:t>
      </w:r>
      <w:r w:rsidR="00313412">
        <w:t>to</w:t>
      </w:r>
      <w:r>
        <w:t xml:space="preserve"> </w:t>
      </w:r>
      <w:r w:rsidR="00617252">
        <w:t xml:space="preserve">in their jurisdiction </w:t>
      </w:r>
      <w:r>
        <w:t xml:space="preserve">and what variables are available in those data sources to help identify work-related </w:t>
      </w:r>
      <w:r>
        <w:lastRenderedPageBreak/>
        <w:t xml:space="preserve">injuries and illnesses. </w:t>
      </w:r>
      <w:r w:rsidR="00BF07EC" w:rsidRPr="00BF07EC">
        <w:t xml:space="preserve">Common data sources include syndromic surveillance, death record data, emergency discharge and hospitalization data, and workers compensation claims. </w:t>
      </w:r>
    </w:p>
    <w:p w14:paraId="60CBB8B4" w14:textId="77777777" w:rsidR="00617252" w:rsidRDefault="00617252" w:rsidP="00F51F46">
      <w:pPr>
        <w:spacing w:after="0" w:line="240" w:lineRule="auto"/>
      </w:pPr>
    </w:p>
    <w:p w14:paraId="4117E5EE" w14:textId="3EA2AC13" w:rsidR="00BF07EC" w:rsidRDefault="00F51F46" w:rsidP="00BF07EC">
      <w:pPr>
        <w:spacing w:after="0" w:line="240" w:lineRule="auto"/>
      </w:pPr>
      <w:r>
        <w:t xml:space="preserve">The table below lists the </w:t>
      </w:r>
      <w:proofErr w:type="gramStart"/>
      <w:r>
        <w:t>most commonly used</w:t>
      </w:r>
      <w:proofErr w:type="gramEnd"/>
      <w:r>
        <w:t xml:space="preserve"> data sources for occupational health surveillance along with </w:t>
      </w:r>
      <w:r w:rsidR="00617252">
        <w:t xml:space="preserve">example </w:t>
      </w:r>
      <w:r>
        <w:t>variables</w:t>
      </w:r>
      <w:r w:rsidR="00041542">
        <w:t>,</w:t>
      </w:r>
      <w:r w:rsidR="00617252">
        <w:t xml:space="preserve"> and references</w:t>
      </w:r>
      <w:r w:rsidR="00041542">
        <w:t>,</w:t>
      </w:r>
      <w:r w:rsidR="00617252">
        <w:t xml:space="preserve"> that</w:t>
      </w:r>
      <w:r>
        <w:t xml:space="preserve"> may be used to</w:t>
      </w:r>
      <w:r w:rsidR="00617252">
        <w:t xml:space="preserve"> help determine</w:t>
      </w:r>
      <w:r>
        <w:t xml:space="preserve"> work-relatedness. It should be noted that these variables may </w:t>
      </w:r>
      <w:r w:rsidR="00B178D7">
        <w:t>differ</w:t>
      </w:r>
      <w:r>
        <w:t xml:space="preserve"> by state</w:t>
      </w:r>
      <w:r w:rsidR="00041542">
        <w:t>,</w:t>
      </w:r>
      <w:r w:rsidR="00617252">
        <w:t xml:space="preserve"> as states often have access to different data sources; information for similar data sources may be collected differently state-to-state; and d</w:t>
      </w:r>
      <w:r w:rsidR="00617252" w:rsidRPr="00C33F9B">
        <w:t xml:space="preserve">ata </w:t>
      </w:r>
      <w:r w:rsidR="00617252">
        <w:t xml:space="preserve">may </w:t>
      </w:r>
      <w:r w:rsidR="00617252" w:rsidRPr="00C33F9B">
        <w:t>vary state-to-state as different regions of the country experience different types of work-related injuries and illnesses.</w:t>
      </w:r>
      <w:r w:rsidR="00617252">
        <w:rPr>
          <w:rStyle w:val="FootnoteReference"/>
        </w:rPr>
        <w:footnoteReference w:id="15"/>
      </w:r>
      <w:r w:rsidR="00BF07EC">
        <w:t xml:space="preserve"> </w:t>
      </w:r>
      <w:r w:rsidR="00BF07EC" w:rsidRPr="00BF07EC">
        <w:t>Additional details, including strengths and weaknesses</w:t>
      </w:r>
      <w:r w:rsidR="00C116F5">
        <w:t>,</w:t>
      </w:r>
      <w:r w:rsidR="00BF07EC" w:rsidRPr="00BF07EC">
        <w:t xml:space="preserve"> </w:t>
      </w:r>
      <w:r w:rsidR="00C116F5">
        <w:t>for</w:t>
      </w:r>
      <w:r w:rsidR="00BF07EC" w:rsidRPr="00BF07EC">
        <w:t xml:space="preserve"> these data sources </w:t>
      </w:r>
      <w:r w:rsidR="00313412">
        <w:t xml:space="preserve">can be found in the </w:t>
      </w:r>
      <w:commentRangeStart w:id="1"/>
      <w:r w:rsidR="00313412">
        <w:t xml:space="preserve">Appendix D: Data </w:t>
      </w:r>
      <w:commentRangeEnd w:id="1"/>
      <w:r w:rsidR="00313412">
        <w:rPr>
          <w:rStyle w:val="CommentReference"/>
        </w:rPr>
        <w:commentReference w:id="1"/>
      </w:r>
      <w:r w:rsidR="00313412">
        <w:t xml:space="preserve">Sources of the </w:t>
      </w:r>
      <w:hyperlink r:id="rId15" w:history="1">
        <w:r w:rsidR="00313412" w:rsidRPr="00313412">
          <w:rPr>
            <w:rStyle w:val="Hyperlink"/>
          </w:rPr>
          <w:t>CSTE Occupational Health Indicators: A Guide for tracking Occupational Health Conditions and Their Determinants</w:t>
        </w:r>
      </w:hyperlink>
      <w:r w:rsidR="00313412">
        <w:t>.</w:t>
      </w:r>
    </w:p>
    <w:p w14:paraId="79AE9D85" w14:textId="3ADDFBF1" w:rsidR="00BF07EC" w:rsidRDefault="00BF07EC" w:rsidP="00BF07EC">
      <w:pPr>
        <w:spacing w:after="0" w:line="240" w:lineRule="auto"/>
      </w:pPr>
    </w:p>
    <w:p w14:paraId="1D543C98" w14:textId="77777777" w:rsidR="00BF07EC" w:rsidRDefault="00BF07EC" w:rsidP="00BF07EC">
      <w:pPr>
        <w:spacing w:after="0" w:line="240" w:lineRule="auto"/>
        <w:sectPr w:rsidR="00BF07EC">
          <w:footerReference w:type="default" r:id="rId16"/>
          <w:pgSz w:w="12240" w:h="15840"/>
          <w:pgMar w:top="1440" w:right="1440" w:bottom="1440" w:left="1440" w:header="720" w:footer="720" w:gutter="0"/>
          <w:cols w:space="720"/>
          <w:docGrid w:linePitch="360"/>
        </w:sectPr>
      </w:pPr>
    </w:p>
    <w:p w14:paraId="0CFB4BF9" w14:textId="0A201B13" w:rsidR="00F51F46" w:rsidRDefault="00F51F46" w:rsidP="00F51F46">
      <w:pPr>
        <w:spacing w:after="0" w:line="240" w:lineRule="auto"/>
      </w:pPr>
      <w:r w:rsidRPr="00FB535A">
        <w:rPr>
          <w:b/>
          <w:bCs/>
        </w:rPr>
        <w:lastRenderedPageBreak/>
        <w:t>Table</w:t>
      </w:r>
      <w:r>
        <w:t>. Data sources containing work-related variables</w:t>
      </w:r>
      <w:r w:rsidR="001F1F9C">
        <w:t>*</w:t>
      </w:r>
    </w:p>
    <w:p w14:paraId="1F9E4A6E" w14:textId="77777777" w:rsidR="00F51F46" w:rsidRDefault="00F51F46" w:rsidP="00F51F46">
      <w:pPr>
        <w:spacing w:after="0" w:line="240" w:lineRule="auto"/>
      </w:pPr>
    </w:p>
    <w:tbl>
      <w:tblPr>
        <w:tblStyle w:val="TableGrid"/>
        <w:tblW w:w="14130" w:type="dxa"/>
        <w:tblInd w:w="-635" w:type="dxa"/>
        <w:tblLook w:val="04A0" w:firstRow="1" w:lastRow="0" w:firstColumn="1" w:lastColumn="0" w:noHBand="0" w:noVBand="1"/>
      </w:tblPr>
      <w:tblGrid>
        <w:gridCol w:w="1871"/>
        <w:gridCol w:w="1728"/>
        <w:gridCol w:w="2040"/>
        <w:gridCol w:w="4981"/>
        <w:gridCol w:w="3510"/>
      </w:tblGrid>
      <w:tr w:rsidR="00313412" w:rsidRPr="008635C5" w14:paraId="516B92E9" w14:textId="77777777" w:rsidTr="00313412">
        <w:tc>
          <w:tcPr>
            <w:tcW w:w="1871" w:type="dxa"/>
            <w:shd w:val="clear" w:color="auto" w:fill="D9D9D9" w:themeFill="background1" w:themeFillShade="D9"/>
          </w:tcPr>
          <w:p w14:paraId="169A0F91" w14:textId="77777777" w:rsidR="00313412" w:rsidRPr="008635C5" w:rsidRDefault="00313412" w:rsidP="003D5EDB">
            <w:pPr>
              <w:rPr>
                <w:b/>
                <w:bCs/>
              </w:rPr>
            </w:pPr>
            <w:r w:rsidRPr="008635C5">
              <w:rPr>
                <w:b/>
                <w:bCs/>
              </w:rPr>
              <w:t>Data Source</w:t>
            </w:r>
          </w:p>
        </w:tc>
        <w:tc>
          <w:tcPr>
            <w:tcW w:w="1728" w:type="dxa"/>
            <w:shd w:val="clear" w:color="auto" w:fill="D9D9D9" w:themeFill="background1" w:themeFillShade="D9"/>
          </w:tcPr>
          <w:p w14:paraId="2F53EA98" w14:textId="77777777" w:rsidR="00313412" w:rsidRPr="008635C5" w:rsidRDefault="00313412" w:rsidP="003D5EDB">
            <w:pPr>
              <w:rPr>
                <w:b/>
                <w:bCs/>
              </w:rPr>
            </w:pPr>
            <w:r>
              <w:rPr>
                <w:b/>
                <w:bCs/>
              </w:rPr>
              <w:t>Collected By</w:t>
            </w:r>
          </w:p>
        </w:tc>
        <w:tc>
          <w:tcPr>
            <w:tcW w:w="2040" w:type="dxa"/>
            <w:shd w:val="clear" w:color="auto" w:fill="D9D9D9" w:themeFill="background1" w:themeFillShade="D9"/>
          </w:tcPr>
          <w:p w14:paraId="05799493" w14:textId="4474ABB2" w:rsidR="00313412" w:rsidRPr="008635C5" w:rsidRDefault="00313412" w:rsidP="003D5EDB">
            <w:pPr>
              <w:rPr>
                <w:b/>
                <w:bCs/>
              </w:rPr>
            </w:pPr>
            <w:r>
              <w:rPr>
                <w:b/>
                <w:bCs/>
              </w:rPr>
              <w:t>Available in Near-Realtime</w:t>
            </w:r>
          </w:p>
        </w:tc>
        <w:tc>
          <w:tcPr>
            <w:tcW w:w="4981" w:type="dxa"/>
            <w:shd w:val="clear" w:color="auto" w:fill="D9D9D9" w:themeFill="background1" w:themeFillShade="D9"/>
          </w:tcPr>
          <w:p w14:paraId="415B968C" w14:textId="0CBB5D8E" w:rsidR="00313412" w:rsidRPr="008635C5" w:rsidRDefault="00313412" w:rsidP="003D5EDB">
            <w:pPr>
              <w:rPr>
                <w:b/>
                <w:bCs/>
              </w:rPr>
            </w:pPr>
            <w:r w:rsidRPr="008635C5">
              <w:rPr>
                <w:b/>
                <w:bCs/>
              </w:rPr>
              <w:t>Possible Work Variables</w:t>
            </w:r>
          </w:p>
        </w:tc>
        <w:tc>
          <w:tcPr>
            <w:tcW w:w="3510" w:type="dxa"/>
            <w:shd w:val="clear" w:color="auto" w:fill="D9D9D9" w:themeFill="background1" w:themeFillShade="D9"/>
          </w:tcPr>
          <w:p w14:paraId="71AB3DB7" w14:textId="76FC46BE" w:rsidR="00313412" w:rsidRPr="008635C5" w:rsidRDefault="00313412" w:rsidP="003D5EDB">
            <w:pPr>
              <w:rPr>
                <w:b/>
                <w:bCs/>
              </w:rPr>
            </w:pPr>
            <w:r>
              <w:rPr>
                <w:b/>
                <w:bCs/>
              </w:rPr>
              <w:t>References</w:t>
            </w:r>
          </w:p>
        </w:tc>
      </w:tr>
      <w:tr w:rsidR="00313412" w14:paraId="3659F7EB" w14:textId="77777777" w:rsidTr="00313412">
        <w:tc>
          <w:tcPr>
            <w:tcW w:w="1871" w:type="dxa"/>
          </w:tcPr>
          <w:p w14:paraId="26EFD12F" w14:textId="77777777" w:rsidR="00313412" w:rsidRDefault="00313412" w:rsidP="009938FC">
            <w:r>
              <w:t>Emergency and Hospital Discharge Data</w:t>
            </w:r>
          </w:p>
        </w:tc>
        <w:tc>
          <w:tcPr>
            <w:tcW w:w="1728" w:type="dxa"/>
          </w:tcPr>
          <w:p w14:paraId="5938B810" w14:textId="77777777" w:rsidR="00313412" w:rsidRDefault="00313412" w:rsidP="009938FC">
            <w:r>
              <w:t>State health department</w:t>
            </w:r>
          </w:p>
        </w:tc>
        <w:tc>
          <w:tcPr>
            <w:tcW w:w="2040" w:type="dxa"/>
          </w:tcPr>
          <w:p w14:paraId="1A2123E7" w14:textId="7C962551" w:rsidR="00313412" w:rsidRDefault="00313412" w:rsidP="009938FC">
            <w:r>
              <w:t>No. Availability depends on jurisdiction</w:t>
            </w:r>
          </w:p>
        </w:tc>
        <w:tc>
          <w:tcPr>
            <w:tcW w:w="4981" w:type="dxa"/>
          </w:tcPr>
          <w:p w14:paraId="6FFA1C4B" w14:textId="2445858C" w:rsidR="00313412" w:rsidRDefault="00313412" w:rsidP="009938FC">
            <w:r>
              <w:t xml:space="preserve">Workers’ Compensation as primary payer; ICD-codes in discharge diagnosis (disease conditions or indicating work-relatedness); V- and Z- codes indicating work-relatedness </w:t>
            </w:r>
          </w:p>
        </w:tc>
        <w:tc>
          <w:tcPr>
            <w:tcW w:w="3510" w:type="dxa"/>
          </w:tcPr>
          <w:p w14:paraId="691C6B52" w14:textId="05FA57F6" w:rsidR="00313412" w:rsidRDefault="00C13348" w:rsidP="009938FC">
            <w:hyperlink r:id="rId17" w:history="1">
              <w:r w:rsidR="00313412" w:rsidRPr="0060027F">
                <w:rPr>
                  <w:rStyle w:val="Hyperlink"/>
                </w:rPr>
                <w:t>CSTE Occupational Health Indicators How-To Guide</w:t>
              </w:r>
            </w:hyperlink>
            <w:r w:rsidR="00313412">
              <w:t>;</w:t>
            </w:r>
          </w:p>
          <w:p w14:paraId="024E0F38" w14:textId="7C40D513" w:rsidR="00313412" w:rsidRDefault="00C13348" w:rsidP="009938FC">
            <w:hyperlink r:id="rId18" w:history="1">
              <w:r w:rsidR="00313412" w:rsidRPr="0060027F">
                <w:rPr>
                  <w:rStyle w:val="Hyperlink"/>
                </w:rPr>
                <w:t>Identification of Work-Related Injuries (Bush et al)</w:t>
              </w:r>
            </w:hyperlink>
          </w:p>
          <w:p w14:paraId="07AA9670" w14:textId="77777777" w:rsidR="00313412" w:rsidRDefault="00313412" w:rsidP="009938FC"/>
        </w:tc>
      </w:tr>
      <w:tr w:rsidR="00313412" w14:paraId="19C3FBDA" w14:textId="77777777" w:rsidTr="00313412">
        <w:tc>
          <w:tcPr>
            <w:tcW w:w="1871" w:type="dxa"/>
          </w:tcPr>
          <w:p w14:paraId="3488C9CE" w14:textId="77777777" w:rsidR="00313412" w:rsidRDefault="00313412" w:rsidP="009938FC">
            <w:r>
              <w:t>Death Certificates</w:t>
            </w:r>
          </w:p>
        </w:tc>
        <w:tc>
          <w:tcPr>
            <w:tcW w:w="1728" w:type="dxa"/>
          </w:tcPr>
          <w:p w14:paraId="7EB2AD69" w14:textId="77777777" w:rsidR="00313412" w:rsidRDefault="00313412" w:rsidP="009938FC">
            <w:r>
              <w:t>State vital statistics</w:t>
            </w:r>
          </w:p>
        </w:tc>
        <w:tc>
          <w:tcPr>
            <w:tcW w:w="2040" w:type="dxa"/>
          </w:tcPr>
          <w:p w14:paraId="1BA3600B" w14:textId="74EBF363" w:rsidR="00313412" w:rsidRDefault="00313412" w:rsidP="009938FC">
            <w:r>
              <w:t>No. Availability depends on jurisdiction</w:t>
            </w:r>
          </w:p>
        </w:tc>
        <w:tc>
          <w:tcPr>
            <w:tcW w:w="4981" w:type="dxa"/>
          </w:tcPr>
          <w:p w14:paraId="27B3A396" w14:textId="046B18CF" w:rsidR="00313412" w:rsidRDefault="00313412" w:rsidP="009938FC">
            <w:r>
              <w:t>Industry and occupation free text fields; location of death; place of injury; employer name and address; flag for injury at work</w:t>
            </w:r>
          </w:p>
        </w:tc>
        <w:tc>
          <w:tcPr>
            <w:tcW w:w="3510" w:type="dxa"/>
          </w:tcPr>
          <w:p w14:paraId="31977082" w14:textId="47124FB7" w:rsidR="00313412" w:rsidRDefault="00313412" w:rsidP="009938FC"/>
        </w:tc>
      </w:tr>
      <w:tr w:rsidR="00313412" w14:paraId="7EF203E7" w14:textId="77777777" w:rsidTr="00313412">
        <w:tc>
          <w:tcPr>
            <w:tcW w:w="1871" w:type="dxa"/>
          </w:tcPr>
          <w:p w14:paraId="0EA19EC2" w14:textId="77777777" w:rsidR="00313412" w:rsidRDefault="00313412" w:rsidP="009938FC">
            <w:r>
              <w:t>Workers’ Compensation</w:t>
            </w:r>
          </w:p>
        </w:tc>
        <w:tc>
          <w:tcPr>
            <w:tcW w:w="1728" w:type="dxa"/>
          </w:tcPr>
          <w:p w14:paraId="695433AB" w14:textId="3A37FC08" w:rsidR="00313412" w:rsidRDefault="00313412" w:rsidP="009938FC">
            <w:r>
              <w:t>Data owner/manager of WC data in your state (Dept of Labor)</w:t>
            </w:r>
          </w:p>
        </w:tc>
        <w:tc>
          <w:tcPr>
            <w:tcW w:w="2040" w:type="dxa"/>
          </w:tcPr>
          <w:p w14:paraId="045AE9FC" w14:textId="0F1B3F77" w:rsidR="00313412" w:rsidRDefault="00313412" w:rsidP="009938FC">
            <w:r>
              <w:t>No. Availability depends on jurisdiction</w:t>
            </w:r>
          </w:p>
        </w:tc>
        <w:tc>
          <w:tcPr>
            <w:tcW w:w="4981" w:type="dxa"/>
          </w:tcPr>
          <w:p w14:paraId="5E4F13FE" w14:textId="65A84B3A" w:rsidR="00313412" w:rsidRDefault="00313412" w:rsidP="009938FC">
            <w:r>
              <w:t>All data is work-related by default; industry and occupation available; ICD-codes; keyword search in narratives</w:t>
            </w:r>
          </w:p>
        </w:tc>
        <w:tc>
          <w:tcPr>
            <w:tcW w:w="3510" w:type="dxa"/>
          </w:tcPr>
          <w:p w14:paraId="1ABECE31" w14:textId="352AD7F6" w:rsidR="00313412" w:rsidRDefault="00C13348" w:rsidP="009938FC">
            <w:hyperlink r:id="rId19" w:history="1">
              <w:r w:rsidR="00313412" w:rsidRPr="0060027F">
                <w:rPr>
                  <w:rStyle w:val="Hyperlink"/>
                </w:rPr>
                <w:t>CSTE Occupational Health Indicators How-To Guide</w:t>
              </w:r>
            </w:hyperlink>
            <w:r w:rsidR="00313412">
              <w:t>;</w:t>
            </w:r>
          </w:p>
          <w:p w14:paraId="24F8FC41" w14:textId="77777777" w:rsidR="00313412" w:rsidRDefault="00313412" w:rsidP="009938FC"/>
        </w:tc>
      </w:tr>
      <w:tr w:rsidR="00313412" w14:paraId="470B94EB" w14:textId="77777777" w:rsidTr="00313412">
        <w:tc>
          <w:tcPr>
            <w:tcW w:w="1871" w:type="dxa"/>
          </w:tcPr>
          <w:p w14:paraId="258CC143" w14:textId="77777777" w:rsidR="00313412" w:rsidRDefault="00313412" w:rsidP="009938FC">
            <w:r>
              <w:t>Syndromic Surveillance (ESSENCE or in-house system)</w:t>
            </w:r>
          </w:p>
        </w:tc>
        <w:tc>
          <w:tcPr>
            <w:tcW w:w="1728" w:type="dxa"/>
          </w:tcPr>
          <w:p w14:paraId="23DEE30F" w14:textId="77777777" w:rsidR="00313412" w:rsidRDefault="00313412" w:rsidP="009938FC">
            <w:r>
              <w:t xml:space="preserve">Liaison in state health department infectious disease program </w:t>
            </w:r>
          </w:p>
        </w:tc>
        <w:tc>
          <w:tcPr>
            <w:tcW w:w="2040" w:type="dxa"/>
          </w:tcPr>
          <w:p w14:paraId="57BE2305" w14:textId="58D536C6" w:rsidR="00313412" w:rsidRDefault="00313412" w:rsidP="009938FC">
            <w:r>
              <w:t xml:space="preserve">Yes. </w:t>
            </w:r>
          </w:p>
        </w:tc>
        <w:tc>
          <w:tcPr>
            <w:tcW w:w="4981" w:type="dxa"/>
          </w:tcPr>
          <w:p w14:paraId="38B9875F" w14:textId="2ECF09F7" w:rsidR="00313412" w:rsidRDefault="00313412" w:rsidP="009938FC">
            <w:r>
              <w:t>Chief complaint keyword search; triage notes; ICD-codes (disease conditions or indicating work-relatedness)</w:t>
            </w:r>
          </w:p>
        </w:tc>
        <w:tc>
          <w:tcPr>
            <w:tcW w:w="3510" w:type="dxa"/>
          </w:tcPr>
          <w:p w14:paraId="408B27F2" w14:textId="26EDFE71" w:rsidR="00313412" w:rsidRDefault="00C13348" w:rsidP="009938FC">
            <w:hyperlink r:id="rId20" w:history="1">
              <w:r w:rsidR="00313412" w:rsidRPr="0060027F">
                <w:rPr>
                  <w:rStyle w:val="Hyperlink"/>
                </w:rPr>
                <w:t>CSTE Syndromic Surveillance for Occupational Health Surveillance</w:t>
              </w:r>
            </w:hyperlink>
            <w:r w:rsidR="00313412">
              <w:t>;</w:t>
            </w:r>
          </w:p>
          <w:p w14:paraId="35883FFD" w14:textId="77777777" w:rsidR="00313412" w:rsidRDefault="00C13348" w:rsidP="009938FC">
            <w:hyperlink r:id="rId21" w:history="1">
              <w:r w:rsidR="00313412" w:rsidRPr="0060027F">
                <w:rPr>
                  <w:rStyle w:val="Hyperlink"/>
                </w:rPr>
                <w:t>Evaluation of State Based Syndromic (Borjan et al)</w:t>
              </w:r>
            </w:hyperlink>
          </w:p>
        </w:tc>
      </w:tr>
      <w:tr w:rsidR="00313412" w14:paraId="79082105" w14:textId="77777777" w:rsidTr="00313412">
        <w:tc>
          <w:tcPr>
            <w:tcW w:w="1871" w:type="dxa"/>
          </w:tcPr>
          <w:p w14:paraId="225CC434" w14:textId="77777777" w:rsidR="00313412" w:rsidRDefault="00313412" w:rsidP="009938FC">
            <w:r>
              <w:t>Survey of Occupational Illnesses (SOII)</w:t>
            </w:r>
          </w:p>
        </w:tc>
        <w:tc>
          <w:tcPr>
            <w:tcW w:w="1728" w:type="dxa"/>
          </w:tcPr>
          <w:p w14:paraId="5BDFC7A5" w14:textId="77777777" w:rsidR="00313412" w:rsidRDefault="00C13348" w:rsidP="009938FC">
            <w:hyperlink r:id="rId22" w:history="1">
              <w:r w:rsidR="00313412" w:rsidRPr="00830AF0">
                <w:rPr>
                  <w:rStyle w:val="Hyperlink"/>
                </w:rPr>
                <w:t>Bureau of Labor Statistics</w:t>
              </w:r>
            </w:hyperlink>
            <w:r w:rsidR="00313412">
              <w:t xml:space="preserve"> </w:t>
            </w:r>
          </w:p>
        </w:tc>
        <w:tc>
          <w:tcPr>
            <w:tcW w:w="2040" w:type="dxa"/>
          </w:tcPr>
          <w:p w14:paraId="5437F6DA" w14:textId="5605F534" w:rsidR="00313412" w:rsidRDefault="00313412" w:rsidP="009938FC">
            <w:r>
              <w:t>No. One year lag</w:t>
            </w:r>
          </w:p>
        </w:tc>
        <w:tc>
          <w:tcPr>
            <w:tcW w:w="4981" w:type="dxa"/>
          </w:tcPr>
          <w:p w14:paraId="32FAED18" w14:textId="34524BF0" w:rsidR="00313412" w:rsidRDefault="00313412" w:rsidP="009938FC">
            <w:r>
              <w:t>Industry and occupation; number of days away from work</w:t>
            </w:r>
          </w:p>
        </w:tc>
        <w:tc>
          <w:tcPr>
            <w:tcW w:w="3510" w:type="dxa"/>
          </w:tcPr>
          <w:p w14:paraId="5F6677A0" w14:textId="4ECE87D9" w:rsidR="00313412" w:rsidRDefault="00C13348" w:rsidP="009938FC">
            <w:hyperlink r:id="rId23" w:history="1">
              <w:r w:rsidR="0002022A" w:rsidRPr="0060027F">
                <w:rPr>
                  <w:rStyle w:val="Hyperlink"/>
                </w:rPr>
                <w:t>CSTE Occupational Health Indicators How-To Guide</w:t>
              </w:r>
            </w:hyperlink>
          </w:p>
        </w:tc>
      </w:tr>
      <w:tr w:rsidR="00313412" w14:paraId="63428053" w14:textId="77777777" w:rsidTr="00313412">
        <w:tc>
          <w:tcPr>
            <w:tcW w:w="1871" w:type="dxa"/>
          </w:tcPr>
          <w:p w14:paraId="47E7AC3C" w14:textId="77777777" w:rsidR="00313412" w:rsidRDefault="00313412" w:rsidP="009938FC">
            <w:r>
              <w:t>Census of Occupational Injuries (CFOI)</w:t>
            </w:r>
          </w:p>
        </w:tc>
        <w:tc>
          <w:tcPr>
            <w:tcW w:w="1728" w:type="dxa"/>
          </w:tcPr>
          <w:p w14:paraId="1DC75789" w14:textId="77777777" w:rsidR="00313412" w:rsidRDefault="00C13348" w:rsidP="009938FC">
            <w:hyperlink r:id="rId24" w:history="1">
              <w:r w:rsidR="00313412" w:rsidRPr="00830AF0">
                <w:rPr>
                  <w:rStyle w:val="Hyperlink"/>
                </w:rPr>
                <w:t>Bureau of Labor Statistics</w:t>
              </w:r>
            </w:hyperlink>
          </w:p>
        </w:tc>
        <w:tc>
          <w:tcPr>
            <w:tcW w:w="2040" w:type="dxa"/>
          </w:tcPr>
          <w:p w14:paraId="357C521C" w14:textId="1CB307AC" w:rsidR="00313412" w:rsidRDefault="00313412" w:rsidP="009938FC">
            <w:r>
              <w:t>No. One year lag</w:t>
            </w:r>
          </w:p>
        </w:tc>
        <w:tc>
          <w:tcPr>
            <w:tcW w:w="4981" w:type="dxa"/>
          </w:tcPr>
          <w:p w14:paraId="0375DF2A" w14:textId="0205D9AC" w:rsidR="00313412" w:rsidRDefault="00313412" w:rsidP="009938FC">
            <w:r>
              <w:t>Industry and occupation; employee status</w:t>
            </w:r>
          </w:p>
        </w:tc>
        <w:tc>
          <w:tcPr>
            <w:tcW w:w="3510" w:type="dxa"/>
          </w:tcPr>
          <w:p w14:paraId="5BFF112B" w14:textId="643E6519" w:rsidR="00313412" w:rsidRDefault="00C13348" w:rsidP="009938FC">
            <w:hyperlink r:id="rId25" w:history="1">
              <w:r w:rsidR="0002022A" w:rsidRPr="0060027F">
                <w:rPr>
                  <w:rStyle w:val="Hyperlink"/>
                </w:rPr>
                <w:t>CSTE Occupational Health Indicators How-To Guide</w:t>
              </w:r>
            </w:hyperlink>
          </w:p>
        </w:tc>
      </w:tr>
      <w:tr w:rsidR="00313412" w14:paraId="78017C0F" w14:textId="77777777" w:rsidTr="00313412">
        <w:tc>
          <w:tcPr>
            <w:tcW w:w="1871" w:type="dxa"/>
          </w:tcPr>
          <w:p w14:paraId="0941EAF7" w14:textId="77777777" w:rsidR="00313412" w:rsidRDefault="00313412" w:rsidP="009938FC">
            <w:r>
              <w:t>Trauma Registry</w:t>
            </w:r>
          </w:p>
        </w:tc>
        <w:tc>
          <w:tcPr>
            <w:tcW w:w="1728" w:type="dxa"/>
          </w:tcPr>
          <w:p w14:paraId="40DFAE0B" w14:textId="77777777" w:rsidR="00313412" w:rsidRDefault="00313412" w:rsidP="009938FC">
            <w:r>
              <w:t>State health department</w:t>
            </w:r>
          </w:p>
        </w:tc>
        <w:tc>
          <w:tcPr>
            <w:tcW w:w="2040" w:type="dxa"/>
          </w:tcPr>
          <w:p w14:paraId="69D1A06E" w14:textId="1845E87A" w:rsidR="00313412" w:rsidRDefault="005C11A2" w:rsidP="009938FC">
            <w:r>
              <w:t>No. Availability depends on jurisdiction</w:t>
            </w:r>
          </w:p>
        </w:tc>
        <w:tc>
          <w:tcPr>
            <w:tcW w:w="4981" w:type="dxa"/>
          </w:tcPr>
          <w:p w14:paraId="6024AB32" w14:textId="7D66BF9B" w:rsidR="00313412" w:rsidRDefault="00313412" w:rsidP="009938FC">
            <w:r>
              <w:t>ICD-codes; injury description fields</w:t>
            </w:r>
          </w:p>
        </w:tc>
        <w:tc>
          <w:tcPr>
            <w:tcW w:w="3510" w:type="dxa"/>
          </w:tcPr>
          <w:p w14:paraId="79C876C6" w14:textId="2F426E24" w:rsidR="00313412" w:rsidRDefault="00C13348" w:rsidP="009938FC">
            <w:hyperlink r:id="rId26" w:history="1">
              <w:r w:rsidR="00313412" w:rsidRPr="00617544">
                <w:rPr>
                  <w:rStyle w:val="Hyperlink"/>
                </w:rPr>
                <w:t>Work-Related Injuries in State Trauma Registry (Bunn et al)</w:t>
              </w:r>
            </w:hyperlink>
            <w:r w:rsidR="00313412">
              <w:t xml:space="preserve">; </w:t>
            </w:r>
          </w:p>
          <w:p w14:paraId="1A81936D" w14:textId="77777777" w:rsidR="00313412" w:rsidRDefault="00C13348" w:rsidP="009938FC">
            <w:hyperlink r:id="rId27" w:history="1">
              <w:r w:rsidR="00313412" w:rsidRPr="00BD6503">
                <w:rPr>
                  <w:rStyle w:val="Hyperlink"/>
                </w:rPr>
                <w:t>State Trauma Reg Occ Surv (Sears et al)</w:t>
              </w:r>
            </w:hyperlink>
          </w:p>
        </w:tc>
      </w:tr>
    </w:tbl>
    <w:p w14:paraId="6C0145E1" w14:textId="50EB352A" w:rsidR="00F51F46" w:rsidRDefault="00F51F46" w:rsidP="00F51F46">
      <w:pPr>
        <w:spacing w:after="0" w:line="240" w:lineRule="auto"/>
      </w:pPr>
      <w:r>
        <w:t>*</w:t>
      </w:r>
      <w:r w:rsidR="001F1F9C">
        <w:t>Data sources vary by state</w:t>
      </w:r>
      <w:r>
        <w:t>.</w:t>
      </w:r>
    </w:p>
    <w:p w14:paraId="2A84D38F" w14:textId="44B4E606" w:rsidR="00F51F46" w:rsidRPr="00F51F46" w:rsidRDefault="00F51F46" w:rsidP="00F51F46">
      <w:pPr>
        <w:spacing w:after="0" w:line="240" w:lineRule="auto"/>
        <w:rPr>
          <w:color w:val="2E74B5" w:themeColor="accent5" w:themeShade="BF"/>
        </w:rPr>
      </w:pPr>
    </w:p>
    <w:p w14:paraId="43A54918" w14:textId="77777777" w:rsidR="00BF07EC" w:rsidRDefault="00BF07EC" w:rsidP="00F51F46">
      <w:pPr>
        <w:pStyle w:val="ListParagraph"/>
        <w:spacing w:after="0" w:line="240" w:lineRule="auto"/>
        <w:ind w:left="360"/>
        <w:rPr>
          <w:color w:val="2E74B5" w:themeColor="accent5" w:themeShade="BF"/>
        </w:rPr>
        <w:sectPr w:rsidR="00BF07EC" w:rsidSect="00BF07EC">
          <w:pgSz w:w="15840" w:h="12240" w:orient="landscape"/>
          <w:pgMar w:top="1440" w:right="1440" w:bottom="1440" w:left="1440" w:header="720" w:footer="720" w:gutter="0"/>
          <w:cols w:space="720"/>
          <w:docGrid w:linePitch="360"/>
        </w:sectPr>
      </w:pPr>
    </w:p>
    <w:p w14:paraId="6AE93C2F" w14:textId="77777777" w:rsidR="00F51F46" w:rsidRDefault="00F51F46" w:rsidP="00F51F46">
      <w:pPr>
        <w:pStyle w:val="ListParagraph"/>
        <w:spacing w:after="0" w:line="240" w:lineRule="auto"/>
        <w:ind w:left="360"/>
        <w:rPr>
          <w:color w:val="2E74B5" w:themeColor="accent5" w:themeShade="BF"/>
        </w:rPr>
      </w:pPr>
    </w:p>
    <w:p w14:paraId="03DC609A" w14:textId="28BC61FC"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22B7F250" w14:textId="77777777" w:rsidR="0071246B" w:rsidRPr="0071246B" w:rsidRDefault="0071246B" w:rsidP="0071246B">
      <w:pPr>
        <w:pStyle w:val="ListParagraph"/>
        <w:spacing w:after="0" w:line="240" w:lineRule="auto"/>
        <w:ind w:left="360"/>
        <w:rPr>
          <w:color w:val="FF0000"/>
        </w:rPr>
      </w:pPr>
    </w:p>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w:t>
      </w:r>
      <w:proofErr w:type="gramStart"/>
      <w:r w:rsidRPr="0071246B">
        <w:rPr>
          <w:color w:val="FF0000"/>
        </w:rPr>
        <w:t>cite</w:t>
      </w:r>
      <w:proofErr w:type="gramEnd"/>
      <w:r w:rsidRPr="0071246B">
        <w:rPr>
          <w:color w:val="FF0000"/>
        </w:rPr>
        <w:t xml:space="preserve"> OHI indicators document).</w:t>
      </w:r>
    </w:p>
    <w:p w14:paraId="2B8023A4" w14:textId="77777777" w:rsidR="0071246B" w:rsidRDefault="0071246B" w:rsidP="0071246B">
      <w:pPr>
        <w:pStyle w:val="ListParagraph"/>
        <w:spacing w:after="0" w:line="240" w:lineRule="auto"/>
        <w:ind w:left="360"/>
      </w:pPr>
    </w:p>
    <w:p w14:paraId="3F2A7A1F" w14:textId="23F75FCD" w:rsidR="0071246B" w:rsidRPr="00384800" w:rsidRDefault="0071246B" w:rsidP="0071246B">
      <w:pPr>
        <w:pStyle w:val="ListParagraph"/>
        <w:spacing w:after="0" w:line="240" w:lineRule="auto"/>
        <w:ind w:left="360"/>
      </w:pPr>
      <w:r>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 xml:space="preserve">Heat-Related Illness Syndrome Query: </w:t>
      </w:r>
      <w:proofErr w:type="gramStart"/>
      <w:r w:rsidRPr="0071246B">
        <w:rPr>
          <w:i/>
          <w:iCs/>
        </w:rPr>
        <w:t>a</w:t>
      </w:r>
      <w:proofErr w:type="gramEnd"/>
      <w:r w:rsidRPr="0071246B">
        <w:rPr>
          <w:i/>
          <w:iCs/>
        </w:rPr>
        <w:t xml:space="preserve">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xml:space="preserve">, retrospective </w:t>
      </w:r>
      <w:proofErr w:type="gramStart"/>
      <w:r w:rsidR="00023F5E" w:rsidRPr="0071246B">
        <w:rPr>
          <w:color w:val="2E74B5" w:themeColor="accent5" w:themeShade="BF"/>
        </w:rPr>
        <w:t>analysis</w:t>
      </w:r>
      <w:proofErr w:type="gramEnd"/>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0E11FF8C" w:rsidR="00BB7F1A" w:rsidRDefault="00BB7F1A" w:rsidP="00BB7F1A">
      <w:pPr>
        <w:pStyle w:val="ListParagraph"/>
        <w:numPr>
          <w:ilvl w:val="1"/>
          <w:numId w:val="1"/>
        </w:numPr>
        <w:spacing w:after="0" w:line="240" w:lineRule="auto"/>
        <w:rPr>
          <w:color w:val="2E74B5" w:themeColor="accent5" w:themeShade="BF"/>
        </w:rPr>
      </w:pPr>
      <w:r w:rsidRPr="007C0BC4">
        <w:rPr>
          <w:strike/>
          <w:color w:val="2E74B5" w:themeColor="accent5" w:themeShade="BF"/>
        </w:rPr>
        <w:t>Wildland fires</w:t>
      </w:r>
      <w:r w:rsidR="00A76151" w:rsidRPr="0071246B">
        <w:rPr>
          <w:color w:val="2E74B5" w:themeColor="accent5" w:themeShade="BF"/>
        </w:rPr>
        <w:t xml:space="preserve"> </w:t>
      </w:r>
      <w:r w:rsidR="007C0BC4" w:rsidRPr="007C0BC4">
        <w:rPr>
          <w:color w:val="2E74B5" w:themeColor="accent5" w:themeShade="BF"/>
        </w:rPr>
        <w:t xml:space="preserve">Wildfires </w:t>
      </w:r>
      <w:r w:rsidR="00A76151" w:rsidRPr="0071246B">
        <w:rPr>
          <w:color w:val="2E74B5" w:themeColor="accent5" w:themeShade="BF"/>
          <w:highlight w:val="cyan"/>
        </w:rPr>
        <w:t>(Marija)</w:t>
      </w:r>
    </w:p>
    <w:p w14:paraId="244D0BB3" w14:textId="77777777" w:rsidR="00872AF9" w:rsidRDefault="00872AF9" w:rsidP="00872AF9">
      <w:pPr>
        <w:pStyle w:val="ListParagraph"/>
        <w:spacing w:after="0" w:line="240" w:lineRule="auto"/>
        <w:ind w:left="1080"/>
      </w:pPr>
    </w:p>
    <w:p w14:paraId="0974E6AD" w14:textId="14C69DC2" w:rsidR="00C6212B" w:rsidRPr="00872AF9" w:rsidRDefault="00171081" w:rsidP="0044457B">
      <w:pPr>
        <w:spacing w:after="0" w:line="240" w:lineRule="auto"/>
        <w:ind w:left="1080"/>
      </w:pPr>
      <w:bookmarkStart w:id="2" w:name="_Hlk142573304"/>
      <w:r w:rsidRPr="00171081">
        <w:t>Wildfires are unplanned fires and can occur in wildland areas such as forests, shrub lands, grasslands, or prairies. Due to human behavior and climate change wildfires are becoming more frequent and lasting longer, especially during dry conditions.</w:t>
      </w:r>
      <w:r w:rsidR="00652738">
        <w:rPr>
          <w:rStyle w:val="EndnoteReference"/>
        </w:rPr>
        <w:endnoteReference w:id="1"/>
      </w:r>
      <w:r w:rsidR="00652738">
        <w:rPr>
          <w:vertAlign w:val="superscript"/>
        </w:rPr>
        <w:t xml:space="preserve">, </w:t>
      </w:r>
      <w:r w:rsidR="00652738">
        <w:rPr>
          <w:rStyle w:val="EndnoteReference"/>
        </w:rPr>
        <w:endnoteReference w:id="2"/>
      </w:r>
      <w:r w:rsidRPr="00171081">
        <w:t xml:space="preserve"> Individuals who spend most of their time working outdoors, such as construction, agriculture, landscape, etc., are at increased risk of health effects due to wildfires. Smoke from these fires can also affect </w:t>
      </w:r>
      <w:r w:rsidRPr="00171081">
        <w:rPr>
          <w:highlight w:val="yellow"/>
        </w:rPr>
        <w:t>indoor air quality</w:t>
      </w:r>
      <w:r w:rsidRPr="00171081">
        <w:t xml:space="preserve"> for workers in structures with poor ventilation. </w:t>
      </w:r>
      <w:bookmarkEnd w:id="2"/>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Link to resources with health outcomes to consider</w:t>
      </w:r>
      <w:r w:rsidR="00023F5E" w:rsidRPr="0071246B">
        <w:rPr>
          <w:color w:val="2E74B5" w:themeColor="accent5" w:themeShade="BF"/>
        </w:rPr>
        <w:t>:</w:t>
      </w:r>
    </w:p>
    <w:p w14:paraId="407FF597" w14:textId="1AACDFAA" w:rsidR="00171081" w:rsidRDefault="00171081" w:rsidP="00171081">
      <w:pPr>
        <w:pStyle w:val="ListParagraph"/>
        <w:spacing w:after="0" w:line="240" w:lineRule="auto"/>
      </w:pPr>
      <w:r>
        <w:t xml:space="preserve">Individuals who must work outside for extended periods of time are more likely to be exposed to higher concentrations of smoke from wildfires. </w:t>
      </w:r>
      <w:r w:rsidRPr="002C1E1F">
        <w:t>Working outdoors during periods of wildfire smoke could result in a range of health effects depending on the underlying health status of the worker</w:t>
      </w:r>
      <w:r>
        <w:t xml:space="preserve"> and the e</w:t>
      </w:r>
      <w:r w:rsidRPr="002C1E1F">
        <w:t xml:space="preserve">ffects </w:t>
      </w:r>
      <w:r>
        <w:t>of being exposed to the</w:t>
      </w:r>
      <w:r w:rsidRPr="002C1E1F">
        <w:t xml:space="preserve"> wildfire smoke</w:t>
      </w:r>
      <w:r>
        <w:t xml:space="preserve"> could</w:t>
      </w:r>
      <w:r w:rsidRPr="002C1E1F">
        <w:t xml:space="preserve"> range from </w:t>
      </w:r>
      <w:r>
        <w:t xml:space="preserve">coughing and throat irritation to asthma attacks and </w:t>
      </w:r>
      <w:r w:rsidRPr="002C1E1F">
        <w:t xml:space="preserve">cardiovascular </w:t>
      </w:r>
      <w:r>
        <w:t>issues</w:t>
      </w:r>
      <w:r w:rsidRPr="002C1E1F">
        <w:t>.</w:t>
      </w:r>
      <w:r w:rsidR="006B25B0">
        <w:rPr>
          <w:rStyle w:val="EndnoteReference"/>
        </w:rPr>
        <w:endnoteReference w:id="3"/>
      </w:r>
      <w:r>
        <w:t xml:space="preserve"> Effects of wildfire smokes can be acute in nature or can exacerbate existing health conditions. Below are possible health outcomes to consider when being exposed to wildfire smoke. Additional information available at </w:t>
      </w:r>
      <w:hyperlink r:id="rId28" w:history="1">
        <w:r w:rsidRPr="00F10D8D">
          <w:rPr>
            <w:rStyle w:val="Hyperlink"/>
          </w:rPr>
          <w:t>EPA’s Health Effects Attributed to Wildfire Smoke</w:t>
        </w:r>
      </w:hyperlink>
      <w:r>
        <w:t>.</w:t>
      </w:r>
    </w:p>
    <w:p w14:paraId="07FD891C" w14:textId="77777777" w:rsidR="00171081" w:rsidRDefault="00171081" w:rsidP="00171081">
      <w:pPr>
        <w:pStyle w:val="ListParagraph"/>
        <w:spacing w:after="0" w:line="240" w:lineRule="auto"/>
        <w:ind w:left="360"/>
      </w:pPr>
    </w:p>
    <w:tbl>
      <w:tblPr>
        <w:tblStyle w:val="TableGrid"/>
        <w:tblW w:w="0" w:type="auto"/>
        <w:tblInd w:w="720" w:type="dxa"/>
        <w:tblLook w:val="04A0" w:firstRow="1" w:lastRow="0" w:firstColumn="1" w:lastColumn="0" w:noHBand="0" w:noVBand="1"/>
      </w:tblPr>
      <w:tblGrid>
        <w:gridCol w:w="2875"/>
        <w:gridCol w:w="5755"/>
      </w:tblGrid>
      <w:tr w:rsidR="00171081" w14:paraId="20D5CA60" w14:textId="77777777" w:rsidTr="009526DF">
        <w:tc>
          <w:tcPr>
            <w:tcW w:w="2875" w:type="dxa"/>
          </w:tcPr>
          <w:p w14:paraId="2481B630" w14:textId="77777777" w:rsidR="00171081" w:rsidRDefault="00171081" w:rsidP="009526DF">
            <w:r w:rsidRPr="0070592D">
              <w:rPr>
                <w:highlight w:val="yellow"/>
              </w:rPr>
              <w:t>Acute</w:t>
            </w:r>
            <w:r>
              <w:t xml:space="preserve"> Symptoms</w:t>
            </w:r>
          </w:p>
        </w:tc>
        <w:tc>
          <w:tcPr>
            <w:tcW w:w="5755" w:type="dxa"/>
          </w:tcPr>
          <w:p w14:paraId="1F372010" w14:textId="77777777" w:rsidR="00171081" w:rsidRDefault="00171081" w:rsidP="009526DF">
            <w:r>
              <w:t>Coughing, burning eyes, scratchy throat, runny nose</w:t>
            </w:r>
          </w:p>
        </w:tc>
      </w:tr>
      <w:tr w:rsidR="00171081" w14:paraId="13111847" w14:textId="77777777" w:rsidTr="009526DF">
        <w:tc>
          <w:tcPr>
            <w:tcW w:w="2875" w:type="dxa"/>
          </w:tcPr>
          <w:p w14:paraId="44C18012" w14:textId="77777777" w:rsidR="00171081" w:rsidRDefault="00171081" w:rsidP="009526DF">
            <w:r>
              <w:t>Respiratory conditions</w:t>
            </w:r>
          </w:p>
        </w:tc>
        <w:tc>
          <w:tcPr>
            <w:tcW w:w="5755" w:type="dxa"/>
          </w:tcPr>
          <w:p w14:paraId="4E5AF90C" w14:textId="77777777" w:rsidR="00171081" w:rsidRDefault="00171081" w:rsidP="009526DF">
            <w:r>
              <w:t>Asthma, chronic obstructive pulmonary disease (COPD), upper respiratory infections, respiratory failure</w:t>
            </w:r>
          </w:p>
        </w:tc>
      </w:tr>
      <w:tr w:rsidR="00171081" w14:paraId="612B63B0" w14:textId="77777777" w:rsidTr="009526DF">
        <w:tc>
          <w:tcPr>
            <w:tcW w:w="2875" w:type="dxa"/>
          </w:tcPr>
          <w:p w14:paraId="11DD2A3F" w14:textId="77777777" w:rsidR="00171081" w:rsidRDefault="00171081" w:rsidP="009526DF">
            <w:r>
              <w:t>Cardiovascular Conditions</w:t>
            </w:r>
          </w:p>
        </w:tc>
        <w:tc>
          <w:tcPr>
            <w:tcW w:w="5755" w:type="dxa"/>
          </w:tcPr>
          <w:p w14:paraId="6CAA6D2E" w14:textId="77777777" w:rsidR="00171081" w:rsidRDefault="00171081" w:rsidP="009526DF">
            <w:r>
              <w:t xml:space="preserve">Hypertension, ischemic heart disease, </w:t>
            </w:r>
            <w:r w:rsidRPr="00D320E3">
              <w:t>AMI specific, cardiac dysrhythmias, heart failure, cerebrovascular diseases which include intracranial hemorrhage or occlusion, chronic rheumatic heart diseases, and hypertrophic cardiomyopathy</w:t>
            </w:r>
          </w:p>
        </w:tc>
      </w:tr>
      <w:tr w:rsidR="00171081" w14:paraId="62344417" w14:textId="77777777" w:rsidTr="009526DF">
        <w:tc>
          <w:tcPr>
            <w:tcW w:w="2875" w:type="dxa"/>
          </w:tcPr>
          <w:p w14:paraId="589C3904" w14:textId="77777777" w:rsidR="00171081" w:rsidRDefault="00171081" w:rsidP="009526DF">
            <w:r>
              <w:t>Injuries</w:t>
            </w:r>
          </w:p>
        </w:tc>
        <w:tc>
          <w:tcPr>
            <w:tcW w:w="5755" w:type="dxa"/>
          </w:tcPr>
          <w:p w14:paraId="7C4445BC" w14:textId="77777777" w:rsidR="00171081" w:rsidRDefault="00171081" w:rsidP="009526DF">
            <w:r>
              <w:t>Motor vehicle crashes and other traffic related incidents; burns; electrocutions from downed powerlines, struck-by or caught in between from falling objects such as trees or homes collapsing</w:t>
            </w:r>
          </w:p>
        </w:tc>
      </w:tr>
    </w:tbl>
    <w:p w14:paraId="690D5B99" w14:textId="77777777" w:rsidR="00171081" w:rsidRPr="00171081" w:rsidRDefault="00171081" w:rsidP="00171081">
      <w:pPr>
        <w:pStyle w:val="ListParagraph"/>
        <w:spacing w:after="0" w:line="240" w:lineRule="auto"/>
        <w:ind w:left="1800"/>
        <w:rPr>
          <w:color w:val="2E74B5" w:themeColor="accent5" w:themeShade="BF"/>
        </w:rPr>
      </w:pPr>
    </w:p>
    <w:p w14:paraId="642D7181" w14:textId="49663FB4" w:rsidR="004E068C"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013C6084" w14:textId="47225F5D" w:rsidR="00A63BF8" w:rsidRDefault="00A63BF8" w:rsidP="006B25B0">
      <w:pPr>
        <w:spacing w:after="0" w:line="240" w:lineRule="auto"/>
        <w:ind w:left="1080"/>
      </w:pPr>
      <w:r w:rsidRPr="00A63BF8">
        <w:t xml:space="preserve">Smoke from wildfires is composed of harmful substances such as chemicals, gases, and tiny particles that can cause harm to a person’s health. </w:t>
      </w:r>
      <w:r>
        <w:t xml:space="preserve">When there is a wildfire event it is important to keep track of your jurisdictions air quality. Smoke levels can change </w:t>
      </w:r>
      <w:r w:rsidR="00C51602">
        <w:t>frequently,</w:t>
      </w:r>
      <w:r>
        <w:t xml:space="preserve"> and it is important to keep track of air quality and to plan for </w:t>
      </w:r>
      <w:r w:rsidR="006727EA">
        <w:t>poor air quality</w:t>
      </w:r>
      <w:r>
        <w:t xml:space="preserve"> days to keep outdoor employees from getting sick from smoke during wildfire season.</w:t>
      </w:r>
      <w:r w:rsidR="00E46C32">
        <w:rPr>
          <w:rStyle w:val="EndnoteReference"/>
        </w:rPr>
        <w:endnoteReference w:id="4"/>
      </w:r>
      <w:r>
        <w:t xml:space="preserve"> </w:t>
      </w:r>
      <w:r w:rsidR="00C51602">
        <w:t>Particulate matter (PM2.5) is one of the main pollutants of concern in wildfire smoke.</w:t>
      </w:r>
      <w:r w:rsidR="00EC67F0">
        <w:rPr>
          <w:vertAlign w:val="superscript"/>
        </w:rPr>
        <w:t>18</w:t>
      </w:r>
      <w:r w:rsidR="00C51602">
        <w:t xml:space="preserve"> Exposure to these fine particles can cause a range of health effects, as previously discussed, even in health individuals. </w:t>
      </w:r>
    </w:p>
    <w:p w14:paraId="274F0BDC" w14:textId="77777777" w:rsidR="00652738" w:rsidRDefault="00652738" w:rsidP="00A63BF8">
      <w:pPr>
        <w:spacing w:after="0" w:line="240" w:lineRule="auto"/>
        <w:ind w:left="1080"/>
      </w:pPr>
    </w:p>
    <w:p w14:paraId="5C57DCDB" w14:textId="39CB792C" w:rsidR="00C51602" w:rsidRDefault="006D74E1" w:rsidP="00A63BF8">
      <w:pPr>
        <w:spacing w:after="0" w:line="240" w:lineRule="auto"/>
        <w:ind w:left="1080"/>
      </w:pPr>
      <w:r>
        <w:t>[</w:t>
      </w:r>
      <w:r w:rsidR="00DA4275">
        <w:t>Exposure t</w:t>
      </w:r>
      <w:r>
        <w:t>able not inserted yet – see separate file</w:t>
      </w:r>
      <w:r w:rsidR="007C7082">
        <w:t xml:space="preserve"> in Basecamp</w:t>
      </w:r>
      <w:r>
        <w:t xml:space="preserve"> – also waiting on feedback from </w:t>
      </w:r>
      <w:proofErr w:type="spellStart"/>
      <w:r>
        <w:t>Rish</w:t>
      </w:r>
      <w:proofErr w:type="spellEnd"/>
      <w:r>
        <w:t>]</w:t>
      </w:r>
    </w:p>
    <w:p w14:paraId="08308AF9" w14:textId="77777777" w:rsidR="006D74E1" w:rsidRPr="00A00D52" w:rsidRDefault="006D74E1" w:rsidP="00A63BF8">
      <w:pPr>
        <w:spacing w:after="0" w:line="240" w:lineRule="auto"/>
        <w:ind w:left="1080"/>
      </w:pPr>
    </w:p>
    <w:p w14:paraId="044F48B3" w14:textId="103D1FE3" w:rsidR="00A63BF8" w:rsidRDefault="006D74E1" w:rsidP="00A63BF8">
      <w:pPr>
        <w:pStyle w:val="ListParagraph"/>
        <w:spacing w:after="0" w:line="240" w:lineRule="auto"/>
        <w:ind w:left="1080"/>
      </w:pPr>
      <w:r>
        <w:t>Additional wildfire exposure tools:</w:t>
      </w:r>
    </w:p>
    <w:p w14:paraId="13FCF89F" w14:textId="77777777" w:rsidR="006D74E1" w:rsidRDefault="006D74E1" w:rsidP="00A63BF8">
      <w:pPr>
        <w:pStyle w:val="ListParagraph"/>
        <w:spacing w:after="0" w:line="240" w:lineRule="auto"/>
        <w:ind w:left="1080"/>
      </w:pPr>
    </w:p>
    <w:p w14:paraId="70A4BCF6" w14:textId="77777777" w:rsidR="00A63BF8" w:rsidRPr="00A00D52" w:rsidRDefault="00A63BF8" w:rsidP="006D74E1">
      <w:pPr>
        <w:numPr>
          <w:ilvl w:val="3"/>
          <w:numId w:val="7"/>
        </w:numPr>
        <w:spacing w:after="0" w:line="240" w:lineRule="auto"/>
      </w:pPr>
      <w:r w:rsidRPr="00A00D52">
        <w:t xml:space="preserve">EPA </w:t>
      </w:r>
      <w:proofErr w:type="spellStart"/>
      <w:r w:rsidRPr="00A00D52">
        <w:t>AirNow</w:t>
      </w:r>
      <w:proofErr w:type="spellEnd"/>
      <w:r>
        <w:t xml:space="preserve"> Fire and Smoke map: </w:t>
      </w:r>
      <w:hyperlink r:id="rId29" w:history="1">
        <w:r w:rsidRPr="00ED0422">
          <w:rPr>
            <w:rStyle w:val="Hyperlink"/>
          </w:rPr>
          <w:t>https://fire.airnow.gov/</w:t>
        </w:r>
      </w:hyperlink>
      <w:r>
        <w:t xml:space="preserve"> </w:t>
      </w:r>
      <w:r w:rsidRPr="00A00D52">
        <w:t xml:space="preserve"> </w:t>
      </w:r>
      <w:r>
        <w:t xml:space="preserve">   </w:t>
      </w:r>
    </w:p>
    <w:p w14:paraId="7AF22F12" w14:textId="77777777" w:rsidR="00A63BF8" w:rsidRDefault="00A63BF8" w:rsidP="006D74E1">
      <w:pPr>
        <w:numPr>
          <w:ilvl w:val="3"/>
          <w:numId w:val="7"/>
        </w:numPr>
        <w:spacing w:after="0" w:line="240" w:lineRule="auto"/>
      </w:pPr>
      <w:r>
        <w:t xml:space="preserve">FEMA National Risk Index: </w:t>
      </w:r>
      <w:hyperlink r:id="rId30" w:history="1">
        <w:r w:rsidRPr="00ED0422">
          <w:rPr>
            <w:rStyle w:val="Hyperlink"/>
          </w:rPr>
          <w:t>https://hazards.fema.gov/nri/wildfire</w:t>
        </w:r>
      </w:hyperlink>
      <w:r>
        <w:t xml:space="preserve"> </w:t>
      </w:r>
    </w:p>
    <w:p w14:paraId="3804B050" w14:textId="77777777" w:rsidR="00A63BF8" w:rsidRDefault="00A63BF8" w:rsidP="006D74E1">
      <w:pPr>
        <w:numPr>
          <w:ilvl w:val="3"/>
          <w:numId w:val="7"/>
        </w:numPr>
        <w:spacing w:after="0" w:line="240" w:lineRule="auto"/>
      </w:pPr>
      <w:r>
        <w:t xml:space="preserve">U.S. Forest Service Wildland Fire / Air Quality Tools: </w:t>
      </w:r>
      <w:hyperlink r:id="rId31" w:history="1">
        <w:r w:rsidRPr="007964BA">
          <w:rPr>
            <w:rStyle w:val="Hyperlink"/>
          </w:rPr>
          <w:t>https://portal.airfire.org/home</w:t>
        </w:r>
      </w:hyperlink>
      <w:r>
        <w:t xml:space="preserve"> </w:t>
      </w:r>
    </w:p>
    <w:p w14:paraId="26ECC0C2" w14:textId="77777777" w:rsidR="00A63BF8" w:rsidRDefault="00A63BF8" w:rsidP="006D74E1">
      <w:pPr>
        <w:numPr>
          <w:ilvl w:val="3"/>
          <w:numId w:val="7"/>
        </w:numPr>
        <w:spacing w:after="0" w:line="240" w:lineRule="auto"/>
      </w:pPr>
      <w:r>
        <w:t xml:space="preserve">EPA Climate Change Indicator: Wildfires: </w:t>
      </w:r>
      <w:hyperlink r:id="rId32" w:history="1">
        <w:r w:rsidRPr="00ED0422">
          <w:rPr>
            <w:rStyle w:val="Hyperlink"/>
          </w:rPr>
          <w:t>https://www.epa.gov/climate-indicators/climate-change-indicators-wildfires</w:t>
        </w:r>
      </w:hyperlink>
      <w:r>
        <w:t xml:space="preserve"> </w:t>
      </w:r>
      <w:r w:rsidRPr="0039177A">
        <w:t xml:space="preserve"> </w:t>
      </w:r>
      <w:r>
        <w:t xml:space="preserve"> </w:t>
      </w:r>
    </w:p>
    <w:p w14:paraId="72A6BA0C" w14:textId="77777777" w:rsidR="00A63BF8" w:rsidRPr="0071246B" w:rsidRDefault="00A63BF8" w:rsidP="00A63BF8">
      <w:pPr>
        <w:pStyle w:val="ListParagraph"/>
        <w:spacing w:after="0" w:line="240" w:lineRule="auto"/>
        <w:ind w:left="1800"/>
        <w:rPr>
          <w:color w:val="2E74B5" w:themeColor="accent5" w:themeShade="BF"/>
        </w:rPr>
      </w:pP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2FBACE9A" w14:textId="0473FC9A"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r w:rsidR="009D63C0">
        <w:rPr>
          <w:color w:val="2E74B5" w:themeColor="accent5" w:themeShade="BF"/>
        </w:rPr>
        <w:t xml:space="preserve"> – </w:t>
      </w:r>
      <w:r w:rsidR="009D63C0">
        <w:t>Waiting on Carol and Victoria to send. Will send reminder.</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Strengths and limitations</w:t>
      </w:r>
    </w:p>
    <w:p w14:paraId="11B9C2EE" w14:textId="1381D65F" w:rsidR="003747AA"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709BA93" w14:textId="5BB093DF" w:rsidR="0044457B" w:rsidRDefault="0044457B" w:rsidP="00BF2714">
      <w:pPr>
        <w:pStyle w:val="ListParagraph"/>
        <w:numPr>
          <w:ilvl w:val="2"/>
          <w:numId w:val="1"/>
        </w:numPr>
        <w:spacing w:after="0" w:line="240" w:lineRule="auto"/>
        <w:rPr>
          <w:color w:val="2E74B5" w:themeColor="accent5" w:themeShade="BF"/>
        </w:rPr>
      </w:pPr>
      <w:r>
        <w:rPr>
          <w:color w:val="2E74B5" w:themeColor="accent5" w:themeShade="BF"/>
        </w:rPr>
        <w:t>Additional Resources</w:t>
      </w:r>
    </w:p>
    <w:p w14:paraId="5F898403" w14:textId="298D61E7" w:rsidR="0044457B" w:rsidRDefault="0044457B" w:rsidP="0044457B">
      <w:pPr>
        <w:spacing w:after="0" w:line="240" w:lineRule="auto"/>
        <w:ind w:left="1080"/>
      </w:pPr>
    </w:p>
    <w:p w14:paraId="399A5DED" w14:textId="77777777" w:rsidR="0044457B" w:rsidRDefault="0044457B" w:rsidP="0044457B">
      <w:pPr>
        <w:numPr>
          <w:ilvl w:val="3"/>
          <w:numId w:val="8"/>
        </w:numPr>
        <w:spacing w:after="0" w:line="240" w:lineRule="auto"/>
        <w:ind w:left="2250" w:hanging="450"/>
      </w:pPr>
      <w:r w:rsidRPr="00F27A4E">
        <w:t>Wildfire and Smoke Syndromic Surveillance: An Implementation Guide for Public Hea</w:t>
      </w:r>
      <w:r>
        <w:t>l</w:t>
      </w:r>
      <w:r w:rsidRPr="00F27A4E">
        <w:t>th Practice</w:t>
      </w:r>
      <w:r>
        <w:t xml:space="preserve">. Council of State and Territorial Epidemiologists. June 2021. Access report: </w:t>
      </w:r>
      <w:hyperlink r:id="rId33" w:history="1">
        <w:r w:rsidRPr="00ED0422">
          <w:rPr>
            <w:rStyle w:val="Hyperlink"/>
          </w:rPr>
          <w:t>https://kr-drupal-dev.syndromicsurveillance.org/wildfire-and-smoke-syndromic-surveillance-implementation-guide-public-heath-practice</w:t>
        </w:r>
      </w:hyperlink>
      <w:r>
        <w:t xml:space="preserve"> </w:t>
      </w:r>
    </w:p>
    <w:p w14:paraId="1A894268" w14:textId="2D47FD4B" w:rsidR="00776416" w:rsidRDefault="00776416" w:rsidP="009E620B">
      <w:pPr>
        <w:numPr>
          <w:ilvl w:val="3"/>
          <w:numId w:val="8"/>
        </w:numPr>
        <w:spacing w:after="0" w:line="240" w:lineRule="auto"/>
        <w:ind w:left="2250" w:hanging="450"/>
      </w:pPr>
      <w:r>
        <w:t xml:space="preserve">EPA </w:t>
      </w:r>
      <w:r w:rsidRPr="00776416">
        <w:t>Smoke Sense Study: A Citizen Science Project Using a Mobile App</w:t>
      </w:r>
      <w:r>
        <w:t xml:space="preserve">: </w:t>
      </w:r>
      <w:hyperlink r:id="rId34" w:history="1">
        <w:r w:rsidRPr="007964BA">
          <w:rPr>
            <w:rStyle w:val="Hyperlink"/>
          </w:rPr>
          <w:t>https://www.epa.gov/air-research/smoke-sense-study-citizen-science-project-using-mobile-app</w:t>
        </w:r>
      </w:hyperlink>
      <w:r>
        <w:t xml:space="preserve"> </w:t>
      </w:r>
    </w:p>
    <w:p w14:paraId="72122A15" w14:textId="2E700554" w:rsidR="0044457B" w:rsidRDefault="009E620B" w:rsidP="009E620B">
      <w:pPr>
        <w:numPr>
          <w:ilvl w:val="3"/>
          <w:numId w:val="8"/>
        </w:numPr>
        <w:spacing w:after="0" w:line="240" w:lineRule="auto"/>
        <w:ind w:left="2250" w:hanging="450"/>
      </w:pPr>
      <w:r>
        <w:t>Wildfires in California: A Critical Use Case for Expanding State Capacity and Sharing Information Across Public Health Jurisdictions</w:t>
      </w:r>
      <w:r w:rsidR="00525F3D">
        <w:t>. Syndromic Surveillance Success Story. CDC National Syndromic Surveillance Program.</w:t>
      </w:r>
      <w:r w:rsidR="0044457B">
        <w:t xml:space="preserve">: </w:t>
      </w:r>
      <w:hyperlink r:id="rId35" w:history="1">
        <w:r w:rsidR="0044457B" w:rsidRPr="00ED0422">
          <w:rPr>
            <w:rStyle w:val="Hyperlink"/>
          </w:rPr>
          <w:t>https://www.cdc.gov/nssp/success-stories/pdfs/nssp-success-stories-ca-wildfires.pdf</w:t>
        </w:r>
      </w:hyperlink>
      <w:r w:rsidR="0044457B">
        <w:t xml:space="preserve"> </w:t>
      </w:r>
    </w:p>
    <w:p w14:paraId="3DE5516E" w14:textId="77777777" w:rsidR="0044457B" w:rsidRDefault="0044457B" w:rsidP="0044457B">
      <w:pPr>
        <w:numPr>
          <w:ilvl w:val="3"/>
          <w:numId w:val="8"/>
        </w:numPr>
        <w:spacing w:after="0" w:line="240" w:lineRule="auto"/>
        <w:ind w:left="2250" w:hanging="450"/>
      </w:pPr>
      <w:r>
        <w:t xml:space="preserve">CSTE Environmental Health Indicators: Climate Change: </w:t>
      </w:r>
      <w:hyperlink r:id="rId36" w:history="1">
        <w:r w:rsidRPr="007964BA">
          <w:rPr>
            <w:rStyle w:val="Hyperlink"/>
          </w:rPr>
          <w:t>https://www.cste.org/members/group.aspx?id=106445</w:t>
        </w:r>
      </w:hyperlink>
      <w:r>
        <w:t xml:space="preserve"> </w:t>
      </w:r>
    </w:p>
    <w:p w14:paraId="2025A722" w14:textId="77777777" w:rsidR="0044457B" w:rsidRPr="0071246B" w:rsidRDefault="0044457B" w:rsidP="0044457B">
      <w:pPr>
        <w:pStyle w:val="ListParagraph"/>
        <w:spacing w:after="0" w:line="240" w:lineRule="auto"/>
        <w:ind w:left="1800"/>
        <w:rPr>
          <w:color w:val="2E74B5" w:themeColor="accent5" w:themeShade="BF"/>
        </w:rPr>
      </w:pPr>
    </w:p>
    <w:p w14:paraId="68EB76C3" w14:textId="515B5FCA"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3976B69A" w14:textId="77777777" w:rsidR="00C13348" w:rsidRDefault="00C13348" w:rsidP="00C13348">
      <w:pPr>
        <w:pStyle w:val="ListParagraph"/>
        <w:spacing w:after="0" w:line="240" w:lineRule="auto"/>
        <w:ind w:left="1080"/>
        <w:rPr>
          <w:color w:val="2E74B5" w:themeColor="accent5" w:themeShade="BF"/>
        </w:rPr>
      </w:pPr>
    </w:p>
    <w:p w14:paraId="7C6E2415" w14:textId="77777777" w:rsidR="00C13348" w:rsidRDefault="00C13348" w:rsidP="00C13348">
      <w:pPr>
        <w:spacing w:after="0" w:line="240" w:lineRule="auto"/>
      </w:pPr>
      <w:r w:rsidRPr="00846F11">
        <w:t xml:space="preserve">Floods occur when intense precipitation occurs within a short </w:t>
      </w:r>
      <w:proofErr w:type="gramStart"/>
      <w:r w:rsidRPr="00846F11">
        <w:t>time period</w:t>
      </w:r>
      <w:proofErr w:type="gramEnd"/>
      <w:r w:rsidRPr="00846F11">
        <w:t>, when precipitation occurs over long periods of time, or when debris obstructs the natural flow of rivers or streams or when excessive snowmelt overpowers rivers or streams and flood nearby areas. Flash floods are characterized by a sudden onset of water. These occur with excessive rainfall in a short timeframe, typically less than hours.</w:t>
      </w:r>
      <w:r w:rsidRPr="00846F11">
        <w:rPr>
          <w:rStyle w:val="FootnoteReference"/>
        </w:rPr>
        <w:footnoteReference w:id="16"/>
      </w:r>
      <w:r w:rsidRPr="00846F11">
        <w:t xml:space="preserve"> Areas that have suffered from wildland fires are susceptible to flash floods. Coastal floods occur when there is a higher-than-average high tide or heavy rainfall with onshore winds. Whereas storm surges, usually caused by the wind, waves and low atmospheric pressure, are abnormal rises in coastal sea levels over and above the tide.</w:t>
      </w:r>
      <w:r>
        <w:t xml:space="preserve">  </w:t>
      </w:r>
    </w:p>
    <w:p w14:paraId="32FB648C" w14:textId="77777777" w:rsidR="00C13348" w:rsidRDefault="00C13348" w:rsidP="00C13348">
      <w:pPr>
        <w:spacing w:after="0" w:line="240" w:lineRule="auto"/>
      </w:pPr>
    </w:p>
    <w:p w14:paraId="59A2E5B9" w14:textId="77777777" w:rsidR="00C13348" w:rsidRPr="00C13348" w:rsidRDefault="00C13348" w:rsidP="00C13348">
      <w:pPr>
        <w:spacing w:after="0" w:line="240" w:lineRule="auto"/>
        <w:rPr>
          <w:color w:val="2E74B5" w:themeColor="accent5" w:themeShade="BF"/>
        </w:rPr>
      </w:pP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 xml:space="preserve">FQHCs that do outreach with </w:t>
      </w:r>
      <w:proofErr w:type="gramStart"/>
      <w:r w:rsidRPr="0071246B">
        <w:rPr>
          <w:color w:val="2E74B5" w:themeColor="accent5" w:themeShade="BF"/>
        </w:rPr>
        <w:t>farmworkers</w:t>
      </w:r>
      <w:proofErr w:type="gramEnd"/>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w:t>
      </w:r>
      <w:proofErr w:type="gramStart"/>
      <w:r w:rsidRPr="0071246B">
        <w:rPr>
          <w:color w:val="2E74B5" w:themeColor="accent5" w:themeShade="BF"/>
          <w:highlight w:val="yellow"/>
        </w:rPr>
        <w:t>sources</w:t>
      </w:r>
      <w:proofErr w:type="gramEnd"/>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w:t>
      </w:r>
      <w:proofErr w:type="gramStart"/>
      <w:r w:rsidR="00AC0ADC">
        <w:t>particular needs</w:t>
      </w:r>
      <w:proofErr w:type="gramEnd"/>
      <w:r w:rsidR="00AC0ADC">
        <w:t xml:space="preserve">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lastRenderedPageBreak/>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37"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C13348" w:rsidP="003F37E3">
      <w:pPr>
        <w:pStyle w:val="ListParagraph"/>
        <w:numPr>
          <w:ilvl w:val="1"/>
          <w:numId w:val="3"/>
        </w:numPr>
        <w:spacing w:after="0" w:line="240" w:lineRule="auto"/>
        <w:rPr>
          <w:color w:val="2E74B5" w:themeColor="accent5" w:themeShade="BF"/>
        </w:rPr>
      </w:pPr>
      <w:hyperlink r:id="rId38"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xml:space="preserve">; wildland vs </w:t>
      </w:r>
      <w:proofErr w:type="gramStart"/>
      <w:r w:rsidRPr="0071246B">
        <w:rPr>
          <w:color w:val="2E74B5" w:themeColor="accent5" w:themeShade="BF"/>
        </w:rPr>
        <w:t>wildfire</w:t>
      </w:r>
      <w:proofErr w:type="gramEnd"/>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39"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580C3299" w:rsidR="000948F8" w:rsidRDefault="007C7082" w:rsidP="000F4C11">
      <w:pPr>
        <w:pStyle w:val="ListParagraph"/>
      </w:pPr>
      <w:fldSimple w:instr=" ADDIN EN.REFLIST "/>
    </w:p>
    <w:sectPr w:rsidR="000948F8" w:rsidSect="006B25B0">
      <w:endnotePr>
        <w:numFmt w:val="decimal"/>
        <w:numStart w:val="16"/>
      </w:endnotePr>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 w:id="1" w:author="Borjan, Marija [DOH]" w:date="2023-08-10T15:15:00Z" w:initials="BM[">
    <w:p w14:paraId="0656F5FF" w14:textId="77777777" w:rsidR="00313412" w:rsidRDefault="00313412" w:rsidP="00442792">
      <w:pPr>
        <w:pStyle w:val="CommentText"/>
      </w:pPr>
      <w:r>
        <w:rPr>
          <w:rStyle w:val="CommentReference"/>
        </w:rPr>
        <w:annotationRef/>
      </w:r>
      <w:r>
        <w:t>As I was working on the this section and the table I remembered a lot of this info is already in the OHI How-to Guide so figured is they want additional info they can go there.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Ex w15:paraId="0656F5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Extensible w16cex:durableId="287F7DAC" w16cex:dateUtc="2023-08-1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Id w16cid:paraId="0656F5FF" w16cid:durableId="287F7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57C01" w14:textId="77777777" w:rsidR="00370737" w:rsidRDefault="00370737" w:rsidP="00753CDA">
      <w:pPr>
        <w:spacing w:after="0" w:line="240" w:lineRule="auto"/>
      </w:pPr>
      <w:r>
        <w:separator/>
      </w:r>
    </w:p>
  </w:endnote>
  <w:endnote w:type="continuationSeparator" w:id="0">
    <w:p w14:paraId="1D7335E8" w14:textId="77777777" w:rsidR="00370737" w:rsidRDefault="00370737" w:rsidP="00753CDA">
      <w:pPr>
        <w:spacing w:after="0" w:line="240" w:lineRule="auto"/>
      </w:pPr>
      <w:r>
        <w:continuationSeparator/>
      </w:r>
    </w:p>
  </w:endnote>
  <w:endnote w:id="1">
    <w:p w14:paraId="0C02D496" w14:textId="54F6C265" w:rsidR="00652738" w:rsidRDefault="00652738">
      <w:pPr>
        <w:pStyle w:val="EndnoteText"/>
      </w:pPr>
      <w:r>
        <w:rPr>
          <w:rStyle w:val="EndnoteReference"/>
        </w:rPr>
        <w:endnoteRef/>
      </w:r>
      <w:r>
        <w:t xml:space="preserve"> </w:t>
      </w:r>
      <w:r w:rsidRPr="00652738">
        <w:t xml:space="preserve">NIOSH. Outdoor Workers Exposed to Wildfire Smoke. 2023. Available at: </w:t>
      </w:r>
      <w:hyperlink r:id="rId1" w:history="1">
        <w:r w:rsidRPr="007964BA">
          <w:rPr>
            <w:rStyle w:val="Hyperlink"/>
          </w:rPr>
          <w:t>https://www.cdc.gov/niosh/topics/firefighting/wffsmoke.html</w:t>
        </w:r>
      </w:hyperlink>
      <w:r>
        <w:t xml:space="preserve"> </w:t>
      </w:r>
    </w:p>
  </w:endnote>
  <w:endnote w:id="2">
    <w:p w14:paraId="229EE429" w14:textId="6A547986" w:rsidR="00652738" w:rsidRDefault="00652738">
      <w:pPr>
        <w:pStyle w:val="EndnoteText"/>
      </w:pPr>
      <w:r>
        <w:rPr>
          <w:rStyle w:val="EndnoteReference"/>
        </w:rPr>
        <w:endnoteRef/>
      </w:r>
      <w:r>
        <w:t xml:space="preserve"> </w:t>
      </w:r>
      <w:r w:rsidRPr="00652738">
        <w:t xml:space="preserve">OSHA. Wildfires. </w:t>
      </w:r>
      <w:hyperlink r:id="rId2" w:history="1">
        <w:r w:rsidRPr="007964BA">
          <w:rPr>
            <w:rStyle w:val="Hyperlink"/>
          </w:rPr>
          <w:t>https://www.osha.gov/wildfires</w:t>
        </w:r>
      </w:hyperlink>
      <w:r>
        <w:t xml:space="preserve"> </w:t>
      </w:r>
    </w:p>
  </w:endnote>
  <w:endnote w:id="3">
    <w:p w14:paraId="14A454F7" w14:textId="45A3EF21" w:rsidR="006B25B0" w:rsidRDefault="006B25B0">
      <w:pPr>
        <w:pStyle w:val="EndnoteText"/>
      </w:pPr>
      <w:r>
        <w:rPr>
          <w:rStyle w:val="EndnoteReference"/>
        </w:rPr>
        <w:endnoteRef/>
      </w:r>
      <w:r>
        <w:t xml:space="preserve"> </w:t>
      </w:r>
      <w:r w:rsidRPr="006B25B0">
        <w:t xml:space="preserve">AirNow. Wildfire Smoke A Guide for Public Health Professionals. 2019. Available at: </w:t>
      </w:r>
      <w:hyperlink r:id="rId3" w:anchor="workers" w:history="1">
        <w:r w:rsidRPr="007964BA">
          <w:rPr>
            <w:rStyle w:val="Hyperlink"/>
          </w:rPr>
          <w:t>https://www.epa.gov/wildfire-smoke-course/which-populations-experience-greater-risks-adverse-health-effects-resulting#workers</w:t>
        </w:r>
      </w:hyperlink>
      <w:r>
        <w:t xml:space="preserve"> </w:t>
      </w:r>
    </w:p>
  </w:endnote>
  <w:endnote w:id="4">
    <w:p w14:paraId="0CB15D1D" w14:textId="620CB577" w:rsidR="00E46C32" w:rsidRDefault="00E46C32">
      <w:pPr>
        <w:pStyle w:val="EndnoteText"/>
      </w:pPr>
      <w:r>
        <w:rPr>
          <w:rStyle w:val="EndnoteReference"/>
        </w:rPr>
        <w:endnoteRef/>
      </w:r>
      <w:r>
        <w:t xml:space="preserve"> </w:t>
      </w:r>
      <w:r w:rsidRPr="00E46C32">
        <w:t xml:space="preserve">WA State Proposed Smoke Permanent Rules: </w:t>
      </w:r>
      <w:hyperlink r:id="rId4" w:history="1">
        <w:r w:rsidRPr="007964BA">
          <w:rPr>
            <w:rStyle w:val="Hyperlink"/>
          </w:rPr>
          <w:t>https://www.lni.wa.gov/safety-health/safety-topics/topics/wildfire-smoke</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9F1C6" w14:textId="77777777" w:rsidR="00370737" w:rsidRDefault="00370737" w:rsidP="00753CDA">
      <w:pPr>
        <w:spacing w:after="0" w:line="240" w:lineRule="auto"/>
      </w:pPr>
      <w:r>
        <w:separator/>
      </w:r>
    </w:p>
  </w:footnote>
  <w:footnote w:type="continuationSeparator" w:id="0">
    <w:p w14:paraId="54CA31FE" w14:textId="77777777" w:rsidR="00370737" w:rsidRDefault="00370737" w:rsidP="00753CDA">
      <w:pPr>
        <w:spacing w:after="0" w:line="240" w:lineRule="auto"/>
      </w:pPr>
      <w:r>
        <w:continuationSeparator/>
      </w:r>
    </w:p>
  </w:footnote>
  <w:footnote w:id="1">
    <w:p w14:paraId="71BBC0BE" w14:textId="77777777" w:rsidR="004D0A86" w:rsidRDefault="004D0A86" w:rsidP="004D0A86">
      <w:pPr>
        <w:pStyle w:val="FootnoteText"/>
      </w:pPr>
      <w:r>
        <w:rPr>
          <w:rStyle w:val="FootnoteReference"/>
        </w:rPr>
        <w:footnoteRef/>
      </w:r>
      <w:r>
        <w:t xml:space="preserve"> </w:t>
      </w:r>
      <w:r w:rsidRPr="0079342A">
        <w:t>Marshall, Elizabeth G., Shou-En Lu, Abimbola O. Williams, Daniel Lefkowitz, and Marija Borjan. "Tree-related injuries associated with response and recovery from Hurricane Sandy, New Jersey, 2011-2014." Public Health Reports 133, no. 3 (2018): 266-273.</w:t>
      </w:r>
    </w:p>
  </w:footnote>
  <w:footnote w:id="2">
    <w:p w14:paraId="4ADE2824" w14:textId="77777777" w:rsidR="004D0A86" w:rsidRDefault="004D0A86" w:rsidP="004D0A86">
      <w:pPr>
        <w:pStyle w:val="FootnoteText"/>
      </w:pPr>
      <w:r>
        <w:rPr>
          <w:rStyle w:val="FootnoteReference"/>
        </w:rPr>
        <w:footnoteRef/>
      </w:r>
      <w:r>
        <w:t xml:space="preserve"> </w:t>
      </w:r>
      <w:r w:rsidRPr="00FC0086">
        <w:t>Ochsner, Michele, Elizabeth G. Marshall, and Daniel Lefkowitz. "Trees down, hazards abound: Observations and lessons from Hurricane Sandy." American journal of industrial medicine 61, no. 5 (2018): 361-371.</w:t>
      </w:r>
    </w:p>
  </w:footnote>
  <w:footnote w:id="3">
    <w:p w14:paraId="47B6D54E" w14:textId="77777777" w:rsidR="004D0A86" w:rsidRDefault="004D0A86" w:rsidP="004D0A86">
      <w:pPr>
        <w:pStyle w:val="FootnoteText"/>
      </w:pPr>
      <w:r>
        <w:rPr>
          <w:rStyle w:val="FootnoteReference"/>
        </w:rPr>
        <w:footnoteRef/>
      </w:r>
      <w:r>
        <w:t xml:space="preserve"> </w:t>
      </w:r>
      <w:r w:rsidRPr="001C2BC1">
        <w:t>Under Climate Change, Care Workers Often Act as First Responders</w:t>
      </w:r>
      <w:r>
        <w:t xml:space="preserve"> </w:t>
      </w:r>
      <w:r w:rsidRPr="001C2BC1">
        <w:t>https://undark.org/2022/06/07/climate-care-workers-first-responders/.</w:t>
      </w:r>
    </w:p>
  </w:footnote>
  <w:footnote w:id="4">
    <w:p w14:paraId="4C21DE36" w14:textId="77777777" w:rsidR="004D0A86" w:rsidRDefault="004D0A86" w:rsidP="004D0A86">
      <w:pPr>
        <w:pStyle w:val="FootnoteText"/>
      </w:pPr>
      <w:r>
        <w:rPr>
          <w:rStyle w:val="FootnoteReference"/>
        </w:rPr>
        <w:footnoteRef/>
      </w:r>
      <w:r>
        <w:t xml:space="preserve"> </w:t>
      </w:r>
      <w:r w:rsidRPr="00250BF4">
        <w:t>Billock, Rachael M., Marie Haring Sweeney, Andrea L. Steege, Ryan Michaels, and Sara E. Luckhaupt. "Identifying essential critical infrastructure workers during the COVID‐19 pandemic using standardized industry codes." American Journal of Industrial Medicine 65, no. 7 (2022): 548-555.</w:t>
      </w:r>
    </w:p>
  </w:footnote>
  <w:footnote w:id="5">
    <w:p w14:paraId="4A56A564" w14:textId="77777777" w:rsidR="004D0A86" w:rsidRDefault="004D0A86" w:rsidP="004D0A86">
      <w:pPr>
        <w:pStyle w:val="FootnoteText"/>
      </w:pPr>
      <w:r>
        <w:rPr>
          <w:rStyle w:val="FootnoteReference"/>
        </w:rPr>
        <w:footnoteRef/>
      </w:r>
      <w:r>
        <w:t xml:space="preserve"> NIOSH Employed Labor Force (NIOSH ELF), Current Population Survey. To use with the SOEM it is advisable to use estimates for 2019.  </w:t>
      </w:r>
    </w:p>
  </w:footnote>
  <w:footnote w:id="6">
    <w:p w14:paraId="7913DD1E" w14:textId="77777777" w:rsidR="004D0A86" w:rsidRDefault="004D0A86" w:rsidP="004D0A86">
      <w:pPr>
        <w:pStyle w:val="FootnoteText"/>
      </w:pPr>
      <w:r>
        <w:rPr>
          <w:rStyle w:val="FootnoteReference"/>
        </w:rPr>
        <w:footnoteRef/>
      </w:r>
      <w:r>
        <w:t xml:space="preserve"> </w:t>
      </w:r>
      <w:hyperlink r:id="rId1" w:history="1">
        <w:r>
          <w:rPr>
            <w:rStyle w:val="Hyperlink"/>
          </w:rPr>
          <w:t>The Migrant Workers Who Follow Climate Disasters | The New Yorker</w:t>
        </w:r>
      </w:hyperlink>
      <w:r>
        <w:t>, Accessed June 20, 2022</w:t>
      </w:r>
    </w:p>
  </w:footnote>
  <w:footnote w:id="7">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2" w:history="1">
        <w:r w:rsidRPr="002E01B4">
          <w:rPr>
            <w:rStyle w:val="Hyperlink"/>
          </w:rPr>
          <w:t>https://www.cnn.com/2023/07/16/weather/canada-wildfires-us-air-quality-alerts-sunday/index.html</w:t>
        </w:r>
      </w:hyperlink>
      <w:r>
        <w:t xml:space="preserve"> </w:t>
      </w:r>
    </w:p>
  </w:footnote>
  <w:footnote w:id="8">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3" w:history="1">
        <w:r w:rsidRPr="002E01B4">
          <w:rPr>
            <w:rStyle w:val="Hyperlink"/>
          </w:rPr>
          <w:t>https://www.forbes.com/sites/brianbushard/2023/07/24/phoenix-records-three-plus-weeks-above-110-degrees-heres-where-else-daily-records-have-fallen/</w:t>
        </w:r>
      </w:hyperlink>
      <w:r>
        <w:t xml:space="preserve"> </w:t>
      </w:r>
    </w:p>
  </w:footnote>
  <w:footnote w:id="9">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4" w:history="1">
        <w:r w:rsidRPr="002E01B4">
          <w:rPr>
            <w:rStyle w:val="Hyperlink"/>
          </w:rPr>
          <w:t>https://www.climate.gov/maps-data/dataset/future-climate-projections-graphs-maps</w:t>
        </w:r>
      </w:hyperlink>
      <w:r>
        <w:t xml:space="preserve"> </w:t>
      </w:r>
    </w:p>
  </w:footnote>
  <w:footnote w:id="10">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5" w:history="1">
        <w:r w:rsidRPr="002E01B4">
          <w:rPr>
            <w:rStyle w:val="Hyperlink"/>
          </w:rPr>
          <w:t>https://www.cdc.gov/climateandhealth/crsci_grantees.htm</w:t>
        </w:r>
      </w:hyperlink>
      <w:r>
        <w:t xml:space="preserve"> </w:t>
      </w:r>
    </w:p>
  </w:footnote>
  <w:footnote w:id="11">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6" w:history="1">
        <w:r w:rsidRPr="002E01B4">
          <w:rPr>
            <w:rStyle w:val="Hyperlink"/>
          </w:rPr>
          <w:t>https://www.cdc.gov/nceh/tracking/index.html</w:t>
        </w:r>
      </w:hyperlink>
      <w:r>
        <w:t xml:space="preserve"> </w:t>
      </w:r>
    </w:p>
  </w:footnote>
  <w:footnote w:id="12">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7" w:history="1">
        <w:r w:rsidRPr="002E01B4">
          <w:rPr>
            <w:rStyle w:val="Hyperlink"/>
          </w:rPr>
          <w:t>https://stateclimate.org/about-us/</w:t>
        </w:r>
      </w:hyperlink>
      <w:r>
        <w:t xml:space="preserve"> </w:t>
      </w:r>
    </w:p>
  </w:footnote>
  <w:footnote w:id="13">
    <w:p w14:paraId="07E2C174" w14:textId="77777777" w:rsidR="00F51F46" w:rsidRDefault="00F51F46" w:rsidP="00F51F46">
      <w:pPr>
        <w:pStyle w:val="FootnoteText"/>
      </w:pPr>
      <w:r>
        <w:rPr>
          <w:rStyle w:val="FootnoteReference"/>
        </w:rPr>
        <w:footnoteRef/>
      </w:r>
      <w:r>
        <w:t xml:space="preserve"> Borjan, M. and Lumia, M. Evaluation of a state based syndromic surveillance system for the classification and capture of non-fatal occupational injuries and illnesses in New Jersey. American Journal of Industrial Medicine. 2017. 9999: 1-6.</w:t>
      </w:r>
    </w:p>
  </w:footnote>
  <w:footnote w:id="14">
    <w:p w14:paraId="2124243B" w14:textId="77777777" w:rsidR="00F51F46" w:rsidRDefault="00F51F46" w:rsidP="00F51F46">
      <w:pPr>
        <w:pStyle w:val="FootnoteText"/>
      </w:pPr>
      <w:r>
        <w:rPr>
          <w:rStyle w:val="FootnoteReference"/>
        </w:rPr>
        <w:footnoteRef/>
      </w:r>
      <w:r>
        <w:t xml:space="preserve"> Bush, A., Bunn, T, and Liford, M. Identification of work-related injury emergency department visits using International Classification of Diseases, Tenth Revision, Clinical Modification (ICD-10) codes. Injury Prevention. 2021. 27: i3-i8.</w:t>
      </w:r>
    </w:p>
  </w:footnote>
  <w:footnote w:id="15">
    <w:p w14:paraId="69B9C82E" w14:textId="77777777" w:rsidR="00617252" w:rsidRDefault="00617252" w:rsidP="00617252">
      <w:pPr>
        <w:pStyle w:val="FootnoteText"/>
      </w:pPr>
      <w:r>
        <w:rPr>
          <w:rStyle w:val="FootnoteReference"/>
        </w:rPr>
        <w:footnoteRef/>
      </w:r>
      <w:r>
        <w:t xml:space="preserve"> CSTE. Occupational Health Surveillance Subcommittee. Syndromic Surveillance for Occupational Health Surveillance Guidance Document and Example. 2021. Accessed July 24, 2023. </w:t>
      </w:r>
      <w:hyperlink r:id="rId8" w:history="1">
        <w:r w:rsidRPr="00A905FD">
          <w:rPr>
            <w:rStyle w:val="Hyperlink"/>
          </w:rPr>
          <w:t>https://cdn.ymaws.com/www.cste.org/resource/resmgr/occupationalhealth/publications/OccSyS_WhitePaper_03_08_21.pdf</w:t>
        </w:r>
      </w:hyperlink>
      <w:r>
        <w:t xml:space="preserve"> </w:t>
      </w:r>
    </w:p>
  </w:footnote>
  <w:footnote w:id="16">
    <w:p w14:paraId="714D0FBF" w14:textId="77777777" w:rsidR="00C13348" w:rsidRDefault="00C13348" w:rsidP="00C13348">
      <w:pPr>
        <w:pStyle w:val="FootnoteText"/>
      </w:pPr>
      <w:r>
        <w:rPr>
          <w:rStyle w:val="FootnoteReference"/>
        </w:rPr>
        <w:footnoteRef/>
      </w:r>
      <w:r>
        <w:t xml:space="preserve"> NOAA. Severe Weather 101. </w:t>
      </w:r>
      <w:hyperlink r:id="rId9" w:history="1">
        <w:r>
          <w:rPr>
            <w:rStyle w:val="Hyperlink"/>
          </w:rPr>
          <w:t>Severe Weather 101: Flood Types (noaa.gov)</w:t>
        </w:r>
      </w:hyperlink>
      <w:r>
        <w:t xml:space="preserve">. Accessed on: August 14, 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F4634"/>
    <w:multiLevelType w:val="hybridMultilevel"/>
    <w:tmpl w:val="7146EE6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2A16124"/>
    <w:multiLevelType w:val="hybridMultilevel"/>
    <w:tmpl w:val="4A8652BE"/>
    <w:lvl w:ilvl="0" w:tplc="FFFFFFFF">
      <w:start w:val="1"/>
      <w:numFmt w:val="upperRoman"/>
      <w:lvlText w:val="%1."/>
      <w:lvlJc w:val="right"/>
      <w:pPr>
        <w:ind w:left="360" w:hanging="360"/>
      </w:pPr>
    </w:lvl>
    <w:lvl w:ilvl="1" w:tplc="FFFFFFFF">
      <w:start w:val="1"/>
      <w:numFmt w:val="lowerLetter"/>
      <w:lvlText w:val="%2."/>
      <w:lvlJc w:val="left"/>
      <w:pPr>
        <w:ind w:left="1080" w:hanging="360"/>
      </w:pPr>
      <w:rPr>
        <w:b w:val="0"/>
        <w:bCs w:val="0"/>
        <w:color w:val="auto"/>
      </w:rPr>
    </w:lvl>
    <w:lvl w:ilvl="2" w:tplc="FFFFFFFF">
      <w:start w:val="1"/>
      <w:numFmt w:val="lowerRoman"/>
      <w:lvlText w:val="%3."/>
      <w:lvlJc w:val="right"/>
      <w:pPr>
        <w:ind w:left="1800" w:hanging="180"/>
      </w:pPr>
      <w:rPr>
        <w:b w:val="0"/>
        <w:bCs w:val="0"/>
      </w:rPr>
    </w:lvl>
    <w:lvl w:ilvl="3" w:tplc="04090001">
      <w:start w:val="1"/>
      <w:numFmt w:val="bullet"/>
      <w:lvlText w:val=""/>
      <w:lvlJc w:val="left"/>
      <w:pPr>
        <w:ind w:left="2520" w:hanging="360"/>
      </w:pPr>
      <w:rPr>
        <w:rFonts w:ascii="Symbol" w:hAnsi="Symbol" w:hint="default"/>
      </w:r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 w:numId="7" w16cid:durableId="2045708245">
    <w:abstractNumId w:val="6"/>
  </w:num>
  <w:num w:numId="8" w16cid:durableId="10944513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rson w15:author="Borjan, Marija [DOH]">
    <w15:presenceInfo w15:providerId="AD" w15:userId="S::Marija.Borjan@doh.nj.gov::50771239-b0d6-46f7-a362-4be41266a4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022A"/>
    <w:rsid w:val="00023F5E"/>
    <w:rsid w:val="000252BB"/>
    <w:rsid w:val="00041542"/>
    <w:rsid w:val="00054FC2"/>
    <w:rsid w:val="000655C3"/>
    <w:rsid w:val="000948F8"/>
    <w:rsid w:val="0009550D"/>
    <w:rsid w:val="000A7695"/>
    <w:rsid w:val="000E4932"/>
    <w:rsid w:val="000E65B8"/>
    <w:rsid w:val="000E723C"/>
    <w:rsid w:val="000F4C11"/>
    <w:rsid w:val="0014727F"/>
    <w:rsid w:val="00157C9F"/>
    <w:rsid w:val="00171081"/>
    <w:rsid w:val="0017161E"/>
    <w:rsid w:val="001718B6"/>
    <w:rsid w:val="001946E3"/>
    <w:rsid w:val="001A3E7F"/>
    <w:rsid w:val="001C234A"/>
    <w:rsid w:val="001D77B8"/>
    <w:rsid w:val="001F1F9C"/>
    <w:rsid w:val="00204CF0"/>
    <w:rsid w:val="00216A13"/>
    <w:rsid w:val="00292752"/>
    <w:rsid w:val="002B40B4"/>
    <w:rsid w:val="002D37E0"/>
    <w:rsid w:val="002D5DA3"/>
    <w:rsid w:val="002F384E"/>
    <w:rsid w:val="00313412"/>
    <w:rsid w:val="00324A82"/>
    <w:rsid w:val="00336CE2"/>
    <w:rsid w:val="00370737"/>
    <w:rsid w:val="00370BE0"/>
    <w:rsid w:val="003747AA"/>
    <w:rsid w:val="00383EA6"/>
    <w:rsid w:val="003D6DD5"/>
    <w:rsid w:val="003F37E3"/>
    <w:rsid w:val="004104B4"/>
    <w:rsid w:val="0044457B"/>
    <w:rsid w:val="004659F5"/>
    <w:rsid w:val="004B0F8B"/>
    <w:rsid w:val="004D0A86"/>
    <w:rsid w:val="004E068C"/>
    <w:rsid w:val="0052000F"/>
    <w:rsid w:val="005242CE"/>
    <w:rsid w:val="00525F3D"/>
    <w:rsid w:val="00586985"/>
    <w:rsid w:val="005B27DF"/>
    <w:rsid w:val="005C11A2"/>
    <w:rsid w:val="00617252"/>
    <w:rsid w:val="00652738"/>
    <w:rsid w:val="006727EA"/>
    <w:rsid w:val="00695EC0"/>
    <w:rsid w:val="006B25B0"/>
    <w:rsid w:val="006C340C"/>
    <w:rsid w:val="006D74E1"/>
    <w:rsid w:val="00704D02"/>
    <w:rsid w:val="0070592D"/>
    <w:rsid w:val="00707AAC"/>
    <w:rsid w:val="0071246B"/>
    <w:rsid w:val="0072582C"/>
    <w:rsid w:val="00725AFB"/>
    <w:rsid w:val="0073629D"/>
    <w:rsid w:val="00753CDA"/>
    <w:rsid w:val="00776416"/>
    <w:rsid w:val="00784B99"/>
    <w:rsid w:val="007B1664"/>
    <w:rsid w:val="007C0BC4"/>
    <w:rsid w:val="007C7082"/>
    <w:rsid w:val="007D2D13"/>
    <w:rsid w:val="007E0CF8"/>
    <w:rsid w:val="007E2CEC"/>
    <w:rsid w:val="008338D4"/>
    <w:rsid w:val="00866C4E"/>
    <w:rsid w:val="00872AF9"/>
    <w:rsid w:val="008A3E6A"/>
    <w:rsid w:val="00906EC0"/>
    <w:rsid w:val="00926497"/>
    <w:rsid w:val="009817E1"/>
    <w:rsid w:val="009938FC"/>
    <w:rsid w:val="009A0501"/>
    <w:rsid w:val="009B4951"/>
    <w:rsid w:val="009D63C0"/>
    <w:rsid w:val="009E620B"/>
    <w:rsid w:val="00A15D7B"/>
    <w:rsid w:val="00A17571"/>
    <w:rsid w:val="00A21C08"/>
    <w:rsid w:val="00A3286D"/>
    <w:rsid w:val="00A63BF8"/>
    <w:rsid w:val="00A7041A"/>
    <w:rsid w:val="00A76151"/>
    <w:rsid w:val="00AA0D46"/>
    <w:rsid w:val="00AB2EB1"/>
    <w:rsid w:val="00AC0ADC"/>
    <w:rsid w:val="00AD629A"/>
    <w:rsid w:val="00B0272C"/>
    <w:rsid w:val="00B0530D"/>
    <w:rsid w:val="00B103BA"/>
    <w:rsid w:val="00B114BD"/>
    <w:rsid w:val="00B178D7"/>
    <w:rsid w:val="00B47314"/>
    <w:rsid w:val="00B745B2"/>
    <w:rsid w:val="00B751D7"/>
    <w:rsid w:val="00B82A5A"/>
    <w:rsid w:val="00B907A7"/>
    <w:rsid w:val="00B917EF"/>
    <w:rsid w:val="00B944CF"/>
    <w:rsid w:val="00B964EC"/>
    <w:rsid w:val="00BA2F06"/>
    <w:rsid w:val="00BB7F1A"/>
    <w:rsid w:val="00BC5B81"/>
    <w:rsid w:val="00BD0DAE"/>
    <w:rsid w:val="00BF07EC"/>
    <w:rsid w:val="00BF2714"/>
    <w:rsid w:val="00C116F5"/>
    <w:rsid w:val="00C13348"/>
    <w:rsid w:val="00C27171"/>
    <w:rsid w:val="00C51602"/>
    <w:rsid w:val="00C52FF3"/>
    <w:rsid w:val="00C6212B"/>
    <w:rsid w:val="00C726C4"/>
    <w:rsid w:val="00C738B6"/>
    <w:rsid w:val="00C86CBF"/>
    <w:rsid w:val="00CC4342"/>
    <w:rsid w:val="00CE54EF"/>
    <w:rsid w:val="00D05470"/>
    <w:rsid w:val="00D13238"/>
    <w:rsid w:val="00D76986"/>
    <w:rsid w:val="00DA4275"/>
    <w:rsid w:val="00DC692D"/>
    <w:rsid w:val="00DD6536"/>
    <w:rsid w:val="00DF2583"/>
    <w:rsid w:val="00E10E38"/>
    <w:rsid w:val="00E35C10"/>
    <w:rsid w:val="00E44338"/>
    <w:rsid w:val="00E46740"/>
    <w:rsid w:val="00E46C32"/>
    <w:rsid w:val="00E52D2F"/>
    <w:rsid w:val="00E71D41"/>
    <w:rsid w:val="00E94F73"/>
    <w:rsid w:val="00EC0502"/>
    <w:rsid w:val="00EC67F0"/>
    <w:rsid w:val="00F23898"/>
    <w:rsid w:val="00F51F46"/>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 w:type="paragraph" w:styleId="EndnoteText">
    <w:name w:val="endnote text"/>
    <w:basedOn w:val="Normal"/>
    <w:link w:val="EndnoteTextChar"/>
    <w:uiPriority w:val="99"/>
    <w:semiHidden/>
    <w:unhideWhenUsed/>
    <w:rsid w:val="0065273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738"/>
    <w:rPr>
      <w:sz w:val="20"/>
      <w:szCs w:val="20"/>
    </w:rPr>
  </w:style>
  <w:style w:type="character" w:styleId="EndnoteReference">
    <w:name w:val="endnote reference"/>
    <w:basedOn w:val="DefaultParagraphFont"/>
    <w:uiPriority w:val="99"/>
    <w:semiHidden/>
    <w:unhideWhenUsed/>
    <w:rsid w:val="00652738"/>
    <w:rPr>
      <w:vertAlign w:val="superscript"/>
    </w:rPr>
  </w:style>
  <w:style w:type="character" w:styleId="FollowedHyperlink">
    <w:name w:val="FollowedHyperlink"/>
    <w:basedOn w:val="DefaultParagraphFont"/>
    <w:uiPriority w:val="99"/>
    <w:semiHidden/>
    <w:unhideWhenUsed/>
    <w:rsid w:val="007764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69418681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untyhealthrankings.org/explore-health-rankings" TargetMode="External"/><Relationship Id="rId18" Type="http://schemas.openxmlformats.org/officeDocument/2006/relationships/hyperlink" Target="file:///C:\Users\mborjan\Downloads\Identification%20of%20work-related%20injury%20emergency" TargetMode="External"/><Relationship Id="rId26" Type="http://schemas.openxmlformats.org/officeDocument/2006/relationships/hyperlink" Target="https://pubmed.ncbi.nlm.nih.gov/25058254/" TargetMode="External"/><Relationship Id="rId39" Type="http://schemas.openxmlformats.org/officeDocument/2006/relationships/hyperlink" Target="https://www.frames.gov/event/539664" TargetMode="External"/><Relationship Id="rId21" Type="http://schemas.openxmlformats.org/officeDocument/2006/relationships/hyperlink" Target="https://onlinelibrary.wiley.com/doi/10.1002/ajim.22734" TargetMode="External"/><Relationship Id="rId34" Type="http://schemas.openxmlformats.org/officeDocument/2006/relationships/hyperlink" Target="https://www.epa.gov/air-research/smoke-sense-study-citizen-science-project-using-mobile-app"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cdn.ymaws.com/www.cste.org/resource/resmgr/occupationalhealth/publications/OccSyS_WhitePaper_03_08_21.pdf" TargetMode="External"/><Relationship Id="rId29" Type="http://schemas.openxmlformats.org/officeDocument/2006/relationships/hyperlink" Target="https://fire.airnow.gov/"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www.bls.gov/iif/state-data.htm" TargetMode="External"/><Relationship Id="rId32" Type="http://schemas.openxmlformats.org/officeDocument/2006/relationships/hyperlink" Target="https://www.epa.gov/climate-indicators/climate-change-indicators-wildfires" TargetMode="External"/><Relationship Id="rId37" Type="http://schemas.openxmlformats.org/officeDocument/2006/relationships/hyperlink" Target="https://www.atsdr.cdc.gov/rapidrespons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dn.ymaws.com/www.cste.org/resource/resmgr/occupationalhealth/OHI_GuidanceManual_2019_FINA.pdf" TargetMode="External"/><Relationship Id="rId23" Type="http://schemas.openxmlformats.org/officeDocument/2006/relationships/hyperlink" Target="https://cdn.ymaws.com/www.cste.org/resource/resmgr/occupationalhealth/OHI_GuidanceManual_2018_FINA.pdf" TargetMode="External"/><Relationship Id="rId28" Type="http://schemas.openxmlformats.org/officeDocument/2006/relationships/hyperlink" Target="https://www.epa.gov/wildfire-smoke-course/health-effects-attributed-wildfire-smoke" TargetMode="External"/><Relationship Id="rId36" Type="http://schemas.openxmlformats.org/officeDocument/2006/relationships/hyperlink" Target="https://www.cste.org/members/group.aspx?id=106445" TargetMode="External"/><Relationship Id="rId10" Type="http://schemas.microsoft.com/office/2016/09/relationships/commentsIds" Target="commentsIds.xml"/><Relationship Id="rId19" Type="http://schemas.openxmlformats.org/officeDocument/2006/relationships/hyperlink" Target="https://cdn.ymaws.com/www.cste.org/resource/resmgr/occupationalhealth/OHI_GuidanceManual_2018_FINA.pdf" TargetMode="External"/><Relationship Id="rId31" Type="http://schemas.openxmlformats.org/officeDocument/2006/relationships/hyperlink" Target="https://portal.airfire.org/home"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tif"/><Relationship Id="rId22" Type="http://schemas.openxmlformats.org/officeDocument/2006/relationships/hyperlink" Target="https://www.bls.gov/iif/nonfatal-injuries-and-illnesses-tables.htm" TargetMode="External"/><Relationship Id="rId27" Type="http://schemas.openxmlformats.org/officeDocument/2006/relationships/hyperlink" Target="https://www.ncbi.nlm.nih.gov/pmc/articles/PMC5230832/pdf/10.1177_0033354916669358.pdf" TargetMode="External"/><Relationship Id="rId30" Type="http://schemas.openxmlformats.org/officeDocument/2006/relationships/hyperlink" Target="https://hazards.fema.gov/nri/wildfire" TargetMode="External"/><Relationship Id="rId35" Type="http://schemas.openxmlformats.org/officeDocument/2006/relationships/hyperlink" Target="https://www.cdc.gov/nssp/success-stories/pdfs/nssp-success-stories-ca-wildfires.pdf" TargetMode="Externa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www.epa.gov/ejscreen" TargetMode="External"/><Relationship Id="rId17" Type="http://schemas.openxmlformats.org/officeDocument/2006/relationships/hyperlink" Target="https://cdn.ymaws.com/www.cste.org/resource/resmgr/occupationalhealth/OHI_GuidanceManual_2018_FINA.pdf" TargetMode="External"/><Relationship Id="rId25" Type="http://schemas.openxmlformats.org/officeDocument/2006/relationships/hyperlink" Target="https://cdn.ymaws.com/www.cste.org/resource/resmgr/occupationalhealth/OHI_GuidanceManual_2018_FINA.pdf" TargetMode="External"/><Relationship Id="rId33" Type="http://schemas.openxmlformats.org/officeDocument/2006/relationships/hyperlink" Target="https://kr-drupal-dev.syndromicsurveillance.org/wildfire-and-smoke-syndromic-surveillance-implementation-guide-public-heath-practice" TargetMode="External"/><Relationship Id="rId38" Type="http://schemas.openxmlformats.org/officeDocument/2006/relationships/hyperlink" Target="https://www.cdc.gov/niosh/topics/disasterscience/default.html"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epa.gov/wildfire-smoke-course/which-populations-experience-greater-risks-adverse-health-effects-resulting" TargetMode="External"/><Relationship Id="rId2" Type="http://schemas.openxmlformats.org/officeDocument/2006/relationships/hyperlink" Target="https://www.osha.gov/wildfires" TargetMode="External"/><Relationship Id="rId1" Type="http://schemas.openxmlformats.org/officeDocument/2006/relationships/hyperlink" Target="https://www.cdc.gov/niosh/topics/firefighting/wffsmoke.html" TargetMode="External"/><Relationship Id="rId4" Type="http://schemas.openxmlformats.org/officeDocument/2006/relationships/hyperlink" Target="https://www.lni.wa.gov/safety-health/safety-topics/topics/wildfire-smok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dn.ymaws.com/www.cste.org/resource/resmgr/occupationalhealth/publications/OccSyS_WhitePaper_03_08_21.pdf" TargetMode="External"/><Relationship Id="rId3" Type="http://schemas.openxmlformats.org/officeDocument/2006/relationships/hyperlink" Target="https://www.forbes.com/sites/brianbushard/2023/07/24/phoenix-records-three-plus-weeks-above-110-degrees-heres-where-else-daily-records-have-fallen/" TargetMode="External"/><Relationship Id="rId7" Type="http://schemas.openxmlformats.org/officeDocument/2006/relationships/hyperlink" Target="https://stateclimate.org/about-us/" TargetMode="External"/><Relationship Id="rId2" Type="http://schemas.openxmlformats.org/officeDocument/2006/relationships/hyperlink" Target="https://www.cnn.com/2023/07/16/weather/canada-wildfires-us-air-quality-alerts-sunday/index.html" TargetMode="External"/><Relationship Id="rId1" Type="http://schemas.openxmlformats.org/officeDocument/2006/relationships/hyperlink" Target="https://www.newyorker.com/magazine/2021/11/08/the-migrant-workers-who-follow-climate-disasters" TargetMode="External"/><Relationship Id="rId6" Type="http://schemas.openxmlformats.org/officeDocument/2006/relationships/hyperlink" Target="https://www.cdc.gov/nceh/tracking/index.html" TargetMode="External"/><Relationship Id="rId5" Type="http://schemas.openxmlformats.org/officeDocument/2006/relationships/hyperlink" Target="https://www.cdc.gov/climateandhealth/crsci_grantees.htm" TargetMode="External"/><Relationship Id="rId4" Type="http://schemas.openxmlformats.org/officeDocument/2006/relationships/hyperlink" Target="https://www.climate.gov/maps-data/dataset/future-climate-projections-graphs-maps" TargetMode="External"/><Relationship Id="rId9" Type="http://schemas.openxmlformats.org/officeDocument/2006/relationships/hyperlink" Target="https://www.nssl.noaa.gov/education/svrwx101/floods/typ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4126</Words>
  <Characters>23523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Vergara, Ximena@CDPH</cp:lastModifiedBy>
  <cp:revision>2</cp:revision>
  <dcterms:created xsi:type="dcterms:W3CDTF">2023-08-16T21:56:00Z</dcterms:created>
  <dcterms:modified xsi:type="dcterms:W3CDTF">2023-08-16T21:56:00Z</dcterms:modified>
</cp:coreProperties>
</file>