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3FB27" w14:textId="77209FC9" w:rsidR="00B751D7" w:rsidRPr="00B751D7" w:rsidRDefault="00B751D7" w:rsidP="00B751D7">
      <w:pPr>
        <w:spacing w:after="0" w:line="240" w:lineRule="auto"/>
        <w:jc w:val="center"/>
        <w:rPr>
          <w:sz w:val="24"/>
          <w:szCs w:val="24"/>
        </w:rPr>
      </w:pPr>
      <w:r w:rsidRPr="00B751D7">
        <w:rPr>
          <w:sz w:val="24"/>
          <w:szCs w:val="24"/>
        </w:rPr>
        <w:t>Occupational Health Surveillance for Tracking Climate-Related Health Impacts o</w:t>
      </w:r>
      <w:r w:rsidR="002D37E0">
        <w:rPr>
          <w:sz w:val="24"/>
          <w:szCs w:val="24"/>
        </w:rPr>
        <w:t>n</w:t>
      </w:r>
      <w:r w:rsidRPr="00B751D7">
        <w:rPr>
          <w:sz w:val="24"/>
          <w:szCs w:val="24"/>
        </w:rPr>
        <w:t xml:space="preserve"> Workers</w:t>
      </w:r>
    </w:p>
    <w:p w14:paraId="53DC3D54" w14:textId="21F3068C" w:rsidR="00B751D7" w:rsidRDefault="00B751D7" w:rsidP="00B751D7">
      <w:pPr>
        <w:spacing w:after="0" w:line="240" w:lineRule="auto"/>
        <w:jc w:val="center"/>
      </w:pPr>
    </w:p>
    <w:p w14:paraId="034F0028" w14:textId="77777777" w:rsidR="00B47314" w:rsidRDefault="00B47314" w:rsidP="00B751D7">
      <w:pPr>
        <w:spacing w:after="0" w:line="240" w:lineRule="auto"/>
        <w:jc w:val="center"/>
      </w:pPr>
    </w:p>
    <w:p w14:paraId="318AA017" w14:textId="1D9E1304" w:rsidR="00B751D7" w:rsidRDefault="00B751D7" w:rsidP="00707AAC">
      <w:pPr>
        <w:pStyle w:val="ListParagraph"/>
        <w:numPr>
          <w:ilvl w:val="0"/>
          <w:numId w:val="1"/>
        </w:numPr>
        <w:spacing w:after="0" w:line="240" w:lineRule="auto"/>
      </w:pPr>
      <w:r>
        <w:t>Introduction</w:t>
      </w:r>
      <w:r w:rsidR="00A76151">
        <w:t xml:space="preserve"> </w:t>
      </w:r>
      <w:r w:rsidR="00A76151" w:rsidRPr="00A76151">
        <w:rPr>
          <w:highlight w:val="cyan"/>
        </w:rPr>
        <w:t>(KG)</w:t>
      </w:r>
    </w:p>
    <w:p w14:paraId="7A04DE0E" w14:textId="77777777" w:rsidR="0071246B" w:rsidRPr="009F7680" w:rsidRDefault="0071246B" w:rsidP="0071246B">
      <w:pPr>
        <w:spacing w:after="0" w:line="240" w:lineRule="auto"/>
      </w:pPr>
    </w:p>
    <w:p w14:paraId="27C7CB6E" w14:textId="77777777" w:rsidR="0071246B" w:rsidRDefault="0071246B" w:rsidP="0071246B">
      <w:pPr>
        <w:spacing w:after="0" w:line="240" w:lineRule="auto"/>
        <w:ind w:firstLine="720"/>
      </w:pPr>
      <w:r>
        <w:t xml:space="preserve">Climate-change related issues including extreme heat, wildfires, and floods, pose substantial risks to occupational health. Extreme weather events and environmental hazards will result in direct and indirect effects on the health and wellbeing of workers. Understanding which workers will be most affected by climate change related events is critical to emergency preparedness and response. Occupational health surveillance plays a vital role in identifying, tracking, and understanding the impact of injuries and illnesses among workers, which informs intervention and prevention strategies. Extending occupational health surveillance beyond traditional occupational injuries and illnesses is necessary in the face of changing environmental conditions. By focusing on climate-related outcomes in occupational health surveillance, health departments can provide critical insights into emerging health risks faced by workers. Climate change poses unique and complex risks to workers. </w:t>
      </w:r>
    </w:p>
    <w:p w14:paraId="36D3F6AE" w14:textId="54BF495F" w:rsidR="0071246B" w:rsidRDefault="0071246B" w:rsidP="0071246B">
      <w:pPr>
        <w:spacing w:after="0" w:line="240" w:lineRule="auto"/>
        <w:ind w:firstLine="720"/>
        <w:rPr>
          <w:color w:val="FF0000"/>
        </w:rPr>
      </w:pPr>
      <w:r>
        <w:t xml:space="preserve">The primary goal of this document is to provide guidance for occupational health professionals to explore climate-change related outcomes for occupational health surveillance. There is considerable variation in climate-related outcomes in the United States; this document will serve as a resource for approaches to defining heat, wildfire, and flood-related health outcomes for workers. While there are other extreme weather event related outcomes, such as extreme cold, and storm-related impacts, these are not the focus of this document. By offering a framework for occupational health surveillance in the context of climate change, this white paper indents to support health departments in developing their own </w:t>
      </w:r>
      <w:r>
        <w:rPr>
          <w:color w:val="FF0000"/>
        </w:rPr>
        <w:t xml:space="preserve">approaches to __________. </w:t>
      </w:r>
    </w:p>
    <w:p w14:paraId="496E9ECC" w14:textId="77777777" w:rsidR="0071246B" w:rsidRPr="00815F11" w:rsidRDefault="0071246B" w:rsidP="0071246B">
      <w:pPr>
        <w:spacing w:after="0" w:line="240" w:lineRule="auto"/>
        <w:ind w:firstLine="720"/>
      </w:pPr>
    </w:p>
    <w:p w14:paraId="3397F9D0" w14:textId="0F30873A" w:rsidR="00FB66E3" w:rsidRPr="0071246B" w:rsidRDefault="00FB66E3" w:rsidP="0071246B">
      <w:pPr>
        <w:pStyle w:val="ListParagraph"/>
        <w:numPr>
          <w:ilvl w:val="0"/>
          <w:numId w:val="6"/>
        </w:numPr>
        <w:spacing w:after="0" w:line="240" w:lineRule="auto"/>
        <w:rPr>
          <w:color w:val="2E74B5" w:themeColor="accent5" w:themeShade="BF"/>
        </w:rPr>
      </w:pPr>
      <w:commentRangeStart w:id="0"/>
      <w:r w:rsidRPr="0071246B">
        <w:rPr>
          <w:color w:val="2E74B5" w:themeColor="accent5" w:themeShade="BF"/>
        </w:rPr>
        <w:t xml:space="preserve">Inclusion of Map with Climate Zones </w:t>
      </w:r>
      <w:commentRangeEnd w:id="0"/>
      <w:r w:rsidR="0071246B">
        <w:rPr>
          <w:rStyle w:val="CommentReference"/>
        </w:rPr>
        <w:commentReference w:id="0"/>
      </w:r>
    </w:p>
    <w:p w14:paraId="18E96101" w14:textId="77777777" w:rsidR="0071246B" w:rsidRPr="0071246B" w:rsidRDefault="0071246B" w:rsidP="0071246B">
      <w:pPr>
        <w:pStyle w:val="ListParagraph"/>
        <w:spacing w:after="0" w:line="240" w:lineRule="auto"/>
        <w:ind w:left="1080"/>
        <w:rPr>
          <w:color w:val="2E74B5" w:themeColor="accent5" w:themeShade="BF"/>
        </w:rPr>
      </w:pPr>
    </w:p>
    <w:p w14:paraId="7D8EC32E" w14:textId="77777777" w:rsidR="0071246B" w:rsidRPr="0071246B" w:rsidRDefault="00926497" w:rsidP="0071246B">
      <w:pPr>
        <w:pStyle w:val="ListParagraph"/>
        <w:numPr>
          <w:ilvl w:val="0"/>
          <w:numId w:val="1"/>
        </w:numPr>
        <w:spacing w:after="0" w:line="240" w:lineRule="auto"/>
        <w:rPr>
          <w:color w:val="2E74B5" w:themeColor="accent5" w:themeShade="BF"/>
        </w:rPr>
      </w:pPr>
      <w:r w:rsidRPr="0071246B">
        <w:rPr>
          <w:color w:val="2E74B5" w:themeColor="accent5" w:themeShade="BF"/>
        </w:rPr>
        <w:t>Identifying a climate-related outcome for occupational health surveillance</w:t>
      </w:r>
      <w:r w:rsidR="005B27DF" w:rsidRPr="0071246B">
        <w:rPr>
          <w:color w:val="2E74B5" w:themeColor="accent5" w:themeShade="BF"/>
        </w:rPr>
        <w:t xml:space="preserve"> in your jurisdiction</w:t>
      </w:r>
      <w:r w:rsidR="00A76151" w:rsidRPr="0071246B">
        <w:rPr>
          <w:color w:val="2E74B5" w:themeColor="accent5" w:themeShade="BF"/>
        </w:rPr>
        <w:t xml:space="preserve"> </w:t>
      </w:r>
      <w:r w:rsidR="00A76151" w:rsidRPr="0071246B">
        <w:rPr>
          <w:color w:val="2E74B5" w:themeColor="accent5" w:themeShade="BF"/>
          <w:highlight w:val="cyan"/>
        </w:rPr>
        <w:t>(</w:t>
      </w:r>
      <w:r w:rsidR="004E068C" w:rsidRPr="0071246B">
        <w:rPr>
          <w:color w:val="2E74B5" w:themeColor="accent5" w:themeShade="BF"/>
          <w:highlight w:val="cyan"/>
        </w:rPr>
        <w:t>Group</w:t>
      </w:r>
      <w:r w:rsidR="00A76151" w:rsidRPr="0071246B">
        <w:rPr>
          <w:color w:val="2E74B5" w:themeColor="accent5" w:themeShade="BF"/>
          <w:highlight w:val="cyan"/>
        </w:rPr>
        <w:t>)</w:t>
      </w:r>
    </w:p>
    <w:p w14:paraId="302E6064" w14:textId="77777777" w:rsidR="0071246B" w:rsidRDefault="0071246B" w:rsidP="0071246B">
      <w:pPr>
        <w:spacing w:after="0" w:line="240" w:lineRule="auto"/>
      </w:pPr>
    </w:p>
    <w:p w14:paraId="3A61688D" w14:textId="64B836B3" w:rsidR="0071246B" w:rsidRDefault="0071246B" w:rsidP="0071246B">
      <w:pPr>
        <w:spacing w:after="0" w:line="240" w:lineRule="auto"/>
      </w:pPr>
      <w:r>
        <w:t xml:space="preserve">Identifying climate-related health outcomes for occupational health surveillance requires considering the types of industries and occupations within a given jurisdiction. </w:t>
      </w:r>
      <w:r w:rsidR="007B2E8D">
        <w:t>Exposures to climate-related hazards will differ by industry and occupation.</w:t>
      </w:r>
      <w:r w:rsidR="00E06D30">
        <w:t xml:space="preserve"> </w:t>
      </w:r>
      <w:r>
        <w:t xml:space="preserve">States can utilize the National Institute for Occupational Safety and Health (NIOSH) Employment Labor Force Query (ELF) system to estimate the number of workers within industries or occupations to enumerate the number of workers at risk for a climate-related outcome. </w:t>
      </w:r>
      <w:r w:rsidR="0017144F">
        <w:t xml:space="preserve">Moreover, </w:t>
      </w:r>
      <w:r w:rsidR="00E06D30">
        <w:t xml:space="preserve">ELF </w:t>
      </w:r>
      <w:r w:rsidR="0017144F">
        <w:t>enables queries by age, sex, race/</w:t>
      </w:r>
      <w:proofErr w:type="gramStart"/>
      <w:r w:rsidR="0017144F">
        <w:t>ethnicity</w:t>
      </w:r>
      <w:proofErr w:type="gramEnd"/>
      <w:r w:rsidR="0017144F">
        <w:t xml:space="preserve"> and education. </w:t>
      </w:r>
      <w:r>
        <w:t xml:space="preserve">This information can provide insight into the magnitude and distribution of potentially impacted workers, enabling targeted interventions. States should consider integrating social vulnerability indices, </w:t>
      </w:r>
      <w:r w:rsidR="00E06D30">
        <w:t xml:space="preserve">which are often available by county or census tract. Examples included </w:t>
      </w:r>
      <w:r w:rsidR="00E06D30">
        <w:t>the CDC/ATSDR Social Vulnerability Index</w:t>
      </w:r>
      <w:r w:rsidR="00E06D30">
        <w:rPr>
          <w:rStyle w:val="FootnoteReference"/>
        </w:rPr>
        <w:footnoteReference w:id="1"/>
      </w:r>
      <w:r w:rsidR="00E06D30">
        <w:t>, the CDC Environmental Justice Index</w:t>
      </w:r>
      <w:r w:rsidR="00E06D30">
        <w:rPr>
          <w:rStyle w:val="FootnoteReference"/>
        </w:rPr>
        <w:footnoteReference w:id="2"/>
      </w:r>
      <w:r w:rsidR="00E06D30">
        <w:t>, and County Health Rankings</w:t>
      </w:r>
      <w:r w:rsidR="00E06D30">
        <w:rPr>
          <w:rStyle w:val="FootnoteReference"/>
        </w:rPr>
        <w:footnoteReference w:id="3"/>
      </w:r>
      <w:r w:rsidR="00E06D30">
        <w:t xml:space="preserve">. </w:t>
      </w:r>
      <w:r w:rsidR="00E06D30">
        <w:t xml:space="preserve">These indices </w:t>
      </w:r>
      <w:r>
        <w:t xml:space="preserve">can help identify where occupational vulnerabilities intersect with broader socioeconomic vulnerabilities, including income and education </w:t>
      </w:r>
      <w:r w:rsidRPr="00A31329">
        <w:t xml:space="preserve">level, </w:t>
      </w:r>
      <w:r>
        <w:t>race/ethnicity, health insurance and housing quality.</w:t>
      </w:r>
      <w:r w:rsidR="007B2E8D">
        <w:t xml:space="preserve"> </w:t>
      </w:r>
      <w:proofErr w:type="gramStart"/>
      <w:r w:rsidR="00E06D30">
        <w:t>Similar to</w:t>
      </w:r>
      <w:proofErr w:type="gramEnd"/>
      <w:r w:rsidR="00E06D30">
        <w:t xml:space="preserve"> these measures, o</w:t>
      </w:r>
      <w:r w:rsidR="00E06D30">
        <w:t xml:space="preserve">ccupation is a social determinant of health. </w:t>
      </w:r>
      <w:r w:rsidR="00E06D30">
        <w:t>O</w:t>
      </w:r>
      <w:r w:rsidR="00E06D30">
        <w:t xml:space="preserve">ccupation not only influences access to resources, including healthcare benefits and income, but also </w:t>
      </w:r>
      <w:r w:rsidR="00E06D30">
        <w:t>determines</w:t>
      </w:r>
      <w:r w:rsidR="00E06D30">
        <w:t xml:space="preserve"> exposures to workplace hazards. </w:t>
      </w:r>
    </w:p>
    <w:p w14:paraId="0B99D9E1" w14:textId="77777777" w:rsidR="0071246B" w:rsidRDefault="0071246B" w:rsidP="0071246B">
      <w:pPr>
        <w:spacing w:after="0" w:line="240" w:lineRule="auto"/>
      </w:pPr>
    </w:p>
    <w:p w14:paraId="61834084" w14:textId="55310CE5" w:rsidR="006C340C" w:rsidRPr="0071246B" w:rsidRDefault="006C340C" w:rsidP="0017144F">
      <w:pPr>
        <w:pStyle w:val="ListParagraph"/>
        <w:numPr>
          <w:ilvl w:val="2"/>
          <w:numId w:val="1"/>
        </w:numPr>
        <w:spacing w:after="0" w:line="240" w:lineRule="auto"/>
        <w:rPr>
          <w:color w:val="2E74B5" w:themeColor="accent5" w:themeShade="BF"/>
        </w:rPr>
      </w:pPr>
      <w:r w:rsidRPr="0071246B">
        <w:rPr>
          <w:color w:val="2E74B5" w:themeColor="accent5" w:themeShade="BF"/>
        </w:rPr>
        <w:t xml:space="preserve"> </w:t>
      </w:r>
    </w:p>
    <w:p w14:paraId="63FACCEC" w14:textId="04CC26CB" w:rsidR="00B0530D" w:rsidRPr="0071246B" w:rsidRDefault="00B0530D" w:rsidP="005B27DF">
      <w:pPr>
        <w:pStyle w:val="ListParagraph"/>
        <w:numPr>
          <w:ilvl w:val="1"/>
          <w:numId w:val="1"/>
        </w:numPr>
        <w:spacing w:after="0" w:line="240" w:lineRule="auto"/>
        <w:rPr>
          <w:color w:val="2E74B5" w:themeColor="accent5" w:themeShade="BF"/>
        </w:rPr>
      </w:pPr>
      <w:r w:rsidRPr="0071246B">
        <w:rPr>
          <w:color w:val="2E74B5" w:themeColor="accent5" w:themeShade="BF"/>
        </w:rPr>
        <w:t>Besides traditional first responders (i.e., fire, police, EMS), who else would be involved in response and recovery (i.e., tree-care, construction</w:t>
      </w:r>
      <w:r w:rsidR="00336CE2" w:rsidRPr="0071246B">
        <w:rPr>
          <w:color w:val="2E74B5" w:themeColor="accent5" w:themeShade="BF"/>
        </w:rPr>
        <w:t>, national guard</w:t>
      </w:r>
      <w:r w:rsidR="00204CF0" w:rsidRPr="0071246B">
        <w:rPr>
          <w:color w:val="2E74B5" w:themeColor="accent5" w:themeShade="BF"/>
        </w:rPr>
        <w:t>?</w:t>
      </w:r>
      <w:r w:rsidRPr="0071246B">
        <w:rPr>
          <w:color w:val="2E74B5" w:themeColor="accent5" w:themeShade="BF"/>
        </w:rPr>
        <w:t>)</w:t>
      </w:r>
      <w:r w:rsidR="004E068C" w:rsidRPr="0071246B">
        <w:rPr>
          <w:color w:val="2E74B5" w:themeColor="accent5" w:themeShade="BF"/>
        </w:rPr>
        <w:t xml:space="preserve"> </w:t>
      </w:r>
      <w:r w:rsidR="004E068C" w:rsidRPr="0071246B">
        <w:rPr>
          <w:color w:val="2E74B5" w:themeColor="accent5" w:themeShade="BF"/>
          <w:highlight w:val="cyan"/>
        </w:rPr>
        <w:t>(Ximena)</w:t>
      </w:r>
    </w:p>
    <w:p w14:paraId="68C88621" w14:textId="77777777" w:rsidR="004D0A86" w:rsidRDefault="004D0A86" w:rsidP="004D0A86"/>
    <w:p w14:paraId="594A99BA" w14:textId="4D985A2E" w:rsidR="004D0A86" w:rsidRDefault="004D0A86" w:rsidP="004D0A86">
      <w:r>
        <w:t>Besides workers who respond to assist with first-aid, treatment, and recovery during climate change disasters, other workers can be affected.  During Hurricane Sandy, New Jersey found increased tree-injury related emergency department room visits.</w:t>
      </w:r>
      <w:r>
        <w:rPr>
          <w:rStyle w:val="FootnoteReference"/>
        </w:rPr>
        <w:footnoteReference w:id="4"/>
      </w:r>
      <w:r>
        <w:t xml:space="preserve"> These findings prompted a more detailed investigation about the nature of work.</w:t>
      </w:r>
      <w:r>
        <w:rPr>
          <w:rStyle w:val="FootnoteReference"/>
        </w:rPr>
        <w:footnoteReference w:id="5"/>
      </w:r>
      <w:r>
        <w:t xml:space="preserve"> Utility workers clear trees from power lines while municipal workers clear from roadways – both at risk of injuries due to response. These findings highlight how other workers can incur injuries or illnesses due to disaster events.  </w:t>
      </w:r>
    </w:p>
    <w:p w14:paraId="1DF858AD" w14:textId="77777777" w:rsidR="004D0A86" w:rsidRDefault="004D0A86" w:rsidP="004D0A86">
      <w:r>
        <w:t>Slow moving c</w:t>
      </w:r>
      <w:r w:rsidRPr="000C2B3C">
        <w:t>hanges to the climate</w:t>
      </w:r>
      <w:r>
        <w:t xml:space="preserve">, </w:t>
      </w:r>
      <w:r w:rsidRPr="000C2B3C">
        <w:t>not defined by discrete time periods</w:t>
      </w:r>
      <w:r>
        <w:t xml:space="preserve"> as during disasters, can </w:t>
      </w:r>
      <w:r w:rsidRPr="000C2B3C">
        <w:t xml:space="preserve">upend our preconceptions </w:t>
      </w:r>
      <w:r>
        <w:t>about</w:t>
      </w:r>
      <w:r w:rsidRPr="000C2B3C">
        <w:t xml:space="preserve"> which workers may be considered at high-risk. Health care support workers, aides, work indoors and are not typically considered at risk of wildfire smoke. Yet, health care support workers acted as first responders evacuating residents from assisted living and skilled nursing facilities during the 2018 California Camp fire.</w:t>
      </w:r>
      <w:r w:rsidRPr="000C2B3C">
        <w:rPr>
          <w:rStyle w:val="FootnoteReference"/>
        </w:rPr>
        <w:footnoteReference w:id="6"/>
      </w:r>
      <w:r w:rsidRPr="000C2B3C">
        <w:t xml:space="preserve"> Hence, understanding the number of workers </w:t>
      </w:r>
      <w:r>
        <w:t>employed in an occupation</w:t>
      </w:r>
      <w:r w:rsidRPr="000C2B3C">
        <w:t xml:space="preserve"> may </w:t>
      </w:r>
      <w:r>
        <w:t>be critical to know in advance</w:t>
      </w:r>
      <w:r w:rsidRPr="000C2B3C">
        <w:t xml:space="preserve">.  </w:t>
      </w:r>
    </w:p>
    <w:p w14:paraId="5B6EB219" w14:textId="77777777" w:rsidR="004D0A86" w:rsidRDefault="004D0A86" w:rsidP="004D0A86">
      <w:r w:rsidRPr="000C2B3C">
        <w:t xml:space="preserve">As the first step, understanding who the population of workers are within each </w:t>
      </w:r>
      <w:r>
        <w:t>jurisdiction</w:t>
      </w:r>
      <w:r w:rsidRPr="000C2B3C">
        <w:t xml:space="preserve"> is fundamental. We provide some potential </w:t>
      </w:r>
      <w:r w:rsidRPr="004D0A86">
        <w:rPr>
          <w:i/>
          <w:iCs/>
        </w:rPr>
        <w:t>a priori</w:t>
      </w:r>
      <w:r w:rsidRPr="000C2B3C">
        <w:t xml:space="preserve"> approaches to understanding the workforce within each jurisdiction.</w:t>
      </w:r>
    </w:p>
    <w:p w14:paraId="40B34D56" w14:textId="12BE12B4" w:rsidR="004D0A86" w:rsidRPr="004D0A86" w:rsidRDefault="004D0A86" w:rsidP="004D0A86">
      <w:pPr>
        <w:rPr>
          <w:i/>
          <w:iCs/>
        </w:rPr>
      </w:pPr>
      <w:r w:rsidRPr="004D0A86">
        <w:rPr>
          <w:i/>
          <w:iCs/>
        </w:rPr>
        <w:t>Approaches to Characteriz</w:t>
      </w:r>
      <w:r>
        <w:rPr>
          <w:i/>
          <w:iCs/>
        </w:rPr>
        <w:t>e</w:t>
      </w:r>
      <w:r w:rsidRPr="004D0A86">
        <w:rPr>
          <w:i/>
          <w:iCs/>
        </w:rPr>
        <w:t xml:space="preserve"> Worker Populations</w:t>
      </w:r>
      <w:r>
        <w:rPr>
          <w:i/>
          <w:iCs/>
        </w:rPr>
        <w:t>:</w:t>
      </w:r>
    </w:p>
    <w:p w14:paraId="39AAB76E" w14:textId="77777777" w:rsidR="004D0A86" w:rsidRPr="000C2B3C" w:rsidRDefault="004D0A86" w:rsidP="004D0A86">
      <w:r w:rsidRPr="000C2B3C">
        <w:t>Essential workers, as identified using NIOSH Essential Industries matrix</w:t>
      </w:r>
      <w:r>
        <w:rPr>
          <w:rStyle w:val="FootnoteReference"/>
        </w:rPr>
        <w:footnoteReference w:id="7"/>
      </w:r>
      <w:r w:rsidRPr="000C2B3C">
        <w:t xml:space="preserve">, ensure critical functions keep society functioning during emergency situations such as a pandemic or natural disaster. New tools like the NIOSH Essential Workers Code Set (coded to </w:t>
      </w:r>
      <w:r>
        <w:t>2017 North American Industry NAICS, 2012 NAICS and 2012 CIC with industry-occupation pairs coded 2012 CIC-2010</w:t>
      </w:r>
      <w:r w:rsidRPr="000C2B3C">
        <w:t xml:space="preserve">) may also be used to identify potentially high-risk industries.  For example, when coupled to ELF data, states can key in on industries deemed mostly essential. </w:t>
      </w:r>
    </w:p>
    <w:p w14:paraId="654BD2F9" w14:textId="77777777" w:rsidR="004D0A86" w:rsidRPr="000C2B3C" w:rsidRDefault="004D0A86" w:rsidP="004D0A86">
      <w:r w:rsidRPr="000C2B3C">
        <w:t>The CSTE SARS-CoV-2 Occupational Exposure Matrix</w:t>
      </w:r>
      <w:r>
        <w:t xml:space="preserve"> (SOEM)</w:t>
      </w:r>
      <w:r w:rsidRPr="000C2B3C">
        <w:t xml:space="preserve"> (coded to 2010 SOC and 2010 COC) may be employed to define which groups and how many workers may be potentially at risk of environmental impacts. For example, states can use the NIOSH Employed Labor Force (ELF) data</w:t>
      </w:r>
      <w:r w:rsidRPr="000C2B3C">
        <w:rPr>
          <w:rStyle w:val="FootnoteReference"/>
        </w:rPr>
        <w:footnoteReference w:id="8"/>
      </w:r>
      <w:r w:rsidRPr="000C2B3C">
        <w:t xml:space="preserve">, which uses Current </w:t>
      </w:r>
      <w:r w:rsidRPr="000C2B3C">
        <w:lastRenderedPageBreak/>
        <w:t>Population Survey, to understand who may be working indoors versus outdoors</w:t>
      </w:r>
      <w:r>
        <w:t xml:space="preserve"> (Figure 1)</w:t>
      </w:r>
      <w:r w:rsidRPr="000C2B3C">
        <w:t xml:space="preserve">. </w:t>
      </w:r>
      <w:r>
        <w:t>Jurisdictions</w:t>
      </w:r>
      <w:r w:rsidRPr="000C2B3C">
        <w:t xml:space="preserve"> can opt to use the American Community Survey 5-year data for more stable estimates</w:t>
      </w:r>
      <w:r>
        <w:t>,</w:t>
      </w:r>
      <w:r w:rsidRPr="000C2B3C">
        <w:t xml:space="preserve"> but </w:t>
      </w:r>
      <w:r>
        <w:t>they may</w:t>
      </w:r>
      <w:r w:rsidRPr="000C2B3C">
        <w:t xml:space="preserve"> need to</w:t>
      </w:r>
      <w:r>
        <w:t xml:space="preserve"> convert to 2010 COC or 2018 SOC to use with the SOEM</w:t>
      </w:r>
      <w:r w:rsidRPr="000C2B3C">
        <w:t xml:space="preserve">.   </w:t>
      </w:r>
    </w:p>
    <w:p w14:paraId="28E97665" w14:textId="77777777" w:rsidR="004D0A86" w:rsidRPr="004D0A86" w:rsidRDefault="004D0A86" w:rsidP="004D0A86">
      <w:pPr>
        <w:rPr>
          <w:b/>
          <w:bCs/>
        </w:rPr>
      </w:pPr>
      <w:r w:rsidRPr="004D0A86">
        <w:rPr>
          <w:b/>
          <w:bCs/>
          <w:i/>
          <w:iCs/>
        </w:rPr>
        <w:t>Figure 1. California Worker Population (16-60+ years) Characterized by the SARS-CoV-2 Exposure Matrix</w:t>
      </w:r>
      <w:r w:rsidRPr="004D0A86">
        <w:rPr>
          <w:b/>
          <w:bCs/>
          <w:vertAlign w:val="superscript"/>
        </w:rPr>
        <w:t>1</w:t>
      </w:r>
    </w:p>
    <w:p w14:paraId="1F6FD5AA" w14:textId="77777777" w:rsidR="004D0A86" w:rsidRPr="004D0A86" w:rsidRDefault="004D0A86" w:rsidP="004D0A86">
      <w:pPr>
        <w:spacing w:after="0" w:line="240" w:lineRule="auto"/>
        <w:jc w:val="center"/>
        <w:rPr>
          <w:rFonts w:ascii="Times New Roman" w:eastAsia="Times New Roman" w:hAnsi="Times New Roman" w:cs="Times New Roman"/>
          <w:sz w:val="24"/>
          <w:szCs w:val="24"/>
        </w:rPr>
      </w:pPr>
      <w:r>
        <w:rPr>
          <w:noProof/>
        </w:rPr>
        <w:drawing>
          <wp:inline distT="0" distB="0" distL="0" distR="0" wp14:anchorId="4C94A6C3" wp14:editId="7DCE6313">
            <wp:extent cx="3993264" cy="2271171"/>
            <wp:effectExtent l="0" t="0" r="762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rotWithShape="1">
                    <a:blip r:embed="rId12">
                      <a:extLst>
                        <a:ext uri="{28A0092B-C50C-407E-A947-70E740481C1C}">
                          <a14:useLocalDpi xmlns:a14="http://schemas.microsoft.com/office/drawing/2010/main" val="0"/>
                        </a:ext>
                      </a:extLst>
                    </a:blip>
                    <a:srcRect t="6622"/>
                    <a:stretch/>
                  </pic:blipFill>
                  <pic:spPr bwMode="auto">
                    <a:xfrm>
                      <a:off x="0" y="0"/>
                      <a:ext cx="4023975" cy="2288638"/>
                    </a:xfrm>
                    <a:prstGeom prst="rect">
                      <a:avLst/>
                    </a:prstGeom>
                    <a:ln>
                      <a:noFill/>
                    </a:ln>
                    <a:extLst>
                      <a:ext uri="{53640926-AAD7-44D8-BBD7-CCE9431645EC}">
                        <a14:shadowObscured xmlns:a14="http://schemas.microsoft.com/office/drawing/2010/main"/>
                      </a:ext>
                    </a:extLst>
                  </pic:spPr>
                </pic:pic>
              </a:graphicData>
            </a:graphic>
          </wp:inline>
        </w:drawing>
      </w:r>
    </w:p>
    <w:p w14:paraId="20648D7D" w14:textId="77777777" w:rsidR="004D0A86" w:rsidRPr="000C2B3C" w:rsidRDefault="004D0A86" w:rsidP="004D0A86">
      <w:r w:rsidRPr="000C2B3C">
        <w:t xml:space="preserve">Jurisdictions </w:t>
      </w:r>
      <w:r>
        <w:t>may choose</w:t>
      </w:r>
      <w:r w:rsidRPr="000C2B3C">
        <w:t xml:space="preserve"> to monitor </w:t>
      </w:r>
      <w:r>
        <w:t xml:space="preserve">the emergence and decline of industries </w:t>
      </w:r>
      <w:r w:rsidRPr="000C2B3C">
        <w:t>over time. The US has seen a rise in disaster clean-up industries as climate events occur more regularly and with higher severity.</w:t>
      </w:r>
      <w:r w:rsidRPr="000C2B3C">
        <w:rPr>
          <w:rStyle w:val="FootnoteReference"/>
        </w:rPr>
        <w:t xml:space="preserve"> </w:t>
      </w:r>
      <w:r w:rsidRPr="000C2B3C">
        <w:rPr>
          <w:rStyle w:val="FootnoteReference"/>
        </w:rPr>
        <w:footnoteReference w:id="9"/>
      </w:r>
      <w:r w:rsidRPr="000C2B3C">
        <w:t xml:space="preserve"> These companies </w:t>
      </w:r>
      <w:r>
        <w:t>may rely on</w:t>
      </w:r>
      <w:r w:rsidRPr="000C2B3C">
        <w:t xml:space="preserve"> volunteers or workers </w:t>
      </w:r>
      <w:r>
        <w:t xml:space="preserve">migrating </w:t>
      </w:r>
      <w:r w:rsidRPr="000C2B3C">
        <w:t xml:space="preserve">from other regions or countries ---thus, challenging to enumerate using traditional national surveys. </w:t>
      </w:r>
      <w:r>
        <w:t>O</w:t>
      </w:r>
      <w:r w:rsidRPr="000C2B3C">
        <w:t xml:space="preserve">ngoing assessment of the workforce by industry </w:t>
      </w:r>
      <w:r>
        <w:t>within a jurisdiction using survey data source remains a reasonable approach, despite data source limitations</w:t>
      </w:r>
      <w:r w:rsidRPr="000C2B3C">
        <w:t xml:space="preserve">.  </w:t>
      </w:r>
    </w:p>
    <w:p w14:paraId="378269A4" w14:textId="77777777" w:rsidR="004D0A86" w:rsidRPr="004D0A86" w:rsidRDefault="004D0A86" w:rsidP="004D0A86">
      <w:pPr>
        <w:spacing w:after="0" w:line="240" w:lineRule="auto"/>
        <w:rPr>
          <w:color w:val="2E74B5" w:themeColor="accent5" w:themeShade="BF"/>
        </w:rPr>
      </w:pPr>
    </w:p>
    <w:p w14:paraId="6A4096B3" w14:textId="4A4BFFEE" w:rsidR="004B0F8B" w:rsidRPr="0071246B" w:rsidRDefault="005B27DF" w:rsidP="004B0F8B">
      <w:pPr>
        <w:pStyle w:val="ListParagraph"/>
        <w:numPr>
          <w:ilvl w:val="1"/>
          <w:numId w:val="1"/>
        </w:numPr>
        <w:spacing w:after="0" w:line="240" w:lineRule="auto"/>
        <w:rPr>
          <w:color w:val="2E74B5" w:themeColor="accent5" w:themeShade="BF"/>
        </w:rPr>
      </w:pPr>
      <w:r w:rsidRPr="0071246B">
        <w:rPr>
          <w:color w:val="2E74B5" w:themeColor="accent5" w:themeShade="BF"/>
        </w:rPr>
        <w:t>What is the state of climate in your region?</w:t>
      </w:r>
      <w:r w:rsidR="00D13238" w:rsidRPr="0071246B">
        <w:rPr>
          <w:color w:val="2E74B5" w:themeColor="accent5" w:themeShade="BF"/>
        </w:rPr>
        <w:t xml:space="preserve"> What </w:t>
      </w:r>
      <w:proofErr w:type="gramStart"/>
      <w:r w:rsidR="00D13238" w:rsidRPr="0071246B">
        <w:rPr>
          <w:color w:val="2E74B5" w:themeColor="accent5" w:themeShade="BF"/>
        </w:rPr>
        <w:t>are</w:t>
      </w:r>
      <w:proofErr w:type="gramEnd"/>
      <w:r w:rsidR="00D13238" w:rsidRPr="0071246B">
        <w:rPr>
          <w:color w:val="2E74B5" w:themeColor="accent5" w:themeShade="BF"/>
        </w:rPr>
        <w:t xml:space="preserve"> the climate-related impacts your jurisdiction has experienced (increased temps, fires, hurricanes)? </w:t>
      </w:r>
      <w:r w:rsidR="00FB66E3" w:rsidRPr="0071246B">
        <w:rPr>
          <w:color w:val="2E74B5" w:themeColor="accent5" w:themeShade="BF"/>
        </w:rPr>
        <w:t xml:space="preserve"> (</w:t>
      </w:r>
      <w:proofErr w:type="gramStart"/>
      <w:r w:rsidR="00FB66E3" w:rsidRPr="0071246B">
        <w:rPr>
          <w:color w:val="2E74B5" w:themeColor="accent5" w:themeShade="BF"/>
        </w:rPr>
        <w:t>work</w:t>
      </w:r>
      <w:proofErr w:type="gramEnd"/>
      <w:r w:rsidR="00FB66E3" w:rsidRPr="0071246B">
        <w:rPr>
          <w:color w:val="2E74B5" w:themeColor="accent5" w:themeShade="BF"/>
        </w:rPr>
        <w:t xml:space="preserve"> with EPHT to define the state of climate in your region). Work with state climatologist. </w:t>
      </w:r>
      <w:r w:rsidR="004E068C" w:rsidRPr="0071246B">
        <w:rPr>
          <w:color w:val="2E74B5" w:themeColor="accent5" w:themeShade="BF"/>
        </w:rPr>
        <w:t xml:space="preserve"> </w:t>
      </w:r>
      <w:r w:rsidR="004E068C" w:rsidRPr="0071246B">
        <w:rPr>
          <w:color w:val="2E74B5" w:themeColor="accent5" w:themeShade="BF"/>
          <w:highlight w:val="cyan"/>
        </w:rPr>
        <w:t>(Paul)</w:t>
      </w:r>
    </w:p>
    <w:p w14:paraId="60A61E02" w14:textId="77777777" w:rsidR="00C27171" w:rsidRDefault="00C27171" w:rsidP="00C27171">
      <w:pPr>
        <w:pStyle w:val="ListParagraph"/>
        <w:spacing w:after="0" w:line="240" w:lineRule="auto"/>
        <w:ind w:left="1080"/>
      </w:pPr>
    </w:p>
    <w:p w14:paraId="758DD278" w14:textId="635D29B5" w:rsidR="004B0F8B" w:rsidRDefault="004B0F8B" w:rsidP="004B0F8B">
      <w:pPr>
        <w:spacing w:after="0" w:line="240" w:lineRule="auto"/>
      </w:pPr>
      <w:r>
        <w:t>Different regions of the United States will have different experiences of climate and different anticipated outcomes from climate change. For example,</w:t>
      </w:r>
      <w:r w:rsidR="00BA2F06">
        <w:t xml:space="preserve"> in the summer of 2023</w:t>
      </w:r>
      <w:r>
        <w:t xml:space="preserve"> the Midwest and east coast </w:t>
      </w:r>
      <w:r w:rsidR="00695EC0">
        <w:t>have</w:t>
      </w:r>
      <w:r>
        <w:t xml:space="preserve"> experienced </w:t>
      </w:r>
      <w:r w:rsidR="00BA2F06">
        <w:t>poor air-quality as a downstream effect of Canadian wild-fire smoke.</w:t>
      </w:r>
      <w:r w:rsidR="00753CDA">
        <w:rPr>
          <w:rStyle w:val="FootnoteReference"/>
        </w:rPr>
        <w:footnoteReference w:id="10"/>
      </w:r>
      <w:r w:rsidR="00BA2F06">
        <w:t xml:space="preserve"> </w:t>
      </w:r>
      <w:r w:rsidR="00695EC0">
        <w:t>Concurrently, o</w:t>
      </w:r>
      <w:r w:rsidR="002D5DA3">
        <w:t>n</w:t>
      </w:r>
      <w:r w:rsidR="00BA2F06">
        <w:t xml:space="preserve"> July 19</w:t>
      </w:r>
      <w:r w:rsidR="00BA2F06" w:rsidRPr="00BA2F06">
        <w:rPr>
          <w:vertAlign w:val="superscript"/>
        </w:rPr>
        <w:t>th</w:t>
      </w:r>
      <w:r w:rsidR="00BA2F06">
        <w:t xml:space="preserve"> of 2023, Arizona broke </w:t>
      </w:r>
      <w:r w:rsidR="002D5DA3">
        <w:t xml:space="preserve">a record set in 1974 for </w:t>
      </w:r>
      <w:r w:rsidR="00BA2F06">
        <w:t>the most consecutive days above 110</w:t>
      </w:r>
      <w:r w:rsidR="000F4C11">
        <w:t xml:space="preserve"> degrees </w:t>
      </w:r>
      <w:r w:rsidR="00753CDA" w:rsidRPr="00753CDA">
        <w:t>Fahrenheit</w:t>
      </w:r>
      <w:r w:rsidR="00BA2F06">
        <w:t>.</w:t>
      </w:r>
      <w:r w:rsidR="00753CDA">
        <w:rPr>
          <w:rStyle w:val="FootnoteReference"/>
        </w:rPr>
        <w:footnoteReference w:id="11"/>
      </w:r>
      <w:r w:rsidR="002D5DA3">
        <w:t xml:space="preserve"> Knowing what potential hazards the workers in your region face requires knowing a bit about the climate models for your region, knowing what kinds of work is being done in your region, and understanding where to</w:t>
      </w:r>
      <w:r w:rsidR="00C738B6">
        <w:t xml:space="preserve"> turn for </w:t>
      </w:r>
      <w:r w:rsidR="000F4C11">
        <w:t xml:space="preserve">further </w:t>
      </w:r>
      <w:r w:rsidR="00C738B6">
        <w:t>information.</w:t>
      </w:r>
    </w:p>
    <w:p w14:paraId="5ED0370C" w14:textId="74DCAF6F" w:rsidR="00C738B6" w:rsidRDefault="00C738B6" w:rsidP="004B0F8B">
      <w:pPr>
        <w:spacing w:after="0" w:line="240" w:lineRule="auto"/>
      </w:pPr>
    </w:p>
    <w:p w14:paraId="51431AA0" w14:textId="1293864E" w:rsidR="00C738B6" w:rsidRPr="00054FC2" w:rsidRDefault="000F4C11" w:rsidP="000F4C11">
      <w:pPr>
        <w:spacing w:after="0" w:line="240" w:lineRule="auto"/>
        <w:rPr>
          <w:i/>
          <w:iCs/>
        </w:rPr>
      </w:pPr>
      <w:r w:rsidRPr="00054FC2">
        <w:rPr>
          <w:i/>
          <w:iCs/>
        </w:rPr>
        <w:lastRenderedPageBreak/>
        <w:t>Climate models:</w:t>
      </w:r>
    </w:p>
    <w:p w14:paraId="40941D20" w14:textId="0B9EAEA9" w:rsidR="000F4C11" w:rsidRDefault="000F4C11" w:rsidP="000F4C11">
      <w:pPr>
        <w:spacing w:after="0" w:line="240" w:lineRule="auto"/>
      </w:pPr>
      <w:r>
        <w:t xml:space="preserve">The </w:t>
      </w:r>
      <w:r w:rsidRPr="000F4C11">
        <w:t>National Oceanic and Atmospheric Administration</w:t>
      </w:r>
      <w:r>
        <w:t xml:space="preserve"> (NOAA) provides climate projections that can be viewed on their website and through their Climate Explorer</w:t>
      </w:r>
      <w:r w:rsidR="00B944CF">
        <w:t>/</w:t>
      </w:r>
      <w:r>
        <w:t>U.S. Climate Resilience Toolkit</w:t>
      </w:r>
      <w:r w:rsidR="00324A82">
        <w:t xml:space="preserve"> </w:t>
      </w:r>
      <w:r w:rsidR="00B944CF">
        <w:t>on</w:t>
      </w:r>
      <w:r w:rsidR="00054FC2">
        <w:t xml:space="preserve"> Climate.gov</w:t>
      </w:r>
      <w:r w:rsidR="00324A82">
        <w:t>.</w:t>
      </w:r>
      <w:r w:rsidR="00866C4E">
        <w:rPr>
          <w:rStyle w:val="FootnoteReference"/>
        </w:rPr>
        <w:footnoteReference w:id="12"/>
      </w:r>
      <w:r w:rsidR="00324A82">
        <w:t xml:space="preserve"> </w:t>
      </w:r>
      <w:r w:rsidR="00695EC0">
        <w:t>As an</w:t>
      </w:r>
      <w:r w:rsidR="00054FC2">
        <w:t xml:space="preserve"> example</w:t>
      </w:r>
      <w:r w:rsidR="00324A82">
        <w:t>, these tools</w:t>
      </w:r>
      <w:r w:rsidR="00054FC2">
        <w:t xml:space="preserve"> allow one to see that, if emissions remain high, the average daily temperature in Madison, Wisconsin in 2050 will be approximately the same as the average historical temperature of St. Louis (1961-1990). Modeled data like these provide an opportunity for planning and mitigation based on what </w:t>
      </w:r>
      <w:r w:rsidR="0009550D">
        <w:t xml:space="preserve">climatic conditions </w:t>
      </w:r>
      <w:r w:rsidR="00B944CF">
        <w:t>we</w:t>
      </w:r>
      <w:r w:rsidR="0009550D">
        <w:t xml:space="preserve"> can</w:t>
      </w:r>
      <w:r w:rsidR="00054FC2">
        <w:t xml:space="preserve"> expect the workforce to be facing now and in the future.</w:t>
      </w:r>
      <w:r w:rsidR="00A15D7B">
        <w:t xml:space="preserve"> </w:t>
      </w:r>
    </w:p>
    <w:p w14:paraId="62960EC3" w14:textId="79F5F15B" w:rsidR="00054FC2" w:rsidRDefault="00054FC2" w:rsidP="000F4C11">
      <w:pPr>
        <w:spacing w:after="0" w:line="240" w:lineRule="auto"/>
      </w:pPr>
    </w:p>
    <w:p w14:paraId="6B39264B" w14:textId="50119DCD" w:rsidR="00054FC2" w:rsidRPr="00A15D7B" w:rsidRDefault="00054FC2" w:rsidP="000F4C11">
      <w:pPr>
        <w:spacing w:after="0" w:line="240" w:lineRule="auto"/>
        <w:rPr>
          <w:i/>
          <w:iCs/>
        </w:rPr>
      </w:pPr>
      <w:r w:rsidRPr="00A15D7B">
        <w:rPr>
          <w:i/>
          <w:iCs/>
        </w:rPr>
        <w:t>Curren</w:t>
      </w:r>
      <w:r w:rsidR="00A15D7B">
        <w:rPr>
          <w:i/>
          <w:iCs/>
        </w:rPr>
        <w:t>t work and resources</w:t>
      </w:r>
      <w:r w:rsidRPr="00A15D7B">
        <w:rPr>
          <w:i/>
          <w:iCs/>
        </w:rPr>
        <w:t>:</w:t>
      </w:r>
    </w:p>
    <w:p w14:paraId="74980F3F" w14:textId="1744D048" w:rsidR="00A15D7B" w:rsidRDefault="0009550D" w:rsidP="000F4C11">
      <w:pPr>
        <w:spacing w:after="0" w:line="240" w:lineRule="auto"/>
      </w:pPr>
      <w:r>
        <w:t>Each</w:t>
      </w:r>
      <w:r w:rsidR="00054FC2">
        <w:t xml:space="preserve"> region </w:t>
      </w:r>
      <w:r w:rsidR="00B944CF">
        <w:t>has</w:t>
      </w:r>
      <w:r w:rsidR="00054FC2">
        <w:t xml:space="preserve"> different work </w:t>
      </w:r>
      <w:r>
        <w:t xml:space="preserve">being </w:t>
      </w:r>
      <w:r w:rsidR="00695EC0">
        <w:t>conducted</w:t>
      </w:r>
      <w:r>
        <w:t xml:space="preserve"> at the local level. It is useful to assess ongoing projects and potential partnerships</w:t>
      </w:r>
      <w:r w:rsidR="00B944CF">
        <w:t xml:space="preserve"> (</w:t>
      </w:r>
      <w:r w:rsidR="00695EC0">
        <w:t xml:space="preserve">also see the </w:t>
      </w:r>
      <w:r w:rsidR="00C27171">
        <w:t>“Identifying and engaging potential partners” section of this document</w:t>
      </w:r>
      <w:r w:rsidR="00B944CF">
        <w:t>)</w:t>
      </w:r>
      <w:r>
        <w:t>. For instance, many universities and colleges will have environmental sciences or conservation programs. There also may be ongoing work from federal grants in your region. Both th</w:t>
      </w:r>
      <w:r w:rsidR="00DD6536">
        <w:t xml:space="preserve">e </w:t>
      </w:r>
      <w:r w:rsidR="00DD6536" w:rsidRPr="00DD6536">
        <w:t>Climate-Ready States &amp; Cities Initiative</w:t>
      </w:r>
      <w:r w:rsidR="00753CDA">
        <w:t xml:space="preserve"> (CRSCI)</w:t>
      </w:r>
      <w:r w:rsidR="00E10E38">
        <w:rPr>
          <w:rStyle w:val="FootnoteReference"/>
        </w:rPr>
        <w:footnoteReference w:id="13"/>
      </w:r>
      <w:r w:rsidR="00DD6536" w:rsidRPr="00DD6536">
        <w:t xml:space="preserve"> </w:t>
      </w:r>
      <w:r w:rsidR="00DD6536">
        <w:t xml:space="preserve">and the </w:t>
      </w:r>
      <w:r w:rsidR="00753CDA">
        <w:t xml:space="preserve">National </w:t>
      </w:r>
      <w:r w:rsidR="00DD6536">
        <w:t xml:space="preserve">Environmental Public Health Tracking </w:t>
      </w:r>
      <w:r w:rsidR="00753CDA">
        <w:t xml:space="preserve">(EPHT) </w:t>
      </w:r>
      <w:r w:rsidR="00DD6536">
        <w:t>Program</w:t>
      </w:r>
      <w:r w:rsidR="00E10E38">
        <w:rPr>
          <w:rStyle w:val="FootnoteReference"/>
        </w:rPr>
        <w:footnoteReference w:id="14"/>
      </w:r>
      <w:r w:rsidR="00DD6536">
        <w:t xml:space="preserve"> have </w:t>
      </w:r>
      <w:r w:rsidR="00A15D7B">
        <w:t>state-level</w:t>
      </w:r>
      <w:r w:rsidR="00DD6536">
        <w:t xml:space="preserve"> grant recipients </w:t>
      </w:r>
      <w:r w:rsidR="00A15D7B">
        <w:t xml:space="preserve">throughout the country. These groups are involved in efforts that could provide the groundwork for any initiatives aimed at worker populations. </w:t>
      </w:r>
      <w:r w:rsidR="00B745B2">
        <w:t xml:space="preserve">They are also resources that could help you </w:t>
      </w:r>
      <w:r w:rsidR="00695EC0">
        <w:t>establish</w:t>
      </w:r>
      <w:r w:rsidR="00B745B2">
        <w:t xml:space="preserve"> the state of the climate in your region.</w:t>
      </w:r>
    </w:p>
    <w:p w14:paraId="4634DAF3" w14:textId="77777777" w:rsidR="00A15D7B" w:rsidRDefault="00A15D7B" w:rsidP="000F4C11">
      <w:pPr>
        <w:spacing w:after="0" w:line="240" w:lineRule="auto"/>
      </w:pPr>
    </w:p>
    <w:p w14:paraId="3555078E" w14:textId="77777777" w:rsidR="00A15D7B" w:rsidRPr="00A15D7B" w:rsidRDefault="00A15D7B" w:rsidP="000F4C11">
      <w:pPr>
        <w:spacing w:after="0" w:line="240" w:lineRule="auto"/>
        <w:rPr>
          <w:i/>
          <w:iCs/>
        </w:rPr>
      </w:pPr>
      <w:r w:rsidRPr="00A15D7B">
        <w:rPr>
          <w:i/>
          <w:iCs/>
        </w:rPr>
        <w:t>State climatologists:</w:t>
      </w:r>
    </w:p>
    <w:p w14:paraId="09E38908" w14:textId="2B12B097" w:rsidR="00A15D7B" w:rsidRDefault="00A15D7B" w:rsidP="000F4C11">
      <w:pPr>
        <w:spacing w:after="0" w:line="240" w:lineRule="auto"/>
      </w:pPr>
      <w:r>
        <w:t>Most states have a state climatologist whose job it is to study climatic changes and variability and predict the effects of weather and climate for economic</w:t>
      </w:r>
      <w:r w:rsidR="0014727F">
        <w:t xml:space="preserve"> and other</w:t>
      </w:r>
      <w:r>
        <w:t xml:space="preserve"> purposes.</w:t>
      </w:r>
      <w:r w:rsidR="00B944CF">
        <w:rPr>
          <w:rStyle w:val="FootnoteReference"/>
        </w:rPr>
        <w:footnoteReference w:id="15"/>
      </w:r>
      <w:r>
        <w:t xml:space="preserve"> The state climatologist is a potential informational resource as well as someone with a vested interest in </w:t>
      </w:r>
      <w:r w:rsidR="00753CDA">
        <w:t xml:space="preserve">how climate change will affect workers and the economy. Connecting with your state climatologist may provide opportunities to leverage existing resources or collaborate on future initiatives. </w:t>
      </w:r>
      <w:r w:rsidR="00784B99">
        <w:t xml:space="preserve">This person may also be aware of </w:t>
      </w:r>
      <w:r w:rsidR="00292752">
        <w:t xml:space="preserve">existing </w:t>
      </w:r>
      <w:r w:rsidR="00FA2EA8">
        <w:t xml:space="preserve">outreach, analysis, or </w:t>
      </w:r>
      <w:r w:rsidR="00292752">
        <w:t xml:space="preserve">mitigation efforts within other branches of state or local government. </w:t>
      </w:r>
    </w:p>
    <w:p w14:paraId="3FE21DBA" w14:textId="609B4EB2" w:rsidR="000A7695" w:rsidRDefault="000A7695" w:rsidP="000F4C11">
      <w:pPr>
        <w:spacing w:after="0" w:line="240" w:lineRule="auto"/>
      </w:pPr>
    </w:p>
    <w:p w14:paraId="4126F29B" w14:textId="2AC8A684" w:rsidR="000A7695" w:rsidRDefault="000A7695" w:rsidP="000F4C11">
      <w:pPr>
        <w:spacing w:after="0" w:line="240" w:lineRule="auto"/>
      </w:pPr>
      <w:r w:rsidRPr="000A7695">
        <w:rPr>
          <w:i/>
          <w:iCs/>
        </w:rPr>
        <w:t>Region specific issues:</w:t>
      </w:r>
      <w:r>
        <w:t xml:space="preserve"> [</w:t>
      </w:r>
      <w:r w:rsidRPr="000A7695">
        <w:rPr>
          <w:highlight w:val="yellow"/>
        </w:rPr>
        <w:t>Example, housing in Wisconsin</w:t>
      </w:r>
      <w:r>
        <w:t>]</w:t>
      </w:r>
    </w:p>
    <w:p w14:paraId="3EA509BA" w14:textId="5C72F052" w:rsidR="00A15D7B" w:rsidRDefault="00A15D7B" w:rsidP="000F4C11">
      <w:pPr>
        <w:spacing w:after="0" w:line="240" w:lineRule="auto"/>
      </w:pPr>
    </w:p>
    <w:p w14:paraId="05010CA0" w14:textId="2AF4E58E" w:rsidR="00FB66E3" w:rsidRPr="0071246B" w:rsidRDefault="00FB66E3" w:rsidP="005B27DF">
      <w:pPr>
        <w:pStyle w:val="ListParagraph"/>
        <w:numPr>
          <w:ilvl w:val="1"/>
          <w:numId w:val="1"/>
        </w:numPr>
        <w:spacing w:after="0" w:line="240" w:lineRule="auto"/>
        <w:rPr>
          <w:color w:val="2E74B5" w:themeColor="accent5" w:themeShade="BF"/>
        </w:rPr>
      </w:pPr>
      <w:r w:rsidRPr="0071246B">
        <w:rPr>
          <w:color w:val="2E74B5" w:themeColor="accent5" w:themeShade="BF"/>
        </w:rPr>
        <w:t xml:space="preserve">Add Brief description of identifying work-related </w:t>
      </w:r>
      <w:r w:rsidR="004E068C" w:rsidRPr="0071246B">
        <w:rPr>
          <w:color w:val="2E74B5" w:themeColor="accent5" w:themeShade="BF"/>
          <w:highlight w:val="cyan"/>
        </w:rPr>
        <w:t>(Marija)</w:t>
      </w:r>
    </w:p>
    <w:p w14:paraId="0892F02F" w14:textId="74CDF98F" w:rsidR="00FB66E3" w:rsidRPr="0071246B" w:rsidRDefault="00FB66E3" w:rsidP="00FB66E3">
      <w:pPr>
        <w:pStyle w:val="ListParagraph"/>
        <w:numPr>
          <w:ilvl w:val="2"/>
          <w:numId w:val="1"/>
        </w:numPr>
        <w:spacing w:after="0" w:line="240" w:lineRule="auto"/>
        <w:rPr>
          <w:color w:val="2E74B5" w:themeColor="accent5" w:themeShade="BF"/>
        </w:rPr>
      </w:pPr>
      <w:r w:rsidRPr="0071246B">
        <w:rPr>
          <w:color w:val="2E74B5" w:themeColor="accent5" w:themeShade="BF"/>
        </w:rPr>
        <w:t>Inclusion / reference to Terry Bunn paper</w:t>
      </w:r>
    </w:p>
    <w:p w14:paraId="1CEBCBA0" w14:textId="28F4C700" w:rsidR="00E71D41" w:rsidRPr="0071246B" w:rsidRDefault="00E71D41" w:rsidP="00FB66E3">
      <w:pPr>
        <w:pStyle w:val="ListParagraph"/>
        <w:numPr>
          <w:ilvl w:val="2"/>
          <w:numId w:val="1"/>
        </w:numPr>
        <w:spacing w:after="0" w:line="240" w:lineRule="auto"/>
        <w:rPr>
          <w:color w:val="2E74B5" w:themeColor="accent5" w:themeShade="BF"/>
        </w:rPr>
      </w:pPr>
      <w:r w:rsidRPr="0071246B">
        <w:rPr>
          <w:color w:val="2E74B5" w:themeColor="accent5" w:themeShade="BF"/>
        </w:rPr>
        <w:t xml:space="preserve">Cite CSTE White paper – syndromic guidance document and </w:t>
      </w:r>
      <w:proofErr w:type="gramStart"/>
      <w:r w:rsidRPr="0071246B">
        <w:rPr>
          <w:color w:val="2E74B5" w:themeColor="accent5" w:themeShade="BF"/>
        </w:rPr>
        <w:t>example</w:t>
      </w:r>
      <w:proofErr w:type="gramEnd"/>
    </w:p>
    <w:p w14:paraId="5E07BC43" w14:textId="69CE4DA0" w:rsidR="00F51F46" w:rsidRDefault="00F51F46" w:rsidP="00F51F46">
      <w:pPr>
        <w:pStyle w:val="ListParagraph"/>
        <w:spacing w:after="0" w:line="240" w:lineRule="auto"/>
        <w:ind w:left="360"/>
        <w:rPr>
          <w:color w:val="2E74B5" w:themeColor="accent5" w:themeShade="BF"/>
        </w:rPr>
      </w:pPr>
    </w:p>
    <w:p w14:paraId="56315CB3" w14:textId="4ECA48B5" w:rsidR="00BF07EC" w:rsidRDefault="00F51F46" w:rsidP="00F51F46">
      <w:pPr>
        <w:spacing w:after="0" w:line="240" w:lineRule="auto"/>
      </w:pPr>
      <w:r>
        <w:t>There is no single source of data that is available that can identify all work-related injuries and illnesses</w:t>
      </w:r>
      <w:r w:rsidR="00313412">
        <w:t>,</w:t>
      </w:r>
      <w:r>
        <w:t xml:space="preserve"> and multiple data sources are often needed to help provide information on the distribution of work-</w:t>
      </w:r>
      <w:r>
        <w:lastRenderedPageBreak/>
        <w:t>related illnesses and injuries.</w:t>
      </w:r>
      <w:r>
        <w:rPr>
          <w:rStyle w:val="FootnoteReference"/>
        </w:rPr>
        <w:footnoteReference w:id="16"/>
      </w:r>
      <w:r w:rsidRPr="006F1EBD">
        <w:rPr>
          <w:vertAlign w:val="superscript"/>
        </w:rPr>
        <w:t>,</w:t>
      </w:r>
      <w:r>
        <w:rPr>
          <w:rStyle w:val="FootnoteReference"/>
        </w:rPr>
        <w:footnoteReference w:id="17"/>
      </w:r>
      <w:r>
        <w:rPr>
          <w:vertAlign w:val="superscript"/>
        </w:rPr>
        <w:t xml:space="preserve">  </w:t>
      </w:r>
      <w:r>
        <w:t xml:space="preserve">Therefore, states need to identify the data sources they have access </w:t>
      </w:r>
      <w:r w:rsidR="00313412">
        <w:t>to</w:t>
      </w:r>
      <w:r>
        <w:t xml:space="preserve"> </w:t>
      </w:r>
      <w:r w:rsidR="00617252">
        <w:t xml:space="preserve">in their jurisdiction </w:t>
      </w:r>
      <w:r>
        <w:t xml:space="preserve">and what variables are available in those data sources to help identify work-related injuries and illnesses. </w:t>
      </w:r>
      <w:r w:rsidR="00BF07EC" w:rsidRPr="00BF07EC">
        <w:t xml:space="preserve">Common data sources include syndromic surveillance, death record data, emergency discharge and hospitalization data, and workers compensation claims. </w:t>
      </w:r>
    </w:p>
    <w:p w14:paraId="60CBB8B4" w14:textId="77777777" w:rsidR="00617252" w:rsidRDefault="00617252" w:rsidP="00F51F46">
      <w:pPr>
        <w:spacing w:after="0" w:line="240" w:lineRule="auto"/>
      </w:pPr>
    </w:p>
    <w:p w14:paraId="4117E5EE" w14:textId="3EA2AC13" w:rsidR="00BF07EC" w:rsidRDefault="00F51F46" w:rsidP="00BF07EC">
      <w:pPr>
        <w:spacing w:after="0" w:line="240" w:lineRule="auto"/>
      </w:pPr>
      <w:r>
        <w:t xml:space="preserve">The table below lists the </w:t>
      </w:r>
      <w:proofErr w:type="gramStart"/>
      <w:r>
        <w:t>most commonly used</w:t>
      </w:r>
      <w:proofErr w:type="gramEnd"/>
      <w:r>
        <w:t xml:space="preserve"> data sources for occupational health surveillance along with </w:t>
      </w:r>
      <w:r w:rsidR="00617252">
        <w:t xml:space="preserve">example </w:t>
      </w:r>
      <w:r>
        <w:t>variables</w:t>
      </w:r>
      <w:r w:rsidR="00041542">
        <w:t>,</w:t>
      </w:r>
      <w:r w:rsidR="00617252">
        <w:t xml:space="preserve"> and references</w:t>
      </w:r>
      <w:r w:rsidR="00041542">
        <w:t>,</w:t>
      </w:r>
      <w:r w:rsidR="00617252">
        <w:t xml:space="preserve"> that</w:t>
      </w:r>
      <w:r>
        <w:t xml:space="preserve"> may be used to</w:t>
      </w:r>
      <w:r w:rsidR="00617252">
        <w:t xml:space="preserve"> help determine</w:t>
      </w:r>
      <w:r>
        <w:t xml:space="preserve"> work-relatedness. It should be noted that these variables may </w:t>
      </w:r>
      <w:r w:rsidR="00B178D7">
        <w:t>differ</w:t>
      </w:r>
      <w:r>
        <w:t xml:space="preserve"> by state</w:t>
      </w:r>
      <w:r w:rsidR="00041542">
        <w:t>,</w:t>
      </w:r>
      <w:r w:rsidR="00617252">
        <w:t xml:space="preserve"> as states often have access to different data sources; information for similar data sources may be collected differently state-to-state; and d</w:t>
      </w:r>
      <w:r w:rsidR="00617252" w:rsidRPr="00C33F9B">
        <w:t xml:space="preserve">ata </w:t>
      </w:r>
      <w:r w:rsidR="00617252">
        <w:t xml:space="preserve">may </w:t>
      </w:r>
      <w:r w:rsidR="00617252" w:rsidRPr="00C33F9B">
        <w:t>vary state-to-state as different regions of the country experience different types of work-related injuries and illnesses.</w:t>
      </w:r>
      <w:r w:rsidR="00617252">
        <w:rPr>
          <w:rStyle w:val="FootnoteReference"/>
        </w:rPr>
        <w:footnoteReference w:id="18"/>
      </w:r>
      <w:r w:rsidR="00BF07EC">
        <w:t xml:space="preserve"> </w:t>
      </w:r>
      <w:r w:rsidR="00BF07EC" w:rsidRPr="00BF07EC">
        <w:t>Additional details, including strengths and weaknesses</w:t>
      </w:r>
      <w:r w:rsidR="00C116F5">
        <w:t>,</w:t>
      </w:r>
      <w:r w:rsidR="00BF07EC" w:rsidRPr="00BF07EC">
        <w:t xml:space="preserve"> </w:t>
      </w:r>
      <w:r w:rsidR="00C116F5">
        <w:t>for</w:t>
      </w:r>
      <w:r w:rsidR="00BF07EC" w:rsidRPr="00BF07EC">
        <w:t xml:space="preserve"> these data sources </w:t>
      </w:r>
      <w:r w:rsidR="00313412">
        <w:t xml:space="preserve">can be found in the </w:t>
      </w:r>
      <w:commentRangeStart w:id="1"/>
      <w:r w:rsidR="00313412">
        <w:t xml:space="preserve">Appendix D: Data </w:t>
      </w:r>
      <w:commentRangeEnd w:id="1"/>
      <w:r w:rsidR="00313412">
        <w:rPr>
          <w:rStyle w:val="CommentReference"/>
        </w:rPr>
        <w:commentReference w:id="1"/>
      </w:r>
      <w:r w:rsidR="00313412">
        <w:t xml:space="preserve">Sources of the </w:t>
      </w:r>
      <w:hyperlink r:id="rId13" w:history="1">
        <w:r w:rsidR="00313412" w:rsidRPr="00313412">
          <w:rPr>
            <w:rStyle w:val="Hyperlink"/>
          </w:rPr>
          <w:t>CSTE Occupational Health Indicators: A Guide for tracking Occupational Health Conditions and Their Determinants</w:t>
        </w:r>
      </w:hyperlink>
      <w:r w:rsidR="00313412">
        <w:t>.</w:t>
      </w:r>
    </w:p>
    <w:p w14:paraId="79AE9D85" w14:textId="3ADDFBF1" w:rsidR="00BF07EC" w:rsidRDefault="00BF07EC" w:rsidP="00BF07EC">
      <w:pPr>
        <w:spacing w:after="0" w:line="240" w:lineRule="auto"/>
      </w:pPr>
    </w:p>
    <w:p w14:paraId="1D543C98" w14:textId="77777777" w:rsidR="00BF07EC" w:rsidRDefault="00BF07EC" w:rsidP="00BF07EC">
      <w:pPr>
        <w:spacing w:after="0" w:line="240" w:lineRule="auto"/>
        <w:sectPr w:rsidR="00BF07EC">
          <w:footerReference w:type="default" r:id="rId14"/>
          <w:pgSz w:w="12240" w:h="15840"/>
          <w:pgMar w:top="1440" w:right="1440" w:bottom="1440" w:left="1440" w:header="720" w:footer="720" w:gutter="0"/>
          <w:cols w:space="720"/>
          <w:docGrid w:linePitch="360"/>
        </w:sectPr>
      </w:pPr>
    </w:p>
    <w:p w14:paraId="0CFB4BF9" w14:textId="0A201B13" w:rsidR="00F51F46" w:rsidRDefault="00F51F46" w:rsidP="00F51F46">
      <w:pPr>
        <w:spacing w:after="0" w:line="240" w:lineRule="auto"/>
      </w:pPr>
      <w:r w:rsidRPr="00FB535A">
        <w:rPr>
          <w:b/>
          <w:bCs/>
        </w:rPr>
        <w:lastRenderedPageBreak/>
        <w:t>Table</w:t>
      </w:r>
      <w:r>
        <w:t>. Data sources containing work-related variables</w:t>
      </w:r>
      <w:r w:rsidR="001F1F9C">
        <w:t>*</w:t>
      </w:r>
    </w:p>
    <w:p w14:paraId="1F9E4A6E" w14:textId="77777777" w:rsidR="00F51F46" w:rsidRDefault="00F51F46" w:rsidP="00F51F46">
      <w:pPr>
        <w:spacing w:after="0" w:line="240" w:lineRule="auto"/>
      </w:pPr>
    </w:p>
    <w:tbl>
      <w:tblPr>
        <w:tblStyle w:val="TableGrid"/>
        <w:tblW w:w="14130" w:type="dxa"/>
        <w:tblInd w:w="-635" w:type="dxa"/>
        <w:tblLook w:val="04A0" w:firstRow="1" w:lastRow="0" w:firstColumn="1" w:lastColumn="0" w:noHBand="0" w:noVBand="1"/>
      </w:tblPr>
      <w:tblGrid>
        <w:gridCol w:w="1871"/>
        <w:gridCol w:w="1728"/>
        <w:gridCol w:w="2040"/>
        <w:gridCol w:w="4981"/>
        <w:gridCol w:w="3510"/>
      </w:tblGrid>
      <w:tr w:rsidR="00313412" w:rsidRPr="008635C5" w14:paraId="516B92E9" w14:textId="77777777" w:rsidTr="00313412">
        <w:tc>
          <w:tcPr>
            <w:tcW w:w="1871" w:type="dxa"/>
            <w:shd w:val="clear" w:color="auto" w:fill="D9D9D9" w:themeFill="background1" w:themeFillShade="D9"/>
          </w:tcPr>
          <w:p w14:paraId="169A0F91" w14:textId="77777777" w:rsidR="00313412" w:rsidRPr="008635C5" w:rsidRDefault="00313412" w:rsidP="003D5EDB">
            <w:pPr>
              <w:rPr>
                <w:b/>
                <w:bCs/>
              </w:rPr>
            </w:pPr>
            <w:r w:rsidRPr="008635C5">
              <w:rPr>
                <w:b/>
                <w:bCs/>
              </w:rPr>
              <w:t>Data Source</w:t>
            </w:r>
          </w:p>
        </w:tc>
        <w:tc>
          <w:tcPr>
            <w:tcW w:w="1728" w:type="dxa"/>
            <w:shd w:val="clear" w:color="auto" w:fill="D9D9D9" w:themeFill="background1" w:themeFillShade="D9"/>
          </w:tcPr>
          <w:p w14:paraId="2F53EA98" w14:textId="77777777" w:rsidR="00313412" w:rsidRPr="008635C5" w:rsidRDefault="00313412" w:rsidP="003D5EDB">
            <w:pPr>
              <w:rPr>
                <w:b/>
                <w:bCs/>
              </w:rPr>
            </w:pPr>
            <w:r>
              <w:rPr>
                <w:b/>
                <w:bCs/>
              </w:rPr>
              <w:t>Collected By</w:t>
            </w:r>
          </w:p>
        </w:tc>
        <w:tc>
          <w:tcPr>
            <w:tcW w:w="2040" w:type="dxa"/>
            <w:shd w:val="clear" w:color="auto" w:fill="D9D9D9" w:themeFill="background1" w:themeFillShade="D9"/>
          </w:tcPr>
          <w:p w14:paraId="05799493" w14:textId="4474ABB2" w:rsidR="00313412" w:rsidRPr="008635C5" w:rsidRDefault="00313412" w:rsidP="003D5EDB">
            <w:pPr>
              <w:rPr>
                <w:b/>
                <w:bCs/>
              </w:rPr>
            </w:pPr>
            <w:r>
              <w:rPr>
                <w:b/>
                <w:bCs/>
              </w:rPr>
              <w:t>Available in Near-Realtime</w:t>
            </w:r>
          </w:p>
        </w:tc>
        <w:tc>
          <w:tcPr>
            <w:tcW w:w="4981" w:type="dxa"/>
            <w:shd w:val="clear" w:color="auto" w:fill="D9D9D9" w:themeFill="background1" w:themeFillShade="D9"/>
          </w:tcPr>
          <w:p w14:paraId="415B968C" w14:textId="0CBB5D8E" w:rsidR="00313412" w:rsidRPr="008635C5" w:rsidRDefault="00313412" w:rsidP="003D5EDB">
            <w:pPr>
              <w:rPr>
                <w:b/>
                <w:bCs/>
              </w:rPr>
            </w:pPr>
            <w:r w:rsidRPr="008635C5">
              <w:rPr>
                <w:b/>
                <w:bCs/>
              </w:rPr>
              <w:t>Possible Work Variables</w:t>
            </w:r>
          </w:p>
        </w:tc>
        <w:tc>
          <w:tcPr>
            <w:tcW w:w="3510" w:type="dxa"/>
            <w:shd w:val="clear" w:color="auto" w:fill="D9D9D9" w:themeFill="background1" w:themeFillShade="D9"/>
          </w:tcPr>
          <w:p w14:paraId="71AB3DB7" w14:textId="76FC46BE" w:rsidR="00313412" w:rsidRPr="008635C5" w:rsidRDefault="00313412" w:rsidP="003D5EDB">
            <w:pPr>
              <w:rPr>
                <w:b/>
                <w:bCs/>
              </w:rPr>
            </w:pPr>
            <w:r>
              <w:rPr>
                <w:b/>
                <w:bCs/>
              </w:rPr>
              <w:t>References</w:t>
            </w:r>
          </w:p>
        </w:tc>
      </w:tr>
      <w:tr w:rsidR="00313412" w14:paraId="3659F7EB" w14:textId="77777777" w:rsidTr="00313412">
        <w:tc>
          <w:tcPr>
            <w:tcW w:w="1871" w:type="dxa"/>
          </w:tcPr>
          <w:p w14:paraId="26EFD12F" w14:textId="77777777" w:rsidR="00313412" w:rsidRDefault="00313412" w:rsidP="009938FC">
            <w:r>
              <w:t>Emergency and Hospital Discharge Data</w:t>
            </w:r>
          </w:p>
        </w:tc>
        <w:tc>
          <w:tcPr>
            <w:tcW w:w="1728" w:type="dxa"/>
          </w:tcPr>
          <w:p w14:paraId="5938B810" w14:textId="77777777" w:rsidR="00313412" w:rsidRDefault="00313412" w:rsidP="009938FC">
            <w:r>
              <w:t>State health department</w:t>
            </w:r>
          </w:p>
        </w:tc>
        <w:tc>
          <w:tcPr>
            <w:tcW w:w="2040" w:type="dxa"/>
          </w:tcPr>
          <w:p w14:paraId="1A2123E7" w14:textId="7C962551" w:rsidR="00313412" w:rsidRDefault="00313412" w:rsidP="009938FC">
            <w:r>
              <w:t>No. Availability depends on jurisdiction</w:t>
            </w:r>
          </w:p>
        </w:tc>
        <w:tc>
          <w:tcPr>
            <w:tcW w:w="4981" w:type="dxa"/>
          </w:tcPr>
          <w:p w14:paraId="6FFA1C4B" w14:textId="2445858C" w:rsidR="00313412" w:rsidRDefault="00313412" w:rsidP="009938FC">
            <w:r>
              <w:t xml:space="preserve">Workers’ Compensation as primary payer; ICD-codes in discharge diagnosis (disease conditions or indicating work-relatedness); V- and Z- codes indicating work-relatedness </w:t>
            </w:r>
          </w:p>
        </w:tc>
        <w:tc>
          <w:tcPr>
            <w:tcW w:w="3510" w:type="dxa"/>
          </w:tcPr>
          <w:p w14:paraId="691C6B52" w14:textId="05FA57F6" w:rsidR="00313412" w:rsidRDefault="00000000" w:rsidP="009938FC">
            <w:hyperlink r:id="rId15" w:history="1">
              <w:r w:rsidR="00313412" w:rsidRPr="0060027F">
                <w:rPr>
                  <w:rStyle w:val="Hyperlink"/>
                </w:rPr>
                <w:t>CSTE Occupational Health Indicators How-To Guide</w:t>
              </w:r>
            </w:hyperlink>
            <w:r w:rsidR="00313412">
              <w:t>;</w:t>
            </w:r>
          </w:p>
          <w:p w14:paraId="024E0F38" w14:textId="7C40D513" w:rsidR="00313412" w:rsidRDefault="00000000" w:rsidP="009938FC">
            <w:hyperlink r:id="rId16" w:history="1">
              <w:r w:rsidR="00313412" w:rsidRPr="0060027F">
                <w:rPr>
                  <w:rStyle w:val="Hyperlink"/>
                </w:rPr>
                <w:t>Identification of Work-Related Injuries (Bush et al)</w:t>
              </w:r>
            </w:hyperlink>
          </w:p>
          <w:p w14:paraId="07AA9670" w14:textId="77777777" w:rsidR="00313412" w:rsidRDefault="00313412" w:rsidP="009938FC"/>
        </w:tc>
      </w:tr>
      <w:tr w:rsidR="00313412" w14:paraId="19C3FBDA" w14:textId="77777777" w:rsidTr="00313412">
        <w:tc>
          <w:tcPr>
            <w:tcW w:w="1871" w:type="dxa"/>
          </w:tcPr>
          <w:p w14:paraId="3488C9CE" w14:textId="77777777" w:rsidR="00313412" w:rsidRDefault="00313412" w:rsidP="009938FC">
            <w:r>
              <w:t>Death Certificates</w:t>
            </w:r>
          </w:p>
        </w:tc>
        <w:tc>
          <w:tcPr>
            <w:tcW w:w="1728" w:type="dxa"/>
          </w:tcPr>
          <w:p w14:paraId="7EB2AD69" w14:textId="77777777" w:rsidR="00313412" w:rsidRDefault="00313412" w:rsidP="009938FC">
            <w:r>
              <w:t>State vital statistics</w:t>
            </w:r>
          </w:p>
        </w:tc>
        <w:tc>
          <w:tcPr>
            <w:tcW w:w="2040" w:type="dxa"/>
          </w:tcPr>
          <w:p w14:paraId="1BA3600B" w14:textId="74EBF363" w:rsidR="00313412" w:rsidRDefault="00313412" w:rsidP="009938FC">
            <w:r>
              <w:t>No. Availability depends on jurisdiction</w:t>
            </w:r>
          </w:p>
        </w:tc>
        <w:tc>
          <w:tcPr>
            <w:tcW w:w="4981" w:type="dxa"/>
          </w:tcPr>
          <w:p w14:paraId="27B3A396" w14:textId="046B18CF" w:rsidR="00313412" w:rsidRDefault="00313412" w:rsidP="009938FC">
            <w:r>
              <w:t>Industry and occupation free text fields; location of death; place of injury; employer name and address; flag for injury at work</w:t>
            </w:r>
          </w:p>
        </w:tc>
        <w:tc>
          <w:tcPr>
            <w:tcW w:w="3510" w:type="dxa"/>
          </w:tcPr>
          <w:p w14:paraId="31977082" w14:textId="47124FB7" w:rsidR="00313412" w:rsidRDefault="00313412" w:rsidP="009938FC"/>
        </w:tc>
      </w:tr>
      <w:tr w:rsidR="00313412" w14:paraId="7EF203E7" w14:textId="77777777" w:rsidTr="00313412">
        <w:tc>
          <w:tcPr>
            <w:tcW w:w="1871" w:type="dxa"/>
          </w:tcPr>
          <w:p w14:paraId="0EA19EC2" w14:textId="77777777" w:rsidR="00313412" w:rsidRDefault="00313412" w:rsidP="009938FC">
            <w:r>
              <w:t>Workers’ Compensation</w:t>
            </w:r>
          </w:p>
        </w:tc>
        <w:tc>
          <w:tcPr>
            <w:tcW w:w="1728" w:type="dxa"/>
          </w:tcPr>
          <w:p w14:paraId="695433AB" w14:textId="3A37FC08" w:rsidR="00313412" w:rsidRDefault="00313412" w:rsidP="009938FC">
            <w:r>
              <w:t>Data owner/manager of WC data in your state (Dept of Labor)</w:t>
            </w:r>
          </w:p>
        </w:tc>
        <w:tc>
          <w:tcPr>
            <w:tcW w:w="2040" w:type="dxa"/>
          </w:tcPr>
          <w:p w14:paraId="045AE9FC" w14:textId="0F1B3F77" w:rsidR="00313412" w:rsidRDefault="00313412" w:rsidP="009938FC">
            <w:r>
              <w:t>No. Availability depends on jurisdiction</w:t>
            </w:r>
          </w:p>
        </w:tc>
        <w:tc>
          <w:tcPr>
            <w:tcW w:w="4981" w:type="dxa"/>
          </w:tcPr>
          <w:p w14:paraId="5E4F13FE" w14:textId="65A84B3A" w:rsidR="00313412" w:rsidRDefault="00313412" w:rsidP="009938FC">
            <w:r>
              <w:t>All data is work-related by default; industry and occupation available; ICD-codes; keyword search in narratives</w:t>
            </w:r>
          </w:p>
        </w:tc>
        <w:tc>
          <w:tcPr>
            <w:tcW w:w="3510" w:type="dxa"/>
          </w:tcPr>
          <w:p w14:paraId="1ABECE31" w14:textId="352AD7F6" w:rsidR="00313412" w:rsidRDefault="00000000" w:rsidP="009938FC">
            <w:hyperlink r:id="rId17" w:history="1">
              <w:r w:rsidR="00313412" w:rsidRPr="0060027F">
                <w:rPr>
                  <w:rStyle w:val="Hyperlink"/>
                </w:rPr>
                <w:t>CSTE Occupational Health Indicators How-To Guide</w:t>
              </w:r>
            </w:hyperlink>
            <w:r w:rsidR="00313412">
              <w:t>;</w:t>
            </w:r>
          </w:p>
          <w:p w14:paraId="24F8FC41" w14:textId="77777777" w:rsidR="00313412" w:rsidRDefault="00313412" w:rsidP="009938FC"/>
        </w:tc>
      </w:tr>
      <w:tr w:rsidR="00313412" w14:paraId="470B94EB" w14:textId="77777777" w:rsidTr="00313412">
        <w:tc>
          <w:tcPr>
            <w:tcW w:w="1871" w:type="dxa"/>
          </w:tcPr>
          <w:p w14:paraId="258CC143" w14:textId="77777777" w:rsidR="00313412" w:rsidRDefault="00313412" w:rsidP="009938FC">
            <w:r>
              <w:t>Syndromic Surveillance (ESSENCE or in-house system)</w:t>
            </w:r>
          </w:p>
        </w:tc>
        <w:tc>
          <w:tcPr>
            <w:tcW w:w="1728" w:type="dxa"/>
          </w:tcPr>
          <w:p w14:paraId="23DEE30F" w14:textId="77777777" w:rsidR="00313412" w:rsidRDefault="00313412" w:rsidP="009938FC">
            <w:r>
              <w:t xml:space="preserve">Liaison in state health department infectious disease program </w:t>
            </w:r>
          </w:p>
        </w:tc>
        <w:tc>
          <w:tcPr>
            <w:tcW w:w="2040" w:type="dxa"/>
          </w:tcPr>
          <w:p w14:paraId="57BE2305" w14:textId="58D536C6" w:rsidR="00313412" w:rsidRDefault="00313412" w:rsidP="009938FC">
            <w:r>
              <w:t xml:space="preserve">Yes. </w:t>
            </w:r>
          </w:p>
        </w:tc>
        <w:tc>
          <w:tcPr>
            <w:tcW w:w="4981" w:type="dxa"/>
          </w:tcPr>
          <w:p w14:paraId="38B9875F" w14:textId="2ECF09F7" w:rsidR="00313412" w:rsidRDefault="00313412" w:rsidP="009938FC">
            <w:r>
              <w:t>Chief complaint keyword search; triage notes; ICD-codes (disease conditions or indicating work-relatedness)</w:t>
            </w:r>
          </w:p>
        </w:tc>
        <w:tc>
          <w:tcPr>
            <w:tcW w:w="3510" w:type="dxa"/>
          </w:tcPr>
          <w:p w14:paraId="408B27F2" w14:textId="26EDFE71" w:rsidR="00313412" w:rsidRDefault="00000000" w:rsidP="009938FC">
            <w:hyperlink r:id="rId18" w:history="1">
              <w:r w:rsidR="00313412" w:rsidRPr="0060027F">
                <w:rPr>
                  <w:rStyle w:val="Hyperlink"/>
                </w:rPr>
                <w:t>CSTE Syndromic Surveillance for Occupational Health Surveillance</w:t>
              </w:r>
            </w:hyperlink>
            <w:r w:rsidR="00313412">
              <w:t>;</w:t>
            </w:r>
          </w:p>
          <w:p w14:paraId="35883FFD" w14:textId="77777777" w:rsidR="00313412" w:rsidRDefault="00000000" w:rsidP="009938FC">
            <w:hyperlink r:id="rId19" w:history="1">
              <w:r w:rsidR="00313412" w:rsidRPr="0060027F">
                <w:rPr>
                  <w:rStyle w:val="Hyperlink"/>
                </w:rPr>
                <w:t>Evaluation of State Based Syndromic (Borjan et al)</w:t>
              </w:r>
            </w:hyperlink>
          </w:p>
        </w:tc>
      </w:tr>
      <w:tr w:rsidR="00313412" w14:paraId="79082105" w14:textId="77777777" w:rsidTr="00313412">
        <w:tc>
          <w:tcPr>
            <w:tcW w:w="1871" w:type="dxa"/>
          </w:tcPr>
          <w:p w14:paraId="225CC434" w14:textId="77777777" w:rsidR="00313412" w:rsidRDefault="00313412" w:rsidP="009938FC">
            <w:r>
              <w:t>Survey of Occupational Illnesses (SOII)</w:t>
            </w:r>
          </w:p>
        </w:tc>
        <w:tc>
          <w:tcPr>
            <w:tcW w:w="1728" w:type="dxa"/>
          </w:tcPr>
          <w:p w14:paraId="5BDFC7A5" w14:textId="77777777" w:rsidR="00313412" w:rsidRDefault="00000000" w:rsidP="009938FC">
            <w:hyperlink r:id="rId20" w:history="1">
              <w:r w:rsidR="00313412" w:rsidRPr="00830AF0">
                <w:rPr>
                  <w:rStyle w:val="Hyperlink"/>
                </w:rPr>
                <w:t>Bureau of Labor Statistics</w:t>
              </w:r>
            </w:hyperlink>
            <w:r w:rsidR="00313412">
              <w:t xml:space="preserve"> </w:t>
            </w:r>
          </w:p>
        </w:tc>
        <w:tc>
          <w:tcPr>
            <w:tcW w:w="2040" w:type="dxa"/>
          </w:tcPr>
          <w:p w14:paraId="5437F6DA" w14:textId="5605F534" w:rsidR="00313412" w:rsidRDefault="00313412" w:rsidP="009938FC">
            <w:r>
              <w:t>No. One year lag</w:t>
            </w:r>
          </w:p>
        </w:tc>
        <w:tc>
          <w:tcPr>
            <w:tcW w:w="4981" w:type="dxa"/>
          </w:tcPr>
          <w:p w14:paraId="32FAED18" w14:textId="34524BF0" w:rsidR="00313412" w:rsidRDefault="00313412" w:rsidP="009938FC">
            <w:r>
              <w:t>Industry and occupation; number of days away from work</w:t>
            </w:r>
          </w:p>
        </w:tc>
        <w:tc>
          <w:tcPr>
            <w:tcW w:w="3510" w:type="dxa"/>
          </w:tcPr>
          <w:p w14:paraId="5F6677A0" w14:textId="4ECE87D9" w:rsidR="00313412" w:rsidRDefault="00000000" w:rsidP="009938FC">
            <w:hyperlink r:id="rId21" w:history="1">
              <w:r w:rsidR="0002022A" w:rsidRPr="0060027F">
                <w:rPr>
                  <w:rStyle w:val="Hyperlink"/>
                </w:rPr>
                <w:t>CSTE Occupational Health Indicators How-To Guide</w:t>
              </w:r>
            </w:hyperlink>
          </w:p>
        </w:tc>
      </w:tr>
      <w:tr w:rsidR="00313412" w14:paraId="63428053" w14:textId="77777777" w:rsidTr="00313412">
        <w:tc>
          <w:tcPr>
            <w:tcW w:w="1871" w:type="dxa"/>
          </w:tcPr>
          <w:p w14:paraId="47E7AC3C" w14:textId="77777777" w:rsidR="00313412" w:rsidRDefault="00313412" w:rsidP="009938FC">
            <w:r>
              <w:t>Census of Occupational Injuries (CFOI)</w:t>
            </w:r>
          </w:p>
        </w:tc>
        <w:tc>
          <w:tcPr>
            <w:tcW w:w="1728" w:type="dxa"/>
          </w:tcPr>
          <w:p w14:paraId="1DC75789" w14:textId="77777777" w:rsidR="00313412" w:rsidRDefault="00000000" w:rsidP="009938FC">
            <w:hyperlink r:id="rId22" w:history="1">
              <w:r w:rsidR="00313412" w:rsidRPr="00830AF0">
                <w:rPr>
                  <w:rStyle w:val="Hyperlink"/>
                </w:rPr>
                <w:t>Bureau of Labor Statistics</w:t>
              </w:r>
            </w:hyperlink>
          </w:p>
        </w:tc>
        <w:tc>
          <w:tcPr>
            <w:tcW w:w="2040" w:type="dxa"/>
          </w:tcPr>
          <w:p w14:paraId="357C521C" w14:textId="1CB307AC" w:rsidR="00313412" w:rsidRDefault="00313412" w:rsidP="009938FC">
            <w:r>
              <w:t>No. One year lag</w:t>
            </w:r>
          </w:p>
        </w:tc>
        <w:tc>
          <w:tcPr>
            <w:tcW w:w="4981" w:type="dxa"/>
          </w:tcPr>
          <w:p w14:paraId="0375DF2A" w14:textId="0205D9AC" w:rsidR="00313412" w:rsidRDefault="00313412" w:rsidP="009938FC">
            <w:r>
              <w:t>Industry and occupation; employee status</w:t>
            </w:r>
          </w:p>
        </w:tc>
        <w:tc>
          <w:tcPr>
            <w:tcW w:w="3510" w:type="dxa"/>
          </w:tcPr>
          <w:p w14:paraId="5BFF112B" w14:textId="643E6519" w:rsidR="00313412" w:rsidRDefault="00000000" w:rsidP="009938FC">
            <w:hyperlink r:id="rId23" w:history="1">
              <w:r w:rsidR="0002022A" w:rsidRPr="0060027F">
                <w:rPr>
                  <w:rStyle w:val="Hyperlink"/>
                </w:rPr>
                <w:t>CSTE Occupational Health Indicators How-To Guide</w:t>
              </w:r>
            </w:hyperlink>
          </w:p>
        </w:tc>
      </w:tr>
      <w:tr w:rsidR="00313412" w14:paraId="78017C0F" w14:textId="77777777" w:rsidTr="00313412">
        <w:tc>
          <w:tcPr>
            <w:tcW w:w="1871" w:type="dxa"/>
          </w:tcPr>
          <w:p w14:paraId="0941EAF7" w14:textId="77777777" w:rsidR="00313412" w:rsidRDefault="00313412" w:rsidP="009938FC">
            <w:r>
              <w:t>Trauma Registry</w:t>
            </w:r>
          </w:p>
        </w:tc>
        <w:tc>
          <w:tcPr>
            <w:tcW w:w="1728" w:type="dxa"/>
          </w:tcPr>
          <w:p w14:paraId="40DFAE0B" w14:textId="77777777" w:rsidR="00313412" w:rsidRDefault="00313412" w:rsidP="009938FC">
            <w:r>
              <w:t>State health department</w:t>
            </w:r>
          </w:p>
        </w:tc>
        <w:tc>
          <w:tcPr>
            <w:tcW w:w="2040" w:type="dxa"/>
          </w:tcPr>
          <w:p w14:paraId="69D1A06E" w14:textId="1845E87A" w:rsidR="00313412" w:rsidRDefault="005C11A2" w:rsidP="009938FC">
            <w:r>
              <w:t>No. Availability depends on jurisdiction</w:t>
            </w:r>
          </w:p>
        </w:tc>
        <w:tc>
          <w:tcPr>
            <w:tcW w:w="4981" w:type="dxa"/>
          </w:tcPr>
          <w:p w14:paraId="6024AB32" w14:textId="7D66BF9B" w:rsidR="00313412" w:rsidRDefault="00313412" w:rsidP="009938FC">
            <w:r>
              <w:t>ICD-codes; injury description fields</w:t>
            </w:r>
          </w:p>
        </w:tc>
        <w:tc>
          <w:tcPr>
            <w:tcW w:w="3510" w:type="dxa"/>
          </w:tcPr>
          <w:p w14:paraId="79C876C6" w14:textId="2F426E24" w:rsidR="00313412" w:rsidRDefault="00000000" w:rsidP="009938FC">
            <w:hyperlink r:id="rId24" w:history="1">
              <w:r w:rsidR="00313412" w:rsidRPr="00617544">
                <w:rPr>
                  <w:rStyle w:val="Hyperlink"/>
                </w:rPr>
                <w:t>Work-Related Injuries in State Trauma Registry (Bunn et al)</w:t>
              </w:r>
            </w:hyperlink>
            <w:r w:rsidR="00313412">
              <w:t xml:space="preserve">; </w:t>
            </w:r>
          </w:p>
          <w:p w14:paraId="1A81936D" w14:textId="77777777" w:rsidR="00313412" w:rsidRDefault="00000000" w:rsidP="009938FC">
            <w:hyperlink r:id="rId25" w:history="1">
              <w:r w:rsidR="00313412" w:rsidRPr="00BD6503">
                <w:rPr>
                  <w:rStyle w:val="Hyperlink"/>
                </w:rPr>
                <w:t>State Trauma Reg Occ Surv (Sears et al)</w:t>
              </w:r>
            </w:hyperlink>
          </w:p>
        </w:tc>
      </w:tr>
    </w:tbl>
    <w:p w14:paraId="6C0145E1" w14:textId="50EB352A" w:rsidR="00F51F46" w:rsidRDefault="00F51F46" w:rsidP="00F51F46">
      <w:pPr>
        <w:spacing w:after="0" w:line="240" w:lineRule="auto"/>
      </w:pPr>
      <w:r>
        <w:t>*</w:t>
      </w:r>
      <w:r w:rsidR="001F1F9C">
        <w:t>Data sources vary by state</w:t>
      </w:r>
      <w:r>
        <w:t>.</w:t>
      </w:r>
    </w:p>
    <w:p w14:paraId="2A84D38F" w14:textId="44B4E606" w:rsidR="00F51F46" w:rsidRPr="00F51F46" w:rsidRDefault="00F51F46" w:rsidP="00F51F46">
      <w:pPr>
        <w:spacing w:after="0" w:line="240" w:lineRule="auto"/>
        <w:rPr>
          <w:color w:val="2E74B5" w:themeColor="accent5" w:themeShade="BF"/>
        </w:rPr>
      </w:pPr>
    </w:p>
    <w:p w14:paraId="43A54918" w14:textId="77777777" w:rsidR="00BF07EC" w:rsidRDefault="00BF07EC" w:rsidP="00F51F46">
      <w:pPr>
        <w:pStyle w:val="ListParagraph"/>
        <w:spacing w:after="0" w:line="240" w:lineRule="auto"/>
        <w:ind w:left="360"/>
        <w:rPr>
          <w:color w:val="2E74B5" w:themeColor="accent5" w:themeShade="BF"/>
        </w:rPr>
        <w:sectPr w:rsidR="00BF07EC" w:rsidSect="00BF07EC">
          <w:pgSz w:w="15840" w:h="12240" w:orient="landscape"/>
          <w:pgMar w:top="1440" w:right="1440" w:bottom="1440" w:left="1440" w:header="720" w:footer="720" w:gutter="0"/>
          <w:cols w:space="720"/>
          <w:docGrid w:linePitch="360"/>
        </w:sectPr>
      </w:pPr>
    </w:p>
    <w:p w14:paraId="6AE93C2F" w14:textId="77777777" w:rsidR="00F51F46" w:rsidRDefault="00F51F46" w:rsidP="00F51F46">
      <w:pPr>
        <w:pStyle w:val="ListParagraph"/>
        <w:spacing w:after="0" w:line="240" w:lineRule="auto"/>
        <w:ind w:left="360"/>
        <w:rPr>
          <w:color w:val="2E74B5" w:themeColor="accent5" w:themeShade="BF"/>
        </w:rPr>
      </w:pPr>
    </w:p>
    <w:p w14:paraId="03DC609A" w14:textId="28BC61FC" w:rsidR="0071246B" w:rsidRDefault="00383EA6" w:rsidP="0071246B">
      <w:pPr>
        <w:pStyle w:val="ListParagraph"/>
        <w:numPr>
          <w:ilvl w:val="0"/>
          <w:numId w:val="1"/>
        </w:numPr>
        <w:spacing w:after="0" w:line="240" w:lineRule="auto"/>
        <w:rPr>
          <w:color w:val="2E74B5" w:themeColor="accent5" w:themeShade="BF"/>
        </w:rPr>
      </w:pPr>
      <w:r w:rsidRPr="0071246B">
        <w:rPr>
          <w:color w:val="2E74B5" w:themeColor="accent5" w:themeShade="BF"/>
        </w:rPr>
        <w:t xml:space="preserve">Considerations for </w:t>
      </w:r>
      <w:r w:rsidR="00E71D41" w:rsidRPr="0071246B">
        <w:rPr>
          <w:color w:val="2E74B5" w:themeColor="accent5" w:themeShade="BF"/>
        </w:rPr>
        <w:t>Climate-Related Occ Health Outcomes</w:t>
      </w:r>
    </w:p>
    <w:p w14:paraId="20EF9305" w14:textId="77777777" w:rsidR="0071246B" w:rsidRDefault="0071246B" w:rsidP="0071246B">
      <w:pPr>
        <w:pStyle w:val="ListParagraph"/>
        <w:spacing w:after="0" w:line="240" w:lineRule="auto"/>
        <w:ind w:left="360"/>
        <w:rPr>
          <w:color w:val="2E74B5" w:themeColor="accent5" w:themeShade="BF"/>
        </w:rPr>
      </w:pPr>
    </w:p>
    <w:p w14:paraId="22B7F250" w14:textId="77777777" w:rsidR="0071246B" w:rsidRPr="0071246B" w:rsidRDefault="0071246B" w:rsidP="0071246B">
      <w:pPr>
        <w:pStyle w:val="ListParagraph"/>
        <w:spacing w:after="0" w:line="240" w:lineRule="auto"/>
        <w:ind w:left="360"/>
        <w:rPr>
          <w:color w:val="FF0000"/>
        </w:rPr>
      </w:pPr>
    </w:p>
    <w:p w14:paraId="309F5285" w14:textId="06B92500" w:rsidR="00383EA6" w:rsidRPr="0071246B" w:rsidRDefault="00383EA6" w:rsidP="00E71D41">
      <w:pPr>
        <w:pStyle w:val="ListParagraph"/>
        <w:numPr>
          <w:ilvl w:val="1"/>
          <w:numId w:val="1"/>
        </w:numPr>
        <w:spacing w:after="0" w:line="240" w:lineRule="auto"/>
        <w:rPr>
          <w:color w:val="2E74B5" w:themeColor="accent5" w:themeShade="BF"/>
        </w:rPr>
      </w:pPr>
      <w:r w:rsidRPr="0071246B">
        <w:rPr>
          <w:color w:val="2E74B5" w:themeColor="accent5" w:themeShade="BF"/>
        </w:rPr>
        <w:t>Variables that are important for linking/connecting Environmental Exposure Data and Outcome Data</w:t>
      </w:r>
      <w:r w:rsidR="004E068C" w:rsidRPr="0071246B">
        <w:rPr>
          <w:color w:val="2E74B5" w:themeColor="accent5" w:themeShade="BF"/>
        </w:rPr>
        <w:t xml:space="preserve"> </w:t>
      </w:r>
      <w:r w:rsidR="004E068C" w:rsidRPr="0071246B">
        <w:rPr>
          <w:color w:val="2E74B5" w:themeColor="accent5" w:themeShade="BF"/>
          <w:highlight w:val="cyan"/>
        </w:rPr>
        <w:t>(Ximena)</w:t>
      </w:r>
    </w:p>
    <w:p w14:paraId="646E3504" w14:textId="69E25141" w:rsidR="00383EA6" w:rsidRPr="0071246B" w:rsidRDefault="00383EA6" w:rsidP="00383EA6">
      <w:pPr>
        <w:pStyle w:val="ListParagraph"/>
        <w:numPr>
          <w:ilvl w:val="2"/>
          <w:numId w:val="1"/>
        </w:numPr>
        <w:spacing w:after="0" w:line="240" w:lineRule="auto"/>
        <w:rPr>
          <w:color w:val="2E74B5" w:themeColor="accent5" w:themeShade="BF"/>
        </w:rPr>
      </w:pPr>
      <w:r w:rsidRPr="0071246B">
        <w:rPr>
          <w:color w:val="2E74B5" w:themeColor="accent5" w:themeShade="BF"/>
        </w:rPr>
        <w:t>Geographic variables</w:t>
      </w:r>
    </w:p>
    <w:p w14:paraId="2A5409D9" w14:textId="313DE7C0" w:rsidR="00383EA6" w:rsidRPr="0071246B" w:rsidRDefault="00383EA6" w:rsidP="00383EA6">
      <w:pPr>
        <w:pStyle w:val="ListParagraph"/>
        <w:numPr>
          <w:ilvl w:val="2"/>
          <w:numId w:val="1"/>
        </w:numPr>
        <w:spacing w:after="0" w:line="240" w:lineRule="auto"/>
        <w:rPr>
          <w:color w:val="2E74B5" w:themeColor="accent5" w:themeShade="BF"/>
        </w:rPr>
      </w:pPr>
      <w:r w:rsidRPr="0071246B">
        <w:rPr>
          <w:color w:val="2E74B5" w:themeColor="accent5" w:themeShade="BF"/>
        </w:rPr>
        <w:t>Time?</w:t>
      </w:r>
    </w:p>
    <w:p w14:paraId="660BA6E8" w14:textId="012F07A2" w:rsidR="00707AAC" w:rsidRPr="0071246B" w:rsidRDefault="00707AAC" w:rsidP="00707AAC">
      <w:pPr>
        <w:pStyle w:val="ListParagraph"/>
        <w:numPr>
          <w:ilvl w:val="0"/>
          <w:numId w:val="1"/>
        </w:numPr>
        <w:spacing w:after="0" w:line="240" w:lineRule="auto"/>
        <w:rPr>
          <w:color w:val="2E74B5" w:themeColor="accent5" w:themeShade="BF"/>
        </w:rPr>
      </w:pPr>
      <w:r w:rsidRPr="0071246B">
        <w:rPr>
          <w:color w:val="2E74B5" w:themeColor="accent5" w:themeShade="BF"/>
        </w:rPr>
        <w:t xml:space="preserve">Developing case definitions </w:t>
      </w:r>
      <w:r w:rsidR="00BB7F1A" w:rsidRPr="0071246B">
        <w:rPr>
          <w:color w:val="2E74B5" w:themeColor="accent5" w:themeShade="BF"/>
        </w:rPr>
        <w:t xml:space="preserve">for your jurisdiction </w:t>
      </w:r>
    </w:p>
    <w:p w14:paraId="04449391" w14:textId="368936D7" w:rsidR="00FB66E3" w:rsidRPr="0071246B" w:rsidRDefault="00B114BD" w:rsidP="00FB66E3">
      <w:pPr>
        <w:pStyle w:val="ListParagraph"/>
        <w:numPr>
          <w:ilvl w:val="1"/>
          <w:numId w:val="1"/>
        </w:numPr>
        <w:spacing w:after="0" w:line="240" w:lineRule="auto"/>
        <w:rPr>
          <w:color w:val="2E74B5" w:themeColor="accent5" w:themeShade="BF"/>
        </w:rPr>
      </w:pPr>
      <w:r w:rsidRPr="0071246B">
        <w:rPr>
          <w:color w:val="2E74B5" w:themeColor="accent5" w:themeShade="BF"/>
        </w:rPr>
        <w:t>Generalized r</w:t>
      </w:r>
      <w:r w:rsidR="00FB66E3" w:rsidRPr="0071246B">
        <w:rPr>
          <w:color w:val="2E74B5" w:themeColor="accent5" w:themeShade="BF"/>
        </w:rPr>
        <w:t>eminder that there are other climate specific outcomes that are not heat, cold, wildland fires, or floods</w:t>
      </w:r>
      <w:r w:rsidR="00023F5E" w:rsidRPr="0071246B">
        <w:rPr>
          <w:color w:val="2E74B5" w:themeColor="accent5" w:themeShade="BF"/>
        </w:rPr>
        <w:t xml:space="preserve"> that may be more relevant for your given jurisdiction</w:t>
      </w:r>
      <w:r w:rsidR="00FB66E3" w:rsidRPr="0071246B">
        <w:rPr>
          <w:color w:val="2E74B5" w:themeColor="accent5" w:themeShade="BF"/>
        </w:rPr>
        <w:t>.</w:t>
      </w:r>
    </w:p>
    <w:p w14:paraId="05B91E1E" w14:textId="155F10B7" w:rsidR="00BB7F1A"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Heat-related illness</w:t>
      </w:r>
      <w:r w:rsidR="00A76151" w:rsidRPr="0071246B">
        <w:rPr>
          <w:color w:val="2E74B5" w:themeColor="accent5" w:themeShade="BF"/>
        </w:rPr>
        <w:t xml:space="preserve"> </w:t>
      </w:r>
      <w:r w:rsidR="00A76151" w:rsidRPr="0071246B">
        <w:rPr>
          <w:color w:val="2E74B5" w:themeColor="accent5" w:themeShade="BF"/>
          <w:highlight w:val="cyan"/>
        </w:rPr>
        <w:t>(Kathryn)</w:t>
      </w:r>
    </w:p>
    <w:p w14:paraId="7B10EDC8" w14:textId="77777777" w:rsidR="0071246B" w:rsidRPr="0071246B" w:rsidRDefault="0071246B" w:rsidP="0071246B">
      <w:pPr>
        <w:spacing w:after="0" w:line="240" w:lineRule="auto"/>
        <w:rPr>
          <w:color w:val="2E74B5" w:themeColor="accent5" w:themeShade="BF"/>
        </w:rPr>
      </w:pPr>
    </w:p>
    <w:p w14:paraId="2DB6215B" w14:textId="6F019A0F" w:rsidR="0071246B" w:rsidRDefault="0071246B" w:rsidP="0071246B">
      <w:pPr>
        <w:pStyle w:val="ListParagraph"/>
        <w:spacing w:after="0" w:line="240" w:lineRule="auto"/>
        <w:ind w:left="360"/>
        <w:rPr>
          <w:color w:val="FF0000"/>
        </w:rPr>
      </w:pPr>
      <w:r>
        <w:t>There are a wide-range of heat-related health outcomes, including heat exhaustion, heat stroke, dehydration, and exacerbation of cardiovascular and respiratory conditions. Many health departments track heat-related illness and heat-deaths from ED/Hospitalization data to inform prevention efforts surrounding heat events. While diagnosis codes can identify heat-related illness, identifying work-relatedness can be more challenging to identify within these data. The CSTE OHI indicators group has an occupational heat-related illness indicator, which examines heat-related ED visits with th</w:t>
      </w:r>
      <w:r w:rsidRPr="00E448C6">
        <w:t xml:space="preserve">e primary payer listed </w:t>
      </w:r>
      <w:r>
        <w:t>a</w:t>
      </w:r>
      <w:r w:rsidRPr="00E448C6">
        <w:t xml:space="preserve">s Workers’ Compensation </w:t>
      </w:r>
      <w:r>
        <w:t xml:space="preserve">or </w:t>
      </w:r>
      <w:r w:rsidRPr="00E448C6">
        <w:t xml:space="preserve">if the </w:t>
      </w:r>
      <w:r>
        <w:t>visit</w:t>
      </w:r>
      <w:r w:rsidRPr="00E448C6">
        <w:t xml:space="preserve"> contains </w:t>
      </w:r>
      <w:r>
        <w:t>external</w:t>
      </w:r>
      <w:r w:rsidRPr="00E448C6">
        <w:t xml:space="preserve"> causes of morbidity </w:t>
      </w:r>
      <w:r w:rsidRPr="00E934F8">
        <w:t xml:space="preserve">which indicate a work accident or that the injury occurred at work. </w:t>
      </w:r>
      <w:r w:rsidRPr="0071246B">
        <w:rPr>
          <w:color w:val="FF0000"/>
        </w:rPr>
        <w:t>(</w:t>
      </w:r>
      <w:proofErr w:type="gramStart"/>
      <w:r w:rsidRPr="0071246B">
        <w:rPr>
          <w:color w:val="FF0000"/>
        </w:rPr>
        <w:t>cite</w:t>
      </w:r>
      <w:proofErr w:type="gramEnd"/>
      <w:r w:rsidRPr="0071246B">
        <w:rPr>
          <w:color w:val="FF0000"/>
        </w:rPr>
        <w:t xml:space="preserve"> OHI indicators document).</w:t>
      </w:r>
    </w:p>
    <w:p w14:paraId="2B8023A4" w14:textId="77777777" w:rsidR="0071246B" w:rsidRDefault="0071246B" w:rsidP="0071246B">
      <w:pPr>
        <w:pStyle w:val="ListParagraph"/>
        <w:spacing w:after="0" w:line="240" w:lineRule="auto"/>
        <w:ind w:left="360"/>
      </w:pPr>
    </w:p>
    <w:p w14:paraId="3F2A7A1F" w14:textId="4759163D" w:rsidR="0071246B" w:rsidRDefault="0071246B" w:rsidP="0071246B">
      <w:pPr>
        <w:pStyle w:val="ListParagraph"/>
        <w:spacing w:after="0" w:line="240" w:lineRule="auto"/>
        <w:ind w:left="360"/>
      </w:pPr>
      <w:r>
        <w:t xml:space="preserve">Aside from heat-related ED visits, jurisdictions may choose to monitor a more specific heat-related outcome. Possible heat-related outcomes to consider and affiliated ICD-10 codes can be found within the CSTE Climate Change subcommittee white paper on </w:t>
      </w:r>
      <w:r w:rsidRPr="0071246B">
        <w:rPr>
          <w:i/>
          <w:iCs/>
        </w:rPr>
        <w:t xml:space="preserve">Heat-Related Illness Syndrome Query: </w:t>
      </w:r>
      <w:proofErr w:type="gramStart"/>
      <w:r w:rsidRPr="0071246B">
        <w:rPr>
          <w:i/>
          <w:iCs/>
        </w:rPr>
        <w:t>a</w:t>
      </w:r>
      <w:proofErr w:type="gramEnd"/>
      <w:r w:rsidRPr="0071246B">
        <w:rPr>
          <w:i/>
          <w:iCs/>
        </w:rPr>
        <w:t xml:space="preserve"> Guidance Document for Implementing Heat-Related Illness Syndromic Surveillance in Public Health Practice</w:t>
      </w:r>
      <w:r>
        <w:t>. Direct and indirect heat-related outcomes exist; respiratory and cardiovascular complications are more challenging to identify as heat-related. Any estimate of heat-related illness from is likely an underestimate, as excess heat may not be explicitly documented as a contributing factor to the visit/hospitalization/death.</w:t>
      </w:r>
    </w:p>
    <w:p w14:paraId="3FB6F6AE" w14:textId="5AB0595A" w:rsidR="0017144F" w:rsidRDefault="0017144F" w:rsidP="0071246B">
      <w:pPr>
        <w:pStyle w:val="ListParagraph"/>
        <w:spacing w:after="0" w:line="240" w:lineRule="auto"/>
        <w:ind w:left="360"/>
      </w:pPr>
    </w:p>
    <w:p w14:paraId="3A60C3D0" w14:textId="1FD0C84F" w:rsidR="0017144F" w:rsidRPr="00384800" w:rsidRDefault="001B68C4" w:rsidP="0071246B">
      <w:pPr>
        <w:pStyle w:val="ListParagraph"/>
        <w:spacing w:after="0" w:line="240" w:lineRule="auto"/>
        <w:ind w:left="360"/>
      </w:pPr>
      <w:r>
        <w:t xml:space="preserve">Outdoor workers that are exposed to ambient heat and whose work tasks require physical exertion, such as agricultural, construction, firefighting, and military workers, </w:t>
      </w:r>
      <w:r>
        <w:t>are at high risk for heat-related illness</w:t>
      </w:r>
      <w:r>
        <w:t xml:space="preserve">. </w:t>
      </w:r>
      <w:r w:rsidR="0017144F">
        <w:t>While outdoor workers are most likely to impacted by heat, indoor workers may also be at risk, particularly those in non-</w:t>
      </w:r>
      <w:proofErr w:type="gramStart"/>
      <w:r w:rsidR="0017144F">
        <w:t>climate controlled</w:t>
      </w:r>
      <w:proofErr w:type="gramEnd"/>
      <w:r w:rsidR="0017144F">
        <w:t xml:space="preserve"> settings. </w:t>
      </w:r>
      <w:r>
        <w:t xml:space="preserve">In addition, use of PPE can increase the risk of heat stress. </w:t>
      </w:r>
    </w:p>
    <w:p w14:paraId="3D8DBA98" w14:textId="23F75FCD" w:rsidR="00BF2714" w:rsidRPr="0071246B" w:rsidRDefault="004E068C" w:rsidP="00BF2714">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13A7B00" w14:textId="081BCDE3" w:rsidR="001C234A" w:rsidRPr="0071246B" w:rsidRDefault="0071246B" w:rsidP="00BB7F1A">
      <w:pPr>
        <w:pStyle w:val="ListParagraph"/>
        <w:numPr>
          <w:ilvl w:val="2"/>
          <w:numId w:val="1"/>
        </w:numPr>
        <w:spacing w:after="0" w:line="240" w:lineRule="auto"/>
        <w:rPr>
          <w:color w:val="2E74B5" w:themeColor="accent5" w:themeShade="BF"/>
        </w:rPr>
      </w:pPr>
      <w:r>
        <w:rPr>
          <w:color w:val="2E74B5" w:themeColor="accent5" w:themeShade="BF"/>
        </w:rPr>
        <w:t>Case Examples</w:t>
      </w:r>
    </w:p>
    <w:p w14:paraId="66002E38" w14:textId="76962D1F"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Heat-Related Illness example from Louisiana</w:t>
      </w:r>
    </w:p>
    <w:p w14:paraId="675DBF57" w14:textId="7B87A369"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 xml:space="preserve">Sarah </w:t>
      </w:r>
      <w:proofErr w:type="spellStart"/>
      <w:r w:rsidRPr="0071246B">
        <w:rPr>
          <w:color w:val="2E74B5" w:themeColor="accent5" w:themeShade="BF"/>
        </w:rPr>
        <w:t>Woellner</w:t>
      </w:r>
      <w:proofErr w:type="spellEnd"/>
      <w:r w:rsidRPr="0071246B">
        <w:rPr>
          <w:color w:val="2E74B5" w:themeColor="accent5" w:themeShade="BF"/>
        </w:rPr>
        <w:t xml:space="preserve"> – at SHARP – Washington State, working with RHINO – surveillance. </w:t>
      </w:r>
    </w:p>
    <w:p w14:paraId="1D94FB24" w14:textId="56BE631E"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 xml:space="preserve">Wisconsin/Washington </w:t>
      </w:r>
      <w:r w:rsidR="00B114BD" w:rsidRPr="0071246B">
        <w:rPr>
          <w:color w:val="2E74B5" w:themeColor="accent5" w:themeShade="BF"/>
        </w:rPr>
        <w:t xml:space="preserve">using </w:t>
      </w:r>
      <w:r w:rsidRPr="0071246B">
        <w:rPr>
          <w:color w:val="2E74B5" w:themeColor="accent5" w:themeShade="BF"/>
        </w:rPr>
        <w:t>Workers Comp for HRI</w:t>
      </w:r>
      <w:r w:rsidR="00023F5E" w:rsidRPr="0071246B">
        <w:rPr>
          <w:color w:val="2E74B5" w:themeColor="accent5" w:themeShade="BF"/>
        </w:rPr>
        <w:t xml:space="preserve">, retrospective </w:t>
      </w:r>
      <w:proofErr w:type="gramStart"/>
      <w:r w:rsidR="00023F5E" w:rsidRPr="0071246B">
        <w:rPr>
          <w:color w:val="2E74B5" w:themeColor="accent5" w:themeShade="BF"/>
        </w:rPr>
        <w:t>analysis</w:t>
      </w:r>
      <w:proofErr w:type="gramEnd"/>
    </w:p>
    <w:p w14:paraId="7968A660" w14:textId="3680C885" w:rsidR="00BF2714" w:rsidRPr="0071246B" w:rsidRDefault="00BF2714" w:rsidP="00BB7F1A">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20F8FB2D" w14:textId="7D5C933B" w:rsidR="003747AA" w:rsidRPr="0071246B" w:rsidRDefault="003747AA" w:rsidP="003747AA">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6389302C" w14:textId="4AC29324" w:rsidR="00023F5E" w:rsidRPr="0071246B" w:rsidRDefault="00023F5E" w:rsidP="00023F5E">
      <w:pPr>
        <w:pStyle w:val="ListParagraph"/>
        <w:numPr>
          <w:ilvl w:val="3"/>
          <w:numId w:val="1"/>
        </w:numPr>
        <w:spacing w:after="0" w:line="240" w:lineRule="auto"/>
        <w:rPr>
          <w:color w:val="2E74B5" w:themeColor="accent5" w:themeShade="BF"/>
        </w:rPr>
      </w:pPr>
      <w:r w:rsidRPr="0071246B">
        <w:rPr>
          <w:color w:val="2E74B5" w:themeColor="accent5" w:themeShade="BF"/>
        </w:rPr>
        <w:t>Webinars, publications</w:t>
      </w:r>
    </w:p>
    <w:p w14:paraId="47D7B001" w14:textId="0E11FF8C" w:rsidR="00BB7F1A" w:rsidRDefault="00BB7F1A" w:rsidP="00BB7F1A">
      <w:pPr>
        <w:pStyle w:val="ListParagraph"/>
        <w:numPr>
          <w:ilvl w:val="1"/>
          <w:numId w:val="1"/>
        </w:numPr>
        <w:spacing w:after="0" w:line="240" w:lineRule="auto"/>
        <w:rPr>
          <w:color w:val="2E74B5" w:themeColor="accent5" w:themeShade="BF"/>
        </w:rPr>
      </w:pPr>
      <w:r w:rsidRPr="007C0BC4">
        <w:rPr>
          <w:strike/>
          <w:color w:val="2E74B5" w:themeColor="accent5" w:themeShade="BF"/>
        </w:rPr>
        <w:t>Wildland fires</w:t>
      </w:r>
      <w:r w:rsidR="00A76151" w:rsidRPr="0071246B">
        <w:rPr>
          <w:color w:val="2E74B5" w:themeColor="accent5" w:themeShade="BF"/>
        </w:rPr>
        <w:t xml:space="preserve"> </w:t>
      </w:r>
      <w:r w:rsidR="007C0BC4" w:rsidRPr="007C0BC4">
        <w:rPr>
          <w:color w:val="2E74B5" w:themeColor="accent5" w:themeShade="BF"/>
        </w:rPr>
        <w:t xml:space="preserve">Wildfires </w:t>
      </w:r>
      <w:r w:rsidR="00A76151" w:rsidRPr="0071246B">
        <w:rPr>
          <w:color w:val="2E74B5" w:themeColor="accent5" w:themeShade="BF"/>
          <w:highlight w:val="cyan"/>
        </w:rPr>
        <w:t>(Marija)</w:t>
      </w:r>
    </w:p>
    <w:p w14:paraId="244D0BB3" w14:textId="77777777" w:rsidR="00872AF9" w:rsidRDefault="00872AF9" w:rsidP="00872AF9">
      <w:pPr>
        <w:pStyle w:val="ListParagraph"/>
        <w:spacing w:after="0" w:line="240" w:lineRule="auto"/>
        <w:ind w:left="1080"/>
      </w:pPr>
    </w:p>
    <w:p w14:paraId="0974E6AD" w14:textId="14C69DC2" w:rsidR="00C6212B" w:rsidRPr="00872AF9" w:rsidRDefault="00171081" w:rsidP="0044457B">
      <w:pPr>
        <w:spacing w:after="0" w:line="240" w:lineRule="auto"/>
        <w:ind w:left="1080"/>
      </w:pPr>
      <w:bookmarkStart w:id="2" w:name="_Hlk142573304"/>
      <w:r w:rsidRPr="00171081">
        <w:lastRenderedPageBreak/>
        <w:t>Wildfires are unplanned fires and can occur in wildland areas such as forests, shrub lands, grasslands, or prairies. Due to human behavior and climate change wildfires are becoming more frequent and lasting longer, especially during dry conditions.</w:t>
      </w:r>
      <w:r w:rsidR="00652738">
        <w:rPr>
          <w:rStyle w:val="EndnoteReference"/>
        </w:rPr>
        <w:endnoteReference w:id="1"/>
      </w:r>
      <w:r w:rsidR="00652738">
        <w:rPr>
          <w:vertAlign w:val="superscript"/>
        </w:rPr>
        <w:t xml:space="preserve">, </w:t>
      </w:r>
      <w:r w:rsidR="00652738">
        <w:rPr>
          <w:rStyle w:val="EndnoteReference"/>
        </w:rPr>
        <w:endnoteReference w:id="2"/>
      </w:r>
      <w:r w:rsidRPr="00171081">
        <w:t xml:space="preserve"> Individuals who spend most of their time working outdoors, such as construction, agriculture, landscape, etc., are at increased risk of health effects due to wildfires. Smoke from these fires can also affect </w:t>
      </w:r>
      <w:r w:rsidRPr="00171081">
        <w:rPr>
          <w:highlight w:val="yellow"/>
        </w:rPr>
        <w:t>indoor air quality</w:t>
      </w:r>
      <w:r w:rsidRPr="00171081">
        <w:t xml:space="preserve"> for workers in structures with poor ventilation. </w:t>
      </w:r>
      <w:bookmarkEnd w:id="2"/>
    </w:p>
    <w:p w14:paraId="2D3D3B2F" w14:textId="5C8760F7" w:rsidR="00023F5E" w:rsidRPr="0071246B" w:rsidRDefault="00383EA6" w:rsidP="001C234A">
      <w:pPr>
        <w:pStyle w:val="ListParagraph"/>
        <w:numPr>
          <w:ilvl w:val="2"/>
          <w:numId w:val="1"/>
        </w:numPr>
        <w:spacing w:after="0" w:line="240" w:lineRule="auto"/>
        <w:rPr>
          <w:color w:val="2E74B5" w:themeColor="accent5" w:themeShade="BF"/>
        </w:rPr>
      </w:pPr>
      <w:r w:rsidRPr="0071246B">
        <w:rPr>
          <w:color w:val="2E74B5" w:themeColor="accent5" w:themeShade="BF"/>
        </w:rPr>
        <w:t>Link to resources with health outcomes to consider</w:t>
      </w:r>
      <w:r w:rsidR="00023F5E" w:rsidRPr="0071246B">
        <w:rPr>
          <w:color w:val="2E74B5" w:themeColor="accent5" w:themeShade="BF"/>
        </w:rPr>
        <w:t>:</w:t>
      </w:r>
    </w:p>
    <w:p w14:paraId="407FF597" w14:textId="1AACDFAA" w:rsidR="00171081" w:rsidRDefault="00171081" w:rsidP="00171081">
      <w:pPr>
        <w:pStyle w:val="ListParagraph"/>
        <w:spacing w:after="0" w:line="240" w:lineRule="auto"/>
      </w:pPr>
      <w:r>
        <w:t xml:space="preserve">Individuals who must work outside for extended periods of time are more likely to be exposed to higher concentrations of smoke from wildfires. </w:t>
      </w:r>
      <w:r w:rsidRPr="002C1E1F">
        <w:t>Working outdoors during periods of wildfire smoke could result in a range of health effects depending on the underlying health status of the worker</w:t>
      </w:r>
      <w:r>
        <w:t xml:space="preserve"> and the e</w:t>
      </w:r>
      <w:r w:rsidRPr="002C1E1F">
        <w:t xml:space="preserve">ffects </w:t>
      </w:r>
      <w:r>
        <w:t>of being exposed to the</w:t>
      </w:r>
      <w:r w:rsidRPr="002C1E1F">
        <w:t xml:space="preserve"> wildfire smoke</w:t>
      </w:r>
      <w:r>
        <w:t xml:space="preserve"> could</w:t>
      </w:r>
      <w:r w:rsidRPr="002C1E1F">
        <w:t xml:space="preserve"> range from </w:t>
      </w:r>
      <w:r>
        <w:t xml:space="preserve">coughing and throat irritation to asthma attacks and </w:t>
      </w:r>
      <w:r w:rsidRPr="002C1E1F">
        <w:t xml:space="preserve">cardiovascular </w:t>
      </w:r>
      <w:r>
        <w:t>issues</w:t>
      </w:r>
      <w:r w:rsidRPr="002C1E1F">
        <w:t>.</w:t>
      </w:r>
      <w:r w:rsidR="006B25B0">
        <w:rPr>
          <w:rStyle w:val="EndnoteReference"/>
        </w:rPr>
        <w:endnoteReference w:id="3"/>
      </w:r>
      <w:r>
        <w:t xml:space="preserve"> Effects of wildfire smokes can be acute in nature or can exacerbate existing health conditions. Below are possible health outcomes to consider when being exposed to wildfire smoke. Additional information available at </w:t>
      </w:r>
      <w:hyperlink r:id="rId26" w:history="1">
        <w:r w:rsidRPr="00F10D8D">
          <w:rPr>
            <w:rStyle w:val="Hyperlink"/>
          </w:rPr>
          <w:t>EPA’s Health Effects Attributed to Wildfire Smoke</w:t>
        </w:r>
      </w:hyperlink>
      <w:r>
        <w:t>.</w:t>
      </w:r>
    </w:p>
    <w:p w14:paraId="07FD891C" w14:textId="77777777" w:rsidR="00171081" w:rsidRDefault="00171081" w:rsidP="00171081">
      <w:pPr>
        <w:pStyle w:val="ListParagraph"/>
        <w:spacing w:after="0" w:line="240" w:lineRule="auto"/>
        <w:ind w:left="360"/>
      </w:pPr>
    </w:p>
    <w:tbl>
      <w:tblPr>
        <w:tblStyle w:val="TableGrid"/>
        <w:tblW w:w="0" w:type="auto"/>
        <w:tblInd w:w="720" w:type="dxa"/>
        <w:tblLook w:val="04A0" w:firstRow="1" w:lastRow="0" w:firstColumn="1" w:lastColumn="0" w:noHBand="0" w:noVBand="1"/>
      </w:tblPr>
      <w:tblGrid>
        <w:gridCol w:w="2875"/>
        <w:gridCol w:w="5755"/>
      </w:tblGrid>
      <w:tr w:rsidR="00171081" w14:paraId="20D5CA60" w14:textId="77777777" w:rsidTr="009526DF">
        <w:tc>
          <w:tcPr>
            <w:tcW w:w="2875" w:type="dxa"/>
          </w:tcPr>
          <w:p w14:paraId="2481B630" w14:textId="77777777" w:rsidR="00171081" w:rsidRDefault="00171081" w:rsidP="009526DF">
            <w:r w:rsidRPr="0070592D">
              <w:rPr>
                <w:highlight w:val="yellow"/>
              </w:rPr>
              <w:t>Acute</w:t>
            </w:r>
            <w:r>
              <w:t xml:space="preserve"> Symptoms</w:t>
            </w:r>
          </w:p>
        </w:tc>
        <w:tc>
          <w:tcPr>
            <w:tcW w:w="5755" w:type="dxa"/>
          </w:tcPr>
          <w:p w14:paraId="1F372010" w14:textId="77777777" w:rsidR="00171081" w:rsidRDefault="00171081" w:rsidP="009526DF">
            <w:r>
              <w:t>Coughing, burning eyes, scratchy throat, runny nose</w:t>
            </w:r>
          </w:p>
        </w:tc>
      </w:tr>
      <w:tr w:rsidR="00171081" w14:paraId="13111847" w14:textId="77777777" w:rsidTr="009526DF">
        <w:tc>
          <w:tcPr>
            <w:tcW w:w="2875" w:type="dxa"/>
          </w:tcPr>
          <w:p w14:paraId="44C18012" w14:textId="77777777" w:rsidR="00171081" w:rsidRDefault="00171081" w:rsidP="009526DF">
            <w:r>
              <w:t>Respiratory conditions</w:t>
            </w:r>
          </w:p>
        </w:tc>
        <w:tc>
          <w:tcPr>
            <w:tcW w:w="5755" w:type="dxa"/>
          </w:tcPr>
          <w:p w14:paraId="4E5AF90C" w14:textId="77777777" w:rsidR="00171081" w:rsidRDefault="00171081" w:rsidP="009526DF">
            <w:r>
              <w:t>Asthma, chronic obstructive pulmonary disease (COPD), upper respiratory infections, respiratory failure</w:t>
            </w:r>
          </w:p>
        </w:tc>
      </w:tr>
      <w:tr w:rsidR="00171081" w14:paraId="612B63B0" w14:textId="77777777" w:rsidTr="009526DF">
        <w:tc>
          <w:tcPr>
            <w:tcW w:w="2875" w:type="dxa"/>
          </w:tcPr>
          <w:p w14:paraId="11DD2A3F" w14:textId="77777777" w:rsidR="00171081" w:rsidRDefault="00171081" w:rsidP="009526DF">
            <w:r>
              <w:t>Cardiovascular Conditions</w:t>
            </w:r>
          </w:p>
        </w:tc>
        <w:tc>
          <w:tcPr>
            <w:tcW w:w="5755" w:type="dxa"/>
          </w:tcPr>
          <w:p w14:paraId="6CAA6D2E" w14:textId="77777777" w:rsidR="00171081" w:rsidRDefault="00171081" w:rsidP="009526DF">
            <w:r>
              <w:t xml:space="preserve">Hypertension, ischemic heart disease, </w:t>
            </w:r>
            <w:r w:rsidRPr="00D320E3">
              <w:t>AMI specific, cardiac dysrhythmias, heart failure, cerebrovascular diseases which include intracranial hemorrhage or occlusion, chronic rheumatic heart diseases, and hypertrophic cardiomyopathy</w:t>
            </w:r>
          </w:p>
        </w:tc>
      </w:tr>
      <w:tr w:rsidR="00171081" w14:paraId="62344417" w14:textId="77777777" w:rsidTr="009526DF">
        <w:tc>
          <w:tcPr>
            <w:tcW w:w="2875" w:type="dxa"/>
          </w:tcPr>
          <w:p w14:paraId="589C3904" w14:textId="77777777" w:rsidR="00171081" w:rsidRDefault="00171081" w:rsidP="009526DF">
            <w:r>
              <w:t>Injuries</w:t>
            </w:r>
          </w:p>
        </w:tc>
        <w:tc>
          <w:tcPr>
            <w:tcW w:w="5755" w:type="dxa"/>
          </w:tcPr>
          <w:p w14:paraId="7C4445BC" w14:textId="77777777" w:rsidR="00171081" w:rsidRDefault="00171081" w:rsidP="009526DF">
            <w:r>
              <w:t>Motor vehicle crashes and other traffic related incidents; burns; electrocutions from downed powerlines, struck-by or caught in between from falling objects such as trees or homes collapsing</w:t>
            </w:r>
          </w:p>
        </w:tc>
      </w:tr>
    </w:tbl>
    <w:p w14:paraId="690D5B99" w14:textId="77777777" w:rsidR="00171081" w:rsidRPr="00171081" w:rsidRDefault="00171081" w:rsidP="00171081">
      <w:pPr>
        <w:pStyle w:val="ListParagraph"/>
        <w:spacing w:after="0" w:line="240" w:lineRule="auto"/>
        <w:ind w:left="1800"/>
        <w:rPr>
          <w:color w:val="2E74B5" w:themeColor="accent5" w:themeShade="BF"/>
        </w:rPr>
      </w:pPr>
    </w:p>
    <w:p w14:paraId="642D7181" w14:textId="49663FB4" w:rsidR="004E068C" w:rsidRDefault="004E068C" w:rsidP="004E068C">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013C6084" w14:textId="47225F5D" w:rsidR="00A63BF8" w:rsidRDefault="00A63BF8" w:rsidP="006B25B0">
      <w:pPr>
        <w:spacing w:after="0" w:line="240" w:lineRule="auto"/>
        <w:ind w:left="1080"/>
      </w:pPr>
      <w:r w:rsidRPr="00A63BF8">
        <w:t xml:space="preserve">Smoke from wildfires is composed of harmful substances such as chemicals, gases, and tiny particles that can cause harm to a person’s health. </w:t>
      </w:r>
      <w:r>
        <w:t xml:space="preserve">When there is a wildfire event it is important to keep track of your jurisdictions air quality. Smoke levels can change </w:t>
      </w:r>
      <w:r w:rsidR="00C51602">
        <w:t>frequently,</w:t>
      </w:r>
      <w:r>
        <w:t xml:space="preserve"> and it is important to keep track of air quality and to plan for </w:t>
      </w:r>
      <w:r w:rsidR="006727EA">
        <w:t>poor air quality</w:t>
      </w:r>
      <w:r>
        <w:t xml:space="preserve"> days to keep outdoor employees from getting sick from smoke during wildfire season.</w:t>
      </w:r>
      <w:r w:rsidR="00E46C32">
        <w:rPr>
          <w:rStyle w:val="EndnoteReference"/>
        </w:rPr>
        <w:endnoteReference w:id="4"/>
      </w:r>
      <w:r>
        <w:t xml:space="preserve"> </w:t>
      </w:r>
      <w:r w:rsidR="00C51602">
        <w:t>Particulate matter (PM2.5) is one of the main pollutants of concern in wildfire smoke.</w:t>
      </w:r>
      <w:r w:rsidR="00EC67F0">
        <w:rPr>
          <w:vertAlign w:val="superscript"/>
        </w:rPr>
        <w:t>18</w:t>
      </w:r>
      <w:r w:rsidR="00C51602">
        <w:t xml:space="preserve"> Exposure to these fine particles can cause a range of health effects, as previously discussed, even in health individuals. </w:t>
      </w:r>
    </w:p>
    <w:p w14:paraId="274F0BDC" w14:textId="77777777" w:rsidR="00652738" w:rsidRDefault="00652738" w:rsidP="00A63BF8">
      <w:pPr>
        <w:spacing w:after="0" w:line="240" w:lineRule="auto"/>
        <w:ind w:left="1080"/>
      </w:pPr>
    </w:p>
    <w:p w14:paraId="5C57DCDB" w14:textId="39CB792C" w:rsidR="00C51602" w:rsidRDefault="006D74E1" w:rsidP="00A63BF8">
      <w:pPr>
        <w:spacing w:after="0" w:line="240" w:lineRule="auto"/>
        <w:ind w:left="1080"/>
      </w:pPr>
      <w:r>
        <w:t>[</w:t>
      </w:r>
      <w:r w:rsidR="00DA4275">
        <w:t>Exposure t</w:t>
      </w:r>
      <w:r>
        <w:t>able not inserted yet – see separate file</w:t>
      </w:r>
      <w:r w:rsidR="007C7082">
        <w:t xml:space="preserve"> in Basecamp</w:t>
      </w:r>
      <w:r>
        <w:t xml:space="preserve"> – also waiting on feedback from </w:t>
      </w:r>
      <w:proofErr w:type="spellStart"/>
      <w:r>
        <w:t>Rish</w:t>
      </w:r>
      <w:proofErr w:type="spellEnd"/>
      <w:r>
        <w:t>]</w:t>
      </w:r>
    </w:p>
    <w:p w14:paraId="08308AF9" w14:textId="77777777" w:rsidR="006D74E1" w:rsidRPr="00A00D52" w:rsidRDefault="006D74E1" w:rsidP="00A63BF8">
      <w:pPr>
        <w:spacing w:after="0" w:line="240" w:lineRule="auto"/>
        <w:ind w:left="1080"/>
      </w:pPr>
    </w:p>
    <w:p w14:paraId="044F48B3" w14:textId="103D1FE3" w:rsidR="00A63BF8" w:rsidRDefault="006D74E1" w:rsidP="00A63BF8">
      <w:pPr>
        <w:pStyle w:val="ListParagraph"/>
        <w:spacing w:after="0" w:line="240" w:lineRule="auto"/>
        <w:ind w:left="1080"/>
      </w:pPr>
      <w:r>
        <w:t>Additional wildfire exposure tools:</w:t>
      </w:r>
    </w:p>
    <w:p w14:paraId="13FCF89F" w14:textId="77777777" w:rsidR="006D74E1" w:rsidRDefault="006D74E1" w:rsidP="00A63BF8">
      <w:pPr>
        <w:pStyle w:val="ListParagraph"/>
        <w:spacing w:after="0" w:line="240" w:lineRule="auto"/>
        <w:ind w:left="1080"/>
      </w:pPr>
    </w:p>
    <w:p w14:paraId="70A4BCF6" w14:textId="77777777" w:rsidR="00A63BF8" w:rsidRPr="00A00D52" w:rsidRDefault="00A63BF8" w:rsidP="006D74E1">
      <w:pPr>
        <w:numPr>
          <w:ilvl w:val="3"/>
          <w:numId w:val="7"/>
        </w:numPr>
        <w:spacing w:after="0" w:line="240" w:lineRule="auto"/>
      </w:pPr>
      <w:r w:rsidRPr="00A00D52">
        <w:t xml:space="preserve">EPA </w:t>
      </w:r>
      <w:proofErr w:type="spellStart"/>
      <w:r w:rsidRPr="00A00D52">
        <w:t>AirNow</w:t>
      </w:r>
      <w:proofErr w:type="spellEnd"/>
      <w:r>
        <w:t xml:space="preserve"> Fire and Smoke map: </w:t>
      </w:r>
      <w:hyperlink r:id="rId27" w:history="1">
        <w:r w:rsidRPr="00ED0422">
          <w:rPr>
            <w:rStyle w:val="Hyperlink"/>
          </w:rPr>
          <w:t>https://fire.airnow.gov/</w:t>
        </w:r>
      </w:hyperlink>
      <w:r>
        <w:t xml:space="preserve"> </w:t>
      </w:r>
      <w:r w:rsidRPr="00A00D52">
        <w:t xml:space="preserve"> </w:t>
      </w:r>
      <w:r>
        <w:t xml:space="preserve">   </w:t>
      </w:r>
    </w:p>
    <w:p w14:paraId="7AF22F12" w14:textId="77777777" w:rsidR="00A63BF8" w:rsidRDefault="00A63BF8" w:rsidP="006D74E1">
      <w:pPr>
        <w:numPr>
          <w:ilvl w:val="3"/>
          <w:numId w:val="7"/>
        </w:numPr>
        <w:spacing w:after="0" w:line="240" w:lineRule="auto"/>
      </w:pPr>
      <w:r>
        <w:t xml:space="preserve">FEMA National Risk Index: </w:t>
      </w:r>
      <w:hyperlink r:id="rId28" w:history="1">
        <w:r w:rsidRPr="00ED0422">
          <w:rPr>
            <w:rStyle w:val="Hyperlink"/>
          </w:rPr>
          <w:t>https://hazards.fema.gov/nri/wildfire</w:t>
        </w:r>
      </w:hyperlink>
      <w:r>
        <w:t xml:space="preserve"> </w:t>
      </w:r>
    </w:p>
    <w:p w14:paraId="3804B050" w14:textId="77777777" w:rsidR="00A63BF8" w:rsidRDefault="00A63BF8" w:rsidP="006D74E1">
      <w:pPr>
        <w:numPr>
          <w:ilvl w:val="3"/>
          <w:numId w:val="7"/>
        </w:numPr>
        <w:spacing w:after="0" w:line="240" w:lineRule="auto"/>
      </w:pPr>
      <w:r>
        <w:t xml:space="preserve">U.S. Forest Service Wildland Fire / Air Quality Tools: </w:t>
      </w:r>
      <w:hyperlink r:id="rId29" w:history="1">
        <w:r w:rsidRPr="007964BA">
          <w:rPr>
            <w:rStyle w:val="Hyperlink"/>
          </w:rPr>
          <w:t>https://portal.airfire.org/home</w:t>
        </w:r>
      </w:hyperlink>
      <w:r>
        <w:t xml:space="preserve"> </w:t>
      </w:r>
    </w:p>
    <w:p w14:paraId="26ECC0C2" w14:textId="77777777" w:rsidR="00A63BF8" w:rsidRDefault="00A63BF8" w:rsidP="006D74E1">
      <w:pPr>
        <w:numPr>
          <w:ilvl w:val="3"/>
          <w:numId w:val="7"/>
        </w:numPr>
        <w:spacing w:after="0" w:line="240" w:lineRule="auto"/>
      </w:pPr>
      <w:r>
        <w:lastRenderedPageBreak/>
        <w:t xml:space="preserve">EPA Climate Change Indicator: Wildfires: </w:t>
      </w:r>
      <w:hyperlink r:id="rId30" w:history="1">
        <w:r w:rsidRPr="00ED0422">
          <w:rPr>
            <w:rStyle w:val="Hyperlink"/>
          </w:rPr>
          <w:t>https://www.epa.gov/climate-indicators/climate-change-indicators-wildfires</w:t>
        </w:r>
      </w:hyperlink>
      <w:r>
        <w:t xml:space="preserve"> </w:t>
      </w:r>
      <w:r w:rsidRPr="0039177A">
        <w:t xml:space="preserve"> </w:t>
      </w:r>
      <w:r>
        <w:t xml:space="preserve"> </w:t>
      </w:r>
    </w:p>
    <w:p w14:paraId="72A6BA0C" w14:textId="77777777" w:rsidR="00A63BF8" w:rsidRPr="0071246B" w:rsidRDefault="00A63BF8" w:rsidP="00A63BF8">
      <w:pPr>
        <w:pStyle w:val="ListParagraph"/>
        <w:spacing w:after="0" w:line="240" w:lineRule="auto"/>
        <w:ind w:left="1800"/>
        <w:rPr>
          <w:color w:val="2E74B5" w:themeColor="accent5" w:themeShade="BF"/>
        </w:rPr>
      </w:pPr>
    </w:p>
    <w:p w14:paraId="52770E37" w14:textId="77777777" w:rsidR="00023F5E" w:rsidRPr="0071246B" w:rsidRDefault="001C234A" w:rsidP="00023F5E">
      <w:pPr>
        <w:pStyle w:val="ListParagraph"/>
        <w:numPr>
          <w:ilvl w:val="2"/>
          <w:numId w:val="1"/>
        </w:numPr>
        <w:spacing w:after="0" w:line="240" w:lineRule="auto"/>
        <w:rPr>
          <w:color w:val="2E74B5" w:themeColor="accent5" w:themeShade="BF"/>
        </w:rPr>
      </w:pPr>
      <w:r w:rsidRPr="0071246B">
        <w:rPr>
          <w:color w:val="2E74B5" w:themeColor="accent5" w:themeShade="BF"/>
        </w:rPr>
        <w:t>Examples from jurisdictions</w:t>
      </w:r>
      <w:r w:rsidR="0073629D" w:rsidRPr="0071246B">
        <w:rPr>
          <w:color w:val="2E74B5" w:themeColor="accent5" w:themeShade="BF"/>
        </w:rPr>
        <w:t xml:space="preserve"> and additional resources for creating case </w:t>
      </w:r>
      <w:proofErr w:type="gramStart"/>
      <w:r w:rsidR="0073629D" w:rsidRPr="0071246B">
        <w:rPr>
          <w:color w:val="2E74B5" w:themeColor="accent5" w:themeShade="BF"/>
        </w:rPr>
        <w:t>definitions</w:t>
      </w:r>
      <w:proofErr w:type="gramEnd"/>
    </w:p>
    <w:p w14:paraId="2FBACE9A" w14:textId="0473FC9A" w:rsidR="00023F5E" w:rsidRPr="0071246B" w:rsidRDefault="00023F5E" w:rsidP="00023F5E">
      <w:pPr>
        <w:pStyle w:val="ListParagraph"/>
        <w:numPr>
          <w:ilvl w:val="3"/>
          <w:numId w:val="1"/>
        </w:numPr>
        <w:spacing w:after="0" w:line="240" w:lineRule="auto"/>
        <w:rPr>
          <w:color w:val="2E74B5" w:themeColor="accent5" w:themeShade="BF"/>
        </w:rPr>
      </w:pPr>
      <w:r w:rsidRPr="0071246B">
        <w:rPr>
          <w:color w:val="2E74B5" w:themeColor="accent5" w:themeShade="BF"/>
        </w:rPr>
        <w:t>Oregon case example (may or may not be specific to occupation, need to confirm).</w:t>
      </w:r>
      <w:r w:rsidR="009D63C0">
        <w:rPr>
          <w:color w:val="2E74B5" w:themeColor="accent5" w:themeShade="BF"/>
        </w:rPr>
        <w:t xml:space="preserve"> – </w:t>
      </w:r>
      <w:r w:rsidR="009D63C0">
        <w:t>Waiting on Carol and Victoria to send. Will send reminder.</w:t>
      </w:r>
    </w:p>
    <w:p w14:paraId="676A065C" w14:textId="56C2FEE7" w:rsidR="00BF2714" w:rsidRPr="0071246B" w:rsidRDefault="00BF2714" w:rsidP="00BF2714">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11B9C2EE" w14:textId="1381D65F" w:rsidR="003747AA" w:rsidRDefault="003747AA" w:rsidP="00BF2714">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7709BA93" w14:textId="5BB093DF" w:rsidR="0044457B" w:rsidRDefault="0044457B" w:rsidP="00BF2714">
      <w:pPr>
        <w:pStyle w:val="ListParagraph"/>
        <w:numPr>
          <w:ilvl w:val="2"/>
          <w:numId w:val="1"/>
        </w:numPr>
        <w:spacing w:after="0" w:line="240" w:lineRule="auto"/>
        <w:rPr>
          <w:color w:val="2E74B5" w:themeColor="accent5" w:themeShade="BF"/>
        </w:rPr>
      </w:pPr>
      <w:r>
        <w:rPr>
          <w:color w:val="2E74B5" w:themeColor="accent5" w:themeShade="BF"/>
        </w:rPr>
        <w:t>Additional Resources</w:t>
      </w:r>
    </w:p>
    <w:p w14:paraId="5F898403" w14:textId="298D61E7" w:rsidR="0044457B" w:rsidRDefault="0044457B" w:rsidP="0044457B">
      <w:pPr>
        <w:spacing w:after="0" w:line="240" w:lineRule="auto"/>
        <w:ind w:left="1080"/>
      </w:pPr>
    </w:p>
    <w:p w14:paraId="399A5DED" w14:textId="77777777" w:rsidR="0044457B" w:rsidRDefault="0044457B" w:rsidP="0044457B">
      <w:pPr>
        <w:numPr>
          <w:ilvl w:val="3"/>
          <w:numId w:val="8"/>
        </w:numPr>
        <w:spacing w:after="0" w:line="240" w:lineRule="auto"/>
        <w:ind w:left="2250" w:hanging="450"/>
      </w:pPr>
      <w:r w:rsidRPr="00F27A4E">
        <w:t>Wildfire and Smoke Syndromic Surveillance: An Implementation Guide for Public Hea</w:t>
      </w:r>
      <w:r>
        <w:t>l</w:t>
      </w:r>
      <w:r w:rsidRPr="00F27A4E">
        <w:t>th Practice</w:t>
      </w:r>
      <w:r>
        <w:t xml:space="preserve">. Council of State and Territorial Epidemiologists. June 2021. Access report: </w:t>
      </w:r>
      <w:hyperlink r:id="rId31" w:history="1">
        <w:r w:rsidRPr="00ED0422">
          <w:rPr>
            <w:rStyle w:val="Hyperlink"/>
          </w:rPr>
          <w:t>https://kr-drupal-dev.syndromicsurveillance.org/wildfire-and-smoke-syndromic-surveillance-implementation-guide-public-heath-practice</w:t>
        </w:r>
      </w:hyperlink>
      <w:r>
        <w:t xml:space="preserve"> </w:t>
      </w:r>
    </w:p>
    <w:p w14:paraId="1A894268" w14:textId="2D47FD4B" w:rsidR="00776416" w:rsidRDefault="00776416" w:rsidP="009E620B">
      <w:pPr>
        <w:numPr>
          <w:ilvl w:val="3"/>
          <w:numId w:val="8"/>
        </w:numPr>
        <w:spacing w:after="0" w:line="240" w:lineRule="auto"/>
        <w:ind w:left="2250" w:hanging="450"/>
      </w:pPr>
      <w:r>
        <w:t xml:space="preserve">EPA </w:t>
      </w:r>
      <w:r w:rsidRPr="00776416">
        <w:t>Smoke Sense Study: A Citizen Science Project Using a Mobile App</w:t>
      </w:r>
      <w:r>
        <w:t xml:space="preserve">: </w:t>
      </w:r>
      <w:hyperlink r:id="rId32" w:history="1">
        <w:r w:rsidRPr="007964BA">
          <w:rPr>
            <w:rStyle w:val="Hyperlink"/>
          </w:rPr>
          <w:t>https://www.epa.gov/air-research/smoke-sense-study-citizen-science-project-using-mobile-app</w:t>
        </w:r>
      </w:hyperlink>
      <w:r>
        <w:t xml:space="preserve"> </w:t>
      </w:r>
    </w:p>
    <w:p w14:paraId="72122A15" w14:textId="2E700554" w:rsidR="0044457B" w:rsidRDefault="009E620B" w:rsidP="009E620B">
      <w:pPr>
        <w:numPr>
          <w:ilvl w:val="3"/>
          <w:numId w:val="8"/>
        </w:numPr>
        <w:spacing w:after="0" w:line="240" w:lineRule="auto"/>
        <w:ind w:left="2250" w:hanging="450"/>
      </w:pPr>
      <w:r>
        <w:t>Wildfires in California: A Critical Use Case for Expanding State Capacity and Sharing Information Across Public Health Jurisdictions</w:t>
      </w:r>
      <w:r w:rsidR="00525F3D">
        <w:t>. Syndromic Surveillance Success Story. CDC National Syndromic Surveillance Program.</w:t>
      </w:r>
      <w:r w:rsidR="0044457B">
        <w:t xml:space="preserve">: </w:t>
      </w:r>
      <w:hyperlink r:id="rId33" w:history="1">
        <w:r w:rsidR="0044457B" w:rsidRPr="00ED0422">
          <w:rPr>
            <w:rStyle w:val="Hyperlink"/>
          </w:rPr>
          <w:t>https://www.cdc.gov/nssp/success-stories/pdfs/nssp-success-stories-ca-wildfires.pdf</w:t>
        </w:r>
      </w:hyperlink>
      <w:r w:rsidR="0044457B">
        <w:t xml:space="preserve"> </w:t>
      </w:r>
    </w:p>
    <w:p w14:paraId="3DE5516E" w14:textId="77777777" w:rsidR="0044457B" w:rsidRDefault="0044457B" w:rsidP="0044457B">
      <w:pPr>
        <w:numPr>
          <w:ilvl w:val="3"/>
          <w:numId w:val="8"/>
        </w:numPr>
        <w:spacing w:after="0" w:line="240" w:lineRule="auto"/>
        <w:ind w:left="2250" w:hanging="450"/>
      </w:pPr>
      <w:r>
        <w:t xml:space="preserve">CSTE Environmental Health Indicators: Climate Change: </w:t>
      </w:r>
      <w:hyperlink r:id="rId34" w:history="1">
        <w:r w:rsidRPr="007964BA">
          <w:rPr>
            <w:rStyle w:val="Hyperlink"/>
          </w:rPr>
          <w:t>https://www.cste.org/members/group.aspx?id=106445</w:t>
        </w:r>
      </w:hyperlink>
      <w:r>
        <w:t xml:space="preserve"> </w:t>
      </w:r>
    </w:p>
    <w:p w14:paraId="2025A722" w14:textId="77777777" w:rsidR="0044457B" w:rsidRPr="0071246B" w:rsidRDefault="0044457B" w:rsidP="0044457B">
      <w:pPr>
        <w:pStyle w:val="ListParagraph"/>
        <w:spacing w:after="0" w:line="240" w:lineRule="auto"/>
        <w:ind w:left="1800"/>
        <w:rPr>
          <w:color w:val="2E74B5" w:themeColor="accent5" w:themeShade="BF"/>
        </w:rPr>
      </w:pPr>
    </w:p>
    <w:p w14:paraId="68EB76C3" w14:textId="515B5FCA" w:rsidR="00BB7F1A"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Floods</w:t>
      </w:r>
      <w:r w:rsidR="00157C9F" w:rsidRPr="0071246B">
        <w:rPr>
          <w:color w:val="2E74B5" w:themeColor="accent5" w:themeShade="BF"/>
        </w:rPr>
        <w:t xml:space="preserve"> </w:t>
      </w:r>
      <w:r w:rsidR="00157C9F" w:rsidRPr="0071246B">
        <w:rPr>
          <w:b/>
          <w:bCs/>
          <w:color w:val="2E74B5" w:themeColor="accent5" w:themeShade="BF"/>
        </w:rPr>
        <w:t>(consider</w:t>
      </w:r>
      <w:r w:rsidR="00B103BA" w:rsidRPr="0071246B">
        <w:rPr>
          <w:b/>
          <w:bCs/>
          <w:color w:val="2E74B5" w:themeColor="accent5" w:themeShade="BF"/>
        </w:rPr>
        <w:t xml:space="preserve"> reframing </w:t>
      </w:r>
      <w:r w:rsidR="00157C9F" w:rsidRPr="0071246B">
        <w:rPr>
          <w:b/>
          <w:bCs/>
          <w:color w:val="2E74B5" w:themeColor="accent5" w:themeShade="BF"/>
        </w:rPr>
        <w:t>to storm, extreme precipitation, weather-related event)</w:t>
      </w:r>
      <w:r w:rsidR="00A76151" w:rsidRPr="0071246B">
        <w:rPr>
          <w:b/>
          <w:bCs/>
          <w:color w:val="2E74B5" w:themeColor="accent5" w:themeShade="BF"/>
        </w:rPr>
        <w:t xml:space="preserve"> </w:t>
      </w:r>
      <w:r w:rsidR="00A76151" w:rsidRPr="0071246B">
        <w:rPr>
          <w:color w:val="2E74B5" w:themeColor="accent5" w:themeShade="BF"/>
          <w:highlight w:val="cyan"/>
        </w:rPr>
        <w:t>(Ximena)</w:t>
      </w:r>
    </w:p>
    <w:p w14:paraId="3976B69A" w14:textId="77777777" w:rsidR="00C13348" w:rsidRDefault="00C13348" w:rsidP="00C13348">
      <w:pPr>
        <w:pStyle w:val="ListParagraph"/>
        <w:spacing w:after="0" w:line="240" w:lineRule="auto"/>
        <w:ind w:left="1080"/>
        <w:rPr>
          <w:color w:val="2E74B5" w:themeColor="accent5" w:themeShade="BF"/>
        </w:rPr>
      </w:pPr>
    </w:p>
    <w:p w14:paraId="7C6E2415" w14:textId="77777777" w:rsidR="00C13348" w:rsidRDefault="00C13348" w:rsidP="00C13348">
      <w:pPr>
        <w:spacing w:after="0" w:line="240" w:lineRule="auto"/>
      </w:pPr>
      <w:r w:rsidRPr="00846F11">
        <w:t xml:space="preserve">Floods occur when intense precipitation occurs within a short </w:t>
      </w:r>
      <w:proofErr w:type="gramStart"/>
      <w:r w:rsidRPr="00846F11">
        <w:t>time period</w:t>
      </w:r>
      <w:proofErr w:type="gramEnd"/>
      <w:r w:rsidRPr="00846F11">
        <w:t>, when precipitation occurs over long periods of time, or when debris obstructs the natural flow of rivers or streams or when excessive snowmelt overpowers rivers or streams and flood nearby areas. Flash floods are characterized by a sudden onset of water. These occur with excessive rainfall in a short timeframe, typically less than hours.</w:t>
      </w:r>
      <w:r w:rsidRPr="00846F11">
        <w:rPr>
          <w:rStyle w:val="FootnoteReference"/>
        </w:rPr>
        <w:footnoteReference w:id="19"/>
      </w:r>
      <w:r w:rsidRPr="00846F11">
        <w:t xml:space="preserve"> Areas that have suffered from wildland fires are susceptible to flash floods. Coastal floods occur when there is a higher-than-average high tide or heavy rainfall with onshore winds. Whereas storm surges, usually caused by the wind, waves and low atmospheric pressure, are abnormal rises in coastal sea levels over and above the tide.</w:t>
      </w:r>
      <w:r>
        <w:t xml:space="preserve">  </w:t>
      </w:r>
    </w:p>
    <w:p w14:paraId="32FB648C" w14:textId="77777777" w:rsidR="00C13348" w:rsidRDefault="00C13348" w:rsidP="00C13348">
      <w:pPr>
        <w:spacing w:after="0" w:line="240" w:lineRule="auto"/>
      </w:pPr>
    </w:p>
    <w:p w14:paraId="59A2E5B9" w14:textId="77777777" w:rsidR="00C13348" w:rsidRPr="00C13348" w:rsidRDefault="00C13348" w:rsidP="00C13348">
      <w:pPr>
        <w:spacing w:after="0" w:line="240" w:lineRule="auto"/>
        <w:rPr>
          <w:color w:val="2E74B5" w:themeColor="accent5" w:themeShade="BF"/>
        </w:rPr>
      </w:pPr>
    </w:p>
    <w:p w14:paraId="15D0DF89" w14:textId="182C2C94" w:rsidR="001C234A" w:rsidRPr="0071246B" w:rsidRDefault="00BD0DAE" w:rsidP="001C234A">
      <w:pPr>
        <w:pStyle w:val="ListParagraph"/>
        <w:numPr>
          <w:ilvl w:val="2"/>
          <w:numId w:val="1"/>
        </w:numPr>
        <w:spacing w:after="0" w:line="240" w:lineRule="auto"/>
        <w:rPr>
          <w:color w:val="2E74B5" w:themeColor="accent5" w:themeShade="BF"/>
        </w:rPr>
      </w:pPr>
      <w:r w:rsidRPr="0071246B">
        <w:rPr>
          <w:color w:val="2E74B5" w:themeColor="accent5" w:themeShade="BF"/>
        </w:rPr>
        <w:t>Link to resources with -</w:t>
      </w:r>
      <w:r w:rsidR="001C234A" w:rsidRPr="0071246B">
        <w:rPr>
          <w:color w:val="2E74B5" w:themeColor="accent5" w:themeShade="BF"/>
        </w:rPr>
        <w:t>health outcomes to consider</w:t>
      </w:r>
      <w:r w:rsidRPr="0071246B">
        <w:rPr>
          <w:color w:val="2E74B5" w:themeColor="accent5" w:themeShade="BF"/>
        </w:rPr>
        <w:t>. If no well-defined resources, mention:</w:t>
      </w:r>
    </w:p>
    <w:p w14:paraId="058CEB0D" w14:textId="18B4DE7B" w:rsidR="00BC5B81" w:rsidRPr="0071246B" w:rsidRDefault="00BC5B81" w:rsidP="00BC5B81">
      <w:pPr>
        <w:pStyle w:val="ListParagraph"/>
        <w:numPr>
          <w:ilvl w:val="3"/>
          <w:numId w:val="1"/>
        </w:numPr>
        <w:spacing w:after="0" w:line="240" w:lineRule="auto"/>
        <w:rPr>
          <w:color w:val="2E74B5" w:themeColor="accent5" w:themeShade="BF"/>
        </w:rPr>
      </w:pPr>
      <w:r w:rsidRPr="0071246B">
        <w:rPr>
          <w:color w:val="2E74B5" w:themeColor="accent5" w:themeShade="BF"/>
        </w:rPr>
        <w:t>Motor vehicle accidents</w:t>
      </w:r>
    </w:p>
    <w:p w14:paraId="6DC7D33F" w14:textId="5CB9DFFD" w:rsidR="00BC5B81" w:rsidRPr="0071246B" w:rsidRDefault="00157C9F" w:rsidP="00BC5B81">
      <w:pPr>
        <w:pStyle w:val="ListParagraph"/>
        <w:numPr>
          <w:ilvl w:val="3"/>
          <w:numId w:val="1"/>
        </w:numPr>
        <w:spacing w:after="0" w:line="240" w:lineRule="auto"/>
        <w:rPr>
          <w:color w:val="2E74B5" w:themeColor="accent5" w:themeShade="BF"/>
        </w:rPr>
      </w:pPr>
      <w:r w:rsidRPr="0071246B">
        <w:rPr>
          <w:color w:val="2E74B5" w:themeColor="accent5" w:themeShade="BF"/>
        </w:rPr>
        <w:t xml:space="preserve">Direct/Indirect effects related to flood - </w:t>
      </w:r>
    </w:p>
    <w:p w14:paraId="1A8CF412" w14:textId="3A2979AB" w:rsidR="001C234A" w:rsidRPr="0071246B" w:rsidRDefault="004E068C" w:rsidP="004E068C">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95B1210" w14:textId="53C7DAD2" w:rsidR="001C234A" w:rsidRPr="0071246B" w:rsidRDefault="001C234A" w:rsidP="001C234A">
      <w:pPr>
        <w:pStyle w:val="ListParagraph"/>
        <w:numPr>
          <w:ilvl w:val="2"/>
          <w:numId w:val="1"/>
        </w:numPr>
        <w:spacing w:after="0" w:line="240" w:lineRule="auto"/>
        <w:rPr>
          <w:color w:val="2E74B5" w:themeColor="accent5" w:themeShade="BF"/>
        </w:rPr>
      </w:pPr>
      <w:r w:rsidRPr="0071246B">
        <w:rPr>
          <w:color w:val="2E74B5" w:themeColor="accent5" w:themeShade="BF"/>
        </w:rPr>
        <w:t>Examples from jurisdictions</w:t>
      </w:r>
      <w:r w:rsidR="0073629D" w:rsidRPr="0071246B">
        <w:rPr>
          <w:color w:val="2E74B5" w:themeColor="accent5" w:themeShade="BF"/>
        </w:rPr>
        <w:t xml:space="preserve"> and additional resources for creating case </w:t>
      </w:r>
      <w:proofErr w:type="gramStart"/>
      <w:r w:rsidR="0073629D" w:rsidRPr="0071246B">
        <w:rPr>
          <w:color w:val="2E74B5" w:themeColor="accent5" w:themeShade="BF"/>
        </w:rPr>
        <w:t>definitions</w:t>
      </w:r>
      <w:proofErr w:type="gramEnd"/>
    </w:p>
    <w:p w14:paraId="3522954A" w14:textId="4FC99CB9" w:rsidR="00383EA6" w:rsidRPr="0071246B" w:rsidRDefault="00383EA6" w:rsidP="00383EA6">
      <w:pPr>
        <w:pStyle w:val="ListParagraph"/>
        <w:numPr>
          <w:ilvl w:val="3"/>
          <w:numId w:val="1"/>
        </w:numPr>
        <w:spacing w:after="0" w:line="240" w:lineRule="auto"/>
        <w:rPr>
          <w:color w:val="2E74B5" w:themeColor="accent5" w:themeShade="BF"/>
        </w:rPr>
      </w:pPr>
      <w:r w:rsidRPr="0071246B">
        <w:rPr>
          <w:color w:val="2E74B5" w:themeColor="accent5" w:themeShade="BF"/>
        </w:rPr>
        <w:t>Kentucky – FACE data – detection of flood-related deaths</w:t>
      </w:r>
    </w:p>
    <w:p w14:paraId="47F9F184" w14:textId="5765432D" w:rsidR="003747AA" w:rsidRPr="0071246B" w:rsidRDefault="00BF2714" w:rsidP="003747AA">
      <w:pPr>
        <w:pStyle w:val="ListParagraph"/>
        <w:numPr>
          <w:ilvl w:val="2"/>
          <w:numId w:val="1"/>
        </w:numPr>
        <w:spacing w:after="0" w:line="240" w:lineRule="auto"/>
        <w:rPr>
          <w:color w:val="2E74B5" w:themeColor="accent5" w:themeShade="BF"/>
        </w:rPr>
      </w:pPr>
      <w:r w:rsidRPr="0071246B">
        <w:rPr>
          <w:color w:val="2E74B5" w:themeColor="accent5" w:themeShade="BF"/>
        </w:rPr>
        <w:lastRenderedPageBreak/>
        <w:t>Strengths and limitations</w:t>
      </w:r>
    </w:p>
    <w:p w14:paraId="62CEFB79" w14:textId="1989CE7B" w:rsidR="003747AA" w:rsidRPr="0071246B" w:rsidRDefault="003747AA" w:rsidP="003747AA">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748BEEF8" w14:textId="4CF70B5D" w:rsidR="00A3286D" w:rsidRPr="0071246B" w:rsidRDefault="008A3E6A" w:rsidP="00707AAC">
      <w:pPr>
        <w:pStyle w:val="ListParagraph"/>
        <w:numPr>
          <w:ilvl w:val="0"/>
          <w:numId w:val="1"/>
        </w:numPr>
        <w:spacing w:after="0" w:line="240" w:lineRule="auto"/>
        <w:rPr>
          <w:color w:val="2E74B5" w:themeColor="accent5" w:themeShade="BF"/>
        </w:rPr>
      </w:pPr>
      <w:r w:rsidRPr="0071246B">
        <w:rPr>
          <w:color w:val="2E74B5" w:themeColor="accent5" w:themeShade="BF"/>
        </w:rPr>
        <w:t>Identifying and engaging potential partners</w:t>
      </w:r>
      <w:r w:rsidR="00A76151" w:rsidRPr="0071246B">
        <w:rPr>
          <w:color w:val="2E74B5" w:themeColor="accent5" w:themeShade="BF"/>
        </w:rPr>
        <w:t xml:space="preserve"> </w:t>
      </w:r>
      <w:r w:rsidR="00A76151" w:rsidRPr="0071246B">
        <w:rPr>
          <w:color w:val="2E74B5" w:themeColor="accent5" w:themeShade="BF"/>
          <w:highlight w:val="cyan"/>
        </w:rPr>
        <w:t>(Paul)</w:t>
      </w:r>
    </w:p>
    <w:p w14:paraId="43603AAE" w14:textId="2D52FF5D" w:rsidR="00A3286D" w:rsidRPr="0071246B" w:rsidRDefault="00A3286D" w:rsidP="00A3286D">
      <w:pPr>
        <w:pStyle w:val="ListParagraph"/>
        <w:numPr>
          <w:ilvl w:val="1"/>
          <w:numId w:val="1"/>
        </w:numPr>
        <w:spacing w:after="0" w:line="240" w:lineRule="auto"/>
        <w:rPr>
          <w:color w:val="2E74B5" w:themeColor="accent5" w:themeShade="BF"/>
        </w:rPr>
      </w:pPr>
      <w:r w:rsidRPr="0071246B">
        <w:rPr>
          <w:color w:val="2E74B5" w:themeColor="accent5" w:themeShade="BF"/>
        </w:rPr>
        <w:t xml:space="preserve">Identifying potential partners outside of occupational health </w:t>
      </w:r>
      <w:r w:rsidR="009A0501" w:rsidRPr="0071246B">
        <w:rPr>
          <w:color w:val="2E74B5" w:themeColor="accent5" w:themeShade="BF"/>
        </w:rPr>
        <w:t>(include example partners)</w:t>
      </w:r>
      <w:r w:rsidR="006C340C" w:rsidRPr="0071246B">
        <w:rPr>
          <w:color w:val="2E74B5" w:themeColor="accent5" w:themeShade="BF"/>
        </w:rPr>
        <w:t xml:space="preserve"> (Refer to Lens Doc).</w:t>
      </w:r>
    </w:p>
    <w:p w14:paraId="2DEEE83E" w14:textId="1CC82CC8"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Army core of engineers</w:t>
      </w:r>
    </w:p>
    <w:p w14:paraId="466AB851" w14:textId="3EDD6F3A"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Total worker health centers</w:t>
      </w:r>
    </w:p>
    <w:p w14:paraId="5000E51A" w14:textId="0B6DF6BE"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 xml:space="preserve">FQHCs that do outreach with </w:t>
      </w:r>
      <w:proofErr w:type="gramStart"/>
      <w:r w:rsidRPr="0071246B">
        <w:rPr>
          <w:color w:val="2E74B5" w:themeColor="accent5" w:themeShade="BF"/>
        </w:rPr>
        <w:t>farmworkers</w:t>
      </w:r>
      <w:proofErr w:type="gramEnd"/>
    </w:p>
    <w:p w14:paraId="149F9A03" w14:textId="3283BDC0" w:rsidR="005242CE" w:rsidRPr="0071246B" w:rsidRDefault="005242CE" w:rsidP="006C340C">
      <w:pPr>
        <w:pStyle w:val="ListParagraph"/>
        <w:numPr>
          <w:ilvl w:val="2"/>
          <w:numId w:val="1"/>
        </w:numPr>
        <w:spacing w:after="0" w:line="240" w:lineRule="auto"/>
        <w:rPr>
          <w:color w:val="2E74B5" w:themeColor="accent5" w:themeShade="BF"/>
        </w:rPr>
      </w:pPr>
      <w:r w:rsidRPr="0071246B">
        <w:rPr>
          <w:color w:val="2E74B5" w:themeColor="accent5" w:themeShade="BF"/>
        </w:rPr>
        <w:t>Migrant Clinicians Network</w:t>
      </w:r>
    </w:p>
    <w:p w14:paraId="5E8BE896" w14:textId="269BD18D" w:rsidR="00707AAC" w:rsidRPr="0071246B" w:rsidRDefault="00A3286D"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 xml:space="preserve">How </w:t>
      </w:r>
      <w:r w:rsidR="009A0501" w:rsidRPr="0071246B">
        <w:rPr>
          <w:color w:val="2E74B5" w:themeColor="accent5" w:themeShade="BF"/>
          <w:highlight w:val="yellow"/>
        </w:rPr>
        <w:t>can</w:t>
      </w:r>
      <w:r w:rsidRPr="0071246B">
        <w:rPr>
          <w:color w:val="2E74B5" w:themeColor="accent5" w:themeShade="BF"/>
          <w:highlight w:val="yellow"/>
        </w:rPr>
        <w:t xml:space="preserve"> occupational health programs access non-traditional occupational data </w:t>
      </w:r>
      <w:proofErr w:type="gramStart"/>
      <w:r w:rsidRPr="0071246B">
        <w:rPr>
          <w:color w:val="2E74B5" w:themeColor="accent5" w:themeShade="BF"/>
          <w:highlight w:val="yellow"/>
        </w:rPr>
        <w:t>sources</w:t>
      </w:r>
      <w:proofErr w:type="gramEnd"/>
      <w:r w:rsidR="00707AAC" w:rsidRPr="0071246B">
        <w:rPr>
          <w:color w:val="2E74B5" w:themeColor="accent5" w:themeShade="BF"/>
          <w:highlight w:val="yellow"/>
        </w:rPr>
        <w:t xml:space="preserve"> </w:t>
      </w:r>
    </w:p>
    <w:p w14:paraId="31264FEE" w14:textId="7DC35D2F" w:rsidR="009A0501" w:rsidRPr="0071246B" w:rsidRDefault="009A0501"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How can occupational health programs work with partners to use the data</w:t>
      </w:r>
      <w:r w:rsidR="003D6DD5" w:rsidRPr="0071246B">
        <w:rPr>
          <w:color w:val="2E74B5" w:themeColor="accent5" w:themeShade="BF"/>
          <w:highlight w:val="yellow"/>
        </w:rPr>
        <w:t xml:space="preserve">, disseminate the data. </w:t>
      </w:r>
    </w:p>
    <w:p w14:paraId="4ADACB49" w14:textId="1945D471" w:rsidR="003D6DD5" w:rsidRPr="0071246B" w:rsidRDefault="003D6DD5"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 xml:space="preserve">Developing questions for partners – knowing what to ask academics. </w:t>
      </w:r>
    </w:p>
    <w:p w14:paraId="26F3ABB3" w14:textId="566CE77C" w:rsidR="00B907A7" w:rsidRDefault="00B907A7" w:rsidP="00B907A7">
      <w:pPr>
        <w:spacing w:after="0" w:line="240" w:lineRule="auto"/>
      </w:pPr>
    </w:p>
    <w:p w14:paraId="2AF968A6" w14:textId="0C2E7FB9" w:rsidR="00B907A7" w:rsidRPr="001718B6" w:rsidRDefault="001718B6" w:rsidP="00B907A7">
      <w:pPr>
        <w:spacing w:after="0" w:line="240" w:lineRule="auto"/>
        <w:rPr>
          <w:i/>
          <w:iCs/>
        </w:rPr>
      </w:pPr>
      <w:r w:rsidRPr="001718B6">
        <w:rPr>
          <w:i/>
          <w:iCs/>
        </w:rPr>
        <w:t>Identifying partners:</w:t>
      </w:r>
    </w:p>
    <w:p w14:paraId="63F05FCD" w14:textId="4B0E32C0" w:rsidR="00C726C4" w:rsidRDefault="001718B6" w:rsidP="00B907A7">
      <w:pPr>
        <w:spacing w:after="0" w:line="240" w:lineRule="auto"/>
      </w:pPr>
      <w:r>
        <w:t xml:space="preserve">One way to make progress in the climate and occupational health space is to partner with other groups that are involved in this work. </w:t>
      </w:r>
      <w:r w:rsidR="00B964EC">
        <w:t xml:space="preserve">Such partnerships can lead to synergies that move the work further along for both parties. </w:t>
      </w:r>
      <w:r>
        <w:t xml:space="preserve">Non-traditional partners may be particularly valuable as they might have alternative data sources, additional networks, and diverse perspectives. Partners could be groups working on equity, environmental justice, or labor issues. Unions (e.g., AFL/CIO, IAFF, </w:t>
      </w:r>
      <w:r w:rsidR="00C52FF3">
        <w:t>etc.</w:t>
      </w:r>
      <w:r>
        <w:t xml:space="preserve">), </w:t>
      </w:r>
      <w:r w:rsidR="00DF2583">
        <w:t xml:space="preserve">non-profits (e.g., National Resource Defense Council </w:t>
      </w:r>
      <w:r w:rsidR="00F23898">
        <w:t>[</w:t>
      </w:r>
      <w:r w:rsidR="00DF2583">
        <w:t>NRDC</w:t>
      </w:r>
      <w:r w:rsidR="00F23898">
        <w:t>]</w:t>
      </w:r>
      <w:r w:rsidR="00DF2583">
        <w:t>), Total Worker Health Centers</w:t>
      </w:r>
      <w:r w:rsidR="004104B4">
        <w:t xml:space="preserve">, </w:t>
      </w:r>
      <w:r w:rsidR="00DF2583">
        <w:t>Federally Qualified Health Centers (FQHCs)</w:t>
      </w:r>
      <w:r w:rsidR="00B964EC">
        <w:t xml:space="preserve"> – especially those that do outreach with farmer worker populations –</w:t>
      </w:r>
      <w:r w:rsidR="004104B4">
        <w:t xml:space="preserve"> and state climatologists</w:t>
      </w:r>
      <w:r w:rsidR="00DF2583">
        <w:t xml:space="preserve"> are examples of </w:t>
      </w:r>
      <w:r w:rsidR="00B964EC">
        <w:t xml:space="preserve">potential </w:t>
      </w:r>
      <w:r w:rsidR="00DF2583">
        <w:t>partners that share the priorities of protecting workers from the effects of climate change.</w:t>
      </w:r>
      <w:r w:rsidR="004104B4">
        <w:t xml:space="preserve"> </w:t>
      </w:r>
    </w:p>
    <w:p w14:paraId="4392ABE9" w14:textId="77777777" w:rsidR="00C726C4" w:rsidRDefault="00C726C4" w:rsidP="00B907A7">
      <w:pPr>
        <w:spacing w:after="0" w:line="240" w:lineRule="auto"/>
      </w:pPr>
    </w:p>
    <w:p w14:paraId="6EE6A46F" w14:textId="33CED76B" w:rsidR="001718B6" w:rsidRDefault="00C726C4" w:rsidP="00B907A7">
      <w:pPr>
        <w:spacing w:after="0" w:line="240" w:lineRule="auto"/>
      </w:pPr>
      <w:r>
        <w:t>Ma</w:t>
      </w:r>
      <w:r w:rsidR="004104B4">
        <w:t>ny data providers are</w:t>
      </w:r>
      <w:r>
        <w:t xml:space="preserve"> also</w:t>
      </w:r>
      <w:r w:rsidR="004104B4">
        <w:t xml:space="preserve"> potential partners. These might include your state poison control center, local preparedness organizations, your state-level Environmental Public Health Tracking (EPHT) program, or the </w:t>
      </w:r>
      <w:r w:rsidR="004104B4" w:rsidRPr="004104B4">
        <w:t>Climate-Ready States &amp; Cities Initiative (CRSCI</w:t>
      </w:r>
      <w:r w:rsidR="004104B4">
        <w:t>).</w:t>
      </w:r>
      <w:r w:rsidR="00AC0ADC">
        <w:t xml:space="preserve"> Departments of workforce development, the national guard, and the army core of engineers are all potential partners as well. Give some thought to the </w:t>
      </w:r>
      <w:proofErr w:type="gramStart"/>
      <w:r w:rsidR="00AC0ADC">
        <w:t>particular needs</w:t>
      </w:r>
      <w:proofErr w:type="gramEnd"/>
      <w:r w:rsidR="00AC0ADC">
        <w:t xml:space="preserve"> of your region when considering where to look for partnerships. </w:t>
      </w:r>
      <w:r w:rsidR="00216A13">
        <w:t xml:space="preserve">Table </w:t>
      </w:r>
      <w:r w:rsidR="00216A13" w:rsidRPr="00216A13">
        <w:rPr>
          <w:highlight w:val="yellow"/>
        </w:rPr>
        <w:t>X</w:t>
      </w:r>
      <w:r w:rsidR="00216A13">
        <w:t xml:space="preserve"> (below)</w:t>
      </w:r>
      <w:r w:rsidR="00AC0ADC">
        <w:t xml:space="preserve"> follows provides some examples of partnerships categorized their level (</w:t>
      </w:r>
      <w:r w:rsidR="00216A13">
        <w:t xml:space="preserve">i.e., </w:t>
      </w:r>
      <w:r w:rsidR="00AC0ADC">
        <w:t>national</w:t>
      </w:r>
      <w:r w:rsidR="009817E1">
        <w:t xml:space="preserve"> and</w:t>
      </w:r>
      <w:r w:rsidR="00AC0ADC">
        <w:t xml:space="preserve"> state). </w:t>
      </w:r>
      <w:r>
        <w:t xml:space="preserve">Please note that this table is intended to be suggestive, not exhaustive. </w:t>
      </w:r>
    </w:p>
    <w:p w14:paraId="212AFF83" w14:textId="0998FDB0" w:rsidR="0071246B" w:rsidRDefault="0071246B" w:rsidP="00B907A7">
      <w:pPr>
        <w:spacing w:after="0" w:line="240" w:lineRule="auto"/>
      </w:pPr>
    </w:p>
    <w:p w14:paraId="4D490C26" w14:textId="0663E506" w:rsidR="0071246B" w:rsidRDefault="0071246B" w:rsidP="00B907A7">
      <w:pPr>
        <w:spacing w:after="0" w:line="240" w:lineRule="auto"/>
      </w:pPr>
    </w:p>
    <w:p w14:paraId="4155DB24" w14:textId="15C4C441" w:rsidR="0071246B" w:rsidRDefault="0071246B" w:rsidP="00B907A7">
      <w:pPr>
        <w:spacing w:after="0" w:line="240" w:lineRule="auto"/>
      </w:pPr>
    </w:p>
    <w:p w14:paraId="38A9B2BA" w14:textId="54E00A03" w:rsidR="0071246B" w:rsidRDefault="0071246B" w:rsidP="00B907A7">
      <w:pPr>
        <w:spacing w:after="0" w:line="240" w:lineRule="auto"/>
      </w:pPr>
    </w:p>
    <w:p w14:paraId="31ECFCA4" w14:textId="6BA4FA77" w:rsidR="00EC0502" w:rsidRDefault="00EC0502" w:rsidP="00B907A7">
      <w:pPr>
        <w:spacing w:after="0" w:line="240" w:lineRule="auto"/>
      </w:pPr>
    </w:p>
    <w:p w14:paraId="33298DBC" w14:textId="5C2F2B5A" w:rsidR="00EC0502" w:rsidRDefault="00EC0502" w:rsidP="00B907A7">
      <w:pPr>
        <w:spacing w:after="0" w:line="240" w:lineRule="auto"/>
      </w:pPr>
    </w:p>
    <w:p w14:paraId="189F1588" w14:textId="77777777" w:rsidR="00EC0502" w:rsidRDefault="00EC0502" w:rsidP="00B907A7">
      <w:pPr>
        <w:spacing w:after="0" w:line="240" w:lineRule="auto"/>
      </w:pPr>
    </w:p>
    <w:p w14:paraId="17216F09" w14:textId="77777777" w:rsidR="0071246B" w:rsidRDefault="0071246B" w:rsidP="00B907A7">
      <w:pPr>
        <w:spacing w:after="0" w:line="240" w:lineRule="auto"/>
      </w:pPr>
    </w:p>
    <w:p w14:paraId="6333462D" w14:textId="41182223" w:rsidR="00AC0ADC" w:rsidRDefault="00AC0ADC" w:rsidP="00B907A7">
      <w:pPr>
        <w:spacing w:after="0" w:line="240" w:lineRule="auto"/>
      </w:pPr>
    </w:p>
    <w:tbl>
      <w:tblPr>
        <w:tblW w:w="9400" w:type="dxa"/>
        <w:tblLook w:val="04A0" w:firstRow="1" w:lastRow="0" w:firstColumn="1" w:lastColumn="0" w:noHBand="0" w:noVBand="1"/>
      </w:tblPr>
      <w:tblGrid>
        <w:gridCol w:w="1204"/>
        <w:gridCol w:w="4646"/>
        <w:gridCol w:w="3550"/>
      </w:tblGrid>
      <w:tr w:rsidR="00A7041A" w:rsidRPr="00A7041A" w14:paraId="76A8578B" w14:textId="77777777" w:rsidTr="00704D02">
        <w:trPr>
          <w:trHeight w:val="364"/>
        </w:trPr>
        <w:tc>
          <w:tcPr>
            <w:tcW w:w="1204" w:type="dxa"/>
            <w:tcBorders>
              <w:top w:val="nil"/>
              <w:left w:val="nil"/>
              <w:bottom w:val="nil"/>
              <w:right w:val="nil"/>
            </w:tcBorders>
            <w:shd w:val="clear" w:color="auto" w:fill="auto"/>
            <w:vAlign w:val="center"/>
            <w:hideMark/>
          </w:tcPr>
          <w:p w14:paraId="168EE463" w14:textId="77777777" w:rsidR="00A7041A" w:rsidRPr="00A7041A" w:rsidRDefault="00A7041A" w:rsidP="00A7041A">
            <w:pPr>
              <w:spacing w:after="0" w:line="240" w:lineRule="auto"/>
              <w:rPr>
                <w:rFonts w:ascii="Times New Roman" w:eastAsia="Times New Roman" w:hAnsi="Times New Roman" w:cs="Times New Roman"/>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02DC6DEE"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National</w:t>
            </w:r>
          </w:p>
        </w:tc>
        <w:tc>
          <w:tcPr>
            <w:tcW w:w="3550" w:type="dxa"/>
            <w:tcBorders>
              <w:top w:val="single" w:sz="4" w:space="0" w:color="auto"/>
              <w:left w:val="nil"/>
              <w:bottom w:val="single" w:sz="4" w:space="0" w:color="auto"/>
              <w:right w:val="single" w:sz="4" w:space="0" w:color="auto"/>
            </w:tcBorders>
            <w:shd w:val="clear" w:color="000000" w:fill="E7E6E6"/>
            <w:vAlign w:val="center"/>
            <w:hideMark/>
          </w:tcPr>
          <w:p w14:paraId="5D71ED45"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State</w:t>
            </w:r>
          </w:p>
        </w:tc>
      </w:tr>
      <w:tr w:rsidR="00A7041A" w:rsidRPr="00A7041A" w14:paraId="3F98B267" w14:textId="77777777" w:rsidTr="00216A13">
        <w:trPr>
          <w:trHeight w:val="4040"/>
        </w:trPr>
        <w:tc>
          <w:tcPr>
            <w:tcW w:w="120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3335A6B" w14:textId="77777777" w:rsidR="00A7041A" w:rsidRPr="00A7041A" w:rsidRDefault="00A7041A" w:rsidP="00A7041A">
            <w:pPr>
              <w:spacing w:after="0" w:line="240" w:lineRule="auto"/>
              <w:jc w:val="center"/>
              <w:rPr>
                <w:rFonts w:ascii="Arial" w:eastAsia="Times New Roman" w:hAnsi="Arial" w:cs="Arial"/>
                <w:color w:val="000000"/>
                <w:sz w:val="14"/>
                <w:szCs w:val="14"/>
              </w:rPr>
            </w:pPr>
            <w:r w:rsidRPr="00A7041A">
              <w:rPr>
                <w:rFonts w:ascii="Arial" w:eastAsia="Times New Roman" w:hAnsi="Arial" w:cs="Arial"/>
                <w:color w:val="000000"/>
                <w:sz w:val="16"/>
                <w:szCs w:val="16"/>
              </w:rPr>
              <w:lastRenderedPageBreak/>
              <w:t>Organizations</w:t>
            </w:r>
          </w:p>
        </w:tc>
        <w:tc>
          <w:tcPr>
            <w:tcW w:w="4646" w:type="dxa"/>
            <w:tcBorders>
              <w:top w:val="nil"/>
              <w:left w:val="nil"/>
              <w:bottom w:val="single" w:sz="4" w:space="0" w:color="auto"/>
              <w:right w:val="single" w:sz="4" w:space="0" w:color="auto"/>
            </w:tcBorders>
            <w:shd w:val="clear" w:color="auto" w:fill="auto"/>
            <w:vAlign w:val="center"/>
            <w:hideMark/>
          </w:tcPr>
          <w:p w14:paraId="6A97630E" w14:textId="7ABDC39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Bureau of Labor Statistics (BLS)</w:t>
            </w:r>
            <w:r w:rsidRPr="00A7041A">
              <w:rPr>
                <w:rFonts w:ascii="Arial" w:eastAsia="Times New Roman" w:hAnsi="Arial" w:cs="Arial"/>
                <w:color w:val="000000"/>
                <w:sz w:val="16"/>
                <w:szCs w:val="16"/>
              </w:rPr>
              <w:br/>
              <w:t>• National Institute for Occupational Safety &amp; Health (NIOSH)</w:t>
            </w:r>
            <w:r w:rsidRPr="00A7041A">
              <w:rPr>
                <w:rFonts w:ascii="Arial" w:eastAsia="Times New Roman" w:hAnsi="Arial" w:cs="Arial"/>
                <w:color w:val="000000"/>
                <w:sz w:val="16"/>
                <w:szCs w:val="16"/>
              </w:rPr>
              <w:br/>
              <w:t>• Occupational Health and Safety Administration (OSHA)</w:t>
            </w:r>
            <w:r w:rsidRPr="00A7041A">
              <w:rPr>
                <w:rFonts w:ascii="Arial" w:eastAsia="Times New Roman" w:hAnsi="Arial" w:cs="Arial"/>
                <w:color w:val="000000"/>
                <w:sz w:val="16"/>
                <w:szCs w:val="16"/>
              </w:rPr>
              <w:br/>
              <w:t>• Environmental Protection Agency (EPA)</w:t>
            </w:r>
            <w:r w:rsidRPr="00A7041A">
              <w:rPr>
                <w:rFonts w:ascii="Arial" w:eastAsia="Times New Roman" w:hAnsi="Arial" w:cs="Arial"/>
                <w:color w:val="000000"/>
                <w:sz w:val="16"/>
                <w:szCs w:val="16"/>
              </w:rPr>
              <w:br/>
              <w:t>• The Centers for Disease Control and Prevention (CDC)</w:t>
            </w:r>
            <w:r w:rsidRPr="00A7041A">
              <w:rPr>
                <w:rFonts w:ascii="Arial" w:eastAsia="Times New Roman" w:hAnsi="Arial" w:cs="Arial"/>
                <w:color w:val="000000"/>
                <w:sz w:val="16"/>
                <w:szCs w:val="16"/>
              </w:rPr>
              <w:br/>
              <w:t>• National Oceanic and Atmospheric Administration (NOAA)</w:t>
            </w:r>
            <w:r w:rsidRPr="00A7041A">
              <w:rPr>
                <w:rFonts w:ascii="Arial" w:eastAsia="Times New Roman" w:hAnsi="Arial" w:cs="Arial"/>
                <w:color w:val="000000"/>
                <w:sz w:val="16"/>
                <w:szCs w:val="16"/>
              </w:rPr>
              <w:br/>
              <w:t xml:space="preserve">• The National Weather Service (NWS) </w:t>
            </w:r>
            <w:r w:rsidRPr="00A7041A">
              <w:rPr>
                <w:rFonts w:ascii="Arial" w:eastAsia="Times New Roman" w:hAnsi="Arial" w:cs="Arial"/>
                <w:color w:val="000000"/>
                <w:sz w:val="16"/>
                <w:szCs w:val="16"/>
              </w:rPr>
              <w:br/>
              <w:t>• United States Department of Labor (USDOL)</w:t>
            </w:r>
            <w:r w:rsidRPr="00A7041A">
              <w:rPr>
                <w:rFonts w:ascii="Arial" w:eastAsia="Times New Roman" w:hAnsi="Arial" w:cs="Arial"/>
                <w:color w:val="000000"/>
                <w:sz w:val="16"/>
                <w:szCs w:val="16"/>
              </w:rPr>
              <w:br/>
              <w:t>• Federal Emergency Management Agency (FEMA)</w:t>
            </w:r>
          </w:p>
          <w:p w14:paraId="5D0581DF" w14:textId="645B2722"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Environmental Public Health Tracking (EPHT)</w:t>
            </w:r>
          </w:p>
          <w:p w14:paraId="17F92FDA" w14:textId="2932FCF1"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F23898">
              <w:rPr>
                <w:rFonts w:ascii="Arial" w:eastAsia="Times New Roman" w:hAnsi="Arial" w:cs="Arial"/>
                <w:color w:val="000000"/>
                <w:sz w:val="16"/>
                <w:szCs w:val="16"/>
              </w:rPr>
              <w:t>Climate-Ready States &amp; Cities Initiative (CRSCI</w:t>
            </w:r>
            <w:r>
              <w:rPr>
                <w:rFonts w:ascii="Arial" w:eastAsia="Times New Roman" w:hAnsi="Arial" w:cs="Arial"/>
                <w:color w:val="000000"/>
                <w:sz w:val="16"/>
                <w:szCs w:val="16"/>
              </w:rPr>
              <w:t>)</w:t>
            </w:r>
          </w:p>
          <w:p w14:paraId="58EE5EB4" w14:textId="44CD896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Army core of engineers</w:t>
            </w:r>
          </w:p>
          <w:p w14:paraId="1C1D0DF6" w14:textId="22C28CEF"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guard</w:t>
            </w:r>
          </w:p>
          <w:p w14:paraId="09FE2345" w14:textId="77777777" w:rsidR="00216A13"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National Poison Data System</w:t>
            </w:r>
            <w:r w:rsidRPr="00A7041A">
              <w:rPr>
                <w:rFonts w:ascii="Arial" w:eastAsia="Times New Roman" w:hAnsi="Arial" w:cs="Arial"/>
                <w:color w:val="000000"/>
                <w:sz w:val="16"/>
                <w:szCs w:val="16"/>
              </w:rPr>
              <w:br/>
              <w:t>• Agency for Toxic Substance and Disease Registry (ATSDR)</w:t>
            </w:r>
            <w:r w:rsidRPr="00A7041A">
              <w:rPr>
                <w:rFonts w:ascii="Arial" w:eastAsia="Times New Roman" w:hAnsi="Arial" w:cs="Arial"/>
                <w:color w:val="000000"/>
                <w:sz w:val="16"/>
                <w:szCs w:val="16"/>
              </w:rPr>
              <w:br/>
              <w:t>• Center for Protection of Workers Rights (CPWR)</w:t>
            </w:r>
            <w:r w:rsidRPr="00A7041A">
              <w:rPr>
                <w:rFonts w:ascii="Arial" w:eastAsia="Times New Roman" w:hAnsi="Arial" w:cs="Arial"/>
                <w:color w:val="000000"/>
                <w:sz w:val="16"/>
                <w:szCs w:val="16"/>
              </w:rPr>
              <w:br/>
              <w:t>• Unions (e.g., AFL/CIO, IAFF, UFCW, etc.)</w:t>
            </w:r>
          </w:p>
          <w:p w14:paraId="54209C80" w14:textId="61883228" w:rsidR="00D05470" w:rsidRPr="00A7041A" w:rsidRDefault="00216A13"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216A13">
              <w:rPr>
                <w:rFonts w:ascii="Arial" w:eastAsia="Times New Roman" w:hAnsi="Arial" w:cs="Arial"/>
                <w:color w:val="000000"/>
                <w:sz w:val="16"/>
                <w:szCs w:val="16"/>
              </w:rPr>
              <w:t>Migrant Clinicians Network</w:t>
            </w:r>
            <w:r w:rsidR="00A7041A" w:rsidRPr="00A7041A">
              <w:rPr>
                <w:rFonts w:ascii="Arial" w:eastAsia="Times New Roman" w:hAnsi="Arial" w:cs="Arial"/>
                <w:color w:val="000000"/>
                <w:sz w:val="16"/>
                <w:szCs w:val="16"/>
              </w:rPr>
              <w:br/>
              <w:t>• National Resources Defense Council (NRDC)</w:t>
            </w:r>
            <w:r w:rsidR="00A7041A" w:rsidRPr="00A7041A">
              <w:rPr>
                <w:rFonts w:ascii="Arial" w:eastAsia="Times New Roman" w:hAnsi="Arial" w:cs="Arial"/>
                <w:color w:val="000000"/>
                <w:sz w:val="16"/>
                <w:szCs w:val="16"/>
              </w:rPr>
              <w:br/>
              <w:t xml:space="preserve">• Other national NGOs (e.g., </w:t>
            </w:r>
            <w:proofErr w:type="spellStart"/>
            <w:r w:rsidR="00A7041A" w:rsidRPr="00A7041A">
              <w:rPr>
                <w:rFonts w:ascii="Arial" w:eastAsia="Times New Roman" w:hAnsi="Arial" w:cs="Arial"/>
                <w:color w:val="000000"/>
                <w:sz w:val="16"/>
                <w:szCs w:val="16"/>
              </w:rPr>
              <w:t>ISeeChange</w:t>
            </w:r>
            <w:proofErr w:type="spellEnd"/>
            <w:r w:rsidR="00A7041A" w:rsidRPr="00A7041A">
              <w:rPr>
                <w:rFonts w:ascii="Arial" w:eastAsia="Times New Roman" w:hAnsi="Arial" w:cs="Arial"/>
                <w:color w:val="000000"/>
                <w:sz w:val="16"/>
                <w:szCs w:val="16"/>
              </w:rPr>
              <w:t>)</w:t>
            </w:r>
          </w:p>
        </w:tc>
        <w:tc>
          <w:tcPr>
            <w:tcW w:w="3550" w:type="dxa"/>
            <w:tcBorders>
              <w:top w:val="nil"/>
              <w:left w:val="nil"/>
              <w:bottom w:val="single" w:sz="4" w:space="0" w:color="auto"/>
              <w:right w:val="single" w:sz="4" w:space="0" w:color="auto"/>
            </w:tcBorders>
            <w:shd w:val="clear" w:color="auto" w:fill="auto"/>
            <w:vAlign w:val="center"/>
            <w:hideMark/>
          </w:tcPr>
          <w:p w14:paraId="793066A7" w14:textId="7777777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Health interview systems</w:t>
            </w:r>
            <w:r w:rsidRPr="00A7041A">
              <w:rPr>
                <w:rFonts w:ascii="Arial" w:eastAsia="Times New Roman" w:hAnsi="Arial" w:cs="Arial"/>
                <w:color w:val="000000"/>
                <w:sz w:val="16"/>
                <w:szCs w:val="16"/>
              </w:rPr>
              <w:br/>
              <w:t>• State OSHA offices</w:t>
            </w:r>
            <w:r w:rsidRPr="00A7041A">
              <w:rPr>
                <w:rFonts w:ascii="Arial" w:eastAsia="Times New Roman" w:hAnsi="Arial" w:cs="Arial"/>
                <w:color w:val="000000"/>
                <w:sz w:val="16"/>
                <w:szCs w:val="16"/>
              </w:rPr>
              <w:br/>
              <w:t>• Departments of natural resources</w:t>
            </w:r>
            <w:r w:rsidRPr="00A7041A">
              <w:rPr>
                <w:rFonts w:ascii="Arial" w:eastAsia="Times New Roman" w:hAnsi="Arial" w:cs="Arial"/>
                <w:color w:val="000000"/>
                <w:sz w:val="16"/>
                <w:szCs w:val="16"/>
              </w:rPr>
              <w:br/>
              <w:t>• Departments of workforce development/labor</w:t>
            </w:r>
            <w:r w:rsidRPr="00A7041A">
              <w:rPr>
                <w:rFonts w:ascii="Arial" w:eastAsia="Times New Roman" w:hAnsi="Arial" w:cs="Arial"/>
                <w:color w:val="000000"/>
                <w:sz w:val="16"/>
                <w:szCs w:val="16"/>
              </w:rPr>
              <w:br/>
              <w:t>• Departments of agriculture</w:t>
            </w:r>
            <w:r w:rsidRPr="00A7041A">
              <w:rPr>
                <w:rFonts w:ascii="Arial" w:eastAsia="Times New Roman" w:hAnsi="Arial" w:cs="Arial"/>
                <w:color w:val="000000"/>
                <w:sz w:val="16"/>
                <w:szCs w:val="16"/>
              </w:rPr>
              <w:br/>
              <w:t>• State climatologists</w:t>
            </w:r>
            <w:r w:rsidRPr="00A7041A">
              <w:rPr>
                <w:rFonts w:ascii="Arial" w:eastAsia="Times New Roman" w:hAnsi="Arial" w:cs="Arial"/>
                <w:color w:val="000000"/>
                <w:sz w:val="16"/>
                <w:szCs w:val="16"/>
              </w:rPr>
              <w:br/>
              <w:t>• Emergency preparedness</w:t>
            </w:r>
            <w:r w:rsidRPr="00A7041A">
              <w:rPr>
                <w:rFonts w:ascii="Arial" w:eastAsia="Times New Roman" w:hAnsi="Arial" w:cs="Arial"/>
                <w:color w:val="000000"/>
                <w:sz w:val="16"/>
                <w:szCs w:val="16"/>
              </w:rPr>
              <w:br/>
              <w:t>• Poison control centers</w:t>
            </w:r>
            <w:r w:rsidRPr="00A7041A">
              <w:rPr>
                <w:rFonts w:ascii="Arial" w:eastAsia="Times New Roman" w:hAnsi="Arial" w:cs="Arial"/>
                <w:color w:val="000000"/>
                <w:sz w:val="16"/>
                <w:szCs w:val="16"/>
              </w:rPr>
              <w:br/>
              <w:t xml:space="preserve">• University environmental programs </w:t>
            </w:r>
          </w:p>
          <w:p w14:paraId="2EC2E2F3" w14:textId="03878164" w:rsid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 xml:space="preserve">University occupational safety </w:t>
            </w:r>
            <w:r w:rsidR="00216A13">
              <w:rPr>
                <w:rFonts w:ascii="Arial" w:eastAsia="Times New Roman" w:hAnsi="Arial" w:cs="Arial"/>
                <w:color w:val="000000"/>
                <w:sz w:val="16"/>
                <w:szCs w:val="16"/>
              </w:rPr>
              <w:t>programs</w:t>
            </w:r>
            <w:r>
              <w:rPr>
                <w:rFonts w:ascii="Arial" w:eastAsia="Times New Roman" w:hAnsi="Arial" w:cs="Arial"/>
                <w:color w:val="000000"/>
                <w:sz w:val="16"/>
                <w:szCs w:val="16"/>
              </w:rPr>
              <w:t xml:space="preserve"> </w:t>
            </w:r>
            <w:r w:rsidR="00A7041A" w:rsidRPr="00A7041A">
              <w:rPr>
                <w:rFonts w:ascii="Arial" w:eastAsia="Times New Roman" w:hAnsi="Arial" w:cs="Arial"/>
                <w:color w:val="000000"/>
                <w:sz w:val="16"/>
                <w:szCs w:val="16"/>
              </w:rPr>
              <w:br/>
              <w:t>• Energy or weatherization groups</w:t>
            </w:r>
            <w:r w:rsidR="00A7041A" w:rsidRPr="00A7041A">
              <w:rPr>
                <w:rFonts w:ascii="Arial" w:eastAsia="Times New Roman" w:hAnsi="Arial" w:cs="Arial"/>
                <w:color w:val="000000"/>
                <w:sz w:val="16"/>
                <w:szCs w:val="16"/>
              </w:rPr>
              <w:br/>
              <w:t xml:space="preserve">• Local labor programs (e.g., </w:t>
            </w:r>
            <w:proofErr w:type="spellStart"/>
            <w:r w:rsidR="00A7041A" w:rsidRPr="00A7041A">
              <w:rPr>
                <w:rFonts w:ascii="Arial" w:eastAsia="Times New Roman" w:hAnsi="Arial" w:cs="Arial"/>
                <w:color w:val="000000"/>
                <w:sz w:val="16"/>
                <w:szCs w:val="16"/>
              </w:rPr>
              <w:t>Worksafe</w:t>
            </w:r>
            <w:proofErr w:type="spellEnd"/>
            <w:r w:rsidR="00A7041A" w:rsidRPr="00A7041A">
              <w:rPr>
                <w:rFonts w:ascii="Arial" w:eastAsia="Times New Roman" w:hAnsi="Arial" w:cs="Arial"/>
                <w:color w:val="000000"/>
                <w:sz w:val="16"/>
                <w:szCs w:val="16"/>
              </w:rPr>
              <w:t xml:space="preserve"> in CA) </w:t>
            </w:r>
          </w:p>
          <w:p w14:paraId="00805C84"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Total Worker Health Centers</w:t>
            </w:r>
          </w:p>
          <w:p w14:paraId="7BF336FC"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Federally Qualified Health Centers (FQHCs)</w:t>
            </w:r>
          </w:p>
          <w:p w14:paraId="446D0208"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Local national guard</w:t>
            </w:r>
          </w:p>
          <w:p w14:paraId="0220CE58" w14:textId="007B8517" w:rsidR="00D05470" w:rsidRP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00F23898">
              <w:rPr>
                <w:rFonts w:ascii="Arial" w:eastAsia="Times New Roman" w:hAnsi="Arial" w:cs="Arial"/>
                <w:color w:val="000000"/>
                <w:sz w:val="16"/>
                <w:szCs w:val="16"/>
              </w:rPr>
              <w:t xml:space="preserve">Physician groups </w:t>
            </w:r>
          </w:p>
        </w:tc>
      </w:tr>
    </w:tbl>
    <w:p w14:paraId="55E260DF" w14:textId="77777777" w:rsidR="00AC0ADC" w:rsidRDefault="00AC0ADC" w:rsidP="00B907A7">
      <w:pPr>
        <w:spacing w:after="0" w:line="240" w:lineRule="auto"/>
      </w:pPr>
    </w:p>
    <w:p w14:paraId="0880F1F2" w14:textId="77777777" w:rsidR="00DF2583" w:rsidRDefault="00DF2583" w:rsidP="00B907A7">
      <w:pPr>
        <w:spacing w:after="0" w:line="240" w:lineRule="auto"/>
      </w:pPr>
    </w:p>
    <w:p w14:paraId="43DB7D90" w14:textId="77777777" w:rsidR="00B907A7" w:rsidRPr="001D77B8" w:rsidRDefault="00B907A7" w:rsidP="00B907A7">
      <w:pPr>
        <w:spacing w:after="0" w:line="240" w:lineRule="auto"/>
      </w:pPr>
    </w:p>
    <w:p w14:paraId="35FDE520" w14:textId="3FE48C63" w:rsidR="00707AAC" w:rsidRPr="0071246B" w:rsidRDefault="00707AAC" w:rsidP="00707AAC">
      <w:pPr>
        <w:pStyle w:val="ListParagraph"/>
        <w:numPr>
          <w:ilvl w:val="0"/>
          <w:numId w:val="1"/>
        </w:numPr>
        <w:spacing w:after="0" w:line="240" w:lineRule="auto"/>
        <w:rPr>
          <w:color w:val="2E74B5" w:themeColor="accent5" w:themeShade="BF"/>
        </w:rPr>
      </w:pPr>
      <w:r w:rsidRPr="0071246B">
        <w:rPr>
          <w:color w:val="2E74B5" w:themeColor="accent5" w:themeShade="BF"/>
        </w:rPr>
        <w:t>Conclusion and recommendations</w:t>
      </w:r>
      <w:r w:rsidR="004659F5" w:rsidRPr="0071246B">
        <w:rPr>
          <w:color w:val="2E74B5" w:themeColor="accent5" w:themeShade="BF"/>
        </w:rPr>
        <w:t xml:space="preserve"> (also consider applying above to other climate-related worker issues)</w:t>
      </w:r>
    </w:p>
    <w:p w14:paraId="7488350E" w14:textId="4B806F97" w:rsidR="00BB7F1A" w:rsidRPr="0071246B" w:rsidRDefault="00BB7F1A" w:rsidP="00707AAC">
      <w:pPr>
        <w:pStyle w:val="ListParagraph"/>
        <w:numPr>
          <w:ilvl w:val="0"/>
          <w:numId w:val="1"/>
        </w:numPr>
        <w:spacing w:after="0" w:line="240" w:lineRule="auto"/>
        <w:rPr>
          <w:color w:val="2E74B5" w:themeColor="accent5" w:themeShade="BF"/>
        </w:rPr>
      </w:pPr>
      <w:r w:rsidRPr="0071246B">
        <w:rPr>
          <w:color w:val="2E74B5" w:themeColor="accent5" w:themeShade="BF"/>
        </w:rPr>
        <w:t>References</w:t>
      </w:r>
    </w:p>
    <w:p w14:paraId="19AF1517" w14:textId="2A54854F" w:rsidR="002F384E" w:rsidRPr="0071246B" w:rsidRDefault="00BB7F1A" w:rsidP="00B751D7">
      <w:pPr>
        <w:pStyle w:val="ListParagraph"/>
        <w:numPr>
          <w:ilvl w:val="0"/>
          <w:numId w:val="1"/>
        </w:numPr>
        <w:spacing w:after="0" w:line="240" w:lineRule="auto"/>
        <w:rPr>
          <w:color w:val="2E74B5" w:themeColor="accent5" w:themeShade="BF"/>
        </w:rPr>
      </w:pPr>
      <w:r w:rsidRPr="0071246B">
        <w:rPr>
          <w:color w:val="2E74B5" w:themeColor="accent5" w:themeShade="BF"/>
        </w:rPr>
        <w:t>Appendix</w:t>
      </w:r>
    </w:p>
    <w:p w14:paraId="03BAD0EB" w14:textId="77777777" w:rsidR="003F37E3" w:rsidRPr="0071246B" w:rsidRDefault="00B103BA" w:rsidP="003F37E3">
      <w:pPr>
        <w:pStyle w:val="ListParagraph"/>
        <w:numPr>
          <w:ilvl w:val="1"/>
          <w:numId w:val="1"/>
        </w:numPr>
        <w:spacing w:after="0" w:line="240" w:lineRule="auto"/>
        <w:rPr>
          <w:color w:val="2E74B5" w:themeColor="accent5" w:themeShade="BF"/>
        </w:rPr>
      </w:pPr>
      <w:r w:rsidRPr="0071246B">
        <w:rPr>
          <w:color w:val="2E74B5" w:themeColor="accent5" w:themeShade="BF"/>
        </w:rPr>
        <w:t>References for SOE</w:t>
      </w:r>
      <w:r w:rsidR="00AA0D46" w:rsidRPr="0071246B">
        <w:rPr>
          <w:color w:val="2E74B5" w:themeColor="accent5" w:themeShade="BF"/>
        </w:rPr>
        <w:t>M</w:t>
      </w:r>
      <w:r w:rsidRPr="0071246B">
        <w:rPr>
          <w:color w:val="2E74B5" w:themeColor="accent5" w:themeShade="BF"/>
        </w:rPr>
        <w:t>, NIOSH Essential workers code set.</w:t>
      </w:r>
    </w:p>
    <w:p w14:paraId="4D09BA16" w14:textId="77777777" w:rsidR="003F37E3" w:rsidRPr="0071246B" w:rsidRDefault="003F37E3" w:rsidP="003F37E3">
      <w:pPr>
        <w:spacing w:after="0" w:line="240" w:lineRule="auto"/>
        <w:rPr>
          <w:color w:val="2E74B5" w:themeColor="accent5" w:themeShade="BF"/>
          <w:u w:val="single"/>
        </w:rPr>
      </w:pPr>
    </w:p>
    <w:p w14:paraId="1055DF7C" w14:textId="3F1CC04A" w:rsidR="000E65B8" w:rsidRPr="0071246B" w:rsidRDefault="000E65B8" w:rsidP="003F37E3">
      <w:pPr>
        <w:spacing w:after="0" w:line="240" w:lineRule="auto"/>
        <w:rPr>
          <w:color w:val="2E74B5" w:themeColor="accent5" w:themeShade="BF"/>
        </w:rPr>
      </w:pPr>
      <w:r w:rsidRPr="0071246B">
        <w:rPr>
          <w:color w:val="2E74B5" w:themeColor="accent5" w:themeShade="BF"/>
          <w:u w:val="single"/>
        </w:rPr>
        <w:t>Additional resources noted during discussion:</w:t>
      </w:r>
    </w:p>
    <w:p w14:paraId="29D8E503" w14:textId="77777777" w:rsidR="003F37E3" w:rsidRPr="0071246B" w:rsidRDefault="003F37E3" w:rsidP="003F37E3">
      <w:pPr>
        <w:spacing w:after="0" w:line="240" w:lineRule="auto"/>
        <w:rPr>
          <w:b/>
          <w:bCs/>
          <w:color w:val="2E74B5" w:themeColor="accent5" w:themeShade="BF"/>
        </w:rPr>
      </w:pPr>
    </w:p>
    <w:p w14:paraId="6BEA4578" w14:textId="26947F00" w:rsidR="000E65B8" w:rsidRPr="0071246B" w:rsidRDefault="000E65B8" w:rsidP="003F37E3">
      <w:pPr>
        <w:pStyle w:val="ListParagraph"/>
        <w:numPr>
          <w:ilvl w:val="0"/>
          <w:numId w:val="3"/>
        </w:numPr>
        <w:spacing w:after="0" w:line="240" w:lineRule="auto"/>
        <w:rPr>
          <w:b/>
          <w:bCs/>
          <w:color w:val="2E74B5" w:themeColor="accent5" w:themeShade="BF"/>
        </w:rPr>
      </w:pPr>
      <w:r w:rsidRPr="0071246B">
        <w:rPr>
          <w:b/>
          <w:bCs/>
          <w:color w:val="2E74B5" w:themeColor="accent5" w:themeShade="BF"/>
        </w:rPr>
        <w:t>Available on CDC’s website:</w:t>
      </w:r>
    </w:p>
    <w:p w14:paraId="5A8C40B4" w14:textId="5BC2F026" w:rsidR="003F37E3" w:rsidRPr="0071246B" w:rsidRDefault="000E65B8" w:rsidP="000E65B8">
      <w:pPr>
        <w:pStyle w:val="ListParagraph"/>
        <w:numPr>
          <w:ilvl w:val="1"/>
          <w:numId w:val="3"/>
        </w:numPr>
        <w:spacing w:after="0" w:line="240" w:lineRule="auto"/>
        <w:rPr>
          <w:color w:val="2E74B5" w:themeColor="accent5" w:themeShade="BF"/>
        </w:rPr>
      </w:pPr>
      <w:r w:rsidRPr="0071246B">
        <w:rPr>
          <w:color w:val="2E74B5" w:themeColor="accent5" w:themeShade="BF"/>
        </w:rPr>
        <w:t>2-page survey tool – ATSDR – when public health is deployed, can be used to collect data from workers, and other community workers. (</w:t>
      </w:r>
      <w:hyperlink r:id="rId35" w:history="1">
        <w:r w:rsidR="003F37E3" w:rsidRPr="0071246B">
          <w:rPr>
            <w:rStyle w:val="Hyperlink"/>
            <w:color w:val="2E74B5" w:themeColor="accent5" w:themeShade="BF"/>
          </w:rPr>
          <w:t>https://www.atsdr.cdc.gov/rapidresponse/</w:t>
        </w:r>
      </w:hyperlink>
      <w:r w:rsidRPr="0071246B">
        <w:rPr>
          <w:color w:val="2E74B5" w:themeColor="accent5" w:themeShade="BF"/>
        </w:rPr>
        <w:t>)</w:t>
      </w:r>
    </w:p>
    <w:p w14:paraId="0A0D5491" w14:textId="77777777" w:rsidR="003F37E3" w:rsidRPr="0071246B" w:rsidRDefault="003F37E3" w:rsidP="003F37E3">
      <w:pPr>
        <w:pStyle w:val="ListParagraph"/>
        <w:spacing w:after="0" w:line="240" w:lineRule="auto"/>
        <w:ind w:left="1440"/>
        <w:rPr>
          <w:color w:val="2E74B5" w:themeColor="accent5" w:themeShade="BF"/>
        </w:rPr>
      </w:pPr>
    </w:p>
    <w:p w14:paraId="17E91DC7" w14:textId="77777777" w:rsidR="003F37E3" w:rsidRPr="0071246B" w:rsidRDefault="000E65B8" w:rsidP="000E65B8">
      <w:pPr>
        <w:pStyle w:val="ListParagraph"/>
        <w:numPr>
          <w:ilvl w:val="0"/>
          <w:numId w:val="3"/>
        </w:numPr>
        <w:spacing w:after="0" w:line="240" w:lineRule="auto"/>
        <w:rPr>
          <w:color w:val="2E74B5" w:themeColor="accent5" w:themeShade="BF"/>
        </w:rPr>
      </w:pPr>
      <w:r w:rsidRPr="0071246B">
        <w:rPr>
          <w:b/>
          <w:bCs/>
          <w:color w:val="2E74B5" w:themeColor="accent5" w:themeShade="BF"/>
        </w:rPr>
        <w:t>NIOSH di</w:t>
      </w:r>
      <w:r w:rsidR="003F37E3" w:rsidRPr="0071246B">
        <w:rPr>
          <w:b/>
          <w:bCs/>
          <w:color w:val="2E74B5" w:themeColor="accent5" w:themeShade="BF"/>
        </w:rPr>
        <w:t>s</w:t>
      </w:r>
      <w:r w:rsidRPr="0071246B">
        <w:rPr>
          <w:b/>
          <w:bCs/>
          <w:color w:val="2E74B5" w:themeColor="accent5" w:themeShade="BF"/>
        </w:rPr>
        <w:t>aster research response program</w:t>
      </w:r>
    </w:p>
    <w:p w14:paraId="7072A719" w14:textId="40D225D1" w:rsidR="000E65B8" w:rsidRPr="0071246B" w:rsidRDefault="00000000" w:rsidP="003F37E3">
      <w:pPr>
        <w:pStyle w:val="ListParagraph"/>
        <w:numPr>
          <w:ilvl w:val="1"/>
          <w:numId w:val="3"/>
        </w:numPr>
        <w:spacing w:after="0" w:line="240" w:lineRule="auto"/>
        <w:rPr>
          <w:color w:val="2E74B5" w:themeColor="accent5" w:themeShade="BF"/>
        </w:rPr>
      </w:pPr>
      <w:hyperlink r:id="rId36" w:anchor=":~:text=The%20goal%20of%20the%20DSRR,impact%20of%20a%20novel%20exposure" w:history="1">
        <w:r w:rsidR="003F37E3" w:rsidRPr="0071246B">
          <w:rPr>
            <w:rStyle w:val="Hyperlink"/>
            <w:color w:val="2E74B5" w:themeColor="accent5" w:themeShade="BF"/>
          </w:rPr>
          <w:t>https://www.cdc.gov/niosh/topics/disasterscience/default.html#:~:text=The%20goal%20of%20the%20DSRR,impact%20of%20a%20novel%20exposure</w:t>
        </w:r>
      </w:hyperlink>
    </w:p>
    <w:p w14:paraId="6DAF6A77" w14:textId="2C55250E" w:rsidR="00157C9F" w:rsidRPr="0071246B" w:rsidRDefault="00157C9F" w:rsidP="000E65B8">
      <w:pPr>
        <w:spacing w:after="0" w:line="240" w:lineRule="auto"/>
        <w:rPr>
          <w:color w:val="2E74B5" w:themeColor="accent5" w:themeShade="BF"/>
        </w:rPr>
      </w:pPr>
    </w:p>
    <w:p w14:paraId="0E3CF8EC" w14:textId="7A2F3F2A" w:rsidR="00157C9F" w:rsidRPr="0071246B" w:rsidRDefault="00157C9F" w:rsidP="000E65B8">
      <w:pPr>
        <w:spacing w:after="0" w:line="240" w:lineRule="auto"/>
        <w:rPr>
          <w:color w:val="2E74B5" w:themeColor="accent5" w:themeShade="BF"/>
        </w:rPr>
      </w:pPr>
    </w:p>
    <w:p w14:paraId="01971849" w14:textId="761E65CD" w:rsidR="003F37E3" w:rsidRPr="0071246B" w:rsidRDefault="003F37E3" w:rsidP="000E65B8">
      <w:pPr>
        <w:spacing w:after="0" w:line="240" w:lineRule="auto"/>
        <w:rPr>
          <w:color w:val="2E74B5" w:themeColor="accent5" w:themeShade="BF"/>
        </w:rPr>
      </w:pPr>
      <w:r w:rsidRPr="0071246B">
        <w:rPr>
          <w:color w:val="2E74B5" w:themeColor="accent5" w:themeShade="BF"/>
        </w:rPr>
        <w:t>Things to look into / be aware of:</w:t>
      </w:r>
    </w:p>
    <w:p w14:paraId="595B6805" w14:textId="77777777" w:rsidR="003F37E3" w:rsidRPr="0071246B" w:rsidRDefault="00157C9F"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NIOSH study – respiratory impact of mold in the aftermath of Katrina </w:t>
      </w:r>
    </w:p>
    <w:p w14:paraId="2513D7FA" w14:textId="0327F114" w:rsidR="003F37E3" w:rsidRPr="0071246B" w:rsidRDefault="003F37E3" w:rsidP="003F37E3">
      <w:pPr>
        <w:pStyle w:val="ListParagraph"/>
        <w:numPr>
          <w:ilvl w:val="0"/>
          <w:numId w:val="4"/>
        </w:numPr>
        <w:spacing w:after="0" w:line="240" w:lineRule="auto"/>
        <w:rPr>
          <w:color w:val="2E74B5" w:themeColor="accent5" w:themeShade="BF"/>
        </w:rPr>
      </w:pPr>
      <w:r w:rsidRPr="0071246B">
        <w:rPr>
          <w:color w:val="2E74B5" w:themeColor="accent5" w:themeShade="BF"/>
        </w:rPr>
        <w:t xml:space="preserve">Terminology uses: </w:t>
      </w:r>
      <w:r w:rsidR="00906EC0" w:rsidRPr="0071246B">
        <w:rPr>
          <w:color w:val="2E74B5" w:themeColor="accent5" w:themeShade="BF"/>
        </w:rPr>
        <w:t>Climate</w:t>
      </w:r>
      <w:r w:rsidRPr="0071246B">
        <w:rPr>
          <w:color w:val="2E74B5" w:themeColor="accent5" w:themeShade="BF"/>
        </w:rPr>
        <w:t xml:space="preserve"> vs. </w:t>
      </w:r>
      <w:r w:rsidR="00906EC0" w:rsidRPr="0071246B">
        <w:rPr>
          <w:color w:val="2E74B5" w:themeColor="accent5" w:themeShade="BF"/>
        </w:rPr>
        <w:t>weather</w:t>
      </w:r>
      <w:r w:rsidRPr="0071246B">
        <w:rPr>
          <w:color w:val="2E74B5" w:themeColor="accent5" w:themeShade="BF"/>
        </w:rPr>
        <w:t xml:space="preserve">; wildland vs </w:t>
      </w:r>
      <w:proofErr w:type="gramStart"/>
      <w:r w:rsidRPr="0071246B">
        <w:rPr>
          <w:color w:val="2E74B5" w:themeColor="accent5" w:themeShade="BF"/>
        </w:rPr>
        <w:t>wildfire</w:t>
      </w:r>
      <w:proofErr w:type="gramEnd"/>
    </w:p>
    <w:p w14:paraId="67BD3402" w14:textId="77777777" w:rsidR="003F37E3" w:rsidRPr="0071246B" w:rsidRDefault="00B103BA"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Social vulnerability indexes (SVI, EPA environmental justice data), disparities, county rankings, smoke vulnerability index, </w:t>
      </w:r>
      <w:hyperlink r:id="rId37" w:history="1">
        <w:r w:rsidRPr="0071246B">
          <w:rPr>
            <w:rStyle w:val="Hyperlink"/>
            <w:color w:val="2E74B5" w:themeColor="accent5" w:themeShade="BF"/>
          </w:rPr>
          <w:t>Webinar - Wildfires and the Community Health Vulnerability Index | FRAMES</w:t>
        </w:r>
      </w:hyperlink>
    </w:p>
    <w:p w14:paraId="49410BA2" w14:textId="77777777" w:rsidR="000F4C11" w:rsidRPr="0071246B" w:rsidRDefault="00725AFB"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Smoke Sense App – Citizen Science </w:t>
      </w:r>
      <w:r w:rsidR="003F37E3" w:rsidRPr="0071246B">
        <w:rPr>
          <w:color w:val="2E74B5" w:themeColor="accent5" w:themeShade="BF"/>
        </w:rPr>
        <w:t>initiatives</w:t>
      </w:r>
    </w:p>
    <w:p w14:paraId="363BD601" w14:textId="77777777" w:rsidR="000F4C11" w:rsidRDefault="000F4C11" w:rsidP="0071246B">
      <w:pPr>
        <w:pStyle w:val="ListParagraph"/>
        <w:spacing w:after="0" w:line="240" w:lineRule="auto"/>
      </w:pPr>
    </w:p>
    <w:p w14:paraId="220E29AF" w14:textId="580C3299" w:rsidR="000948F8" w:rsidRDefault="00000000" w:rsidP="000F4C11">
      <w:pPr>
        <w:pStyle w:val="ListParagraph"/>
      </w:pPr>
      <w:fldSimple w:instr=" ADDIN EN.REFLIST "/>
    </w:p>
    <w:sectPr w:rsidR="000948F8" w:rsidSect="006B25B0">
      <w:endnotePr>
        <w:numFmt w:val="decimal"/>
        <w:numStart w:val="16"/>
      </w:endnotePr>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Gibb, Kathryn@CDPH" w:date="2023-08-02T15:30:00Z" w:initials="GK">
    <w:p w14:paraId="06911C36" w14:textId="77777777" w:rsidR="0071246B" w:rsidRDefault="0071246B" w:rsidP="00135794">
      <w:pPr>
        <w:pStyle w:val="CommentText"/>
      </w:pPr>
      <w:r>
        <w:rPr>
          <w:rStyle w:val="CommentReference"/>
        </w:rPr>
        <w:annotationRef/>
      </w:r>
      <w:r>
        <w:t>As discussed on call, we can remove sections of the outline as we complete them / fill in with narrative text. I made the original outline text in blue, so its easier to distinguish between what was written as draft text for the white paper vs. original outline.</w:t>
      </w:r>
    </w:p>
  </w:comment>
  <w:comment w:id="1" w:author="Borjan, Marija [DOH]" w:date="2023-08-10T15:15:00Z" w:initials="BM[">
    <w:p w14:paraId="0656F5FF" w14:textId="77777777" w:rsidR="00313412" w:rsidRDefault="00313412" w:rsidP="00442792">
      <w:pPr>
        <w:pStyle w:val="CommentText"/>
      </w:pPr>
      <w:r>
        <w:rPr>
          <w:rStyle w:val="CommentReference"/>
        </w:rPr>
        <w:annotationRef/>
      </w:r>
      <w:r>
        <w:t>As I was working on the this section and the table I remembered a lot of this info is already in the OHI How-to Guide so figured is they want additional info they can go there.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6911C36" w15:done="0"/>
  <w15:commentEx w15:paraId="0656F5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74F501" w16cex:dateUtc="2023-08-02T22:30:00Z"/>
  <w16cex:commentExtensible w16cex:durableId="287F7DAC" w16cex:dateUtc="2023-08-10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911C36" w16cid:durableId="2874F501"/>
  <w16cid:commentId w16cid:paraId="0656F5FF" w16cid:durableId="287F7D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14A29" w14:textId="77777777" w:rsidR="002E24EE" w:rsidRDefault="002E24EE" w:rsidP="00753CDA">
      <w:pPr>
        <w:spacing w:after="0" w:line="240" w:lineRule="auto"/>
      </w:pPr>
      <w:r>
        <w:separator/>
      </w:r>
    </w:p>
  </w:endnote>
  <w:endnote w:type="continuationSeparator" w:id="0">
    <w:p w14:paraId="3D60B904" w14:textId="77777777" w:rsidR="002E24EE" w:rsidRDefault="002E24EE" w:rsidP="00753CDA">
      <w:pPr>
        <w:spacing w:after="0" w:line="240" w:lineRule="auto"/>
      </w:pPr>
      <w:r>
        <w:continuationSeparator/>
      </w:r>
    </w:p>
  </w:endnote>
  <w:endnote w:id="1">
    <w:p w14:paraId="0C02D496" w14:textId="54F6C265" w:rsidR="00652738" w:rsidRDefault="00652738">
      <w:pPr>
        <w:pStyle w:val="EndnoteText"/>
      </w:pPr>
      <w:r>
        <w:rPr>
          <w:rStyle w:val="EndnoteReference"/>
        </w:rPr>
        <w:endnoteRef/>
      </w:r>
      <w:r>
        <w:t xml:space="preserve"> </w:t>
      </w:r>
      <w:r w:rsidRPr="00652738">
        <w:t xml:space="preserve">NIOSH. Outdoor Workers Exposed to Wildfire Smoke. 2023. Available at: </w:t>
      </w:r>
      <w:hyperlink r:id="rId1" w:history="1">
        <w:r w:rsidRPr="007964BA">
          <w:rPr>
            <w:rStyle w:val="Hyperlink"/>
          </w:rPr>
          <w:t>https://www.cdc.gov/niosh/topics/firefighting/wffsmoke.html</w:t>
        </w:r>
      </w:hyperlink>
      <w:r>
        <w:t xml:space="preserve"> </w:t>
      </w:r>
    </w:p>
  </w:endnote>
  <w:endnote w:id="2">
    <w:p w14:paraId="229EE429" w14:textId="6A547986" w:rsidR="00652738" w:rsidRDefault="00652738">
      <w:pPr>
        <w:pStyle w:val="EndnoteText"/>
      </w:pPr>
      <w:r>
        <w:rPr>
          <w:rStyle w:val="EndnoteReference"/>
        </w:rPr>
        <w:endnoteRef/>
      </w:r>
      <w:r>
        <w:t xml:space="preserve"> </w:t>
      </w:r>
      <w:r w:rsidRPr="00652738">
        <w:t xml:space="preserve">OSHA. Wildfires. </w:t>
      </w:r>
      <w:hyperlink r:id="rId2" w:history="1">
        <w:r w:rsidRPr="007964BA">
          <w:rPr>
            <w:rStyle w:val="Hyperlink"/>
          </w:rPr>
          <w:t>https://www.osha.gov/wildfires</w:t>
        </w:r>
      </w:hyperlink>
      <w:r>
        <w:t xml:space="preserve"> </w:t>
      </w:r>
    </w:p>
  </w:endnote>
  <w:endnote w:id="3">
    <w:p w14:paraId="14A454F7" w14:textId="45A3EF21" w:rsidR="006B25B0" w:rsidRDefault="006B25B0">
      <w:pPr>
        <w:pStyle w:val="EndnoteText"/>
      </w:pPr>
      <w:r>
        <w:rPr>
          <w:rStyle w:val="EndnoteReference"/>
        </w:rPr>
        <w:endnoteRef/>
      </w:r>
      <w:r>
        <w:t xml:space="preserve"> </w:t>
      </w:r>
      <w:r w:rsidRPr="006B25B0">
        <w:t xml:space="preserve">AirNow. Wildfire Smoke A Guide for Public Health Professionals. 2019. Available at: </w:t>
      </w:r>
      <w:hyperlink r:id="rId3" w:anchor="workers" w:history="1">
        <w:r w:rsidRPr="007964BA">
          <w:rPr>
            <w:rStyle w:val="Hyperlink"/>
          </w:rPr>
          <w:t>https://www.epa.gov/wildfire-smoke-course/which-populations-experience-greater-risks-adverse-health-effects-resulting#workers</w:t>
        </w:r>
      </w:hyperlink>
      <w:r>
        <w:t xml:space="preserve"> </w:t>
      </w:r>
    </w:p>
  </w:endnote>
  <w:endnote w:id="4">
    <w:p w14:paraId="0CB15D1D" w14:textId="620CB577" w:rsidR="00E46C32" w:rsidRDefault="00E46C32">
      <w:pPr>
        <w:pStyle w:val="EndnoteText"/>
      </w:pPr>
      <w:r>
        <w:rPr>
          <w:rStyle w:val="EndnoteReference"/>
        </w:rPr>
        <w:endnoteRef/>
      </w:r>
      <w:r>
        <w:t xml:space="preserve"> </w:t>
      </w:r>
      <w:r w:rsidRPr="00E46C32">
        <w:t xml:space="preserve">WA State Proposed Smoke Permanent Rules: </w:t>
      </w:r>
      <w:hyperlink r:id="rId4" w:history="1">
        <w:r w:rsidRPr="007964BA">
          <w:rPr>
            <w:rStyle w:val="Hyperlink"/>
          </w:rPr>
          <w:t>https://www.lni.wa.gov/safety-health/safety-topics/topics/wildfire-smoke</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190869"/>
      <w:docPartObj>
        <w:docPartGallery w:val="Page Numbers (Bottom of Page)"/>
        <w:docPartUnique/>
      </w:docPartObj>
    </w:sdtPr>
    <w:sdtEndPr>
      <w:rPr>
        <w:noProof/>
      </w:rPr>
    </w:sdtEndPr>
    <w:sdtContent>
      <w:p w14:paraId="5B8C5D63" w14:textId="6800921C" w:rsidR="00EC0502" w:rsidRDefault="00EC05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4E701D" w14:textId="77777777" w:rsidR="00EC0502" w:rsidRDefault="00EC0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D2830" w14:textId="77777777" w:rsidR="002E24EE" w:rsidRDefault="002E24EE" w:rsidP="00753CDA">
      <w:pPr>
        <w:spacing w:after="0" w:line="240" w:lineRule="auto"/>
      </w:pPr>
      <w:r>
        <w:separator/>
      </w:r>
    </w:p>
  </w:footnote>
  <w:footnote w:type="continuationSeparator" w:id="0">
    <w:p w14:paraId="720CD77A" w14:textId="77777777" w:rsidR="002E24EE" w:rsidRDefault="002E24EE" w:rsidP="00753CDA">
      <w:pPr>
        <w:spacing w:after="0" w:line="240" w:lineRule="auto"/>
      </w:pPr>
      <w:r>
        <w:continuationSeparator/>
      </w:r>
    </w:p>
  </w:footnote>
  <w:footnote w:id="1">
    <w:p w14:paraId="113E5723" w14:textId="59AEE117" w:rsidR="00E06D30" w:rsidRDefault="00E06D30">
      <w:pPr>
        <w:pStyle w:val="FootnoteText"/>
      </w:pPr>
      <w:r>
        <w:rPr>
          <w:rStyle w:val="FootnoteReference"/>
        </w:rPr>
        <w:footnoteRef/>
      </w:r>
      <w:r>
        <w:t xml:space="preserve"> </w:t>
      </w:r>
      <w:r w:rsidRPr="00E06D30">
        <w:t>https://www.atsdr.cdc.gov/placeandhealth/svi/index.html</w:t>
      </w:r>
    </w:p>
  </w:footnote>
  <w:footnote w:id="2">
    <w:p w14:paraId="539C79D9" w14:textId="4A68A507" w:rsidR="00E06D30" w:rsidRDefault="00E06D30">
      <w:pPr>
        <w:pStyle w:val="FootnoteText"/>
      </w:pPr>
      <w:r>
        <w:rPr>
          <w:rStyle w:val="FootnoteReference"/>
        </w:rPr>
        <w:footnoteRef/>
      </w:r>
      <w:r>
        <w:t xml:space="preserve"> </w:t>
      </w:r>
      <w:r w:rsidRPr="00E06D30">
        <w:t>https://www.atsdr.cdc.gov/placeandhealth/eji/index.html</w:t>
      </w:r>
    </w:p>
  </w:footnote>
  <w:footnote w:id="3">
    <w:p w14:paraId="75A6B683" w14:textId="17D5FE24" w:rsidR="00E06D30" w:rsidRDefault="00E06D30">
      <w:pPr>
        <w:pStyle w:val="FootnoteText"/>
      </w:pPr>
      <w:r>
        <w:rPr>
          <w:rStyle w:val="FootnoteReference"/>
        </w:rPr>
        <w:footnoteRef/>
      </w:r>
      <w:r>
        <w:t xml:space="preserve"> </w:t>
      </w:r>
      <w:r w:rsidR="0017144F" w:rsidRPr="0017144F">
        <w:t xml:space="preserve">University of Wisconsin Population Health Institute. County Health Rankings &amp; Roadmaps 2023. </w:t>
      </w:r>
      <w:r w:rsidRPr="00E06D30">
        <w:t>https://www.countyhealthrankings.org/</w:t>
      </w:r>
    </w:p>
  </w:footnote>
  <w:footnote w:id="4">
    <w:p w14:paraId="71BBC0BE" w14:textId="77777777" w:rsidR="004D0A86" w:rsidRDefault="004D0A86" w:rsidP="004D0A86">
      <w:pPr>
        <w:pStyle w:val="FootnoteText"/>
      </w:pPr>
      <w:r>
        <w:rPr>
          <w:rStyle w:val="FootnoteReference"/>
        </w:rPr>
        <w:footnoteRef/>
      </w:r>
      <w:r>
        <w:t xml:space="preserve"> </w:t>
      </w:r>
      <w:r w:rsidRPr="0079342A">
        <w:t>Marshall, Elizabeth G., Shou-En Lu, Abimbola O. Williams, Daniel Lefkowitz, and Marija Borjan. "Tree-related injuries associated with response and recovery from Hurricane Sandy, New Jersey, 2011-2014." Public Health Reports 133, no. 3 (2018): 266-273.</w:t>
      </w:r>
    </w:p>
  </w:footnote>
  <w:footnote w:id="5">
    <w:p w14:paraId="4ADE2824" w14:textId="77777777" w:rsidR="004D0A86" w:rsidRDefault="004D0A86" w:rsidP="004D0A86">
      <w:pPr>
        <w:pStyle w:val="FootnoteText"/>
      </w:pPr>
      <w:r>
        <w:rPr>
          <w:rStyle w:val="FootnoteReference"/>
        </w:rPr>
        <w:footnoteRef/>
      </w:r>
      <w:r>
        <w:t xml:space="preserve"> </w:t>
      </w:r>
      <w:r w:rsidRPr="00FC0086">
        <w:t>Ochsner, Michele, Elizabeth G. Marshall, and Daniel Lefkowitz. "Trees down, hazards abound: Observations and lessons from Hurricane Sandy." American journal of industrial medicine 61, no. 5 (2018): 361-371.</w:t>
      </w:r>
    </w:p>
  </w:footnote>
  <w:footnote w:id="6">
    <w:p w14:paraId="47B6D54E" w14:textId="77777777" w:rsidR="004D0A86" w:rsidRDefault="004D0A86" w:rsidP="004D0A86">
      <w:pPr>
        <w:pStyle w:val="FootnoteText"/>
      </w:pPr>
      <w:r>
        <w:rPr>
          <w:rStyle w:val="FootnoteReference"/>
        </w:rPr>
        <w:footnoteRef/>
      </w:r>
      <w:r>
        <w:t xml:space="preserve"> </w:t>
      </w:r>
      <w:r w:rsidRPr="001C2BC1">
        <w:t>Under Climate Change, Care Workers Often Act as First Responders</w:t>
      </w:r>
      <w:r>
        <w:t xml:space="preserve"> </w:t>
      </w:r>
      <w:r w:rsidRPr="001C2BC1">
        <w:t>https://undark.org/2022/06/07/climate-care-workers-first-responders/.</w:t>
      </w:r>
    </w:p>
  </w:footnote>
  <w:footnote w:id="7">
    <w:p w14:paraId="4C21DE36" w14:textId="77777777" w:rsidR="004D0A86" w:rsidRDefault="004D0A86" w:rsidP="004D0A86">
      <w:pPr>
        <w:pStyle w:val="FootnoteText"/>
      </w:pPr>
      <w:r>
        <w:rPr>
          <w:rStyle w:val="FootnoteReference"/>
        </w:rPr>
        <w:footnoteRef/>
      </w:r>
      <w:r>
        <w:t xml:space="preserve"> </w:t>
      </w:r>
      <w:r w:rsidRPr="00250BF4">
        <w:t>Billock, Rachael M., Marie Haring Sweeney, Andrea L. Steege, Ryan Michaels, and Sara E. Luckhaupt. "Identifying essential critical infrastructure workers during the COVID‐19 pandemic using standardized industry codes." American Journal of Industrial Medicine 65, no. 7 (2022): 548-555.</w:t>
      </w:r>
    </w:p>
  </w:footnote>
  <w:footnote w:id="8">
    <w:p w14:paraId="4A56A564" w14:textId="77777777" w:rsidR="004D0A86" w:rsidRDefault="004D0A86" w:rsidP="004D0A86">
      <w:pPr>
        <w:pStyle w:val="FootnoteText"/>
      </w:pPr>
      <w:r>
        <w:rPr>
          <w:rStyle w:val="FootnoteReference"/>
        </w:rPr>
        <w:footnoteRef/>
      </w:r>
      <w:r>
        <w:t xml:space="preserve"> NIOSH Employed Labor Force (NIOSH ELF), Current Population Survey. To use with the SOEM it is advisable to use estimates for 2019.  </w:t>
      </w:r>
    </w:p>
  </w:footnote>
  <w:footnote w:id="9">
    <w:p w14:paraId="7913DD1E" w14:textId="77777777" w:rsidR="004D0A86" w:rsidRDefault="004D0A86" w:rsidP="004D0A86">
      <w:pPr>
        <w:pStyle w:val="FootnoteText"/>
      </w:pPr>
      <w:r>
        <w:rPr>
          <w:rStyle w:val="FootnoteReference"/>
        </w:rPr>
        <w:footnoteRef/>
      </w:r>
      <w:r>
        <w:t xml:space="preserve"> </w:t>
      </w:r>
      <w:hyperlink r:id="rId1" w:history="1">
        <w:r>
          <w:rPr>
            <w:rStyle w:val="Hyperlink"/>
          </w:rPr>
          <w:t>The Migrant Workers Who Follow Climate Disasters | The New Yorker</w:t>
        </w:r>
      </w:hyperlink>
      <w:r>
        <w:t>, Accessed June 20, 2022</w:t>
      </w:r>
    </w:p>
  </w:footnote>
  <w:footnote w:id="10">
    <w:p w14:paraId="2AE3B696" w14:textId="068F45EA" w:rsidR="00753CDA" w:rsidRDefault="00753CDA">
      <w:pPr>
        <w:pStyle w:val="FootnoteText"/>
      </w:pPr>
      <w:r>
        <w:rPr>
          <w:rStyle w:val="FootnoteReference"/>
        </w:rPr>
        <w:footnoteRef/>
      </w:r>
      <w:r>
        <w:t xml:space="preserve"> </w:t>
      </w:r>
      <w:r w:rsidRPr="00753CDA">
        <w:t xml:space="preserve">Kaiser C. Canadian wildfire smoke puts around 70 million US residents under air quality alerts. CNN. Cable News Network; 2023. July 16, 2023. Accessed July 25, 2023. </w:t>
      </w:r>
      <w:hyperlink r:id="rId2" w:history="1">
        <w:r w:rsidRPr="002E01B4">
          <w:rPr>
            <w:rStyle w:val="Hyperlink"/>
          </w:rPr>
          <w:t>https://www.cnn.com/2023/07/16/weather/canada-wildfires-us-air-quality-alerts-sunday/index.html</w:t>
        </w:r>
      </w:hyperlink>
      <w:r>
        <w:t xml:space="preserve"> </w:t>
      </w:r>
    </w:p>
  </w:footnote>
  <w:footnote w:id="11">
    <w:p w14:paraId="24F4E64A" w14:textId="5AFAB957" w:rsidR="00753CDA" w:rsidRDefault="00753CDA">
      <w:pPr>
        <w:pStyle w:val="FootnoteText"/>
      </w:pPr>
      <w:r>
        <w:rPr>
          <w:rStyle w:val="FootnoteReference"/>
        </w:rPr>
        <w:footnoteRef/>
      </w:r>
      <w:r>
        <w:t xml:space="preserve"> </w:t>
      </w:r>
      <w:proofErr w:type="spellStart"/>
      <w:r w:rsidRPr="00753CDA">
        <w:t>Bushard</w:t>
      </w:r>
      <w:proofErr w:type="spellEnd"/>
      <w:r w:rsidRPr="00753CDA">
        <w:t xml:space="preserve"> B. Phoenix Records Three-Plus Weeks Above 110 Degrees: Here’s Where Else Daily Records Have Fallen. Forbes. Forbes Media, LLC; 2023. July 24, 2023. Accessed July 25, 2023. </w:t>
      </w:r>
      <w:hyperlink r:id="rId3" w:history="1">
        <w:r w:rsidRPr="002E01B4">
          <w:rPr>
            <w:rStyle w:val="Hyperlink"/>
          </w:rPr>
          <w:t>https://www.forbes.com/sites/brianbushard/2023/07/24/phoenix-records-three-plus-weeks-above-110-degrees-heres-where-else-daily-records-have-fallen/</w:t>
        </w:r>
      </w:hyperlink>
      <w:r>
        <w:t xml:space="preserve"> </w:t>
      </w:r>
    </w:p>
  </w:footnote>
  <w:footnote w:id="12">
    <w:p w14:paraId="3A37CA11" w14:textId="27EDCD5B" w:rsidR="00866C4E" w:rsidRDefault="00866C4E">
      <w:pPr>
        <w:pStyle w:val="FootnoteText"/>
      </w:pPr>
      <w:r>
        <w:rPr>
          <w:rStyle w:val="FootnoteReference"/>
        </w:rPr>
        <w:footnoteRef/>
      </w:r>
      <w:r>
        <w:t xml:space="preserve"> </w:t>
      </w:r>
      <w:r w:rsidRPr="00866C4E">
        <w:t xml:space="preserve">NOAA. Future Climate Projections - Graphs &amp; Maps. Accessed July 25, 2023. </w:t>
      </w:r>
      <w:hyperlink r:id="rId4" w:history="1">
        <w:r w:rsidRPr="002E01B4">
          <w:rPr>
            <w:rStyle w:val="Hyperlink"/>
          </w:rPr>
          <w:t>https://www.climate.gov/maps-data/dataset/future-climate-projections-graphs-maps</w:t>
        </w:r>
      </w:hyperlink>
      <w:r>
        <w:t xml:space="preserve"> </w:t>
      </w:r>
    </w:p>
  </w:footnote>
  <w:footnote w:id="13">
    <w:p w14:paraId="1EA3AB34" w14:textId="1B0EA651" w:rsidR="00E10E38" w:rsidRDefault="00E10E38">
      <w:pPr>
        <w:pStyle w:val="FootnoteText"/>
      </w:pPr>
      <w:r>
        <w:rPr>
          <w:rStyle w:val="FootnoteReference"/>
        </w:rPr>
        <w:footnoteRef/>
      </w:r>
      <w:r>
        <w:t xml:space="preserve"> </w:t>
      </w:r>
      <w:r w:rsidRPr="00E10E38">
        <w:t xml:space="preserve">CDC. Climate-Ready States &amp; Cities Initiative Grant Recipients. Updated July 18, 2023. Accessed July 25, 2023. </w:t>
      </w:r>
      <w:hyperlink r:id="rId5" w:history="1">
        <w:r w:rsidRPr="002E01B4">
          <w:rPr>
            <w:rStyle w:val="Hyperlink"/>
          </w:rPr>
          <w:t>https://www.cdc.gov/climateandhealth/crsci_grantees.htm</w:t>
        </w:r>
      </w:hyperlink>
      <w:r>
        <w:t xml:space="preserve"> </w:t>
      </w:r>
    </w:p>
  </w:footnote>
  <w:footnote w:id="14">
    <w:p w14:paraId="21481E54" w14:textId="3D9B7416" w:rsidR="00E10E38" w:rsidRDefault="00E10E38">
      <w:pPr>
        <w:pStyle w:val="FootnoteText"/>
      </w:pPr>
      <w:r>
        <w:rPr>
          <w:rStyle w:val="FootnoteReference"/>
        </w:rPr>
        <w:footnoteRef/>
      </w:r>
      <w:r>
        <w:t xml:space="preserve"> </w:t>
      </w:r>
      <w:r w:rsidRPr="00E10E38">
        <w:t xml:space="preserve">CDC. National Environmental Public Health Tracking. Updated November 3, 2022. Accessed July 25, 2023. </w:t>
      </w:r>
      <w:hyperlink r:id="rId6" w:history="1">
        <w:r w:rsidRPr="002E01B4">
          <w:rPr>
            <w:rStyle w:val="Hyperlink"/>
          </w:rPr>
          <w:t>https://www.cdc.gov/nceh/tracking/index.html</w:t>
        </w:r>
      </w:hyperlink>
      <w:r>
        <w:t xml:space="preserve"> </w:t>
      </w:r>
    </w:p>
  </w:footnote>
  <w:footnote w:id="15">
    <w:p w14:paraId="416A59ED" w14:textId="5833323C" w:rsidR="00B944CF" w:rsidRDefault="00B944CF">
      <w:pPr>
        <w:pStyle w:val="FootnoteText"/>
      </w:pPr>
      <w:r>
        <w:rPr>
          <w:rStyle w:val="FootnoteReference"/>
        </w:rPr>
        <w:footnoteRef/>
      </w:r>
      <w:r>
        <w:t xml:space="preserve"> AASC. American Association of State Climatologists: About Us. Accessed July 25, 2023. </w:t>
      </w:r>
      <w:hyperlink r:id="rId7" w:history="1">
        <w:r w:rsidRPr="002E01B4">
          <w:rPr>
            <w:rStyle w:val="Hyperlink"/>
          </w:rPr>
          <w:t>https://stateclimate.org/about-us/</w:t>
        </w:r>
      </w:hyperlink>
      <w:r>
        <w:t xml:space="preserve"> </w:t>
      </w:r>
    </w:p>
  </w:footnote>
  <w:footnote w:id="16">
    <w:p w14:paraId="07E2C174" w14:textId="77777777" w:rsidR="00F51F46" w:rsidRDefault="00F51F46" w:rsidP="00F51F46">
      <w:pPr>
        <w:pStyle w:val="FootnoteText"/>
      </w:pPr>
      <w:r>
        <w:rPr>
          <w:rStyle w:val="FootnoteReference"/>
        </w:rPr>
        <w:footnoteRef/>
      </w:r>
      <w:r>
        <w:t xml:space="preserve"> Borjan, M. and Lumia, M. Evaluation of a state based syndromic surveillance system for the classification and capture of non-fatal occupational injuries and illnesses in New Jersey. American Journal of Industrial Medicine. 2017. 9999: 1-6.</w:t>
      </w:r>
    </w:p>
  </w:footnote>
  <w:footnote w:id="17">
    <w:p w14:paraId="2124243B" w14:textId="77777777" w:rsidR="00F51F46" w:rsidRDefault="00F51F46" w:rsidP="00F51F46">
      <w:pPr>
        <w:pStyle w:val="FootnoteText"/>
      </w:pPr>
      <w:r>
        <w:rPr>
          <w:rStyle w:val="FootnoteReference"/>
        </w:rPr>
        <w:footnoteRef/>
      </w:r>
      <w:r>
        <w:t xml:space="preserve"> Bush, A., Bunn, T, and Liford, M. Identification of work-related injury emergency department visits using International Classification of Diseases, Tenth Revision, Clinical Modification (ICD-10) codes. Injury Prevention. 2021. 27: i3-i8.</w:t>
      </w:r>
    </w:p>
  </w:footnote>
  <w:footnote w:id="18">
    <w:p w14:paraId="69B9C82E" w14:textId="77777777" w:rsidR="00617252" w:rsidRDefault="00617252" w:rsidP="00617252">
      <w:pPr>
        <w:pStyle w:val="FootnoteText"/>
      </w:pPr>
      <w:r>
        <w:rPr>
          <w:rStyle w:val="FootnoteReference"/>
        </w:rPr>
        <w:footnoteRef/>
      </w:r>
      <w:r>
        <w:t xml:space="preserve"> CSTE. Occupational Health Surveillance Subcommittee. Syndromic Surveillance for Occupational Health Surveillance Guidance Document and Example. 2021. Accessed July 24, 2023. </w:t>
      </w:r>
      <w:hyperlink r:id="rId8" w:history="1">
        <w:r w:rsidRPr="00A905FD">
          <w:rPr>
            <w:rStyle w:val="Hyperlink"/>
          </w:rPr>
          <w:t>https://cdn.ymaws.com/www.cste.org/resource/resmgr/occupationalhealth/publications/OccSyS_WhitePaper_03_08_21.pdf</w:t>
        </w:r>
      </w:hyperlink>
      <w:r>
        <w:t xml:space="preserve"> </w:t>
      </w:r>
    </w:p>
  </w:footnote>
  <w:footnote w:id="19">
    <w:p w14:paraId="714D0FBF" w14:textId="77777777" w:rsidR="00C13348" w:rsidRDefault="00C13348" w:rsidP="00C13348">
      <w:pPr>
        <w:pStyle w:val="FootnoteText"/>
      </w:pPr>
      <w:r>
        <w:rPr>
          <w:rStyle w:val="FootnoteReference"/>
        </w:rPr>
        <w:footnoteRef/>
      </w:r>
      <w:r>
        <w:t xml:space="preserve"> NOAA. Severe Weather 101. </w:t>
      </w:r>
      <w:hyperlink r:id="rId9" w:history="1">
        <w:r>
          <w:rPr>
            <w:rStyle w:val="Hyperlink"/>
          </w:rPr>
          <w:t>Severe Weather 101: Flood Types (noaa.gov)</w:t>
        </w:r>
      </w:hyperlink>
      <w:r>
        <w:t xml:space="preserve">. Accessed on: August 14, 2023.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C5CD6"/>
    <w:multiLevelType w:val="hybridMultilevel"/>
    <w:tmpl w:val="217292E4"/>
    <w:lvl w:ilvl="0" w:tplc="04090013">
      <w:start w:val="1"/>
      <w:numFmt w:val="upperRoman"/>
      <w:lvlText w:val="%1."/>
      <w:lvlJc w:val="right"/>
      <w:pPr>
        <w:ind w:left="360" w:hanging="360"/>
      </w:pPr>
    </w:lvl>
    <w:lvl w:ilvl="1" w:tplc="B9081180">
      <w:start w:val="1"/>
      <w:numFmt w:val="lowerLetter"/>
      <w:lvlText w:val="%2."/>
      <w:lvlJc w:val="left"/>
      <w:pPr>
        <w:ind w:left="1080" w:hanging="360"/>
      </w:pPr>
      <w:rPr>
        <w:b w:val="0"/>
        <w:bCs w:val="0"/>
        <w:color w:val="auto"/>
      </w:rPr>
    </w:lvl>
    <w:lvl w:ilvl="2" w:tplc="7A8CC1C2">
      <w:start w:val="1"/>
      <w:numFmt w:val="lowerRoman"/>
      <w:lvlText w:val="%3."/>
      <w:lvlJc w:val="right"/>
      <w:pPr>
        <w:ind w:left="1800" w:hanging="180"/>
      </w:pPr>
      <w:rPr>
        <w:b w:val="0"/>
        <w:bCs w:val="0"/>
      </w:rPr>
    </w:lvl>
    <w:lvl w:ilvl="3" w:tplc="551A258E">
      <w:start w:val="1"/>
      <w:numFmt w:val="decimal"/>
      <w:lvlText w:val="%4."/>
      <w:lvlJc w:val="left"/>
      <w:pPr>
        <w:ind w:left="2520" w:hanging="360"/>
      </w:pPr>
      <w:rPr>
        <w:b w:val="0"/>
        <w:bCs w:val="0"/>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331CF0"/>
    <w:multiLevelType w:val="hybridMultilevel"/>
    <w:tmpl w:val="CFFEB878"/>
    <w:lvl w:ilvl="0" w:tplc="B9081180">
      <w:start w:val="1"/>
      <w:numFmt w:val="lowerLetter"/>
      <w:lvlText w:val="%1."/>
      <w:lvlJc w:val="left"/>
      <w:pPr>
        <w:ind w:left="108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41100"/>
    <w:multiLevelType w:val="hybridMultilevel"/>
    <w:tmpl w:val="7B5CF0EC"/>
    <w:lvl w:ilvl="0" w:tplc="B23E922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AE6BF5"/>
    <w:multiLevelType w:val="hybridMultilevel"/>
    <w:tmpl w:val="15885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0E1309"/>
    <w:multiLevelType w:val="hybridMultilevel"/>
    <w:tmpl w:val="C656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FF4634"/>
    <w:multiLevelType w:val="hybridMultilevel"/>
    <w:tmpl w:val="7146EE6E"/>
    <w:lvl w:ilvl="0" w:tplc="FFFFFFFF">
      <w:start w:val="1"/>
      <w:numFmt w:val="upperRoman"/>
      <w:lvlText w:val="%1."/>
      <w:lvlJc w:val="right"/>
      <w:pPr>
        <w:ind w:left="360" w:hanging="360"/>
      </w:pPr>
    </w:lvl>
    <w:lvl w:ilvl="1" w:tplc="FFFFFFFF">
      <w:start w:val="1"/>
      <w:numFmt w:val="lowerLetter"/>
      <w:lvlText w:val="%2."/>
      <w:lvlJc w:val="left"/>
      <w:pPr>
        <w:ind w:left="1080" w:hanging="360"/>
      </w:pPr>
      <w:rPr>
        <w:b w:val="0"/>
        <w:bCs w:val="0"/>
        <w:color w:val="auto"/>
      </w:rPr>
    </w:lvl>
    <w:lvl w:ilvl="2" w:tplc="FFFFFFFF">
      <w:start w:val="1"/>
      <w:numFmt w:val="lowerRoman"/>
      <w:lvlText w:val="%3."/>
      <w:lvlJc w:val="right"/>
      <w:pPr>
        <w:ind w:left="1800" w:hanging="180"/>
      </w:pPr>
      <w:rPr>
        <w:b w:val="0"/>
        <w:bCs w:val="0"/>
      </w:rPr>
    </w:lvl>
    <w:lvl w:ilvl="3" w:tplc="04090001">
      <w:start w:val="1"/>
      <w:numFmt w:val="bullet"/>
      <w:lvlText w:val=""/>
      <w:lvlJc w:val="left"/>
      <w:pPr>
        <w:ind w:left="2520" w:hanging="360"/>
      </w:pPr>
      <w:rPr>
        <w:rFonts w:ascii="Symbol" w:hAnsi="Symbol" w:hint="default"/>
      </w:r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72A16124"/>
    <w:multiLevelType w:val="hybridMultilevel"/>
    <w:tmpl w:val="4A8652BE"/>
    <w:lvl w:ilvl="0" w:tplc="FFFFFFFF">
      <w:start w:val="1"/>
      <w:numFmt w:val="upperRoman"/>
      <w:lvlText w:val="%1."/>
      <w:lvlJc w:val="right"/>
      <w:pPr>
        <w:ind w:left="360" w:hanging="360"/>
      </w:pPr>
    </w:lvl>
    <w:lvl w:ilvl="1" w:tplc="FFFFFFFF">
      <w:start w:val="1"/>
      <w:numFmt w:val="lowerLetter"/>
      <w:lvlText w:val="%2."/>
      <w:lvlJc w:val="left"/>
      <w:pPr>
        <w:ind w:left="1080" w:hanging="360"/>
      </w:pPr>
      <w:rPr>
        <w:b w:val="0"/>
        <w:bCs w:val="0"/>
        <w:color w:val="auto"/>
      </w:rPr>
    </w:lvl>
    <w:lvl w:ilvl="2" w:tplc="FFFFFFFF">
      <w:start w:val="1"/>
      <w:numFmt w:val="lowerRoman"/>
      <w:lvlText w:val="%3."/>
      <w:lvlJc w:val="right"/>
      <w:pPr>
        <w:ind w:left="1800" w:hanging="180"/>
      </w:pPr>
      <w:rPr>
        <w:b w:val="0"/>
        <w:bCs w:val="0"/>
      </w:rPr>
    </w:lvl>
    <w:lvl w:ilvl="3" w:tplc="04090001">
      <w:start w:val="1"/>
      <w:numFmt w:val="bullet"/>
      <w:lvlText w:val=""/>
      <w:lvlJc w:val="left"/>
      <w:pPr>
        <w:ind w:left="2520" w:hanging="360"/>
      </w:pPr>
      <w:rPr>
        <w:rFonts w:ascii="Symbol" w:hAnsi="Symbol" w:hint="default"/>
      </w:r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52657106">
    <w:abstractNumId w:val="0"/>
  </w:num>
  <w:num w:numId="2" w16cid:durableId="11861407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5162759">
    <w:abstractNumId w:val="3"/>
  </w:num>
  <w:num w:numId="4" w16cid:durableId="2113085834">
    <w:abstractNumId w:val="4"/>
  </w:num>
  <w:num w:numId="5" w16cid:durableId="240724367">
    <w:abstractNumId w:val="1"/>
  </w:num>
  <w:num w:numId="6" w16cid:durableId="1358309153">
    <w:abstractNumId w:val="2"/>
  </w:num>
  <w:num w:numId="7" w16cid:durableId="2045708245">
    <w:abstractNumId w:val="6"/>
  </w:num>
  <w:num w:numId="8" w16cid:durableId="10944513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bb, Kathryn@CDPH">
    <w15:presenceInfo w15:providerId="AD" w15:userId="S::Kathryn.Gibb@cdph.ca.gov::b8b75f9a-390a-4ecc-ab1a-c20ac9315d11"/>
  </w15:person>
  <w15:person w15:author="Borjan, Marija [DOH]">
    <w15:presenceInfo w15:providerId="AD" w15:userId="S::Marija.Borjan@doh.nj.gov::50771239-b0d6-46f7-a362-4be41266a4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xsztxfefzet0ev9dm5sxvptf0s2xww5xw9&quot;&gt;Climate_whitepaper&lt;record-ids&gt;&lt;item&gt;5&lt;/item&gt;&lt;/record-ids&gt;&lt;/item&gt;&lt;/Libraries&gt;"/>
  </w:docVars>
  <w:rsids>
    <w:rsidRoot w:val="00B751D7"/>
    <w:rsid w:val="0002022A"/>
    <w:rsid w:val="00023F5E"/>
    <w:rsid w:val="000252BB"/>
    <w:rsid w:val="00041542"/>
    <w:rsid w:val="00054FC2"/>
    <w:rsid w:val="000655C3"/>
    <w:rsid w:val="000948F8"/>
    <w:rsid w:val="0009550D"/>
    <w:rsid w:val="000A7695"/>
    <w:rsid w:val="000E4932"/>
    <w:rsid w:val="000E65B8"/>
    <w:rsid w:val="000E723C"/>
    <w:rsid w:val="000F4C11"/>
    <w:rsid w:val="0014727F"/>
    <w:rsid w:val="00157C9F"/>
    <w:rsid w:val="00171081"/>
    <w:rsid w:val="0017144F"/>
    <w:rsid w:val="0017161E"/>
    <w:rsid w:val="001718B6"/>
    <w:rsid w:val="001946E3"/>
    <w:rsid w:val="001A3E7F"/>
    <w:rsid w:val="001B68C4"/>
    <w:rsid w:val="001C234A"/>
    <w:rsid w:val="001D77B8"/>
    <w:rsid w:val="001F1F9C"/>
    <w:rsid w:val="00204CF0"/>
    <w:rsid w:val="00216A13"/>
    <w:rsid w:val="00292752"/>
    <w:rsid w:val="002B40B4"/>
    <w:rsid w:val="002D37E0"/>
    <w:rsid w:val="002D5DA3"/>
    <w:rsid w:val="002E24EE"/>
    <w:rsid w:val="002F384E"/>
    <w:rsid w:val="00313412"/>
    <w:rsid w:val="00324A82"/>
    <w:rsid w:val="00336CE2"/>
    <w:rsid w:val="00370737"/>
    <w:rsid w:val="00370BE0"/>
    <w:rsid w:val="003747AA"/>
    <w:rsid w:val="00383EA6"/>
    <w:rsid w:val="003D6DD5"/>
    <w:rsid w:val="003F37E3"/>
    <w:rsid w:val="004104B4"/>
    <w:rsid w:val="0044457B"/>
    <w:rsid w:val="004659F5"/>
    <w:rsid w:val="004B0F8B"/>
    <w:rsid w:val="004D0A86"/>
    <w:rsid w:val="004E068C"/>
    <w:rsid w:val="0052000F"/>
    <w:rsid w:val="005242CE"/>
    <w:rsid w:val="00525F3D"/>
    <w:rsid w:val="00586985"/>
    <w:rsid w:val="005B27DF"/>
    <w:rsid w:val="005C11A2"/>
    <w:rsid w:val="00617252"/>
    <w:rsid w:val="00652738"/>
    <w:rsid w:val="006727EA"/>
    <w:rsid w:val="00695EC0"/>
    <w:rsid w:val="006B25B0"/>
    <w:rsid w:val="006C340C"/>
    <w:rsid w:val="006D74E1"/>
    <w:rsid w:val="00704D02"/>
    <w:rsid w:val="0070592D"/>
    <w:rsid w:val="00707AAC"/>
    <w:rsid w:val="0071246B"/>
    <w:rsid w:val="0072582C"/>
    <w:rsid w:val="00725AFB"/>
    <w:rsid w:val="0073629D"/>
    <w:rsid w:val="00753CDA"/>
    <w:rsid w:val="00776416"/>
    <w:rsid w:val="00784B99"/>
    <w:rsid w:val="007B1664"/>
    <w:rsid w:val="007B2E8D"/>
    <w:rsid w:val="007C0BC4"/>
    <w:rsid w:val="007C7082"/>
    <w:rsid w:val="007D2D13"/>
    <w:rsid w:val="007E0CF8"/>
    <w:rsid w:val="007E2CEC"/>
    <w:rsid w:val="008338D4"/>
    <w:rsid w:val="00866C4E"/>
    <w:rsid w:val="00872AF9"/>
    <w:rsid w:val="008A3E6A"/>
    <w:rsid w:val="00906EC0"/>
    <w:rsid w:val="00926497"/>
    <w:rsid w:val="009817E1"/>
    <w:rsid w:val="009938FC"/>
    <w:rsid w:val="009A0501"/>
    <w:rsid w:val="009B4951"/>
    <w:rsid w:val="009D63C0"/>
    <w:rsid w:val="009E620B"/>
    <w:rsid w:val="00A15D7B"/>
    <w:rsid w:val="00A17571"/>
    <w:rsid w:val="00A21C08"/>
    <w:rsid w:val="00A3286D"/>
    <w:rsid w:val="00A63BF8"/>
    <w:rsid w:val="00A7041A"/>
    <w:rsid w:val="00A76151"/>
    <w:rsid w:val="00AA0D46"/>
    <w:rsid w:val="00AB2EB1"/>
    <w:rsid w:val="00AC0ADC"/>
    <w:rsid w:val="00AD629A"/>
    <w:rsid w:val="00B0272C"/>
    <w:rsid w:val="00B0530D"/>
    <w:rsid w:val="00B103BA"/>
    <w:rsid w:val="00B114BD"/>
    <w:rsid w:val="00B178D7"/>
    <w:rsid w:val="00B47314"/>
    <w:rsid w:val="00B745B2"/>
    <w:rsid w:val="00B751D7"/>
    <w:rsid w:val="00B82A5A"/>
    <w:rsid w:val="00B907A7"/>
    <w:rsid w:val="00B917EF"/>
    <w:rsid w:val="00B944CF"/>
    <w:rsid w:val="00B964EC"/>
    <w:rsid w:val="00BA2F06"/>
    <w:rsid w:val="00BB7F1A"/>
    <w:rsid w:val="00BC5B81"/>
    <w:rsid w:val="00BD0DAE"/>
    <w:rsid w:val="00BF07EC"/>
    <w:rsid w:val="00BF2714"/>
    <w:rsid w:val="00C116F5"/>
    <w:rsid w:val="00C13348"/>
    <w:rsid w:val="00C27171"/>
    <w:rsid w:val="00C51602"/>
    <w:rsid w:val="00C52FF3"/>
    <w:rsid w:val="00C6212B"/>
    <w:rsid w:val="00C726C4"/>
    <w:rsid w:val="00C738B6"/>
    <w:rsid w:val="00C86CBF"/>
    <w:rsid w:val="00CC4342"/>
    <w:rsid w:val="00CE54EF"/>
    <w:rsid w:val="00D05470"/>
    <w:rsid w:val="00D13238"/>
    <w:rsid w:val="00D76986"/>
    <w:rsid w:val="00DA4275"/>
    <w:rsid w:val="00DC692D"/>
    <w:rsid w:val="00DD6536"/>
    <w:rsid w:val="00DF2583"/>
    <w:rsid w:val="00E06D30"/>
    <w:rsid w:val="00E10E38"/>
    <w:rsid w:val="00E35C10"/>
    <w:rsid w:val="00E44338"/>
    <w:rsid w:val="00E46740"/>
    <w:rsid w:val="00E46C32"/>
    <w:rsid w:val="00E52D2F"/>
    <w:rsid w:val="00E71D41"/>
    <w:rsid w:val="00E94F73"/>
    <w:rsid w:val="00EC0502"/>
    <w:rsid w:val="00EC67F0"/>
    <w:rsid w:val="00F23898"/>
    <w:rsid w:val="00F51F46"/>
    <w:rsid w:val="00F86D1F"/>
    <w:rsid w:val="00F96B22"/>
    <w:rsid w:val="00FA2EA8"/>
    <w:rsid w:val="00FB6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B976"/>
  <w15:chartTrackingRefBased/>
  <w15:docId w15:val="{55D9EF9F-7C31-4036-83DB-931FABFE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6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AAC"/>
    <w:pPr>
      <w:ind w:left="720"/>
      <w:contextualSpacing/>
    </w:pPr>
  </w:style>
  <w:style w:type="paragraph" w:styleId="Revision">
    <w:name w:val="Revision"/>
    <w:hidden/>
    <w:uiPriority w:val="99"/>
    <w:semiHidden/>
    <w:rsid w:val="007B1664"/>
    <w:pPr>
      <w:spacing w:after="0" w:line="240" w:lineRule="auto"/>
    </w:pPr>
  </w:style>
  <w:style w:type="character" w:styleId="CommentReference">
    <w:name w:val="annotation reference"/>
    <w:basedOn w:val="DefaultParagraphFont"/>
    <w:uiPriority w:val="99"/>
    <w:semiHidden/>
    <w:unhideWhenUsed/>
    <w:rsid w:val="007B1664"/>
    <w:rPr>
      <w:sz w:val="16"/>
      <w:szCs w:val="16"/>
    </w:rPr>
  </w:style>
  <w:style w:type="paragraph" w:styleId="CommentText">
    <w:name w:val="annotation text"/>
    <w:basedOn w:val="Normal"/>
    <w:link w:val="CommentTextChar"/>
    <w:uiPriority w:val="99"/>
    <w:unhideWhenUsed/>
    <w:rsid w:val="007B1664"/>
    <w:pPr>
      <w:spacing w:line="240" w:lineRule="auto"/>
    </w:pPr>
    <w:rPr>
      <w:sz w:val="20"/>
      <w:szCs w:val="20"/>
    </w:rPr>
  </w:style>
  <w:style w:type="character" w:customStyle="1" w:styleId="CommentTextChar">
    <w:name w:val="Comment Text Char"/>
    <w:basedOn w:val="DefaultParagraphFont"/>
    <w:link w:val="CommentText"/>
    <w:uiPriority w:val="99"/>
    <w:rsid w:val="007B1664"/>
    <w:rPr>
      <w:sz w:val="20"/>
      <w:szCs w:val="20"/>
    </w:rPr>
  </w:style>
  <w:style w:type="paragraph" w:styleId="CommentSubject">
    <w:name w:val="annotation subject"/>
    <w:basedOn w:val="CommentText"/>
    <w:next w:val="CommentText"/>
    <w:link w:val="CommentSubjectChar"/>
    <w:uiPriority w:val="99"/>
    <w:semiHidden/>
    <w:unhideWhenUsed/>
    <w:rsid w:val="007B1664"/>
    <w:rPr>
      <w:b/>
      <w:bCs/>
    </w:rPr>
  </w:style>
  <w:style w:type="character" w:customStyle="1" w:styleId="CommentSubjectChar">
    <w:name w:val="Comment Subject Char"/>
    <w:basedOn w:val="CommentTextChar"/>
    <w:link w:val="CommentSubject"/>
    <w:uiPriority w:val="99"/>
    <w:semiHidden/>
    <w:rsid w:val="007B1664"/>
    <w:rPr>
      <w:b/>
      <w:bCs/>
      <w:sz w:val="20"/>
      <w:szCs w:val="20"/>
    </w:rPr>
  </w:style>
  <w:style w:type="character" w:styleId="Hyperlink">
    <w:name w:val="Hyperlink"/>
    <w:basedOn w:val="DefaultParagraphFont"/>
    <w:uiPriority w:val="99"/>
    <w:unhideWhenUsed/>
    <w:rsid w:val="00157C9F"/>
    <w:rPr>
      <w:color w:val="0563C1" w:themeColor="hyperlink"/>
      <w:u w:val="single"/>
    </w:rPr>
  </w:style>
  <w:style w:type="character" w:styleId="UnresolvedMention">
    <w:name w:val="Unresolved Mention"/>
    <w:basedOn w:val="DefaultParagraphFont"/>
    <w:uiPriority w:val="99"/>
    <w:semiHidden/>
    <w:unhideWhenUsed/>
    <w:rsid w:val="00157C9F"/>
    <w:rPr>
      <w:color w:val="605E5C"/>
      <w:shd w:val="clear" w:color="auto" w:fill="E1DFDD"/>
    </w:rPr>
  </w:style>
  <w:style w:type="paragraph" w:customStyle="1" w:styleId="EndNoteBibliographyTitle">
    <w:name w:val="EndNote Bibliography Title"/>
    <w:basedOn w:val="Normal"/>
    <w:link w:val="EndNoteBibliographyTitleChar"/>
    <w:rsid w:val="000F4C1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F4C11"/>
    <w:rPr>
      <w:rFonts w:ascii="Calibri" w:hAnsi="Calibri" w:cs="Calibri"/>
      <w:noProof/>
    </w:rPr>
  </w:style>
  <w:style w:type="paragraph" w:customStyle="1" w:styleId="EndNoteBibliography">
    <w:name w:val="EndNote Bibliography"/>
    <w:basedOn w:val="Normal"/>
    <w:link w:val="EndNoteBibliographyChar"/>
    <w:rsid w:val="000F4C1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F4C11"/>
    <w:rPr>
      <w:rFonts w:ascii="Calibri" w:hAnsi="Calibri" w:cs="Calibri"/>
      <w:noProof/>
    </w:rPr>
  </w:style>
  <w:style w:type="paragraph" w:styleId="FootnoteText">
    <w:name w:val="footnote text"/>
    <w:basedOn w:val="Normal"/>
    <w:link w:val="FootnoteTextChar"/>
    <w:uiPriority w:val="99"/>
    <w:semiHidden/>
    <w:unhideWhenUsed/>
    <w:rsid w:val="00753C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3CDA"/>
    <w:rPr>
      <w:sz w:val="20"/>
      <w:szCs w:val="20"/>
    </w:rPr>
  </w:style>
  <w:style w:type="character" w:styleId="FootnoteReference">
    <w:name w:val="footnote reference"/>
    <w:basedOn w:val="DefaultParagraphFont"/>
    <w:uiPriority w:val="99"/>
    <w:semiHidden/>
    <w:unhideWhenUsed/>
    <w:rsid w:val="00753CDA"/>
    <w:rPr>
      <w:vertAlign w:val="superscript"/>
    </w:rPr>
  </w:style>
  <w:style w:type="paragraph" w:styleId="Header">
    <w:name w:val="header"/>
    <w:basedOn w:val="Normal"/>
    <w:link w:val="HeaderChar"/>
    <w:uiPriority w:val="99"/>
    <w:unhideWhenUsed/>
    <w:rsid w:val="00EC0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502"/>
  </w:style>
  <w:style w:type="paragraph" w:styleId="Footer">
    <w:name w:val="footer"/>
    <w:basedOn w:val="Normal"/>
    <w:link w:val="FooterChar"/>
    <w:uiPriority w:val="99"/>
    <w:unhideWhenUsed/>
    <w:rsid w:val="00EC0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502"/>
  </w:style>
  <w:style w:type="paragraph" w:styleId="EndnoteText">
    <w:name w:val="endnote text"/>
    <w:basedOn w:val="Normal"/>
    <w:link w:val="EndnoteTextChar"/>
    <w:uiPriority w:val="99"/>
    <w:semiHidden/>
    <w:unhideWhenUsed/>
    <w:rsid w:val="0065273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2738"/>
    <w:rPr>
      <w:sz w:val="20"/>
      <w:szCs w:val="20"/>
    </w:rPr>
  </w:style>
  <w:style w:type="character" w:styleId="EndnoteReference">
    <w:name w:val="endnote reference"/>
    <w:basedOn w:val="DefaultParagraphFont"/>
    <w:uiPriority w:val="99"/>
    <w:semiHidden/>
    <w:unhideWhenUsed/>
    <w:rsid w:val="00652738"/>
    <w:rPr>
      <w:vertAlign w:val="superscript"/>
    </w:rPr>
  </w:style>
  <w:style w:type="character" w:styleId="FollowedHyperlink">
    <w:name w:val="FollowedHyperlink"/>
    <w:basedOn w:val="DefaultParagraphFont"/>
    <w:uiPriority w:val="99"/>
    <w:semiHidden/>
    <w:unhideWhenUsed/>
    <w:rsid w:val="007764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72509">
      <w:bodyDiv w:val="1"/>
      <w:marLeft w:val="0"/>
      <w:marRight w:val="0"/>
      <w:marTop w:val="0"/>
      <w:marBottom w:val="0"/>
      <w:divBdr>
        <w:top w:val="none" w:sz="0" w:space="0" w:color="auto"/>
        <w:left w:val="none" w:sz="0" w:space="0" w:color="auto"/>
        <w:bottom w:val="none" w:sz="0" w:space="0" w:color="auto"/>
        <w:right w:val="none" w:sz="0" w:space="0" w:color="auto"/>
      </w:divBdr>
    </w:div>
    <w:div w:id="694186819">
      <w:bodyDiv w:val="1"/>
      <w:marLeft w:val="0"/>
      <w:marRight w:val="0"/>
      <w:marTop w:val="0"/>
      <w:marBottom w:val="0"/>
      <w:divBdr>
        <w:top w:val="none" w:sz="0" w:space="0" w:color="auto"/>
        <w:left w:val="none" w:sz="0" w:space="0" w:color="auto"/>
        <w:bottom w:val="none" w:sz="0" w:space="0" w:color="auto"/>
        <w:right w:val="none" w:sz="0" w:space="0" w:color="auto"/>
      </w:divBdr>
    </w:div>
    <w:div w:id="1045564963">
      <w:bodyDiv w:val="1"/>
      <w:marLeft w:val="0"/>
      <w:marRight w:val="0"/>
      <w:marTop w:val="0"/>
      <w:marBottom w:val="0"/>
      <w:divBdr>
        <w:top w:val="none" w:sz="0" w:space="0" w:color="auto"/>
        <w:left w:val="none" w:sz="0" w:space="0" w:color="auto"/>
        <w:bottom w:val="none" w:sz="0" w:space="0" w:color="auto"/>
        <w:right w:val="none" w:sz="0" w:space="0" w:color="auto"/>
      </w:divBdr>
    </w:div>
    <w:div w:id="1284076247">
      <w:bodyDiv w:val="1"/>
      <w:marLeft w:val="0"/>
      <w:marRight w:val="0"/>
      <w:marTop w:val="0"/>
      <w:marBottom w:val="0"/>
      <w:divBdr>
        <w:top w:val="none" w:sz="0" w:space="0" w:color="auto"/>
        <w:left w:val="none" w:sz="0" w:space="0" w:color="auto"/>
        <w:bottom w:val="none" w:sz="0" w:space="0" w:color="auto"/>
        <w:right w:val="none" w:sz="0" w:space="0" w:color="auto"/>
      </w:divBdr>
    </w:div>
    <w:div w:id="1658921330">
      <w:bodyDiv w:val="1"/>
      <w:marLeft w:val="0"/>
      <w:marRight w:val="0"/>
      <w:marTop w:val="0"/>
      <w:marBottom w:val="0"/>
      <w:divBdr>
        <w:top w:val="none" w:sz="0" w:space="0" w:color="auto"/>
        <w:left w:val="none" w:sz="0" w:space="0" w:color="auto"/>
        <w:bottom w:val="none" w:sz="0" w:space="0" w:color="auto"/>
        <w:right w:val="none" w:sz="0" w:space="0" w:color="auto"/>
      </w:divBdr>
    </w:div>
    <w:div w:id="196438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dn.ymaws.com/www.cste.org/resource/resmgr/occupationalhealth/OHI_GuidanceManual_2019_FINA.pdf" TargetMode="External"/><Relationship Id="rId18" Type="http://schemas.openxmlformats.org/officeDocument/2006/relationships/hyperlink" Target="https://cdn.ymaws.com/www.cste.org/resource/resmgr/occupationalhealth/publications/OccSyS_WhitePaper_03_08_21.pdf" TargetMode="External"/><Relationship Id="rId26" Type="http://schemas.openxmlformats.org/officeDocument/2006/relationships/hyperlink" Target="https://www.epa.gov/wildfire-smoke-course/health-effects-attributed-wildfire-smoke" TargetMode="External"/><Relationship Id="rId39" Type="http://schemas.microsoft.com/office/2011/relationships/people" Target="people.xml"/><Relationship Id="rId21" Type="http://schemas.openxmlformats.org/officeDocument/2006/relationships/hyperlink" Target="https://cdn.ymaws.com/www.cste.org/resource/resmgr/occupationalhealth/OHI_GuidanceManual_2018_FINA.pdf" TargetMode="External"/><Relationship Id="rId34" Type="http://schemas.openxmlformats.org/officeDocument/2006/relationships/hyperlink" Target="https://www.cste.org/members/group.aspx?id=106445" TargetMode="External"/><Relationship Id="rId7" Type="http://schemas.openxmlformats.org/officeDocument/2006/relationships/endnotes" Target="endnotes.xml"/><Relationship Id="rId12" Type="http://schemas.openxmlformats.org/officeDocument/2006/relationships/image" Target="media/image1.tif"/><Relationship Id="rId17" Type="http://schemas.openxmlformats.org/officeDocument/2006/relationships/hyperlink" Target="https://cdn.ymaws.com/www.cste.org/resource/resmgr/occupationalhealth/OHI_GuidanceManual_2018_FINA.pdf" TargetMode="External"/><Relationship Id="rId25" Type="http://schemas.openxmlformats.org/officeDocument/2006/relationships/hyperlink" Target="https://www.ncbi.nlm.nih.gov/pmc/articles/PMC5230832/pdf/10.1177_0033354916669358.pdf" TargetMode="External"/><Relationship Id="rId33" Type="http://schemas.openxmlformats.org/officeDocument/2006/relationships/hyperlink" Target="https://www.cdc.gov/nssp/success-stories/pdfs/nssp-success-stories-ca-wildfires.pd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mborjan\Downloads\Identification%20of%20work-related%20injury%20emergency" TargetMode="External"/><Relationship Id="rId20" Type="http://schemas.openxmlformats.org/officeDocument/2006/relationships/hyperlink" Target="https://www.bls.gov/iif/nonfatal-injuries-and-illnesses-tables.htm" TargetMode="External"/><Relationship Id="rId29" Type="http://schemas.openxmlformats.org/officeDocument/2006/relationships/hyperlink" Target="https://portal.airfire.org/ho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pubmed.ncbi.nlm.nih.gov/25058254/" TargetMode="External"/><Relationship Id="rId32" Type="http://schemas.openxmlformats.org/officeDocument/2006/relationships/hyperlink" Target="https://www.epa.gov/air-research/smoke-sense-study-citizen-science-project-using-mobile-app" TargetMode="External"/><Relationship Id="rId37" Type="http://schemas.openxmlformats.org/officeDocument/2006/relationships/hyperlink" Target="https://www.frames.gov/event/539664"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dn.ymaws.com/www.cste.org/resource/resmgr/occupationalhealth/OHI_GuidanceManual_2018_FINA.pdf" TargetMode="External"/><Relationship Id="rId23" Type="http://schemas.openxmlformats.org/officeDocument/2006/relationships/hyperlink" Target="https://cdn.ymaws.com/www.cste.org/resource/resmgr/occupationalhealth/OHI_GuidanceManual_2018_FINA.pdf" TargetMode="External"/><Relationship Id="rId28" Type="http://schemas.openxmlformats.org/officeDocument/2006/relationships/hyperlink" Target="https://hazards.fema.gov/nri/wildfire" TargetMode="External"/><Relationship Id="rId36" Type="http://schemas.openxmlformats.org/officeDocument/2006/relationships/hyperlink" Target="https://www.cdc.gov/niosh/topics/disasterscience/default.html" TargetMode="External"/><Relationship Id="rId10" Type="http://schemas.microsoft.com/office/2016/09/relationships/commentsIds" Target="commentsIds.xml"/><Relationship Id="rId19" Type="http://schemas.openxmlformats.org/officeDocument/2006/relationships/hyperlink" Target="https://onlinelibrary.wiley.com/doi/10.1002/ajim.22734" TargetMode="External"/><Relationship Id="rId31" Type="http://schemas.openxmlformats.org/officeDocument/2006/relationships/hyperlink" Target="https://kr-drupal-dev.syndromicsurveillance.org/wildfire-and-smoke-syndromic-surveillance-implementation-guide-public-heath-practice"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hyperlink" Target="https://www.bls.gov/iif/state-data.htm" TargetMode="External"/><Relationship Id="rId27" Type="http://schemas.openxmlformats.org/officeDocument/2006/relationships/hyperlink" Target="https://fire.airnow.gov/" TargetMode="External"/><Relationship Id="rId30" Type="http://schemas.openxmlformats.org/officeDocument/2006/relationships/hyperlink" Target="https://www.epa.gov/climate-indicators/climate-change-indicators-wildfires" TargetMode="External"/><Relationship Id="rId35" Type="http://schemas.openxmlformats.org/officeDocument/2006/relationships/hyperlink" Target="https://www.atsdr.cdc.gov/rapidresponse/" TargetMode="External"/><Relationship Id="rId8" Type="http://schemas.openxmlformats.org/officeDocument/2006/relationships/comments" Target="comments.xml"/><Relationship Id="rId3" Type="http://schemas.openxmlformats.org/officeDocument/2006/relationships/styles" Target="styles.xml"/></Relationships>
</file>

<file path=word/_rels/endnotes.xml.rels><?xml version="1.0" encoding="UTF-8" standalone="yes"?>
<Relationships xmlns="http://schemas.openxmlformats.org/package/2006/relationships"><Relationship Id="rId3" Type="http://schemas.openxmlformats.org/officeDocument/2006/relationships/hyperlink" Target="https://www.epa.gov/wildfire-smoke-course/which-populations-experience-greater-risks-adverse-health-effects-resulting" TargetMode="External"/><Relationship Id="rId2" Type="http://schemas.openxmlformats.org/officeDocument/2006/relationships/hyperlink" Target="https://www.osha.gov/wildfires" TargetMode="External"/><Relationship Id="rId1" Type="http://schemas.openxmlformats.org/officeDocument/2006/relationships/hyperlink" Target="https://www.cdc.gov/niosh/topics/firefighting/wffsmoke.html" TargetMode="External"/><Relationship Id="rId4" Type="http://schemas.openxmlformats.org/officeDocument/2006/relationships/hyperlink" Target="https://www.lni.wa.gov/safety-health/safety-topics/topics/wildfire-smok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dn.ymaws.com/www.cste.org/resource/resmgr/occupationalhealth/publications/OccSyS_WhitePaper_03_08_21.pdf" TargetMode="External"/><Relationship Id="rId3" Type="http://schemas.openxmlformats.org/officeDocument/2006/relationships/hyperlink" Target="https://www.forbes.com/sites/brianbushard/2023/07/24/phoenix-records-three-plus-weeks-above-110-degrees-heres-where-else-daily-records-have-fallen/" TargetMode="External"/><Relationship Id="rId7" Type="http://schemas.openxmlformats.org/officeDocument/2006/relationships/hyperlink" Target="https://stateclimate.org/about-us/" TargetMode="External"/><Relationship Id="rId2" Type="http://schemas.openxmlformats.org/officeDocument/2006/relationships/hyperlink" Target="https://www.cnn.com/2023/07/16/weather/canada-wildfires-us-air-quality-alerts-sunday/index.html" TargetMode="External"/><Relationship Id="rId1" Type="http://schemas.openxmlformats.org/officeDocument/2006/relationships/hyperlink" Target="https://www.newyorker.com/magazine/2021/11/08/the-migrant-workers-who-follow-climate-disasters" TargetMode="External"/><Relationship Id="rId6" Type="http://schemas.openxmlformats.org/officeDocument/2006/relationships/hyperlink" Target="https://www.cdc.gov/nceh/tracking/index.html" TargetMode="External"/><Relationship Id="rId5" Type="http://schemas.openxmlformats.org/officeDocument/2006/relationships/hyperlink" Target="https://www.cdc.gov/climateandhealth/crsci_grantees.htm" TargetMode="External"/><Relationship Id="rId4" Type="http://schemas.openxmlformats.org/officeDocument/2006/relationships/hyperlink" Target="https://www.climate.gov/maps-data/dataset/future-climate-projections-graphs-maps" TargetMode="External"/><Relationship Id="rId9" Type="http://schemas.openxmlformats.org/officeDocument/2006/relationships/hyperlink" Target="https://www.nssl.noaa.gov/education/svrwx101/floods/typ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A647E-2D07-4274-8EEB-BC1D6E07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4211</Words>
  <Characters>24006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Borjan, Marija [DOH]</dc:creator>
  <cp:keywords/>
  <dc:description/>
  <cp:lastModifiedBy>Gibb, Kathryn@CDPH</cp:lastModifiedBy>
  <cp:revision>2</cp:revision>
  <dcterms:created xsi:type="dcterms:W3CDTF">2023-08-25T17:33:00Z</dcterms:created>
  <dcterms:modified xsi:type="dcterms:W3CDTF">2023-08-25T17:33:00Z</dcterms:modified>
</cp:coreProperties>
</file>