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29E7E" w14:textId="5F224A8A" w:rsidR="00DF3C17" w:rsidRDefault="00F75878">
      <w:r>
        <w:t>Minnesota COVID-19 Death Data Information</w:t>
      </w:r>
    </w:p>
    <w:p w14:paraId="2E02ED10" w14:textId="6DA5004D" w:rsidR="00F75878" w:rsidRDefault="00F75878">
      <w:r>
        <w:t>May 1, 2024</w:t>
      </w:r>
    </w:p>
    <w:p w14:paraId="7F7C8CB7" w14:textId="77777777" w:rsidR="00F75878" w:rsidRDefault="00F75878"/>
    <w:p w14:paraId="76A2CEBC" w14:textId="10E2BF01" w:rsidR="00F75878" w:rsidRDefault="00F75878">
      <w:hyperlink r:id="rId5" w:history="1">
        <w:r>
          <w:rPr>
            <w:rStyle w:val="Hyperlink"/>
          </w:rPr>
          <w:t>Mortality (Death) Data COVID-19 Situation Update - MN Dept. of Health (state.mn.us)</w:t>
        </w:r>
      </w:hyperlink>
      <w:r>
        <w:t xml:space="preserve"> </w:t>
      </w:r>
    </w:p>
    <w:p w14:paraId="00F37776" w14:textId="77777777" w:rsidR="00F75878" w:rsidRPr="00F75878" w:rsidRDefault="00F75878">
      <w:pPr>
        <w:rPr>
          <w:sz w:val="24"/>
          <w:szCs w:val="24"/>
        </w:rPr>
      </w:pPr>
    </w:p>
    <w:p w14:paraId="4D79652B" w14:textId="77777777" w:rsidR="00F75878" w:rsidRPr="00F75878" w:rsidRDefault="00F75878" w:rsidP="00F75878">
      <w:pPr>
        <w:numPr>
          <w:ilvl w:val="0"/>
          <w:numId w:val="1"/>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Deaths with laboratory testing are deaths due to COVID-19 with:</w:t>
      </w:r>
    </w:p>
    <w:p w14:paraId="452AF62B" w14:textId="77777777" w:rsidR="00F75878" w:rsidRPr="00F75878" w:rsidRDefault="00F75878" w:rsidP="00F75878">
      <w:pPr>
        <w:numPr>
          <w:ilvl w:val="1"/>
          <w:numId w:val="1"/>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A positive PCR test (confirmed case) or antigen test (probable case) for SARS-CoV-2</w:t>
      </w:r>
      <w:r w:rsidRPr="00F75878">
        <w:rPr>
          <w:rFonts w:ascii="Arial" w:eastAsia="Times New Roman" w:hAnsi="Arial" w:cs="Arial"/>
          <w:color w:val="000000"/>
          <w:kern w:val="0"/>
          <w:sz w:val="24"/>
          <w:szCs w:val="24"/>
          <w14:ligatures w14:val="none"/>
        </w:rPr>
        <w:br/>
        <w:t>AND</w:t>
      </w:r>
    </w:p>
    <w:p w14:paraId="1C329768" w14:textId="77777777" w:rsidR="00F75878" w:rsidRPr="00F75878" w:rsidRDefault="00F75878" w:rsidP="00F75878">
      <w:pPr>
        <w:numPr>
          <w:ilvl w:val="2"/>
          <w:numId w:val="1"/>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COVID-19 is listed on the death certificate</w:t>
      </w:r>
      <w:r w:rsidRPr="00F75878">
        <w:rPr>
          <w:rFonts w:ascii="Arial" w:eastAsia="Times New Roman" w:hAnsi="Arial" w:cs="Arial"/>
          <w:color w:val="000000"/>
          <w:kern w:val="0"/>
          <w:sz w:val="24"/>
          <w:szCs w:val="24"/>
          <w14:ligatures w14:val="none"/>
        </w:rPr>
        <w:br/>
        <w:t>OR</w:t>
      </w:r>
    </w:p>
    <w:p w14:paraId="5BE724B5" w14:textId="77777777" w:rsidR="00F75878" w:rsidRPr="00F75878" w:rsidRDefault="00F75878" w:rsidP="00F75878">
      <w:pPr>
        <w:numPr>
          <w:ilvl w:val="2"/>
          <w:numId w:val="1"/>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Clinical history/autopsy findings that provide evidence that the death is related to COVID-19 without an alternative cause (</w:t>
      </w:r>
      <w:proofErr w:type="gramStart"/>
      <w:r w:rsidRPr="00F75878">
        <w:rPr>
          <w:rFonts w:ascii="Arial" w:eastAsia="Times New Roman" w:hAnsi="Arial" w:cs="Arial"/>
          <w:color w:val="000000"/>
          <w:kern w:val="0"/>
          <w:sz w:val="24"/>
          <w:szCs w:val="24"/>
          <w14:ligatures w14:val="none"/>
        </w:rPr>
        <w:t>i.e.</w:t>
      </w:r>
      <w:proofErr w:type="gramEnd"/>
      <w:r w:rsidRPr="00F75878">
        <w:rPr>
          <w:rFonts w:ascii="Arial" w:eastAsia="Times New Roman" w:hAnsi="Arial" w:cs="Arial"/>
          <w:color w:val="000000"/>
          <w:kern w:val="0"/>
          <w:sz w:val="24"/>
          <w:szCs w:val="24"/>
          <w14:ligatures w14:val="none"/>
        </w:rPr>
        <w:t xml:space="preserve"> drowning, homicide, trauma, etc.).</w:t>
      </w:r>
    </w:p>
    <w:p w14:paraId="4D7808DF" w14:textId="77777777" w:rsidR="00F75878" w:rsidRPr="00F75878" w:rsidRDefault="00F75878" w:rsidP="00F75878">
      <w:pPr>
        <w:numPr>
          <w:ilvl w:val="0"/>
          <w:numId w:val="1"/>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All data are preliminary and may change as more information is received.</w:t>
      </w:r>
      <w:r w:rsidRPr="00F75878">
        <w:rPr>
          <w:rFonts w:ascii="Arial" w:eastAsia="Times New Roman" w:hAnsi="Arial" w:cs="Arial"/>
          <w:color w:val="000000"/>
          <w:kern w:val="0"/>
          <w:sz w:val="24"/>
          <w:szCs w:val="24"/>
          <w14:ligatures w14:val="none"/>
        </w:rPr>
        <w:br/>
        <w:t>The shaded bar at the end of graphs indicates a lag period where data may be incomplete.</w:t>
      </w:r>
    </w:p>
    <w:p w14:paraId="10F93A0B" w14:textId="77777777" w:rsidR="00F75878" w:rsidRPr="00F75878" w:rsidRDefault="00F75878" w:rsidP="00F75878">
      <w:pPr>
        <w:numPr>
          <w:ilvl w:val="0"/>
          <w:numId w:val="1"/>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To align with a national standard, the Minnesota Department of Health adopted the </w:t>
      </w:r>
      <w:hyperlink r:id="rId6" w:history="1">
        <w:r w:rsidRPr="00F75878">
          <w:rPr>
            <w:rFonts w:ascii="Arial" w:eastAsia="Times New Roman" w:hAnsi="Arial" w:cs="Arial"/>
            <w:color w:val="3D792A"/>
            <w:kern w:val="0"/>
            <w:sz w:val="24"/>
            <w:szCs w:val="24"/>
            <w:u w:val="single"/>
            <w14:ligatures w14:val="none"/>
          </w:rPr>
          <w:t>CSTE Revised COVID-19-associated Death Classification Guidance for Public Health Surveillance Programs</w:t>
        </w:r>
      </w:hyperlink>
      <w:r w:rsidRPr="00F75878">
        <w:rPr>
          <w:rFonts w:ascii="Arial" w:eastAsia="Times New Roman" w:hAnsi="Arial" w:cs="Arial"/>
          <w:color w:val="000000"/>
          <w:kern w:val="0"/>
          <w:sz w:val="24"/>
          <w:szCs w:val="24"/>
          <w14:ligatures w14:val="none"/>
        </w:rPr>
        <w:t> for deaths occurring on or after January 1, 2023.</w:t>
      </w:r>
    </w:p>
    <w:p w14:paraId="4434621B" w14:textId="77777777" w:rsidR="00F75878" w:rsidRPr="00F75878" w:rsidRDefault="00F75878" w:rsidP="00F75878">
      <w:pPr>
        <w:shd w:val="clear" w:color="auto" w:fill="FFFFFF"/>
        <w:spacing w:after="0" w:line="240" w:lineRule="auto"/>
        <w:jc w:val="both"/>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More About COVID-19 Mortality (Death) Data   </w:t>
      </w:r>
      <w:r w:rsidRPr="00F75878">
        <w:rPr>
          <w:rFonts w:ascii="Font Awesome 5 Free" w:eastAsia="Times New Roman" w:hAnsi="Font Awesome 5 Free" w:cs="Arial"/>
          <w:b/>
          <w:bCs/>
          <w:color w:val="000000"/>
          <w:kern w:val="0"/>
          <w:sz w:val="24"/>
          <w:szCs w:val="24"/>
          <w14:ligatures w14:val="none"/>
        </w:rPr>
        <w:t> </w:t>
      </w:r>
    </w:p>
    <w:p w14:paraId="28A482CC"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To align with a national standard, the Minnesota Department of Health adopted the </w:t>
      </w:r>
      <w:hyperlink r:id="rId7" w:history="1">
        <w:r w:rsidRPr="00F75878">
          <w:rPr>
            <w:rFonts w:ascii="Arial" w:eastAsia="Times New Roman" w:hAnsi="Arial" w:cs="Arial"/>
            <w:color w:val="3D792A"/>
            <w:kern w:val="0"/>
            <w:sz w:val="24"/>
            <w:szCs w:val="24"/>
            <w:u w:val="single"/>
            <w14:ligatures w14:val="none"/>
          </w:rPr>
          <w:t>CSTE Revised COVID-19-associated Death Classification Guidance for Public Health Surveillance Programs</w:t>
        </w:r>
      </w:hyperlink>
      <w:r w:rsidRPr="00F75878">
        <w:rPr>
          <w:rFonts w:ascii="Arial" w:eastAsia="Times New Roman" w:hAnsi="Arial" w:cs="Arial"/>
          <w:color w:val="000000"/>
          <w:kern w:val="0"/>
          <w:sz w:val="24"/>
          <w:szCs w:val="24"/>
          <w14:ligatures w14:val="none"/>
        </w:rPr>
        <w:t> for deaths occurring on or after January 1, 2023.</w:t>
      </w:r>
    </w:p>
    <w:p w14:paraId="4A3A8F8B"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Population estimates are obtained from the 2010 Census Bureau Population Estimates Program (PEP) and the 2019 American Community Survey (ACS) 5-year estimates for the state of Minnesota available at </w:t>
      </w:r>
      <w:hyperlink r:id="rId8" w:history="1">
        <w:r w:rsidRPr="00F75878">
          <w:rPr>
            <w:rFonts w:ascii="Arial" w:eastAsia="Times New Roman" w:hAnsi="Arial" w:cs="Arial"/>
            <w:color w:val="3D792A"/>
            <w:kern w:val="0"/>
            <w:sz w:val="24"/>
            <w:szCs w:val="24"/>
            <w:u w:val="single"/>
            <w14:ligatures w14:val="none"/>
          </w:rPr>
          <w:t>United States Census Bureau: Explore Census Data</w:t>
        </w:r>
      </w:hyperlink>
      <w:r w:rsidRPr="00F75878">
        <w:rPr>
          <w:rFonts w:ascii="Arial" w:eastAsia="Times New Roman" w:hAnsi="Arial" w:cs="Arial"/>
          <w:color w:val="000000"/>
          <w:kern w:val="0"/>
          <w:sz w:val="24"/>
          <w:szCs w:val="24"/>
          <w14:ligatures w14:val="none"/>
        </w:rPr>
        <w:t>.</w:t>
      </w:r>
    </w:p>
    <w:p w14:paraId="43A1B39E"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b/>
          <w:bCs/>
          <w:color w:val="000000"/>
          <w:kern w:val="0"/>
          <w:sz w:val="24"/>
          <w:szCs w:val="24"/>
          <w14:ligatures w14:val="none"/>
        </w:rPr>
        <w:t>Deaths are represented by the date of death</w:t>
      </w:r>
      <w:r w:rsidRPr="00F75878">
        <w:rPr>
          <w:rFonts w:ascii="Arial" w:eastAsia="Times New Roman" w:hAnsi="Arial" w:cs="Arial"/>
          <w:color w:val="000000"/>
          <w:kern w:val="0"/>
          <w:sz w:val="24"/>
          <w:szCs w:val="24"/>
          <w14:ligatures w14:val="none"/>
        </w:rPr>
        <w:t> unless specified otherwise. Deaths are added as they are reported and verified.</w:t>
      </w:r>
    </w:p>
    <w:p w14:paraId="2D74925C"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b/>
          <w:bCs/>
          <w:color w:val="000000"/>
          <w:kern w:val="0"/>
          <w:sz w:val="24"/>
          <w:szCs w:val="24"/>
          <w14:ligatures w14:val="none"/>
        </w:rPr>
        <w:t>Total non-laboratory-confirmed COVID-19 deaths</w:t>
      </w:r>
      <w:r w:rsidRPr="00F75878">
        <w:rPr>
          <w:rFonts w:ascii="Arial" w:eastAsia="Times New Roman" w:hAnsi="Arial" w:cs="Arial"/>
          <w:color w:val="000000"/>
          <w:kern w:val="0"/>
          <w:sz w:val="24"/>
          <w:szCs w:val="24"/>
          <w14:ligatures w14:val="none"/>
        </w:rPr>
        <w:t> have COVID-19 listed on the death certificate, but no documented positive laboratory test for SARS-CoV-2.</w:t>
      </w:r>
      <w:r w:rsidRPr="00F75878">
        <w:rPr>
          <w:rFonts w:ascii="Arial" w:eastAsia="Times New Roman" w:hAnsi="Arial" w:cs="Arial"/>
          <w:color w:val="000000"/>
          <w:kern w:val="0"/>
          <w:sz w:val="24"/>
          <w:szCs w:val="24"/>
          <w14:ligatures w14:val="none"/>
        </w:rPr>
        <w:br/>
        <w:t>On 10/14/20, this category name was changed from “probable deaths” to "non-laboratory-confirmed COVID-19 deaths."</w:t>
      </w:r>
    </w:p>
    <w:p w14:paraId="6C1FA4B7"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 xml:space="preserve">All data are preliminary, and reports require verification before counting as a death. Therefore, the data may change and reports for the most recent weeks may more dramatically undercount the total number of deaths occurring in that </w:t>
      </w:r>
      <w:r w:rsidRPr="00F75878">
        <w:rPr>
          <w:rFonts w:ascii="Arial" w:eastAsia="Times New Roman" w:hAnsi="Arial" w:cs="Arial"/>
          <w:color w:val="000000"/>
          <w:kern w:val="0"/>
          <w:sz w:val="24"/>
          <w:szCs w:val="24"/>
          <w14:ligatures w14:val="none"/>
        </w:rPr>
        <w:lastRenderedPageBreak/>
        <w:t>week. We continuously receive death reports and work to confirm, process, and report them as quickly as possible.</w:t>
      </w:r>
    </w:p>
    <w:p w14:paraId="14FF03C2"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For some deaths, sex, race/ethnicity, or age data may not be available and therefore are excluded from an analysis. This means that the total number of cases for each of the charts below may vary slightly.</w:t>
      </w:r>
    </w:p>
    <w:p w14:paraId="163FE5F2"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Most of the graphs on this page show COVID-19 death rates rather than death counts. It is important to use death rates when making comparisons between groups that have different population sizes. For example, the White population is much larger than the Native American/Alaska Native population in Minnesota so we would expect to see much higher death counts among White Minnesotans. In order to compare whether one of these two groups is being disproportionately impacted by COVID-19, we must calculate the rate, which is the number of deaths divided by the population size. Count data is still available and can be found in the CSV files that accompany each graph.</w:t>
      </w:r>
    </w:p>
    <w:p w14:paraId="2C653ECB"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Age adjustment for age-adjusted rates is performed when you want to make comparisons between groups with different age distributions. It is important to note, that age-adjusted rates are not the actual rate of disease occurring in the state. The crude rate is the actual rate among a population in the state of Minnesota and is a result of many factors, including age, race/ethnicity, gender, and other factors we are unable to measure.</w:t>
      </w:r>
    </w:p>
    <w:p w14:paraId="4326CF55" w14:textId="77777777" w:rsidR="00F75878" w:rsidRPr="00F75878" w:rsidRDefault="00F75878" w:rsidP="00F75878">
      <w:pPr>
        <w:numPr>
          <w:ilvl w:val="1"/>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For example, in Minnesota women are on average older than men. Because age is associated with a higher rate of severe infection and death due to COVID-19, the rate of hospitalization and death in women in Minnesota might be higher because women are older. If we want to understand whether a woman is at higher risk of hospitalization or death compared to a man of the same age, we use age adjustment to remove the effect of age in the population to make a more direct comparison by sex. The same process can be used to compare different groups by race/ethnicity or other factors.</w:t>
      </w:r>
    </w:p>
    <w:p w14:paraId="42ECC4B3" w14:textId="77777777" w:rsidR="00F75878" w:rsidRPr="00F75878" w:rsidRDefault="00F75878" w:rsidP="00F75878">
      <w:pPr>
        <w:numPr>
          <w:ilvl w:val="0"/>
          <w:numId w:val="2"/>
        </w:numPr>
        <w:shd w:val="clear" w:color="auto" w:fill="FFFFFF"/>
        <w:spacing w:before="100" w:beforeAutospacing="1" w:after="100" w:afterAutospacing="1" w:line="240" w:lineRule="auto"/>
        <w:rPr>
          <w:rFonts w:ascii="Arial" w:eastAsia="Times New Roman" w:hAnsi="Arial" w:cs="Arial"/>
          <w:color w:val="000000"/>
          <w:kern w:val="0"/>
          <w:sz w:val="24"/>
          <w:szCs w:val="24"/>
          <w14:ligatures w14:val="none"/>
        </w:rPr>
      </w:pPr>
      <w:r w:rsidRPr="00F75878">
        <w:rPr>
          <w:rFonts w:ascii="Arial" w:eastAsia="Times New Roman" w:hAnsi="Arial" w:cs="Arial"/>
          <w:color w:val="000000"/>
          <w:kern w:val="0"/>
          <w:sz w:val="24"/>
          <w:szCs w:val="24"/>
          <w14:ligatures w14:val="none"/>
        </w:rPr>
        <w:t>Data for the most recent MMWR week will only contain information for Sunday through Tuesday based on when the data are compiled to create these graphs.</w:t>
      </w:r>
    </w:p>
    <w:p w14:paraId="40E9512A" w14:textId="77777777" w:rsidR="00F75878" w:rsidRPr="00F75878" w:rsidRDefault="00F75878">
      <w:pPr>
        <w:rPr>
          <w:sz w:val="24"/>
          <w:szCs w:val="24"/>
        </w:rPr>
      </w:pPr>
    </w:p>
    <w:p w14:paraId="5CC19C37" w14:textId="77777777" w:rsidR="00F75878" w:rsidRPr="00F75878" w:rsidRDefault="00F75878">
      <w:pPr>
        <w:rPr>
          <w:sz w:val="24"/>
          <w:szCs w:val="24"/>
        </w:rPr>
      </w:pPr>
    </w:p>
    <w:p w14:paraId="3DD3656A" w14:textId="77777777" w:rsidR="00F75878" w:rsidRPr="00F75878" w:rsidRDefault="00F75878">
      <w:pPr>
        <w:rPr>
          <w:sz w:val="24"/>
          <w:szCs w:val="24"/>
        </w:rPr>
      </w:pPr>
    </w:p>
    <w:sectPr w:rsidR="00F75878" w:rsidRPr="00F758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 Awesome 5 Free">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46309"/>
    <w:multiLevelType w:val="multilevel"/>
    <w:tmpl w:val="2332A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786DCB"/>
    <w:multiLevelType w:val="multilevel"/>
    <w:tmpl w:val="BBC06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2789125">
    <w:abstractNumId w:val="1"/>
  </w:num>
  <w:num w:numId="2" w16cid:durableId="672341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78"/>
    <w:rsid w:val="006C62BC"/>
    <w:rsid w:val="00DF3C17"/>
    <w:rsid w:val="00F75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8145B"/>
  <w15:chartTrackingRefBased/>
  <w15:docId w15:val="{F31880C1-5044-4CF5-A819-F980E9A9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5878"/>
    <w:rPr>
      <w:color w:val="0000FF"/>
      <w:u w:val="single"/>
    </w:rPr>
  </w:style>
  <w:style w:type="paragraph" w:customStyle="1" w:styleId="mb-0">
    <w:name w:val="mb-0"/>
    <w:basedOn w:val="Normal"/>
    <w:rsid w:val="00F7587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758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864768">
      <w:bodyDiv w:val="1"/>
      <w:marLeft w:val="0"/>
      <w:marRight w:val="0"/>
      <w:marTop w:val="0"/>
      <w:marBottom w:val="0"/>
      <w:divBdr>
        <w:top w:val="none" w:sz="0" w:space="0" w:color="auto"/>
        <w:left w:val="none" w:sz="0" w:space="0" w:color="auto"/>
        <w:bottom w:val="none" w:sz="0" w:space="0" w:color="auto"/>
        <w:right w:val="none" w:sz="0" w:space="0" w:color="auto"/>
      </w:divBdr>
      <w:divsChild>
        <w:div w:id="278726140">
          <w:marLeft w:val="0"/>
          <w:marRight w:val="0"/>
          <w:marTop w:val="0"/>
          <w:marBottom w:val="0"/>
          <w:divBdr>
            <w:top w:val="none" w:sz="0" w:space="0" w:color="auto"/>
            <w:left w:val="none" w:sz="0" w:space="0" w:color="auto"/>
            <w:bottom w:val="none" w:sz="0" w:space="0" w:color="auto"/>
            <w:right w:val="none" w:sz="0" w:space="0" w:color="auto"/>
          </w:divBdr>
          <w:divsChild>
            <w:div w:id="239826613">
              <w:marLeft w:val="0"/>
              <w:marRight w:val="0"/>
              <w:marTop w:val="0"/>
              <w:marBottom w:val="0"/>
              <w:divBdr>
                <w:top w:val="none" w:sz="0" w:space="0" w:color="auto"/>
                <w:left w:val="none" w:sz="0" w:space="0" w:color="auto"/>
                <w:bottom w:val="none" w:sz="0" w:space="0" w:color="auto"/>
                <w:right w:val="none" w:sz="0" w:space="0" w:color="auto"/>
              </w:divBdr>
            </w:div>
            <w:div w:id="1218392918">
              <w:marLeft w:val="0"/>
              <w:marRight w:val="0"/>
              <w:marTop w:val="0"/>
              <w:marBottom w:val="0"/>
              <w:divBdr>
                <w:top w:val="none" w:sz="0" w:space="0" w:color="auto"/>
                <w:left w:val="none" w:sz="0" w:space="0" w:color="auto"/>
                <w:bottom w:val="none" w:sz="0" w:space="0" w:color="auto"/>
                <w:right w:val="none" w:sz="0" w:space="0" w:color="auto"/>
              </w:divBdr>
              <w:divsChild>
                <w:div w:id="911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census.gov/cedsci/" TargetMode="External"/><Relationship Id="rId3" Type="http://schemas.openxmlformats.org/officeDocument/2006/relationships/settings" Target="settings.xml"/><Relationship Id="rId7" Type="http://schemas.openxmlformats.org/officeDocument/2006/relationships/hyperlink" Target="https://preparedness.cste.org/wp-content/uploads/2022/12/CSTE-Revised-Classification-of-COVID-19-associated-Deaths.Final_.11.22.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paredness.cste.org/wp-content/uploads/2022/12/CSTE-Revised-Classification-of-COVID-19-associated-Deaths.Final_.11.22.22.pdf" TargetMode="External"/><Relationship Id="rId5" Type="http://schemas.openxmlformats.org/officeDocument/2006/relationships/hyperlink" Target="https://www.health.state.mn.us/diseases/coronavirus/stats/death.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693</Words>
  <Characters>3954</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Zabel, Erik (He/Him/His) (MDH)</dc:creator>
  <cp:keywords/>
  <dc:description/>
  <cp:lastModifiedBy>Zabel, Erik (He/Him/His) (MDH)</cp:lastModifiedBy>
  <cp:revision>1</cp:revision>
  <dcterms:created xsi:type="dcterms:W3CDTF">2024-05-01T13:06:00Z</dcterms:created>
  <dcterms:modified xsi:type="dcterms:W3CDTF">2024-05-01T13:10:00Z</dcterms:modified>
</cp:coreProperties>
</file>