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246EE" w14:textId="7A87CC51" w:rsidR="005865AE" w:rsidRPr="00946D51" w:rsidRDefault="001E5E5E" w:rsidP="00946D51">
      <w:pPr>
        <w:jc w:val="center"/>
        <w:rPr>
          <w:rFonts w:ascii="Arial Black" w:hAnsi="Arial Black"/>
          <w:sz w:val="36"/>
          <w:szCs w:val="36"/>
        </w:rPr>
      </w:pPr>
      <w:r w:rsidRPr="001E5E5E">
        <w:rPr>
          <w:rFonts w:ascii="Arial Black" w:hAnsi="Arial Black"/>
          <w:sz w:val="36"/>
          <w:szCs w:val="36"/>
        </w:rPr>
        <w:t xml:space="preserve">EXERCISE </w:t>
      </w:r>
      <w:proofErr w:type="spellStart"/>
      <w:r w:rsidRPr="001E5E5E">
        <w:rPr>
          <w:rFonts w:ascii="Arial Black" w:hAnsi="Arial Black"/>
          <w:sz w:val="36"/>
          <w:szCs w:val="36"/>
        </w:rPr>
        <w:t>EXERCISE</w:t>
      </w:r>
      <w:proofErr w:type="spellEnd"/>
      <w:r w:rsidRPr="001E5E5E">
        <w:rPr>
          <w:rFonts w:ascii="Arial Black" w:hAnsi="Arial Black"/>
          <w:sz w:val="36"/>
          <w:szCs w:val="36"/>
        </w:rPr>
        <w:t xml:space="preserve"> </w:t>
      </w:r>
      <w:proofErr w:type="spellStart"/>
      <w:r w:rsidRPr="001E5E5E">
        <w:rPr>
          <w:rFonts w:ascii="Arial Black" w:hAnsi="Arial Black"/>
          <w:sz w:val="36"/>
          <w:szCs w:val="36"/>
        </w:rPr>
        <w:t>EXERCISE</w:t>
      </w:r>
      <w:proofErr w:type="spellEnd"/>
    </w:p>
    <w:p w14:paraId="589033CE" w14:textId="10AF508F" w:rsidR="00884916" w:rsidRDefault="001E5E5E" w:rsidP="00884916">
      <w:pPr>
        <w:rPr>
          <w:sz w:val="24"/>
          <w:szCs w:val="24"/>
        </w:rPr>
      </w:pPr>
      <w:r>
        <w:rPr>
          <w:sz w:val="24"/>
          <w:szCs w:val="24"/>
        </w:rPr>
        <w:t>Influenza News #201</w:t>
      </w:r>
      <w:r w:rsidR="00884916">
        <w:rPr>
          <w:sz w:val="24"/>
          <w:szCs w:val="24"/>
        </w:rPr>
        <w:t>8 Exercise 2</w:t>
      </w:r>
      <w:r>
        <w:rPr>
          <w:sz w:val="24"/>
          <w:szCs w:val="24"/>
        </w:rPr>
        <w:t xml:space="preserve"> </w:t>
      </w:r>
    </w:p>
    <w:p w14:paraId="4C7BABA4" w14:textId="75A4C864" w:rsidR="005420D1" w:rsidRDefault="005420D1" w:rsidP="00884916">
      <w:pPr>
        <w:rPr>
          <w:sz w:val="24"/>
          <w:szCs w:val="24"/>
        </w:rPr>
      </w:pPr>
      <w:r>
        <w:rPr>
          <w:sz w:val="24"/>
          <w:szCs w:val="24"/>
        </w:rPr>
        <w:t>This message contains important information regarding the following</w:t>
      </w:r>
      <w:r w:rsidR="004545F2">
        <w:rPr>
          <w:sz w:val="24"/>
          <w:szCs w:val="24"/>
        </w:rPr>
        <w:t xml:space="preserve"> topics in the context of the ongoing influenza </w:t>
      </w:r>
      <w:proofErr w:type="gramStart"/>
      <w:r w:rsidR="004545F2">
        <w:rPr>
          <w:sz w:val="24"/>
          <w:szCs w:val="24"/>
        </w:rPr>
        <w:t>A(</w:t>
      </w:r>
      <w:proofErr w:type="gramEnd"/>
      <w:r w:rsidR="004545F2">
        <w:rPr>
          <w:sz w:val="24"/>
          <w:szCs w:val="24"/>
        </w:rPr>
        <w:t>H7N9) pandemic</w:t>
      </w:r>
      <w:r>
        <w:rPr>
          <w:sz w:val="24"/>
          <w:szCs w:val="24"/>
        </w:rPr>
        <w:t xml:space="preserve">: </w:t>
      </w:r>
    </w:p>
    <w:p w14:paraId="61219B7A" w14:textId="5840BB72" w:rsidR="00AC1504" w:rsidRDefault="005215C2" w:rsidP="00502851">
      <w:pPr>
        <w:ind w:left="720"/>
        <w:rPr>
          <w:sz w:val="24"/>
          <w:szCs w:val="24"/>
        </w:rPr>
      </w:pPr>
      <w:r>
        <w:rPr>
          <w:sz w:val="24"/>
          <w:szCs w:val="24"/>
        </w:rPr>
        <w:t>1. CDC’s Plan to Reclassify</w:t>
      </w:r>
      <w:r w:rsidR="00AC1504">
        <w:rPr>
          <w:sz w:val="24"/>
          <w:szCs w:val="24"/>
        </w:rPr>
        <w:t xml:space="preserve">/Downgrade from BSL3 to BSL2 Testing </w:t>
      </w:r>
    </w:p>
    <w:p w14:paraId="233ECA4A" w14:textId="6EF47BCE" w:rsidR="005420D1" w:rsidRDefault="00AC1504" w:rsidP="00502851">
      <w:pPr>
        <w:ind w:left="720"/>
        <w:rPr>
          <w:sz w:val="24"/>
          <w:szCs w:val="24"/>
        </w:rPr>
      </w:pPr>
      <w:r>
        <w:rPr>
          <w:sz w:val="24"/>
          <w:szCs w:val="24"/>
        </w:rPr>
        <w:t>2</w:t>
      </w:r>
      <w:r w:rsidR="005420D1">
        <w:rPr>
          <w:sz w:val="24"/>
          <w:szCs w:val="24"/>
        </w:rPr>
        <w:t xml:space="preserve">. CDC Guidance on the Use of Outdated Laboratory Diagnostic Instruments </w:t>
      </w:r>
    </w:p>
    <w:p w14:paraId="6AC770EB" w14:textId="4F7746B5" w:rsidR="005420D1" w:rsidRDefault="00AC1504" w:rsidP="00502851">
      <w:pPr>
        <w:ind w:left="720"/>
        <w:rPr>
          <w:sz w:val="24"/>
          <w:szCs w:val="24"/>
        </w:rPr>
      </w:pPr>
      <w:r>
        <w:rPr>
          <w:sz w:val="24"/>
          <w:szCs w:val="24"/>
        </w:rPr>
        <w:t>3</w:t>
      </w:r>
      <w:r w:rsidR="005420D1">
        <w:rPr>
          <w:sz w:val="24"/>
          <w:szCs w:val="24"/>
        </w:rPr>
        <w:t xml:space="preserve">. CDC Guidance on Mapping the New LOINC/SNOMED Codes </w:t>
      </w:r>
      <w:r w:rsidR="00BE760D">
        <w:rPr>
          <w:sz w:val="24"/>
          <w:szCs w:val="24"/>
        </w:rPr>
        <w:t xml:space="preserve">for H7 (Virus) </w:t>
      </w:r>
    </w:p>
    <w:p w14:paraId="425D114A" w14:textId="4D0855DF" w:rsidR="00502851" w:rsidRDefault="00AC1504" w:rsidP="00502851">
      <w:pPr>
        <w:ind w:left="720"/>
        <w:rPr>
          <w:sz w:val="24"/>
          <w:szCs w:val="24"/>
        </w:rPr>
      </w:pPr>
      <w:r>
        <w:rPr>
          <w:sz w:val="24"/>
          <w:szCs w:val="24"/>
        </w:rPr>
        <w:t>4</w:t>
      </w:r>
      <w:r w:rsidR="00502851">
        <w:rPr>
          <w:sz w:val="24"/>
          <w:szCs w:val="24"/>
        </w:rPr>
        <w:t xml:space="preserve">. CDC Guidance on Inactivation of Primary Clinical Specimens </w:t>
      </w:r>
    </w:p>
    <w:p w14:paraId="066A8A1B" w14:textId="428C24B7" w:rsidR="00502851" w:rsidRDefault="00AC1504" w:rsidP="00502851">
      <w:pPr>
        <w:ind w:left="720"/>
        <w:rPr>
          <w:sz w:val="24"/>
          <w:szCs w:val="24"/>
        </w:rPr>
      </w:pPr>
      <w:r>
        <w:rPr>
          <w:sz w:val="24"/>
          <w:szCs w:val="24"/>
        </w:rPr>
        <w:t>5</w:t>
      </w:r>
      <w:r w:rsidR="00502851">
        <w:rPr>
          <w:sz w:val="24"/>
          <w:szCs w:val="24"/>
        </w:rPr>
        <w:t xml:space="preserve">. CDC Guidance on Reserving Aliquots </w:t>
      </w:r>
      <w:r w:rsidR="004545F2">
        <w:rPr>
          <w:sz w:val="24"/>
          <w:szCs w:val="24"/>
        </w:rPr>
        <w:t xml:space="preserve">to send to NIRCs </w:t>
      </w:r>
    </w:p>
    <w:p w14:paraId="551A9041" w14:textId="004DB6D2" w:rsidR="004545F2" w:rsidRDefault="00AC1504" w:rsidP="00502851">
      <w:pPr>
        <w:ind w:left="720"/>
        <w:rPr>
          <w:sz w:val="24"/>
          <w:szCs w:val="24"/>
        </w:rPr>
      </w:pPr>
      <w:r>
        <w:rPr>
          <w:sz w:val="24"/>
          <w:szCs w:val="24"/>
        </w:rPr>
        <w:t>6</w:t>
      </w:r>
      <w:r w:rsidR="004545F2">
        <w:rPr>
          <w:sz w:val="24"/>
          <w:szCs w:val="24"/>
        </w:rPr>
        <w:t xml:space="preserve">. </w:t>
      </w:r>
      <w:r w:rsidR="00786B36">
        <w:rPr>
          <w:sz w:val="24"/>
          <w:szCs w:val="24"/>
        </w:rPr>
        <w:t xml:space="preserve">CDC Guidance on Testing Algorithm for PCR Diagnostic Testing with the CDC Assay </w:t>
      </w:r>
    </w:p>
    <w:p w14:paraId="0F5E97E2" w14:textId="326C70E8" w:rsidR="008343C3" w:rsidRDefault="00AC1504" w:rsidP="00502851">
      <w:pPr>
        <w:ind w:left="720"/>
        <w:rPr>
          <w:sz w:val="24"/>
          <w:szCs w:val="24"/>
        </w:rPr>
      </w:pPr>
      <w:r>
        <w:rPr>
          <w:sz w:val="24"/>
          <w:szCs w:val="24"/>
        </w:rPr>
        <w:t>7</w:t>
      </w:r>
      <w:r w:rsidR="008343C3">
        <w:rPr>
          <w:sz w:val="24"/>
          <w:szCs w:val="24"/>
        </w:rPr>
        <w:t xml:space="preserve">. Update on FedEx Shipping of H7N9 Positive Samples </w:t>
      </w:r>
    </w:p>
    <w:p w14:paraId="45520098" w14:textId="26CD6DC7" w:rsidR="00D82D77" w:rsidRDefault="00AC1504" w:rsidP="00502851">
      <w:pPr>
        <w:ind w:left="720"/>
        <w:rPr>
          <w:sz w:val="24"/>
          <w:szCs w:val="24"/>
        </w:rPr>
      </w:pPr>
      <w:r>
        <w:rPr>
          <w:sz w:val="24"/>
          <w:szCs w:val="24"/>
        </w:rPr>
        <w:t>8</w:t>
      </w:r>
      <w:r w:rsidR="00D82D77">
        <w:rPr>
          <w:sz w:val="24"/>
          <w:szCs w:val="24"/>
        </w:rPr>
        <w:t xml:space="preserve">. APHL Announcement – All-Laboratory Call Scheduled </w:t>
      </w:r>
      <w:r w:rsidR="005865AE">
        <w:rPr>
          <w:sz w:val="24"/>
          <w:szCs w:val="24"/>
        </w:rPr>
        <w:t>for 9/17/18 at 1 PM EST</w:t>
      </w:r>
    </w:p>
    <w:p w14:paraId="1B6E155D" w14:textId="13924AB6" w:rsidR="001E5E5E" w:rsidRPr="00626BD9" w:rsidRDefault="001E5E5E" w:rsidP="00884916">
      <w:pPr>
        <w:rPr>
          <w:rFonts w:cs="Arial"/>
          <w:color w:val="000000" w:themeColor="text1"/>
        </w:rPr>
      </w:pPr>
      <w:r w:rsidRPr="00626BD9">
        <w:rPr>
          <w:rFonts w:cs="Arial"/>
          <w:i/>
          <w:iCs/>
          <w:color w:val="000000" w:themeColor="text1"/>
        </w:rPr>
        <w:t xml:space="preserve">This message </w:t>
      </w:r>
      <w:proofErr w:type="gramStart"/>
      <w:r w:rsidRPr="00626BD9">
        <w:rPr>
          <w:rFonts w:cs="Arial"/>
          <w:i/>
          <w:iCs/>
          <w:color w:val="000000" w:themeColor="text1"/>
        </w:rPr>
        <w:t>has been sent</w:t>
      </w:r>
      <w:proofErr w:type="gramEnd"/>
      <w:r w:rsidRPr="00626BD9">
        <w:rPr>
          <w:rFonts w:cs="Arial"/>
          <w:i/>
          <w:iCs/>
          <w:color w:val="000000" w:themeColor="text1"/>
        </w:rPr>
        <w:t xml:space="preserve"> to all state and local laboratory representatives and delegates. Please share the information with supervisors and influenza testing staff in your laboratories.</w:t>
      </w:r>
    </w:p>
    <w:p w14:paraId="1B6E155E" w14:textId="77777777" w:rsidR="001E5E5E" w:rsidRDefault="00586B88" w:rsidP="001E5E5E">
      <w:pPr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pict w14:anchorId="1B6E1568">
          <v:rect id="_x0000_i1025" style="width:468pt;height:1.5pt" o:hralign="center" o:hrstd="t" o:hr="t" fillcolor="#a0a0a0" stroked="f"/>
        </w:pict>
      </w:r>
    </w:p>
    <w:p w14:paraId="424E84C2" w14:textId="77777777" w:rsidR="00B62FDE" w:rsidRPr="005D13F3" w:rsidRDefault="00B62FDE" w:rsidP="00FC103B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6"/>
        </w:rPr>
      </w:pPr>
    </w:p>
    <w:p w14:paraId="2AC706A8" w14:textId="5E0F4511" w:rsidR="00AC1504" w:rsidRDefault="00AC1504" w:rsidP="005420D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b/>
          <w:color w:val="000000" w:themeColor="text1"/>
        </w:rPr>
      </w:pPr>
      <w:r>
        <w:rPr>
          <w:rFonts w:cs="Calibri"/>
          <w:b/>
          <w:color w:val="000000" w:themeColor="text1"/>
        </w:rPr>
        <w:t xml:space="preserve">CDC’s Reclassification/Downgrade from BSL-3 to BSL-2 Testing </w:t>
      </w:r>
    </w:p>
    <w:p w14:paraId="26F3E835" w14:textId="2F31051F" w:rsidR="00AC1504" w:rsidRDefault="00AC1504" w:rsidP="00AC1504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 w:themeColor="text1"/>
        </w:rPr>
      </w:pPr>
    </w:p>
    <w:p w14:paraId="069E4A56" w14:textId="0AD48421" w:rsidR="00AC1504" w:rsidRDefault="005215C2" w:rsidP="00AC1504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CDC intends to issue</w:t>
      </w:r>
      <w:r w:rsidR="00AC1504">
        <w:rPr>
          <w:rFonts w:cs="Calibri"/>
          <w:color w:val="000000" w:themeColor="text1"/>
        </w:rPr>
        <w:t xml:space="preserve"> a formal downgrade and reclassification of the recommended biosafety level in which to con</w:t>
      </w:r>
      <w:r>
        <w:rPr>
          <w:rFonts w:cs="Calibri"/>
          <w:color w:val="000000" w:themeColor="text1"/>
        </w:rPr>
        <w:t xml:space="preserve">duct influenza </w:t>
      </w:r>
      <w:proofErr w:type="gramStart"/>
      <w:r>
        <w:rPr>
          <w:rFonts w:cs="Calibri"/>
          <w:color w:val="000000" w:themeColor="text1"/>
        </w:rPr>
        <w:t>A(</w:t>
      </w:r>
      <w:proofErr w:type="gramEnd"/>
      <w:r>
        <w:rPr>
          <w:rFonts w:cs="Calibri"/>
          <w:color w:val="000000" w:themeColor="text1"/>
        </w:rPr>
        <w:t xml:space="preserve">H7N9) testing, at which point laboratories will be able to </w:t>
      </w:r>
      <w:r w:rsidR="00AC1504">
        <w:rPr>
          <w:rFonts w:cs="Calibri"/>
          <w:color w:val="000000" w:themeColor="text1"/>
        </w:rPr>
        <w:t xml:space="preserve">test H7N9 specimens in a BSL-2 environment, using standard biosafety protocols. </w:t>
      </w:r>
      <w:r w:rsidRPr="008E7B71">
        <w:rPr>
          <w:rFonts w:cs="Calibri"/>
          <w:b/>
          <w:color w:val="000000" w:themeColor="text1"/>
        </w:rPr>
        <w:t>In the meantime, laboratories should continue to operate in a BSL-3 environment</w:t>
      </w:r>
      <w:r>
        <w:rPr>
          <w:rFonts w:cs="Calibri"/>
          <w:color w:val="000000" w:themeColor="text1"/>
        </w:rPr>
        <w:t>; stay tuned for further updates.</w:t>
      </w:r>
    </w:p>
    <w:p w14:paraId="58700A6B" w14:textId="5D4C95A4" w:rsidR="00AC1504" w:rsidRDefault="00AC1504" w:rsidP="00AC1504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color w:val="000000" w:themeColor="text1"/>
        </w:rPr>
      </w:pPr>
    </w:p>
    <w:p w14:paraId="5E15AE8F" w14:textId="7AE94763" w:rsidR="00AC1504" w:rsidRPr="00AC1504" w:rsidRDefault="00AC1504" w:rsidP="00AC1504">
      <w:pPr>
        <w:spacing w:after="0"/>
        <w:ind w:left="360"/>
        <w:rPr>
          <w:rFonts w:cs="Calibri"/>
          <w:b/>
          <w:color w:val="000000" w:themeColor="text1"/>
        </w:rPr>
      </w:pPr>
      <w:r w:rsidRPr="005865AE">
        <w:rPr>
          <w:rFonts w:cs="Calibri"/>
          <w:b/>
          <w:i/>
          <w:color w:val="000000" w:themeColor="text1"/>
        </w:rPr>
        <w:t xml:space="preserve">For questions regarding </w:t>
      </w:r>
      <w:r>
        <w:rPr>
          <w:rFonts w:cs="Calibri"/>
          <w:b/>
          <w:i/>
          <w:color w:val="000000" w:themeColor="text1"/>
        </w:rPr>
        <w:t>CDC’s reclassification/downgrade from BSL-3 to BSL-2 testing</w:t>
      </w:r>
      <w:r w:rsidRPr="005865AE">
        <w:rPr>
          <w:rFonts w:cs="Calibri"/>
          <w:b/>
          <w:i/>
          <w:color w:val="000000" w:themeColor="text1"/>
        </w:rPr>
        <w:t xml:space="preserve">, please contact </w:t>
      </w:r>
      <w:hyperlink r:id="rId11" w:history="1">
        <w:r w:rsidRPr="005865AE">
          <w:rPr>
            <w:rStyle w:val="Hyperlink"/>
            <w:rFonts w:cs="Calibri"/>
            <w:b/>
            <w:i/>
          </w:rPr>
          <w:t>flusupport@cdc.gov</w:t>
        </w:r>
      </w:hyperlink>
      <w:r>
        <w:rPr>
          <w:rFonts w:cs="Calibri"/>
          <w:b/>
          <w:color w:val="000000" w:themeColor="text1"/>
        </w:rPr>
        <w:t>.</w:t>
      </w:r>
    </w:p>
    <w:p w14:paraId="6FA828A6" w14:textId="212C4FE5" w:rsidR="00AC1504" w:rsidRDefault="00AC1504" w:rsidP="00AC1504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color w:val="000000" w:themeColor="text1"/>
        </w:rPr>
      </w:pPr>
    </w:p>
    <w:p w14:paraId="3C01CF7F" w14:textId="77777777" w:rsidR="00AC1504" w:rsidRPr="00AC1504" w:rsidRDefault="00AC1504" w:rsidP="00AC1504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color w:val="000000" w:themeColor="text1"/>
        </w:rPr>
      </w:pPr>
    </w:p>
    <w:p w14:paraId="542E60A5" w14:textId="0BD5F93B" w:rsidR="005420D1" w:rsidRPr="005420D1" w:rsidRDefault="005420D1" w:rsidP="005420D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b/>
          <w:color w:val="000000" w:themeColor="text1"/>
        </w:rPr>
      </w:pPr>
      <w:r w:rsidRPr="005420D1">
        <w:rPr>
          <w:rFonts w:cs="Calibri"/>
          <w:b/>
          <w:color w:val="000000" w:themeColor="text1"/>
        </w:rPr>
        <w:t xml:space="preserve">CDC Guidance on the Use of Outdated Laboratory Diagnostic Instruments (&amp; Related Budgetary Considerations) </w:t>
      </w:r>
      <w:bookmarkStart w:id="0" w:name="_GoBack"/>
      <w:bookmarkEnd w:id="0"/>
    </w:p>
    <w:p w14:paraId="01E6A615" w14:textId="77777777" w:rsidR="005420D1" w:rsidRDefault="005420D1" w:rsidP="00FC103B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</w:rPr>
      </w:pPr>
    </w:p>
    <w:p w14:paraId="56E4E1C3" w14:textId="123E7A4D" w:rsidR="00B62FDE" w:rsidRDefault="00884916" w:rsidP="005420D1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APHL would like to relay guidance pro</w:t>
      </w:r>
      <w:r w:rsidR="00B62FDE">
        <w:rPr>
          <w:rFonts w:cs="Calibri"/>
          <w:color w:val="000000" w:themeColor="text1"/>
        </w:rPr>
        <w:t>vided by CDC regarding</w:t>
      </w:r>
      <w:r>
        <w:rPr>
          <w:rFonts w:cs="Calibri"/>
          <w:color w:val="000000" w:themeColor="text1"/>
        </w:rPr>
        <w:t xml:space="preserve"> whether </w:t>
      </w:r>
      <w:r w:rsidR="00B62FDE">
        <w:rPr>
          <w:rFonts w:cs="Calibri"/>
          <w:color w:val="000000" w:themeColor="text1"/>
        </w:rPr>
        <w:t>public health laboratories (</w:t>
      </w:r>
      <w:r>
        <w:rPr>
          <w:rFonts w:cs="Calibri"/>
          <w:color w:val="000000" w:themeColor="text1"/>
        </w:rPr>
        <w:t>PHLs</w:t>
      </w:r>
      <w:r w:rsidR="00B62FDE">
        <w:rPr>
          <w:rFonts w:cs="Calibri"/>
          <w:color w:val="000000" w:themeColor="text1"/>
        </w:rPr>
        <w:t>)</w:t>
      </w:r>
      <w:r>
        <w:rPr>
          <w:rFonts w:cs="Calibri"/>
          <w:color w:val="000000" w:themeColor="text1"/>
        </w:rPr>
        <w:t xml:space="preserve"> are able to use outdated (i.e., out-of-date service agreements) laboratory diagnostic instruments </w:t>
      </w:r>
      <w:r w:rsidR="00B62FDE">
        <w:rPr>
          <w:rFonts w:cs="Calibri"/>
          <w:color w:val="000000" w:themeColor="text1"/>
        </w:rPr>
        <w:t xml:space="preserve">for influenza </w:t>
      </w:r>
      <w:proofErr w:type="gramStart"/>
      <w:r w:rsidR="00B62FDE">
        <w:rPr>
          <w:rFonts w:cs="Calibri"/>
          <w:color w:val="000000" w:themeColor="text1"/>
        </w:rPr>
        <w:t>A(</w:t>
      </w:r>
      <w:proofErr w:type="gramEnd"/>
      <w:r w:rsidR="00B62FDE">
        <w:rPr>
          <w:rFonts w:cs="Calibri"/>
          <w:color w:val="000000" w:themeColor="text1"/>
        </w:rPr>
        <w:t>H7N9) diagnostic testing or whether</w:t>
      </w:r>
      <w:r>
        <w:rPr>
          <w:rFonts w:cs="Calibri"/>
          <w:color w:val="000000" w:themeColor="text1"/>
        </w:rPr>
        <w:t xml:space="preserve"> they should purchase new instruments. </w:t>
      </w:r>
    </w:p>
    <w:p w14:paraId="4F0088F0" w14:textId="77777777" w:rsidR="00B62FDE" w:rsidRDefault="00B62FDE" w:rsidP="005420D1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color w:val="000000" w:themeColor="text1"/>
        </w:rPr>
      </w:pPr>
    </w:p>
    <w:p w14:paraId="0E63DE17" w14:textId="6B106E4D" w:rsidR="005420D1" w:rsidRDefault="00884916" w:rsidP="005420D1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CDC’s Ep</w:t>
      </w:r>
      <w:r w:rsidR="00B62FDE">
        <w:rPr>
          <w:rFonts w:cs="Calibri"/>
          <w:color w:val="000000" w:themeColor="text1"/>
        </w:rPr>
        <w:t>idemiology</w:t>
      </w:r>
      <w:r>
        <w:rPr>
          <w:rFonts w:cs="Calibri"/>
          <w:color w:val="000000" w:themeColor="text1"/>
        </w:rPr>
        <w:t>-Lab</w:t>
      </w:r>
      <w:r w:rsidR="00B62FDE">
        <w:rPr>
          <w:rFonts w:cs="Calibri"/>
          <w:color w:val="000000" w:themeColor="text1"/>
        </w:rPr>
        <w:t>oratory</w:t>
      </w:r>
      <w:r>
        <w:rPr>
          <w:rFonts w:cs="Calibri"/>
          <w:color w:val="000000" w:themeColor="text1"/>
        </w:rPr>
        <w:t xml:space="preserve"> T</w:t>
      </w:r>
      <w:r w:rsidR="00B62FDE">
        <w:rPr>
          <w:rFonts w:cs="Calibri"/>
          <w:color w:val="000000" w:themeColor="text1"/>
        </w:rPr>
        <w:t xml:space="preserve">ask </w:t>
      </w:r>
      <w:r>
        <w:rPr>
          <w:rFonts w:cs="Calibri"/>
          <w:color w:val="000000" w:themeColor="text1"/>
        </w:rPr>
        <w:t>F</w:t>
      </w:r>
      <w:r w:rsidR="00B62FDE">
        <w:rPr>
          <w:rFonts w:cs="Calibri"/>
          <w:color w:val="000000" w:themeColor="text1"/>
        </w:rPr>
        <w:t>orce (Epi-Lab TF)</w:t>
      </w:r>
      <w:r>
        <w:rPr>
          <w:rFonts w:cs="Calibri"/>
          <w:color w:val="000000" w:themeColor="text1"/>
        </w:rPr>
        <w:t xml:space="preserve"> intends to fund salaries and laboratory reagents for increasing sample throughput, but NOT equipment. CDC recommends </w:t>
      </w:r>
      <w:r w:rsidR="00B62FDE">
        <w:rPr>
          <w:rFonts w:cs="Calibri"/>
          <w:color w:val="000000" w:themeColor="text1"/>
        </w:rPr>
        <w:t>laboratories request that</w:t>
      </w:r>
      <w:r>
        <w:rPr>
          <w:rFonts w:cs="Calibri"/>
          <w:color w:val="000000" w:themeColor="text1"/>
        </w:rPr>
        <w:t xml:space="preserve"> the</w:t>
      </w:r>
      <w:r w:rsidR="00B62FDE">
        <w:rPr>
          <w:rFonts w:cs="Calibri"/>
          <w:color w:val="000000" w:themeColor="text1"/>
        </w:rPr>
        <w:t>ir</w:t>
      </w:r>
      <w:r>
        <w:rPr>
          <w:rFonts w:cs="Calibri"/>
          <w:color w:val="000000" w:themeColor="text1"/>
        </w:rPr>
        <w:t xml:space="preserve"> </w:t>
      </w:r>
      <w:r w:rsidR="00B62FDE">
        <w:rPr>
          <w:rFonts w:cs="Calibri"/>
          <w:color w:val="000000" w:themeColor="text1"/>
        </w:rPr>
        <w:t>s</w:t>
      </w:r>
      <w:r>
        <w:rPr>
          <w:rFonts w:cs="Calibri"/>
          <w:color w:val="000000" w:themeColor="text1"/>
        </w:rPr>
        <w:t>t</w:t>
      </w:r>
      <w:r w:rsidR="00B62FDE">
        <w:rPr>
          <w:rFonts w:cs="Calibri"/>
          <w:color w:val="000000" w:themeColor="text1"/>
        </w:rPr>
        <w:t>ate</w:t>
      </w:r>
      <w:r>
        <w:rPr>
          <w:rFonts w:cs="Calibri"/>
          <w:color w:val="000000" w:themeColor="text1"/>
        </w:rPr>
        <w:t xml:space="preserve"> apply to the Crisis Cooperative Agreement for all e</w:t>
      </w:r>
      <w:r w:rsidR="00B62FDE">
        <w:rPr>
          <w:rFonts w:cs="Calibri"/>
          <w:color w:val="000000" w:themeColor="text1"/>
        </w:rPr>
        <w:t>quipment needs. The Epi-Lab TF</w:t>
      </w:r>
      <w:r>
        <w:rPr>
          <w:rFonts w:cs="Calibri"/>
          <w:color w:val="000000" w:themeColor="text1"/>
        </w:rPr>
        <w:t xml:space="preserve"> also recommends that laboratories qualify the use of their outdated equipment under </w:t>
      </w:r>
      <w:r w:rsidR="00B62FDE">
        <w:rPr>
          <w:rFonts w:cs="Calibri"/>
          <w:color w:val="000000" w:themeColor="text1"/>
        </w:rPr>
        <w:t>Clinical Laboratory Improvement Amendments (</w:t>
      </w:r>
      <w:r>
        <w:rPr>
          <w:rFonts w:cs="Calibri"/>
          <w:color w:val="000000" w:themeColor="text1"/>
        </w:rPr>
        <w:t>CLIA</w:t>
      </w:r>
      <w:r w:rsidR="00B62FDE">
        <w:rPr>
          <w:rFonts w:cs="Calibri"/>
          <w:color w:val="000000" w:themeColor="text1"/>
        </w:rPr>
        <w:t>)</w:t>
      </w:r>
      <w:r>
        <w:rPr>
          <w:rFonts w:cs="Calibri"/>
          <w:color w:val="000000" w:themeColor="text1"/>
        </w:rPr>
        <w:t xml:space="preserve"> as off-label use of an FDA-cleared test; note, however, that CDC would not be able to approve such use. </w:t>
      </w:r>
    </w:p>
    <w:p w14:paraId="70647A41" w14:textId="59B2FA3C" w:rsidR="00502851" w:rsidRDefault="00502851" w:rsidP="005420D1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color w:val="000000" w:themeColor="text1"/>
        </w:rPr>
      </w:pPr>
    </w:p>
    <w:p w14:paraId="4236BBEB" w14:textId="4DA8928C" w:rsidR="00502851" w:rsidRPr="005865AE" w:rsidRDefault="00502851" w:rsidP="005420D1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b/>
          <w:i/>
          <w:color w:val="000000" w:themeColor="text1"/>
        </w:rPr>
      </w:pPr>
      <w:r w:rsidRPr="005865AE">
        <w:rPr>
          <w:rFonts w:cs="Calibri"/>
          <w:b/>
          <w:i/>
          <w:color w:val="000000" w:themeColor="text1"/>
        </w:rPr>
        <w:t xml:space="preserve">For questions regarding guidance on outdated laboratory diagnostic instruments or related budgetary considerations, please contact </w:t>
      </w:r>
      <w:hyperlink r:id="rId12" w:history="1">
        <w:r w:rsidRPr="005865AE">
          <w:rPr>
            <w:rStyle w:val="Hyperlink"/>
            <w:rFonts w:cs="Calibri"/>
            <w:b/>
            <w:i/>
          </w:rPr>
          <w:t>flusupport@cdc.gov</w:t>
        </w:r>
      </w:hyperlink>
      <w:r w:rsidRPr="005865AE">
        <w:rPr>
          <w:rFonts w:cs="Calibri"/>
          <w:b/>
          <w:i/>
          <w:color w:val="000000" w:themeColor="text1"/>
        </w:rPr>
        <w:t>.</w:t>
      </w:r>
    </w:p>
    <w:p w14:paraId="570AE631" w14:textId="77777777" w:rsidR="004545F2" w:rsidRPr="005865AE" w:rsidRDefault="004545F2" w:rsidP="005420D1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i/>
          <w:color w:val="000000" w:themeColor="text1"/>
        </w:rPr>
      </w:pPr>
    </w:p>
    <w:p w14:paraId="2863C97B" w14:textId="77777777" w:rsidR="005420D1" w:rsidRDefault="005420D1" w:rsidP="005420D1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</w:rPr>
      </w:pPr>
    </w:p>
    <w:p w14:paraId="0CA2F462" w14:textId="12514D23" w:rsidR="005420D1" w:rsidRPr="005420D1" w:rsidRDefault="005420D1" w:rsidP="005420D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</w:rPr>
      </w:pPr>
      <w:r w:rsidRPr="005420D1">
        <w:rPr>
          <w:rFonts w:cs="Calibri"/>
          <w:b/>
          <w:color w:val="000000" w:themeColor="text1"/>
        </w:rPr>
        <w:t>CDC Guidance on Mapping the New LOINC/SNOMED Codes</w:t>
      </w:r>
      <w:r w:rsidR="00BE760D">
        <w:rPr>
          <w:rFonts w:cs="Calibri"/>
          <w:b/>
          <w:color w:val="000000" w:themeColor="text1"/>
        </w:rPr>
        <w:t xml:space="preserve"> for H7 (Virus) </w:t>
      </w:r>
    </w:p>
    <w:p w14:paraId="20AA82AD" w14:textId="77777777" w:rsidR="005420D1" w:rsidRPr="005420D1" w:rsidRDefault="005420D1" w:rsidP="005420D1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Calibri"/>
          <w:color w:val="000000" w:themeColor="text1"/>
        </w:rPr>
      </w:pPr>
    </w:p>
    <w:p w14:paraId="1B6E1560" w14:textId="7AD386C2" w:rsidR="004E082D" w:rsidRDefault="005420D1" w:rsidP="00D82D77">
      <w:pPr>
        <w:spacing w:after="0" w:line="240" w:lineRule="auto"/>
        <w:ind w:left="360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APHL would also like to relay a clarification from CDC regarding mapping of the new</w:t>
      </w:r>
      <w:r w:rsidR="005D13F3">
        <w:rPr>
          <w:rFonts w:cs="Calibri"/>
          <w:color w:val="000000" w:themeColor="text1"/>
        </w:rPr>
        <w:t xml:space="preserve"> Logical Observation Identifiers Names and Codes</w:t>
      </w:r>
      <w:r>
        <w:rPr>
          <w:rFonts w:cs="Calibri"/>
          <w:color w:val="000000" w:themeColor="text1"/>
        </w:rPr>
        <w:t xml:space="preserve"> </w:t>
      </w:r>
      <w:r w:rsidR="005D13F3">
        <w:rPr>
          <w:rFonts w:cs="Calibri"/>
          <w:color w:val="000000" w:themeColor="text1"/>
        </w:rPr>
        <w:t>(</w:t>
      </w:r>
      <w:r>
        <w:rPr>
          <w:rFonts w:cs="Calibri"/>
          <w:color w:val="000000" w:themeColor="text1"/>
        </w:rPr>
        <w:t>LOINC</w:t>
      </w:r>
      <w:r w:rsidR="005D13F3">
        <w:rPr>
          <w:rFonts w:cs="Calibri"/>
          <w:color w:val="000000" w:themeColor="text1"/>
        </w:rPr>
        <w:t>)</w:t>
      </w:r>
      <w:r>
        <w:rPr>
          <w:rFonts w:cs="Calibri"/>
          <w:color w:val="000000" w:themeColor="text1"/>
        </w:rPr>
        <w:t>/</w:t>
      </w:r>
      <w:r w:rsidR="005D13F3">
        <w:rPr>
          <w:rFonts w:cs="Calibri"/>
          <w:color w:val="000000" w:themeColor="text1"/>
        </w:rPr>
        <w:t>Systematized Nomenclature of Medicine (</w:t>
      </w:r>
      <w:r>
        <w:rPr>
          <w:rFonts w:cs="Calibri"/>
          <w:color w:val="000000" w:themeColor="text1"/>
        </w:rPr>
        <w:t>SNOMED</w:t>
      </w:r>
      <w:r w:rsidR="005D13F3">
        <w:rPr>
          <w:rFonts w:cs="Calibri"/>
          <w:color w:val="000000" w:themeColor="text1"/>
        </w:rPr>
        <w:t>)</w:t>
      </w:r>
      <w:r>
        <w:rPr>
          <w:rFonts w:cs="Calibri"/>
          <w:color w:val="000000" w:themeColor="text1"/>
        </w:rPr>
        <w:t xml:space="preserve"> codes. CDC advises PHLs to u</w:t>
      </w:r>
      <w:r w:rsidRPr="005420D1">
        <w:rPr>
          <w:rFonts w:cs="Calibri"/>
          <w:color w:val="000000" w:themeColor="text1"/>
        </w:rPr>
        <w:t xml:space="preserve">se the same H7 </w:t>
      </w:r>
      <w:r w:rsidR="005D13F3">
        <w:rPr>
          <w:rFonts w:cs="Calibri"/>
          <w:color w:val="000000" w:themeColor="text1"/>
        </w:rPr>
        <w:t xml:space="preserve">(virus) </w:t>
      </w:r>
      <w:r w:rsidRPr="005420D1">
        <w:rPr>
          <w:rFonts w:cs="Calibri"/>
          <w:color w:val="000000" w:themeColor="text1"/>
        </w:rPr>
        <w:t xml:space="preserve">code </w:t>
      </w:r>
      <w:r>
        <w:rPr>
          <w:rFonts w:cs="Calibri"/>
          <w:color w:val="000000" w:themeColor="text1"/>
        </w:rPr>
        <w:t>that w</w:t>
      </w:r>
      <w:r w:rsidRPr="005420D1">
        <w:rPr>
          <w:rFonts w:cs="Calibri"/>
          <w:color w:val="000000" w:themeColor="text1"/>
        </w:rPr>
        <w:t xml:space="preserve">as </w:t>
      </w:r>
      <w:r>
        <w:rPr>
          <w:rFonts w:cs="Calibri"/>
          <w:color w:val="000000" w:themeColor="text1"/>
        </w:rPr>
        <w:t>previously</w:t>
      </w:r>
      <w:r w:rsidRPr="005420D1">
        <w:rPr>
          <w:rFonts w:cs="Calibri"/>
          <w:color w:val="000000" w:themeColor="text1"/>
        </w:rPr>
        <w:t xml:space="preserve"> provided for the earlier H7 </w:t>
      </w:r>
      <w:r w:rsidR="003D6B98">
        <w:rPr>
          <w:rFonts w:cs="Calibri"/>
          <w:color w:val="000000" w:themeColor="text1"/>
        </w:rPr>
        <w:t>Emergency Use Authorization (</w:t>
      </w:r>
      <w:r w:rsidRPr="005420D1">
        <w:rPr>
          <w:rFonts w:cs="Calibri"/>
          <w:color w:val="000000" w:themeColor="text1"/>
        </w:rPr>
        <w:t>EUA</w:t>
      </w:r>
      <w:r w:rsidR="003D6B98">
        <w:rPr>
          <w:rFonts w:cs="Calibri"/>
          <w:color w:val="000000" w:themeColor="text1"/>
        </w:rPr>
        <w:t>)</w:t>
      </w:r>
      <w:r w:rsidRPr="005420D1">
        <w:rPr>
          <w:rFonts w:cs="Calibri"/>
          <w:color w:val="000000" w:themeColor="text1"/>
        </w:rPr>
        <w:t xml:space="preserve"> kit. </w:t>
      </w:r>
      <w:r>
        <w:rPr>
          <w:rFonts w:cs="Calibri"/>
          <w:color w:val="000000" w:themeColor="text1"/>
        </w:rPr>
        <w:t>Note: If your lab has received the new kit and has NOT yet mapped this code, please contact</w:t>
      </w:r>
      <w:r w:rsidRPr="005420D1">
        <w:rPr>
          <w:rFonts w:cs="Calibri"/>
          <w:color w:val="000000" w:themeColor="text1"/>
        </w:rPr>
        <w:t xml:space="preserve"> </w:t>
      </w:r>
      <w:hyperlink r:id="rId13" w:history="1">
        <w:r w:rsidRPr="005420D1">
          <w:rPr>
            <w:rFonts w:cs="Calibri"/>
            <w:color w:val="000000" w:themeColor="text1"/>
          </w:rPr>
          <w:t>informatics.support@aphl.org</w:t>
        </w:r>
      </w:hyperlink>
      <w:r>
        <w:rPr>
          <w:rFonts w:cs="Calibri"/>
          <w:color w:val="000000" w:themeColor="text1"/>
        </w:rPr>
        <w:t xml:space="preserve"> if you</w:t>
      </w:r>
      <w:r w:rsidRPr="005420D1">
        <w:rPr>
          <w:rFonts w:cs="Calibri"/>
          <w:color w:val="000000" w:themeColor="text1"/>
        </w:rPr>
        <w:t xml:space="preserve"> require any technical assistance with this mapping. </w:t>
      </w:r>
    </w:p>
    <w:p w14:paraId="1FE5B571" w14:textId="77777777" w:rsidR="00D82D77" w:rsidRPr="00D82D77" w:rsidRDefault="00D82D77" w:rsidP="00D82D77">
      <w:pPr>
        <w:spacing w:after="0" w:line="240" w:lineRule="auto"/>
        <w:ind w:left="360"/>
        <w:rPr>
          <w:rFonts w:cs="Calibri"/>
          <w:color w:val="000000" w:themeColor="text1"/>
        </w:rPr>
      </w:pPr>
    </w:p>
    <w:p w14:paraId="6DD5EB7B" w14:textId="6019D366" w:rsidR="004545F2" w:rsidRPr="005865AE" w:rsidRDefault="005420D1" w:rsidP="00D82D77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b/>
          <w:i/>
          <w:color w:val="000000" w:themeColor="text1"/>
        </w:rPr>
      </w:pPr>
      <w:r w:rsidRPr="005865AE">
        <w:rPr>
          <w:rFonts w:cs="Calibri"/>
          <w:b/>
          <w:i/>
          <w:color w:val="000000" w:themeColor="text1"/>
        </w:rPr>
        <w:t xml:space="preserve">For questions related to mapping the LOINC/SNOMED codes, please contact </w:t>
      </w:r>
      <w:hyperlink r:id="rId14" w:history="1">
        <w:r w:rsidRPr="005865AE">
          <w:rPr>
            <w:rStyle w:val="Hyperlink"/>
            <w:rFonts w:cs="Calibri"/>
            <w:b/>
            <w:i/>
          </w:rPr>
          <w:t>informatics.support@aphl.org</w:t>
        </w:r>
      </w:hyperlink>
      <w:r w:rsidRPr="005865AE">
        <w:rPr>
          <w:rFonts w:cs="Calibri"/>
          <w:b/>
          <w:i/>
          <w:color w:val="000000" w:themeColor="text1"/>
        </w:rPr>
        <w:t>.</w:t>
      </w:r>
    </w:p>
    <w:p w14:paraId="59CFCF23" w14:textId="144A5ED0" w:rsidR="00D82D77" w:rsidRDefault="00D82D77" w:rsidP="00D82D77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b/>
          <w:color w:val="000000" w:themeColor="text1"/>
        </w:rPr>
      </w:pPr>
    </w:p>
    <w:p w14:paraId="04241706" w14:textId="77777777" w:rsidR="00D82D77" w:rsidRDefault="00D82D77" w:rsidP="00D82D77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b/>
          <w:color w:val="000000" w:themeColor="text1"/>
        </w:rPr>
      </w:pPr>
    </w:p>
    <w:p w14:paraId="1B6E1561" w14:textId="3D16C98D" w:rsidR="004E082D" w:rsidRDefault="00502851" w:rsidP="00D82D7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b/>
          <w:color w:val="000000" w:themeColor="text1"/>
        </w:rPr>
      </w:pPr>
      <w:r>
        <w:rPr>
          <w:rFonts w:cs="Calibri"/>
          <w:b/>
          <w:color w:val="000000" w:themeColor="text1"/>
        </w:rPr>
        <w:t xml:space="preserve">CDC Guidance on Inactivation of Primary Clinical Specimens </w:t>
      </w:r>
      <w:r w:rsidR="00AC1504">
        <w:rPr>
          <w:rFonts w:cs="Calibri"/>
          <w:b/>
          <w:color w:val="000000" w:themeColor="text1"/>
        </w:rPr>
        <w:t>in BSL-2 or BSL-3</w:t>
      </w:r>
      <w:r>
        <w:rPr>
          <w:rFonts w:cs="Calibri"/>
          <w:b/>
          <w:color w:val="000000" w:themeColor="text1"/>
        </w:rPr>
        <w:t xml:space="preserve"> Conditions </w:t>
      </w:r>
    </w:p>
    <w:p w14:paraId="09ACFD76" w14:textId="14751DC1" w:rsidR="00502851" w:rsidRDefault="00502851" w:rsidP="00502851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 w:themeColor="text1"/>
        </w:rPr>
      </w:pPr>
    </w:p>
    <w:p w14:paraId="1B6E1565" w14:textId="2721A2AF" w:rsidR="004E082D" w:rsidRDefault="004545F2" w:rsidP="00502851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 xml:space="preserve">Per the CDC, </w:t>
      </w:r>
      <w:r w:rsidR="00502851">
        <w:rPr>
          <w:rFonts w:cs="Calibri"/>
          <w:color w:val="000000" w:themeColor="text1"/>
        </w:rPr>
        <w:t xml:space="preserve">primary clinical specimens should be inactivated according to PHL’s existing SOPs, assuming those SOPs have off-board lysis. This off-board lysis </w:t>
      </w:r>
      <w:proofErr w:type="gramStart"/>
      <w:r w:rsidR="00502851">
        <w:rPr>
          <w:rFonts w:cs="Calibri"/>
          <w:color w:val="000000" w:themeColor="text1"/>
        </w:rPr>
        <w:t>should be conducted</w:t>
      </w:r>
      <w:proofErr w:type="gramEnd"/>
      <w:r w:rsidR="00502851">
        <w:rPr>
          <w:rFonts w:cs="Calibri"/>
          <w:color w:val="000000" w:themeColor="text1"/>
        </w:rPr>
        <w:t xml:space="preserve"> in a biosafety cabinet under appropriate laborato</w:t>
      </w:r>
      <w:r w:rsidR="005865AE">
        <w:rPr>
          <w:rFonts w:cs="Calibri"/>
          <w:color w:val="000000" w:themeColor="text1"/>
        </w:rPr>
        <w:t>ry conditions, depending on you</w:t>
      </w:r>
      <w:r w:rsidR="00502851">
        <w:rPr>
          <w:rFonts w:cs="Calibri"/>
          <w:color w:val="000000" w:themeColor="text1"/>
        </w:rPr>
        <w:t xml:space="preserve">r Institutional Biosafety Committee guidelines and on the BMBL Version 5. Furthermore, laboratories should acknowledge that the lysis buffer </w:t>
      </w:r>
      <w:proofErr w:type="gramStart"/>
      <w:r w:rsidR="00502851">
        <w:rPr>
          <w:rFonts w:cs="Calibri"/>
          <w:color w:val="000000" w:themeColor="text1"/>
        </w:rPr>
        <w:t>being used</w:t>
      </w:r>
      <w:proofErr w:type="gramEnd"/>
      <w:r w:rsidR="00502851">
        <w:rPr>
          <w:rFonts w:cs="Calibri"/>
          <w:color w:val="000000" w:themeColor="text1"/>
        </w:rPr>
        <w:t xml:space="preserve"> inactivates influenza virus within an appropriate timeframe (e.g., the </w:t>
      </w:r>
      <w:proofErr w:type="spellStart"/>
      <w:r w:rsidR="00502851">
        <w:rPr>
          <w:rFonts w:cs="Calibri"/>
          <w:color w:val="000000" w:themeColor="text1"/>
        </w:rPr>
        <w:t>Qiagen</w:t>
      </w:r>
      <w:proofErr w:type="spellEnd"/>
      <w:r w:rsidR="00502851">
        <w:rPr>
          <w:rFonts w:cs="Calibri"/>
          <w:color w:val="000000" w:themeColor="text1"/>
        </w:rPr>
        <w:t xml:space="preserve"> EZ1 DSP virus kit AVL lysis buffer inactivates influenza virus after ten minutes). </w:t>
      </w:r>
    </w:p>
    <w:p w14:paraId="5428239C" w14:textId="77777777" w:rsidR="00502851" w:rsidRPr="00502851" w:rsidRDefault="00502851" w:rsidP="00502851">
      <w:pPr>
        <w:autoSpaceDE w:val="0"/>
        <w:autoSpaceDN w:val="0"/>
        <w:adjustRightInd w:val="0"/>
        <w:spacing w:after="0" w:line="240" w:lineRule="auto"/>
        <w:ind w:left="360"/>
        <w:rPr>
          <w:rFonts w:cs="Calibri"/>
          <w:color w:val="000000" w:themeColor="text1"/>
        </w:rPr>
      </w:pPr>
    </w:p>
    <w:p w14:paraId="2A4814E8" w14:textId="4CD03A4B" w:rsidR="004545F2" w:rsidRDefault="00502851" w:rsidP="00D82D77">
      <w:pPr>
        <w:spacing w:after="0"/>
        <w:ind w:left="360"/>
        <w:rPr>
          <w:rFonts w:cs="Calibri"/>
          <w:b/>
          <w:color w:val="000000" w:themeColor="text1"/>
        </w:rPr>
      </w:pPr>
      <w:r w:rsidRPr="005865AE">
        <w:rPr>
          <w:rFonts w:cs="Calibri"/>
          <w:b/>
          <w:i/>
          <w:color w:val="000000" w:themeColor="text1"/>
        </w:rPr>
        <w:t xml:space="preserve">For questions regarding guidance on inactivation of primary clinical specimens in BSL3 conditions, please contact </w:t>
      </w:r>
      <w:hyperlink r:id="rId15" w:history="1">
        <w:r w:rsidRPr="005865AE">
          <w:rPr>
            <w:rStyle w:val="Hyperlink"/>
            <w:rFonts w:cs="Calibri"/>
            <w:b/>
            <w:i/>
          </w:rPr>
          <w:t>flusupport@cdc.gov</w:t>
        </w:r>
      </w:hyperlink>
      <w:r>
        <w:rPr>
          <w:rFonts w:cs="Calibri"/>
          <w:b/>
          <w:color w:val="000000" w:themeColor="text1"/>
        </w:rPr>
        <w:t>.</w:t>
      </w:r>
    </w:p>
    <w:p w14:paraId="6B591AB2" w14:textId="54621B7E" w:rsidR="00D82D77" w:rsidRDefault="00D82D77" w:rsidP="00D82D77">
      <w:pPr>
        <w:spacing w:after="0"/>
        <w:ind w:left="360"/>
        <w:rPr>
          <w:rFonts w:cs="Calibri"/>
          <w:b/>
          <w:color w:val="000000" w:themeColor="text1"/>
        </w:rPr>
      </w:pPr>
    </w:p>
    <w:p w14:paraId="52C5A24A" w14:textId="77777777" w:rsidR="00D82D77" w:rsidRDefault="00D82D77" w:rsidP="00D82D77">
      <w:pPr>
        <w:spacing w:after="0"/>
        <w:ind w:left="360"/>
        <w:rPr>
          <w:rFonts w:cs="Calibri"/>
          <w:b/>
          <w:color w:val="000000" w:themeColor="text1"/>
        </w:rPr>
      </w:pPr>
    </w:p>
    <w:p w14:paraId="2FABB36B" w14:textId="7AC82D09" w:rsidR="00502851" w:rsidRDefault="004545F2" w:rsidP="004545F2">
      <w:pPr>
        <w:pStyle w:val="ListParagraph"/>
        <w:numPr>
          <w:ilvl w:val="0"/>
          <w:numId w:val="3"/>
        </w:numPr>
        <w:spacing w:after="0"/>
        <w:rPr>
          <w:rFonts w:cs="Calibri"/>
          <w:b/>
          <w:color w:val="000000" w:themeColor="text1"/>
        </w:rPr>
      </w:pPr>
      <w:r w:rsidRPr="004545F2">
        <w:rPr>
          <w:rFonts w:cs="Calibri"/>
          <w:b/>
          <w:color w:val="000000" w:themeColor="text1"/>
        </w:rPr>
        <w:t xml:space="preserve">CDC Guidance on Reserving Aliquots </w:t>
      </w:r>
      <w:r>
        <w:rPr>
          <w:rFonts w:cs="Calibri"/>
          <w:b/>
          <w:color w:val="000000" w:themeColor="text1"/>
        </w:rPr>
        <w:t xml:space="preserve">to send to NIRCs </w:t>
      </w:r>
    </w:p>
    <w:p w14:paraId="5E0320E9" w14:textId="61A0B07A" w:rsidR="004545F2" w:rsidRDefault="004545F2" w:rsidP="004545F2">
      <w:pPr>
        <w:spacing w:after="0"/>
        <w:rPr>
          <w:rFonts w:cs="Calibri"/>
          <w:b/>
          <w:color w:val="000000" w:themeColor="text1"/>
        </w:rPr>
      </w:pPr>
    </w:p>
    <w:p w14:paraId="6C9F31ED" w14:textId="6BAB400A" w:rsidR="004545F2" w:rsidRDefault="004545F2" w:rsidP="004545F2">
      <w:pPr>
        <w:spacing w:after="0"/>
        <w:ind w:left="360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 xml:space="preserve">Per the CDC, laboratories should reserve an intact aliquot to send to their designated National Influenza Reference Center (NIRC). Laboratories should send the remainder of the specimen with a minimum of ~200 </w:t>
      </w:r>
      <w:proofErr w:type="spellStart"/>
      <w:r>
        <w:rPr>
          <w:rFonts w:cs="Calibri"/>
          <w:color w:val="000000" w:themeColor="text1"/>
        </w:rPr>
        <w:t>uL</w:t>
      </w:r>
      <w:proofErr w:type="spellEnd"/>
      <w:proofErr w:type="gramStart"/>
      <w:r>
        <w:rPr>
          <w:rFonts w:cs="Calibri"/>
          <w:color w:val="000000" w:themeColor="text1"/>
        </w:rPr>
        <w:t>;</w:t>
      </w:r>
      <w:proofErr w:type="gramEnd"/>
      <w:r>
        <w:rPr>
          <w:rFonts w:cs="Calibri"/>
          <w:color w:val="000000" w:themeColor="text1"/>
        </w:rPr>
        <w:t xml:space="preserve"> if there is less than ~200 </w:t>
      </w:r>
      <w:proofErr w:type="spellStart"/>
      <w:r>
        <w:rPr>
          <w:rFonts w:cs="Calibri"/>
          <w:color w:val="000000" w:themeColor="text1"/>
        </w:rPr>
        <w:t>uL</w:t>
      </w:r>
      <w:proofErr w:type="spellEnd"/>
      <w:r>
        <w:rPr>
          <w:rFonts w:cs="Calibri"/>
          <w:color w:val="000000" w:themeColor="text1"/>
        </w:rPr>
        <w:t xml:space="preserve">, laboratories should not send the aliquot. Aliquots may or </w:t>
      </w:r>
      <w:proofErr w:type="gramStart"/>
      <w:r>
        <w:rPr>
          <w:rFonts w:cs="Calibri"/>
          <w:color w:val="000000" w:themeColor="text1"/>
        </w:rPr>
        <w:t>may not be propagated</w:t>
      </w:r>
      <w:proofErr w:type="gramEnd"/>
      <w:r>
        <w:rPr>
          <w:rFonts w:cs="Calibri"/>
          <w:color w:val="000000" w:themeColor="text1"/>
        </w:rPr>
        <w:t xml:space="preserve"> at the NIRCs, but will be used for NGS purposes. </w:t>
      </w:r>
    </w:p>
    <w:p w14:paraId="23C4C11C" w14:textId="7FA12787" w:rsidR="00786B36" w:rsidRDefault="00786B36" w:rsidP="004545F2">
      <w:pPr>
        <w:spacing w:after="0"/>
        <w:ind w:left="360"/>
        <w:rPr>
          <w:rFonts w:cs="Calibri"/>
          <w:color w:val="000000" w:themeColor="text1"/>
        </w:rPr>
      </w:pPr>
    </w:p>
    <w:p w14:paraId="2D516FCE" w14:textId="1C5291E4" w:rsidR="00786B36" w:rsidRPr="005865AE" w:rsidRDefault="00786B36" w:rsidP="00786B36">
      <w:pPr>
        <w:spacing w:after="0"/>
        <w:ind w:left="360"/>
        <w:rPr>
          <w:rFonts w:cs="Calibri"/>
          <w:b/>
          <w:i/>
          <w:color w:val="000000" w:themeColor="text1"/>
        </w:rPr>
      </w:pPr>
      <w:r w:rsidRPr="005865AE">
        <w:rPr>
          <w:rFonts w:cs="Calibri"/>
          <w:b/>
          <w:i/>
          <w:color w:val="000000" w:themeColor="text1"/>
        </w:rPr>
        <w:t xml:space="preserve">For questions regarding guidance on reserving aliquots, please contact </w:t>
      </w:r>
      <w:hyperlink r:id="rId16" w:history="1">
        <w:r w:rsidRPr="005865AE">
          <w:rPr>
            <w:rStyle w:val="Hyperlink"/>
            <w:rFonts w:cs="Calibri"/>
            <w:b/>
            <w:i/>
          </w:rPr>
          <w:t>flusupport@cdc.gov</w:t>
        </w:r>
      </w:hyperlink>
      <w:r w:rsidRPr="005865AE">
        <w:rPr>
          <w:rFonts w:cs="Calibri"/>
          <w:b/>
          <w:i/>
          <w:color w:val="000000" w:themeColor="text1"/>
        </w:rPr>
        <w:t>.</w:t>
      </w:r>
    </w:p>
    <w:p w14:paraId="50644779" w14:textId="0B4B5AEE" w:rsidR="00786B36" w:rsidRDefault="00786B36" w:rsidP="00786B36">
      <w:pPr>
        <w:spacing w:after="0"/>
        <w:rPr>
          <w:rFonts w:cs="Calibri"/>
          <w:color w:val="000000" w:themeColor="text1"/>
        </w:rPr>
      </w:pPr>
    </w:p>
    <w:p w14:paraId="64EC22E4" w14:textId="52037B24" w:rsidR="00786B36" w:rsidRDefault="00786B36" w:rsidP="00786B36">
      <w:pPr>
        <w:spacing w:after="0"/>
        <w:rPr>
          <w:rFonts w:cs="Calibri"/>
          <w:color w:val="000000" w:themeColor="text1"/>
        </w:rPr>
      </w:pPr>
    </w:p>
    <w:p w14:paraId="6A97E6A6" w14:textId="0B0AB506" w:rsidR="00786B36" w:rsidRPr="00786B36" w:rsidRDefault="00786B36" w:rsidP="00786B36">
      <w:pPr>
        <w:pStyle w:val="ListParagraph"/>
        <w:numPr>
          <w:ilvl w:val="0"/>
          <w:numId w:val="3"/>
        </w:numPr>
        <w:spacing w:after="0"/>
        <w:rPr>
          <w:rFonts w:cs="Calibri"/>
          <w:b/>
          <w:color w:val="000000" w:themeColor="text1"/>
        </w:rPr>
      </w:pPr>
      <w:r w:rsidRPr="00786B36">
        <w:rPr>
          <w:rFonts w:cs="Calibri"/>
          <w:b/>
          <w:color w:val="000000" w:themeColor="text1"/>
        </w:rPr>
        <w:t xml:space="preserve">CDC Guidance on Testing Algorithm for PCR Diagnostic Testing with the CDC Assay </w:t>
      </w:r>
    </w:p>
    <w:p w14:paraId="34CF5AE2" w14:textId="11DE5051" w:rsidR="00786B36" w:rsidRDefault="00786B36" w:rsidP="00786B36">
      <w:pPr>
        <w:pStyle w:val="ListParagraph"/>
        <w:spacing w:after="0"/>
        <w:ind w:left="360"/>
        <w:rPr>
          <w:rFonts w:cs="Calibri"/>
          <w:color w:val="000000" w:themeColor="text1"/>
        </w:rPr>
      </w:pPr>
    </w:p>
    <w:p w14:paraId="15C66495" w14:textId="63033E64" w:rsidR="00946D51" w:rsidRPr="00946D51" w:rsidRDefault="00786B36" w:rsidP="00946D51">
      <w:pPr>
        <w:pStyle w:val="ListParagraph"/>
        <w:spacing w:after="0"/>
        <w:ind w:left="360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 xml:space="preserve">CDC and APHL have received multiple reports of PHLs being overwhelmed with testing volumes. In response, CDC has issued guidance on a more efficient algorithm for PCR diagnostic testing with the CDC assay: PHLs may test for influenza </w:t>
      </w:r>
      <w:proofErr w:type="gramStart"/>
      <w:r>
        <w:rPr>
          <w:rFonts w:cs="Calibri"/>
          <w:color w:val="000000" w:themeColor="text1"/>
        </w:rPr>
        <w:t>A(</w:t>
      </w:r>
      <w:proofErr w:type="gramEnd"/>
      <w:r>
        <w:rPr>
          <w:rFonts w:cs="Calibri"/>
          <w:color w:val="000000" w:themeColor="text1"/>
        </w:rPr>
        <w:t xml:space="preserve">H7N9) first. If the specimen is A/H7 negative, the laboratory should test for seasonal viruses. Further guidance </w:t>
      </w:r>
      <w:proofErr w:type="gramStart"/>
      <w:r>
        <w:rPr>
          <w:rFonts w:cs="Calibri"/>
          <w:color w:val="000000" w:themeColor="text1"/>
        </w:rPr>
        <w:t>is expected</w:t>
      </w:r>
      <w:proofErr w:type="gramEnd"/>
      <w:r>
        <w:rPr>
          <w:rFonts w:cs="Calibri"/>
          <w:color w:val="000000" w:themeColor="text1"/>
        </w:rPr>
        <w:t xml:space="preserve"> soon. </w:t>
      </w:r>
    </w:p>
    <w:p w14:paraId="55EDD51A" w14:textId="77777777" w:rsidR="00946D51" w:rsidRDefault="00946D51" w:rsidP="005865AE">
      <w:pPr>
        <w:spacing w:after="0"/>
        <w:ind w:left="360"/>
        <w:rPr>
          <w:rFonts w:cs="Calibri"/>
          <w:b/>
          <w:i/>
          <w:color w:val="000000" w:themeColor="text1"/>
        </w:rPr>
      </w:pPr>
    </w:p>
    <w:p w14:paraId="0CA559D4" w14:textId="46B62D1F" w:rsidR="00D82D77" w:rsidRPr="005865AE" w:rsidRDefault="00786B36" w:rsidP="005865AE">
      <w:pPr>
        <w:spacing w:after="0"/>
        <w:ind w:left="360"/>
        <w:rPr>
          <w:rFonts w:cs="Calibri"/>
          <w:b/>
          <w:i/>
          <w:color w:val="000000" w:themeColor="text1"/>
        </w:rPr>
      </w:pPr>
      <w:r w:rsidRPr="005865AE">
        <w:rPr>
          <w:rFonts w:cs="Calibri"/>
          <w:b/>
          <w:i/>
          <w:color w:val="000000" w:themeColor="text1"/>
        </w:rPr>
        <w:t xml:space="preserve">For questions regarding guidance on the testing algorithm for PCR diagnostic testing with the CDC assay, please contact </w:t>
      </w:r>
      <w:hyperlink r:id="rId17" w:history="1">
        <w:r w:rsidRPr="005865AE">
          <w:rPr>
            <w:rStyle w:val="Hyperlink"/>
            <w:rFonts w:cs="Calibri"/>
            <w:b/>
            <w:i/>
          </w:rPr>
          <w:t>flusupport@cdc.gov</w:t>
        </w:r>
      </w:hyperlink>
      <w:r w:rsidRPr="005865AE">
        <w:rPr>
          <w:rFonts w:cs="Calibri"/>
          <w:b/>
          <w:i/>
          <w:color w:val="000000" w:themeColor="text1"/>
        </w:rPr>
        <w:t>.</w:t>
      </w:r>
    </w:p>
    <w:p w14:paraId="3B46D838" w14:textId="77777777" w:rsidR="005865AE" w:rsidRDefault="005865AE" w:rsidP="005865AE">
      <w:pPr>
        <w:spacing w:after="0"/>
        <w:ind w:left="360"/>
        <w:rPr>
          <w:rFonts w:cs="Calibri"/>
          <w:b/>
          <w:color w:val="000000" w:themeColor="text1"/>
        </w:rPr>
      </w:pPr>
    </w:p>
    <w:p w14:paraId="68807205" w14:textId="0BC29C8E" w:rsidR="008343C3" w:rsidRDefault="008343C3" w:rsidP="00D82D77">
      <w:pPr>
        <w:pStyle w:val="ListParagraph"/>
        <w:numPr>
          <w:ilvl w:val="0"/>
          <w:numId w:val="3"/>
        </w:numPr>
        <w:spacing w:after="0"/>
        <w:rPr>
          <w:rFonts w:cs="Calibri"/>
          <w:b/>
          <w:color w:val="000000" w:themeColor="text1"/>
        </w:rPr>
      </w:pPr>
      <w:r>
        <w:rPr>
          <w:rFonts w:cs="Calibri"/>
          <w:b/>
          <w:color w:val="000000" w:themeColor="text1"/>
        </w:rPr>
        <w:t xml:space="preserve">Update on FedEx Shipping of H7N9 Positive Samples </w:t>
      </w:r>
    </w:p>
    <w:p w14:paraId="602981CA" w14:textId="77777777" w:rsidR="005E0CD2" w:rsidRDefault="008343C3" w:rsidP="008343C3">
      <w:pPr>
        <w:spacing w:after="0"/>
        <w:ind w:left="360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 xml:space="preserve">In response to issues reported with FedEx shipments </w:t>
      </w:r>
      <w:proofErr w:type="gramStart"/>
      <w:r>
        <w:rPr>
          <w:rFonts w:cs="Calibri"/>
          <w:color w:val="000000" w:themeColor="text1"/>
        </w:rPr>
        <w:t>being refused</w:t>
      </w:r>
      <w:proofErr w:type="gramEnd"/>
      <w:r>
        <w:rPr>
          <w:rFonts w:cs="Calibri"/>
          <w:color w:val="000000" w:themeColor="text1"/>
        </w:rPr>
        <w:t xml:space="preserve"> from laboratories with H7N9 positive samples, CDC has clarified that these are typical diagnostic specimens that </w:t>
      </w:r>
      <w:r w:rsidR="00946D51">
        <w:rPr>
          <w:rFonts w:cs="Calibri"/>
          <w:color w:val="000000" w:themeColor="text1"/>
        </w:rPr>
        <w:t>are certified to ship</w:t>
      </w:r>
      <w:r>
        <w:rPr>
          <w:rFonts w:cs="Calibri"/>
          <w:color w:val="000000" w:themeColor="text1"/>
        </w:rPr>
        <w:t xml:space="preserve"> under curren</w:t>
      </w:r>
      <w:r w:rsidR="00946D51">
        <w:rPr>
          <w:rFonts w:cs="Calibri"/>
          <w:color w:val="000000" w:themeColor="text1"/>
        </w:rPr>
        <w:t>t IATA guidelines. APHL has</w:t>
      </w:r>
      <w:r>
        <w:rPr>
          <w:rFonts w:cs="Calibri"/>
          <w:color w:val="000000" w:themeColor="text1"/>
        </w:rPr>
        <w:t xml:space="preserve"> since spoken with FedEx headquarters to clarify these circumstances; they </w:t>
      </w:r>
      <w:r w:rsidR="005E0CD2">
        <w:rPr>
          <w:rFonts w:cs="Calibri"/>
          <w:color w:val="000000" w:themeColor="text1"/>
        </w:rPr>
        <w:t xml:space="preserve">have confirmed that FedEx WILL allow shipping of these specimens and </w:t>
      </w:r>
      <w:r w:rsidR="00946D51">
        <w:rPr>
          <w:rFonts w:cs="Calibri"/>
          <w:color w:val="000000" w:themeColor="text1"/>
        </w:rPr>
        <w:t xml:space="preserve">are in the process of issuing a clarification to their national staff, and APHL will continue to be in contact to ensure further issues do not arise. </w:t>
      </w:r>
      <w:r w:rsidR="00946D51" w:rsidRPr="00675807">
        <w:rPr>
          <w:rFonts w:cs="Calibri"/>
          <w:b/>
          <w:color w:val="000000" w:themeColor="text1"/>
        </w:rPr>
        <w:t xml:space="preserve">If your laboratory experiences any issues with shipping H7N9 specimens, please contact </w:t>
      </w:r>
      <w:hyperlink r:id="rId18" w:history="1">
        <w:r w:rsidR="00946D51" w:rsidRPr="00675807">
          <w:rPr>
            <w:rStyle w:val="Hyperlink"/>
            <w:rFonts w:cs="Calibri"/>
            <w:b/>
          </w:rPr>
          <w:t>flusupport@cdc.gov</w:t>
        </w:r>
      </w:hyperlink>
      <w:r w:rsidR="00946D51" w:rsidRPr="00675807">
        <w:rPr>
          <w:rFonts w:cs="Calibri"/>
          <w:b/>
          <w:color w:val="000000" w:themeColor="text1"/>
        </w:rPr>
        <w:t xml:space="preserve"> immediately</w:t>
      </w:r>
      <w:r w:rsidR="00946D51">
        <w:rPr>
          <w:rFonts w:cs="Calibri"/>
          <w:color w:val="000000" w:themeColor="text1"/>
        </w:rPr>
        <w:t xml:space="preserve">. </w:t>
      </w:r>
    </w:p>
    <w:p w14:paraId="461B5223" w14:textId="77777777" w:rsidR="005E0CD2" w:rsidRDefault="005E0CD2" w:rsidP="008343C3">
      <w:pPr>
        <w:spacing w:after="0"/>
        <w:ind w:left="360"/>
        <w:rPr>
          <w:rFonts w:cs="Calibri"/>
          <w:color w:val="000000" w:themeColor="text1"/>
        </w:rPr>
      </w:pPr>
    </w:p>
    <w:p w14:paraId="43FCBA51" w14:textId="3365091C" w:rsidR="008343C3" w:rsidRDefault="005E0CD2" w:rsidP="008343C3">
      <w:pPr>
        <w:spacing w:after="0"/>
        <w:ind w:left="360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 xml:space="preserve">In the meantime, please refer to </w:t>
      </w:r>
      <w:hyperlink r:id="rId19" w:history="1">
        <w:r w:rsidRPr="005E0CD2">
          <w:rPr>
            <w:rStyle w:val="Hyperlink"/>
            <w:rFonts w:cs="Calibri"/>
          </w:rPr>
          <w:t>CDC’s online packaging and shipping training</w:t>
        </w:r>
      </w:hyperlink>
      <w:r>
        <w:rPr>
          <w:rFonts w:cs="Calibri"/>
          <w:color w:val="000000" w:themeColor="text1"/>
        </w:rPr>
        <w:t xml:space="preserve">; we encourage you to push this out to your clinical laboratory partners as well and to request funding for just-in-time packaging and shipping workshops to increase the number of IATA certified shippers at your laboratory. </w:t>
      </w:r>
    </w:p>
    <w:p w14:paraId="05A3A71B" w14:textId="724E6C74" w:rsidR="00946D51" w:rsidRDefault="00946D51" w:rsidP="008343C3">
      <w:pPr>
        <w:spacing w:after="0"/>
        <w:ind w:left="360"/>
        <w:rPr>
          <w:rFonts w:cs="Calibri"/>
          <w:color w:val="000000" w:themeColor="text1"/>
        </w:rPr>
      </w:pPr>
    </w:p>
    <w:p w14:paraId="45A3A071" w14:textId="77777777" w:rsidR="00946D51" w:rsidRPr="008343C3" w:rsidRDefault="00946D51" w:rsidP="008343C3">
      <w:pPr>
        <w:spacing w:after="0"/>
        <w:ind w:left="360"/>
        <w:rPr>
          <w:rFonts w:cs="Calibri"/>
          <w:color w:val="000000" w:themeColor="text1"/>
        </w:rPr>
      </w:pPr>
    </w:p>
    <w:p w14:paraId="4FCBA470" w14:textId="32CC73BA" w:rsidR="00D82D77" w:rsidRDefault="00D82D77" w:rsidP="00D82D77">
      <w:pPr>
        <w:pStyle w:val="ListParagraph"/>
        <w:numPr>
          <w:ilvl w:val="0"/>
          <w:numId w:val="3"/>
        </w:numPr>
        <w:spacing w:after="0"/>
        <w:rPr>
          <w:rFonts w:cs="Calibri"/>
          <w:b/>
          <w:color w:val="000000" w:themeColor="text1"/>
        </w:rPr>
      </w:pPr>
      <w:r>
        <w:rPr>
          <w:rFonts w:cs="Calibri"/>
          <w:b/>
          <w:color w:val="000000" w:themeColor="text1"/>
        </w:rPr>
        <w:t>APHL-CDC All-Laboratory Call Scheduled for Monday, September 17, 2018 at 1:00 PM EST</w:t>
      </w:r>
    </w:p>
    <w:p w14:paraId="71973155" w14:textId="504C70C1" w:rsidR="00D82D77" w:rsidRDefault="00D82D77" w:rsidP="00D82D77">
      <w:pPr>
        <w:pStyle w:val="ListParagraph"/>
        <w:spacing w:after="0"/>
        <w:ind w:left="360"/>
        <w:rPr>
          <w:rFonts w:cs="Calibri"/>
          <w:b/>
          <w:color w:val="000000" w:themeColor="text1"/>
        </w:rPr>
      </w:pPr>
    </w:p>
    <w:p w14:paraId="1F8E8517" w14:textId="7206D994" w:rsidR="00D82D77" w:rsidRDefault="005E0CD2" w:rsidP="00D82D77">
      <w:pPr>
        <w:pStyle w:val="ListParagraph"/>
        <w:spacing w:after="0"/>
        <w:ind w:left="360"/>
        <w:rPr>
          <w:rFonts w:cs="Calibri"/>
          <w:color w:val="000000" w:themeColor="text1"/>
        </w:rPr>
      </w:pPr>
      <w:proofErr w:type="gramStart"/>
      <w:r>
        <w:rPr>
          <w:rFonts w:cs="Calibri"/>
          <w:color w:val="000000" w:themeColor="text1"/>
        </w:rPr>
        <w:t>In order to</w:t>
      </w:r>
      <w:r w:rsidR="00D82D77">
        <w:rPr>
          <w:rFonts w:cs="Calibri"/>
          <w:color w:val="000000" w:themeColor="text1"/>
        </w:rPr>
        <w:t xml:space="preserve"> provide further details and clarification on the aforementioned points and to provide a forum for all laboratories to ask pertinent laboratory-related </w:t>
      </w:r>
      <w:r w:rsidR="005865AE">
        <w:rPr>
          <w:rFonts w:cs="Calibri"/>
          <w:color w:val="000000" w:themeColor="text1"/>
        </w:rPr>
        <w:t>questions</w:t>
      </w:r>
      <w:r w:rsidR="00D82D77">
        <w:rPr>
          <w:rFonts w:cs="Calibri"/>
          <w:color w:val="000000" w:themeColor="text1"/>
        </w:rPr>
        <w:t xml:space="preserve"> in the context of the ongoing influenza A(H7N9) pandemic, APHL and CDC will be hosting a joint call for all PHLs on Monday, September 17, 2018 at 1:00 PM EST (</w:t>
      </w:r>
      <w:r w:rsidR="00AC1504">
        <w:rPr>
          <w:rFonts w:cs="Calibri"/>
          <w:color w:val="000000" w:themeColor="text1"/>
        </w:rPr>
        <w:t xml:space="preserve">invite, agenda, &amp; </w:t>
      </w:r>
      <w:r w:rsidR="00D82D77">
        <w:rPr>
          <w:rFonts w:cs="Calibri"/>
          <w:color w:val="000000" w:themeColor="text1"/>
        </w:rPr>
        <w:t>call in details forthcoming).</w:t>
      </w:r>
      <w:proofErr w:type="gramEnd"/>
      <w:r w:rsidR="00D82D77">
        <w:rPr>
          <w:rFonts w:cs="Calibri"/>
          <w:color w:val="000000" w:themeColor="text1"/>
        </w:rPr>
        <w:t xml:space="preserve"> We will have representatives from both APHL and CDC available to provide updates and to field questions. </w:t>
      </w:r>
    </w:p>
    <w:p w14:paraId="619E94B5" w14:textId="1BBBC430" w:rsidR="00D82D77" w:rsidRDefault="00D82D77" w:rsidP="00D82D77">
      <w:pPr>
        <w:pStyle w:val="ListParagraph"/>
        <w:spacing w:after="0"/>
        <w:ind w:left="360"/>
        <w:rPr>
          <w:rFonts w:cs="Calibri"/>
          <w:color w:val="000000" w:themeColor="text1"/>
        </w:rPr>
      </w:pPr>
    </w:p>
    <w:p w14:paraId="0BD20799" w14:textId="6A117C79" w:rsidR="00D82D77" w:rsidRPr="005865AE" w:rsidRDefault="00D82D77" w:rsidP="00D82D77">
      <w:pPr>
        <w:spacing w:after="0"/>
        <w:ind w:left="360"/>
        <w:rPr>
          <w:rFonts w:cs="Calibri"/>
          <w:b/>
          <w:i/>
          <w:color w:val="000000" w:themeColor="text1"/>
        </w:rPr>
      </w:pPr>
      <w:r w:rsidRPr="005865AE">
        <w:rPr>
          <w:rFonts w:cs="Calibri"/>
          <w:b/>
          <w:i/>
          <w:color w:val="000000" w:themeColor="text1"/>
        </w:rPr>
        <w:t xml:space="preserve">For questions regarding </w:t>
      </w:r>
      <w:r w:rsidR="005865AE" w:rsidRPr="005865AE">
        <w:rPr>
          <w:rFonts w:cs="Calibri"/>
          <w:b/>
          <w:i/>
          <w:color w:val="000000" w:themeColor="text1"/>
        </w:rPr>
        <w:t>this all-laboratory call</w:t>
      </w:r>
      <w:r w:rsidRPr="005865AE">
        <w:rPr>
          <w:rFonts w:cs="Calibri"/>
          <w:b/>
          <w:i/>
          <w:color w:val="000000" w:themeColor="text1"/>
        </w:rPr>
        <w:t xml:space="preserve">, please contact </w:t>
      </w:r>
      <w:r w:rsidR="005865AE" w:rsidRPr="005865AE">
        <w:rPr>
          <w:rFonts w:cs="Calibri"/>
          <w:b/>
          <w:i/>
        </w:rPr>
        <w:t>fluquestions@aphl</w:t>
      </w:r>
      <w:r w:rsidRPr="005865AE">
        <w:rPr>
          <w:rFonts w:cs="Calibri"/>
          <w:b/>
          <w:i/>
          <w:color w:val="000000" w:themeColor="text1"/>
        </w:rPr>
        <w:t>.</w:t>
      </w:r>
      <w:r w:rsidR="005865AE" w:rsidRPr="005865AE">
        <w:rPr>
          <w:rFonts w:cs="Calibri"/>
          <w:b/>
          <w:i/>
          <w:color w:val="000000" w:themeColor="text1"/>
        </w:rPr>
        <w:t>org.</w:t>
      </w:r>
    </w:p>
    <w:p w14:paraId="0D623683" w14:textId="77777777" w:rsidR="00D82D77" w:rsidRPr="00D82D77" w:rsidRDefault="00D82D77" w:rsidP="00D82D77">
      <w:pPr>
        <w:pStyle w:val="ListParagraph"/>
        <w:spacing w:after="0"/>
        <w:ind w:left="360"/>
        <w:rPr>
          <w:rFonts w:cs="Calibri"/>
          <w:color w:val="000000" w:themeColor="text1"/>
        </w:rPr>
      </w:pPr>
    </w:p>
    <w:p w14:paraId="7B5C6613" w14:textId="5FCC8ED0" w:rsidR="00786B36" w:rsidRDefault="00786B36" w:rsidP="00786B36">
      <w:pPr>
        <w:pStyle w:val="ListParagraph"/>
        <w:spacing w:after="0"/>
        <w:ind w:left="360"/>
        <w:rPr>
          <w:rFonts w:cs="Calibri"/>
          <w:color w:val="000000" w:themeColor="text1"/>
        </w:rPr>
      </w:pPr>
    </w:p>
    <w:p w14:paraId="0391DCE1" w14:textId="0DD35831" w:rsidR="00786B36" w:rsidRPr="00786B36" w:rsidRDefault="00786B36" w:rsidP="00786B36">
      <w:pPr>
        <w:pStyle w:val="ListParagraph"/>
        <w:spacing w:after="0"/>
        <w:ind w:left="360"/>
        <w:rPr>
          <w:rFonts w:cs="Calibri"/>
          <w:color w:val="000000" w:themeColor="text1"/>
        </w:rPr>
      </w:pPr>
    </w:p>
    <w:p w14:paraId="1B6E1567" w14:textId="50D6C0A8" w:rsidR="004E082D" w:rsidRPr="005420D1" w:rsidRDefault="004E082D" w:rsidP="005420D1">
      <w:pPr>
        <w:jc w:val="center"/>
        <w:rPr>
          <w:rFonts w:ascii="Arial Black" w:hAnsi="Arial Black"/>
          <w:sz w:val="36"/>
          <w:szCs w:val="36"/>
        </w:rPr>
      </w:pPr>
      <w:r w:rsidRPr="001E5E5E">
        <w:rPr>
          <w:rFonts w:ascii="Arial Black" w:hAnsi="Arial Black"/>
          <w:sz w:val="36"/>
          <w:szCs w:val="36"/>
        </w:rPr>
        <w:t xml:space="preserve">EXERCISE </w:t>
      </w:r>
      <w:proofErr w:type="spellStart"/>
      <w:r w:rsidRPr="001E5E5E">
        <w:rPr>
          <w:rFonts w:ascii="Arial Black" w:hAnsi="Arial Black"/>
          <w:sz w:val="36"/>
          <w:szCs w:val="36"/>
        </w:rPr>
        <w:t>EXERCISE</w:t>
      </w:r>
      <w:proofErr w:type="spellEnd"/>
      <w:r w:rsidRPr="001E5E5E">
        <w:rPr>
          <w:rFonts w:ascii="Arial Black" w:hAnsi="Arial Black"/>
          <w:sz w:val="36"/>
          <w:szCs w:val="36"/>
        </w:rPr>
        <w:t xml:space="preserve"> </w:t>
      </w:r>
      <w:proofErr w:type="spellStart"/>
      <w:r w:rsidRPr="001E5E5E">
        <w:rPr>
          <w:rFonts w:ascii="Arial Black" w:hAnsi="Arial Black"/>
          <w:sz w:val="36"/>
          <w:szCs w:val="36"/>
        </w:rPr>
        <w:t>EXERCISE</w:t>
      </w:r>
      <w:proofErr w:type="spellEnd"/>
    </w:p>
    <w:sectPr w:rsidR="004E082D" w:rsidRPr="005420D1" w:rsidSect="00080FBE">
      <w:headerReference w:type="even" r:id="rId20"/>
      <w:headerReference w:type="default" r:id="rId21"/>
      <w:head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D0BC1" w14:textId="77777777" w:rsidR="00586B88" w:rsidRDefault="00586B88" w:rsidP="001E5E5E">
      <w:pPr>
        <w:spacing w:after="0" w:line="240" w:lineRule="auto"/>
      </w:pPr>
      <w:r>
        <w:separator/>
      </w:r>
    </w:p>
  </w:endnote>
  <w:endnote w:type="continuationSeparator" w:id="0">
    <w:p w14:paraId="75697A43" w14:textId="77777777" w:rsidR="00586B88" w:rsidRDefault="00586B88" w:rsidP="001E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8836F" w14:textId="77777777" w:rsidR="00586B88" w:rsidRDefault="00586B88" w:rsidP="001E5E5E">
      <w:pPr>
        <w:spacing w:after="0" w:line="240" w:lineRule="auto"/>
      </w:pPr>
      <w:r>
        <w:separator/>
      </w:r>
    </w:p>
  </w:footnote>
  <w:footnote w:type="continuationSeparator" w:id="0">
    <w:p w14:paraId="42406C8A" w14:textId="77777777" w:rsidR="00586B88" w:rsidRDefault="00586B88" w:rsidP="001E5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E156D" w14:textId="77777777" w:rsidR="001E5E5E" w:rsidRDefault="00586B88">
    <w:pPr>
      <w:pStyle w:val="Header"/>
    </w:pPr>
    <w:r>
      <w:rPr>
        <w:noProof/>
      </w:rPr>
      <w:pict w14:anchorId="1B6E15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2469" o:spid="_x0000_s2050" type="#_x0000_t136" style="position:absolute;margin-left:0;margin-top:0;width:479.85pt;height:179.95pt;rotation:315;z-index:-251654144;mso-position-horizontal:center;mso-position-horizontal-relative:margin;mso-position-vertical:center;mso-position-vertical-relative:margin" o:allowincell="f" fillcolor="silver" stroked="f">
          <v:textpath style="font-family:&quot;Calibri&quot;;font-size:1pt" string="EXERCIS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E156E" w14:textId="77777777" w:rsidR="001E5E5E" w:rsidRDefault="00586B88">
    <w:pPr>
      <w:pStyle w:val="Header"/>
    </w:pPr>
    <w:r>
      <w:rPr>
        <w:noProof/>
      </w:rPr>
      <w:pict w14:anchorId="1B6E15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2470" o:spid="_x0000_s2051" type="#_x0000_t136" style="position:absolute;margin-left:0;margin-top:0;width:479.85pt;height:179.95pt;rotation:315;z-index:-251652096;mso-position-horizontal:center;mso-position-horizontal-relative:margin;mso-position-vertical:center;mso-position-vertical-relative:margin" o:allowincell="f" fillcolor="silver" stroked="f">
          <v:textpath style="font-family:&quot;Calibri&quot;;font-size:1pt" string="EXERCIS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E156F" w14:textId="77777777" w:rsidR="001E5E5E" w:rsidRDefault="00586B88">
    <w:pPr>
      <w:pStyle w:val="Header"/>
    </w:pPr>
    <w:r>
      <w:rPr>
        <w:noProof/>
      </w:rPr>
      <w:pict w14:anchorId="1B6E157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2468" o:spid="_x0000_s2049" type="#_x0000_t136" style="position:absolute;margin-left:0;margin-top:0;width:479.85pt;height:179.95pt;rotation:315;z-index:-251656192;mso-position-horizontal:center;mso-position-horizontal-relative:margin;mso-position-vertical:center;mso-position-vertical-relative:margin" o:allowincell="f" fillcolor="silver" stroked="f">
          <v:textpath style="font-family:&quot;Calibri&quot;;font-size:1pt" string="EXERCIS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7CA7"/>
    <w:multiLevelType w:val="hybridMultilevel"/>
    <w:tmpl w:val="6C4066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272EFB"/>
    <w:multiLevelType w:val="hybridMultilevel"/>
    <w:tmpl w:val="786C2FEE"/>
    <w:lvl w:ilvl="0" w:tplc="99BE9CF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79ED39BE"/>
    <w:multiLevelType w:val="hybridMultilevel"/>
    <w:tmpl w:val="A4DE6C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5"/>
  <w:drawingGridVerticalSpacing w:val="187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E5E"/>
    <w:rsid w:val="00032F19"/>
    <w:rsid w:val="00073AEC"/>
    <w:rsid w:val="00080FBE"/>
    <w:rsid w:val="00082063"/>
    <w:rsid w:val="00085B0F"/>
    <w:rsid w:val="00097DDE"/>
    <w:rsid w:val="000A135B"/>
    <w:rsid w:val="000A5542"/>
    <w:rsid w:val="000D625E"/>
    <w:rsid w:val="000E6964"/>
    <w:rsid w:val="0016673D"/>
    <w:rsid w:val="00181FA1"/>
    <w:rsid w:val="001938C8"/>
    <w:rsid w:val="00196731"/>
    <w:rsid w:val="001A4185"/>
    <w:rsid w:val="001C0E85"/>
    <w:rsid w:val="001D3191"/>
    <w:rsid w:val="001E5C1D"/>
    <w:rsid w:val="001E5E5E"/>
    <w:rsid w:val="00201B7D"/>
    <w:rsid w:val="0021048A"/>
    <w:rsid w:val="0021280C"/>
    <w:rsid w:val="00214F07"/>
    <w:rsid w:val="00237B84"/>
    <w:rsid w:val="002571F4"/>
    <w:rsid w:val="00272FF6"/>
    <w:rsid w:val="00292EA2"/>
    <w:rsid w:val="002D018C"/>
    <w:rsid w:val="00343494"/>
    <w:rsid w:val="003455D1"/>
    <w:rsid w:val="00347149"/>
    <w:rsid w:val="00355850"/>
    <w:rsid w:val="003D6B98"/>
    <w:rsid w:val="003E3450"/>
    <w:rsid w:val="00410709"/>
    <w:rsid w:val="00424436"/>
    <w:rsid w:val="004545F2"/>
    <w:rsid w:val="004659FA"/>
    <w:rsid w:val="004A1B14"/>
    <w:rsid w:val="004A2554"/>
    <w:rsid w:val="004A4D9C"/>
    <w:rsid w:val="004D1A5B"/>
    <w:rsid w:val="004E082D"/>
    <w:rsid w:val="00502851"/>
    <w:rsid w:val="00506603"/>
    <w:rsid w:val="005215C2"/>
    <w:rsid w:val="0053683B"/>
    <w:rsid w:val="005420D1"/>
    <w:rsid w:val="00572BD3"/>
    <w:rsid w:val="00573591"/>
    <w:rsid w:val="005865AE"/>
    <w:rsid w:val="00586B88"/>
    <w:rsid w:val="0058727C"/>
    <w:rsid w:val="005A49B1"/>
    <w:rsid w:val="005D13F3"/>
    <w:rsid w:val="005E0CD2"/>
    <w:rsid w:val="00605F54"/>
    <w:rsid w:val="006100C6"/>
    <w:rsid w:val="006134A1"/>
    <w:rsid w:val="006323EF"/>
    <w:rsid w:val="00634734"/>
    <w:rsid w:val="00640A0E"/>
    <w:rsid w:val="0064145C"/>
    <w:rsid w:val="00653E5D"/>
    <w:rsid w:val="00662C44"/>
    <w:rsid w:val="00666559"/>
    <w:rsid w:val="006743CC"/>
    <w:rsid w:val="00675807"/>
    <w:rsid w:val="00685834"/>
    <w:rsid w:val="006B1626"/>
    <w:rsid w:val="006C604F"/>
    <w:rsid w:val="006D3FA7"/>
    <w:rsid w:val="006D60B7"/>
    <w:rsid w:val="006E0277"/>
    <w:rsid w:val="006F76E9"/>
    <w:rsid w:val="00701BB7"/>
    <w:rsid w:val="007058BB"/>
    <w:rsid w:val="00721525"/>
    <w:rsid w:val="007233B7"/>
    <w:rsid w:val="00723CD1"/>
    <w:rsid w:val="00730CA3"/>
    <w:rsid w:val="007422AA"/>
    <w:rsid w:val="00744BF4"/>
    <w:rsid w:val="0074697B"/>
    <w:rsid w:val="007469D0"/>
    <w:rsid w:val="0075231D"/>
    <w:rsid w:val="00754086"/>
    <w:rsid w:val="00760CF7"/>
    <w:rsid w:val="00786B36"/>
    <w:rsid w:val="007B1BD9"/>
    <w:rsid w:val="007B1E4B"/>
    <w:rsid w:val="007C1098"/>
    <w:rsid w:val="007D2D73"/>
    <w:rsid w:val="007D442A"/>
    <w:rsid w:val="007E6322"/>
    <w:rsid w:val="007F7CB6"/>
    <w:rsid w:val="00817807"/>
    <w:rsid w:val="0082629A"/>
    <w:rsid w:val="00832A47"/>
    <w:rsid w:val="008343C3"/>
    <w:rsid w:val="0084056D"/>
    <w:rsid w:val="00841317"/>
    <w:rsid w:val="00870DAC"/>
    <w:rsid w:val="00883F56"/>
    <w:rsid w:val="00884916"/>
    <w:rsid w:val="00884F38"/>
    <w:rsid w:val="00892A81"/>
    <w:rsid w:val="00894E7C"/>
    <w:rsid w:val="008B5A91"/>
    <w:rsid w:val="008D1EE5"/>
    <w:rsid w:val="008E649A"/>
    <w:rsid w:val="008E7B71"/>
    <w:rsid w:val="00917648"/>
    <w:rsid w:val="0093479E"/>
    <w:rsid w:val="00946D51"/>
    <w:rsid w:val="00957D7C"/>
    <w:rsid w:val="00972587"/>
    <w:rsid w:val="009969D0"/>
    <w:rsid w:val="009F3104"/>
    <w:rsid w:val="009F715E"/>
    <w:rsid w:val="00A11A25"/>
    <w:rsid w:val="00A11B7E"/>
    <w:rsid w:val="00A20745"/>
    <w:rsid w:val="00A739F5"/>
    <w:rsid w:val="00A877A0"/>
    <w:rsid w:val="00AA6B5B"/>
    <w:rsid w:val="00AB272C"/>
    <w:rsid w:val="00AC1504"/>
    <w:rsid w:val="00AD1D19"/>
    <w:rsid w:val="00AD461D"/>
    <w:rsid w:val="00AE6190"/>
    <w:rsid w:val="00AF0BBF"/>
    <w:rsid w:val="00AF634B"/>
    <w:rsid w:val="00B54D24"/>
    <w:rsid w:val="00B62FDE"/>
    <w:rsid w:val="00B75305"/>
    <w:rsid w:val="00BA009F"/>
    <w:rsid w:val="00BB13BE"/>
    <w:rsid w:val="00BC142E"/>
    <w:rsid w:val="00BD62FA"/>
    <w:rsid w:val="00BE760D"/>
    <w:rsid w:val="00BF7D0F"/>
    <w:rsid w:val="00C01184"/>
    <w:rsid w:val="00C124E5"/>
    <w:rsid w:val="00C66405"/>
    <w:rsid w:val="00C67A93"/>
    <w:rsid w:val="00C9158E"/>
    <w:rsid w:val="00CB1AFD"/>
    <w:rsid w:val="00CF5D67"/>
    <w:rsid w:val="00D04608"/>
    <w:rsid w:val="00D22FDB"/>
    <w:rsid w:val="00D4776A"/>
    <w:rsid w:val="00D56DBA"/>
    <w:rsid w:val="00D65610"/>
    <w:rsid w:val="00D82D77"/>
    <w:rsid w:val="00DA1F17"/>
    <w:rsid w:val="00DB03B5"/>
    <w:rsid w:val="00DF3A66"/>
    <w:rsid w:val="00DF683C"/>
    <w:rsid w:val="00E0372B"/>
    <w:rsid w:val="00E205FC"/>
    <w:rsid w:val="00E246CB"/>
    <w:rsid w:val="00E5021E"/>
    <w:rsid w:val="00E61E0C"/>
    <w:rsid w:val="00E634B2"/>
    <w:rsid w:val="00E66A66"/>
    <w:rsid w:val="00EC134D"/>
    <w:rsid w:val="00ED303E"/>
    <w:rsid w:val="00EE290D"/>
    <w:rsid w:val="00EE56DB"/>
    <w:rsid w:val="00EF464D"/>
    <w:rsid w:val="00F35FC9"/>
    <w:rsid w:val="00FC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B6E155A"/>
  <w15:docId w15:val="{55BD1499-8892-45EF-8D25-C90B97CD9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F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5E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E5E5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E5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E5E"/>
  </w:style>
  <w:style w:type="paragraph" w:styleId="Footer">
    <w:name w:val="footer"/>
    <w:basedOn w:val="Normal"/>
    <w:link w:val="FooterChar"/>
    <w:uiPriority w:val="99"/>
    <w:semiHidden/>
    <w:unhideWhenUsed/>
    <w:rsid w:val="001E5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5E5E"/>
  </w:style>
  <w:style w:type="paragraph" w:styleId="ListParagraph">
    <w:name w:val="List Paragraph"/>
    <w:basedOn w:val="Normal"/>
    <w:uiPriority w:val="34"/>
    <w:qFormat/>
    <w:rsid w:val="00542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6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rmatics.support@aphl.org" TargetMode="External"/><Relationship Id="rId18" Type="http://schemas.openxmlformats.org/officeDocument/2006/relationships/hyperlink" Target="mailto:flusupport@cdc.gov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flusupport@cdc.gov" TargetMode="External"/><Relationship Id="rId17" Type="http://schemas.openxmlformats.org/officeDocument/2006/relationships/hyperlink" Target="mailto:flusupport@cdc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flusupport@cdc.gov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lusupport@cdc.gov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flusupport@cdc.gov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cdc.gov/labtraining/training-courses/packing-shipping-division-6.2-materials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rmatics.support@aphl.org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Type xmlns="b221bda3-c221-4706-9eda-a1054e73b11d" xsi:nil="true"/>
    <Year xmlns="b221bda3-c221-4706-9eda-a1054e73b11d">2012</Year>
    <Description xmlns="5af08be3-da31-4ed0-bd15-c2f68cc29029" xsi:nil="true"/>
    <DocType xmlns="b221bda3-c221-4706-9eda-a1054e73b11d">Influenza News</DocType>
    <_dlc_DocId xmlns="5af08be3-da31-4ed0-bd15-c2f68cc29029">Q77AU6S3KYZS-2709-3</_dlc_DocId>
    <_dlc_DocIdUrl xmlns="5af08be3-da31-4ed0-bd15-c2f68cc29029">
      <Url>https://www.aphlweb.org/aphl_departments/Operations/EOC/_layouts/DocIdRedir.aspx?ID=Q77AU6S3KYZS-2709-3</Url>
      <Description>Q77AU6S3KYZS-2709-3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954F6A50D784D911B251FB5D08079" ma:contentTypeVersion="3" ma:contentTypeDescription="Create a new document." ma:contentTypeScope="" ma:versionID="b3b2b04f20357b6a9ba9d1fb47e58dc7">
  <xsd:schema xmlns:xsd="http://www.w3.org/2001/XMLSchema" xmlns:xs="http://www.w3.org/2001/XMLSchema" xmlns:p="http://schemas.microsoft.com/office/2006/metadata/properties" xmlns:ns2="5af08be3-da31-4ed0-bd15-c2f68cc29029" xmlns:ns3="b221bda3-c221-4706-9eda-a1054e73b11d" targetNamespace="http://schemas.microsoft.com/office/2006/metadata/properties" ma:root="true" ma:fieldsID="999da97c670bb0c41d7d084be63296d9" ns2:_="" ns3:_="">
    <xsd:import namespace="5af08be3-da31-4ed0-bd15-c2f68cc29029"/>
    <xsd:import namespace="b221bda3-c221-4706-9eda-a1054e73b11d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  <xsd:element ref="ns3:DocType" minOccurs="0"/>
                <xsd:element ref="ns3:SubType" minOccurs="0"/>
                <xsd:element ref="ns3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1bda3-c221-4706-9eda-a1054e73b11d" elementFormDefault="qualified">
    <xsd:import namespace="http://schemas.microsoft.com/office/2006/documentManagement/types"/>
    <xsd:import namespace="http://schemas.microsoft.com/office/infopath/2007/PartnerControls"/>
    <xsd:element name="DocType" ma:index="12" nillable="true" ma:displayName="DocType" ma:internalName="DocType">
      <xsd:simpleType>
        <xsd:restriction base="dms:Text">
          <xsd:maxLength value="255"/>
        </xsd:restriction>
      </xsd:simpleType>
    </xsd:element>
    <xsd:element name="SubType" ma:index="13" nillable="true" ma:displayName="SubType" ma:internalName="SubType">
      <xsd:simpleType>
        <xsd:restriction base="dms:Text">
          <xsd:maxLength value="255"/>
        </xsd:restriction>
      </xsd:simpleType>
    </xsd:element>
    <xsd:element name="Year" ma:index="14" nillable="true" ma:displayName="Year" ma:internalName="Ye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669913-F1E1-4129-AE7D-4EBFF4C3C5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7C77AE-B8E2-4053-BB86-389E71515502}">
  <ds:schemaRefs>
    <ds:schemaRef ds:uri="http://schemas.microsoft.com/office/2006/metadata/properties"/>
    <ds:schemaRef ds:uri="http://schemas.microsoft.com/office/infopath/2007/PartnerControls"/>
    <ds:schemaRef ds:uri="b221bda3-c221-4706-9eda-a1054e73b11d"/>
    <ds:schemaRef ds:uri="5af08be3-da31-4ed0-bd15-c2f68cc29029"/>
  </ds:schemaRefs>
</ds:datastoreItem>
</file>

<file path=customXml/itemProps3.xml><?xml version="1.0" encoding="utf-8"?>
<ds:datastoreItem xmlns:ds="http://schemas.openxmlformats.org/officeDocument/2006/customXml" ds:itemID="{88093FFA-4EFB-4996-9284-64EADD5630E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F49F52F-ACE4-4188-BB99-0ECB9DB19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08be3-da31-4ed0-bd15-c2f68cc29029"/>
    <ds:schemaRef ds:uri="b221bda3-c221-4706-9eda-a1054e73b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EXERCISE Influenza News 1</vt:lpstr>
    </vt:vector>
  </TitlesOfParts>
  <Company/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Influenza News 1</dc:title>
  <dc:creator>stephanie.chester</dc:creator>
  <cp:lastModifiedBy>Tate, Anna | APHL</cp:lastModifiedBy>
  <cp:revision>22</cp:revision>
  <dcterms:created xsi:type="dcterms:W3CDTF">2018-09-13T13:31:00Z</dcterms:created>
  <dcterms:modified xsi:type="dcterms:W3CDTF">2018-09-14T17:34:00Z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0x010100578954F6A50D784D911B251FB5D08079</vt:lpwstr>
  </property>
  <property fmtid="{D5CDD505-2E9C-101B-9397-08002B2CF9AE}" pid="3" name="_dlc_DocIdItemGuid">
    <vt:lpwstr>50e702b4-aeed-4342-b31a-fd09c9110195</vt:lpwstr>
  </property>
  <property fmtid="{D5CDD505-2E9C-101B-9397-08002B2CF9AE}" pid="4" name="vti_description">
    <vt:lpwstr>&lt;div&gt;&lt;/div&gt;</vt:lpwstr>
  </property>
</Properties>
</file>