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EFA7C61" w14:textId="77777777" w:rsidR="007B2CA3" w:rsidRDefault="00B327FC">
      <w:pPr>
        <w:contextualSpacing w:val="0"/>
      </w:pPr>
      <w:r>
        <w:t>Draft to the group: December 7</w:t>
      </w:r>
    </w:p>
    <w:p w14:paraId="7A82694E" w14:textId="77777777" w:rsidR="007B2CA3" w:rsidRDefault="00B327FC">
      <w:pPr>
        <w:contextualSpacing w:val="0"/>
      </w:pPr>
      <w:r>
        <w:t>Comment on others’ sections: December 14</w:t>
      </w:r>
    </w:p>
    <w:p w14:paraId="780ECDE4" w14:textId="77777777" w:rsidR="007B2CA3" w:rsidRDefault="007B2CA3">
      <w:pPr>
        <w:contextualSpacing w:val="0"/>
        <w:rPr>
          <w:b/>
        </w:rPr>
      </w:pPr>
    </w:p>
    <w:p w14:paraId="6AFDAE12" w14:textId="360B67CA" w:rsidR="007B2CA3" w:rsidRDefault="00B327FC">
      <w:pPr>
        <w:contextualSpacing w:val="0"/>
      </w:pPr>
      <w:r>
        <w:rPr>
          <w:b/>
        </w:rPr>
        <w:t>Title: Changes to Public Health Reporting and National Notification for Spotted Fever Rickettsiosis (including Rocky Mountain spotted fever</w:t>
      </w:r>
      <w:r w:rsidR="00A53216">
        <w:rPr>
          <w:b/>
        </w:rPr>
        <w:t xml:space="preserve">) </w:t>
      </w:r>
      <w:r>
        <w:br/>
      </w:r>
      <w:r>
        <w:br/>
      </w:r>
      <w:r>
        <w:rPr>
          <w:b/>
          <w:u w:val="single"/>
        </w:rPr>
        <w:t>I. Statement of the Problem</w:t>
      </w:r>
      <w:r>
        <w:br/>
      </w:r>
      <w:r>
        <w:rPr>
          <w:i/>
        </w:rPr>
        <w:t>Please limit text in this section to no more than 300 words. Supplemental information may be included in appendices if needed.</w:t>
      </w:r>
      <w:r>
        <w:br/>
        <w:t xml:space="preserve"> </w:t>
      </w:r>
      <w:r>
        <w:br/>
        <w:t xml:space="preserve">CSTE position statement 09-ID-16 developed a standardized reporting definition for spotted fever rickettsiosis (including Rocky Mountain spotted fever) to facilitate </w:t>
      </w:r>
      <w:r w:rsidR="003716E6">
        <w:t>timelier</w:t>
      </w:r>
      <w:r>
        <w:t>, complete, and standardized local and national reporting</w:t>
      </w:r>
      <w:r w:rsidRPr="001F4C73">
        <w:rPr>
          <w:rStyle w:val="FootnoteReference"/>
        </w:rPr>
        <w:footnoteReference w:id="1"/>
      </w:r>
      <w:r>
        <w:t xml:space="preserve">. Since then, flaws in the interpretations of laboratory tests (specifically single or low titers) used to identify cases have raised concerns regarding the accuracy of current surveillance numbers. </w:t>
      </w:r>
    </w:p>
    <w:p w14:paraId="210BC753" w14:textId="77777777" w:rsidR="007B2CA3" w:rsidRDefault="007B2CA3">
      <w:pPr>
        <w:contextualSpacing w:val="0"/>
      </w:pPr>
    </w:p>
    <w:p w14:paraId="5BEA8C73" w14:textId="77777777" w:rsidR="007B2CA3" w:rsidRDefault="00B327FC">
      <w:pPr>
        <w:contextualSpacing w:val="0"/>
      </w:pPr>
      <w:r>
        <w:t>Specifically, a positive IgM serology, which is accepted with the current case definition, has been regarded as insufficient to diagnose spotted fever rickettsioses due to the numerous other unrelated diseases with which the antibody titer cross-reacts</w:t>
      </w:r>
      <w:r w:rsidR="003716E6">
        <w:t xml:space="preserve"> </w:t>
      </w:r>
      <w:r w:rsidR="003716E6">
        <w:fldChar w:fldCharType="begin" w:fldLock="1"/>
      </w:r>
      <w:r w:rsidR="00A8090B">
        <w:instrText>ADDIN CSL_CITATION {"citationItems":[{"id":"ITEM-1","itemData":{"DOI":"10.4269/ajtmh.14-0123","ISSN":"00029637","PMID":"25092818","abstract":"Among 13 suspected Rocky Mountain spotted fever (RMSF) cases identified through an enhanced surveillance program in Tennessee, antibodies to Rickettsia rickettsii were detected in 10 (77%) patients using a standard indirect immunofluorescent antibody (IFA) assay. Immunoglobulin M (IgM) antibodies were observed for 6 of 13 patients (46%) without a corresponding development of IgG, and for 3 of 10 patients (30%) at least 1 year post-onset. However, recent infection with a spotted fever group rickettsiae could not be confirmed for any patient, based on a lack of rising antibody titers in properly timed acute and convalescent serologic specimens, and negative findings by polymerase chain reaction testing. Case definitions used in national surveillance programs lack specificity and may capture cases that do not represent current rickettsial infections. Use of IgM antibodies should be reconsidered as a basis for diagnosis and public health reporting of RMSF and other spotted fever group rickettsiae in the United States.","author":[{"dropping-particle":"","family":"McQuiston","given":"Jennifer H.","non-dropping-particle":"","parse-names":false,"suffix":""},{"dropping-particle":"","family":"Wiedeman","given":"Caleb","non-dropping-particle":"","parse-names":false,"suffix":""},{"dropping-particle":"","family":"Singleton","given":"Joseph","non-dropping-particle":"","parse-names":false,"suffix":""},{"dropping-particle":"","family":"Carpenter","given":"L. Rand","non-dropping-particle":"","parse-names":false,"suffix":""},{"dropping-particle":"","family":"McElroy","given":"Kristina","non-dropping-particle":"","parse-names":false,"suffix":""},{"dropping-particle":"","family":"Mosites","given":"Emily","non-dropping-particle":"","parse-names":false,"suffix":""},{"dropping-particle":"","family":"Chung","given":"Ida","non-dropping-particle":"","parse-names":false,"suffix":""},{"dropping-particle":"","family":"Kato","given":"Cecilia","non-dropping-particle":"","parse-names":false,"suffix":""},{"dropping-particle":"","family":"Morris","given":"Kevin","non-dropping-particle":"","parse-names":false,"suffix":""},{"dropping-particle":"","family":"Moncayo","given":"Abelardo C.","non-dropping-particle":"","parse-names":false,"suffix":""},{"dropping-particle":"","family":"Porter","given":"Susan","non-dropping-particle":"","parse-names":false,"suffix":""},{"dropping-particle":"","family":"Dunn","given":"John","non-dropping-particle":"","parse-names":false,"suffix":""}],"container-title":"American Journal of Tropical Medicine and Hygiene","id":"ITEM-1","issue":"4","issued":{"date-parts":[["2014"]]},"page":"767-770","title":"Inadequacy of IgM antibody tests for diagnosis of Rocky Mountain spotted fever","type":"article-journal","volume":"91"},"uris":["http://www.mendeley.com/documents/?uuid=83ed6bfd-1457-45b5-81b4-546b6244ecaa"]}],"mendeley":{"formattedCitation":"(McQuiston et al., 2014)","plainTextFormattedCitation":"(McQuiston et al., 2014)","previouslyFormattedCitation":"(McQuiston et al., 2014)"},"properties":{"noteIndex":0},"schema":"https://github.com/citation-style-language/schema/raw/master/csl-citation.json"}</w:instrText>
      </w:r>
      <w:r w:rsidR="003716E6">
        <w:fldChar w:fldCharType="separate"/>
      </w:r>
      <w:r w:rsidR="00A8090B" w:rsidRPr="00A8090B">
        <w:rPr>
          <w:noProof/>
        </w:rPr>
        <w:t>(McQuiston et al., 2014)</w:t>
      </w:r>
      <w:r w:rsidR="003716E6">
        <w:fldChar w:fldCharType="end"/>
      </w:r>
      <w:r>
        <w:t>. In addition, data suggest that the prevalence of antibodies reactive to SFGR in asymptomatic individuals may be more common than previously assumed and confounds the interpretation of single IgG antibody test results, which may reflect past exposures rather than active cases</w:t>
      </w:r>
      <w:r w:rsidR="003716E6">
        <w:t xml:space="preserve"> </w:t>
      </w:r>
      <w:r w:rsidR="003716E6">
        <w:fldChar w:fldCharType="begin" w:fldLock="1"/>
      </w:r>
      <w:r w:rsidR="00A8090B">
        <w:instrText>ADDIN CSL_CITATION {"citationItems":[{"id":"ITEM-1","itemData":{"author":[{"dropping-particle":"","family":"Marshall","given":"Gary S","non-dropping-particle":"","parse-names":false,"suffix":""},{"dropping-particle":"","family":"Stout","given":"Gordon G","non-dropping-particle":"","parse-names":false,"suffix":""},{"dropping-particle":"","family":"Jacobs","given":"Richard F","non-dropping-particle":"","parse-names":false,"suffix":""},{"dropping-particle":"","family":"Schutze","given":"Gordon E","non-dropping-particle":"","parse-names":false,"suffix":""},{"dropping-particle":"","family":"Paxton","given":"Helene","non-dropping-particle":"","parse-names":false,"suffix":""},{"dropping-particle":"","family":"Buckingham","given":"Steven C","non-dropping-particle":"","parse-names":false,"suffix":""},{"dropping-particle":"","family":"Devincenzo","given":"John P","non-dropping-particle":"","parse-names":false,"suffix":""},{"dropping-particle":"","family":"Jackson","given":"Mary Anne","non-dropping-particle":"","parse-names":false,"suffix":""},{"dropping-particle":"","family":"Joaquin","given":"Venusto H San","non-dropping-particle":"","parse-names":false,"suffix":""}],"container-title":"Archives of Pediatrics","id":"ITEM-1","issue":"May","issued":{"date-parts":[["2003"]]},"page":"443-448","title":"Antibodies Reactive to Rickettsia rickettsii Among Children Living in the Southeast and South Central Regions of the United States","type":"article-journal","volume":"157"},"uris":["http://www.mendeley.com/documents/?uuid=5b063299-c3fa-44c8-8ff9-03e702f572a1"]}],"mendeley":{"formattedCitation":"(Marshall et al., 2003)","plainTextFormattedCitation":"(Marshall et al., 2003)","previouslyFormattedCitation":"(Marshall et al., 2003)"},"properties":{"noteIndex":0},"schema":"https://github.com/citation-style-language/schema/raw/master/csl-citation.json"}</w:instrText>
      </w:r>
      <w:r w:rsidR="003716E6">
        <w:fldChar w:fldCharType="separate"/>
      </w:r>
      <w:r w:rsidR="00A8090B" w:rsidRPr="00A8090B">
        <w:rPr>
          <w:noProof/>
        </w:rPr>
        <w:t>(Marshall et al., 2003)</w:t>
      </w:r>
      <w:r w:rsidR="003716E6">
        <w:fldChar w:fldCharType="end"/>
      </w:r>
      <w:r>
        <w:t>. Finally, the cross-reactivity of multiple pathogenic and non-pathogenic rickettsia (</w:t>
      </w:r>
      <w:r>
        <w:rPr>
          <w:highlight w:val="yellow"/>
        </w:rPr>
        <w:t>such as XX)</w:t>
      </w:r>
      <w:r>
        <w:t xml:space="preserve"> and other bacteria with current tests adds additional uncertainty regarding the causative </w:t>
      </w:r>
      <w:proofErr w:type="spellStart"/>
      <w:r>
        <w:t>rickettsial</w:t>
      </w:r>
      <w:proofErr w:type="spellEnd"/>
      <w:r>
        <w:t xml:space="preserve"> agent of infection</w:t>
      </w:r>
      <w:r w:rsidR="003716E6">
        <w:t xml:space="preserve"> </w:t>
      </w:r>
      <w:r w:rsidR="003716E6">
        <w:fldChar w:fldCharType="begin" w:fldLock="1"/>
      </w:r>
      <w:r w:rsidR="00A8090B">
        <w:instrText>ADDIN CSL_CITATION {"citationItems":[{"id":"ITEM-1","itemData":{"DOI":"10.1128/JCM.01733-14","ISBN":"0095-1137","ISSN":"1098660X","PMID":"25187639","abstract":"Increasing entomologic and epidemiologic evidence suggests that spotted fever group rickettsiae (SFGR) other than Rickettsia rickettsii are responsible for spotted fever rickettsioses in the United States. A retrospective seroepidemiologic study was conducted on stored acute- and convalescent-phase sera that had been submitted for Rocky Mountain spotted fever testing to the North Carolina State Laboratory of Public Health. We evaluated the serologic reactivity of the paired sera to R. rickettsii, Rickettsia parkeri, and Rickettsia amblyommii antigens. Of the 106 eligible pairs tested, 21 patients seroconverted to one or more antigens. Cross-reactivity to multiple antigens was observed in 10 patients, and seroconversions to single antigens occurred in 11 patients, including 1 against R. rickettsii, 4 against R. parkeri, and 6 against R. amblyommii. Cross-absorption of cross-reactive sera and/or Western blots identified two presumptive cases of infection with R. parkeri, two presumptive cases of infection with R. rickettsii, and one presumptive case of infection with R. amblyommii. These findings suggest that species of SFGR other than R. rickettsii are associated with illness among North Carolina residents and that serologic testing using R. rickettsii antigen may miss cases of spotted fever rickettsioses caused by other species of SFGR.","author":[{"dropping-particle":"","family":"Vaughn","given":"Meagan F.","non-dropping-particle":"","parse-names":false,"suffix":""},{"dropping-particle":"","family":"Delisle","given":"Josie","non-dropping-particle":"","parse-names":false,"suffix":""},{"dropping-particle":"","family":"Johnson","given":"Joey","non-dropping-particle":"","parse-names":false,"suffix":""},{"dropping-particle":"","family":"Daves","given":"Gaylen","non-dropping-particle":"","parse-names":false,"suffix":""},{"dropping-particle":"","family":"Williams","given":"Carl","non-dropping-particle":"","parse-names":false,"suffix":""},{"dropping-particle":"","family":"Reber","given":"Jodi","non-dropping-particle":"","parse-names":false,"suffix":""},{"dropping-particle":"","family":"Mendell","given":"Nicole L.","non-dropping-particle":"","parse-names":false,"suffix":""},{"dropping-particle":"","family":"Bouyer","given":"Donald H.","non-dropping-particle":"","parse-names":false,"suffix":""},{"dropping-particle":"","family":"Nicholson","given":"William L.","non-dropping-particle":"","parse-names":false,"suffix":""},{"dropping-particle":"","family":"Moncayo","given":"Abelardo C.","non-dropping-particle":"","parse-names":false,"suffix":""},{"dropping-particle":"","family":"Meshnick","given":"Steven R.","non-dropping-particle":"","parse-names":false,"suffix":""}],"container-title":"Journal of Clinical Microbiology","id":"ITEM-1","issue":"11","issued":{"date-parts":[["2014"]]},"page":"3960-3966","title":"Seroepidemiologic study of human infections with spotted fever group rickettsiae in North Carolina","type":"article-journal","volume":"52"},"uris":["http://www.mendeley.com/documents/?uuid=68ae2871-d71c-4e19-bfb9-796f2da443b4"]},{"id":"ITEM-2","itemData":{"DOI":"10.4269/ajtmh.15-0372","ISSN":"0002-9637","author":[{"dropping-particle":"","family":"Moncayo","given":"Abelardo C.","non-dropping-particle":"","parse-names":false,"suffix":""},{"dropping-particle":"","family":"Bouyer","given":"Donald H.","non-dropping-particle":"","parse-names":false,"suffix":""},{"dropping-particle":"","family":"Mendell","given":"Nicole L.","non-dropping-particle":"","parse-names":false,"suffix":""},{"dropping-particle":"","family":"Delisle","given":"Josie","non-dropping-particle":"","parse-names":false,"suffix":""},{"dropping-particle":"","family":"Bloch","given":"Karen C.","non-dropping-particle":"","parse-names":false,"suffix":""},{"dropping-particle":"","family":"Stull-Lane","given":"Annica","non-dropping-particle":"","parse-names":false,"suffix":""}],"container-title":"The American Journal of Tropical Medicine and Hygiene","id":"ITEM-2","issued":{"date-parts":[["2016"]]},"title":"Human Infections by Multiple Spotted Fever Group Rickettsiae in Tennessee","type":"article-journal"},"uris":["http://www.mendeley.com/documents/?uuid=6b9a1290-ec22-37cb-ae04-ab7d9c36636a"]}],"mendeley":{"formattedCitation":"(Moncayo et al., 2016; Vaughn et al., 2014)","plainTextFormattedCitation":"(Moncayo et al., 2016; Vaughn et al., 2014)","previouslyFormattedCitation":"(Moncayo et al., 2016; Vaughn et al., 2014)"},"properties":{"noteIndex":0},"schema":"https://github.com/citation-style-language/schema/raw/master/csl-citation.json"}</w:instrText>
      </w:r>
      <w:r w:rsidR="003716E6">
        <w:fldChar w:fldCharType="separate"/>
      </w:r>
      <w:r w:rsidR="00A8090B" w:rsidRPr="00A8090B">
        <w:rPr>
          <w:noProof/>
        </w:rPr>
        <w:t>(Moncayo et al., 2016; Vaughn et al., 2014)</w:t>
      </w:r>
      <w:r w:rsidR="003716E6">
        <w:fldChar w:fldCharType="end"/>
      </w:r>
      <w:r>
        <w:t xml:space="preserve">. </w:t>
      </w:r>
    </w:p>
    <w:p w14:paraId="501AF4B0" w14:textId="77777777" w:rsidR="007B2CA3" w:rsidRDefault="007B2CA3">
      <w:pPr>
        <w:contextualSpacing w:val="0"/>
      </w:pPr>
    </w:p>
    <w:p w14:paraId="3529E6C5" w14:textId="77777777" w:rsidR="007B2CA3" w:rsidRDefault="00B327FC">
      <w:pPr>
        <w:contextualSpacing w:val="0"/>
      </w:pPr>
      <w:r>
        <w:t xml:space="preserve">Due to these widely accepted and recognized surveillance definition limitations, many states have already adopted modified case definitions within their jurisdiction to help focus investigations towards suspect patients that are more likely to be cases. </w:t>
      </w:r>
    </w:p>
    <w:p w14:paraId="2386DD73" w14:textId="77777777" w:rsidR="007B2CA3" w:rsidRDefault="007B2CA3">
      <w:pPr>
        <w:contextualSpacing w:val="0"/>
      </w:pPr>
    </w:p>
    <w:p w14:paraId="07EA3C01" w14:textId="2C569182" w:rsidR="007B2CA3" w:rsidRDefault="00A8090B">
      <w:pPr>
        <w:contextualSpacing w:val="0"/>
        <w:rPr>
          <w:color w:val="9900FF"/>
          <w:u w:val="single"/>
        </w:rPr>
      </w:pPr>
      <w:r>
        <w:t>Word Count: 2</w:t>
      </w:r>
      <w:r w:rsidR="00D766A0">
        <w:t>1</w:t>
      </w:r>
      <w:r w:rsidR="001D6A9A">
        <w:t>3</w:t>
      </w:r>
      <w:r w:rsidR="00B327FC">
        <w:t>/300</w:t>
      </w:r>
    </w:p>
    <w:p w14:paraId="400CA0D2" w14:textId="77777777" w:rsidR="007B2CA3" w:rsidRDefault="007B2CA3">
      <w:pPr>
        <w:contextualSpacing w:val="0"/>
      </w:pPr>
    </w:p>
    <w:p w14:paraId="3F826371" w14:textId="77777777" w:rsidR="007B2CA3" w:rsidRDefault="00B327FC">
      <w:pPr>
        <w:contextualSpacing w:val="0"/>
        <w:rPr>
          <w:b/>
          <w:u w:val="single"/>
        </w:rPr>
      </w:pPr>
      <w:r>
        <w:br w:type="page"/>
      </w:r>
    </w:p>
    <w:p w14:paraId="082DC703" w14:textId="77777777" w:rsidR="007B2CA3" w:rsidRDefault="00B327FC">
      <w:pPr>
        <w:contextualSpacing w:val="0"/>
        <w:rPr>
          <w:i/>
        </w:rPr>
      </w:pPr>
      <w:r>
        <w:rPr>
          <w:b/>
          <w:u w:val="single"/>
        </w:rPr>
        <w:lastRenderedPageBreak/>
        <w:t xml:space="preserve">II. </w:t>
      </w:r>
      <w:commentRangeStart w:id="0"/>
      <w:r>
        <w:rPr>
          <w:b/>
          <w:u w:val="single"/>
        </w:rPr>
        <w:t>Background and Justification</w:t>
      </w:r>
      <w:r>
        <w:br/>
      </w:r>
      <w:commentRangeEnd w:id="0"/>
      <w:r>
        <w:commentReference w:id="0"/>
      </w:r>
      <w:proofErr w:type="gramStart"/>
      <w:r>
        <w:rPr>
          <w:i/>
        </w:rPr>
        <w:t>Please</w:t>
      </w:r>
      <w:proofErr w:type="gramEnd"/>
      <w:r>
        <w:rPr>
          <w:i/>
        </w:rPr>
        <w:t xml:space="preserve"> limit text in this section to no more than 500 words. Supplemental information may be included in appendices if needed.</w:t>
      </w:r>
      <w:r>
        <w:br/>
        <w:t xml:space="preserve"> </w:t>
      </w:r>
      <w:r>
        <w:br/>
        <w:t>Spotted fever group rickettsioses (SFR) are a group of diseases caused by closely related bacteria in the spotted fever group</w:t>
      </w:r>
      <w:r>
        <w:rPr>
          <w:i/>
        </w:rPr>
        <w:t xml:space="preserve"> Rickettsia </w:t>
      </w:r>
      <w:r>
        <w:t xml:space="preserve">(SFGR) genus. These pathogens cause acute febrile illnesses, with headache, malaise, thrombocytopenia, rash, and occasionally eschars (dark necrotic scab at the site of tick or mite bite). Rocky Mountain spotted fever (RMSF), caused by </w:t>
      </w:r>
      <w:r>
        <w:rPr>
          <w:i/>
        </w:rPr>
        <w:t xml:space="preserve">Rickettsia rickettsii </w:t>
      </w:r>
      <w:r>
        <w:t xml:space="preserve">is well-recognized as the most prevalent and severe </w:t>
      </w:r>
      <w:proofErr w:type="spellStart"/>
      <w:r>
        <w:t>rickettsial</w:t>
      </w:r>
      <w:proofErr w:type="spellEnd"/>
      <w:r>
        <w:t xml:space="preserve"> illnesses</w:t>
      </w:r>
      <w:r w:rsidR="003716E6">
        <w:t xml:space="preserve"> </w:t>
      </w:r>
      <w:r w:rsidR="003716E6">
        <w:fldChar w:fldCharType="begin" w:fldLock="1"/>
      </w:r>
      <w:r w:rsidR="00A8090B">
        <w:instrText>ADDIN CSL_CITATION {"citationItems":[{"id":"ITEM-1","itemData":{"author":[{"dropping-particle":"","family":"Biggs","given":"Holly M","non-dropping-particle":"","parse-names":false,"suffix":""},{"dropping-particle":"","family":"Behravesh, Casey Barton Bradley","given":"Kristy K","non-dropping-particle":"","parse-names":false,"suffix":""},{"dropping-particle":"","family":"Dahlgren","given":"F Scott","non-dropping-particle":"","parse-names":false,"suffix":""},{"dropping-particle":"","family":"Drexler","given":"Naomi A","non-dropping-particle":"","parse-names":false,"suffix":""},{"dropping-particle":"","family":"Dumler","given":"J Stephen","non-dropping-particle":"","parse-names":false,"suffix":""},{"dropping-particle":"","family":"Folk","given":"Scott M","non-dropping-particle":"","parse-names":false,"suffix":""},{"dropping-particle":"","family":"Kato","given":"Cecilia Y","non-dropping-particle":"","parse-names":false,"suffix":""},{"dropping-particle":"","family":"Lash","given":"R Ryan","non-dropping-particle":"","parse-names":false,"suffix":""},{"dropping-particle":"","family":"Levin","given":"Michael L.","non-dropping-particle":"","parse-names":false,"suffix":""},{"dropping-particle":"","family":"Massung","given":"Robert F","non-dropping-particle":"","parse-names":false,"suffix":""},{"dropping-particle":"","family":"Nadelman","given":"Robert B","non-dropping-particle":"","parse-names":false,"suffix":""},{"dropping-particle":"","family":"Nicholson","given":"William L","non-dropping-particle":"","parse-names":false,"suffix":""},{"dropping-particle":"","family":"Paddock","given":"Christopher D","non-dropping-particle":"","parse-names":false,"suffix":""},{"dropping-particle":"","family":"Pritt","given":"Bobbi S","non-dropping-particle":"","parse-names":false,"suffix":""},{"dropping-particle":"","family":"Traeger","given":"Marc S","non-dropping-particle":"","parse-names":false,"suffix":""}],"container-title":"MMWR Recommendations and reports: Morbidity and mortality weekly report Recommendations and reports.","id":"ITEM-1","issue":"2","issued":{"date-parts":[["2016"]]},"page":"1-48","title":"Diagnosis and Management of Tickborne Rickettsial Diseases: Rocky Mountain Spotted Fever, Ehrlichioses, and Anaplasmosis --- United States","type":"article-journal","volume":"65"},"uris":["http://www.mendeley.com/documents/?uuid=4d5cdb87-4173-485e-bdbd-7bfde43f73d4"]}],"mendeley":{"formattedCitation":"(Biggs et al., 2016)","plainTextFormattedCitation":"(Biggs et al., 2016)","previouslyFormattedCitation":"(Biggs et al., 2016)"},"properties":{"noteIndex":0},"schema":"https://github.com/citation-style-language/schema/raw/master/csl-citation.json"}</w:instrText>
      </w:r>
      <w:r w:rsidR="003716E6">
        <w:fldChar w:fldCharType="separate"/>
      </w:r>
      <w:r w:rsidR="00A8090B" w:rsidRPr="00A8090B">
        <w:rPr>
          <w:noProof/>
        </w:rPr>
        <w:t>(Biggs et al., 2016)</w:t>
      </w:r>
      <w:r w:rsidR="003716E6">
        <w:fldChar w:fldCharType="end"/>
      </w:r>
      <w:r w:rsidR="00A8090B">
        <w:rPr>
          <w:vertAlign w:val="superscript"/>
        </w:rPr>
        <w:t xml:space="preserve"> </w:t>
      </w:r>
      <w:r w:rsidR="00A8090B">
        <w:rPr>
          <w:vertAlign w:val="superscript"/>
        </w:rPr>
        <w:fldChar w:fldCharType="begin" w:fldLock="1"/>
      </w:r>
      <w:r w:rsidR="00A8090B">
        <w:rPr>
          <w:vertAlign w:val="superscript"/>
        </w:rPr>
        <w:instrText>ADDIN CSL_CITATION {"citationItems":[{"id":"ITEM-1","itemData":{"DOI":"10.4269/ajtmh.15-0472","ISBN":"1476-1645 (Electronic)\\r0002-9637 (Linking)","ISSN":"00029637","PMID":"26324732","abstract":"Spotted fever group (SFG) rickettsioses are notifiable conditions in the United States caused by the highly pathogenic Rickettsia rickettsii and less pathogenic rickettsial species such as Rickettsia parkeri and Rickettsia sp. 364D. Surveillance data from 2008 to 2012 for SFG rickettsioses are summarized. Incidence increased from 1.7 cases per million person-years (PY) in 2000 to 14.3 cases per million PY in 2012. During 2008-2012, cases of SFG rickettsiosis were more frequently reported among males, persons of white race, and non-Hispanic ethnicity. Overall, case fatality rate (CFR) was low (0.4%), however, risk of death was significantly higher for American Indian/Alaska Natives (relative risk [RR] = 5.4) and Asian/Pacific Islanders (RR = 5.7) compared with persons of white race. Children aged &lt; 10 years continue to experience the highest CFR (1.6%). Higher incidence of SFG rickettsioses and decreased CFR likely result from increased reporting of tick-borne disease including those caused by less pathogenic species. Recently, fewer cases have been confirmed using species-specific laboratory methods (such as cell culture and DNA detection using polymerase chain reaction [PCR] assays), causing a clouded epidemiological picture. Use of PCR and improved documentation of clinical signs, such as eschars, will better differentiate risk factors, incidence, and clinical outcomes of specific rickettsioses in the future.","author":[{"dropping-particle":"","family":"Drexler","given":"Naomi A.","non-dropping-particle":"","parse-names":false,"suffix":""},{"dropping-particle":"","family":"Scott","given":"Dahlgren F.","non-dropping-particle":"","parse-names":false,"suffix":""},{"dropping-particle":"","family":"Heitman","given":"Kristen Nichols","non-dropping-particle":"","parse-names":false,"suffix":""},{"dropping-particle":"","family":"Massung","given":"Robert F.","non-dropping-particle":"","parse-names":false,"suffix":""},{"dropping-particle":"","family":"Paddock","given":"Christopher D.","non-dropping-particle":"","parse-names":false,"suffix":""},{"dropping-particle":"","family":"Behravesh","given":"Casey Barton","non-dropping-particle":"","parse-names":false,"suffix":""}],"container-title":"American Journal of Tropical Medicine and Hygiene","id":"ITEM-1","issue":"1","issued":{"date-parts":[["2016"]]},"page":"26-34","title":"National surveillance of spotted fever group rickettsioses in the United States, 2008-2012","type":"article-journal","volume":"94"},"uris":["http://www.mendeley.com/documents/?uuid=f34b3bfc-2c92-42c7-9079-cd98f6b6c08d"]}],"mendeley":{"formattedCitation":"(Drexler et al., 2016)","plainTextFormattedCitation":"(Drexler et al., 2016)","previouslyFormattedCitation":"(Drexler et al., 2016)"},"properties":{"noteIndex":0},"schema":"https://github.com/citation-style-language/schema/raw/master/csl-citation.json"}</w:instrText>
      </w:r>
      <w:r w:rsidR="00A8090B">
        <w:rPr>
          <w:vertAlign w:val="superscript"/>
        </w:rPr>
        <w:fldChar w:fldCharType="separate"/>
      </w:r>
      <w:r w:rsidR="00A8090B" w:rsidRPr="00A8090B">
        <w:rPr>
          <w:noProof/>
        </w:rPr>
        <w:t>(Drexler et al., 2016)</w:t>
      </w:r>
      <w:r w:rsidR="00A8090B">
        <w:rPr>
          <w:vertAlign w:val="superscript"/>
        </w:rPr>
        <w:fldChar w:fldCharType="end"/>
      </w:r>
      <w:r w:rsidR="00A8090B">
        <w:rPr>
          <w:vertAlign w:val="superscript"/>
        </w:rPr>
        <w:t xml:space="preserve"> </w:t>
      </w:r>
      <w:r w:rsidR="00A8090B">
        <w:rPr>
          <w:vertAlign w:val="superscript"/>
        </w:rPr>
        <w:fldChar w:fldCharType="begin" w:fldLock="1"/>
      </w:r>
      <w:r w:rsidR="00A8090B">
        <w:rPr>
          <w:vertAlign w:val="superscript"/>
        </w:rPr>
        <w:instrText>ADDIN CSL_CITATION {"citationItems":[{"id":"ITEM-1","itemData":{"author":[{"dropping-particle":"","family":"Raoult","given":"Didier","non-dropping-particle":"","parse-names":false,"suffix":""},{"dropping-particle":"","family":"Paddock","given":"Christopher","non-dropping-particle":"","parse-names":false,"suffix":""}],"container-title":"The New England Journal of Medicine","id":"ITEM-1","issue":"6","issued":{"date-parts":[["2005"]]},"page":"626-627","title":"Rickettsia parkeri Infection and Other Spotted Fevers in the United States","type":"article-journal","volume":"353"},"uris":["http://www.mendeley.com/documents/?uuid=332e23e9-d251-4fbe-ab08-2e7c5c8c9529"]}],"mendeley":{"formattedCitation":"(Raoult &amp; Paddock, 2005)","plainTextFormattedCitation":"(Raoult &amp; Paddock, 2005)","previouslyFormattedCitation":"(Raoult &amp; Paddock, 2005)"},"properties":{"noteIndex":0},"schema":"https://github.com/citation-style-language/schema/raw/master/csl-citation.json"}</w:instrText>
      </w:r>
      <w:r w:rsidR="00A8090B">
        <w:rPr>
          <w:vertAlign w:val="superscript"/>
        </w:rPr>
        <w:fldChar w:fldCharType="separate"/>
      </w:r>
      <w:r w:rsidR="00A8090B" w:rsidRPr="00A8090B">
        <w:rPr>
          <w:noProof/>
        </w:rPr>
        <w:t>(Raoult &amp; Paddock, 2005)</w:t>
      </w:r>
      <w:r w:rsidR="00A8090B">
        <w:rPr>
          <w:vertAlign w:val="superscript"/>
        </w:rPr>
        <w:fldChar w:fldCharType="end"/>
      </w:r>
      <w:r>
        <w:rPr>
          <w:i/>
        </w:rPr>
        <w:t xml:space="preserve">. </w:t>
      </w:r>
    </w:p>
    <w:p w14:paraId="5F387336" w14:textId="77777777" w:rsidR="007B2CA3" w:rsidRDefault="007B2CA3">
      <w:pPr>
        <w:contextualSpacing w:val="0"/>
      </w:pPr>
    </w:p>
    <w:p w14:paraId="13A8D681" w14:textId="1F2ADAC2" w:rsidR="007B2CA3" w:rsidRDefault="00B327FC">
      <w:pPr>
        <w:contextualSpacing w:val="0"/>
        <w:rPr>
          <w:highlight w:val="white"/>
        </w:rPr>
      </w:pPr>
      <w:r>
        <w:t xml:space="preserve">RMSF has been nationally notifiable since the 1920s. In 2010, RMSF became reportable under the category of SFR, which captures cases of RMSF, </w:t>
      </w:r>
      <w:r>
        <w:rPr>
          <w:i/>
        </w:rPr>
        <w:t xml:space="preserve">Rickettsia </w:t>
      </w:r>
      <w:proofErr w:type="spellStart"/>
      <w:r>
        <w:rPr>
          <w:i/>
        </w:rPr>
        <w:t>parkeri</w:t>
      </w:r>
      <w:proofErr w:type="spellEnd"/>
      <w:r>
        <w:t xml:space="preserve"> rickettsiosis, Pacific Coast tick fever (</w:t>
      </w:r>
      <w:r>
        <w:rPr>
          <w:i/>
          <w:highlight w:val="white"/>
        </w:rPr>
        <w:t xml:space="preserve">Rickettsia </w:t>
      </w:r>
      <w:r>
        <w:rPr>
          <w:highlight w:val="white"/>
        </w:rPr>
        <w:t>species 364D</w:t>
      </w:r>
      <w:r>
        <w:t xml:space="preserve">), </w:t>
      </w:r>
      <w:proofErr w:type="spellStart"/>
      <w:r>
        <w:t>rickettsialpox</w:t>
      </w:r>
      <w:proofErr w:type="spellEnd"/>
      <w:r>
        <w:t xml:space="preserve"> (</w:t>
      </w:r>
      <w:r>
        <w:rPr>
          <w:i/>
          <w:highlight w:val="white"/>
        </w:rPr>
        <w:t xml:space="preserve">Rickettsia </w:t>
      </w:r>
      <w:proofErr w:type="spellStart"/>
      <w:r>
        <w:rPr>
          <w:i/>
          <w:highlight w:val="white"/>
        </w:rPr>
        <w:t>akari</w:t>
      </w:r>
      <w:proofErr w:type="spellEnd"/>
      <w:r>
        <w:t>), and others. In the early stages of disease, it can be difficult to clinically distinguish between RMSF and other spotted fevers</w:t>
      </w:r>
      <w:r w:rsidR="008E4102">
        <w:t xml:space="preserve"> </w:t>
      </w:r>
      <w:r w:rsidR="008E4102">
        <w:fldChar w:fldCharType="begin" w:fldLock="1"/>
      </w:r>
      <w:r w:rsidR="008E4102">
        <w:instrText>ADDIN CSL_CITATION {"citationItems":[{"id":"ITEM-1","itemData":{"DOI":"10.4269/ajtmh.15-0372","ISSN":"0002-9637","author":[{"dropping-particle":"","family":"Moncayo","given":"Abelardo C.","non-dropping-particle":"","parse-names":false,"suffix":""},{"dropping-particle":"","family":"Bouyer","given":"Donald H.","non-dropping-particle":"","parse-names":false,"suffix":""},{"dropping-particle":"","family":"Mendell","given":"Nicole L.","non-dropping-particle":"","parse-names":false,"suffix":""},{"dropping-particle":"","family":"Delisle","given":"Josie","non-dropping-particle":"","parse-names":false,"suffix":""},{"dropping-particle":"","family":"Bloch","given":"Karen C.","non-dropping-particle":"","parse-names":false,"suffix":""},{"dropping-particle":"","family":"Stull-Lane","given":"Annica","non-dropping-particle":"","parse-names":false,"suffix":""}],"container-title":"The American Journal of Tropical Medicine and Hygiene","id":"ITEM-1","issued":{"date-parts":[["2016"]]},"title":"Human Infections by Multiple Spotted Fever Group Rickettsiae in Tennessee","type":"article-journal"},"uris":["http://www.mendeley.com/documents/?uuid=6b9a1290-ec22-37cb-ae04-ab7d9c36636a"]}],"mendeley":{"formattedCitation":"(Moncayo et al., 2016)","plainTextFormattedCitation":"(Moncayo et al., 2016)","previouslyFormattedCitation":"(Moncayo et al., 2016)"},"properties":{"noteIndex":0},"schema":"https://github.com/citation-style-language/schema/raw/master/csl-citation.json"}</w:instrText>
      </w:r>
      <w:r w:rsidR="008E4102">
        <w:fldChar w:fldCharType="separate"/>
      </w:r>
      <w:r w:rsidR="008E4102" w:rsidRPr="008E4102">
        <w:rPr>
          <w:noProof/>
        </w:rPr>
        <w:t>(Moncayo et al., 2016)</w:t>
      </w:r>
      <w:r w:rsidR="008E4102">
        <w:fldChar w:fldCharType="end"/>
      </w:r>
      <w:r>
        <w:t>. Commercially available serologic tests are also unable to differentiate between these SFGR species</w:t>
      </w:r>
      <w:r w:rsidR="008E4102">
        <w:rPr>
          <w:vertAlign w:val="superscript"/>
        </w:rPr>
        <w:t xml:space="preserve"> </w:t>
      </w:r>
      <w:r w:rsidR="008E4102">
        <w:rPr>
          <w:vertAlign w:val="superscript"/>
        </w:rPr>
        <w:fldChar w:fldCharType="begin" w:fldLock="1"/>
      </w:r>
      <w:r w:rsidR="008E4102">
        <w:rPr>
          <w:vertAlign w:val="superscript"/>
        </w:rPr>
        <w:instrText>ADDIN CSL_CITATION {"citationItems":[{"id":"ITEM-1","itemData":{"ISBN":"0019-9567","ISSN":"00199567","PMID":"1452343","abstract":"The relatively unrelated spotted fever group rickettsia Rickettsia rhipicephali conferred on guinea pigs protective immunity against challenge with virulent R. rickettsii. Immunity was conferred at all doses of R. rhipicephali used in the study. Because of the serologic unrelatedness of these two rickettsiae, determined by the use of microimmunofluorescence and other serological assays, further studies were performed to define the nature of the immune response elicited by R. rhipicephali and the characteristics of the rickettsial antigens that evoke cross-reactive antibody responses. Animals immune to R. rhipicephali tested at the time of challenge showed a complete cross-reactive lymphocyte proliferative response to rickettsial antigens prepared from each species. In fact, spleen cells from R. rhipicephali-immune animals responded better to R. rickettsii antigens than to homologous immunizing antigens. Serum samples were obtained from R. rhipicephali-infected animals at various times after infection and tested by the use of Western immunoblot assay for antibodies that were cross-reactive with antigens of R. rickettsii. By 10 days after infection with R. rhipicephali, antibodies to antigens of both species were noted, and by 37 days after infection, sera from immune animals showed strong reactivity to antigens of R. rhipicephali with apparent molecular masses of 107 and 151 kDa. The cross-reactive antibody response to antigens of R. rickettsii was relatively strong and involved predominantly the rOmpB protein and the rickettsial lipopolysaccharide. These findings establish the presence of T-cell-dependent epitopes associated with antigens of R. rhipicephali, which confer protective immunity against challenge with R. rickettsii. Results of Western immunoblot assays support the contention that the R. rickettsii rOmpB surface antigen contains important protective epitopes.","author":[{"dropping-particle":"","family":"Gage","given":"Kenneth L","non-dropping-particle":"","parse-names":false,"suffix":""},{"dropping-particle":"","family":"Jerrells","given":"Thomas R","non-dropping-particle":"","parse-names":false,"suffix":""}],"container-title":"Infection and Immunity","id":"ITEM-1","issue":"12","issued":{"date-parts":[["1992"]]},"page":"5099-5106","title":"Demonstration and partial characterization of antigens of Rickettsia rhipicephali that induce cross-reactive cellular and humoral immune responses to Rickettsia rickettsii","type":"article-journal","volume":"60"},"uris":["http://www.mendeley.com/documents/?uuid=a86c52f7-ac42-4f39-ba74-382976c642c7"]}],"mendeley":{"formattedCitation":"(Gage &amp; Jerrells, 1992)","plainTextFormattedCitation":"(Gage &amp; Jerrells, 1992)","previouslyFormattedCitation":"(Gage &amp; Jerrells, 1992)"},"properties":{"noteIndex":0},"schema":"https://github.com/citation-style-language/schema/raw/master/csl-citation.json"}</w:instrText>
      </w:r>
      <w:r w:rsidR="008E4102">
        <w:rPr>
          <w:vertAlign w:val="superscript"/>
        </w:rPr>
        <w:fldChar w:fldCharType="separate"/>
      </w:r>
      <w:r w:rsidR="008E4102" w:rsidRPr="008E4102">
        <w:rPr>
          <w:noProof/>
        </w:rPr>
        <w:t>(Gage &amp; Jerrells, 1992)</w:t>
      </w:r>
      <w:r w:rsidR="008E4102">
        <w:rPr>
          <w:vertAlign w:val="superscript"/>
        </w:rPr>
        <w:fldChar w:fldCharType="end"/>
      </w:r>
      <w:r>
        <w:t xml:space="preserve">. Additionally, there is increasing suspicion that other less pathogenic SFGR may be responsible for many of the SFR cases, including diseases associated with </w:t>
      </w:r>
      <w:r>
        <w:rPr>
          <w:i/>
        </w:rPr>
        <w:t xml:space="preserve">R. </w:t>
      </w:r>
      <w:proofErr w:type="spellStart"/>
      <w:r>
        <w:rPr>
          <w:i/>
        </w:rPr>
        <w:t>parkeri</w:t>
      </w:r>
      <w:proofErr w:type="spellEnd"/>
      <w:r>
        <w:rPr>
          <w:i/>
        </w:rPr>
        <w:t xml:space="preserve">, R. </w:t>
      </w:r>
      <w:proofErr w:type="spellStart"/>
      <w:r>
        <w:rPr>
          <w:i/>
        </w:rPr>
        <w:t>amblyommatis</w:t>
      </w:r>
      <w:proofErr w:type="spellEnd"/>
      <w:r>
        <w:rPr>
          <w:i/>
        </w:rPr>
        <w:t xml:space="preserve">, R. </w:t>
      </w:r>
      <w:proofErr w:type="spellStart"/>
      <w:r>
        <w:rPr>
          <w:i/>
        </w:rPr>
        <w:t>montanensis</w:t>
      </w:r>
      <w:proofErr w:type="spellEnd"/>
      <w:r>
        <w:t xml:space="preserve">, </w:t>
      </w:r>
      <w:r>
        <w:rPr>
          <w:i/>
        </w:rPr>
        <w:t xml:space="preserve">R. </w:t>
      </w:r>
      <w:proofErr w:type="spellStart"/>
      <w:r>
        <w:rPr>
          <w:i/>
        </w:rPr>
        <w:t>massiliae</w:t>
      </w:r>
      <w:proofErr w:type="spellEnd"/>
      <w:r>
        <w:rPr>
          <w:i/>
        </w:rPr>
        <w:t xml:space="preserve"> R. </w:t>
      </w:r>
      <w:proofErr w:type="spellStart"/>
      <w:r>
        <w:rPr>
          <w:i/>
        </w:rPr>
        <w:t>ripacephali</w:t>
      </w:r>
      <w:proofErr w:type="spellEnd"/>
      <w:r>
        <w:t xml:space="preserve">, and </w:t>
      </w:r>
      <w:r>
        <w:rPr>
          <w:i/>
          <w:highlight w:val="white"/>
        </w:rPr>
        <w:t>Rickettsia</w:t>
      </w:r>
      <w:r>
        <w:rPr>
          <w:highlight w:val="white"/>
        </w:rPr>
        <w:t xml:space="preserve"> species 364D</w:t>
      </w:r>
      <w:r w:rsidR="008E4102">
        <w:rPr>
          <w:highlight w:val="white"/>
        </w:rPr>
        <w:t xml:space="preserve"> </w:t>
      </w:r>
      <w:r w:rsidR="00483145">
        <w:rPr>
          <w:highlight w:val="white"/>
        </w:rPr>
        <w:t xml:space="preserve"> </w:t>
      </w:r>
      <w:r w:rsidR="00891F12">
        <w:rPr>
          <w:highlight w:val="white"/>
        </w:rPr>
        <w:fldChar w:fldCharType="begin" w:fldLock="1"/>
      </w:r>
      <w:r w:rsidR="00891F12">
        <w:rPr>
          <w:highlight w:val="white"/>
        </w:rPr>
        <w:instrText>ADDIN CSL_CITATION {"citationItems":[{"id":"ITEM-1","itemData":{"DOI":"10.1196/annals.1355.051","ISBN":"0077-8923","ISSN":"00778923","PMID":"16481534","abstract":"Among the many contributions made to rickettsiology by entomologist and rickettsiologist Ralph R. Parker was his discovery in 1937 of a novel rickettsia isolated from the Gulf Coast tick, Amblyomma maculatum. This bacterium was subsequently characterized as a unique rickettsial species in 1965 and named Rickettsia parkeri in honor of its discoverer. During the next several decades R. parkeri was generally considered as one of several \"nonpathogenic\" spotted fever group (SFG) rickettsiae that resided in ticks of the United States. The identification of novel rickettsioses on other continents during the last two decades of the twentieth century provided important evidence of the frequent coexistence of multiple and unique tick-borne SFG rickettsiae sharing common geographic regions. Surprisingly, this paradigm, which was repeatedly demonstrated in Europe, Africa, and Australia during the last 10 years, had no confirmed correlate in the United States until 2002, when R. parkeri was isolated from a patient from the state of Virginia. Several pieces of epidemiologic, laboratory, and clinical evidence are compelling enough to suggest that this infection has occurred in other U.S. patients who reside within the range of the Gulf Coast tick. Just as important are new data indicating relatively high infection rates of A. maculatum ticks with R. parkeri, documenting the occurrence of R. parkeri in Amblyomma triste ticks from Uruguay, and providing evidence that other Amblyomma species might serve as efficient vectors of R. parkeri. The recognition of R. parkeri as a cause of disease in humans will hopefully encourage a closer examination for specific etiologies of tick-borne spotted fever rickettsioses in the United States and other countries of the Western Hemisphere.","author":[{"dropping-particle":"","family":"Paddock","given":"Christopher D.","non-dropping-particle":"","parse-names":false,"suffix":""}],"container-title":"Annals of the New York Academy of Sciences","id":"ITEM-1","issued":{"date-parts":[["2005"]]},"page":"315-326","title":"Rickettsia parkeri as a paradigm for multiple causes of tick-borne spotted fever in the western hemisphere.","type":"article-journal","volume":"1063"},"uris":["http://www.mendeley.com/documents/?uuid=e3894656-5a1e-40e8-a70c-cfe492b8c17f"]},{"id":"ITEM-2","itemData":{"DOI":"10.4269/ajtmh.15-0580","ISBN":"1476-1645 (Electronic) 0002-9637 (Linking)","ISSN":"00029637","PMID":"26503270","abstract":"Spotted fever group (SFG) Rickettsia species are etiologic agents of a wide range of human infections from asymptomatic or mild infections to severe, life-threatening diseases. In the United States, recent passive surveillance for SFG rickettsiosis shows an increased incidence and decreased severity of reported cases. The reasons for this are not well understood; however, we hypothesize that less pathogenic rickettsiae are causing more human infections, while the incidence of disease caused by more pathogenic rickettsiae, particularly Rickettsia rickettsii, is relatively stable. During the same period, the range of Amblyomma americanum has expanded. Amblyomma americanum is frequently infected with Candidatus Rickettsii amblyommii, a SFG Rickettsia of unknown pathogenicity. We tested our hypothesis by modeling incidence rates from 1993 to 2013, hospitalization rates from 1981 to 2013, and case fatality rates from 1981 to 2013 regressed against the presence of A. americanum, the decade of onset of symptoms, and the county of residence. Our results support the hypothesis, and we show that the expanding range of A. americanum is associated with changes in epidemiology reported through passive surveillance. We believe epidemiological and acarological data collected on individual cases from enhanced surveillance may further elucidate the reasons for the changing epidemiology of SFG rickettsiosis.","author":[{"dropping-particle":"","family":"Dahlgren","given":"F. Scott","non-dropping-particle":"","parse-names":false,"suffix":""},{"dropping-particle":"","family":"Paddock","given":"Christopher D.","non-dropping-particle":"","parse-names":false,"suffix":""},{"dropping-particle":"","family":"Springer","given":"Yuri P.","non-dropping-particle":"","parse-names":false,"suffix":""},{"dropping-particle":"","family":"Eisen","given":"Rebecca J.","non-dropping-particle":"","parse-names":false,"suffix":""},{"dropping-particle":"","family":"Behravesh","given":"Casey Barton","non-dropping-particle":"","parse-names":false,"suffix":""}],"container-title":"American Journal of Tropical Medicine and Hygiene","id":"ITEM-2","issue":"1","issued":{"date-parts":[["2016"]]},"page":"35-42","title":"Expanding range of amblyomma americanum and simultaneous changes in the epidemiology of spotted fever group rickettsiosis in the United States","type":"article-journal","volume":"94"},"uris":["http://www.mendeley.com/documents/?uuid=9ed1acb5-e4d7-4878-814a-3ceb07dcdb0d"]},{"id":"ITEM-3","itemData":{"DOI":"10.3390/ijerph15030478","ISBN":"1660-4601 (Electronic) 1660-4601 (Linking)","ISSN":"16604601","PMID":"29522469","abstract":"Ticks are the major vectors of most disease-causing agents to humans, companion animals and wildlife. Moreover, ticks transmit a greater variety of pathogenic agents than any other blood-feeding arthropod. Ticks have been expanding their geographic ranges in recent decades largely due to climate change. Furthermore, tick populations in many areas of their past and even newly established localities have increased in abundance. These dynamic changes present new and increasing severe public health threats to humans, livestock and companion animals in areas where they were previously unknown or were considered to be of minor importance. Here in this review, the geographic status of four representative tick species are discussed in relation to these public health concerns, namely, the American dog tick, Dermacentor variabilis, the lone star tick, Amblyomma americanum, the Gulf Coast Tick, Amblyomma maculatum and the black-legged tick, Ixodes scapularis. Both biotic and abiotic factors that may influence future range expansion and successful colony formation in new habitats are discussed.","author":[{"dropping-particle":"","family":"Sonenshine","given":"Daniel E.","non-dropping-particle":"","parse-names":false,"suffix":""}],"container-title":"International Journal of Environmental Research and Public Health","id":"ITEM-3","issue":"3","issued":{"date-parts":[["2018"]]},"page":"1-9","title":"Range Expansion of Tick Disease Vectors in North America: Implications for Spread of Tick-Borne Disease","type":"article-journal","volume":"15"},"uris":["http://www.mendeley.com/documents/?uuid=228121d6-bee4-4b3a-8784-6a6a94cf1511"]}],"mendeley":{"formattedCitation":"(Dahlgren, Paddock, Springer, Eisen, &amp; Behravesh, 2016; Paddock, 2005; Sonenshine, 2018)","plainTextFormattedCitation":"(Dahlgren, Paddock, Springer, Eisen, &amp; Behravesh, 2016; Paddock, 2005; Sonenshine, 2018)","previouslyFormattedCitation":"(Dahlgren, Paddock, Springer, Eisen, &amp; Behravesh, 2016; Paddock, 2005; Sonenshine, 2018)"},"properties":{"noteIndex":0},"schema":"https://github.com/citation-style-language/schema/raw/master/csl-citation.json"}</w:instrText>
      </w:r>
      <w:r w:rsidR="00891F12">
        <w:rPr>
          <w:highlight w:val="white"/>
        </w:rPr>
        <w:fldChar w:fldCharType="separate"/>
      </w:r>
      <w:r w:rsidR="00891F12" w:rsidRPr="00891F12">
        <w:rPr>
          <w:noProof/>
          <w:highlight w:val="white"/>
        </w:rPr>
        <w:t>(Dahlgren, Paddock, Springer, Eisen, &amp; Behravesh, 2016; Paddock, 2005; Sonenshine, 2018)</w:t>
      </w:r>
      <w:r w:rsidR="00891F12">
        <w:rPr>
          <w:highlight w:val="white"/>
        </w:rPr>
        <w:fldChar w:fldCharType="end"/>
      </w:r>
      <w:r w:rsidR="00483145">
        <w:rPr>
          <w:highlight w:val="white"/>
          <w:vertAlign w:val="superscript"/>
        </w:rPr>
        <w:t xml:space="preserve"> </w:t>
      </w:r>
      <w:r>
        <w:rPr>
          <w:highlight w:val="white"/>
        </w:rPr>
        <w:t xml:space="preserve">. </w:t>
      </w:r>
    </w:p>
    <w:p w14:paraId="4F39DE51" w14:textId="77777777" w:rsidR="007B2CA3" w:rsidRDefault="007B2CA3">
      <w:pPr>
        <w:contextualSpacing w:val="0"/>
        <w:rPr>
          <w:highlight w:val="white"/>
        </w:rPr>
      </w:pPr>
    </w:p>
    <w:p w14:paraId="7A129FE4" w14:textId="27DF417C" w:rsidR="007B2CA3" w:rsidRDefault="00B327FC">
      <w:pPr>
        <w:contextualSpacing w:val="0"/>
      </w:pPr>
      <w:r>
        <w:t xml:space="preserve">Currently, </w:t>
      </w:r>
      <w:proofErr w:type="gramStart"/>
      <w:r>
        <w:t>fewer</w:t>
      </w:r>
      <w:proofErr w:type="gramEnd"/>
      <w:r>
        <w:t xml:space="preserve"> than 1% of SFR cases are confirmed</w:t>
      </w:r>
      <w:r w:rsidR="00483145" w:rsidRPr="001F4C73">
        <w:rPr>
          <w:rStyle w:val="FootnoteReference"/>
        </w:rPr>
        <w:footnoteReference w:id="2"/>
      </w:r>
      <w:r>
        <w:t>, and most of our understanding of SFR is based on incomplete and often uninterpretable diagnostic evidence including single serologic titers and/or qualitative antibody results. Differentiation of persistent and incident antibodies requires the use of indirect immunofluorescence antibody assays (IFA) on paired samples, taken 2-4 weeks apart, performed at the same laboratory. However, laboratory criteria for the majority of SFR cases fall short of this standard, resulting in a skewed understanding of SFR epidemiology and national burden</w:t>
      </w:r>
      <w:r w:rsidR="00483145">
        <w:t xml:space="preserve"> </w:t>
      </w:r>
      <w:r w:rsidR="00F92665">
        <w:t xml:space="preserve"> </w:t>
      </w:r>
      <w:r w:rsidR="00891F12">
        <w:fldChar w:fldCharType="begin" w:fldLock="1"/>
      </w:r>
      <w:r w:rsidR="001D6A9A">
        <w:instrText>ADDIN CSL_CITATION {"citationItems":[{"id":"ITEM-1","itemData":{"DOI":"10.1016/S0002-9343(99)00046-7","ISBN":"0002-9343 (Print)\\r0002-9343 (Linking)","ISSN":"00029343","PMID":"10225242","abstract":"PURPOSE: To determine the prevalence of serologic reactivity, the 1- year incidence of seroconversion, and the frequency of multiple infections, and their associations with symptoms in a group of volunteers at high risk for tick-borne infections in New York state. METHODS: We performed a seroepidemiologic study of Lyme borreliosis, 2 of the ehrlichloses, Rocky Mountain spotted fever, and babesiosis among 671 participants who lived or worked in a high-risk area (mainly in eastern Long Island, New York) for tick-borne diseases. Sera were collected in the winters of 1994 and 1995. Signs and symptoms of tick-borne disease were monitored monthly by mail and telephone. Lyme borreliosis serologies were done by enzyme-linked immunosorbent assay and Western blot. Rocky Mountain spotted fever serologies were initially screened using Dip-S-Ticks, followed by specific indirect immunofluorescence. Ehrlichiosis serologies were determined by epifluorescent microscopy, as were antibodies to Babesia microti. RESULTS: Of the 671 participants, 88 (13%) had antibodies to ≥1 tick-borne organisms, including 34 (5% of the total) with antibodies to Borrelia burgdorferi. Twenty-seven participants had evidence of exposure to B. burgdorferi at baseline. Seven participants (1%) seroconverted during the course of the study, 5 of whom were symptomatic for Lyme borreliosis. Antibodies to spotted fever group rickettsiae were seen in 28 participants (4%), 22 of whom were positive at baseline and 6 of whom seroconverted during the observation period. None of the seropositive patients had any symptoms or signs of infection. Twenty- four participants (3%) had serologic evidence of exposure to Ehrlichia (all but one to Ehrlichia equi); 5 (0.7%) seroconverted during the observation period, including 3 subjects who were asymptomatic. Antibodies to B. microti were seen in 7 participants (1%), including one asymptomatic seroconversion during the year of observation. There was evidence of possible dual infection in 5 patients. CONCLUSION: In a high-risk population, there was evidence of exposure to 5 tick-borne pathogens; however, many infections were asymptomatic, and coinfections were rare.","author":[{"dropping-particle":"","family":"Hilton","given":"Eileen","non-dropping-particle":"","parse-names":false,"suffix":""},{"dropping-particle":"","family":"DeVoti","given":"James","non-dropping-particle":"","parse-names":false,"suffix":""},{"dropping-particle":"","family":"Benach","given":"Jorge L.","non-dropping-particle":"","parse-names":false,"suffix":""},{"dropping-particle":"","family":"Halluska","given":"Maria L.","non-dropping-particle":"","parse-names":false,"suffix":""},{"dropping-particle":"","family":"White","given":"Dennis J.","non-dropping-particle":"","parse-names":false,"suffix":""},{"dropping-particle":"","family":"Paxton","given":"Helen","non-dropping-particle":"","parse-names":false,"suffix":""},{"dropping-particle":"","family":"Dumler","given":"J. Steven","non-dropping-particle":"","parse-names":false,"suffix":""}],"container-title":"American Journal of Medicine","id":"ITEM-1","issue":"4","issued":{"date-parts":[["1999"]]},"page":"404-409","title":"Seroprevalence and seroconversion for tick-borne diseases in a high- risk population in the northeast United States","type":"article-journal","volume":"106"},"uris":["http://www.mendeley.com/documents/?uuid=1e6da619-20d4-4515-93d6-7417714db0e8"]},{"id":"ITEM-2","itemData":{"author":[{"dropping-particle":"","family":"Marshall","given":"Gary S","non-dropping-particle":"","parse-names":false,"suffix":""},{"dropping-particle":"","family":"Stout","given":"Gordon G","non-dropping-particle":"","parse-names":false,"suffix":""},{"dropping-particle":"","family":"Jacobs","given":"Richard F","non-dropping-particle":"","parse-names":false,"suffix":""},{"dropping-particle":"","family":"Schutze","given":"Gordon E","non-dropping-particle":"","parse-names":false,"suffix":""},{"dropping-particle":"","family":"Paxton","given":"Helene","non-dropping-particle":"","parse-names":false,"suffix":""},{"dropping-particle":"","family":"Buckingham","given":"Steven C","non-dropping-particle":"","parse-names":false,"suffix":""},{"dropping-particle":"","family":"Devincenzo","given":"John P","non-dropping-particle":"","parse-names":false,"suffix":""},{"dropping-particle":"","family":"Jackson","given":"Mary Anne","non-dropping-particle":"","parse-names":false,"suffix":""},{"dropping-particle":"","family":"Joaquin","given":"Venusto H San","non-dropping-particle":"","parse-names":false,"suffix":""}],"container-title":"Archives of Pediatrics","id":"ITEM-2","issue":"May","issued":{"date-parts":[["2003"]]},"page":"443-448","title":"Antibodies Reactive to Rickettsia rickettsii Among Children Living in the Southeast and South Central Regions of the United States","type":"article-journal","volume":"157"},"uris":["http://www.mendeley.com/documents/?uuid=5b063299-c3fa-44c8-8ff9-03e702f572a1"]},{"id":"ITEM-3","itemData":{"DOI":"10.1128/JCM.01733-14","ISBN":"0095-1137","ISSN":"1098660X","PMID":"25187639","abstract":"Increasing entomologic and epidemiologic evidence suggests that spotted fever group rickettsiae (SFGR) other than Rickettsia rickettsii are responsible for spotted fever rickettsioses in the United States. A retrospective seroepidemiologic study was conducted on stored acute- and convalescent-phase sera that had been submitted for Rocky Mountain spotted fever testing to the North Carolina State Laboratory of Public Health. We evaluated the serologic reactivity of the paired sera to R. rickettsii, Rickettsia parkeri, and Rickettsia amblyommii antigens. Of the 106 eligible pairs tested, 21 patients seroconverted to one or more antigens. Cross-reactivity to multiple antigens was observed in 10 patients, and seroconversions to single antigens occurred in 11 patients, including 1 against R. rickettsii, 4 against R. parkeri, and 6 against R. amblyommii. Cross-absorption of cross-reactive sera and/or Western blots identified two presumptive cases of infection with R. parkeri, two presumptive cases of infection with R. rickettsii, and one presumptive case of infection with R. amblyommii. These findings suggest that species of SFGR other than R. rickettsii are associated with illness among North Carolina residents and that serologic testing using R. rickettsii antigen may miss cases of spotted fever rickettsioses caused by other species of SFGR.","author":[{"dropping-particle":"","family":"Vaughn","given":"Meagan F.","non-dropping-particle":"","parse-names":false,"suffix":""},{"dropping-particle":"","family":"Delisle","given":"Josie","non-dropping-particle":"","parse-names":false,"suffix":""},{"dropping-particle":"","family":"Johnson","given":"Joey","non-dropping-particle":"","parse-names":false,"suffix":""},{"dropping-particle":"","family":"Daves","given":"Gaylen","non-dropping-particle":"","parse-names":false,"suffix":""},{"dropping-particle":"","family":"Williams","given":"Carl","non-dropping-particle":"","parse-names":false,"suffix":""},{"dropping-particle":"","family":"Reber","given":"Jodi","non-dropping-particle":"","parse-names":false,"suffix":""},{"dropping-particle":"","family":"Mendell","given":"Nicole L.","non-dropping-particle":"","parse-names":false,"suffix":""},{"dropping-particle":"","family":"Bouyer","given":"Donald H.","non-dropping-particle":"","parse-names":false,"suffix":""},{"dropping-particle":"","family":"Nicholson","given":"William L.","non-dropping-particle":"","parse-names":false,"suffix":""},{"dropping-particle":"","family":"Moncayo","given":"Abelardo C.","non-dropping-particle":"","parse-names":false,"suffix":""},{"dropping-particle":"","family":"Meshnick","given":"Steven R.","non-dropping-particle":"","parse-names":false,"suffix":""}],"container-title":"Journal of Clinical Microbiology","id":"ITEM-3","issue":"11","issued":{"date-parts":[["2014"]]},"page":"3960-3966","title":"Seroepidemiologic study of human infections with spotted fever group rickettsiae in North Carolina","type":"article-journal","volume":"52"},"uris":["http://www.mendeley.com/documents/?uuid=68ae2871-d71c-4e19-bfb9-796f2da443b4"]}],"mendeley":{"formattedCitation":"(Hilton et al., 1999; Marshall et al., 2003; Vaughn et al., 2014)","plainTextFormattedCitation":"(Hilton et al., 1999; Marshall et al., 2003; Vaughn et al., 2014)","previouslyFormattedCitation":"(Hilton et al., 1999; Marshall et al., 2003; Vaughn et al., 2014)"},"properties":{"noteIndex":0},"schema":"https://github.com/citation-style-language/schema/raw/master/csl-citation.json"}</w:instrText>
      </w:r>
      <w:r w:rsidR="00891F12">
        <w:fldChar w:fldCharType="separate"/>
      </w:r>
      <w:r w:rsidR="00891F12" w:rsidRPr="00891F12">
        <w:rPr>
          <w:noProof/>
        </w:rPr>
        <w:t>(Hilton et al., 1999; Marshall et al., 2003; Vaughn et al., 2014)</w:t>
      </w:r>
      <w:r w:rsidR="00891F12">
        <w:fldChar w:fldCharType="end"/>
      </w:r>
      <w:r>
        <w:t>. Additionally, non-specific serologic diagnostic methods, such as indirect immunofluorescence antibody assays (IFA) to detect IgM, enzyme-linked immunosorbent assay (ELISA), and latex agglutination are currently used as supportive laboratory evidence, however, these tests have significant limitations and may cloud our understanding of SFR burden</w:t>
      </w:r>
      <w:r w:rsidR="008359EC">
        <w:t xml:space="preserve"> </w:t>
      </w:r>
      <w:r w:rsidR="008359EC">
        <w:fldChar w:fldCharType="begin" w:fldLock="1"/>
      </w:r>
      <w:r>
        <w:instrText>ADDIN CSL_CITATION {"citationItems":[{"id":"ITEM-1","itemData":{"DOI":"10.1128/JCM.42.2.881-883.2004","ISSN":"00951137","PMID":"14766879","abstract":"Serologic testing is essential for the diagnosis of some infectious diseases and yet is fraught with potential pitfalls. All parts of the diagnostic process must be optimized to ensure that serologic tests perform adequately. Recognizing that a lack of clinical data and correctly timed, paired sera frequently led to uninterpretable serology results at our laboratory, we developed and implemented simple acceptability criteria for serologic tests. We assessed the impact of these criteria by comparing submissions and results for the year before and the year after implementation of the criteria. The number of serologic tests performed declined by 25% after implementation of the acceptability criteria, despite an increase in requests for serologic tests. Inappropriate testing of acute-phase sera alone fell from 49 to 0% (P &lt; 0.001) for the tests monitored. Appropriate submission of paired sera rose from 9 to 19% (P = 0.006). The proportion of results classified as interpretable rose from 52 to 100% (P &lt; 0.001). We recommend that acceptability criteria be developed and applied to samples submitted to clinical microbiology laboratories for serologic testing.","author":[{"dropping-particle":"","family":"Crump","given":"John A.","non-dropping-particle":"","parse-names":false,"suffix":""},{"dropping-particle":"","family":"Corder","given":"Jennifer R.","non-dropping-particle":"","parse-names":false,"suffix":""},{"dropping-particle":"","family":"Henshaw","given":"Nancy G.","non-dropping-particle":"","parse-names":false,"suffix":""},{"dropping-particle":"","family":"Reller","given":"L. Barth","non-dropping-particle":"","parse-names":false,"suffix":""}],"container-title":"Journal of Clinical Microbiology","id":"ITEM-1","issue":"2","issued":{"date-parts":[["2004"]]},"page":"881-883","title":"Development, Implementation, and Impact of Acceptability Criteria for Serologic Tests for Infectious Diseases","type":"article-journal","volume":"42"},"uris":["http://www.mendeley.com/documents/?uuid=0de75cf3-bab1-460a-b1c7-41d56a83174a"]},{"id":"ITEM-2","itemData":{"DOI":"10.4269/ajtmh.14-0123","ISSN":"00029637","PMID":"25092818","abstract":"Among 13 suspected Rocky Mountain spotted fever (RMSF) cases identified through an enhanced surveillance program in Tennessee, antibodies to Rickettsia rickettsii were detected in 10 (77%) patients using a standard indirect immunofluorescent antibody (IFA) assay. Immunoglobulin M (IgM) antibodies were observed for 6 of 13 patients (46%) without a corresponding development of IgG, and for 3 of 10 patients (30%) at least 1 year post-onset. However, recent infection with a spotted fever group rickettsiae could not be confirmed for any patient, based on a lack of rising antibody titers in properly timed acute and convalescent serologic specimens, and negative findings by polymerase chain reaction testing. Case definitions used in national surveillance programs lack specificity and may capture cases that do not represent current rickettsial infections. Use of IgM antibodies should be reconsidered as a basis for diagnosis and public health reporting of RMSF and other spotted fever group rickettsiae in the United States.","author":[{"dropping-particle":"","family":"McQuiston","given":"Jennifer H.","non-dropping-particle":"","parse-names":false,"suffix":""},{"dropping-particle":"","family":"Wiedeman","given":"Caleb","non-dropping-particle":"","parse-names":false,"suffix":""},{"dropping-particle":"","family":"Singleton","given":"Joseph","non-dropping-particle":"","parse-names":false,"suffix":""},{"dropping-particle":"","family":"Carpenter","given":"L. Rand","non-dropping-particle":"","parse-names":false,"suffix":""},{"dropping-particle":"","family":"McElroy","given":"Kristina","non-dropping-particle":"","parse-names":false,"suffix":""},{"dropping-particle":"","family":"Mosites","given":"Emily","non-dropping-particle":"","parse-names":false,"suffix":""},{"dropping-particle":"","family":"Chung","given":"Ida","non-dropping-particle":"","parse-names":false,"suffix":""},{"dropping-particle":"","family":"Kato","given":"Cecilia","non-dropping-particle":"","parse-names":false,"suffix":""},{"dropping-particle":"","family":"Morris","given":"Kevin","non-dropping-particle":"","parse-names":false,"suffix":""},{"dropping-particle":"","family":"Moncayo","given":"Abelardo C.","non-dropping-particle":"","parse-names":false,"suffix":""},{"dropping-particle":"","family":"Porter","given":"Susan","non-dropping-particle":"","parse-names":false,"suffix":""},{"dropping-particle":"","family":"Dunn","given":"John","non-dropping-particle":"","parse-names":false,"suffix":""}],"container-title":"American Journal of Tropical Medicine and Hygiene","id":"ITEM-2","issue":"4","issued":{"date-parts":[["2014"]]},"page":"767-770","title":"Inadequacy of IgM antibody tests for diagnosis of Rocky Mountain spotted fever","type":"article-journal","volume":"91"},"uris":["http://www.mendeley.com/documents/?uuid=83ed6bfd-1457-45b5-81b4-546b6244ecaa"]},{"id":"ITEM-3","itemData":{"DOI":"10.1128/JCM.01723-12","ISBN":"0095-1137","ISSN":"00951137","PMID":"23135935","abstract":"Two novel real-time PCR assays were developed for the detection of Rickettsia spp. One assay detects all tested Rickettsia spp.; the other is specific for Rickettsia rickettsii. Evaluation using DNA from human blood and tissue samples showed both assays to be more sensitive than nested PCR assays currently in use at the CDC.","author":[{"dropping-particle":"","family":"Kato","given":"Cecilia Y.","non-dropping-particle":"","parse-names":false,"suffix":""},{"dropping-particle":"","family":"Chung","given":"Ida H.","non-dropping-particle":"","parse-names":false,"suffix":""},{"dropping-particle":"","family":"Robinson","given":"Lauren K.","non-dropping-particle":"","parse-names":false,"suffix":""},{"dropping-particle":"","family":"Austin","given":"Amy L.","non-dropping-particle":"","parse-names":false,"suffix":""},{"dropping-particle":"","family":"Dasch","given":"Gregory A.","non-dropping-particle":"","parse-names":false,"suffix":""},{"dropping-particle":"","family":"Massunga","given":"Robert F.","non-dropping-particle":"","parse-names":false,"suffix":""}],"container-title":"Journal of Clinical Microbiology","id":"ITEM-3","issue":"1","issued":{"date-parts":[["2013"]]},"page":"314-417","title":"Assessment of real-time PCR assay for detection of Rickettsia spp. and Rickettsia rickettsii in banked clinical samples","type":"article-journal","volume":"51"},"uris":["http://www.mendeley.com/documents/?uuid=3b813974-6231-400b-b4bc-cbf03573bd0b"]}],"mendeley":{"formattedCitation":"(Crump, Corder, Henshaw, &amp; Reller, 2004; Kato et al., 2013; McQuiston et al., 2014)","plainTextFormattedCitation":"(Crump, Corder, Henshaw, &amp; Reller, 2004; Kato et al., 2013; McQuiston et al., 2014)","previouslyFormattedCitation":"(Crump, Corder, Henshaw, &amp; Reller, 2004; Kato et al., 2013; McQuiston et al., 2014)"},"properties":{"noteIndex":0},"schema":"https://github.com/citation-style-language/schema/raw/master/csl-citation.json"}</w:instrText>
      </w:r>
      <w:r w:rsidR="008359EC">
        <w:fldChar w:fldCharType="separate"/>
      </w:r>
      <w:r w:rsidR="008359EC" w:rsidRPr="008359EC">
        <w:rPr>
          <w:noProof/>
        </w:rPr>
        <w:t>(Crump, Corder, Henshaw, &amp; Reller, 2004; Kato et al., 2013; McQuiston et al., 2014)</w:t>
      </w:r>
      <w:r w:rsidR="008359EC">
        <w:fldChar w:fldCharType="end"/>
      </w:r>
      <w:r>
        <w:t xml:space="preserve">. </w:t>
      </w:r>
    </w:p>
    <w:p w14:paraId="378CDF32" w14:textId="77777777" w:rsidR="007B2CA3" w:rsidRDefault="007B2CA3">
      <w:pPr>
        <w:contextualSpacing w:val="0"/>
      </w:pPr>
    </w:p>
    <w:p w14:paraId="325B5443" w14:textId="77777777" w:rsidR="007B2CA3" w:rsidRDefault="00B327FC">
      <w:pPr>
        <w:contextualSpacing w:val="0"/>
      </w:pPr>
      <w:r>
        <w:t xml:space="preserve">Numerous diagnostic challenges also exist. Closely related species of SFGR have cross-reactive antigens and cannot be definitely distinguished using commonly available serologic assays. Most commercial labs are unable to differentiate the species using these serologic methods. Antibodies can rise in the first week of illness and elevation can persist for months or year following infection. Lastly, accurate diagnosis of SFR using serologic methods requires paired serum specimens taken from the first week of illness and a second sample taken 2-4 weeks later. </w:t>
      </w:r>
    </w:p>
    <w:p w14:paraId="74BC52AC" w14:textId="77777777" w:rsidR="007B2CA3" w:rsidRDefault="007B2CA3">
      <w:pPr>
        <w:contextualSpacing w:val="0"/>
      </w:pPr>
    </w:p>
    <w:p w14:paraId="77BC837F" w14:textId="77777777" w:rsidR="007B2CA3" w:rsidRDefault="00B327FC">
      <w:pPr>
        <w:contextualSpacing w:val="0"/>
      </w:pPr>
      <w:r>
        <w:t>The varying epidemiology of SFGR in the United States is well-recognized, however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w:t>
      </w:r>
    </w:p>
    <w:p w14:paraId="160D9873" w14:textId="77777777" w:rsidR="007B2CA3" w:rsidRDefault="007B2CA3">
      <w:pPr>
        <w:contextualSpacing w:val="0"/>
      </w:pPr>
    </w:p>
    <w:p w14:paraId="229E2A41" w14:textId="07E6591F" w:rsidR="007B2CA3" w:rsidRDefault="001D6A9A">
      <w:pPr>
        <w:contextualSpacing w:val="0"/>
        <w:rPr>
          <w:color w:val="FF0000"/>
        </w:rPr>
      </w:pPr>
      <w:r>
        <w:t>Word Count: 504</w:t>
      </w:r>
      <w:r w:rsidR="00B327FC">
        <w:t>/500</w:t>
      </w:r>
    </w:p>
    <w:p w14:paraId="28C7B51D" w14:textId="77777777" w:rsidR="007B2CA3" w:rsidRDefault="007B2CA3">
      <w:pPr>
        <w:contextualSpacing w:val="0"/>
      </w:pPr>
    </w:p>
    <w:p w14:paraId="0E2D6CD7" w14:textId="77777777" w:rsidR="009A791D" w:rsidRPr="009A791D" w:rsidRDefault="009A791D" w:rsidP="009A791D">
      <w:pPr>
        <w:contextualSpacing w:val="0"/>
        <w:rPr>
          <w:u w:val="single"/>
          <w:lang w:val="en-US"/>
        </w:rPr>
      </w:pPr>
      <w:r w:rsidRPr="009A791D">
        <w:rPr>
          <w:b/>
          <w:u w:val="single"/>
          <w:lang w:val="en-US"/>
        </w:rPr>
        <w:t xml:space="preserve">III. </w:t>
      </w:r>
      <w:r w:rsidRPr="009A791D">
        <w:rPr>
          <w:b/>
          <w:bCs/>
          <w:u w:val="single"/>
          <w:lang w:val="en-US"/>
        </w:rPr>
        <w:t xml:space="preserve">Statement of the desired action(s) to be taken </w:t>
      </w:r>
    </w:p>
    <w:p w14:paraId="6A2EE722" w14:textId="77777777" w:rsidR="009A791D" w:rsidRDefault="009A791D" w:rsidP="009A791D">
      <w:pPr>
        <w:contextualSpacing w:val="0"/>
      </w:pPr>
      <w:r>
        <w:t>CSTE recommends the following actions:</w:t>
      </w:r>
    </w:p>
    <w:p w14:paraId="2465EE20" w14:textId="77777777" w:rsidR="009A791D" w:rsidRDefault="009A791D" w:rsidP="009A791D">
      <w:pPr>
        <w:contextualSpacing w:val="0"/>
      </w:pPr>
    </w:p>
    <w:p w14:paraId="756D153E" w14:textId="77777777" w:rsidR="009A791D" w:rsidRDefault="009A791D" w:rsidP="009A791D">
      <w:pPr>
        <w:contextualSpacing w:val="0"/>
      </w:pPr>
      <w:r>
        <w:t>1.</w:t>
      </w:r>
      <w:r>
        <w:tab/>
        <w:t xml:space="preserve">Utilize standard sources (e.g. reporting*) for case ascertainment for [Spotted Fever Rickettsiosis (including Rocky Mountain </w:t>
      </w:r>
      <w:proofErr w:type="gramStart"/>
      <w:r>
        <w:t>Spotted Fever</w:t>
      </w:r>
      <w:proofErr w:type="gramEnd"/>
      <w:r>
        <w:t xml:space="preserve">)]. Surveillance for [Spotted Fever Rickettsiosis (including Rocky Mountain </w:t>
      </w:r>
      <w:proofErr w:type="gramStart"/>
      <w:r>
        <w:t>Spotted Fever</w:t>
      </w:r>
      <w:proofErr w:type="gramEnd"/>
      <w:r>
        <w:t>)] should use the following recommended sources of data to the extent of coverage presented in Table III.</w:t>
      </w:r>
    </w:p>
    <w:p w14:paraId="74D4E0A2" w14:textId="77777777" w:rsidR="009A791D" w:rsidRDefault="009A791D" w:rsidP="009A791D">
      <w:pPr>
        <w:contextualSpacing w:val="0"/>
      </w:pPr>
    </w:p>
    <w:p w14:paraId="4F81136E" w14:textId="77777777" w:rsidR="00814016" w:rsidRDefault="009A791D" w:rsidP="009A791D">
      <w:pPr>
        <w:contextualSpacing w:val="0"/>
      </w:pPr>
      <w:r>
        <w:t xml:space="preserve">Table III. Recommended sources of data and extent of coverage for ascertainment of cases of [Spotted Fever Rickettsiosis (including Rocky Mountain </w:t>
      </w:r>
      <w:proofErr w:type="gramStart"/>
      <w:r>
        <w:t>Spotted Fever</w:t>
      </w:r>
      <w:proofErr w:type="gramEnd"/>
      <w:r>
        <w:t xml:space="preserve">)]. [Check all that apply.] </w:t>
      </w:r>
    </w:p>
    <w:p w14:paraId="343211C0" w14:textId="77777777" w:rsidR="00814016" w:rsidRDefault="00814016" w:rsidP="009A791D">
      <w:pPr>
        <w:contextualSpacing w:val="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814016" w:rsidRPr="00814016" w14:paraId="29622CD8" w14:textId="77777777" w:rsidTr="000320F0">
        <w:tc>
          <w:tcPr>
            <w:tcW w:w="5229" w:type="dxa"/>
            <w:vMerge w:val="restart"/>
            <w:vAlign w:val="bottom"/>
          </w:tcPr>
          <w:p w14:paraId="27EE2D2F" w14:textId="77777777" w:rsidR="00814016" w:rsidRPr="00814016" w:rsidRDefault="00814016" w:rsidP="00814016">
            <w:pPr>
              <w:contextualSpacing w:val="0"/>
              <w:rPr>
                <w:b/>
                <w:lang w:val="en-US"/>
              </w:rPr>
            </w:pPr>
            <w:r w:rsidRPr="00814016">
              <w:rPr>
                <w:b/>
                <w:lang w:val="en-US"/>
              </w:rPr>
              <w:t>Source of data for case ascertainment</w:t>
            </w:r>
          </w:p>
        </w:tc>
        <w:tc>
          <w:tcPr>
            <w:tcW w:w="3627" w:type="dxa"/>
            <w:gridSpan w:val="2"/>
          </w:tcPr>
          <w:p w14:paraId="77483D3C" w14:textId="77777777" w:rsidR="00814016" w:rsidRPr="00814016" w:rsidRDefault="00814016" w:rsidP="00814016">
            <w:pPr>
              <w:contextualSpacing w:val="0"/>
              <w:rPr>
                <w:lang w:val="en-US"/>
              </w:rPr>
            </w:pPr>
            <w:r w:rsidRPr="00814016">
              <w:rPr>
                <w:lang w:val="en-US"/>
              </w:rPr>
              <w:t>Coverage</w:t>
            </w:r>
          </w:p>
        </w:tc>
      </w:tr>
      <w:tr w:rsidR="00814016" w:rsidRPr="00814016" w14:paraId="4F7514C2" w14:textId="77777777" w:rsidTr="000320F0">
        <w:tc>
          <w:tcPr>
            <w:tcW w:w="5229" w:type="dxa"/>
            <w:vMerge/>
          </w:tcPr>
          <w:p w14:paraId="365F32A9" w14:textId="77777777" w:rsidR="00814016" w:rsidRPr="00814016" w:rsidRDefault="00814016" w:rsidP="00814016">
            <w:pPr>
              <w:contextualSpacing w:val="0"/>
              <w:rPr>
                <w:lang w:val="en-US"/>
              </w:rPr>
            </w:pPr>
          </w:p>
        </w:tc>
        <w:tc>
          <w:tcPr>
            <w:tcW w:w="1869" w:type="dxa"/>
          </w:tcPr>
          <w:p w14:paraId="7D274F36" w14:textId="77777777" w:rsidR="00814016" w:rsidRPr="00814016" w:rsidRDefault="00814016" w:rsidP="00814016">
            <w:pPr>
              <w:contextualSpacing w:val="0"/>
              <w:rPr>
                <w:lang w:val="en-US"/>
              </w:rPr>
            </w:pPr>
            <w:r w:rsidRPr="00814016">
              <w:rPr>
                <w:lang w:val="en-US"/>
              </w:rPr>
              <w:t>Population-wide</w:t>
            </w:r>
          </w:p>
        </w:tc>
        <w:tc>
          <w:tcPr>
            <w:tcW w:w="1758" w:type="dxa"/>
          </w:tcPr>
          <w:p w14:paraId="6816D84E" w14:textId="77777777" w:rsidR="00814016" w:rsidRPr="00814016" w:rsidRDefault="00814016" w:rsidP="00814016">
            <w:pPr>
              <w:contextualSpacing w:val="0"/>
              <w:rPr>
                <w:lang w:val="en-US"/>
              </w:rPr>
            </w:pPr>
            <w:r w:rsidRPr="00814016">
              <w:rPr>
                <w:lang w:val="en-US"/>
              </w:rPr>
              <w:t>Sentinel sites</w:t>
            </w:r>
          </w:p>
        </w:tc>
      </w:tr>
      <w:tr w:rsidR="00814016" w:rsidRPr="00814016" w14:paraId="12ABD3F3" w14:textId="77777777" w:rsidTr="000320F0">
        <w:tc>
          <w:tcPr>
            <w:tcW w:w="5229" w:type="dxa"/>
          </w:tcPr>
          <w:p w14:paraId="59AA29F2" w14:textId="77777777" w:rsidR="00814016" w:rsidRPr="00814016" w:rsidRDefault="00814016" w:rsidP="00814016">
            <w:pPr>
              <w:contextualSpacing w:val="0"/>
              <w:rPr>
                <w:lang w:val="en-US"/>
              </w:rPr>
            </w:pPr>
            <w:r w:rsidRPr="00814016">
              <w:rPr>
                <w:lang w:val="en-US"/>
              </w:rPr>
              <w:t>Clinician reporting</w:t>
            </w:r>
          </w:p>
        </w:tc>
        <w:tc>
          <w:tcPr>
            <w:tcW w:w="1869" w:type="dxa"/>
          </w:tcPr>
          <w:p w14:paraId="70181016" w14:textId="77777777" w:rsidR="00814016" w:rsidRPr="00814016" w:rsidRDefault="00814016" w:rsidP="00814016">
            <w:pPr>
              <w:contextualSpacing w:val="0"/>
              <w:rPr>
                <w:lang w:val="en-US"/>
              </w:rPr>
            </w:pPr>
            <w:r w:rsidRPr="00814016">
              <w:rPr>
                <w:lang w:val="en-US"/>
              </w:rPr>
              <w:t>X</w:t>
            </w:r>
          </w:p>
        </w:tc>
        <w:tc>
          <w:tcPr>
            <w:tcW w:w="1758" w:type="dxa"/>
          </w:tcPr>
          <w:p w14:paraId="662E20C3" w14:textId="77777777" w:rsidR="00814016" w:rsidRPr="00814016" w:rsidRDefault="00814016" w:rsidP="00814016">
            <w:pPr>
              <w:contextualSpacing w:val="0"/>
              <w:rPr>
                <w:lang w:val="en-US"/>
              </w:rPr>
            </w:pPr>
          </w:p>
        </w:tc>
      </w:tr>
      <w:tr w:rsidR="00814016" w:rsidRPr="00814016" w14:paraId="6F1AB896" w14:textId="77777777" w:rsidTr="000320F0">
        <w:tc>
          <w:tcPr>
            <w:tcW w:w="5229" w:type="dxa"/>
          </w:tcPr>
          <w:p w14:paraId="64EED576" w14:textId="77777777" w:rsidR="00814016" w:rsidRPr="00814016" w:rsidRDefault="00814016" w:rsidP="00814016">
            <w:pPr>
              <w:contextualSpacing w:val="0"/>
              <w:rPr>
                <w:lang w:val="en-US"/>
              </w:rPr>
            </w:pPr>
            <w:r w:rsidRPr="00814016">
              <w:rPr>
                <w:lang w:val="en-US"/>
              </w:rPr>
              <w:t>Laboratory reporting</w:t>
            </w:r>
          </w:p>
        </w:tc>
        <w:tc>
          <w:tcPr>
            <w:tcW w:w="1869" w:type="dxa"/>
          </w:tcPr>
          <w:p w14:paraId="397FF4F2" w14:textId="77777777" w:rsidR="00814016" w:rsidRPr="00814016" w:rsidRDefault="00814016" w:rsidP="00814016">
            <w:pPr>
              <w:contextualSpacing w:val="0"/>
              <w:rPr>
                <w:lang w:val="en-US"/>
              </w:rPr>
            </w:pPr>
            <w:r w:rsidRPr="00814016">
              <w:rPr>
                <w:lang w:val="en-US"/>
              </w:rPr>
              <w:t>X</w:t>
            </w:r>
          </w:p>
        </w:tc>
        <w:tc>
          <w:tcPr>
            <w:tcW w:w="1758" w:type="dxa"/>
          </w:tcPr>
          <w:p w14:paraId="7CE4C306" w14:textId="77777777" w:rsidR="00814016" w:rsidRPr="00814016" w:rsidRDefault="00814016" w:rsidP="00814016">
            <w:pPr>
              <w:contextualSpacing w:val="0"/>
              <w:rPr>
                <w:lang w:val="en-US"/>
              </w:rPr>
            </w:pPr>
          </w:p>
        </w:tc>
      </w:tr>
      <w:tr w:rsidR="00814016" w:rsidRPr="00814016" w14:paraId="6DFB1C20" w14:textId="77777777" w:rsidTr="000320F0">
        <w:tc>
          <w:tcPr>
            <w:tcW w:w="5229" w:type="dxa"/>
          </w:tcPr>
          <w:p w14:paraId="6F28329F" w14:textId="77777777" w:rsidR="00814016" w:rsidRPr="00814016" w:rsidRDefault="00814016" w:rsidP="00814016">
            <w:pPr>
              <w:contextualSpacing w:val="0"/>
              <w:rPr>
                <w:lang w:val="en-US"/>
              </w:rPr>
            </w:pPr>
            <w:r w:rsidRPr="00814016">
              <w:rPr>
                <w:lang w:val="en-US"/>
              </w:rPr>
              <w:t>Reporting by other entities (e.g., hospitals, veterinarians, pharmacies, poison centers), specify:</w:t>
            </w:r>
          </w:p>
        </w:tc>
        <w:tc>
          <w:tcPr>
            <w:tcW w:w="1869" w:type="dxa"/>
          </w:tcPr>
          <w:p w14:paraId="742AFFC2" w14:textId="77777777" w:rsidR="00814016" w:rsidRPr="00814016" w:rsidRDefault="00814016" w:rsidP="00814016">
            <w:pPr>
              <w:contextualSpacing w:val="0"/>
              <w:rPr>
                <w:lang w:val="en-US"/>
              </w:rPr>
            </w:pPr>
            <w:r w:rsidRPr="00814016">
              <w:rPr>
                <w:lang w:val="en-US"/>
              </w:rPr>
              <w:t>X</w:t>
            </w:r>
          </w:p>
        </w:tc>
        <w:tc>
          <w:tcPr>
            <w:tcW w:w="1758" w:type="dxa"/>
          </w:tcPr>
          <w:p w14:paraId="30A2BB60" w14:textId="77777777" w:rsidR="00814016" w:rsidRPr="00814016" w:rsidRDefault="00814016" w:rsidP="00814016">
            <w:pPr>
              <w:contextualSpacing w:val="0"/>
              <w:rPr>
                <w:lang w:val="en-US"/>
              </w:rPr>
            </w:pPr>
          </w:p>
        </w:tc>
      </w:tr>
      <w:tr w:rsidR="00814016" w:rsidRPr="00814016" w14:paraId="10AAA35A" w14:textId="77777777" w:rsidTr="000320F0">
        <w:tc>
          <w:tcPr>
            <w:tcW w:w="5229" w:type="dxa"/>
          </w:tcPr>
          <w:p w14:paraId="5572F80D" w14:textId="77777777" w:rsidR="00814016" w:rsidRPr="00814016" w:rsidRDefault="00814016" w:rsidP="00814016">
            <w:pPr>
              <w:contextualSpacing w:val="0"/>
              <w:rPr>
                <w:lang w:val="en-US"/>
              </w:rPr>
            </w:pPr>
            <w:r w:rsidRPr="00814016">
              <w:rPr>
                <w:lang w:val="en-US"/>
              </w:rPr>
              <w:t>Death certificates</w:t>
            </w:r>
          </w:p>
        </w:tc>
        <w:tc>
          <w:tcPr>
            <w:tcW w:w="1869" w:type="dxa"/>
          </w:tcPr>
          <w:p w14:paraId="36A2F14D" w14:textId="77777777" w:rsidR="00814016" w:rsidRPr="00814016" w:rsidRDefault="00814016" w:rsidP="00814016">
            <w:pPr>
              <w:contextualSpacing w:val="0"/>
              <w:rPr>
                <w:lang w:val="en-US"/>
              </w:rPr>
            </w:pPr>
            <w:r w:rsidRPr="00814016">
              <w:rPr>
                <w:lang w:val="en-US"/>
              </w:rPr>
              <w:t>X</w:t>
            </w:r>
          </w:p>
        </w:tc>
        <w:tc>
          <w:tcPr>
            <w:tcW w:w="1758" w:type="dxa"/>
          </w:tcPr>
          <w:p w14:paraId="240FE400" w14:textId="77777777" w:rsidR="00814016" w:rsidRPr="00814016" w:rsidRDefault="00814016" w:rsidP="00814016">
            <w:pPr>
              <w:contextualSpacing w:val="0"/>
              <w:rPr>
                <w:lang w:val="en-US"/>
              </w:rPr>
            </w:pPr>
          </w:p>
        </w:tc>
      </w:tr>
      <w:tr w:rsidR="00814016" w:rsidRPr="00814016" w14:paraId="160AD470" w14:textId="77777777" w:rsidTr="000320F0">
        <w:tc>
          <w:tcPr>
            <w:tcW w:w="5229" w:type="dxa"/>
          </w:tcPr>
          <w:p w14:paraId="7D4974E1" w14:textId="77777777" w:rsidR="00814016" w:rsidRPr="00814016" w:rsidRDefault="00814016" w:rsidP="00814016">
            <w:pPr>
              <w:contextualSpacing w:val="0"/>
              <w:rPr>
                <w:lang w:val="en-US"/>
              </w:rPr>
            </w:pPr>
            <w:r w:rsidRPr="00814016">
              <w:rPr>
                <w:lang w:val="en-US"/>
              </w:rPr>
              <w:t>Hospital discharge or outpatient records</w:t>
            </w:r>
          </w:p>
        </w:tc>
        <w:tc>
          <w:tcPr>
            <w:tcW w:w="1869" w:type="dxa"/>
          </w:tcPr>
          <w:p w14:paraId="0615DCFE" w14:textId="77777777" w:rsidR="00814016" w:rsidRPr="00814016" w:rsidRDefault="00814016" w:rsidP="00814016">
            <w:pPr>
              <w:contextualSpacing w:val="0"/>
              <w:rPr>
                <w:lang w:val="en-US"/>
              </w:rPr>
            </w:pPr>
            <w:r w:rsidRPr="00814016">
              <w:rPr>
                <w:lang w:val="en-US"/>
              </w:rPr>
              <w:t>X</w:t>
            </w:r>
          </w:p>
        </w:tc>
        <w:tc>
          <w:tcPr>
            <w:tcW w:w="1758" w:type="dxa"/>
          </w:tcPr>
          <w:p w14:paraId="0FCBBC7E" w14:textId="77777777" w:rsidR="00814016" w:rsidRPr="00814016" w:rsidRDefault="00814016" w:rsidP="00814016">
            <w:pPr>
              <w:contextualSpacing w:val="0"/>
              <w:rPr>
                <w:lang w:val="en-US"/>
              </w:rPr>
            </w:pPr>
          </w:p>
        </w:tc>
      </w:tr>
      <w:tr w:rsidR="00814016" w:rsidRPr="00814016" w14:paraId="5A6717D9" w14:textId="77777777" w:rsidTr="000320F0">
        <w:tc>
          <w:tcPr>
            <w:tcW w:w="5229" w:type="dxa"/>
          </w:tcPr>
          <w:p w14:paraId="38849C0A" w14:textId="77777777" w:rsidR="00814016" w:rsidRPr="00814016" w:rsidRDefault="00814016" w:rsidP="00814016">
            <w:pPr>
              <w:contextualSpacing w:val="0"/>
              <w:rPr>
                <w:lang w:val="en-US"/>
              </w:rPr>
            </w:pPr>
            <w:r w:rsidRPr="00814016">
              <w:rPr>
                <w:lang w:val="en-US"/>
              </w:rPr>
              <w:t>Extracts from electronic medical records</w:t>
            </w:r>
          </w:p>
        </w:tc>
        <w:tc>
          <w:tcPr>
            <w:tcW w:w="1869" w:type="dxa"/>
          </w:tcPr>
          <w:p w14:paraId="5262ECD2" w14:textId="77777777" w:rsidR="00814016" w:rsidRPr="00814016" w:rsidRDefault="00814016" w:rsidP="00814016">
            <w:pPr>
              <w:contextualSpacing w:val="0"/>
              <w:rPr>
                <w:lang w:val="en-US"/>
              </w:rPr>
            </w:pPr>
            <w:r w:rsidRPr="00814016">
              <w:rPr>
                <w:lang w:val="en-US"/>
              </w:rPr>
              <w:t>X</w:t>
            </w:r>
          </w:p>
        </w:tc>
        <w:tc>
          <w:tcPr>
            <w:tcW w:w="1758" w:type="dxa"/>
          </w:tcPr>
          <w:p w14:paraId="38240F2E" w14:textId="77777777" w:rsidR="00814016" w:rsidRPr="00814016" w:rsidRDefault="00814016" w:rsidP="00814016">
            <w:pPr>
              <w:contextualSpacing w:val="0"/>
              <w:rPr>
                <w:lang w:val="en-US"/>
              </w:rPr>
            </w:pPr>
          </w:p>
        </w:tc>
      </w:tr>
      <w:tr w:rsidR="00814016" w:rsidRPr="00814016" w14:paraId="4222EE52" w14:textId="77777777" w:rsidTr="000320F0">
        <w:tc>
          <w:tcPr>
            <w:tcW w:w="5229" w:type="dxa"/>
          </w:tcPr>
          <w:p w14:paraId="400ACC41" w14:textId="77777777" w:rsidR="00814016" w:rsidRPr="00814016" w:rsidRDefault="00814016" w:rsidP="00814016">
            <w:pPr>
              <w:contextualSpacing w:val="0"/>
              <w:rPr>
                <w:lang w:val="en-US"/>
              </w:rPr>
            </w:pPr>
            <w:r w:rsidRPr="00814016">
              <w:rPr>
                <w:lang w:val="en-US"/>
              </w:rPr>
              <w:t>Telephone survey</w:t>
            </w:r>
          </w:p>
        </w:tc>
        <w:tc>
          <w:tcPr>
            <w:tcW w:w="1869" w:type="dxa"/>
          </w:tcPr>
          <w:p w14:paraId="794AAD15" w14:textId="77777777" w:rsidR="00814016" w:rsidRPr="00814016" w:rsidRDefault="00814016" w:rsidP="00814016">
            <w:pPr>
              <w:contextualSpacing w:val="0"/>
              <w:rPr>
                <w:lang w:val="en-US"/>
              </w:rPr>
            </w:pPr>
            <w:r w:rsidRPr="00814016">
              <w:rPr>
                <w:lang w:val="en-US"/>
              </w:rPr>
              <w:t>X</w:t>
            </w:r>
          </w:p>
        </w:tc>
        <w:tc>
          <w:tcPr>
            <w:tcW w:w="1758" w:type="dxa"/>
          </w:tcPr>
          <w:p w14:paraId="40DEE5CE" w14:textId="77777777" w:rsidR="00814016" w:rsidRPr="00814016" w:rsidRDefault="00814016" w:rsidP="00814016">
            <w:pPr>
              <w:contextualSpacing w:val="0"/>
              <w:rPr>
                <w:lang w:val="en-US"/>
              </w:rPr>
            </w:pPr>
          </w:p>
        </w:tc>
      </w:tr>
      <w:tr w:rsidR="00814016" w:rsidRPr="00814016" w14:paraId="09EDD8D1" w14:textId="77777777" w:rsidTr="000320F0">
        <w:tc>
          <w:tcPr>
            <w:tcW w:w="5229" w:type="dxa"/>
          </w:tcPr>
          <w:p w14:paraId="511D9B80" w14:textId="77777777" w:rsidR="00814016" w:rsidRPr="00814016" w:rsidRDefault="00814016" w:rsidP="00814016">
            <w:pPr>
              <w:contextualSpacing w:val="0"/>
              <w:rPr>
                <w:lang w:val="en-US"/>
              </w:rPr>
            </w:pPr>
            <w:r w:rsidRPr="00814016">
              <w:rPr>
                <w:lang w:val="en-US"/>
              </w:rPr>
              <w:t>School-based survey</w:t>
            </w:r>
          </w:p>
        </w:tc>
        <w:tc>
          <w:tcPr>
            <w:tcW w:w="1869" w:type="dxa"/>
          </w:tcPr>
          <w:p w14:paraId="77E363ED" w14:textId="77777777" w:rsidR="00814016" w:rsidRPr="00814016" w:rsidRDefault="00814016" w:rsidP="00814016">
            <w:pPr>
              <w:contextualSpacing w:val="0"/>
              <w:rPr>
                <w:lang w:val="en-US"/>
              </w:rPr>
            </w:pPr>
          </w:p>
        </w:tc>
        <w:tc>
          <w:tcPr>
            <w:tcW w:w="1758" w:type="dxa"/>
          </w:tcPr>
          <w:p w14:paraId="697D608C" w14:textId="77777777" w:rsidR="00814016" w:rsidRPr="00814016" w:rsidRDefault="00814016" w:rsidP="00814016">
            <w:pPr>
              <w:contextualSpacing w:val="0"/>
              <w:rPr>
                <w:lang w:val="en-US"/>
              </w:rPr>
            </w:pPr>
          </w:p>
        </w:tc>
      </w:tr>
      <w:tr w:rsidR="00814016" w:rsidRPr="00814016" w14:paraId="11CE59B2" w14:textId="77777777" w:rsidTr="000320F0">
        <w:tc>
          <w:tcPr>
            <w:tcW w:w="5229" w:type="dxa"/>
          </w:tcPr>
          <w:p w14:paraId="04A38A5E" w14:textId="77777777" w:rsidR="00814016" w:rsidRPr="00814016" w:rsidRDefault="00814016" w:rsidP="00814016">
            <w:pPr>
              <w:contextualSpacing w:val="0"/>
              <w:rPr>
                <w:lang w:val="en-US"/>
              </w:rPr>
            </w:pPr>
            <w:r w:rsidRPr="00814016">
              <w:rPr>
                <w:lang w:val="en-US"/>
              </w:rPr>
              <w:t>Other, specify:</w:t>
            </w:r>
          </w:p>
        </w:tc>
        <w:tc>
          <w:tcPr>
            <w:tcW w:w="1869" w:type="dxa"/>
          </w:tcPr>
          <w:p w14:paraId="10FFF3B8" w14:textId="77777777" w:rsidR="00814016" w:rsidRPr="00814016" w:rsidRDefault="00814016" w:rsidP="00814016">
            <w:pPr>
              <w:contextualSpacing w:val="0"/>
              <w:rPr>
                <w:lang w:val="en-US"/>
              </w:rPr>
            </w:pPr>
          </w:p>
        </w:tc>
        <w:tc>
          <w:tcPr>
            <w:tcW w:w="1758" w:type="dxa"/>
          </w:tcPr>
          <w:p w14:paraId="46359CD4" w14:textId="77777777" w:rsidR="00814016" w:rsidRPr="00814016" w:rsidRDefault="00814016" w:rsidP="00814016">
            <w:pPr>
              <w:contextualSpacing w:val="0"/>
              <w:rPr>
                <w:lang w:val="en-US"/>
              </w:rPr>
            </w:pPr>
          </w:p>
        </w:tc>
      </w:tr>
      <w:tr w:rsidR="00814016" w:rsidRPr="00814016" w14:paraId="08EBE82E" w14:textId="77777777" w:rsidTr="000320F0">
        <w:tc>
          <w:tcPr>
            <w:tcW w:w="8856" w:type="dxa"/>
            <w:gridSpan w:val="3"/>
          </w:tcPr>
          <w:p w14:paraId="3453ABA0" w14:textId="77777777" w:rsidR="00814016" w:rsidRPr="00814016" w:rsidRDefault="00814016" w:rsidP="00814016">
            <w:pPr>
              <w:contextualSpacing w:val="0"/>
              <w:rPr>
                <w:lang w:val="en-US"/>
              </w:rPr>
            </w:pPr>
            <w:r w:rsidRPr="00814016">
              <w:rPr>
                <w:lang w:val="en-US"/>
              </w:rPr>
              <w:t>2018 Template</w:t>
            </w:r>
          </w:p>
        </w:tc>
      </w:tr>
    </w:tbl>
    <w:p w14:paraId="1D9C9B08" w14:textId="77777777" w:rsidR="00BA44E3" w:rsidRDefault="00BA44E3" w:rsidP="009A791D">
      <w:pPr>
        <w:contextualSpacing w:val="0"/>
      </w:pPr>
    </w:p>
    <w:p w14:paraId="77964E9C" w14:textId="77777777" w:rsidR="00BA44E3" w:rsidRDefault="00BA44E3" w:rsidP="009A791D">
      <w:pPr>
        <w:contextualSpacing w:val="0"/>
      </w:pPr>
    </w:p>
    <w:p w14:paraId="3A82A21B" w14:textId="77777777" w:rsidR="00000134" w:rsidRDefault="00BA44E3" w:rsidP="009A791D">
      <w:pPr>
        <w:contextualSpacing w:val="0"/>
      </w:pPr>
      <w:r w:rsidRPr="00BA44E3">
        <w:t>2.</w:t>
      </w:r>
      <w:r w:rsidRPr="00BA44E3">
        <w:tab/>
        <w:t xml:space="preserve">Utilize standardized criteria for case identification and classification (Sections VI and VII and Technical Supplement) for [Spotted Fever Rickettsiosis (including Rocky Mountain </w:t>
      </w:r>
      <w:proofErr w:type="gramStart"/>
      <w:r w:rsidRPr="00BA44E3">
        <w:t>Spotted Fever</w:t>
      </w:r>
      <w:proofErr w:type="gramEnd"/>
      <w:r w:rsidRPr="00BA44E3">
        <w:t>)].</w:t>
      </w:r>
    </w:p>
    <w:p w14:paraId="72A3425E" w14:textId="77777777" w:rsidR="00000134" w:rsidRPr="00000134" w:rsidRDefault="00000134" w:rsidP="00000134">
      <w:pPr>
        <w:numPr>
          <w:ilvl w:val="0"/>
          <w:numId w:val="3"/>
        </w:numPr>
        <w:contextualSpacing w:val="0"/>
        <w:rPr>
          <w:lang w:val="en-US"/>
        </w:rPr>
      </w:pPr>
      <w:r w:rsidRPr="00000134">
        <w:rPr>
          <w:lang w:val="en-US"/>
        </w:rPr>
        <w:t xml:space="preserve">Remove immunoglobulin M (IgM) antibody reactive with </w:t>
      </w:r>
      <w:r w:rsidRPr="00000134">
        <w:rPr>
          <w:i/>
          <w:lang w:val="en-US"/>
        </w:rPr>
        <w:t xml:space="preserve">R. </w:t>
      </w:r>
      <w:proofErr w:type="spellStart"/>
      <w:r w:rsidRPr="00000134">
        <w:rPr>
          <w:i/>
          <w:lang w:val="en-US"/>
        </w:rPr>
        <w:t>rickettsii</w:t>
      </w:r>
      <w:proofErr w:type="spellEnd"/>
      <w:r w:rsidRPr="00000134">
        <w:rPr>
          <w:lang w:val="en-US"/>
        </w:rPr>
        <w:t xml:space="preserve"> antigen by IFA, enzyme-linked immunosorbent assay (ELISA), dot-ELISA, and latex agglutination as laboratory supportive evidence. </w:t>
      </w:r>
    </w:p>
    <w:p w14:paraId="7C360303" w14:textId="77777777" w:rsidR="00000134" w:rsidRPr="00000134" w:rsidRDefault="00000134" w:rsidP="00000134">
      <w:pPr>
        <w:numPr>
          <w:ilvl w:val="0"/>
          <w:numId w:val="3"/>
        </w:numPr>
        <w:contextualSpacing w:val="0"/>
        <w:rPr>
          <w:lang w:val="en-US"/>
        </w:rPr>
      </w:pPr>
      <w:r w:rsidRPr="00000134">
        <w:rPr>
          <w:lang w:val="en-US"/>
        </w:rPr>
        <w:t xml:space="preserve">Replace the wording to “a ≥ 4-fold rise in immunoglobulin G (IgG)-specific antibody reactive with Spotted Fever Group Rickettsia, including </w:t>
      </w:r>
      <w:r w:rsidRPr="00000134">
        <w:rPr>
          <w:i/>
          <w:lang w:val="en-US"/>
        </w:rPr>
        <w:t xml:space="preserve">R. </w:t>
      </w:r>
      <w:proofErr w:type="spellStart"/>
      <w:r w:rsidRPr="00000134">
        <w:rPr>
          <w:i/>
          <w:lang w:val="en-US"/>
        </w:rPr>
        <w:t>rickettsii</w:t>
      </w:r>
      <w:proofErr w:type="spellEnd"/>
      <w:r w:rsidRPr="00000134">
        <w:rPr>
          <w:lang w:val="en-US"/>
        </w:rPr>
        <w:t xml:space="preserve">, antigen by </w:t>
      </w:r>
      <w:r w:rsidRPr="00000134">
        <w:rPr>
          <w:lang w:val="en-US"/>
        </w:rPr>
        <w:lastRenderedPageBreak/>
        <w:t>indirect immunofluorescence assay (IFA) between paired serum specimens (one taken in the first week of illness and a second 2–4 weeks later)” as opposed to a “fourfold change”.</w:t>
      </w:r>
    </w:p>
    <w:p w14:paraId="3F1E7576" w14:textId="77777777" w:rsidR="00000134" w:rsidRPr="00000134" w:rsidRDefault="00000134" w:rsidP="00000134">
      <w:pPr>
        <w:numPr>
          <w:ilvl w:val="0"/>
          <w:numId w:val="3"/>
        </w:numPr>
        <w:contextualSpacing w:val="0"/>
        <w:rPr>
          <w:b/>
          <w:lang w:val="en-US"/>
        </w:rPr>
      </w:pPr>
      <w:r w:rsidRPr="00000134">
        <w:rPr>
          <w:lang w:val="en-US"/>
        </w:rPr>
        <w:t xml:space="preserve">Increase the IFA IgG testing cutoff of ≥1:128 for single serology reactive with Spotted Fever Group Rickettsia, including </w:t>
      </w:r>
      <w:r w:rsidRPr="00000134">
        <w:rPr>
          <w:i/>
          <w:lang w:val="en-US"/>
        </w:rPr>
        <w:t xml:space="preserve">R. </w:t>
      </w:r>
      <w:proofErr w:type="spellStart"/>
      <w:r w:rsidRPr="00000134">
        <w:rPr>
          <w:i/>
          <w:lang w:val="en-US"/>
        </w:rPr>
        <w:t>rickettsii</w:t>
      </w:r>
      <w:proofErr w:type="spellEnd"/>
      <w:r w:rsidRPr="00000134">
        <w:rPr>
          <w:lang w:val="en-US"/>
        </w:rPr>
        <w:t xml:space="preserve">, antigen by IFA, to have it classified as Presumptive laboratory evidence as part of the “Probable” case definition.  </w:t>
      </w:r>
    </w:p>
    <w:p w14:paraId="0E8D14F3" w14:textId="77777777" w:rsidR="00000134" w:rsidRPr="00000134" w:rsidRDefault="00000134" w:rsidP="00000134">
      <w:pPr>
        <w:numPr>
          <w:ilvl w:val="0"/>
          <w:numId w:val="3"/>
        </w:numPr>
        <w:contextualSpacing w:val="0"/>
        <w:rPr>
          <w:lang w:val="en-US"/>
        </w:rPr>
      </w:pPr>
      <w:r w:rsidRPr="00000134">
        <w:rPr>
          <w:lang w:val="en-US"/>
        </w:rPr>
        <w:t xml:space="preserve">Create a new category of Supportive laboratory evidence that would include serologic evidence of elevated IgG antibody at a titer &lt;1:128 reactive with spotted fever group Rickettsia, including </w:t>
      </w:r>
      <w:r w:rsidRPr="00000134">
        <w:rPr>
          <w:i/>
          <w:lang w:val="en-US"/>
        </w:rPr>
        <w:t xml:space="preserve">R. </w:t>
      </w:r>
      <w:proofErr w:type="spellStart"/>
      <w:r w:rsidRPr="00000134">
        <w:rPr>
          <w:i/>
          <w:lang w:val="en-US"/>
        </w:rPr>
        <w:t>rickettsii</w:t>
      </w:r>
      <w:proofErr w:type="spellEnd"/>
      <w:r w:rsidRPr="00000134">
        <w:rPr>
          <w:lang w:val="en-US"/>
        </w:rPr>
        <w:t>, antigen by IFA as part of the “Suspect” case definition.</w:t>
      </w:r>
    </w:p>
    <w:p w14:paraId="55696307" w14:textId="77777777" w:rsidR="00000134" w:rsidRPr="00000134" w:rsidRDefault="00000134" w:rsidP="00000134">
      <w:pPr>
        <w:contextualSpacing w:val="0"/>
        <w:rPr>
          <w:b/>
          <w:lang w:val="en-US"/>
        </w:rPr>
      </w:pPr>
    </w:p>
    <w:p w14:paraId="4708D896" w14:textId="77777777" w:rsidR="00000134" w:rsidRPr="00000134" w:rsidRDefault="00000134" w:rsidP="00000134">
      <w:pPr>
        <w:contextualSpacing w:val="0"/>
        <w:rPr>
          <w:b/>
          <w:lang w:val="en-US"/>
        </w:rPr>
      </w:pPr>
      <w:r w:rsidRPr="00000134">
        <w:rPr>
          <w:b/>
          <w:lang w:val="en-US"/>
        </w:rPr>
        <w:t xml:space="preserve">Word Count: </w:t>
      </w:r>
      <w:r w:rsidRPr="00000134">
        <w:rPr>
          <w:u w:val="single"/>
          <w:lang w:val="en-US"/>
        </w:rPr>
        <w:t>_157/100</w:t>
      </w:r>
    </w:p>
    <w:p w14:paraId="0910595F" w14:textId="77777777" w:rsidR="00000134" w:rsidRDefault="00000134" w:rsidP="009A791D">
      <w:pPr>
        <w:contextualSpacing w:val="0"/>
      </w:pPr>
    </w:p>
    <w:p w14:paraId="107BE78A" w14:textId="4091B48F" w:rsidR="007B2CA3" w:rsidRDefault="00B327FC" w:rsidP="009A791D">
      <w:pPr>
        <w:contextualSpacing w:val="0"/>
      </w:pPr>
      <w:r>
        <w:br w:type="page"/>
      </w:r>
    </w:p>
    <w:p w14:paraId="7C6E4FFA" w14:textId="77777777" w:rsidR="007B2CA3" w:rsidRDefault="00B327FC">
      <w:pPr>
        <w:contextualSpacing w:val="0"/>
      </w:pPr>
      <w:r>
        <w:rPr>
          <w:b/>
          <w:u w:val="single"/>
        </w:rPr>
        <w:lastRenderedPageBreak/>
        <w:t>IV. Goals of Surveillance</w:t>
      </w:r>
      <w:r>
        <w:br/>
      </w:r>
      <w:proofErr w:type="gramStart"/>
      <w:r>
        <w:rPr>
          <w:i/>
        </w:rPr>
        <w:t>Please</w:t>
      </w:r>
      <w:proofErr w:type="gramEnd"/>
      <w:r>
        <w:rPr>
          <w:i/>
        </w:rPr>
        <w:t xml:space="preserve"> limit text in this section to no more than 100 words. </w:t>
      </w:r>
      <w:r>
        <w:br/>
        <w:t xml:space="preserve"> </w:t>
      </w:r>
      <w:r>
        <w:b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w:t>
      </w:r>
      <w:proofErr w:type="gramStart"/>
      <w:r>
        <w:t>Spotted Fever</w:t>
      </w:r>
      <w:proofErr w:type="gramEnd"/>
      <w:r>
        <w:t>) to facilitate its prevention and control.</w:t>
      </w:r>
    </w:p>
    <w:p w14:paraId="0DC27C84" w14:textId="77777777" w:rsidR="007B2CA3" w:rsidRDefault="007B2CA3">
      <w:pPr>
        <w:contextualSpacing w:val="0"/>
      </w:pPr>
    </w:p>
    <w:p w14:paraId="792F93A4" w14:textId="77777777" w:rsidR="007B2CA3" w:rsidRDefault="00B327FC">
      <w:pPr>
        <w:contextualSpacing w:val="0"/>
        <w:rPr>
          <w:b/>
        </w:rPr>
      </w:pPr>
      <w:r>
        <w:t xml:space="preserve"> Word Count: 60/100</w:t>
      </w:r>
    </w:p>
    <w:p w14:paraId="313FE38E" w14:textId="77777777" w:rsidR="007B2CA3" w:rsidRDefault="007B2CA3">
      <w:pPr>
        <w:contextualSpacing w:val="0"/>
        <w:rPr>
          <w:b/>
        </w:rPr>
      </w:pPr>
    </w:p>
    <w:p w14:paraId="4D5B76B5" w14:textId="77777777" w:rsidR="00F735A9" w:rsidRPr="00F735A9" w:rsidRDefault="00F735A9" w:rsidP="00F735A9">
      <w:pPr>
        <w:contextualSpacing w:val="0"/>
      </w:pPr>
      <w:r w:rsidRPr="00F735A9">
        <w:rPr>
          <w:b/>
          <w:bCs/>
          <w:u w:val="single"/>
          <w:lang w:val="en-US"/>
        </w:rPr>
        <w:t xml:space="preserve">V. Methods for Surveillance: </w:t>
      </w:r>
      <w:r w:rsidRPr="00F735A9">
        <w:t xml:space="preserve">Surveillance for [Spotted Fever Rickettsiosis (including Rocky Mountain </w:t>
      </w:r>
      <w:proofErr w:type="gramStart"/>
      <w:r w:rsidRPr="00F735A9">
        <w:t>Spotted Fever</w:t>
      </w:r>
      <w:proofErr w:type="gramEnd"/>
      <w:r w:rsidRPr="00F735A9">
        <w:t>)] should use the recommended sources of data and the extent of coverage listed in Table III.</w:t>
      </w:r>
    </w:p>
    <w:p w14:paraId="203439A5" w14:textId="77777777" w:rsidR="00F735A9" w:rsidRDefault="00F735A9">
      <w:pPr>
        <w:contextualSpacing w:val="0"/>
      </w:pPr>
    </w:p>
    <w:p w14:paraId="1B3F11D7" w14:textId="35B64494" w:rsidR="00662423" w:rsidRDefault="00705598">
      <w:pPr>
        <w:contextualSpacing w:val="0"/>
        <w:rPr>
          <w:rFonts w:eastAsia="Times New Roman" w:cs="Times New Roman"/>
          <w:snapToGrid w:val="0"/>
          <w:color w:val="0000FF"/>
          <w:sz w:val="16"/>
          <w:szCs w:val="20"/>
          <w:lang w:val="en-US"/>
        </w:rPr>
      </w:pPr>
      <w:r w:rsidRPr="00705598">
        <w:rPr>
          <w:b/>
          <w:bCs/>
          <w:u w:val="single"/>
          <w:lang w:val="en-US"/>
        </w:rPr>
        <w:t xml:space="preserve">VI. Criteria for case ascertainment </w:t>
      </w:r>
    </w:p>
    <w:p w14:paraId="49F1AC15" w14:textId="77777777" w:rsidR="00662423" w:rsidRDefault="00662423">
      <w:pPr>
        <w:contextualSpacing w:val="0"/>
        <w:rPr>
          <w:rFonts w:eastAsia="Times New Roman" w:cs="Times New Roman"/>
          <w:snapToGrid w:val="0"/>
          <w:color w:val="0000FF"/>
          <w:sz w:val="16"/>
          <w:szCs w:val="20"/>
          <w:lang w:val="en-US"/>
        </w:rPr>
      </w:pPr>
    </w:p>
    <w:p w14:paraId="30375614" w14:textId="77777777" w:rsidR="00662423" w:rsidRPr="00AA0BD7" w:rsidRDefault="00662423" w:rsidP="00662423">
      <w:pPr>
        <w:contextualSpacing w:val="0"/>
        <w:rPr>
          <w:b/>
          <w:bCs/>
          <w:u w:val="single"/>
          <w:lang w:val="en-US"/>
        </w:rPr>
      </w:pPr>
      <w:r w:rsidRPr="00AA0BD7">
        <w:rPr>
          <w:b/>
          <w:bCs/>
          <w:u w:val="single"/>
          <w:lang w:val="en-US"/>
        </w:rPr>
        <w:t>A. Narrative: A description of suggested criteria for case ascertainment of a specific condition.</w:t>
      </w:r>
    </w:p>
    <w:p w14:paraId="6BDBC977" w14:textId="767CDFAB" w:rsidR="00605EA6" w:rsidRDefault="00605EA6" w:rsidP="00662423">
      <w:pPr>
        <w:contextualSpacing w:val="0"/>
      </w:pPr>
      <w:r>
        <w:t xml:space="preserve">Report any illness to public health authorities that meets any of the following </w:t>
      </w:r>
      <w:r w:rsidR="000C6C0D">
        <w:t xml:space="preserve">laboratory </w:t>
      </w:r>
      <w:r>
        <w:t xml:space="preserve">criteria: </w:t>
      </w:r>
    </w:p>
    <w:p w14:paraId="0B4AE35B" w14:textId="77777777" w:rsidR="00605EA6" w:rsidRDefault="00605EA6" w:rsidP="00605EA6">
      <w:pPr>
        <w:ind w:left="720"/>
        <w:contextualSpacing w:val="0"/>
      </w:pPr>
      <w:r>
        <w:t>1. Any patient with clinical illness and laboratory evidence of Spotted Fever Rickettsiosis (including Rocky Mountain spotted fever) in</w:t>
      </w:r>
      <w:r>
        <w:t xml:space="preserve">cluding any of the following: </w:t>
      </w:r>
    </w:p>
    <w:p w14:paraId="0C7E3200" w14:textId="7655003D" w:rsidR="00605EA6" w:rsidRPr="00605EA6" w:rsidRDefault="00605EA6" w:rsidP="00605EA6">
      <w:pPr>
        <w:pStyle w:val="ListParagraph"/>
        <w:numPr>
          <w:ilvl w:val="0"/>
          <w:numId w:val="6"/>
        </w:numPr>
        <w:contextualSpacing w:val="0"/>
        <w:rPr>
          <w:rFonts w:eastAsia="Times New Roman" w:cs="Times New Roman"/>
          <w:b/>
          <w:bCs/>
          <w:snapToGrid w:val="0"/>
          <w:color w:val="0000FF"/>
          <w:sz w:val="16"/>
          <w:szCs w:val="20"/>
          <w:lang w:val="en-US"/>
        </w:rPr>
      </w:pPr>
      <w:r>
        <w:t xml:space="preserve">A </w:t>
      </w:r>
      <w:r w:rsidR="00F32B49" w:rsidRPr="00000134">
        <w:rPr>
          <w:lang w:val="en-US"/>
        </w:rPr>
        <w:t xml:space="preserve">≥ 4-fold rise in immunoglobulin G (IgG)-specific antibody reactive with Spotted Fever Group Rickettsia, including </w:t>
      </w:r>
      <w:r w:rsidR="00F32B49" w:rsidRPr="00000134">
        <w:rPr>
          <w:i/>
          <w:lang w:val="en-US"/>
        </w:rPr>
        <w:t xml:space="preserve">R. </w:t>
      </w:r>
      <w:proofErr w:type="spellStart"/>
      <w:r w:rsidR="00F32B49" w:rsidRPr="00000134">
        <w:rPr>
          <w:i/>
          <w:lang w:val="en-US"/>
        </w:rPr>
        <w:t>rickettsii</w:t>
      </w:r>
      <w:proofErr w:type="spellEnd"/>
      <w:r w:rsidR="00F32B49" w:rsidRPr="00000134">
        <w:rPr>
          <w:lang w:val="en-US"/>
        </w:rPr>
        <w:t>, antigen by indirect immunofluorescence assay (IFA) between paired serum specimens (one taken in the first week of illness and a second 2–4 weeks later)</w:t>
      </w:r>
      <w:r>
        <w:t xml:space="preserve">in immunoglobulin G (IgG)-specific antibody titer reactive with Rickettsia </w:t>
      </w:r>
      <w:proofErr w:type="spellStart"/>
      <w:r>
        <w:t>rickettsii</w:t>
      </w:r>
      <w:proofErr w:type="spellEnd"/>
      <w:r>
        <w:t xml:space="preserve"> or other spotted fever group antigen by indirect immunofluorescence assay (IFA) between paired serum specimens (one taken in the first week of illness </w:t>
      </w:r>
      <w:r>
        <w:t xml:space="preserve">and a second 2-4 weeks later) </w:t>
      </w:r>
    </w:p>
    <w:p w14:paraId="76B19DA3" w14:textId="61122DC3" w:rsidR="00A632EF" w:rsidRPr="007A0DAC" w:rsidRDefault="00605EA6" w:rsidP="007A0DAC">
      <w:pPr>
        <w:pStyle w:val="ListParagraph"/>
        <w:numPr>
          <w:ilvl w:val="0"/>
          <w:numId w:val="6"/>
        </w:numPr>
        <w:contextualSpacing w:val="0"/>
        <w:rPr>
          <w:rFonts w:eastAsia="Times New Roman" w:cs="Times New Roman"/>
          <w:b/>
          <w:bCs/>
          <w:snapToGrid w:val="0"/>
          <w:color w:val="0000FF"/>
          <w:sz w:val="16"/>
          <w:szCs w:val="20"/>
          <w:lang w:val="en-US"/>
        </w:rPr>
      </w:pPr>
      <w:r>
        <w:t>Elevated IgG antibody</w:t>
      </w:r>
      <w:r w:rsidR="00EF4E9C">
        <w:t xml:space="preserve"> (</w:t>
      </w:r>
      <w:r w:rsidR="00EF4E9C" w:rsidRPr="00000134">
        <w:rPr>
          <w:lang w:val="en-US"/>
        </w:rPr>
        <w:t>≥1:128 for single serology</w:t>
      </w:r>
      <w:r w:rsidR="00EF4E9C">
        <w:rPr>
          <w:lang w:val="en-US"/>
        </w:rPr>
        <w:t>)</w:t>
      </w:r>
      <w:r>
        <w:t xml:space="preserve"> reactive with R. </w:t>
      </w:r>
      <w:proofErr w:type="spellStart"/>
      <w:r>
        <w:t>rickettsii</w:t>
      </w:r>
      <w:proofErr w:type="spellEnd"/>
      <w:r>
        <w:t xml:space="preserve"> or other spotted fever group antigen by IFA, enzyme-linked immunosorbent assay (ELISA), dot-</w:t>
      </w:r>
      <w:r w:rsidR="007A0DAC">
        <w:t xml:space="preserve">ELISA, or latex agglutination </w:t>
      </w:r>
    </w:p>
    <w:p w14:paraId="32653F67" w14:textId="77777777" w:rsidR="00A632EF" w:rsidRPr="00A632EF" w:rsidRDefault="00605EA6" w:rsidP="00605EA6">
      <w:pPr>
        <w:pStyle w:val="ListParagraph"/>
        <w:numPr>
          <w:ilvl w:val="0"/>
          <w:numId w:val="6"/>
        </w:numPr>
        <w:contextualSpacing w:val="0"/>
        <w:rPr>
          <w:rFonts w:eastAsia="Times New Roman" w:cs="Times New Roman"/>
          <w:b/>
          <w:bCs/>
          <w:snapToGrid w:val="0"/>
          <w:color w:val="0000FF"/>
          <w:sz w:val="16"/>
          <w:szCs w:val="20"/>
          <w:lang w:val="en-US"/>
        </w:rPr>
      </w:pPr>
      <w:r>
        <w:t xml:space="preserve">Detection of R. </w:t>
      </w:r>
      <w:proofErr w:type="spellStart"/>
      <w:r>
        <w:t>rickettsii</w:t>
      </w:r>
      <w:proofErr w:type="spellEnd"/>
      <w:r>
        <w:t xml:space="preserve"> or other spotted fever group DNA in a clinical specimen via amplification of a</w:t>
      </w:r>
      <w:r w:rsidR="00A632EF">
        <w:t xml:space="preserve"> specific target by PCR assay </w:t>
      </w:r>
    </w:p>
    <w:p w14:paraId="7F5FDF56" w14:textId="77777777" w:rsidR="007A0DAC" w:rsidRPr="007A0DAC" w:rsidRDefault="00605EA6" w:rsidP="00605EA6">
      <w:pPr>
        <w:pStyle w:val="ListParagraph"/>
        <w:numPr>
          <w:ilvl w:val="0"/>
          <w:numId w:val="6"/>
        </w:numPr>
        <w:contextualSpacing w:val="0"/>
        <w:rPr>
          <w:rFonts w:eastAsia="Times New Roman" w:cs="Times New Roman"/>
          <w:b/>
          <w:bCs/>
          <w:snapToGrid w:val="0"/>
          <w:color w:val="0000FF"/>
          <w:sz w:val="16"/>
          <w:szCs w:val="20"/>
          <w:lang w:val="en-US"/>
        </w:rPr>
      </w:pPr>
      <w:r>
        <w:t>Demonstration of spotted fever group antigen in a biop</w:t>
      </w:r>
      <w:r w:rsidR="007A0DAC">
        <w:t xml:space="preserve">sy or autopsy specimen by IHC </w:t>
      </w:r>
    </w:p>
    <w:p w14:paraId="74F90267" w14:textId="1C07D0B8" w:rsidR="00A632EF" w:rsidRPr="008B4A41" w:rsidRDefault="00605EA6" w:rsidP="00605EA6">
      <w:pPr>
        <w:pStyle w:val="ListParagraph"/>
        <w:numPr>
          <w:ilvl w:val="0"/>
          <w:numId w:val="6"/>
        </w:numPr>
        <w:contextualSpacing w:val="0"/>
        <w:rPr>
          <w:rFonts w:eastAsia="Times New Roman" w:cs="Times New Roman"/>
          <w:b/>
          <w:bCs/>
          <w:snapToGrid w:val="0"/>
          <w:color w:val="0000FF"/>
          <w:sz w:val="16"/>
          <w:szCs w:val="20"/>
          <w:lang w:val="en-US"/>
        </w:rPr>
      </w:pPr>
      <w:r>
        <w:t xml:space="preserve">Isolation of R. </w:t>
      </w:r>
      <w:proofErr w:type="spellStart"/>
      <w:r>
        <w:t>rickettsii</w:t>
      </w:r>
      <w:proofErr w:type="spellEnd"/>
      <w:r>
        <w:t xml:space="preserve"> or other spotted fever group rickettsia from a clinical specimen in cell culture. </w:t>
      </w:r>
    </w:p>
    <w:p w14:paraId="52B3B7A2" w14:textId="751BB340" w:rsidR="008B4A41" w:rsidRPr="008B4A41" w:rsidRDefault="008B4A41" w:rsidP="008B4A41">
      <w:pPr>
        <w:contextualSpacing w:val="0"/>
      </w:pPr>
      <w:r w:rsidRPr="008B4A41">
        <w:t>Report any illness to public health authorities that meets any of the following clinical criteria</w:t>
      </w:r>
    </w:p>
    <w:p w14:paraId="6ACB8B8F" w14:textId="3BF93A43" w:rsidR="00A632EF" w:rsidRDefault="008B4A41" w:rsidP="00A632EF">
      <w:pPr>
        <w:ind w:left="720"/>
        <w:contextualSpacing w:val="0"/>
      </w:pPr>
      <w:r>
        <w:t>1</w:t>
      </w:r>
      <w:r w:rsidR="00605EA6">
        <w:t xml:space="preserve">. A person whose healthcare record contains a diagnosis of Spotted Fever Rickettsiosis (including Rocky Mountain spotted fever). </w:t>
      </w:r>
    </w:p>
    <w:p w14:paraId="4D909E24" w14:textId="347AF75C" w:rsidR="00605EA6" w:rsidRPr="00A632EF" w:rsidRDefault="008B4A41" w:rsidP="00A632EF">
      <w:pPr>
        <w:ind w:left="720"/>
        <w:contextualSpacing w:val="0"/>
        <w:rPr>
          <w:rFonts w:eastAsia="Times New Roman" w:cs="Times New Roman"/>
          <w:b/>
          <w:bCs/>
          <w:snapToGrid w:val="0"/>
          <w:color w:val="0000FF"/>
          <w:sz w:val="16"/>
          <w:szCs w:val="20"/>
          <w:lang w:val="en-US"/>
        </w:rPr>
      </w:pPr>
      <w:r>
        <w:lastRenderedPageBreak/>
        <w:t>2</w:t>
      </w:r>
      <w:r w:rsidR="00605EA6">
        <w:t>. A person whose death certificate lists Spotted Fever Rickettsiosis (including Rocky Mountain spotted fever) as a cause of death or a significant condition contributing to death.</w:t>
      </w:r>
    </w:p>
    <w:p w14:paraId="400FB52D" w14:textId="77777777" w:rsidR="00605EA6" w:rsidRDefault="00605EA6" w:rsidP="00662423">
      <w:pPr>
        <w:contextualSpacing w:val="0"/>
        <w:rPr>
          <w:rFonts w:eastAsia="Times New Roman" w:cs="Times New Roman"/>
          <w:b/>
          <w:bCs/>
          <w:snapToGrid w:val="0"/>
          <w:color w:val="0000FF"/>
          <w:sz w:val="16"/>
          <w:szCs w:val="20"/>
          <w:lang w:val="en-US"/>
        </w:rPr>
      </w:pPr>
    </w:p>
    <w:p w14:paraId="35A660FB" w14:textId="77777777" w:rsidR="00605EA6" w:rsidRDefault="00605EA6" w:rsidP="00662423">
      <w:pPr>
        <w:contextualSpacing w:val="0"/>
        <w:rPr>
          <w:rFonts w:eastAsia="Times New Roman" w:cs="Times New Roman"/>
          <w:b/>
          <w:bCs/>
          <w:snapToGrid w:val="0"/>
          <w:color w:val="0000FF"/>
          <w:sz w:val="16"/>
          <w:szCs w:val="20"/>
          <w:lang w:val="en-US"/>
        </w:rPr>
      </w:pPr>
    </w:p>
    <w:p w14:paraId="4AE34AA9" w14:textId="77777777" w:rsidR="00605EA6" w:rsidRPr="00662423" w:rsidRDefault="00605EA6" w:rsidP="00662423">
      <w:pPr>
        <w:contextualSpacing w:val="0"/>
        <w:rPr>
          <w:rFonts w:eastAsia="Times New Roman" w:cs="Times New Roman"/>
          <w:b/>
          <w:bCs/>
          <w:snapToGrid w:val="0"/>
          <w:color w:val="0000FF"/>
          <w:sz w:val="16"/>
          <w:szCs w:val="20"/>
          <w:lang w:val="en-US"/>
        </w:rPr>
      </w:pPr>
    </w:p>
    <w:p w14:paraId="1BEEE189" w14:textId="77777777" w:rsidR="00662423" w:rsidRPr="008B4A41" w:rsidRDefault="00662423" w:rsidP="00662423">
      <w:pPr>
        <w:contextualSpacing w:val="0"/>
        <w:rPr>
          <w:b/>
          <w:bCs/>
          <w:u w:val="single"/>
          <w:lang w:val="en-US"/>
        </w:rPr>
      </w:pPr>
      <w:r w:rsidRPr="008B4A41">
        <w:rPr>
          <w:b/>
          <w:bCs/>
          <w:u w:val="single"/>
          <w:lang w:val="en-US"/>
        </w:rPr>
        <w:t>B. Disease-specific data elements to be included in the initial report</w:t>
      </w:r>
    </w:p>
    <w:p w14:paraId="5B8F8F47" w14:textId="77777777" w:rsidR="0041686D" w:rsidRPr="0041686D" w:rsidRDefault="0041686D" w:rsidP="0041686D">
      <w:pPr>
        <w:contextualSpacing w:val="0"/>
        <w:rPr>
          <w:bCs/>
          <w:lang w:val="en-US"/>
        </w:rPr>
      </w:pPr>
      <w:r w:rsidRPr="0041686D">
        <w:rPr>
          <w:bCs/>
          <w:lang w:val="en-US"/>
        </w:rPr>
        <w:t>In the initial report, please include</w:t>
      </w:r>
    </w:p>
    <w:p w14:paraId="2D787D25" w14:textId="77777777" w:rsidR="0041686D" w:rsidRPr="0041686D" w:rsidRDefault="0041686D" w:rsidP="0041686D">
      <w:pPr>
        <w:ind w:left="720"/>
        <w:contextualSpacing w:val="0"/>
        <w:rPr>
          <w:bCs/>
          <w:lang w:val="en-US"/>
        </w:rPr>
      </w:pPr>
      <w:r w:rsidRPr="0041686D">
        <w:rPr>
          <w:bCs/>
          <w:lang w:val="en-US"/>
        </w:rPr>
        <w:t>• Test result, specimen source, and type of test (if CIDT, PCR or antibody test) OR</w:t>
      </w:r>
    </w:p>
    <w:p w14:paraId="1097C771" w14:textId="6E51651A" w:rsidR="00D0693A" w:rsidRPr="0041686D" w:rsidRDefault="0041686D" w:rsidP="0041686D">
      <w:pPr>
        <w:ind w:left="720"/>
        <w:contextualSpacing w:val="0"/>
        <w:rPr>
          <w:bCs/>
          <w:lang w:val="en-US"/>
        </w:rPr>
      </w:pPr>
      <w:r w:rsidRPr="0041686D">
        <w:rPr>
          <w:bCs/>
          <w:lang w:val="en-US"/>
        </w:rPr>
        <w:t>• Brief clinical description including severity of illness, if case requir</w:t>
      </w:r>
      <w:r>
        <w:rPr>
          <w:bCs/>
          <w:lang w:val="en-US"/>
        </w:rPr>
        <w:t xml:space="preserve">ed hospitalization, and type of </w:t>
      </w:r>
      <w:r w:rsidRPr="0041686D">
        <w:rPr>
          <w:bCs/>
          <w:lang w:val="en-US"/>
        </w:rPr>
        <w:t>epidemiologic linkage.</w:t>
      </w:r>
    </w:p>
    <w:p w14:paraId="29CB01AF" w14:textId="77777777" w:rsidR="00D0693A" w:rsidRDefault="00D0693A" w:rsidP="00662423">
      <w:pPr>
        <w:contextualSpacing w:val="0"/>
        <w:rPr>
          <w:rFonts w:eastAsia="Times New Roman" w:cs="Times New Roman"/>
          <w:b/>
          <w:bCs/>
          <w:snapToGrid w:val="0"/>
          <w:color w:val="0000FF"/>
          <w:sz w:val="16"/>
          <w:szCs w:val="20"/>
          <w:lang w:val="en-US"/>
        </w:rPr>
      </w:pPr>
    </w:p>
    <w:p w14:paraId="22028D6E" w14:textId="77777777" w:rsidR="00EF4AFC" w:rsidRDefault="00EF4AFC">
      <w:pPr>
        <w:contextualSpacing w:val="0"/>
      </w:pPr>
    </w:p>
    <w:p w14:paraId="0ECDD6ED" w14:textId="77777777" w:rsidR="00EF4AFC" w:rsidRPr="00EF4AFC" w:rsidRDefault="00EF4AFC" w:rsidP="00EF4AFC">
      <w:pPr>
        <w:contextualSpacing w:val="0"/>
        <w:rPr>
          <w:b/>
          <w:bCs/>
          <w:u w:val="single"/>
          <w:lang w:val="en-US"/>
        </w:rPr>
      </w:pPr>
      <w:r w:rsidRPr="00EF4AFC">
        <w:rPr>
          <w:b/>
          <w:bCs/>
          <w:u w:val="single"/>
          <w:lang w:val="en-US"/>
        </w:rPr>
        <w:t>X. Revision History</w:t>
      </w:r>
    </w:p>
    <w:p w14:paraId="17FC9A2A" w14:textId="77777777" w:rsidR="00EF4AFC" w:rsidRPr="00EF4AFC" w:rsidRDefault="00EF4AFC" w:rsidP="00EF4AFC">
      <w:pPr>
        <w:contextualSpacing w:val="0"/>
        <w:rPr>
          <w:b/>
          <w:bCs/>
          <w:lang w:val="en-US"/>
        </w:rPr>
      </w:pPr>
    </w:p>
    <w:tbl>
      <w:tblPr>
        <w:tblStyle w:val="TableGrid"/>
        <w:tblW w:w="0" w:type="auto"/>
        <w:tblLook w:val="04A0" w:firstRow="1" w:lastRow="0" w:firstColumn="1" w:lastColumn="0" w:noHBand="0" w:noVBand="1"/>
      </w:tblPr>
      <w:tblGrid>
        <w:gridCol w:w="1310"/>
        <w:gridCol w:w="3327"/>
        <w:gridCol w:w="2444"/>
      </w:tblGrid>
      <w:tr w:rsidR="00EF4AFC" w:rsidRPr="00EF4AFC" w14:paraId="2DF11AA6" w14:textId="77777777" w:rsidTr="000320F0">
        <w:tc>
          <w:tcPr>
            <w:tcW w:w="1310" w:type="dxa"/>
            <w:tcBorders>
              <w:top w:val="single" w:sz="4" w:space="0" w:color="auto"/>
              <w:left w:val="single" w:sz="4" w:space="0" w:color="auto"/>
              <w:bottom w:val="single" w:sz="4" w:space="0" w:color="auto"/>
              <w:right w:val="single" w:sz="4" w:space="0" w:color="auto"/>
            </w:tcBorders>
            <w:hideMark/>
          </w:tcPr>
          <w:p w14:paraId="50B2FAD9" w14:textId="77777777" w:rsidR="00EF4AFC" w:rsidRPr="00EF4AFC" w:rsidRDefault="00EF4AFC" w:rsidP="00EF4AFC">
            <w:pPr>
              <w:spacing w:line="276" w:lineRule="auto"/>
            </w:pPr>
            <w:r w:rsidRPr="00EF4AFC">
              <w:t xml:space="preserve">Position Statement ID </w:t>
            </w:r>
          </w:p>
        </w:tc>
        <w:tc>
          <w:tcPr>
            <w:tcW w:w="3327" w:type="dxa"/>
            <w:tcBorders>
              <w:top w:val="single" w:sz="4" w:space="0" w:color="auto"/>
              <w:left w:val="single" w:sz="4" w:space="0" w:color="auto"/>
              <w:bottom w:val="single" w:sz="4" w:space="0" w:color="auto"/>
              <w:right w:val="single" w:sz="4" w:space="0" w:color="auto"/>
            </w:tcBorders>
            <w:hideMark/>
          </w:tcPr>
          <w:p w14:paraId="7D4E3C82" w14:textId="77777777" w:rsidR="00EF4AFC" w:rsidRPr="00EF4AFC" w:rsidRDefault="00EF4AFC" w:rsidP="00EF4AFC">
            <w:pPr>
              <w:spacing w:line="276" w:lineRule="auto"/>
            </w:pPr>
            <w:r w:rsidRPr="00EF4AFC">
              <w:t>Section of Document</w:t>
            </w:r>
          </w:p>
        </w:tc>
        <w:tc>
          <w:tcPr>
            <w:tcW w:w="2444" w:type="dxa"/>
            <w:tcBorders>
              <w:top w:val="single" w:sz="4" w:space="0" w:color="auto"/>
              <w:left w:val="single" w:sz="4" w:space="0" w:color="auto"/>
              <w:bottom w:val="single" w:sz="4" w:space="0" w:color="auto"/>
              <w:right w:val="single" w:sz="4" w:space="0" w:color="auto"/>
            </w:tcBorders>
            <w:hideMark/>
          </w:tcPr>
          <w:p w14:paraId="3D7433B9" w14:textId="77777777" w:rsidR="00EF4AFC" w:rsidRPr="00EF4AFC" w:rsidRDefault="00EF4AFC" w:rsidP="00EF4AFC">
            <w:pPr>
              <w:spacing w:line="276" w:lineRule="auto"/>
            </w:pPr>
            <w:r w:rsidRPr="00EF4AFC">
              <w:t>Revision Description</w:t>
            </w:r>
          </w:p>
        </w:tc>
      </w:tr>
      <w:tr w:rsidR="00EF4AFC" w:rsidRPr="00EF4AFC" w14:paraId="402C2172" w14:textId="77777777" w:rsidTr="000320F0">
        <w:tc>
          <w:tcPr>
            <w:tcW w:w="1310" w:type="dxa"/>
            <w:tcBorders>
              <w:top w:val="single" w:sz="4" w:space="0" w:color="auto"/>
              <w:left w:val="single" w:sz="4" w:space="0" w:color="auto"/>
              <w:bottom w:val="single" w:sz="4" w:space="0" w:color="auto"/>
              <w:right w:val="single" w:sz="4" w:space="0" w:color="auto"/>
            </w:tcBorders>
            <w:hideMark/>
          </w:tcPr>
          <w:p w14:paraId="15980F00" w14:textId="2BED466A" w:rsidR="00EF4AFC" w:rsidRPr="00EF4AFC" w:rsidRDefault="00523C36" w:rsidP="00EF4AFC">
            <w:pPr>
              <w:spacing w:line="276" w:lineRule="auto"/>
            </w:pPr>
            <w:r w:rsidRPr="00523C36">
              <w:t>09-ID-16</w:t>
            </w:r>
          </w:p>
        </w:tc>
        <w:tc>
          <w:tcPr>
            <w:tcW w:w="3327" w:type="dxa"/>
            <w:tcBorders>
              <w:top w:val="single" w:sz="4" w:space="0" w:color="auto"/>
              <w:left w:val="single" w:sz="4" w:space="0" w:color="auto"/>
              <w:bottom w:val="single" w:sz="4" w:space="0" w:color="auto"/>
              <w:right w:val="single" w:sz="4" w:space="0" w:color="auto"/>
            </w:tcBorders>
            <w:hideMark/>
          </w:tcPr>
          <w:p w14:paraId="05842B6D" w14:textId="54F34E6A" w:rsidR="00EF4AFC" w:rsidRPr="00EF4AFC" w:rsidRDefault="004C28C3" w:rsidP="00EF4AFC">
            <w:pPr>
              <w:spacing w:line="276" w:lineRule="auto"/>
            </w:pPr>
            <w:r>
              <w:t>I</w:t>
            </w:r>
          </w:p>
        </w:tc>
        <w:tc>
          <w:tcPr>
            <w:tcW w:w="2444" w:type="dxa"/>
            <w:tcBorders>
              <w:top w:val="single" w:sz="4" w:space="0" w:color="auto"/>
              <w:left w:val="single" w:sz="4" w:space="0" w:color="auto"/>
              <w:bottom w:val="single" w:sz="4" w:space="0" w:color="auto"/>
              <w:right w:val="single" w:sz="4" w:space="0" w:color="auto"/>
            </w:tcBorders>
            <w:hideMark/>
          </w:tcPr>
          <w:p w14:paraId="3A829F75" w14:textId="55E84484" w:rsidR="00EF4AFC" w:rsidRPr="00EF4AFC" w:rsidRDefault="00474ED4" w:rsidP="00EF4AFC">
            <w:pPr>
              <w:spacing w:line="276" w:lineRule="auto"/>
            </w:pPr>
            <w:r>
              <w:t>Updated statement of problem</w:t>
            </w:r>
          </w:p>
        </w:tc>
      </w:tr>
      <w:tr w:rsidR="00EF4AFC" w:rsidRPr="00EF4AFC" w14:paraId="05BC544E" w14:textId="77777777" w:rsidTr="00523C36">
        <w:tc>
          <w:tcPr>
            <w:tcW w:w="1310" w:type="dxa"/>
            <w:tcBorders>
              <w:top w:val="single" w:sz="4" w:space="0" w:color="auto"/>
              <w:left w:val="single" w:sz="4" w:space="0" w:color="auto"/>
              <w:bottom w:val="single" w:sz="4" w:space="0" w:color="auto"/>
              <w:right w:val="single" w:sz="4" w:space="0" w:color="auto"/>
            </w:tcBorders>
          </w:tcPr>
          <w:p w14:paraId="780BF95D" w14:textId="025DB9A1" w:rsidR="00EF4AFC" w:rsidRPr="00EF4AFC" w:rsidRDefault="00EF4AFC" w:rsidP="00EF4AFC">
            <w:pPr>
              <w:spacing w:line="276" w:lineRule="auto"/>
            </w:pPr>
          </w:p>
        </w:tc>
        <w:tc>
          <w:tcPr>
            <w:tcW w:w="3327" w:type="dxa"/>
            <w:tcBorders>
              <w:top w:val="single" w:sz="4" w:space="0" w:color="auto"/>
              <w:left w:val="single" w:sz="4" w:space="0" w:color="auto"/>
              <w:bottom w:val="single" w:sz="4" w:space="0" w:color="auto"/>
              <w:right w:val="single" w:sz="4" w:space="0" w:color="auto"/>
            </w:tcBorders>
          </w:tcPr>
          <w:p w14:paraId="7E6A54A6" w14:textId="7996A63B" w:rsidR="00EF4AFC" w:rsidRPr="00EF4AFC" w:rsidRDefault="00474ED4" w:rsidP="00EF4AFC">
            <w:pPr>
              <w:spacing w:line="276" w:lineRule="auto"/>
            </w:pPr>
            <w:r>
              <w:t>II</w:t>
            </w:r>
          </w:p>
        </w:tc>
        <w:tc>
          <w:tcPr>
            <w:tcW w:w="2444" w:type="dxa"/>
            <w:tcBorders>
              <w:top w:val="single" w:sz="4" w:space="0" w:color="auto"/>
              <w:left w:val="single" w:sz="4" w:space="0" w:color="auto"/>
              <w:bottom w:val="single" w:sz="4" w:space="0" w:color="auto"/>
              <w:right w:val="single" w:sz="4" w:space="0" w:color="auto"/>
            </w:tcBorders>
          </w:tcPr>
          <w:p w14:paraId="503E6BD9" w14:textId="4A9963CE" w:rsidR="00EF4AFC" w:rsidRPr="00EF4AFC" w:rsidRDefault="00474ED4" w:rsidP="00EF4AFC">
            <w:pPr>
              <w:spacing w:line="276" w:lineRule="auto"/>
            </w:pPr>
            <w:r>
              <w:t>Updated background and justification</w:t>
            </w:r>
          </w:p>
        </w:tc>
      </w:tr>
      <w:tr w:rsidR="00EF4AFC" w:rsidRPr="00EF4AFC" w14:paraId="0910ED8F" w14:textId="77777777" w:rsidTr="00523C36">
        <w:tc>
          <w:tcPr>
            <w:tcW w:w="1310" w:type="dxa"/>
            <w:tcBorders>
              <w:top w:val="single" w:sz="4" w:space="0" w:color="auto"/>
              <w:left w:val="single" w:sz="4" w:space="0" w:color="auto"/>
              <w:bottom w:val="single" w:sz="4" w:space="0" w:color="auto"/>
              <w:right w:val="single" w:sz="4" w:space="0" w:color="auto"/>
            </w:tcBorders>
          </w:tcPr>
          <w:p w14:paraId="24FADA1A" w14:textId="430ECB23" w:rsidR="00EF4AFC" w:rsidRPr="00EF4AFC" w:rsidRDefault="00EF4AFC" w:rsidP="00EF4AFC">
            <w:pPr>
              <w:spacing w:line="276" w:lineRule="auto"/>
            </w:pPr>
          </w:p>
        </w:tc>
        <w:tc>
          <w:tcPr>
            <w:tcW w:w="3327" w:type="dxa"/>
            <w:tcBorders>
              <w:top w:val="single" w:sz="4" w:space="0" w:color="auto"/>
              <w:left w:val="single" w:sz="4" w:space="0" w:color="auto"/>
              <w:bottom w:val="single" w:sz="4" w:space="0" w:color="auto"/>
              <w:right w:val="single" w:sz="4" w:space="0" w:color="auto"/>
            </w:tcBorders>
          </w:tcPr>
          <w:p w14:paraId="468DDFE7" w14:textId="237421D1" w:rsidR="00EF4AFC" w:rsidRPr="00EF4AFC" w:rsidRDefault="00474ED4" w:rsidP="00EF4AFC">
            <w:pPr>
              <w:spacing w:line="276" w:lineRule="auto"/>
            </w:pPr>
            <w:r>
              <w:t>III</w:t>
            </w:r>
          </w:p>
        </w:tc>
        <w:tc>
          <w:tcPr>
            <w:tcW w:w="2444" w:type="dxa"/>
            <w:tcBorders>
              <w:top w:val="single" w:sz="4" w:space="0" w:color="auto"/>
              <w:left w:val="single" w:sz="4" w:space="0" w:color="auto"/>
              <w:bottom w:val="single" w:sz="4" w:space="0" w:color="auto"/>
              <w:right w:val="single" w:sz="4" w:space="0" w:color="auto"/>
            </w:tcBorders>
          </w:tcPr>
          <w:p w14:paraId="4BD36D32" w14:textId="3942167C" w:rsidR="00EF4AFC" w:rsidRPr="00EF4AFC" w:rsidRDefault="00474ED4" w:rsidP="00EF4AFC">
            <w:pPr>
              <w:spacing w:line="276" w:lineRule="auto"/>
            </w:pPr>
            <w:r>
              <w:t>Updated laboratory criteria for case identification and classification</w:t>
            </w:r>
          </w:p>
        </w:tc>
      </w:tr>
      <w:tr w:rsidR="004C28C3" w:rsidRPr="00EF4AFC" w14:paraId="44C7976E" w14:textId="77777777" w:rsidTr="00523C36">
        <w:tc>
          <w:tcPr>
            <w:tcW w:w="1310" w:type="dxa"/>
            <w:tcBorders>
              <w:top w:val="single" w:sz="4" w:space="0" w:color="auto"/>
              <w:left w:val="single" w:sz="4" w:space="0" w:color="auto"/>
              <w:bottom w:val="single" w:sz="4" w:space="0" w:color="auto"/>
              <w:right w:val="single" w:sz="4" w:space="0" w:color="auto"/>
            </w:tcBorders>
          </w:tcPr>
          <w:p w14:paraId="3CB3C2A3" w14:textId="77777777" w:rsidR="004C28C3" w:rsidRPr="00EF4AFC" w:rsidRDefault="004C28C3" w:rsidP="00EF4AFC"/>
        </w:tc>
        <w:tc>
          <w:tcPr>
            <w:tcW w:w="3327" w:type="dxa"/>
            <w:tcBorders>
              <w:top w:val="single" w:sz="4" w:space="0" w:color="auto"/>
              <w:left w:val="single" w:sz="4" w:space="0" w:color="auto"/>
              <w:bottom w:val="single" w:sz="4" w:space="0" w:color="auto"/>
              <w:right w:val="single" w:sz="4" w:space="0" w:color="auto"/>
            </w:tcBorders>
          </w:tcPr>
          <w:p w14:paraId="573EC626" w14:textId="38093EAA" w:rsidR="004C28C3" w:rsidRDefault="004C28C3" w:rsidP="00EF4AFC">
            <w:r>
              <w:t>VIA</w:t>
            </w:r>
          </w:p>
        </w:tc>
        <w:tc>
          <w:tcPr>
            <w:tcW w:w="2444" w:type="dxa"/>
            <w:tcBorders>
              <w:top w:val="single" w:sz="4" w:space="0" w:color="auto"/>
              <w:left w:val="single" w:sz="4" w:space="0" w:color="auto"/>
              <w:bottom w:val="single" w:sz="4" w:space="0" w:color="auto"/>
              <w:right w:val="single" w:sz="4" w:space="0" w:color="auto"/>
            </w:tcBorders>
          </w:tcPr>
          <w:p w14:paraId="1E447EF7" w14:textId="15142D06" w:rsidR="004C28C3" w:rsidRDefault="004C28C3" w:rsidP="00EF4AFC">
            <w:r>
              <w:t>Updated case ascertainment criteria</w:t>
            </w:r>
            <w:bookmarkStart w:id="1" w:name="_GoBack"/>
            <w:bookmarkEnd w:id="1"/>
          </w:p>
        </w:tc>
      </w:tr>
    </w:tbl>
    <w:p w14:paraId="7B09847E" w14:textId="5D9C22D8" w:rsidR="007B2CA3" w:rsidRDefault="00B327FC">
      <w:pPr>
        <w:contextualSpacing w:val="0"/>
        <w:rPr>
          <w:color w:val="9900FF"/>
          <w:u w:val="single"/>
        </w:rPr>
      </w:pPr>
      <w:r>
        <w:br w:type="page"/>
      </w:r>
    </w:p>
    <w:p w14:paraId="5701A2CD" w14:textId="1274A297" w:rsidR="00A8090B" w:rsidRDefault="00B327FC">
      <w:pPr>
        <w:contextualSpacing w:val="0"/>
        <w:rPr>
          <w:shd w:val="clear" w:color="auto" w:fill="D9EAD3"/>
        </w:rPr>
      </w:pPr>
      <w:r>
        <w:rPr>
          <w:b/>
          <w:u w:val="single"/>
        </w:rPr>
        <w:lastRenderedPageBreak/>
        <w:t>XI. References</w:t>
      </w:r>
      <w:r>
        <w:br/>
      </w:r>
      <w:proofErr w:type="gramStart"/>
      <w:r>
        <w:rPr>
          <w:i/>
        </w:rPr>
        <w:t>Where</w:t>
      </w:r>
      <w:proofErr w:type="gramEnd"/>
      <w:r>
        <w:rPr>
          <w:i/>
        </w:rPr>
        <w:t xml:space="preserve"> appropriate, include references to prior CSTE position statements. </w:t>
      </w:r>
      <w:r>
        <w:br/>
      </w:r>
    </w:p>
    <w:p w14:paraId="2A18F213" w14:textId="26808490" w:rsidR="001D6A9A" w:rsidRPr="001D6A9A" w:rsidRDefault="00A8090B" w:rsidP="001D6A9A">
      <w:pPr>
        <w:widowControl w:val="0"/>
        <w:autoSpaceDE w:val="0"/>
        <w:autoSpaceDN w:val="0"/>
        <w:adjustRightInd w:val="0"/>
        <w:spacing w:line="240" w:lineRule="auto"/>
        <w:ind w:left="480" w:hanging="480"/>
        <w:rPr>
          <w:noProof/>
          <w:szCs w:val="24"/>
        </w:rPr>
      </w:pPr>
      <w:r>
        <w:rPr>
          <w:shd w:val="clear" w:color="auto" w:fill="D9EAD3"/>
        </w:rPr>
        <w:fldChar w:fldCharType="begin" w:fldLock="1"/>
      </w:r>
      <w:r>
        <w:rPr>
          <w:shd w:val="clear" w:color="auto" w:fill="D9EAD3"/>
        </w:rPr>
        <w:instrText xml:space="preserve">ADDIN Mendeley Bibliography CSL_BIBLIOGRAPHY </w:instrText>
      </w:r>
      <w:r>
        <w:rPr>
          <w:shd w:val="clear" w:color="auto" w:fill="D9EAD3"/>
        </w:rPr>
        <w:fldChar w:fldCharType="separate"/>
      </w:r>
      <w:r w:rsidR="001D6A9A" w:rsidRPr="001D6A9A">
        <w:rPr>
          <w:noProof/>
          <w:szCs w:val="24"/>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001D6A9A" w:rsidRPr="001D6A9A">
        <w:rPr>
          <w:i/>
          <w:iCs/>
          <w:noProof/>
          <w:szCs w:val="24"/>
        </w:rPr>
        <w:t>MMWR Recommendations and Reports: Morbidity and Mortality Weekly Report Recommendations and Reports.</w:t>
      </w:r>
      <w:r w:rsidR="001D6A9A" w:rsidRPr="001D6A9A">
        <w:rPr>
          <w:noProof/>
          <w:szCs w:val="24"/>
        </w:rPr>
        <w:t xml:space="preserve">, </w:t>
      </w:r>
      <w:r w:rsidR="001D6A9A" w:rsidRPr="001D6A9A">
        <w:rPr>
          <w:i/>
          <w:iCs/>
          <w:noProof/>
          <w:szCs w:val="24"/>
        </w:rPr>
        <w:t>65</w:t>
      </w:r>
      <w:r w:rsidR="001D6A9A" w:rsidRPr="001D6A9A">
        <w:rPr>
          <w:noProof/>
          <w:szCs w:val="24"/>
        </w:rPr>
        <w:t>(2), 1–48.</w:t>
      </w:r>
    </w:p>
    <w:p w14:paraId="1A0B9EC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Crump, J. A., Corder, J. R., Henshaw, N. G., &amp; Reller, L. B. (2004). Development, Implementation, and Impact of Acceptability Criteria for Serologic Tests for Infectious Diseases. </w:t>
      </w:r>
      <w:r w:rsidRPr="001D6A9A">
        <w:rPr>
          <w:i/>
          <w:iCs/>
          <w:noProof/>
          <w:szCs w:val="24"/>
        </w:rPr>
        <w:t>Journal of Clinical Microbiology</w:t>
      </w:r>
      <w:r w:rsidRPr="001D6A9A">
        <w:rPr>
          <w:noProof/>
          <w:szCs w:val="24"/>
        </w:rPr>
        <w:t xml:space="preserve">, </w:t>
      </w:r>
      <w:r w:rsidRPr="001D6A9A">
        <w:rPr>
          <w:i/>
          <w:iCs/>
          <w:noProof/>
          <w:szCs w:val="24"/>
        </w:rPr>
        <w:t>42</w:t>
      </w:r>
      <w:r w:rsidRPr="001D6A9A">
        <w:rPr>
          <w:noProof/>
          <w:szCs w:val="24"/>
        </w:rPr>
        <w:t>(2), 881–883. https://doi.org/10.1128/JCM.42.2.881-883.2004</w:t>
      </w:r>
    </w:p>
    <w:p w14:paraId="4AD6933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Dahlgren, F. S., Paddock, C. D., Springer, Y. P., Eisen, R. J., &amp; Behravesh, C. B. (2016). Expanding range of amblyomma americanum and simultaneous changes in the epidemiology of spotted fever group rickettsiosis in the United States. </w:t>
      </w:r>
      <w:r w:rsidRPr="001D6A9A">
        <w:rPr>
          <w:i/>
          <w:iCs/>
          <w:noProof/>
          <w:szCs w:val="24"/>
        </w:rPr>
        <w:t>American Journal of Tropical Medicine and Hygiene</w:t>
      </w:r>
      <w:r w:rsidRPr="001D6A9A">
        <w:rPr>
          <w:noProof/>
          <w:szCs w:val="24"/>
        </w:rPr>
        <w:t xml:space="preserve">, </w:t>
      </w:r>
      <w:r w:rsidRPr="001D6A9A">
        <w:rPr>
          <w:i/>
          <w:iCs/>
          <w:noProof/>
          <w:szCs w:val="24"/>
        </w:rPr>
        <w:t>94</w:t>
      </w:r>
      <w:r w:rsidRPr="001D6A9A">
        <w:rPr>
          <w:noProof/>
          <w:szCs w:val="24"/>
        </w:rPr>
        <w:t>(1), 35–42. https://doi.org/10.4269/ajtmh.15-0580</w:t>
      </w:r>
    </w:p>
    <w:p w14:paraId="24DA0F1A"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Drexler, N. A., Scott, D. F., Heitman, K. N., Massung, R. F., Paddock, C. D., &amp; Behravesh, C. B. (2016). National surveillance of spotted fever group rickettsioses in the United States, 2008-2012. </w:t>
      </w:r>
      <w:r w:rsidRPr="001D6A9A">
        <w:rPr>
          <w:i/>
          <w:iCs/>
          <w:noProof/>
          <w:szCs w:val="24"/>
        </w:rPr>
        <w:t>American Journal of Tropical Medicine and Hygiene</w:t>
      </w:r>
      <w:r w:rsidRPr="001D6A9A">
        <w:rPr>
          <w:noProof/>
          <w:szCs w:val="24"/>
        </w:rPr>
        <w:t xml:space="preserve">, </w:t>
      </w:r>
      <w:r w:rsidRPr="001D6A9A">
        <w:rPr>
          <w:i/>
          <w:iCs/>
          <w:noProof/>
          <w:szCs w:val="24"/>
        </w:rPr>
        <w:t>94</w:t>
      </w:r>
      <w:r w:rsidRPr="001D6A9A">
        <w:rPr>
          <w:noProof/>
          <w:szCs w:val="24"/>
        </w:rPr>
        <w:t>(1), 26–34. https://doi.org/10.4269/ajtmh.15-0472</w:t>
      </w:r>
    </w:p>
    <w:p w14:paraId="5C8230C9"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Gage, K. L., &amp; Jerrells, T. R. (1992). Demonstration and partial characterization of antigens of Rickettsia rhipicephali that induce cross-reactive cellular and humoral immune responses to Rickettsia rickettsii. </w:t>
      </w:r>
      <w:r w:rsidRPr="001D6A9A">
        <w:rPr>
          <w:i/>
          <w:iCs/>
          <w:noProof/>
          <w:szCs w:val="24"/>
        </w:rPr>
        <w:t>Infection and Immunity</w:t>
      </w:r>
      <w:r w:rsidRPr="001D6A9A">
        <w:rPr>
          <w:noProof/>
          <w:szCs w:val="24"/>
        </w:rPr>
        <w:t xml:space="preserve">, </w:t>
      </w:r>
      <w:r w:rsidRPr="001D6A9A">
        <w:rPr>
          <w:i/>
          <w:iCs/>
          <w:noProof/>
          <w:szCs w:val="24"/>
        </w:rPr>
        <w:t>60</w:t>
      </w:r>
      <w:r w:rsidRPr="001D6A9A">
        <w:rPr>
          <w:noProof/>
          <w:szCs w:val="24"/>
        </w:rPr>
        <w:t>(12), 5099–5106.</w:t>
      </w:r>
    </w:p>
    <w:p w14:paraId="09966EC8"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Hilton, E., DeVoti, J., Benach, J. L., Halluska, M. L., White, D. J., Paxton, H., &amp; Dumler, J. S. (1999). Seroprevalence and seroconversion for tick-borne diseases in a high- risk population in the northeast United States. </w:t>
      </w:r>
      <w:r w:rsidRPr="001D6A9A">
        <w:rPr>
          <w:i/>
          <w:iCs/>
          <w:noProof/>
          <w:szCs w:val="24"/>
        </w:rPr>
        <w:t>American Journal of Medicine</w:t>
      </w:r>
      <w:r w:rsidRPr="001D6A9A">
        <w:rPr>
          <w:noProof/>
          <w:szCs w:val="24"/>
        </w:rPr>
        <w:t xml:space="preserve">, </w:t>
      </w:r>
      <w:r w:rsidRPr="001D6A9A">
        <w:rPr>
          <w:i/>
          <w:iCs/>
          <w:noProof/>
          <w:szCs w:val="24"/>
        </w:rPr>
        <w:t>106</w:t>
      </w:r>
      <w:r w:rsidRPr="001D6A9A">
        <w:rPr>
          <w:noProof/>
          <w:szCs w:val="24"/>
        </w:rPr>
        <w:t>(4), 404–409. https://doi.org/10.1016/S0002-9343(99)00046-7</w:t>
      </w:r>
    </w:p>
    <w:p w14:paraId="6B24A760"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Kato, C. Y., Chung, I. H., Robinson, L. K., Austin, A. L., Dasch, G. A., &amp; Massunga, R. F. (2013). Assessment of real-time PCR assay for detection of Rickettsia spp. and Rickettsia rickettsii in banked clinical samples. </w:t>
      </w:r>
      <w:r w:rsidRPr="001D6A9A">
        <w:rPr>
          <w:i/>
          <w:iCs/>
          <w:noProof/>
          <w:szCs w:val="24"/>
        </w:rPr>
        <w:t>Journal of Clinical Microbiology</w:t>
      </w:r>
      <w:r w:rsidRPr="001D6A9A">
        <w:rPr>
          <w:noProof/>
          <w:szCs w:val="24"/>
        </w:rPr>
        <w:t xml:space="preserve">, </w:t>
      </w:r>
      <w:r w:rsidRPr="001D6A9A">
        <w:rPr>
          <w:i/>
          <w:iCs/>
          <w:noProof/>
          <w:szCs w:val="24"/>
        </w:rPr>
        <w:t>51</w:t>
      </w:r>
      <w:r w:rsidRPr="001D6A9A">
        <w:rPr>
          <w:noProof/>
          <w:szCs w:val="24"/>
        </w:rPr>
        <w:t>(1), 314–417. https://doi.org/10.1128/JCM.01723-12</w:t>
      </w:r>
    </w:p>
    <w:p w14:paraId="7835FAF8"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Marshall, G. S., Stout, G. G., Jacobs, R. F., Schutze, G. E., Paxton, H., Buckingham, S. C., … Joaquin, V. H. S. (2003). Antibodies Reactive to Rickettsia rickettsii Among Children Living in the Southeast and South Central Regions of the United States. </w:t>
      </w:r>
      <w:r w:rsidRPr="001D6A9A">
        <w:rPr>
          <w:i/>
          <w:iCs/>
          <w:noProof/>
          <w:szCs w:val="24"/>
        </w:rPr>
        <w:t>Archives of Pediatrics</w:t>
      </w:r>
      <w:r w:rsidRPr="001D6A9A">
        <w:rPr>
          <w:noProof/>
          <w:szCs w:val="24"/>
        </w:rPr>
        <w:t xml:space="preserve">, </w:t>
      </w:r>
      <w:r w:rsidRPr="001D6A9A">
        <w:rPr>
          <w:i/>
          <w:iCs/>
          <w:noProof/>
          <w:szCs w:val="24"/>
        </w:rPr>
        <w:t>157</w:t>
      </w:r>
      <w:r w:rsidRPr="001D6A9A">
        <w:rPr>
          <w:noProof/>
          <w:szCs w:val="24"/>
        </w:rPr>
        <w:t>(May), 443–448.</w:t>
      </w:r>
    </w:p>
    <w:p w14:paraId="49E9E7EA"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McQuiston, J. H., Wiedeman, C., Singleton, J., Carpenter, L. R., McElroy, K., Mosites, E., … Dunn, J. (2014). Inadequacy of IgM antibody tests for diagnosis of Rocky Mountain spotted fever. </w:t>
      </w:r>
      <w:r w:rsidRPr="001D6A9A">
        <w:rPr>
          <w:i/>
          <w:iCs/>
          <w:noProof/>
          <w:szCs w:val="24"/>
        </w:rPr>
        <w:t>American Journal of Tropical Medicine and Hygiene</w:t>
      </w:r>
      <w:r w:rsidRPr="001D6A9A">
        <w:rPr>
          <w:noProof/>
          <w:szCs w:val="24"/>
        </w:rPr>
        <w:t xml:space="preserve">, </w:t>
      </w:r>
      <w:r w:rsidRPr="001D6A9A">
        <w:rPr>
          <w:i/>
          <w:iCs/>
          <w:noProof/>
          <w:szCs w:val="24"/>
        </w:rPr>
        <w:t>91</w:t>
      </w:r>
      <w:r w:rsidRPr="001D6A9A">
        <w:rPr>
          <w:noProof/>
          <w:szCs w:val="24"/>
        </w:rPr>
        <w:t>(4), 767–770. https://doi.org/10.4269/ajtmh.14-0123</w:t>
      </w:r>
    </w:p>
    <w:p w14:paraId="2D72E489"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Moncayo, A. C., Bouyer, D. H., Mendell, N. L., Delisle, J., Bloch, K. C., &amp; Stull-Lane, A. (2016). Human Infections by Multiple Spotted Fever Group Rickettsiae in Tennessee. </w:t>
      </w:r>
      <w:r w:rsidRPr="001D6A9A">
        <w:rPr>
          <w:i/>
          <w:iCs/>
          <w:noProof/>
          <w:szCs w:val="24"/>
        </w:rPr>
        <w:t>The American Journal of Tropical Medicine and Hygiene</w:t>
      </w:r>
      <w:r w:rsidRPr="001D6A9A">
        <w:rPr>
          <w:noProof/>
          <w:szCs w:val="24"/>
        </w:rPr>
        <w:t>. https://doi.org/10.4269/ajtmh.15-0372</w:t>
      </w:r>
    </w:p>
    <w:p w14:paraId="2BB61E28"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Paddock, C. D. (2005). Rickettsia parkeri as a paradigm for multiple causes of tick-borne spotted fever in the western hemisphere. </w:t>
      </w:r>
      <w:r w:rsidRPr="001D6A9A">
        <w:rPr>
          <w:i/>
          <w:iCs/>
          <w:noProof/>
          <w:szCs w:val="24"/>
        </w:rPr>
        <w:t>Annals of the New York Academy of Sciences</w:t>
      </w:r>
      <w:r w:rsidRPr="001D6A9A">
        <w:rPr>
          <w:noProof/>
          <w:szCs w:val="24"/>
        </w:rPr>
        <w:t xml:space="preserve">, </w:t>
      </w:r>
      <w:r w:rsidRPr="001D6A9A">
        <w:rPr>
          <w:i/>
          <w:iCs/>
          <w:noProof/>
          <w:szCs w:val="24"/>
        </w:rPr>
        <w:t>1063</w:t>
      </w:r>
      <w:r w:rsidRPr="001D6A9A">
        <w:rPr>
          <w:noProof/>
          <w:szCs w:val="24"/>
        </w:rPr>
        <w:t>, 315–326. https://doi.org/10.1196/annals.1355.051</w:t>
      </w:r>
    </w:p>
    <w:p w14:paraId="04AFBBD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Raoult, D., &amp; Paddock, C. (2005). Rickettsia parkeri Infection and Other Spotted Fevers in the United States. </w:t>
      </w:r>
      <w:r w:rsidRPr="001D6A9A">
        <w:rPr>
          <w:i/>
          <w:iCs/>
          <w:noProof/>
          <w:szCs w:val="24"/>
        </w:rPr>
        <w:t>The New England Journal of Medicine</w:t>
      </w:r>
      <w:r w:rsidRPr="001D6A9A">
        <w:rPr>
          <w:noProof/>
          <w:szCs w:val="24"/>
        </w:rPr>
        <w:t xml:space="preserve">, </w:t>
      </w:r>
      <w:r w:rsidRPr="001D6A9A">
        <w:rPr>
          <w:i/>
          <w:iCs/>
          <w:noProof/>
          <w:szCs w:val="24"/>
        </w:rPr>
        <w:t>353</w:t>
      </w:r>
      <w:r w:rsidRPr="001D6A9A">
        <w:rPr>
          <w:noProof/>
          <w:szCs w:val="24"/>
        </w:rPr>
        <w:t>(6), 626–627.</w:t>
      </w:r>
    </w:p>
    <w:p w14:paraId="64C5589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Sonenshine, D. E. (2018). Range Expansion of Tick Disease Vectors in North America: Implications for Spread of Tick-Borne Disease. </w:t>
      </w:r>
      <w:r w:rsidRPr="001D6A9A">
        <w:rPr>
          <w:i/>
          <w:iCs/>
          <w:noProof/>
          <w:szCs w:val="24"/>
        </w:rPr>
        <w:t>International Journal of Environmental Research and Public Health</w:t>
      </w:r>
      <w:r w:rsidRPr="001D6A9A">
        <w:rPr>
          <w:noProof/>
          <w:szCs w:val="24"/>
        </w:rPr>
        <w:t xml:space="preserve">, </w:t>
      </w:r>
      <w:r w:rsidRPr="001D6A9A">
        <w:rPr>
          <w:i/>
          <w:iCs/>
          <w:noProof/>
          <w:szCs w:val="24"/>
        </w:rPr>
        <w:t>15</w:t>
      </w:r>
      <w:r w:rsidRPr="001D6A9A">
        <w:rPr>
          <w:noProof/>
          <w:szCs w:val="24"/>
        </w:rPr>
        <w:t>(3), 1–9. https://doi.org/10.3390/ijerph15030478</w:t>
      </w:r>
    </w:p>
    <w:p w14:paraId="01E4182F" w14:textId="77777777" w:rsidR="001D6A9A" w:rsidRPr="001D6A9A" w:rsidRDefault="001D6A9A" w:rsidP="001D6A9A">
      <w:pPr>
        <w:widowControl w:val="0"/>
        <w:autoSpaceDE w:val="0"/>
        <w:autoSpaceDN w:val="0"/>
        <w:adjustRightInd w:val="0"/>
        <w:spacing w:line="240" w:lineRule="auto"/>
        <w:ind w:left="480" w:hanging="480"/>
        <w:rPr>
          <w:noProof/>
        </w:rPr>
      </w:pPr>
      <w:r w:rsidRPr="001D6A9A">
        <w:rPr>
          <w:noProof/>
          <w:szCs w:val="24"/>
        </w:rPr>
        <w:lastRenderedPageBreak/>
        <w:t xml:space="preserve">Vaughn, M. F., Delisle, J., Johnson, J., Daves, G., Williams, C., Reber, J., … Meshnick, S. R. (2014). Seroepidemiologic study of human infections with spotted fever group rickettsiae in North Carolina. </w:t>
      </w:r>
      <w:r w:rsidRPr="001D6A9A">
        <w:rPr>
          <w:i/>
          <w:iCs/>
          <w:noProof/>
          <w:szCs w:val="24"/>
        </w:rPr>
        <w:t>Journal of Clinical Microbiology</w:t>
      </w:r>
      <w:r w:rsidRPr="001D6A9A">
        <w:rPr>
          <w:noProof/>
          <w:szCs w:val="24"/>
        </w:rPr>
        <w:t xml:space="preserve">, </w:t>
      </w:r>
      <w:r w:rsidRPr="001D6A9A">
        <w:rPr>
          <w:i/>
          <w:iCs/>
          <w:noProof/>
          <w:szCs w:val="24"/>
        </w:rPr>
        <w:t>52</w:t>
      </w:r>
      <w:r w:rsidRPr="001D6A9A">
        <w:rPr>
          <w:noProof/>
          <w:szCs w:val="24"/>
        </w:rPr>
        <w:t>(11), 3960–3966. https://doi.org/10.1128/JCM.01733-14</w:t>
      </w:r>
    </w:p>
    <w:p w14:paraId="70DF3272" w14:textId="77777777" w:rsidR="00A8090B" w:rsidRDefault="00A8090B">
      <w:pPr>
        <w:contextualSpacing w:val="0"/>
        <w:rPr>
          <w:shd w:val="clear" w:color="auto" w:fill="D9EAD3"/>
        </w:rPr>
      </w:pPr>
      <w:r>
        <w:rPr>
          <w:shd w:val="clear" w:color="auto" w:fill="D9EAD3"/>
        </w:rPr>
        <w:fldChar w:fldCharType="end"/>
      </w:r>
    </w:p>
    <w:sectPr w:rsidR="00A8090B">
      <w:headerReference w:type="default" r:id="rId10"/>
      <w:pgSz w:w="12240" w:h="15840"/>
      <w:pgMar w:top="1440" w:right="1440" w:bottom="1440" w:left="1440" w:header="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ayley Yaglom" w:date="2018-12-04T20:56:00Z" w:initials="">
    <w:p w14:paraId="72D00774" w14:textId="77777777" w:rsidR="007B2CA3" w:rsidRDefault="00B327FC">
      <w:pPr>
        <w:widowControl w:val="0"/>
        <w:pBdr>
          <w:top w:val="nil"/>
          <w:left w:val="nil"/>
          <w:bottom w:val="nil"/>
          <w:right w:val="nil"/>
          <w:between w:val="nil"/>
        </w:pBdr>
        <w:spacing w:line="240" w:lineRule="auto"/>
        <w:contextualSpacing w:val="0"/>
        <w:rPr>
          <w:color w:val="000000"/>
        </w:rPr>
      </w:pPr>
      <w:r>
        <w:rPr>
          <w:color w:val="000000"/>
        </w:rPr>
        <w:t>Is there a way to cite the proposal that Kristen and Ally put together for CSTE last year?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D007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89A2A" w14:textId="77777777" w:rsidR="001C26C9" w:rsidRDefault="001C26C9">
      <w:pPr>
        <w:spacing w:line="240" w:lineRule="auto"/>
      </w:pPr>
      <w:r>
        <w:separator/>
      </w:r>
    </w:p>
  </w:endnote>
  <w:endnote w:type="continuationSeparator" w:id="0">
    <w:p w14:paraId="47401735" w14:textId="77777777" w:rsidR="001C26C9" w:rsidRDefault="001C26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8B9E56" w14:textId="77777777" w:rsidR="001C26C9" w:rsidRDefault="001C26C9">
      <w:pPr>
        <w:spacing w:line="240" w:lineRule="auto"/>
      </w:pPr>
      <w:r>
        <w:separator/>
      </w:r>
    </w:p>
  </w:footnote>
  <w:footnote w:type="continuationSeparator" w:id="0">
    <w:p w14:paraId="1F0B7B62" w14:textId="77777777" w:rsidR="001C26C9" w:rsidRDefault="001C26C9">
      <w:pPr>
        <w:spacing w:line="240" w:lineRule="auto"/>
      </w:pPr>
      <w:r>
        <w:continuationSeparator/>
      </w:r>
    </w:p>
  </w:footnote>
  <w:footnote w:id="1">
    <w:p w14:paraId="2C71341B" w14:textId="77777777" w:rsidR="007B2CA3" w:rsidRDefault="00B327FC">
      <w:pPr>
        <w:spacing w:line="240" w:lineRule="auto"/>
        <w:contextualSpacing w:val="0"/>
        <w:rPr>
          <w:sz w:val="20"/>
          <w:szCs w:val="20"/>
        </w:rPr>
      </w:pPr>
      <w:r w:rsidRPr="001F4C73">
        <w:rPr>
          <w:rStyle w:val="FootnoteReference"/>
        </w:rPr>
        <w:footnoteRef/>
      </w:r>
      <w:r>
        <w:rPr>
          <w:sz w:val="20"/>
          <w:szCs w:val="20"/>
        </w:rPr>
        <w:t xml:space="preserve"> </w:t>
      </w:r>
      <w:hyperlink r:id="rId1">
        <w:r>
          <w:rPr>
            <w:color w:val="1155CC"/>
            <w:sz w:val="20"/>
            <w:szCs w:val="20"/>
            <w:u w:val="single"/>
          </w:rPr>
          <w:t>https://wwwn.cdc.gov/nndss/conditions/spotted-fever-rickettsiosis/case-definition/2010/</w:t>
        </w:r>
      </w:hyperlink>
      <w:r>
        <w:rPr>
          <w:sz w:val="20"/>
          <w:szCs w:val="20"/>
        </w:rPr>
        <w:t xml:space="preserve"> </w:t>
      </w:r>
    </w:p>
  </w:footnote>
  <w:footnote w:id="2">
    <w:p w14:paraId="0DE8B8CB" w14:textId="77777777" w:rsidR="00483145" w:rsidRPr="00483145" w:rsidRDefault="00483145">
      <w:pPr>
        <w:pStyle w:val="FootnoteText"/>
        <w:rPr>
          <w:lang w:val="en-US"/>
        </w:rPr>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51864"/>
      <w:docPartObj>
        <w:docPartGallery w:val="Watermarks"/>
        <w:docPartUnique/>
      </w:docPartObj>
    </w:sdtPr>
    <w:sdtEndPr/>
    <w:sdtContent>
      <w:p w14:paraId="2FF08297" w14:textId="7E8A93A4" w:rsidR="00B0247C" w:rsidRDefault="001C26C9">
        <w:pPr>
          <w:pStyle w:val="Header"/>
        </w:pPr>
        <w:r>
          <w:rPr>
            <w:noProof/>
          </w:rPr>
          <w:pict w14:anchorId="78F09E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D703E"/>
    <w:multiLevelType w:val="multilevel"/>
    <w:tmpl w:val="B0C6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434974"/>
    <w:multiLevelType w:val="hybridMultilevel"/>
    <w:tmpl w:val="0B9A5532"/>
    <w:lvl w:ilvl="0" w:tplc="CE30967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F18187A"/>
    <w:multiLevelType w:val="multilevel"/>
    <w:tmpl w:val="55E4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CA3"/>
    <w:rsid w:val="00000134"/>
    <w:rsid w:val="000C6C0D"/>
    <w:rsid w:val="00141160"/>
    <w:rsid w:val="001C26C9"/>
    <w:rsid w:val="001D6A9A"/>
    <w:rsid w:val="001F4C73"/>
    <w:rsid w:val="00225EB4"/>
    <w:rsid w:val="003716E6"/>
    <w:rsid w:val="0041686D"/>
    <w:rsid w:val="00430D6A"/>
    <w:rsid w:val="00474ED4"/>
    <w:rsid w:val="00483145"/>
    <w:rsid w:val="004C28C3"/>
    <w:rsid w:val="00523C36"/>
    <w:rsid w:val="005F441F"/>
    <w:rsid w:val="00605EA6"/>
    <w:rsid w:val="00654042"/>
    <w:rsid w:val="00661CFC"/>
    <w:rsid w:val="00662423"/>
    <w:rsid w:val="00705598"/>
    <w:rsid w:val="007A0DAC"/>
    <w:rsid w:val="007B2CA3"/>
    <w:rsid w:val="007F0CA3"/>
    <w:rsid w:val="00814016"/>
    <w:rsid w:val="008359EC"/>
    <w:rsid w:val="00891F12"/>
    <w:rsid w:val="008B4A41"/>
    <w:rsid w:val="008E4102"/>
    <w:rsid w:val="00947694"/>
    <w:rsid w:val="009A791D"/>
    <w:rsid w:val="009C08BD"/>
    <w:rsid w:val="00A40438"/>
    <w:rsid w:val="00A53216"/>
    <w:rsid w:val="00A632EF"/>
    <w:rsid w:val="00A8090B"/>
    <w:rsid w:val="00AA0BD7"/>
    <w:rsid w:val="00B0247C"/>
    <w:rsid w:val="00B327FC"/>
    <w:rsid w:val="00B44352"/>
    <w:rsid w:val="00BA44E3"/>
    <w:rsid w:val="00D0693A"/>
    <w:rsid w:val="00D40FBE"/>
    <w:rsid w:val="00D766A0"/>
    <w:rsid w:val="00E120F6"/>
    <w:rsid w:val="00E35D12"/>
    <w:rsid w:val="00EF4AFC"/>
    <w:rsid w:val="00EF4E9C"/>
    <w:rsid w:val="00F32B49"/>
    <w:rsid w:val="00F735A9"/>
    <w:rsid w:val="00F92665"/>
    <w:rsid w:val="00FA0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AF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716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6E6"/>
    <w:rPr>
      <w:rFonts w:ascii="Segoe UI" w:hAnsi="Segoe UI" w:cs="Segoe UI"/>
      <w:sz w:val="18"/>
      <w:szCs w:val="18"/>
    </w:rPr>
  </w:style>
  <w:style w:type="paragraph" w:styleId="FootnoteText">
    <w:name w:val="footnote text"/>
    <w:basedOn w:val="Normal"/>
    <w:link w:val="FootnoteTextChar"/>
    <w:uiPriority w:val="99"/>
    <w:semiHidden/>
    <w:unhideWhenUsed/>
    <w:rsid w:val="003716E6"/>
    <w:pPr>
      <w:spacing w:line="240" w:lineRule="auto"/>
    </w:pPr>
    <w:rPr>
      <w:sz w:val="20"/>
      <w:szCs w:val="20"/>
    </w:rPr>
  </w:style>
  <w:style w:type="character" w:customStyle="1" w:styleId="FootnoteTextChar">
    <w:name w:val="Footnote Text Char"/>
    <w:basedOn w:val="DefaultParagraphFont"/>
    <w:link w:val="FootnoteText"/>
    <w:uiPriority w:val="99"/>
    <w:semiHidden/>
    <w:rsid w:val="003716E6"/>
    <w:rPr>
      <w:sz w:val="20"/>
      <w:szCs w:val="20"/>
    </w:rPr>
  </w:style>
  <w:style w:type="character" w:styleId="FootnoteReference">
    <w:name w:val="footnote reference"/>
    <w:basedOn w:val="DefaultParagraphFont"/>
    <w:uiPriority w:val="99"/>
    <w:semiHidden/>
    <w:unhideWhenUsed/>
    <w:rsid w:val="003716E6"/>
    <w:rPr>
      <w:vertAlign w:val="superscript"/>
    </w:rPr>
  </w:style>
  <w:style w:type="character" w:styleId="Hyperlink">
    <w:name w:val="Hyperlink"/>
    <w:basedOn w:val="DefaultParagraphFont"/>
    <w:uiPriority w:val="99"/>
    <w:unhideWhenUsed/>
    <w:rsid w:val="00A8090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E4102"/>
    <w:rPr>
      <w:b/>
      <w:bCs/>
    </w:rPr>
  </w:style>
  <w:style w:type="character" w:customStyle="1" w:styleId="CommentSubjectChar">
    <w:name w:val="Comment Subject Char"/>
    <w:basedOn w:val="CommentTextChar"/>
    <w:link w:val="CommentSubject"/>
    <w:uiPriority w:val="99"/>
    <w:semiHidden/>
    <w:rsid w:val="008E4102"/>
    <w:rPr>
      <w:b/>
      <w:bCs/>
      <w:sz w:val="20"/>
      <w:szCs w:val="20"/>
    </w:rPr>
  </w:style>
  <w:style w:type="character" w:styleId="EndnoteReference">
    <w:name w:val="endnote reference"/>
    <w:basedOn w:val="DefaultParagraphFont"/>
    <w:uiPriority w:val="99"/>
    <w:semiHidden/>
    <w:unhideWhenUsed/>
    <w:rsid w:val="001F4C73"/>
    <w:rPr>
      <w:vertAlign w:val="superscript"/>
    </w:rPr>
  </w:style>
  <w:style w:type="paragraph" w:styleId="Header">
    <w:name w:val="header"/>
    <w:basedOn w:val="Normal"/>
    <w:link w:val="HeaderChar"/>
    <w:uiPriority w:val="99"/>
    <w:unhideWhenUsed/>
    <w:rsid w:val="00B0247C"/>
    <w:pPr>
      <w:tabs>
        <w:tab w:val="center" w:pos="4680"/>
        <w:tab w:val="right" w:pos="9360"/>
      </w:tabs>
      <w:spacing w:line="240" w:lineRule="auto"/>
    </w:pPr>
  </w:style>
  <w:style w:type="character" w:customStyle="1" w:styleId="HeaderChar">
    <w:name w:val="Header Char"/>
    <w:basedOn w:val="DefaultParagraphFont"/>
    <w:link w:val="Header"/>
    <w:uiPriority w:val="99"/>
    <w:rsid w:val="00B0247C"/>
  </w:style>
  <w:style w:type="paragraph" w:styleId="Footer">
    <w:name w:val="footer"/>
    <w:basedOn w:val="Normal"/>
    <w:link w:val="FooterChar"/>
    <w:uiPriority w:val="99"/>
    <w:unhideWhenUsed/>
    <w:rsid w:val="00B0247C"/>
    <w:pPr>
      <w:tabs>
        <w:tab w:val="center" w:pos="4680"/>
        <w:tab w:val="right" w:pos="9360"/>
      </w:tabs>
      <w:spacing w:line="240" w:lineRule="auto"/>
    </w:pPr>
  </w:style>
  <w:style w:type="character" w:customStyle="1" w:styleId="FooterChar">
    <w:name w:val="Footer Char"/>
    <w:basedOn w:val="DefaultParagraphFont"/>
    <w:link w:val="Footer"/>
    <w:uiPriority w:val="99"/>
    <w:rsid w:val="00B0247C"/>
  </w:style>
  <w:style w:type="character" w:styleId="FollowedHyperlink">
    <w:name w:val="FollowedHyperlink"/>
    <w:basedOn w:val="DefaultParagraphFont"/>
    <w:uiPriority w:val="99"/>
    <w:semiHidden/>
    <w:unhideWhenUsed/>
    <w:rsid w:val="00662423"/>
    <w:rPr>
      <w:color w:val="800080" w:themeColor="followedHyperlink"/>
      <w:u w:val="single"/>
    </w:rPr>
  </w:style>
  <w:style w:type="table" w:styleId="TableGrid">
    <w:name w:val="Table Grid"/>
    <w:basedOn w:val="TableNormal"/>
    <w:uiPriority w:val="39"/>
    <w:rsid w:val="00EF4AFC"/>
    <w:pPr>
      <w:spacing w:line="240" w:lineRule="auto"/>
      <w:contextualSpacing w:val="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5EA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716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6E6"/>
    <w:rPr>
      <w:rFonts w:ascii="Segoe UI" w:hAnsi="Segoe UI" w:cs="Segoe UI"/>
      <w:sz w:val="18"/>
      <w:szCs w:val="18"/>
    </w:rPr>
  </w:style>
  <w:style w:type="paragraph" w:styleId="FootnoteText">
    <w:name w:val="footnote text"/>
    <w:basedOn w:val="Normal"/>
    <w:link w:val="FootnoteTextChar"/>
    <w:uiPriority w:val="99"/>
    <w:semiHidden/>
    <w:unhideWhenUsed/>
    <w:rsid w:val="003716E6"/>
    <w:pPr>
      <w:spacing w:line="240" w:lineRule="auto"/>
    </w:pPr>
    <w:rPr>
      <w:sz w:val="20"/>
      <w:szCs w:val="20"/>
    </w:rPr>
  </w:style>
  <w:style w:type="character" w:customStyle="1" w:styleId="FootnoteTextChar">
    <w:name w:val="Footnote Text Char"/>
    <w:basedOn w:val="DefaultParagraphFont"/>
    <w:link w:val="FootnoteText"/>
    <w:uiPriority w:val="99"/>
    <w:semiHidden/>
    <w:rsid w:val="003716E6"/>
    <w:rPr>
      <w:sz w:val="20"/>
      <w:szCs w:val="20"/>
    </w:rPr>
  </w:style>
  <w:style w:type="character" w:styleId="FootnoteReference">
    <w:name w:val="footnote reference"/>
    <w:basedOn w:val="DefaultParagraphFont"/>
    <w:uiPriority w:val="99"/>
    <w:semiHidden/>
    <w:unhideWhenUsed/>
    <w:rsid w:val="003716E6"/>
    <w:rPr>
      <w:vertAlign w:val="superscript"/>
    </w:rPr>
  </w:style>
  <w:style w:type="character" w:styleId="Hyperlink">
    <w:name w:val="Hyperlink"/>
    <w:basedOn w:val="DefaultParagraphFont"/>
    <w:uiPriority w:val="99"/>
    <w:unhideWhenUsed/>
    <w:rsid w:val="00A8090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E4102"/>
    <w:rPr>
      <w:b/>
      <w:bCs/>
    </w:rPr>
  </w:style>
  <w:style w:type="character" w:customStyle="1" w:styleId="CommentSubjectChar">
    <w:name w:val="Comment Subject Char"/>
    <w:basedOn w:val="CommentTextChar"/>
    <w:link w:val="CommentSubject"/>
    <w:uiPriority w:val="99"/>
    <w:semiHidden/>
    <w:rsid w:val="008E4102"/>
    <w:rPr>
      <w:b/>
      <w:bCs/>
      <w:sz w:val="20"/>
      <w:szCs w:val="20"/>
    </w:rPr>
  </w:style>
  <w:style w:type="character" w:styleId="EndnoteReference">
    <w:name w:val="endnote reference"/>
    <w:basedOn w:val="DefaultParagraphFont"/>
    <w:uiPriority w:val="99"/>
    <w:semiHidden/>
    <w:unhideWhenUsed/>
    <w:rsid w:val="001F4C73"/>
    <w:rPr>
      <w:vertAlign w:val="superscript"/>
    </w:rPr>
  </w:style>
  <w:style w:type="paragraph" w:styleId="Header">
    <w:name w:val="header"/>
    <w:basedOn w:val="Normal"/>
    <w:link w:val="HeaderChar"/>
    <w:uiPriority w:val="99"/>
    <w:unhideWhenUsed/>
    <w:rsid w:val="00B0247C"/>
    <w:pPr>
      <w:tabs>
        <w:tab w:val="center" w:pos="4680"/>
        <w:tab w:val="right" w:pos="9360"/>
      </w:tabs>
      <w:spacing w:line="240" w:lineRule="auto"/>
    </w:pPr>
  </w:style>
  <w:style w:type="character" w:customStyle="1" w:styleId="HeaderChar">
    <w:name w:val="Header Char"/>
    <w:basedOn w:val="DefaultParagraphFont"/>
    <w:link w:val="Header"/>
    <w:uiPriority w:val="99"/>
    <w:rsid w:val="00B0247C"/>
  </w:style>
  <w:style w:type="paragraph" w:styleId="Footer">
    <w:name w:val="footer"/>
    <w:basedOn w:val="Normal"/>
    <w:link w:val="FooterChar"/>
    <w:uiPriority w:val="99"/>
    <w:unhideWhenUsed/>
    <w:rsid w:val="00B0247C"/>
    <w:pPr>
      <w:tabs>
        <w:tab w:val="center" w:pos="4680"/>
        <w:tab w:val="right" w:pos="9360"/>
      </w:tabs>
      <w:spacing w:line="240" w:lineRule="auto"/>
    </w:pPr>
  </w:style>
  <w:style w:type="character" w:customStyle="1" w:styleId="FooterChar">
    <w:name w:val="Footer Char"/>
    <w:basedOn w:val="DefaultParagraphFont"/>
    <w:link w:val="Footer"/>
    <w:uiPriority w:val="99"/>
    <w:rsid w:val="00B0247C"/>
  </w:style>
  <w:style w:type="character" w:styleId="FollowedHyperlink">
    <w:name w:val="FollowedHyperlink"/>
    <w:basedOn w:val="DefaultParagraphFont"/>
    <w:uiPriority w:val="99"/>
    <w:semiHidden/>
    <w:unhideWhenUsed/>
    <w:rsid w:val="00662423"/>
    <w:rPr>
      <w:color w:val="800080" w:themeColor="followedHyperlink"/>
      <w:u w:val="single"/>
    </w:rPr>
  </w:style>
  <w:style w:type="table" w:styleId="TableGrid">
    <w:name w:val="Table Grid"/>
    <w:basedOn w:val="TableNormal"/>
    <w:uiPriority w:val="39"/>
    <w:rsid w:val="00EF4AFC"/>
    <w:pPr>
      <w:spacing w:line="240" w:lineRule="auto"/>
      <w:contextualSpacing w:val="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5EA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542036">
      <w:bodyDiv w:val="1"/>
      <w:marLeft w:val="0"/>
      <w:marRight w:val="0"/>
      <w:marTop w:val="0"/>
      <w:marBottom w:val="0"/>
      <w:divBdr>
        <w:top w:val="none" w:sz="0" w:space="0" w:color="auto"/>
        <w:left w:val="none" w:sz="0" w:space="0" w:color="auto"/>
        <w:bottom w:val="none" w:sz="0" w:space="0" w:color="auto"/>
        <w:right w:val="none" w:sz="0" w:space="0" w:color="auto"/>
      </w:divBdr>
    </w:div>
    <w:div w:id="1414661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CF397-0571-4890-A263-A02577D20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8</Pages>
  <Words>8931</Words>
  <Characters>50907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NC Communicable Disease Branch</Company>
  <LinksUpToDate>false</LinksUpToDate>
  <CharactersWithSpaces>59719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Feinman, Shawna</dc:creator>
  <cp:lastModifiedBy>Carl Williams</cp:lastModifiedBy>
  <cp:revision>3</cp:revision>
  <dcterms:created xsi:type="dcterms:W3CDTF">2018-12-06T20:04:00Z</dcterms:created>
  <dcterms:modified xsi:type="dcterms:W3CDTF">2018-12-06T21:59:00Z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978809aa-d9f2-34d2-8d0f-57be6225088d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