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44F83" w14:textId="77777777" w:rsidR="00DA2F70" w:rsidRPr="00FF59AD" w:rsidRDefault="00953466" w:rsidP="00953466">
      <w:pPr>
        <w:jc w:val="center"/>
        <w:rPr>
          <w:b/>
          <w:sz w:val="32"/>
        </w:rPr>
      </w:pPr>
      <w:r w:rsidRPr="00FF59AD">
        <w:rPr>
          <w:b/>
          <w:sz w:val="32"/>
        </w:rPr>
        <w:t>Spotted Fever Rickettsiosis: Case Definition Change FAQs</w:t>
      </w:r>
    </w:p>
    <w:p w14:paraId="20330301" w14:textId="7517ADC5" w:rsidR="000361BE" w:rsidRDefault="00391A7C" w:rsidP="00581C19">
      <w:pPr>
        <w:pStyle w:val="ListParagraph"/>
        <w:numPr>
          <w:ilvl w:val="0"/>
          <w:numId w:val="15"/>
        </w:numPr>
        <w:spacing w:after="0"/>
      </w:pPr>
      <w:r>
        <w:t xml:space="preserve">The literature says that </w:t>
      </w:r>
      <w:r w:rsidR="000361BE">
        <w:t>the sensitivity of most IFA assays increases as the illness prog</w:t>
      </w:r>
      <w:r w:rsidR="004720EC">
        <w:t>r</w:t>
      </w:r>
      <w:r w:rsidR="000361BE">
        <w:t>es</w:t>
      </w:r>
      <w:r w:rsidR="004720EC">
        <w:t>s</w:t>
      </w:r>
      <w:r w:rsidR="000361BE">
        <w:t xml:space="preserve">es past 7 days.  </w:t>
      </w:r>
      <w:r w:rsidR="00953466">
        <w:t xml:space="preserve">Why can’t we change a valid acute sample to be considered only if the sample is taken 7-10 days post onset? </w:t>
      </w:r>
    </w:p>
    <w:p w14:paraId="7067CCA7" w14:textId="0E334FDE" w:rsidR="004C3F6D" w:rsidRDefault="004C3F6D" w:rsidP="004720EC">
      <w:pPr>
        <w:pStyle w:val="ListParagraph"/>
        <w:numPr>
          <w:ilvl w:val="0"/>
          <w:numId w:val="3"/>
        </w:numPr>
      </w:pPr>
      <w:r w:rsidRPr="00BA340C">
        <w:rPr>
          <w:highlight w:val="yellow"/>
        </w:rPr>
        <w:t xml:space="preserve">While most people may develop antibodies </w:t>
      </w:r>
      <w:r w:rsidR="004720EC" w:rsidRPr="00BA340C">
        <w:rPr>
          <w:highlight w:val="yellow"/>
        </w:rPr>
        <w:t>after the first week of</w:t>
      </w:r>
      <w:r w:rsidRPr="00BA340C">
        <w:rPr>
          <w:highlight w:val="yellow"/>
        </w:rPr>
        <w:t xml:space="preserve"> </w:t>
      </w:r>
      <w:r w:rsidR="004720EC" w:rsidRPr="00BA340C">
        <w:rPr>
          <w:highlight w:val="yellow"/>
        </w:rPr>
        <w:t>illness</w:t>
      </w:r>
      <w:r w:rsidRPr="00BA340C">
        <w:rPr>
          <w:highlight w:val="yellow"/>
        </w:rPr>
        <w:t xml:space="preserve">, this may vary on an individual basis and depend on the species, dose, etc.  Some literature </w:t>
      </w:r>
      <w:r w:rsidR="004720EC" w:rsidRPr="00BA340C">
        <w:rPr>
          <w:highlight w:val="yellow"/>
        </w:rPr>
        <w:t xml:space="preserve">suggests </w:t>
      </w:r>
      <w:r w:rsidRPr="00BA340C">
        <w:rPr>
          <w:highlight w:val="yellow"/>
        </w:rPr>
        <w:t xml:space="preserve">seroconversion </w:t>
      </w:r>
      <w:r w:rsidR="004720EC" w:rsidRPr="00BA340C">
        <w:rPr>
          <w:highlight w:val="yellow"/>
        </w:rPr>
        <w:t>may occur within the first week of illness</w:t>
      </w:r>
      <w:r w:rsidRPr="00BA340C">
        <w:rPr>
          <w:highlight w:val="yellow"/>
        </w:rPr>
        <w:t>:</w:t>
      </w:r>
      <w:r w:rsidRPr="00052465">
        <w:t xml:space="preserve">  </w:t>
      </w:r>
      <w:hyperlink r:id="rId5" w:history="1">
        <w:r w:rsidRPr="00F12D3D">
          <w:rPr>
            <w:rStyle w:val="Hyperlink"/>
          </w:rPr>
          <w:t>https://www.ncbi.nlm.nih.gov/pmc/articles/PMC262206/</w:t>
        </w:r>
      </w:hyperlink>
      <w:r w:rsidR="004720EC">
        <w:t xml:space="preserve">; </w:t>
      </w:r>
      <w:hyperlink r:id="rId6" w:history="1">
        <w:r w:rsidR="004720EC" w:rsidRPr="00157850">
          <w:rPr>
            <w:rStyle w:val="Hyperlink"/>
          </w:rPr>
          <w:t>https://www.ncbi.nlm.nih.gov/pmc/articles/PMC6311067/</w:t>
        </w:r>
      </w:hyperlink>
      <w:r>
        <w:t>.</w:t>
      </w:r>
      <w:r w:rsidR="004720EC">
        <w:t xml:space="preserve">  </w:t>
      </w:r>
      <w:r w:rsidR="004720EC">
        <w:t>It would be difficult to classify a patient as “Not a Case” when they are clinically compatible, have a titer greater or equal to 1:128 and their sample was collected on day 5</w:t>
      </w:r>
      <w:r w:rsidR="004720EC">
        <w:t>, for example</w:t>
      </w:r>
      <w:r w:rsidR="004720EC">
        <w:t xml:space="preserve">. </w:t>
      </w:r>
    </w:p>
    <w:p w14:paraId="46021D7F" w14:textId="1A236790" w:rsidR="00953466" w:rsidRPr="004C3F6D" w:rsidRDefault="000361BE" w:rsidP="004C3F6D">
      <w:pPr>
        <w:pStyle w:val="ListParagraph"/>
        <w:numPr>
          <w:ilvl w:val="0"/>
          <w:numId w:val="2"/>
        </w:numPr>
      </w:pPr>
      <w:r w:rsidRPr="004C3F6D">
        <w:rPr>
          <w:rFonts w:cstheme="minorHAnsi"/>
        </w:rPr>
        <w:t xml:space="preserve">The first week of </w:t>
      </w:r>
      <w:proofErr w:type="spellStart"/>
      <w:r w:rsidRPr="004C3F6D">
        <w:rPr>
          <w:rFonts w:cstheme="minorHAnsi"/>
        </w:rPr>
        <w:t>rickettsial</w:t>
      </w:r>
      <w:proofErr w:type="spellEnd"/>
      <w:r w:rsidRPr="004C3F6D">
        <w:rPr>
          <w:rFonts w:cstheme="minorHAnsi"/>
        </w:rPr>
        <w:t xml:space="preserve"> infection </w:t>
      </w:r>
      <w:r w:rsidRPr="004C3F6D">
        <w:rPr>
          <w:rFonts w:cstheme="minorHAnsi"/>
        </w:rPr>
        <w:t>is the period during which most patients seek medical attention and when the majority of specimens are collected for evaluation</w:t>
      </w:r>
      <w:r w:rsidRPr="004C3F6D">
        <w:rPr>
          <w:rFonts w:cstheme="minorHAnsi"/>
        </w:rPr>
        <w:t>.</w:t>
      </w:r>
      <w:r w:rsidR="00B449C2" w:rsidRPr="004C3F6D">
        <w:rPr>
          <w:rFonts w:cstheme="minorHAnsi"/>
        </w:rPr>
        <w:t xml:space="preserve"> </w:t>
      </w:r>
      <w:r w:rsidR="00953466" w:rsidRPr="004C3F6D">
        <w:rPr>
          <w:rFonts w:cstheme="minorHAnsi"/>
        </w:rPr>
        <w:t>Dismissing lab results that were taken too early would mean we would be looking at a significantly smaller number of cases.</w:t>
      </w:r>
      <w:r w:rsidR="007B4869">
        <w:rPr>
          <w:rFonts w:cstheme="minorHAnsi"/>
        </w:rPr>
        <w:t xml:space="preserve">  </w:t>
      </w:r>
    </w:p>
    <w:p w14:paraId="5A327D42" w14:textId="05E6AF71" w:rsidR="00953466" w:rsidRDefault="00953466" w:rsidP="00953466">
      <w:pPr>
        <w:pStyle w:val="ListParagraph"/>
        <w:numPr>
          <w:ilvl w:val="0"/>
          <w:numId w:val="2"/>
        </w:numPr>
      </w:pPr>
      <w:r w:rsidRPr="00B449C2">
        <w:rPr>
          <w:rFonts w:cstheme="minorHAnsi"/>
        </w:rPr>
        <w:t>If upon visiting their physician during the acute phase of their illness, and the physician directs them to take antibiotics for their suspected</w:t>
      </w:r>
      <w:r>
        <w:t xml:space="preserve"> </w:t>
      </w:r>
      <w:r w:rsidR="0047007B">
        <w:t>tick-borne</w:t>
      </w:r>
      <w:r>
        <w:t xml:space="preserve"> illness, and return at a later date for testing one of two scenarios may occur:</w:t>
      </w:r>
    </w:p>
    <w:p w14:paraId="5DFC2AEF" w14:textId="77777777" w:rsidR="00953466" w:rsidRDefault="00953466" w:rsidP="00953466">
      <w:pPr>
        <w:pStyle w:val="ListParagraph"/>
        <w:numPr>
          <w:ilvl w:val="1"/>
          <w:numId w:val="2"/>
        </w:numPr>
      </w:pPr>
      <w:r>
        <w:t>A patient takes antibiotics, feels better, and does not show up to get acute sample taken during the appropriate timeframe</w:t>
      </w:r>
    </w:p>
    <w:p w14:paraId="2E080A7C" w14:textId="77777777" w:rsidR="00953466" w:rsidRDefault="00953466" w:rsidP="00953466">
      <w:pPr>
        <w:pStyle w:val="ListParagraph"/>
        <w:numPr>
          <w:ilvl w:val="1"/>
          <w:numId w:val="2"/>
        </w:numPr>
      </w:pPr>
      <w:r>
        <w:t xml:space="preserve">A patient takes antibiotics, does return to get the acute sample taken during the appropriate time frame, titers are affected and are low and not reportable/considered suspect anyway. </w:t>
      </w:r>
    </w:p>
    <w:p w14:paraId="058713F6" w14:textId="77777777" w:rsidR="00953466" w:rsidRDefault="00821DB2" w:rsidP="00953466">
      <w:pPr>
        <w:pStyle w:val="ListParagraph"/>
        <w:ind w:left="1800"/>
      </w:pPr>
      <w:hyperlink r:id="rId7" w:history="1">
        <w:r w:rsidR="00953466" w:rsidRPr="00F12D3D">
          <w:rPr>
            <w:rStyle w:val="Hyperlink"/>
          </w:rPr>
          <w:t>https://academic.oup.com/jid/article/180/3/900/819761 - Discussion paragraph 3</w:t>
        </w:r>
      </w:hyperlink>
    </w:p>
    <w:p w14:paraId="0C7FAC7A" w14:textId="6FBF9792" w:rsidR="005C3679" w:rsidRDefault="00863B3C" w:rsidP="00863B3C">
      <w:pPr>
        <w:pStyle w:val="ListParagraph"/>
        <w:numPr>
          <w:ilvl w:val="0"/>
          <w:numId w:val="13"/>
        </w:numPr>
      </w:pPr>
      <w:r>
        <w:t xml:space="preserve"> Why a cutoff of 1:128 rather than 1:64?  </w:t>
      </w:r>
    </w:p>
    <w:p w14:paraId="5B48C897" w14:textId="77777777" w:rsidR="00054405" w:rsidRPr="00821DB2" w:rsidRDefault="007B4869" w:rsidP="00054405">
      <w:pPr>
        <w:pStyle w:val="ListParagraph"/>
        <w:numPr>
          <w:ilvl w:val="0"/>
          <w:numId w:val="2"/>
        </w:numPr>
        <w:rPr>
          <w:highlight w:val="yellow"/>
        </w:rPr>
      </w:pPr>
      <w:r w:rsidRPr="00821DB2">
        <w:rPr>
          <w:rFonts w:cs="Arial"/>
          <w:color w:val="000000" w:themeColor="text1"/>
          <w:highlight w:val="yellow"/>
          <w:lang w:val="en"/>
        </w:rPr>
        <w:t>D</w:t>
      </w:r>
      <w:r w:rsidRPr="00821DB2">
        <w:rPr>
          <w:rFonts w:cs="Arial"/>
          <w:color w:val="000000" w:themeColor="text1"/>
          <w:highlight w:val="yellow"/>
          <w:lang w:val="en"/>
        </w:rPr>
        <w:t>ata suggest that the prevalence of IgG antibodies reactive to SFG in asymptomatic individuals may be more common than previously assumed.  The presence of these IgG antibodies may reflect past exposures rather than active cases thereby confounding the interpretation of a single IgG antibody test result</w:t>
      </w:r>
      <w:r w:rsidRPr="00821DB2">
        <w:rPr>
          <w:rFonts w:cs="Arial"/>
          <w:color w:val="000000" w:themeColor="text1"/>
          <w:highlight w:val="yellow"/>
          <w:lang w:val="en"/>
        </w:rPr>
        <w:t xml:space="preserve">.  </w:t>
      </w:r>
      <w:r w:rsidR="00054405" w:rsidRPr="00821DB2">
        <w:rPr>
          <w:rFonts w:cstheme="minorHAnsi"/>
          <w:highlight w:val="yellow"/>
        </w:rPr>
        <w:t xml:space="preserve">Data from TN suggests that 1:64 titers result in the highest numbers of non-cases, </w:t>
      </w:r>
      <w:proofErr w:type="spellStart"/>
      <w:r w:rsidR="00054405" w:rsidRPr="00821DB2">
        <w:rPr>
          <w:rFonts w:cstheme="minorHAnsi"/>
          <w:highlight w:val="yellow"/>
        </w:rPr>
        <w:t>ie</w:t>
      </w:r>
      <w:proofErr w:type="spellEnd"/>
      <w:r w:rsidR="00054405" w:rsidRPr="00821DB2">
        <w:rPr>
          <w:rFonts w:cstheme="minorHAnsi"/>
          <w:highlight w:val="yellow"/>
        </w:rPr>
        <w:t xml:space="preserve">. not clinically compatible cases.  Data from NC suggests that titers of </w:t>
      </w:r>
      <w:r w:rsidR="00054405" w:rsidRPr="00821DB2">
        <w:rPr>
          <w:rFonts w:cs="Arial"/>
          <w:color w:val="000080"/>
          <w:sz w:val="20"/>
          <w:highlight w:val="yellow"/>
        </w:rPr>
        <w:t>≥</w:t>
      </w:r>
      <w:r w:rsidR="00054405" w:rsidRPr="00821DB2">
        <w:rPr>
          <w:rFonts w:cstheme="minorHAnsi"/>
          <w:highlight w:val="yellow"/>
        </w:rPr>
        <w:t xml:space="preserve">1:128 result in more severe disease.  Some states are already using titer cutoffs of </w:t>
      </w:r>
      <w:r w:rsidR="00054405" w:rsidRPr="00821DB2">
        <w:rPr>
          <w:rFonts w:cs="Arial"/>
          <w:color w:val="000080"/>
          <w:sz w:val="20"/>
          <w:highlight w:val="yellow"/>
        </w:rPr>
        <w:t>≥</w:t>
      </w:r>
      <w:r w:rsidR="00054405" w:rsidRPr="00821DB2">
        <w:rPr>
          <w:rFonts w:cstheme="minorHAnsi"/>
          <w:highlight w:val="yellow"/>
        </w:rPr>
        <w:t xml:space="preserve">1:128.  A revision of the case definition is </w:t>
      </w:r>
      <w:proofErr w:type="spellStart"/>
      <w:r w:rsidR="00054405" w:rsidRPr="00821DB2">
        <w:rPr>
          <w:rFonts w:cstheme="minorHAnsi"/>
          <w:highlight w:val="yellow"/>
        </w:rPr>
        <w:t>is</w:t>
      </w:r>
      <w:proofErr w:type="spellEnd"/>
      <w:r w:rsidR="00054405" w:rsidRPr="00821DB2">
        <w:rPr>
          <w:rFonts w:cstheme="minorHAnsi"/>
          <w:highlight w:val="yellow"/>
        </w:rPr>
        <w:t xml:space="preserve"> needed for standardization nationally.</w:t>
      </w:r>
      <w:bookmarkStart w:id="0" w:name="_GoBack"/>
      <w:bookmarkEnd w:id="0"/>
    </w:p>
    <w:p w14:paraId="2426B833" w14:textId="32C984DE" w:rsidR="007B4869" w:rsidRPr="007B4869" w:rsidRDefault="007B4869" w:rsidP="00054405">
      <w:pPr>
        <w:pStyle w:val="ListParagraph"/>
        <w:ind w:left="1080"/>
        <w:rPr>
          <w:color w:val="000000" w:themeColor="text1"/>
        </w:rPr>
      </w:pPr>
    </w:p>
    <w:p w14:paraId="53FDE4BF" w14:textId="14972A4B" w:rsidR="00084C1D" w:rsidRDefault="00084C1D" w:rsidP="003F5BCD">
      <w:pPr>
        <w:pStyle w:val="ListParagraph"/>
        <w:numPr>
          <w:ilvl w:val="0"/>
          <w:numId w:val="13"/>
        </w:numPr>
        <w:spacing w:after="0"/>
      </w:pPr>
      <w:r>
        <w:t xml:space="preserve">Why is there a </w:t>
      </w:r>
      <w:proofErr w:type="gramStart"/>
      <w:r w:rsidR="00370B87">
        <w:t>6</w:t>
      </w:r>
      <w:r>
        <w:t>0 day</w:t>
      </w:r>
      <w:proofErr w:type="gramEnd"/>
      <w:r>
        <w:t xml:space="preserve"> timeline for accepting a positive sample but for acute and convalescent samples the time line is up to 6 weeks?</w:t>
      </w:r>
    </w:p>
    <w:p w14:paraId="404D1B02" w14:textId="299D05FC" w:rsidR="00FF59AD" w:rsidRPr="00BA340C" w:rsidRDefault="00084C1D" w:rsidP="00AD0548">
      <w:pPr>
        <w:pStyle w:val="ListParagraph"/>
        <w:numPr>
          <w:ilvl w:val="0"/>
          <w:numId w:val="7"/>
        </w:numPr>
        <w:spacing w:after="0"/>
        <w:rPr>
          <w:highlight w:val="yellow"/>
        </w:rPr>
      </w:pPr>
      <w:r w:rsidRPr="00BA340C">
        <w:rPr>
          <w:highlight w:val="yellow"/>
        </w:rPr>
        <w:t xml:space="preserve">Our case definition of acute within 2 weeks of onset and convalescent 2-6 weeks later, we need to be able to accept specimens for 8 weeks from onset or 60 days.  </w:t>
      </w:r>
    </w:p>
    <w:p w14:paraId="07FB65DA" w14:textId="77777777" w:rsidR="00370B87" w:rsidRDefault="00370B87" w:rsidP="00370B87">
      <w:pPr>
        <w:pStyle w:val="ListParagraph"/>
        <w:spacing w:after="0"/>
        <w:ind w:left="1080"/>
      </w:pPr>
    </w:p>
    <w:p w14:paraId="6911F231" w14:textId="1AA4FA5B" w:rsidR="00052465" w:rsidRDefault="00567860" w:rsidP="003F5BCD">
      <w:pPr>
        <w:pStyle w:val="ListParagraph"/>
        <w:numPr>
          <w:ilvl w:val="0"/>
          <w:numId w:val="13"/>
        </w:numPr>
      </w:pPr>
      <w:r>
        <w:lastRenderedPageBreak/>
        <w:t xml:space="preserve">Aren’t </w:t>
      </w:r>
      <w:r w:rsidR="0063574C">
        <w:t>l</w:t>
      </w:r>
      <w:r>
        <w:t xml:space="preserve">one </w:t>
      </w:r>
      <w:r w:rsidR="0063574C">
        <w:t>s</w:t>
      </w:r>
      <w:r>
        <w:t xml:space="preserve">tar tick bites </w:t>
      </w:r>
      <w:r w:rsidR="00084C1D">
        <w:t xml:space="preserve">more common and do </w:t>
      </w:r>
      <w:r w:rsidR="00F2363B">
        <w:t xml:space="preserve">they </w:t>
      </w:r>
      <w:r w:rsidR="00084C1D">
        <w:t xml:space="preserve">not transmit </w:t>
      </w:r>
      <w:r w:rsidR="00084C1D" w:rsidRPr="003F5BCD">
        <w:rPr>
          <w:i/>
        </w:rPr>
        <w:t>R. rickettsii</w:t>
      </w:r>
      <w:r w:rsidR="00084C1D">
        <w:t xml:space="preserve"> but rather </w:t>
      </w:r>
      <w:r w:rsidR="00052465" w:rsidRPr="003F5BCD">
        <w:rPr>
          <w:i/>
        </w:rPr>
        <w:t>Ehrlichia</w:t>
      </w:r>
      <w:r w:rsidR="00084C1D">
        <w:t xml:space="preserve"> and other </w:t>
      </w:r>
      <w:r w:rsidR="00084C1D" w:rsidRPr="003F5BCD">
        <w:rPr>
          <w:i/>
        </w:rPr>
        <w:t>rickettsia</w:t>
      </w:r>
      <w:r>
        <w:t>?</w:t>
      </w:r>
    </w:p>
    <w:p w14:paraId="7085332A" w14:textId="77777777" w:rsidR="00084C1D" w:rsidRDefault="00084C1D" w:rsidP="00052465">
      <w:pPr>
        <w:pStyle w:val="ListParagraph"/>
        <w:numPr>
          <w:ilvl w:val="0"/>
          <w:numId w:val="11"/>
        </w:numPr>
      </w:pPr>
      <w:r>
        <w:t xml:space="preserve">The goal of the position statement is to capture as many true cases as possible given the variation of SFGR across the US.  Arizona, for example, does not have established lone star tick populations.  </w:t>
      </w:r>
    </w:p>
    <w:p w14:paraId="4108CBA4" w14:textId="77777777" w:rsidR="008462BD" w:rsidRDefault="00821DB2" w:rsidP="00052465">
      <w:pPr>
        <w:pStyle w:val="ListParagraph"/>
        <w:numPr>
          <w:ilvl w:val="0"/>
          <w:numId w:val="11"/>
        </w:numPr>
      </w:pPr>
      <w:hyperlink r:id="rId8" w:history="1">
        <w:r w:rsidR="00084C1D" w:rsidRPr="00F12D3D">
          <w:rPr>
            <w:rStyle w:val="Hyperlink"/>
          </w:rPr>
          <w:t>https://www.ncbi.nlm.nih.gov/pubmed/29771344</w:t>
        </w:r>
      </w:hyperlink>
      <w:r w:rsidR="00084C1D">
        <w:t xml:space="preserve">  discussed the multiple </w:t>
      </w:r>
      <w:r w:rsidR="00084C1D" w:rsidRPr="00084C1D">
        <w:rPr>
          <w:i/>
        </w:rPr>
        <w:t>rickettsia</w:t>
      </w:r>
      <w:r w:rsidR="00084C1D">
        <w:t xml:space="preserve"> found in dog ticks, adding to the confusion about what </w:t>
      </w:r>
      <w:proofErr w:type="spellStart"/>
      <w:r w:rsidR="00084C1D" w:rsidRPr="00084C1D">
        <w:rPr>
          <w:i/>
        </w:rPr>
        <w:t>rickettiae</w:t>
      </w:r>
      <w:proofErr w:type="spellEnd"/>
      <w:r w:rsidR="00084C1D">
        <w:t xml:space="preserve"> are responsible for the seroconversions in patients.  </w:t>
      </w:r>
    </w:p>
    <w:p w14:paraId="0A25457A" w14:textId="5790DE76" w:rsidR="00052465" w:rsidRPr="00BA340C" w:rsidRDefault="00084C1D" w:rsidP="00927401">
      <w:pPr>
        <w:pStyle w:val="ListParagraph"/>
        <w:numPr>
          <w:ilvl w:val="0"/>
          <w:numId w:val="11"/>
        </w:numPr>
        <w:rPr>
          <w:highlight w:val="yellow"/>
        </w:rPr>
      </w:pPr>
      <w:r w:rsidRPr="00BA340C">
        <w:rPr>
          <w:highlight w:val="yellow"/>
        </w:rPr>
        <w:t xml:space="preserve">Regarding </w:t>
      </w:r>
      <w:r w:rsidR="008462BD" w:rsidRPr="00BA340C">
        <w:rPr>
          <w:i/>
          <w:highlight w:val="yellow"/>
        </w:rPr>
        <w:t>Ehrlichia</w:t>
      </w:r>
      <w:r w:rsidRPr="00BA340C">
        <w:rPr>
          <w:highlight w:val="yellow"/>
        </w:rPr>
        <w:t xml:space="preserve"> in our endemic states, VA, TN and so on, it may be that </w:t>
      </w:r>
      <w:r w:rsidR="0063574C" w:rsidRPr="00BA340C">
        <w:rPr>
          <w:highlight w:val="yellow"/>
        </w:rPr>
        <w:t>it is</w:t>
      </w:r>
      <w:r w:rsidRPr="00BA340C">
        <w:rPr>
          <w:highlight w:val="yellow"/>
        </w:rPr>
        <w:t xml:space="preserve"> causing </w:t>
      </w:r>
      <w:r w:rsidR="00443AF1" w:rsidRPr="00BA340C">
        <w:rPr>
          <w:highlight w:val="yellow"/>
        </w:rPr>
        <w:t xml:space="preserve">some of </w:t>
      </w:r>
      <w:r w:rsidR="008462BD" w:rsidRPr="00BA340C">
        <w:rPr>
          <w:highlight w:val="yellow"/>
        </w:rPr>
        <w:t>the clinical infections</w:t>
      </w:r>
      <w:r w:rsidR="00443AF1" w:rsidRPr="00BA340C">
        <w:rPr>
          <w:highlight w:val="yellow"/>
        </w:rPr>
        <w:t xml:space="preserve"> we are calling SFR, h</w:t>
      </w:r>
      <w:r w:rsidR="008462BD" w:rsidRPr="00BA340C">
        <w:rPr>
          <w:highlight w:val="yellow"/>
        </w:rPr>
        <w:t xml:space="preserve">owever, </w:t>
      </w:r>
      <w:r w:rsidR="00443AF1" w:rsidRPr="00BA340C">
        <w:rPr>
          <w:highlight w:val="yellow"/>
        </w:rPr>
        <w:t xml:space="preserve">current tests are unable to </w:t>
      </w:r>
      <w:r w:rsidR="005808E5" w:rsidRPr="00BA340C">
        <w:rPr>
          <w:highlight w:val="yellow"/>
        </w:rPr>
        <w:t xml:space="preserve">distinguish </w:t>
      </w:r>
      <w:r w:rsidR="00443AF1" w:rsidRPr="00BA340C">
        <w:rPr>
          <w:highlight w:val="yellow"/>
        </w:rPr>
        <w:t>between</w:t>
      </w:r>
      <w:r w:rsidR="008462BD" w:rsidRPr="00BA340C">
        <w:rPr>
          <w:highlight w:val="yellow"/>
        </w:rPr>
        <w:t xml:space="preserve"> a case</w:t>
      </w:r>
      <w:r w:rsidRPr="00BA340C">
        <w:rPr>
          <w:highlight w:val="yellow"/>
        </w:rPr>
        <w:t xml:space="preserve"> </w:t>
      </w:r>
      <w:r w:rsidR="005808E5" w:rsidRPr="00BA340C">
        <w:rPr>
          <w:highlight w:val="yellow"/>
        </w:rPr>
        <w:t xml:space="preserve">of </w:t>
      </w:r>
      <w:proofErr w:type="spellStart"/>
      <w:r w:rsidR="008462BD" w:rsidRPr="00BA340C">
        <w:rPr>
          <w:i/>
          <w:highlight w:val="yellow"/>
        </w:rPr>
        <w:t>Ehrlichia</w:t>
      </w:r>
      <w:proofErr w:type="spellEnd"/>
      <w:r w:rsidRPr="00BA340C">
        <w:rPr>
          <w:highlight w:val="yellow"/>
        </w:rPr>
        <w:t xml:space="preserve"> and SFR.  Even with a PCR positive </w:t>
      </w:r>
      <w:r w:rsidR="008462BD" w:rsidRPr="00BA340C">
        <w:rPr>
          <w:highlight w:val="yellow"/>
        </w:rPr>
        <w:t>Ehrlichia</w:t>
      </w:r>
      <w:r w:rsidRPr="00BA340C">
        <w:rPr>
          <w:highlight w:val="yellow"/>
        </w:rPr>
        <w:t xml:space="preserve"> test, we cannot rule out a SFR infection if there is an antibody response.</w:t>
      </w:r>
    </w:p>
    <w:p w14:paraId="52E70574" w14:textId="77777777" w:rsidR="00FF59AD" w:rsidRDefault="00FF59AD" w:rsidP="00FF59AD">
      <w:pPr>
        <w:pStyle w:val="ListParagraph"/>
      </w:pPr>
    </w:p>
    <w:p w14:paraId="5638DDAA" w14:textId="77777777" w:rsidR="00AD41DB" w:rsidRDefault="008462BD" w:rsidP="00AD41DB">
      <w:pPr>
        <w:pStyle w:val="ListParagraph"/>
        <w:numPr>
          <w:ilvl w:val="0"/>
          <w:numId w:val="13"/>
        </w:numPr>
      </w:pPr>
      <w:r>
        <w:t>What about n</w:t>
      </w:r>
      <w:r w:rsidR="00084C1D">
        <w:t xml:space="preserve">on-pathogenic </w:t>
      </w:r>
      <w:r w:rsidR="00084C1D" w:rsidRPr="008462BD">
        <w:rPr>
          <w:i/>
        </w:rPr>
        <w:t>R. amblyommii</w:t>
      </w:r>
      <w:r w:rsidR="00084C1D">
        <w:t xml:space="preserve"> causing seroconversion</w:t>
      </w:r>
      <w:r>
        <w:t>?</w:t>
      </w:r>
      <w:r w:rsidR="00084C1D">
        <w:t xml:space="preserve">  </w:t>
      </w:r>
    </w:p>
    <w:p w14:paraId="52EFABC3" w14:textId="4850938A" w:rsidR="00084C1D" w:rsidRDefault="00084C1D" w:rsidP="00AD41DB">
      <w:pPr>
        <w:pStyle w:val="ListParagraph"/>
        <w:numPr>
          <w:ilvl w:val="1"/>
          <w:numId w:val="13"/>
        </w:numPr>
      </w:pPr>
      <w:r>
        <w:t>There is some evidence that</w:t>
      </w:r>
      <w:r w:rsidRPr="00AD41DB">
        <w:rPr>
          <w:i/>
        </w:rPr>
        <w:t xml:space="preserve"> R. amblyommii </w:t>
      </w:r>
      <w:r>
        <w:t>is not non-pathogenic (</w:t>
      </w:r>
      <w:hyperlink r:id="rId9" w:history="1">
        <w:r w:rsidR="008462BD" w:rsidRPr="00F12D3D">
          <w:rPr>
            <w:rStyle w:val="Hyperlink"/>
          </w:rPr>
          <w:t>https://www.ncbi.nlm.nih.gov/pubmed/27022147</w:t>
        </w:r>
      </w:hyperlink>
      <w:r w:rsidR="008462BD">
        <w:t xml:space="preserve"> </w:t>
      </w:r>
      <w:hyperlink r:id="rId10" w:history="1">
        <w:r w:rsidR="008462BD" w:rsidRPr="00F12D3D">
          <w:rPr>
            <w:rStyle w:val="Hyperlink"/>
          </w:rPr>
          <w:t>https://www.ncbi.nlm.nih.gov/pubmed/25187639</w:t>
        </w:r>
      </w:hyperlink>
      <w:r w:rsidR="008462BD">
        <w:t xml:space="preserve"> </w:t>
      </w:r>
    </w:p>
    <w:p w14:paraId="4F9D27B6" w14:textId="77777777" w:rsidR="00567860" w:rsidRDefault="00567860" w:rsidP="00567860">
      <w:pPr>
        <w:pStyle w:val="ListParagraph"/>
      </w:pPr>
    </w:p>
    <w:p w14:paraId="5B096315" w14:textId="77777777" w:rsidR="00567860" w:rsidRDefault="00567860" w:rsidP="003F5BCD">
      <w:pPr>
        <w:pStyle w:val="ListParagraph"/>
        <w:numPr>
          <w:ilvl w:val="0"/>
          <w:numId w:val="13"/>
        </w:numPr>
      </w:pPr>
      <w:r>
        <w:t>Why are doctors</w:t>
      </w:r>
      <w:r w:rsidR="00084C1D">
        <w:t xml:space="preserve"> not focusing on </w:t>
      </w:r>
      <w:r w:rsidRPr="00567860">
        <w:rPr>
          <w:i/>
        </w:rPr>
        <w:t>E</w:t>
      </w:r>
      <w:r w:rsidR="00084C1D" w:rsidRPr="00567860">
        <w:rPr>
          <w:i/>
        </w:rPr>
        <w:t>hrlichia</w:t>
      </w:r>
      <w:r>
        <w:t xml:space="preserve"> testing?</w:t>
      </w:r>
    </w:p>
    <w:p w14:paraId="122B0109" w14:textId="3FC4B440" w:rsidR="00567860" w:rsidRDefault="00FF59AD" w:rsidP="00567860">
      <w:pPr>
        <w:pStyle w:val="ListParagraph"/>
        <w:numPr>
          <w:ilvl w:val="0"/>
          <w:numId w:val="12"/>
        </w:numPr>
      </w:pPr>
      <w:r>
        <w:t xml:space="preserve">While we </w:t>
      </w:r>
      <w:r w:rsidR="00084C1D">
        <w:t>agree that physician education</w:t>
      </w:r>
      <w:r w:rsidR="00567860">
        <w:t xml:space="preserve"> about testing for </w:t>
      </w:r>
      <w:r w:rsidR="00AD41DB">
        <w:t>tick-borne</w:t>
      </w:r>
      <w:r w:rsidR="00567860">
        <w:t xml:space="preserve"> diseases is important, the </w:t>
      </w:r>
      <w:r w:rsidR="00084C1D">
        <w:t>position statement serves to guide</w:t>
      </w:r>
      <w:r w:rsidR="00567860">
        <w:t xml:space="preserve"> public health to distinguish what are likely true cases</w:t>
      </w:r>
      <w:r>
        <w:t xml:space="preserve"> of SFR</w:t>
      </w:r>
      <w:r w:rsidR="00567860">
        <w:t xml:space="preserve">.   </w:t>
      </w:r>
    </w:p>
    <w:p w14:paraId="16D37909" w14:textId="3E6C695E" w:rsidR="00567860" w:rsidRDefault="00AD41DB" w:rsidP="00567860">
      <w:pPr>
        <w:pStyle w:val="ListParagraph"/>
        <w:numPr>
          <w:ilvl w:val="0"/>
          <w:numId w:val="12"/>
        </w:numPr>
      </w:pPr>
      <w:proofErr w:type="spellStart"/>
      <w:r>
        <w:t>Ehrlichia</w:t>
      </w:r>
      <w:proofErr w:type="spellEnd"/>
      <w:r>
        <w:t xml:space="preserve"> testing</w:t>
      </w:r>
      <w:r w:rsidR="00084C1D">
        <w:t xml:space="preserve"> would </w:t>
      </w:r>
      <w:r>
        <w:t xml:space="preserve">still </w:t>
      </w:r>
      <w:r w:rsidR="00084C1D">
        <w:t xml:space="preserve">not clarify whether there was </w:t>
      </w:r>
      <w:proofErr w:type="gramStart"/>
      <w:r w:rsidR="00084C1D">
        <w:t>a</w:t>
      </w:r>
      <w:proofErr w:type="gramEnd"/>
      <w:r w:rsidR="00084C1D">
        <w:t xml:space="preserve"> SFR infection or not.  </w:t>
      </w:r>
    </w:p>
    <w:p w14:paraId="5781F888" w14:textId="77777777" w:rsidR="00567860" w:rsidRDefault="00567860" w:rsidP="00567860">
      <w:pPr>
        <w:pStyle w:val="ListParagraph"/>
      </w:pPr>
    </w:p>
    <w:p w14:paraId="30286DB2" w14:textId="640CABA2" w:rsidR="00084C1D" w:rsidRDefault="00AD41DB" w:rsidP="003F5BCD">
      <w:pPr>
        <w:pStyle w:val="ListParagraph"/>
        <w:numPr>
          <w:ilvl w:val="0"/>
          <w:numId w:val="13"/>
        </w:numPr>
      </w:pPr>
      <w:r>
        <w:t>Why doesn’t the</w:t>
      </w:r>
      <w:r w:rsidR="00084C1D" w:rsidRPr="00084C1D">
        <w:t xml:space="preserve"> revised definition focus more on PCR testing rather than the fourfold increase for confirmatory laboratory evidence</w:t>
      </w:r>
      <w:r w:rsidR="00084C1D">
        <w:t>?</w:t>
      </w:r>
      <w:r w:rsidR="00084C1D" w:rsidRPr="00084C1D">
        <w:t xml:space="preserve"> </w:t>
      </w:r>
    </w:p>
    <w:p w14:paraId="1A051BE9" w14:textId="77777777" w:rsidR="00084C1D" w:rsidRDefault="00084C1D" w:rsidP="00084C1D">
      <w:pPr>
        <w:pStyle w:val="ListParagraph"/>
        <w:numPr>
          <w:ilvl w:val="0"/>
          <w:numId w:val="5"/>
        </w:numPr>
      </w:pPr>
      <w:r w:rsidRPr="00084C1D">
        <w:t xml:space="preserve">We do have language regarding PCR under confirmatory evidence: "Detection of spotted fever group Rickettsia, including R. rickettsii, DNA in a clinical specimen via amplification of a species-specific target by PCR assay."  This is in addition to serologic, biopsy and isolation evidence.  </w:t>
      </w:r>
    </w:p>
    <w:p w14:paraId="510C6FBE" w14:textId="77777777" w:rsidR="00953466" w:rsidRDefault="00084C1D" w:rsidP="00084C1D">
      <w:pPr>
        <w:pStyle w:val="ListParagraph"/>
        <w:numPr>
          <w:ilvl w:val="0"/>
          <w:numId w:val="5"/>
        </w:numPr>
      </w:pPr>
      <w:r w:rsidRPr="00084C1D">
        <w:t xml:space="preserve">PCR may help </w:t>
      </w:r>
      <w:r>
        <w:t xml:space="preserve">in identifying confirmed cases </w:t>
      </w:r>
      <w:r w:rsidRPr="00084C1D">
        <w:t>but</w:t>
      </w:r>
      <w:r>
        <w:t xml:space="preserve"> unfortunately is</w:t>
      </w:r>
      <w:r w:rsidRPr="00084C1D">
        <w:t xml:space="preserve"> not widely available commercially so we need the other forms of evidence too.  </w:t>
      </w:r>
    </w:p>
    <w:p w14:paraId="6527AB68" w14:textId="77777777" w:rsidR="00567860" w:rsidRDefault="00567860" w:rsidP="00567860"/>
    <w:p w14:paraId="3DE79763" w14:textId="77777777" w:rsidR="00567860" w:rsidRDefault="00567860" w:rsidP="00567860">
      <w:r>
        <w:t xml:space="preserve">The case definition will never be perfect and correctly identify all cases but it will allow us to standardize recommendations based on our current technology and understanding and to identify national trends.  As better diagnostics are available we can continue to refine the case definition, but until then, we hope the changes we are recommending will both better capture true SFR cases while decreasing work load in high incidence states. </w:t>
      </w:r>
    </w:p>
    <w:p w14:paraId="78A78C4D" w14:textId="77777777" w:rsidR="00567860" w:rsidRDefault="00567860" w:rsidP="00567860"/>
    <w:sectPr w:rsidR="005678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83837"/>
    <w:multiLevelType w:val="hybridMultilevel"/>
    <w:tmpl w:val="BC70C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F5522E"/>
    <w:multiLevelType w:val="hybridMultilevel"/>
    <w:tmpl w:val="E4901FE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454ECD"/>
    <w:multiLevelType w:val="hybridMultilevel"/>
    <w:tmpl w:val="A30EBA5E"/>
    <w:lvl w:ilvl="0" w:tplc="0409000F">
      <w:start w:val="2"/>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35A71"/>
    <w:multiLevelType w:val="hybridMultilevel"/>
    <w:tmpl w:val="D4B48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893F13"/>
    <w:multiLevelType w:val="hybridMultilevel"/>
    <w:tmpl w:val="E2ACA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71430F"/>
    <w:multiLevelType w:val="hybridMultilevel"/>
    <w:tmpl w:val="27BE0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24D0B"/>
    <w:multiLevelType w:val="hybridMultilevel"/>
    <w:tmpl w:val="B6AC63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A7439F"/>
    <w:multiLevelType w:val="hybridMultilevel"/>
    <w:tmpl w:val="C9402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056149"/>
    <w:multiLevelType w:val="hybridMultilevel"/>
    <w:tmpl w:val="D5223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B36FC9"/>
    <w:multiLevelType w:val="hybridMultilevel"/>
    <w:tmpl w:val="A8323420"/>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0" w15:restartNumberingAfterBreak="0">
    <w:nsid w:val="4E846276"/>
    <w:multiLevelType w:val="hybridMultilevel"/>
    <w:tmpl w:val="48100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E07FAC"/>
    <w:multiLevelType w:val="hybridMultilevel"/>
    <w:tmpl w:val="8B06F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9062B79"/>
    <w:multiLevelType w:val="hybridMultilevel"/>
    <w:tmpl w:val="6AB8A6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C548FA"/>
    <w:multiLevelType w:val="hybridMultilevel"/>
    <w:tmpl w:val="D626E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E0037C"/>
    <w:multiLevelType w:val="hybridMultilevel"/>
    <w:tmpl w:val="C6D8F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7"/>
  </w:num>
  <w:num w:numId="4">
    <w:abstractNumId w:val="3"/>
  </w:num>
  <w:num w:numId="5">
    <w:abstractNumId w:val="14"/>
  </w:num>
  <w:num w:numId="6">
    <w:abstractNumId w:val="8"/>
  </w:num>
  <w:num w:numId="7">
    <w:abstractNumId w:val="0"/>
  </w:num>
  <w:num w:numId="8">
    <w:abstractNumId w:val="10"/>
  </w:num>
  <w:num w:numId="9">
    <w:abstractNumId w:val="13"/>
  </w:num>
  <w:num w:numId="10">
    <w:abstractNumId w:val="9"/>
  </w:num>
  <w:num w:numId="11">
    <w:abstractNumId w:val="6"/>
  </w:num>
  <w:num w:numId="12">
    <w:abstractNumId w:val="1"/>
  </w:num>
  <w:num w:numId="13">
    <w:abstractNumId w:val="2"/>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466"/>
    <w:rsid w:val="000361BE"/>
    <w:rsid w:val="00052465"/>
    <w:rsid w:val="00054405"/>
    <w:rsid w:val="00084C1D"/>
    <w:rsid w:val="00163469"/>
    <w:rsid w:val="00227EC0"/>
    <w:rsid w:val="003069EC"/>
    <w:rsid w:val="00370B87"/>
    <w:rsid w:val="00391A7C"/>
    <w:rsid w:val="003F5BCD"/>
    <w:rsid w:val="00415519"/>
    <w:rsid w:val="00443AF1"/>
    <w:rsid w:val="0047007B"/>
    <w:rsid w:val="004720EC"/>
    <w:rsid w:val="004C3F6D"/>
    <w:rsid w:val="00567860"/>
    <w:rsid w:val="005808E5"/>
    <w:rsid w:val="00581C19"/>
    <w:rsid w:val="005C3679"/>
    <w:rsid w:val="006114C7"/>
    <w:rsid w:val="0063574C"/>
    <w:rsid w:val="00740FE0"/>
    <w:rsid w:val="007B4869"/>
    <w:rsid w:val="00821DB2"/>
    <w:rsid w:val="008462BD"/>
    <w:rsid w:val="00863B3C"/>
    <w:rsid w:val="00953466"/>
    <w:rsid w:val="00A60A3D"/>
    <w:rsid w:val="00AD41DB"/>
    <w:rsid w:val="00B26119"/>
    <w:rsid w:val="00B449C2"/>
    <w:rsid w:val="00BA340C"/>
    <w:rsid w:val="00D66C2A"/>
    <w:rsid w:val="00F2363B"/>
    <w:rsid w:val="00FF5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E493"/>
  <w15:docId w15:val="{D1CE359B-EEF8-AD4B-B370-5AEEF728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466"/>
    <w:pPr>
      <w:ind w:left="720"/>
      <w:contextualSpacing/>
    </w:pPr>
  </w:style>
  <w:style w:type="character" w:styleId="Hyperlink">
    <w:name w:val="Hyperlink"/>
    <w:basedOn w:val="DefaultParagraphFont"/>
    <w:uiPriority w:val="99"/>
    <w:unhideWhenUsed/>
    <w:rsid w:val="00953466"/>
    <w:rPr>
      <w:color w:val="0000FF" w:themeColor="hyperlink"/>
      <w:u w:val="single"/>
    </w:rPr>
  </w:style>
  <w:style w:type="character" w:styleId="FollowedHyperlink">
    <w:name w:val="FollowedHyperlink"/>
    <w:basedOn w:val="DefaultParagraphFont"/>
    <w:uiPriority w:val="99"/>
    <w:semiHidden/>
    <w:unhideWhenUsed/>
    <w:rsid w:val="00052465"/>
    <w:rPr>
      <w:color w:val="800080" w:themeColor="followedHyperlink"/>
      <w:u w:val="single"/>
    </w:rPr>
  </w:style>
  <w:style w:type="paragraph" w:styleId="NormalWeb">
    <w:name w:val="Normal (Web)"/>
    <w:basedOn w:val="Normal"/>
    <w:uiPriority w:val="99"/>
    <w:unhideWhenUsed/>
    <w:rsid w:val="000361B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72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597743">
      <w:bodyDiv w:val="1"/>
      <w:marLeft w:val="0"/>
      <w:marRight w:val="0"/>
      <w:marTop w:val="0"/>
      <w:marBottom w:val="0"/>
      <w:divBdr>
        <w:top w:val="none" w:sz="0" w:space="0" w:color="auto"/>
        <w:left w:val="none" w:sz="0" w:space="0" w:color="auto"/>
        <w:bottom w:val="none" w:sz="0" w:space="0" w:color="auto"/>
        <w:right w:val="none" w:sz="0" w:space="0" w:color="auto"/>
      </w:divBdr>
      <w:divsChild>
        <w:div w:id="397096379">
          <w:marLeft w:val="0"/>
          <w:marRight w:val="0"/>
          <w:marTop w:val="0"/>
          <w:marBottom w:val="0"/>
          <w:divBdr>
            <w:top w:val="none" w:sz="0" w:space="0" w:color="auto"/>
            <w:left w:val="none" w:sz="0" w:space="0" w:color="auto"/>
            <w:bottom w:val="none" w:sz="0" w:space="0" w:color="auto"/>
            <w:right w:val="none" w:sz="0" w:space="0" w:color="auto"/>
          </w:divBdr>
          <w:divsChild>
            <w:div w:id="1834761868">
              <w:marLeft w:val="0"/>
              <w:marRight w:val="0"/>
              <w:marTop w:val="0"/>
              <w:marBottom w:val="0"/>
              <w:divBdr>
                <w:top w:val="none" w:sz="0" w:space="0" w:color="auto"/>
                <w:left w:val="none" w:sz="0" w:space="0" w:color="auto"/>
                <w:bottom w:val="none" w:sz="0" w:space="0" w:color="auto"/>
                <w:right w:val="none" w:sz="0" w:space="0" w:color="auto"/>
              </w:divBdr>
              <w:divsChild>
                <w:div w:id="14582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9771344" TargetMode="External"/><Relationship Id="rId3" Type="http://schemas.openxmlformats.org/officeDocument/2006/relationships/settings" Target="settings.xml"/><Relationship Id="rId7" Type="http://schemas.openxmlformats.org/officeDocument/2006/relationships/hyperlink" Target="https://academic.oup.com/jid/article/180/3/900/819761%20-%20Discussion%20paragraph%2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6311067/" TargetMode="External"/><Relationship Id="rId11" Type="http://schemas.openxmlformats.org/officeDocument/2006/relationships/fontTable" Target="fontTable.xml"/><Relationship Id="rId5" Type="http://schemas.openxmlformats.org/officeDocument/2006/relationships/hyperlink" Target="https://www.ncbi.nlm.nih.gov/pmc/articles/PMC262206/" TargetMode="External"/><Relationship Id="rId10" Type="http://schemas.openxmlformats.org/officeDocument/2006/relationships/hyperlink" Target="https://www.ncbi.nlm.nih.gov/pubmed/25187639" TargetMode="External"/><Relationship Id="rId4" Type="http://schemas.openxmlformats.org/officeDocument/2006/relationships/webSettings" Target="webSettings.xml"/><Relationship Id="rId9" Type="http://schemas.openxmlformats.org/officeDocument/2006/relationships/hyperlink" Target="https://www.ncbi.nlm.nih.gov/pubmed/27022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Orejuela</dc:creator>
  <cp:lastModifiedBy>Abelardo Moncayo</cp:lastModifiedBy>
  <cp:revision>23</cp:revision>
  <dcterms:created xsi:type="dcterms:W3CDTF">2019-01-17T17:47:00Z</dcterms:created>
  <dcterms:modified xsi:type="dcterms:W3CDTF">2019-01-20T20:03:00Z</dcterms:modified>
</cp:coreProperties>
</file>