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644F83" w14:textId="77777777" w:rsidR="0025224F" w:rsidRPr="00FF59AD" w:rsidRDefault="00953466" w:rsidP="00953466">
      <w:pPr>
        <w:jc w:val="center"/>
        <w:rPr>
          <w:b/>
          <w:sz w:val="32"/>
        </w:rPr>
      </w:pPr>
      <w:r w:rsidRPr="00FF59AD">
        <w:rPr>
          <w:b/>
          <w:sz w:val="32"/>
        </w:rPr>
        <w:t>Spotted Fever Rickettsiosis: Case Definition Change FAQs</w:t>
      </w:r>
    </w:p>
    <w:p w14:paraId="5AB472BA" w14:textId="4B0E0514" w:rsidR="00844AE6" w:rsidRPr="00291657" w:rsidRDefault="00844AE6" w:rsidP="00581C19">
      <w:pPr>
        <w:pStyle w:val="ListParagraph"/>
        <w:numPr>
          <w:ilvl w:val="0"/>
          <w:numId w:val="15"/>
        </w:numPr>
        <w:spacing w:after="0"/>
      </w:pPr>
      <w:r w:rsidRPr="00291657">
        <w:t xml:space="preserve">What diseases are captured under the Spotted Fever Rickettsiosis </w:t>
      </w:r>
      <w:r w:rsidR="005420A2" w:rsidRPr="00291657">
        <w:t xml:space="preserve">(SFR) </w:t>
      </w:r>
      <w:r w:rsidRPr="00291657">
        <w:t>reporting category?</w:t>
      </w:r>
    </w:p>
    <w:p w14:paraId="07E0C126" w14:textId="6B714809" w:rsidR="00A05E93" w:rsidRDefault="005420A2" w:rsidP="00A05E93">
      <w:pPr>
        <w:pStyle w:val="ListParagraph"/>
        <w:numPr>
          <w:ilvl w:val="1"/>
          <w:numId w:val="16"/>
        </w:numPr>
        <w:spacing w:after="0"/>
      </w:pPr>
      <w:r>
        <w:t xml:space="preserve">SFR are a group of diseases caused by closely related bacteria in the spotted fever group </w:t>
      </w:r>
      <w:r>
        <w:rPr>
          <w:i/>
        </w:rPr>
        <w:t xml:space="preserve">Rickettsia </w:t>
      </w:r>
      <w:r>
        <w:t xml:space="preserve">(SFGR). The SFR reporting category was created to capture diseases caused by the following pathogens: </w:t>
      </w:r>
      <w:r>
        <w:rPr>
          <w:i/>
        </w:rPr>
        <w:t xml:space="preserve">Rickettsia rickettsii </w:t>
      </w:r>
      <w:r>
        <w:t xml:space="preserve">(Rocky Mountain spotted fever), </w:t>
      </w:r>
      <w:r w:rsidR="00C66DB7">
        <w:rPr>
          <w:i/>
        </w:rPr>
        <w:t xml:space="preserve">R. parkeri, </w:t>
      </w:r>
      <w:r w:rsidR="003D0E6A">
        <w:rPr>
          <w:i/>
        </w:rPr>
        <w:t xml:space="preserve">R. africae, and R. connorii, </w:t>
      </w:r>
      <w:r>
        <w:t xml:space="preserve">and </w:t>
      </w:r>
      <w:r>
        <w:rPr>
          <w:i/>
        </w:rPr>
        <w:t xml:space="preserve">Rickettsia </w:t>
      </w:r>
      <w:r>
        <w:t>species 364D (Pacific Coast tick fever).</w:t>
      </w:r>
      <w:r w:rsidR="00C66DB7">
        <w:t xml:space="preserve"> Some rickettsial species captured under this reporting category may include non-pathogenic or species of low pathogenicity, such as </w:t>
      </w:r>
      <w:r w:rsidR="00C66DB7">
        <w:rPr>
          <w:i/>
        </w:rPr>
        <w:t>R. amblyommatis, R. montanensis, R. massiliae, and R. rhipacephali</w:t>
      </w:r>
      <w:r w:rsidR="00C66DB7">
        <w:t xml:space="preserve">. </w:t>
      </w:r>
    </w:p>
    <w:p w14:paraId="1625F8CB" w14:textId="77777777" w:rsidR="00291657" w:rsidRDefault="00291657" w:rsidP="00291657">
      <w:pPr>
        <w:pStyle w:val="ListParagraph"/>
        <w:spacing w:after="0"/>
        <w:ind w:left="1440"/>
      </w:pPr>
    </w:p>
    <w:p w14:paraId="249DD360" w14:textId="747D0F25" w:rsidR="00A05E93" w:rsidRDefault="00A05E93" w:rsidP="00A05E93">
      <w:pPr>
        <w:pStyle w:val="ListParagraph"/>
        <w:numPr>
          <w:ilvl w:val="0"/>
          <w:numId w:val="16"/>
        </w:numPr>
        <w:spacing w:after="0"/>
      </w:pPr>
      <w:r>
        <w:t>What changes are being made to the SFR case definition?</w:t>
      </w:r>
    </w:p>
    <w:p w14:paraId="189AB234" w14:textId="188A92AB" w:rsidR="00F61357" w:rsidRDefault="002B0117" w:rsidP="002B0117">
      <w:pPr>
        <w:pStyle w:val="ListParagraph"/>
        <w:numPr>
          <w:ilvl w:val="1"/>
          <w:numId w:val="16"/>
        </w:numPr>
        <w:spacing w:after="0"/>
      </w:pPr>
      <w:r>
        <w:t xml:space="preserve">The position statement includes updates for laboratory diagnostic evidence, which can contribute to the confirmed case classification. </w:t>
      </w:r>
      <w:r w:rsidR="00585258">
        <w:t>In hopes of minimizing misinterpretations of antiquated laboratory diagnostic testing, t</w:t>
      </w:r>
      <w:r w:rsidR="00F61357">
        <w:t>his position statement proposes removing n</w:t>
      </w:r>
      <w:r w:rsidR="00F61357" w:rsidRPr="00F61357">
        <w:t xml:space="preserve">on-specific diagnostic methods, such as </w:t>
      </w:r>
      <w:r w:rsidR="009D5282" w:rsidRPr="002B0117">
        <w:rPr>
          <w:lang w:val="en"/>
        </w:rPr>
        <w:t xml:space="preserve">indirect immunofluorescence antibody assays (IFA) </w:t>
      </w:r>
      <w:r w:rsidR="00F61357" w:rsidRPr="00F61357">
        <w:t xml:space="preserve">to detect IgM, enzyme-linked </w:t>
      </w:r>
      <w:r w:rsidR="00F61357">
        <w:t>i</w:t>
      </w:r>
      <w:r w:rsidR="00F61357" w:rsidRPr="00F61357">
        <w:t xml:space="preserve">mmunosorbent assay (ELISA), and latex agglutination, </w:t>
      </w:r>
      <w:r w:rsidR="00F61357">
        <w:t>as</w:t>
      </w:r>
      <w:r w:rsidR="00F61357" w:rsidRPr="00F61357">
        <w:t xml:space="preserve"> accepted </w:t>
      </w:r>
      <w:r w:rsidR="00F61357">
        <w:t xml:space="preserve">supportive laboratory evidence. </w:t>
      </w:r>
    </w:p>
    <w:p w14:paraId="3C2238BF" w14:textId="441004B5" w:rsidR="00F61357" w:rsidRPr="009D5282" w:rsidRDefault="009D5282" w:rsidP="009D5282">
      <w:pPr>
        <w:pStyle w:val="ListParagraph"/>
        <w:numPr>
          <w:ilvl w:val="1"/>
          <w:numId w:val="16"/>
        </w:numPr>
      </w:pPr>
      <w:r w:rsidRPr="009D5282">
        <w:rPr>
          <w:lang w:val="en"/>
        </w:rPr>
        <w:t xml:space="preserve">In addition, data suggest that the prevalence of IgG antibodies reactive to SFGR in asymptomatic individuals may be more common than previously assumed and confounds the interpretation of single IgG antibody test results, which may reflect past exposures rather than </w:t>
      </w:r>
      <w:r w:rsidR="00F30C83">
        <w:rPr>
          <w:lang w:val="en"/>
        </w:rPr>
        <w:t>acutre</w:t>
      </w:r>
      <w:r w:rsidRPr="009D5282">
        <w:rPr>
          <w:lang w:val="en"/>
        </w:rPr>
        <w:t xml:space="preserve"> cases</w:t>
      </w:r>
      <w:r w:rsidR="00F30C83">
        <w:rPr>
          <w:lang w:val="en"/>
        </w:rPr>
        <w:t>.</w:t>
      </w:r>
    </w:p>
    <w:p w14:paraId="1B73680D" w14:textId="27A3CCF1" w:rsidR="009D5282" w:rsidRDefault="009D5282" w:rsidP="009D5282">
      <w:pPr>
        <w:pStyle w:val="ListParagraph"/>
        <w:numPr>
          <w:ilvl w:val="1"/>
          <w:numId w:val="16"/>
        </w:numPr>
        <w:spacing w:after="0"/>
      </w:pPr>
      <w:r w:rsidRPr="009D5282">
        <w:t>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 officials.</w:t>
      </w:r>
    </w:p>
    <w:p w14:paraId="54BA11F2" w14:textId="0747034B" w:rsidR="00291657" w:rsidRDefault="00F61357" w:rsidP="0025224F">
      <w:pPr>
        <w:pStyle w:val="ListParagraph"/>
        <w:numPr>
          <w:ilvl w:val="1"/>
          <w:numId w:val="16"/>
        </w:numPr>
        <w:spacing w:after="0"/>
      </w:pPr>
      <w:r>
        <w:t>In addition to eliminating less specific serologic testing, we hope the practice of using more specific molecular diagnostic tests, including the 510(k) assay</w:t>
      </w:r>
      <w:r w:rsidR="0025224F">
        <w:t>, will help elucidate and differentiate the burden of rickettsial species in the United States.</w:t>
      </w:r>
    </w:p>
    <w:p w14:paraId="16F09623" w14:textId="77777777" w:rsidR="00F61357" w:rsidRDefault="00F61357" w:rsidP="00F61357">
      <w:pPr>
        <w:pStyle w:val="ListParagraph"/>
        <w:spacing w:after="0"/>
        <w:ind w:left="1440"/>
      </w:pPr>
    </w:p>
    <w:p w14:paraId="12CC2A49" w14:textId="41458F78" w:rsidR="00A05E93" w:rsidRDefault="00A05E93" w:rsidP="00A05E93">
      <w:pPr>
        <w:pStyle w:val="ListParagraph"/>
        <w:numPr>
          <w:ilvl w:val="0"/>
          <w:numId w:val="16"/>
        </w:numPr>
        <w:spacing w:after="0"/>
      </w:pPr>
      <w:r>
        <w:t xml:space="preserve">Why is the clinical criteria for SFR not being made more specific? </w:t>
      </w:r>
    </w:p>
    <w:p w14:paraId="38EB4E18" w14:textId="3044CCCA" w:rsidR="00A05E93" w:rsidRDefault="00A05E93" w:rsidP="00A05E93">
      <w:pPr>
        <w:pStyle w:val="ListParagraph"/>
        <w:numPr>
          <w:ilvl w:val="1"/>
          <w:numId w:val="16"/>
        </w:numPr>
        <w:spacing w:after="0"/>
      </w:pPr>
      <w:r>
        <w:t xml:space="preserve">After much discussion and consideration, the authors decided the clinical criteria would remain </w:t>
      </w:r>
      <w:r w:rsidR="009C1B7F">
        <w:t xml:space="preserve">wholly </w:t>
      </w:r>
      <w:r>
        <w:t xml:space="preserve">unchanged during this iteration of the position statement. This is due to several reasons, including the following: </w:t>
      </w:r>
    </w:p>
    <w:p w14:paraId="6840A76F" w14:textId="5A7134C7" w:rsidR="00B20743" w:rsidRDefault="00B20743" w:rsidP="00A05E93">
      <w:pPr>
        <w:pStyle w:val="ListParagraph"/>
        <w:numPr>
          <w:ilvl w:val="2"/>
          <w:numId w:val="16"/>
        </w:numPr>
        <w:spacing w:after="0"/>
      </w:pPr>
      <w:r>
        <w:t xml:space="preserve">While the clinical course of some SFR (i.e., RMSF, </w:t>
      </w:r>
      <w:r>
        <w:rPr>
          <w:i/>
        </w:rPr>
        <w:t xml:space="preserve">R. parkeri </w:t>
      </w:r>
      <w:r>
        <w:t xml:space="preserve">rickettsiosis) have been extensively described and are well characterized, the clinical course caused by other less-pathogenic SFGR has yet to be well defined. As the </w:t>
      </w:r>
      <w:r>
        <w:lastRenderedPageBreak/>
        <w:t>reporting category aims to capture all cases of illness caused by SFGR, restricting the clinical symptoms could eliminate these other SFR from being counted.</w:t>
      </w:r>
    </w:p>
    <w:p w14:paraId="44029680" w14:textId="3A87E031" w:rsidR="009C1B7F" w:rsidRDefault="009C1B7F" w:rsidP="009C1B7F">
      <w:pPr>
        <w:pStyle w:val="ListParagraph"/>
        <w:numPr>
          <w:ilvl w:val="2"/>
          <w:numId w:val="16"/>
        </w:numPr>
        <w:spacing w:after="0"/>
      </w:pPr>
      <w:r>
        <w:t>Restricting the clinical criteria to cases presenting with fever and either rash or eschar may eliminate true cases. The presence of rash is variable and is often a late manifestation, which may not be present when patients first seek care or</w:t>
      </w:r>
      <w:r w:rsidR="005A656B">
        <w:t xml:space="preserve"> may not occur if treated </w:t>
      </w:r>
      <w:r>
        <w:t>with doxycycline</w:t>
      </w:r>
      <w:r w:rsidR="005A656B">
        <w:t xml:space="preserve"> early in the course of illness</w:t>
      </w:r>
      <w:r>
        <w:t xml:space="preserve">. </w:t>
      </w:r>
    </w:p>
    <w:p w14:paraId="53325062" w14:textId="77777777" w:rsidR="002B0117" w:rsidRDefault="002B0117" w:rsidP="002B0117">
      <w:pPr>
        <w:pStyle w:val="ListParagraph"/>
        <w:numPr>
          <w:ilvl w:val="2"/>
          <w:numId w:val="16"/>
        </w:numPr>
        <w:spacing w:after="0"/>
      </w:pPr>
      <w:r>
        <w:t xml:space="preserve">Collection of clinical symptoms varies amongst jurisdictions (i.e., at this time, some jurisdictions do not collect or report presence of eschar). </w:t>
      </w:r>
    </w:p>
    <w:p w14:paraId="09B0802F" w14:textId="1977B78E" w:rsidR="002B0117" w:rsidRDefault="002B0117" w:rsidP="002B0117">
      <w:pPr>
        <w:pStyle w:val="ListParagraph"/>
        <w:numPr>
          <w:ilvl w:val="2"/>
          <w:numId w:val="16"/>
        </w:numPr>
        <w:spacing w:after="0"/>
      </w:pPr>
      <w:r>
        <w:t>Reporting of clinical symptoms to CDC is not currently standardized amongst jurisdictions.</w:t>
      </w:r>
    </w:p>
    <w:p w14:paraId="7ABC7D34" w14:textId="77777777" w:rsidR="00BA6521" w:rsidRPr="00BA6521" w:rsidRDefault="00BA6521" w:rsidP="00BA6521">
      <w:pPr>
        <w:spacing w:after="0"/>
        <w:rPr>
          <w:highlight w:val="yellow"/>
        </w:rPr>
      </w:pPr>
    </w:p>
    <w:p w14:paraId="427383D9" w14:textId="1E21624F" w:rsidR="00BA6521" w:rsidRDefault="007C3CB3" w:rsidP="00BA6521">
      <w:pPr>
        <w:pStyle w:val="ListParagraph"/>
        <w:numPr>
          <w:ilvl w:val="0"/>
          <w:numId w:val="16"/>
        </w:numPr>
      </w:pPr>
      <w:r>
        <w:t xml:space="preserve">Why aren’t the classifications changed to be more specific for species for confirmed cases? </w:t>
      </w:r>
    </w:p>
    <w:p w14:paraId="3A69A441" w14:textId="505AAAED" w:rsidR="005563B1" w:rsidRPr="005563B1" w:rsidRDefault="004B65BB" w:rsidP="005563B1">
      <w:pPr>
        <w:pStyle w:val="ListParagraph"/>
        <w:numPr>
          <w:ilvl w:val="0"/>
          <w:numId w:val="5"/>
        </w:numPr>
      </w:pPr>
      <w:r w:rsidRPr="004B65BB">
        <w:rPr>
          <w:bCs/>
          <w:lang w:val="en-GB"/>
        </w:rPr>
        <w:t>Because of the</w:t>
      </w:r>
      <w:r>
        <w:rPr>
          <w:bCs/>
          <w:lang w:val="en-GB"/>
        </w:rPr>
        <w:t xml:space="preserve"> current</w:t>
      </w:r>
      <w:r w:rsidRPr="004B65BB">
        <w:rPr>
          <w:bCs/>
          <w:lang w:val="en-GB"/>
        </w:rPr>
        <w:t xml:space="preserve"> reliance on serologic methods, the causative agent</w:t>
      </w:r>
      <w:r>
        <w:rPr>
          <w:bCs/>
          <w:lang w:val="en-GB"/>
        </w:rPr>
        <w:t xml:space="preserve"> of SFR</w:t>
      </w:r>
      <w:r w:rsidRPr="004B65BB">
        <w:rPr>
          <w:bCs/>
          <w:lang w:val="en-GB"/>
        </w:rPr>
        <w:t xml:space="preserve"> is seldom identified. </w:t>
      </w:r>
      <w:r>
        <w:rPr>
          <w:bCs/>
          <w:lang w:val="en-GB"/>
        </w:rPr>
        <w:t>Molecular methods</w:t>
      </w:r>
      <w:r w:rsidR="005563B1" w:rsidRPr="005563B1">
        <w:t xml:space="preserve"> are not widely available, and </w:t>
      </w:r>
      <w:r>
        <w:t>are rarely used to confirm SFR. H</w:t>
      </w:r>
      <w:r w:rsidR="005563B1" w:rsidRPr="005563B1">
        <w:t>owever, real-time molecular assays are now being made available to qualified state and local laboratories through CDC’s Laboratory Response Network.</w:t>
      </w:r>
      <w:r w:rsidR="005563B1">
        <w:t xml:space="preserve"> </w:t>
      </w:r>
    </w:p>
    <w:p w14:paraId="68C36CF9" w14:textId="540AA262" w:rsidR="00BA6521" w:rsidRDefault="00BA6521" w:rsidP="00BA6521">
      <w:pPr>
        <w:pStyle w:val="ListParagraph"/>
        <w:numPr>
          <w:ilvl w:val="0"/>
          <w:numId w:val="5"/>
        </w:numPr>
      </w:pPr>
      <w:r>
        <w:t xml:space="preserve">The case definition will never be perfect and correctly identify all cases but it will allow us to standardize recommendations based on our current technology and understanding and to identify national trends. As better diagnostics are available we can continue to refine the case definition, but until then, we hope the changes we are recommending will both better capture true SFR cases while decreasing workload in high incidence states. </w:t>
      </w:r>
    </w:p>
    <w:p w14:paraId="3457A5BE" w14:textId="408C6A2D" w:rsidR="00903E29" w:rsidRDefault="00903E29" w:rsidP="00903E29">
      <w:pPr>
        <w:spacing w:after="0"/>
        <w:rPr>
          <w:highlight w:val="yellow"/>
        </w:rPr>
      </w:pPr>
    </w:p>
    <w:p w14:paraId="40737A13" w14:textId="79F3F2CB" w:rsidR="00903E29" w:rsidRPr="00903E29" w:rsidRDefault="00903E29" w:rsidP="00903E29">
      <w:pPr>
        <w:pStyle w:val="ListParagraph"/>
        <w:numPr>
          <w:ilvl w:val="0"/>
          <w:numId w:val="16"/>
        </w:numPr>
        <w:rPr>
          <w:u w:val="single"/>
        </w:rPr>
      </w:pPr>
      <w:r w:rsidRPr="00291657">
        <w:t>Why</w:t>
      </w:r>
      <w:r>
        <w:t xml:space="preserve"> is the IgG IFA titer</w:t>
      </w:r>
      <w:r w:rsidRPr="00291657">
        <w:t xml:space="preserve"> cut</w:t>
      </w:r>
      <w:r>
        <w:t>-</w:t>
      </w:r>
      <w:r w:rsidRPr="00291657">
        <w:t xml:space="preserve">off </w:t>
      </w:r>
      <w:r>
        <w:t xml:space="preserve">being set to </w:t>
      </w:r>
      <w:r>
        <w:rPr>
          <w:rFonts w:cstheme="minorHAnsi"/>
        </w:rPr>
        <w:t>≥</w:t>
      </w:r>
      <w:r w:rsidRPr="00291657">
        <w:t xml:space="preserve">1:128 rather than </w:t>
      </w:r>
      <w:r>
        <w:rPr>
          <w:rFonts w:cstheme="minorHAnsi"/>
        </w:rPr>
        <w:t>≥</w:t>
      </w:r>
      <w:r w:rsidRPr="00291657">
        <w:t xml:space="preserve">1:64?  </w:t>
      </w:r>
    </w:p>
    <w:p w14:paraId="27A93C0A" w14:textId="2E395272" w:rsidR="00903E29" w:rsidRDefault="00903E29" w:rsidP="0025224F">
      <w:pPr>
        <w:pStyle w:val="ListParagraph"/>
        <w:numPr>
          <w:ilvl w:val="0"/>
          <w:numId w:val="2"/>
        </w:numPr>
      </w:pPr>
      <w:r>
        <w:t xml:space="preserve">In the previous position statement, there was not an IgG IFA titer cut-off specified in the laboratory criteria. There was a note specifying CDC uses an internal cut-off of </w:t>
      </w:r>
      <w:r w:rsidRPr="00903E29">
        <w:rPr>
          <w:rFonts w:cstheme="minorHAnsi"/>
        </w:rPr>
        <w:t>≥</w:t>
      </w:r>
      <w:r w:rsidRPr="00291657">
        <w:t>1:64</w:t>
      </w:r>
      <w:r>
        <w:t xml:space="preserve">. However, during discussion amongst jurisdictions, it was found that many states have implemented their own titer cut-offs of </w:t>
      </w:r>
      <w:r w:rsidRPr="00903E29">
        <w:rPr>
          <w:rFonts w:cstheme="minorHAnsi"/>
        </w:rPr>
        <w:t>≥</w:t>
      </w:r>
      <w:r w:rsidRPr="00291657">
        <w:t>1:128</w:t>
      </w:r>
      <w:r>
        <w:t xml:space="preserve"> to prompt investigations by the jurisdiction. To provide standardization for national surveillance strategy and consistent data collection, the IgG IFA titer cut-off has been set to </w:t>
      </w:r>
      <w:r>
        <w:rPr>
          <w:rFonts w:cstheme="minorHAnsi"/>
        </w:rPr>
        <w:t>≥</w:t>
      </w:r>
      <w:r w:rsidRPr="00291657">
        <w:t>1:128</w:t>
      </w:r>
      <w:r>
        <w:t xml:space="preserve"> in the proposed position statement.</w:t>
      </w:r>
    </w:p>
    <w:p w14:paraId="02267811" w14:textId="53D87C31" w:rsidR="00903E29" w:rsidRPr="00903E29" w:rsidRDefault="00903E29" w:rsidP="0025224F">
      <w:pPr>
        <w:pStyle w:val="ListParagraph"/>
        <w:numPr>
          <w:ilvl w:val="0"/>
          <w:numId w:val="2"/>
        </w:numPr>
      </w:pPr>
      <w:r>
        <w:rPr>
          <w:rFonts w:cs="Arial"/>
          <w:color w:val="000000" w:themeColor="text1"/>
          <w:lang w:val="en"/>
        </w:rPr>
        <w:t>Additionally, d</w:t>
      </w:r>
      <w:r w:rsidRPr="00903E29">
        <w:rPr>
          <w:rFonts w:cs="Arial"/>
          <w:color w:val="000000" w:themeColor="text1"/>
          <w:lang w:val="en"/>
        </w:rPr>
        <w:t>ata (unpublished) suggest that the prevalence of IgG antibodies reactive to SFG in asymptomatic individuals may be more common than previously assumed.  The presence of these IgG antibodies may reflect past exposures rather than active cases thereby confounding the interpretation of a si</w:t>
      </w:r>
      <w:r>
        <w:rPr>
          <w:rFonts w:cs="Arial"/>
          <w:color w:val="000000" w:themeColor="text1"/>
          <w:lang w:val="en"/>
        </w:rPr>
        <w:t xml:space="preserve">ngle IgG antibody test result. </w:t>
      </w:r>
    </w:p>
    <w:p w14:paraId="19F11831" w14:textId="2F5E8C9F" w:rsidR="00903E29" w:rsidRPr="00291657" w:rsidRDefault="00903E29" w:rsidP="0025224F">
      <w:pPr>
        <w:pStyle w:val="ListParagraph"/>
        <w:numPr>
          <w:ilvl w:val="0"/>
          <w:numId w:val="2"/>
        </w:numPr>
      </w:pPr>
      <w:r w:rsidRPr="00903E29">
        <w:rPr>
          <w:rFonts w:cstheme="minorHAnsi"/>
        </w:rPr>
        <w:t>Data from TN suggests that 1:64 titers result in the highest numbers of non-cases, i.e., n</w:t>
      </w:r>
      <w:r>
        <w:rPr>
          <w:rFonts w:cstheme="minorHAnsi"/>
        </w:rPr>
        <w:t>ot clinically compatible cases.</w:t>
      </w:r>
      <w:r w:rsidRPr="00903E29">
        <w:rPr>
          <w:rFonts w:cstheme="minorHAnsi"/>
        </w:rPr>
        <w:t xml:space="preserve"> Data from NC suggests that titers of </w:t>
      </w:r>
      <w:r w:rsidRPr="00903E29">
        <w:rPr>
          <w:rFonts w:cs="Arial"/>
          <w:color w:val="000080"/>
          <w:sz w:val="20"/>
        </w:rPr>
        <w:t>≥</w:t>
      </w:r>
      <w:r w:rsidRPr="00903E29">
        <w:rPr>
          <w:rFonts w:cstheme="minorHAnsi"/>
        </w:rPr>
        <w:t xml:space="preserve">1:128 </w:t>
      </w:r>
      <w:r>
        <w:rPr>
          <w:rFonts w:cstheme="minorHAnsi"/>
        </w:rPr>
        <w:t xml:space="preserve">result in more severe disease. </w:t>
      </w:r>
      <w:r w:rsidRPr="00903E29">
        <w:rPr>
          <w:rFonts w:cstheme="minorHAnsi"/>
        </w:rPr>
        <w:t xml:space="preserve">Some states are already using titer cutoffs of </w:t>
      </w:r>
      <w:r w:rsidRPr="00903E29">
        <w:rPr>
          <w:rFonts w:cs="Arial"/>
          <w:color w:val="000080"/>
          <w:sz w:val="20"/>
        </w:rPr>
        <w:t>≥</w:t>
      </w:r>
      <w:r>
        <w:rPr>
          <w:rFonts w:cstheme="minorHAnsi"/>
        </w:rPr>
        <w:t xml:space="preserve">1:128. </w:t>
      </w:r>
      <w:r w:rsidRPr="00903E29">
        <w:rPr>
          <w:rFonts w:cstheme="minorHAnsi"/>
        </w:rPr>
        <w:t>A revision of the case definition is needed for standardization nationally.</w:t>
      </w:r>
    </w:p>
    <w:p w14:paraId="5CB1003A" w14:textId="77777777" w:rsidR="00291657" w:rsidRDefault="00291657" w:rsidP="00291657">
      <w:pPr>
        <w:pStyle w:val="ListParagraph"/>
        <w:spacing w:after="0"/>
        <w:ind w:left="2160"/>
      </w:pPr>
    </w:p>
    <w:p w14:paraId="5D6E451D" w14:textId="0377397F" w:rsidR="00F22985" w:rsidRPr="001F1B0D" w:rsidRDefault="00572429" w:rsidP="00FA37B9">
      <w:pPr>
        <w:pStyle w:val="ListParagraph"/>
        <w:numPr>
          <w:ilvl w:val="0"/>
          <w:numId w:val="16"/>
        </w:numPr>
        <w:spacing w:after="0"/>
      </w:pPr>
      <w:r w:rsidRPr="001F1B0D">
        <w:t xml:space="preserve">Wouldn’t we expect true acute cases not to have a detectable titer within the first seven days of illness? If so, why can’t we exclude cases where only a single specimen was collected during the first seven days? </w:t>
      </w:r>
    </w:p>
    <w:p w14:paraId="386FAEBB" w14:textId="732EF3D0" w:rsidR="005A619D" w:rsidRDefault="005A619D" w:rsidP="004C3F6D">
      <w:pPr>
        <w:pStyle w:val="ListParagraph"/>
        <w:numPr>
          <w:ilvl w:val="0"/>
          <w:numId w:val="2"/>
        </w:numPr>
      </w:pPr>
      <w:r>
        <w:lastRenderedPageBreak/>
        <w:t>During an analysis of cases reported to CDC during 2010–2015 (manuscript accepted by MMWR), approximately 70% of patients sought care and had the first specimen collected within the first seven days of illness. Allowing samples taken within the first seven days of illness is especially important for those probable cases where the patient only sees the healthcare provider once and only an acute sample is taken.</w:t>
      </w:r>
    </w:p>
    <w:p w14:paraId="327E2686" w14:textId="1761A3BA" w:rsidR="00FA37B9" w:rsidRDefault="00FA37B9" w:rsidP="00FA37B9">
      <w:pPr>
        <w:pStyle w:val="ListParagraph"/>
        <w:numPr>
          <w:ilvl w:val="0"/>
          <w:numId w:val="2"/>
        </w:numPr>
      </w:pPr>
      <w:r w:rsidRPr="00967D37">
        <w:t>While most people may develop antibodies after the first week of illness, this may vary on an individual basis and depend on the species, etc. Some literature suggests seroconversion may occur within the first week of illness</w:t>
      </w:r>
      <w:r>
        <w:t xml:space="preserve">. It would be difficult to classify a patient as “Not a Case” when they are clinically compatible, have a titer greater or equal to 1:128 and their sample was collected on day 5, for example. The case definition covers all </w:t>
      </w:r>
      <w:r w:rsidR="00E6485F">
        <w:t>SFR,</w:t>
      </w:r>
      <w:r>
        <w:t xml:space="preserve"> not only RMSF.</w:t>
      </w:r>
    </w:p>
    <w:p w14:paraId="2C98B002" w14:textId="77777777" w:rsidR="00FA37B9" w:rsidRDefault="00FA37B9" w:rsidP="00FA37B9">
      <w:pPr>
        <w:pStyle w:val="ListParagraph"/>
        <w:numPr>
          <w:ilvl w:val="1"/>
          <w:numId w:val="2"/>
        </w:numPr>
      </w:pPr>
      <w:r>
        <w:t>“</w:t>
      </w:r>
      <w:r w:rsidRPr="0024517B">
        <w:t>Humoral immune response to Rocky Mountain spotted fever in experimentally infected guinea pigs: immunoprecipitation of lactoperoxidase 125I-labeled proteins and detection of soluble antigens of Rickettsia rickettsii.</w:t>
      </w:r>
      <w:r>
        <w:t xml:space="preserve">” JC Williams et al., 1986, </w:t>
      </w:r>
      <w:hyperlink r:id="rId5" w:history="1">
        <w:r w:rsidRPr="007F5445">
          <w:rPr>
            <w:rStyle w:val="Hyperlink"/>
          </w:rPr>
          <w:t>https://www.ncbi.nlm.nih.gov/pmc/articles/PMC262206/</w:t>
        </w:r>
      </w:hyperlink>
      <w:r>
        <w:t xml:space="preserve"> </w:t>
      </w:r>
    </w:p>
    <w:p w14:paraId="7F47807B" w14:textId="77777777" w:rsidR="00FA37B9" w:rsidRDefault="00FA37B9" w:rsidP="00E6485F">
      <w:pPr>
        <w:pStyle w:val="ListParagraph"/>
        <w:numPr>
          <w:ilvl w:val="1"/>
          <w:numId w:val="2"/>
        </w:numPr>
      </w:pPr>
      <w:r>
        <w:t>“</w:t>
      </w:r>
      <w:r w:rsidRPr="0024517B">
        <w:t>Spotted fever rickettsioses causing myocarditis and ARDS: a case from Sri Lanka</w:t>
      </w:r>
      <w:r>
        <w:t xml:space="preserve">” HMLY Herath et al., 2018, </w:t>
      </w:r>
      <w:hyperlink r:id="rId6" w:history="1">
        <w:r w:rsidRPr="007F5445">
          <w:rPr>
            <w:rStyle w:val="Hyperlink"/>
          </w:rPr>
          <w:t>https://www.ncbi.nlm.nih.gov/pmc/articles/PMC6311067/</w:t>
        </w:r>
      </w:hyperlink>
    </w:p>
    <w:p w14:paraId="5494D21A" w14:textId="77777777" w:rsidR="00155AED" w:rsidRPr="00155AED" w:rsidRDefault="00155AED" w:rsidP="00155AED">
      <w:pPr>
        <w:pStyle w:val="ListParagraph"/>
        <w:ind w:left="1800"/>
        <w:rPr>
          <w:color w:val="0000FF" w:themeColor="hyperlink"/>
          <w:u w:val="single"/>
        </w:rPr>
      </w:pPr>
    </w:p>
    <w:p w14:paraId="53FDE4BF" w14:textId="28421320" w:rsidR="00084C1D" w:rsidRDefault="00084C1D" w:rsidP="00291657">
      <w:pPr>
        <w:pStyle w:val="ListParagraph"/>
        <w:numPr>
          <w:ilvl w:val="0"/>
          <w:numId w:val="16"/>
        </w:numPr>
      </w:pPr>
      <w:r>
        <w:t xml:space="preserve">Why is there a </w:t>
      </w:r>
      <w:r w:rsidR="00291657">
        <w:t>60-day</w:t>
      </w:r>
      <w:r>
        <w:t xml:space="preserve"> timeline for accepting a positive sample but for acute and convalescent samples the time line is up to 6 weeks?</w:t>
      </w:r>
    </w:p>
    <w:p w14:paraId="688B74B8" w14:textId="77777777" w:rsidR="00291657" w:rsidRDefault="00314016" w:rsidP="00291657">
      <w:pPr>
        <w:pStyle w:val="ListParagraph"/>
        <w:numPr>
          <w:ilvl w:val="0"/>
          <w:numId w:val="7"/>
        </w:numPr>
        <w:spacing w:after="0"/>
      </w:pPr>
      <w:r>
        <w:t>Having a 60-day cut-off for specimen collection and results is especially important for those (probable) cases where only a single titer is provided as laboratory evidence. We hope this timeframe will allow us to capture more true acute cases. For example, if an SFR case is reported with an illness onset of April 4, 2017, but with a single specimen collected on July 10, 2017 with an IgG IFA result of 1:128, this would no longer meet the case definition because the specimen was collected more than 60 days after illness onset.</w:t>
      </w:r>
    </w:p>
    <w:p w14:paraId="1B08CE51" w14:textId="77777777" w:rsidR="00291657" w:rsidRDefault="00291657" w:rsidP="00291657">
      <w:pPr>
        <w:spacing w:after="0"/>
      </w:pPr>
    </w:p>
    <w:p w14:paraId="5638DDAA" w14:textId="2A4551FA" w:rsidR="00AD41DB" w:rsidRPr="00E865CD" w:rsidRDefault="008462BD" w:rsidP="00291657">
      <w:pPr>
        <w:pStyle w:val="ListParagraph"/>
        <w:numPr>
          <w:ilvl w:val="0"/>
          <w:numId w:val="16"/>
        </w:numPr>
      </w:pPr>
      <w:r w:rsidRPr="00E865CD">
        <w:t xml:space="preserve">What about </w:t>
      </w:r>
      <w:r w:rsidR="00E865CD" w:rsidRPr="00E865CD">
        <w:t>SFR cases caused by</w:t>
      </w:r>
      <w:r w:rsidR="00084C1D" w:rsidRPr="00E865CD">
        <w:t xml:space="preserve"> </w:t>
      </w:r>
      <w:r w:rsidR="00084C1D" w:rsidRPr="00E865CD">
        <w:rPr>
          <w:i/>
        </w:rPr>
        <w:t>R. amblyomm</w:t>
      </w:r>
      <w:r w:rsidR="00A05E93" w:rsidRPr="00E865CD">
        <w:rPr>
          <w:i/>
        </w:rPr>
        <w:t>atis</w:t>
      </w:r>
      <w:r w:rsidRPr="00E865CD">
        <w:t>?</w:t>
      </w:r>
      <w:r w:rsidR="00084C1D" w:rsidRPr="00E865CD">
        <w:t xml:space="preserve">  </w:t>
      </w:r>
    </w:p>
    <w:p w14:paraId="14E16D78" w14:textId="56E07BD7" w:rsidR="00A05E93" w:rsidRDefault="00A05E93" w:rsidP="00AD41DB">
      <w:pPr>
        <w:pStyle w:val="ListParagraph"/>
        <w:numPr>
          <w:ilvl w:val="1"/>
          <w:numId w:val="13"/>
        </w:numPr>
      </w:pPr>
      <w:r w:rsidRPr="00E865CD">
        <w:t xml:space="preserve">At this time, more evidence is needed before we can rule out </w:t>
      </w:r>
      <w:r w:rsidRPr="00E865CD">
        <w:rPr>
          <w:i/>
        </w:rPr>
        <w:t xml:space="preserve">R. amblyommatis </w:t>
      </w:r>
      <w:r w:rsidRPr="00E865CD">
        <w:t>as a potential pathogen for SFR disease</w:t>
      </w:r>
      <w:r w:rsidRPr="00E865CD">
        <w:rPr>
          <w:i/>
        </w:rPr>
        <w:t>.</w:t>
      </w:r>
      <w:r w:rsidR="00E865CD" w:rsidRPr="00E865CD">
        <w:t xml:space="preserve"> </w:t>
      </w:r>
      <w:r w:rsidR="00E865CD">
        <w:t xml:space="preserve">The SFR reporting category is intended to capture all cases of illness caused by SFGR. Further, current laboratory diagnostic methods do not allow us to distinguish </w:t>
      </w:r>
      <w:r w:rsidR="00E865CD">
        <w:rPr>
          <w:i/>
        </w:rPr>
        <w:t xml:space="preserve">R. amblyommatis </w:t>
      </w:r>
      <w:r w:rsidR="00E865CD">
        <w:t>from pathogenic SFGR.</w:t>
      </w:r>
    </w:p>
    <w:p w14:paraId="42204DE9" w14:textId="77777777" w:rsidR="008F7FF5" w:rsidRPr="008F7FF5" w:rsidRDefault="008F7FF5" w:rsidP="008F7FF5">
      <w:pPr>
        <w:pStyle w:val="ListParagraph"/>
        <w:ind w:left="1080"/>
      </w:pPr>
    </w:p>
    <w:p w14:paraId="628E9300" w14:textId="77777777" w:rsidR="00E523A6" w:rsidRDefault="00E523A6" w:rsidP="00E523A6">
      <w:pPr>
        <w:pStyle w:val="ListParagraph"/>
        <w:numPr>
          <w:ilvl w:val="0"/>
          <w:numId w:val="16"/>
        </w:numPr>
        <w:spacing w:after="0"/>
      </w:pPr>
      <w:r>
        <w:t>What about other tickborne rickettsial diseases, such as ehrlichiosis and anaplasmosis?</w:t>
      </w:r>
    </w:p>
    <w:p w14:paraId="2C3ADF1A" w14:textId="3CD6BB02" w:rsidR="00E523A6" w:rsidRDefault="00E523A6" w:rsidP="008F7FF5">
      <w:pPr>
        <w:pStyle w:val="ListParagraph"/>
        <w:numPr>
          <w:ilvl w:val="0"/>
          <w:numId w:val="11"/>
        </w:numPr>
      </w:pPr>
      <w:r>
        <w:t>This position statement aims to capture cases of spotte</w:t>
      </w:r>
      <w:r w:rsidR="00591E5A">
        <w:t xml:space="preserve">d fever rickettsiosis and to be </w:t>
      </w:r>
      <w:r>
        <w:t>applicable to all</w:t>
      </w:r>
      <w:r w:rsidR="00DC6956">
        <w:t xml:space="preserve"> regions and jurisdictions </w:t>
      </w:r>
      <w:r>
        <w:t xml:space="preserve">in the United States. While </w:t>
      </w:r>
      <w:r>
        <w:rPr>
          <w:i/>
        </w:rPr>
        <w:t xml:space="preserve">Ehrlichia </w:t>
      </w:r>
      <w:r>
        <w:t xml:space="preserve">and </w:t>
      </w:r>
      <w:r>
        <w:rPr>
          <w:i/>
        </w:rPr>
        <w:t xml:space="preserve">Anaplasma </w:t>
      </w:r>
      <w:r>
        <w:t>species are important to tick</w:t>
      </w:r>
      <w:r w:rsidR="00DC6956">
        <w:t>borne disease epidemiology, infection caused by those species are covered in the CSTE Position Statement 09-ID-15 for ehrlichiosis and anaplasmosis. Additionally, infections by these species tend to be region-specific.</w:t>
      </w:r>
    </w:p>
    <w:p w14:paraId="57818110" w14:textId="77777777" w:rsidR="008F7FF5" w:rsidRDefault="008F7FF5" w:rsidP="008F7FF5">
      <w:pPr>
        <w:pStyle w:val="ListParagraph"/>
      </w:pPr>
    </w:p>
    <w:p w14:paraId="5A469ABD" w14:textId="2C19E05C" w:rsidR="00E01241" w:rsidRDefault="00E01241" w:rsidP="00E01241">
      <w:pPr>
        <w:pStyle w:val="ListParagraph"/>
        <w:numPr>
          <w:ilvl w:val="0"/>
          <w:numId w:val="16"/>
        </w:numPr>
      </w:pPr>
      <w:r>
        <w:lastRenderedPageBreak/>
        <w:t>What do we hope</w:t>
      </w:r>
      <w:r w:rsidR="006B0C9A">
        <w:t xml:space="preserve"> for</w:t>
      </w:r>
      <w:r>
        <w:t xml:space="preserve"> future</w:t>
      </w:r>
      <w:r w:rsidR="006B0C9A">
        <w:t xml:space="preserve"> iterations</w:t>
      </w:r>
      <w:r>
        <w:t xml:space="preserve"> of the SFR </w:t>
      </w:r>
      <w:r w:rsidR="006B0C9A">
        <w:t>case definition</w:t>
      </w:r>
      <w:r>
        <w:t>?</w:t>
      </w:r>
    </w:p>
    <w:p w14:paraId="77C0F47F" w14:textId="27E273BE" w:rsidR="006B0C9A" w:rsidRDefault="00E5715B" w:rsidP="006B0C9A">
      <w:pPr>
        <w:pStyle w:val="ListParagraph"/>
        <w:numPr>
          <w:ilvl w:val="0"/>
          <w:numId w:val="19"/>
        </w:numPr>
      </w:pPr>
      <w:r>
        <w:t xml:space="preserve">With the increased implementation of molecular diagnostics, we hope future </w:t>
      </w:r>
      <w:r w:rsidR="00FB3360">
        <w:t xml:space="preserve">SFR </w:t>
      </w:r>
      <w:r>
        <w:t>case definitions will be able to classify</w:t>
      </w:r>
      <w:r w:rsidR="00FB3360">
        <w:t xml:space="preserve"> cases of</w:t>
      </w:r>
      <w:r>
        <w:t xml:space="preserve"> SFR based on causative species (i.e., </w:t>
      </w:r>
      <w:r>
        <w:rPr>
          <w:i/>
        </w:rPr>
        <w:t>R. rickettsii, R. parkeri</w:t>
      </w:r>
      <w:r>
        <w:t xml:space="preserve">). Knowing the pathogenicity of the individual SFGR will allow </w:t>
      </w:r>
      <w:r w:rsidR="00FB3360">
        <w:t xml:space="preserve">public health officials and healthcare providers to better reach the true goal of SFR surveillance: </w:t>
      </w:r>
      <w:r w:rsidR="00CD1535">
        <w:t>to successfully monitor the geographic and temporal occurrence of these diseases, and maintain awareness in clinicians and public health officials to ultimately decrease the incidence of cases of SFR in the United States.</w:t>
      </w:r>
    </w:p>
    <w:p w14:paraId="5FC7F9E9" w14:textId="77777777" w:rsidR="00C96496" w:rsidRDefault="00C96496" w:rsidP="00A05E93"/>
    <w:p w14:paraId="33239C4B" w14:textId="77777777" w:rsidR="00C96496" w:rsidRDefault="00C96496" w:rsidP="00A05E93"/>
    <w:p w14:paraId="5AB25C4B" w14:textId="77777777" w:rsidR="00C96496" w:rsidRDefault="00C96496" w:rsidP="00A05E93"/>
    <w:p w14:paraId="10139EF1" w14:textId="77777777" w:rsidR="00C96496" w:rsidRDefault="00C96496" w:rsidP="00A05E93"/>
    <w:p w14:paraId="0D6F7C56" w14:textId="078B8FAD" w:rsidR="0024517B" w:rsidRDefault="0024517B" w:rsidP="00A05E93">
      <w:bookmarkStart w:id="0" w:name="_GoBack"/>
      <w:bookmarkEnd w:id="0"/>
      <w:r>
        <w:t>Suggested reading:</w:t>
      </w:r>
    </w:p>
    <w:p w14:paraId="5D97EA30" w14:textId="77777777" w:rsidR="00DC217F" w:rsidRDefault="00DC217F" w:rsidP="00DC217F">
      <w:r>
        <w:rPr>
          <w:lang w:val="en"/>
        </w:rPr>
        <w:t>“</w:t>
      </w:r>
      <w:r w:rsidRPr="002C3639">
        <w:rPr>
          <w:lang w:val="en"/>
        </w:rPr>
        <w:t xml:space="preserve">Human Infections by Multiple Spotted Fever </w:t>
      </w:r>
      <w:r>
        <w:rPr>
          <w:lang w:val="en"/>
        </w:rPr>
        <w:t xml:space="preserve">Group Rickettsiae in Tennessee.” J Delisle et al., 2016, </w:t>
      </w:r>
      <w:hyperlink r:id="rId7" w:history="1">
        <w:r w:rsidRPr="002C3639">
          <w:rPr>
            <w:rStyle w:val="Hyperlink"/>
          </w:rPr>
          <w:t>https://www.ncbi.nlm.nih.gov/pubmed/27022147</w:t>
        </w:r>
      </w:hyperlink>
      <w:r w:rsidRPr="002C3639">
        <w:t xml:space="preserve"> </w:t>
      </w:r>
      <w:r>
        <w:t xml:space="preserve"> </w:t>
      </w:r>
    </w:p>
    <w:p w14:paraId="4AE2BF90" w14:textId="49558C81" w:rsidR="0024517B" w:rsidRDefault="0024517B" w:rsidP="00A05E93">
      <w:r>
        <w:t>“</w:t>
      </w:r>
      <w:r w:rsidRPr="0024517B">
        <w:t>Humoral immune response to Rocky Mountain spotted fever in experimentally infected guinea pigs: immunoprecipitation of lactoperoxidase 125I-labeled proteins and detection of soluble antigens of Rickettsia rickettsii.</w:t>
      </w:r>
      <w:r>
        <w:t xml:space="preserve">” JC Williams et al., 1986, </w:t>
      </w:r>
      <w:hyperlink r:id="rId8" w:history="1">
        <w:r w:rsidRPr="007F5445">
          <w:rPr>
            <w:rStyle w:val="Hyperlink"/>
          </w:rPr>
          <w:t>https://www.ncbi.nlm.nih.gov/pmc/articles/PMC262206/</w:t>
        </w:r>
      </w:hyperlink>
      <w:r>
        <w:t xml:space="preserve"> </w:t>
      </w:r>
    </w:p>
    <w:p w14:paraId="64E38A0A" w14:textId="77777777" w:rsidR="008F7FF5" w:rsidRDefault="008F7FF5" w:rsidP="008F7FF5">
      <w:pPr>
        <w:rPr>
          <w:rStyle w:val="Hyperlink"/>
        </w:rPr>
      </w:pPr>
      <w:r w:rsidRPr="00B54581">
        <w:rPr>
          <w:lang w:val="en"/>
        </w:rPr>
        <w:t xml:space="preserve">“The Incidence of Ehrlichia and Rickettsial Infection in Patients with Unexplained Fever and Recent History of Tick Bite in Central North Carolina” CF Carpenter et al., 1999 </w:t>
      </w:r>
      <w:r w:rsidRPr="00F22985">
        <w:rPr>
          <w:rStyle w:val="Hyperlink"/>
        </w:rPr>
        <w:t xml:space="preserve">https://academic.oup.com/jid/article/180/3/900/819761 </w:t>
      </w:r>
    </w:p>
    <w:p w14:paraId="50DA26CE" w14:textId="041E051C" w:rsidR="002C3639" w:rsidRDefault="002C3639" w:rsidP="00567860">
      <w:pPr>
        <w:rPr>
          <w:rStyle w:val="Hyperlink"/>
        </w:rPr>
      </w:pPr>
      <w:r>
        <w:rPr>
          <w:lang w:val="en"/>
        </w:rPr>
        <w:t>“</w:t>
      </w:r>
      <w:r w:rsidRPr="002C3639">
        <w:rPr>
          <w:lang w:val="en"/>
        </w:rPr>
        <w:t>Seroepidemiologic study of human infections with spotted fever group Rickettsiae in North Carolina.</w:t>
      </w:r>
      <w:r>
        <w:rPr>
          <w:lang w:val="en"/>
        </w:rPr>
        <w:t xml:space="preserve">” MF Vaughn, 2014. </w:t>
      </w:r>
      <w:hyperlink r:id="rId9" w:history="1">
        <w:r w:rsidRPr="002C3639">
          <w:rPr>
            <w:rStyle w:val="Hyperlink"/>
          </w:rPr>
          <w:t>https://www.ncbi.nlm.nih.g</w:t>
        </w:r>
        <w:r w:rsidRPr="002C3639">
          <w:rPr>
            <w:rStyle w:val="Hyperlink"/>
          </w:rPr>
          <w:t>o</w:t>
        </w:r>
        <w:r w:rsidRPr="002C3639">
          <w:rPr>
            <w:rStyle w:val="Hyperlink"/>
          </w:rPr>
          <w:t>v/pubmed/25187639</w:t>
        </w:r>
      </w:hyperlink>
    </w:p>
    <w:p w14:paraId="10258B87" w14:textId="77777777" w:rsidR="00DC217F" w:rsidRDefault="00DC217F" w:rsidP="00DC217F">
      <w:r>
        <w:t>“</w:t>
      </w:r>
      <w:r w:rsidRPr="0024517B">
        <w:t>Spotted fever rickettsioses causing myocarditis and ARDS: a case from Sri Lanka</w:t>
      </w:r>
      <w:r>
        <w:t xml:space="preserve">” HMLY Herath et al., 2018, </w:t>
      </w:r>
      <w:hyperlink r:id="rId10" w:history="1">
        <w:r w:rsidRPr="007F5445">
          <w:rPr>
            <w:rStyle w:val="Hyperlink"/>
          </w:rPr>
          <w:t>https://www.ncbi.nlm.nih.gov/pmc/articles/PMC6311067/</w:t>
        </w:r>
      </w:hyperlink>
      <w:r>
        <w:t xml:space="preserve"> </w:t>
      </w:r>
    </w:p>
    <w:p w14:paraId="0EB6A6B1" w14:textId="77777777" w:rsidR="00DC217F" w:rsidRDefault="00DC217F" w:rsidP="00567860"/>
    <w:sectPr w:rsidR="00DC21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983837"/>
    <w:multiLevelType w:val="hybridMultilevel"/>
    <w:tmpl w:val="BC70C6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3F5522E"/>
    <w:multiLevelType w:val="hybridMultilevel"/>
    <w:tmpl w:val="E4901FE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4454ECD"/>
    <w:multiLevelType w:val="hybridMultilevel"/>
    <w:tmpl w:val="A30EBA5E"/>
    <w:lvl w:ilvl="0" w:tplc="0409000F">
      <w:start w:val="2"/>
      <w:numFmt w:val="decimal"/>
      <w:lvlText w:val="%1."/>
      <w:lvlJc w:val="left"/>
      <w:pPr>
        <w:ind w:left="720" w:hanging="360"/>
      </w:pPr>
      <w:rPr>
        <w:rFonts w:hint="default"/>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CA1E9D"/>
    <w:multiLevelType w:val="hybridMultilevel"/>
    <w:tmpl w:val="2822EE2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7C35A71"/>
    <w:multiLevelType w:val="hybridMultilevel"/>
    <w:tmpl w:val="D4B48C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1893F13"/>
    <w:multiLevelType w:val="hybridMultilevel"/>
    <w:tmpl w:val="F11436AC"/>
    <w:lvl w:ilvl="0" w:tplc="04090001">
      <w:start w:val="1"/>
      <w:numFmt w:val="bullet"/>
      <w:lvlText w:val=""/>
      <w:lvlJc w:val="left"/>
      <w:pPr>
        <w:ind w:left="1080" w:hanging="360"/>
      </w:pPr>
      <w:rPr>
        <w:rFonts w:ascii="Symbol" w:hAnsi="Symbol" w:hint="default"/>
      </w:rPr>
    </w:lvl>
    <w:lvl w:ilvl="1" w:tplc="22E8A1DA">
      <w:start w:val="1"/>
      <w:numFmt w:val="bullet"/>
      <w:lvlText w:val="o"/>
      <w:lvlJc w:val="left"/>
      <w:pPr>
        <w:ind w:left="1800" w:hanging="360"/>
      </w:pPr>
      <w:rPr>
        <w:rFonts w:ascii="Courier New" w:hAnsi="Courier New" w:cs="Courier New" w:hint="default"/>
        <w:color w:val="auto"/>
      </w:rPr>
    </w:lvl>
    <w:lvl w:ilvl="2" w:tplc="C9B83A28">
      <w:start w:val="1"/>
      <w:numFmt w:val="bullet"/>
      <w:lvlText w:val=""/>
      <w:lvlJc w:val="left"/>
      <w:pPr>
        <w:ind w:left="2520" w:hanging="360"/>
      </w:pPr>
      <w:rPr>
        <w:rFonts w:ascii="Wingdings" w:hAnsi="Wingdings" w:hint="default"/>
        <w:color w:val="auto"/>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1F85D98"/>
    <w:multiLevelType w:val="hybridMultilevel"/>
    <w:tmpl w:val="B192C3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871430F"/>
    <w:multiLevelType w:val="hybridMultilevel"/>
    <w:tmpl w:val="27BE01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8724D0B"/>
    <w:multiLevelType w:val="hybridMultilevel"/>
    <w:tmpl w:val="B6AC6338"/>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A7439F"/>
    <w:multiLevelType w:val="hybridMultilevel"/>
    <w:tmpl w:val="C94020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0056149"/>
    <w:multiLevelType w:val="hybridMultilevel"/>
    <w:tmpl w:val="D52233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1B36FC9"/>
    <w:multiLevelType w:val="hybridMultilevel"/>
    <w:tmpl w:val="A8323420"/>
    <w:lvl w:ilvl="0" w:tplc="04090001">
      <w:start w:val="1"/>
      <w:numFmt w:val="bullet"/>
      <w:lvlText w:val=""/>
      <w:lvlJc w:val="left"/>
      <w:pPr>
        <w:ind w:left="5400" w:hanging="360"/>
      </w:pPr>
      <w:rPr>
        <w:rFonts w:ascii="Symbol" w:hAnsi="Symbol" w:hint="default"/>
      </w:rPr>
    </w:lvl>
    <w:lvl w:ilvl="1" w:tplc="04090003" w:tentative="1">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12" w15:restartNumberingAfterBreak="0">
    <w:nsid w:val="40792D2C"/>
    <w:multiLevelType w:val="hybridMultilevel"/>
    <w:tmpl w:val="188AEEC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846276"/>
    <w:multiLevelType w:val="hybridMultilevel"/>
    <w:tmpl w:val="481006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E07FAC"/>
    <w:multiLevelType w:val="hybridMultilevel"/>
    <w:tmpl w:val="8B06FC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9062B79"/>
    <w:multiLevelType w:val="hybridMultilevel"/>
    <w:tmpl w:val="6AB8A6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C548FA"/>
    <w:multiLevelType w:val="hybridMultilevel"/>
    <w:tmpl w:val="D626EA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BE0037C"/>
    <w:multiLevelType w:val="hybridMultilevel"/>
    <w:tmpl w:val="C6D8FF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6"/>
  </w:num>
  <w:num w:numId="2">
    <w:abstractNumId w:val="5"/>
  </w:num>
  <w:num w:numId="3">
    <w:abstractNumId w:val="9"/>
  </w:num>
  <w:num w:numId="4">
    <w:abstractNumId w:val="4"/>
  </w:num>
  <w:num w:numId="5">
    <w:abstractNumId w:val="18"/>
  </w:num>
  <w:num w:numId="6">
    <w:abstractNumId w:val="10"/>
  </w:num>
  <w:num w:numId="7">
    <w:abstractNumId w:val="0"/>
  </w:num>
  <w:num w:numId="8">
    <w:abstractNumId w:val="13"/>
  </w:num>
  <w:num w:numId="9">
    <w:abstractNumId w:val="17"/>
  </w:num>
  <w:num w:numId="10">
    <w:abstractNumId w:val="11"/>
  </w:num>
  <w:num w:numId="11">
    <w:abstractNumId w:val="8"/>
  </w:num>
  <w:num w:numId="12">
    <w:abstractNumId w:val="1"/>
  </w:num>
  <w:num w:numId="13">
    <w:abstractNumId w:val="2"/>
  </w:num>
  <w:num w:numId="14">
    <w:abstractNumId w:val="15"/>
  </w:num>
  <w:num w:numId="15">
    <w:abstractNumId w:val="7"/>
  </w:num>
  <w:num w:numId="16">
    <w:abstractNumId w:val="12"/>
  </w:num>
  <w:num w:numId="17">
    <w:abstractNumId w:val="14"/>
  </w:num>
  <w:num w:numId="18">
    <w:abstractNumId w:val="6"/>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466"/>
    <w:rsid w:val="000361BE"/>
    <w:rsid w:val="00052465"/>
    <w:rsid w:val="00054405"/>
    <w:rsid w:val="00057953"/>
    <w:rsid w:val="00084C1D"/>
    <w:rsid w:val="00155AED"/>
    <w:rsid w:val="00163469"/>
    <w:rsid w:val="001644FD"/>
    <w:rsid w:val="00175101"/>
    <w:rsid w:val="001B546E"/>
    <w:rsid w:val="001F1B0D"/>
    <w:rsid w:val="00227EC0"/>
    <w:rsid w:val="0024517B"/>
    <w:rsid w:val="0025224F"/>
    <w:rsid w:val="002616D8"/>
    <w:rsid w:val="00291657"/>
    <w:rsid w:val="002B0117"/>
    <w:rsid w:val="002C3639"/>
    <w:rsid w:val="003069EC"/>
    <w:rsid w:val="00314016"/>
    <w:rsid w:val="00370B87"/>
    <w:rsid w:val="00391A7C"/>
    <w:rsid w:val="003B1BB9"/>
    <w:rsid w:val="003B1E3B"/>
    <w:rsid w:val="003D0E6A"/>
    <w:rsid w:val="003F5BCD"/>
    <w:rsid w:val="00415519"/>
    <w:rsid w:val="00443AF1"/>
    <w:rsid w:val="0047007B"/>
    <w:rsid w:val="004720EC"/>
    <w:rsid w:val="004965CD"/>
    <w:rsid w:val="004B65BB"/>
    <w:rsid w:val="004C3F6D"/>
    <w:rsid w:val="005420A2"/>
    <w:rsid w:val="00543A9D"/>
    <w:rsid w:val="005461EF"/>
    <w:rsid w:val="00554212"/>
    <w:rsid w:val="005563B1"/>
    <w:rsid w:val="005641A3"/>
    <w:rsid w:val="00567860"/>
    <w:rsid w:val="00572429"/>
    <w:rsid w:val="005808E5"/>
    <w:rsid w:val="00581C19"/>
    <w:rsid w:val="00585258"/>
    <w:rsid w:val="00591E5A"/>
    <w:rsid w:val="005A619D"/>
    <w:rsid w:val="005A656B"/>
    <w:rsid w:val="005C3679"/>
    <w:rsid w:val="006114C7"/>
    <w:rsid w:val="0063574C"/>
    <w:rsid w:val="006B0C9A"/>
    <w:rsid w:val="006F3B3E"/>
    <w:rsid w:val="0071379D"/>
    <w:rsid w:val="00740FE0"/>
    <w:rsid w:val="00777BA8"/>
    <w:rsid w:val="007917CD"/>
    <w:rsid w:val="007B4869"/>
    <w:rsid w:val="007C3CB3"/>
    <w:rsid w:val="00805475"/>
    <w:rsid w:val="00821DB2"/>
    <w:rsid w:val="00844AE6"/>
    <w:rsid w:val="008462BD"/>
    <w:rsid w:val="00863B3C"/>
    <w:rsid w:val="008F7FF5"/>
    <w:rsid w:val="00903E29"/>
    <w:rsid w:val="00913DBA"/>
    <w:rsid w:val="00953466"/>
    <w:rsid w:val="00967D37"/>
    <w:rsid w:val="009B16AC"/>
    <w:rsid w:val="009C1B7F"/>
    <w:rsid w:val="009D5282"/>
    <w:rsid w:val="009E1665"/>
    <w:rsid w:val="009F4412"/>
    <w:rsid w:val="00A05E93"/>
    <w:rsid w:val="00A60A3D"/>
    <w:rsid w:val="00A9242C"/>
    <w:rsid w:val="00AD41DB"/>
    <w:rsid w:val="00B20743"/>
    <w:rsid w:val="00B26119"/>
    <w:rsid w:val="00B449C2"/>
    <w:rsid w:val="00B54581"/>
    <w:rsid w:val="00BA01E8"/>
    <w:rsid w:val="00BA340C"/>
    <w:rsid w:val="00BA6521"/>
    <w:rsid w:val="00BD2E4B"/>
    <w:rsid w:val="00BE1CDA"/>
    <w:rsid w:val="00C66DB7"/>
    <w:rsid w:val="00C96496"/>
    <w:rsid w:val="00CD1535"/>
    <w:rsid w:val="00D66C2A"/>
    <w:rsid w:val="00DC217F"/>
    <w:rsid w:val="00DC6956"/>
    <w:rsid w:val="00E01241"/>
    <w:rsid w:val="00E42563"/>
    <w:rsid w:val="00E523A6"/>
    <w:rsid w:val="00E5715B"/>
    <w:rsid w:val="00E6485F"/>
    <w:rsid w:val="00E83862"/>
    <w:rsid w:val="00E865CD"/>
    <w:rsid w:val="00F22985"/>
    <w:rsid w:val="00F2363B"/>
    <w:rsid w:val="00F30C83"/>
    <w:rsid w:val="00F34F43"/>
    <w:rsid w:val="00F61357"/>
    <w:rsid w:val="00F9003F"/>
    <w:rsid w:val="00FA37B9"/>
    <w:rsid w:val="00FB3360"/>
    <w:rsid w:val="00FF59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0CE493"/>
  <w15:docId w15:val="{D1CE359B-EEF8-AD4B-B370-5AEEF7284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3466"/>
    <w:pPr>
      <w:ind w:left="720"/>
      <w:contextualSpacing/>
    </w:pPr>
  </w:style>
  <w:style w:type="character" w:styleId="Hyperlink">
    <w:name w:val="Hyperlink"/>
    <w:basedOn w:val="DefaultParagraphFont"/>
    <w:uiPriority w:val="99"/>
    <w:unhideWhenUsed/>
    <w:rsid w:val="00953466"/>
    <w:rPr>
      <w:color w:val="0000FF" w:themeColor="hyperlink"/>
      <w:u w:val="single"/>
    </w:rPr>
  </w:style>
  <w:style w:type="character" w:styleId="FollowedHyperlink">
    <w:name w:val="FollowedHyperlink"/>
    <w:basedOn w:val="DefaultParagraphFont"/>
    <w:uiPriority w:val="99"/>
    <w:semiHidden/>
    <w:unhideWhenUsed/>
    <w:rsid w:val="00052465"/>
    <w:rPr>
      <w:color w:val="800080" w:themeColor="followedHyperlink"/>
      <w:u w:val="single"/>
    </w:rPr>
  </w:style>
  <w:style w:type="paragraph" w:styleId="NormalWeb">
    <w:name w:val="Normal (Web)"/>
    <w:basedOn w:val="Normal"/>
    <w:uiPriority w:val="99"/>
    <w:unhideWhenUsed/>
    <w:rsid w:val="000361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DefaultParagraphFont"/>
    <w:uiPriority w:val="99"/>
    <w:semiHidden/>
    <w:unhideWhenUsed/>
    <w:rsid w:val="004720EC"/>
    <w:rPr>
      <w:color w:val="605E5C"/>
      <w:shd w:val="clear" w:color="auto" w:fill="E1DFDD"/>
    </w:rPr>
  </w:style>
  <w:style w:type="character" w:styleId="CommentReference">
    <w:name w:val="annotation reference"/>
    <w:basedOn w:val="DefaultParagraphFont"/>
    <w:uiPriority w:val="99"/>
    <w:semiHidden/>
    <w:unhideWhenUsed/>
    <w:rsid w:val="005641A3"/>
    <w:rPr>
      <w:sz w:val="16"/>
      <w:szCs w:val="16"/>
    </w:rPr>
  </w:style>
  <w:style w:type="paragraph" w:styleId="CommentText">
    <w:name w:val="annotation text"/>
    <w:basedOn w:val="Normal"/>
    <w:link w:val="CommentTextChar"/>
    <w:uiPriority w:val="99"/>
    <w:unhideWhenUsed/>
    <w:rsid w:val="005641A3"/>
    <w:pPr>
      <w:spacing w:line="240" w:lineRule="auto"/>
    </w:pPr>
    <w:rPr>
      <w:sz w:val="20"/>
      <w:szCs w:val="20"/>
    </w:rPr>
  </w:style>
  <w:style w:type="character" w:customStyle="1" w:styleId="CommentTextChar">
    <w:name w:val="Comment Text Char"/>
    <w:basedOn w:val="DefaultParagraphFont"/>
    <w:link w:val="CommentText"/>
    <w:uiPriority w:val="99"/>
    <w:rsid w:val="005641A3"/>
    <w:rPr>
      <w:sz w:val="20"/>
      <w:szCs w:val="20"/>
    </w:rPr>
  </w:style>
  <w:style w:type="paragraph" w:styleId="CommentSubject">
    <w:name w:val="annotation subject"/>
    <w:basedOn w:val="CommentText"/>
    <w:next w:val="CommentText"/>
    <w:link w:val="CommentSubjectChar"/>
    <w:uiPriority w:val="99"/>
    <w:semiHidden/>
    <w:unhideWhenUsed/>
    <w:rsid w:val="005641A3"/>
    <w:rPr>
      <w:b/>
      <w:bCs/>
    </w:rPr>
  </w:style>
  <w:style w:type="character" w:customStyle="1" w:styleId="CommentSubjectChar">
    <w:name w:val="Comment Subject Char"/>
    <w:basedOn w:val="CommentTextChar"/>
    <w:link w:val="CommentSubject"/>
    <w:uiPriority w:val="99"/>
    <w:semiHidden/>
    <w:rsid w:val="005641A3"/>
    <w:rPr>
      <w:b/>
      <w:bCs/>
      <w:sz w:val="20"/>
      <w:szCs w:val="20"/>
    </w:rPr>
  </w:style>
  <w:style w:type="paragraph" w:styleId="BalloonText">
    <w:name w:val="Balloon Text"/>
    <w:basedOn w:val="Normal"/>
    <w:link w:val="BalloonTextChar"/>
    <w:uiPriority w:val="99"/>
    <w:semiHidden/>
    <w:unhideWhenUsed/>
    <w:rsid w:val="005641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41A3"/>
    <w:rPr>
      <w:rFonts w:ascii="Segoe UI" w:hAnsi="Segoe UI" w:cs="Segoe UI"/>
      <w:sz w:val="18"/>
      <w:szCs w:val="18"/>
    </w:rPr>
  </w:style>
  <w:style w:type="paragraph" w:styleId="Title">
    <w:name w:val="Title"/>
    <w:basedOn w:val="Normal"/>
    <w:next w:val="Normal"/>
    <w:link w:val="TitleChar"/>
    <w:uiPriority w:val="10"/>
    <w:qFormat/>
    <w:rsid w:val="009D528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5282"/>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3597743">
      <w:bodyDiv w:val="1"/>
      <w:marLeft w:val="0"/>
      <w:marRight w:val="0"/>
      <w:marTop w:val="0"/>
      <w:marBottom w:val="0"/>
      <w:divBdr>
        <w:top w:val="none" w:sz="0" w:space="0" w:color="auto"/>
        <w:left w:val="none" w:sz="0" w:space="0" w:color="auto"/>
        <w:bottom w:val="none" w:sz="0" w:space="0" w:color="auto"/>
        <w:right w:val="none" w:sz="0" w:space="0" w:color="auto"/>
      </w:divBdr>
      <w:divsChild>
        <w:div w:id="397096379">
          <w:marLeft w:val="0"/>
          <w:marRight w:val="0"/>
          <w:marTop w:val="0"/>
          <w:marBottom w:val="0"/>
          <w:divBdr>
            <w:top w:val="none" w:sz="0" w:space="0" w:color="auto"/>
            <w:left w:val="none" w:sz="0" w:space="0" w:color="auto"/>
            <w:bottom w:val="none" w:sz="0" w:space="0" w:color="auto"/>
            <w:right w:val="none" w:sz="0" w:space="0" w:color="auto"/>
          </w:divBdr>
          <w:divsChild>
            <w:div w:id="1834761868">
              <w:marLeft w:val="0"/>
              <w:marRight w:val="0"/>
              <w:marTop w:val="0"/>
              <w:marBottom w:val="0"/>
              <w:divBdr>
                <w:top w:val="none" w:sz="0" w:space="0" w:color="auto"/>
                <w:left w:val="none" w:sz="0" w:space="0" w:color="auto"/>
                <w:bottom w:val="none" w:sz="0" w:space="0" w:color="auto"/>
                <w:right w:val="none" w:sz="0" w:space="0" w:color="auto"/>
              </w:divBdr>
              <w:divsChild>
                <w:div w:id="145826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mc/articles/PMC262206/" TargetMode="External"/><Relationship Id="rId3" Type="http://schemas.openxmlformats.org/officeDocument/2006/relationships/settings" Target="settings.xml"/><Relationship Id="rId7" Type="http://schemas.openxmlformats.org/officeDocument/2006/relationships/hyperlink" Target="https://www.ncbi.nlm.nih.gov/pubmed/2702214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cbi.nlm.nih.gov/pmc/articles/PMC6311067/" TargetMode="External"/><Relationship Id="rId11" Type="http://schemas.openxmlformats.org/officeDocument/2006/relationships/fontTable" Target="fontTable.xml"/><Relationship Id="rId5" Type="http://schemas.openxmlformats.org/officeDocument/2006/relationships/hyperlink" Target="https://www.ncbi.nlm.nih.gov/pmc/articles/PMC262206/" TargetMode="External"/><Relationship Id="rId10" Type="http://schemas.openxmlformats.org/officeDocument/2006/relationships/hyperlink" Target="https://www.ncbi.nlm.nih.gov/pmc/articles/PMC6311067/" TargetMode="External"/><Relationship Id="rId4" Type="http://schemas.openxmlformats.org/officeDocument/2006/relationships/webSettings" Target="webSettings.xml"/><Relationship Id="rId9" Type="http://schemas.openxmlformats.org/officeDocument/2006/relationships/hyperlink" Target="https://www.ncbi.nlm.nih.gov/pubmed/25187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1622</Words>
  <Characters>9247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Orejuela</dc:creator>
  <cp:lastModifiedBy>Nichols Heitman, Kristen M. (CDC/OID/NCEZID)</cp:lastModifiedBy>
  <cp:revision>13</cp:revision>
  <dcterms:created xsi:type="dcterms:W3CDTF">2019-02-15T17:32:00Z</dcterms:created>
  <dcterms:modified xsi:type="dcterms:W3CDTF">2019-02-15T20:50:00Z</dcterms:modified>
</cp:coreProperties>
</file>