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1076A9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</w:t>
                            </w:r>
                            <w:bookmarkStart w:id="0" w:name="_GoBack"/>
                            <w:bookmarkEnd w:id="0"/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</w:t>
                      </w:r>
                      <w:bookmarkStart w:id="1" w:name="_GoBack"/>
                      <w:bookmarkEnd w:id="1"/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77777777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7777777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Figure 1: Percentage of Annual TBI-Related Deaths, Hospitalizations, and Emergency Department Visits, by External Cause,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7777777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Figure 1: Percentage of Annual TBI-Related Deaths, Hospitalizations, and Emergency Department Visits, by External Cause,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7282D645" w14:textId="77777777" w:rsidR="00AE35E9" w:rsidRPr="008213C9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Among those injured,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 xml:space="preserve">per 100,000) </w:t>
                            </w:r>
                            <w:r w:rsidRPr="008213C9">
                              <w:t xml:space="preserve">died where TBI was reported as a cause of death on the death certificate </w:t>
                            </w:r>
                            <w:r w:rsidRPr="008213C9">
                              <w:rPr>
                                <w:bCs/>
                              </w:rPr>
                              <w:t>alone or in combination with other injuries or conditions</w:t>
                            </w:r>
                            <w:r w:rsidRPr="008213C9">
                              <w:t xml:space="preserve">, another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, were hospitalized with a TBI alone or in combination with other injuries or conditions, and an additional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7282D645" w14:textId="77777777" w:rsidR="00AE35E9" w:rsidRPr="008213C9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Among those injured,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 xml:space="preserve">per 100,000) </w:t>
                      </w:r>
                      <w:r w:rsidRPr="008213C9">
                        <w:t xml:space="preserve">died where TBI was reported as a cause of death on the death certificate </w:t>
                      </w:r>
                      <w:r w:rsidRPr="008213C9">
                        <w:rPr>
                          <w:bCs/>
                        </w:rPr>
                        <w:t>alone or in combination with other injuries or conditions</w:t>
                      </w:r>
                      <w:r w:rsidRPr="008213C9">
                        <w:t xml:space="preserve">, another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, were hospitalized with a TBI alone or in combination with other injuries or conditions, and an additional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59261" behindDoc="0" locked="0" layoutInCell="1" allowOverlap="1" wp14:anchorId="110CE9CE" wp14:editId="37723810">
            <wp:simplePos x="0" y="0"/>
            <wp:positionH relativeFrom="column">
              <wp:posOffset>4018915</wp:posOffset>
            </wp:positionH>
            <wp:positionV relativeFrom="paragraph">
              <wp:posOffset>2606675</wp:posOffset>
            </wp:positionV>
            <wp:extent cx="2133600" cy="1733550"/>
            <wp:effectExtent l="0" t="0" r="0" b="0"/>
            <wp:wrapNone/>
            <wp:docPr id="2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54C82D98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77777777" w:rsidR="00F30F9C" w:rsidRDefault="00F30F9C">
      <w:pPr>
        <w:contextualSpacing w:val="0"/>
        <w:rPr>
          <w:color w:val="FFFFFF" w:themeColor="background1"/>
        </w:rPr>
      </w:pPr>
    </w:p>
    <w:p w14:paraId="5B8953A6" w14:textId="77777777" w:rsidR="00F30F9C" w:rsidRDefault="00B97333">
      <w:pPr>
        <w:contextualSpacing w:val="0"/>
        <w:rPr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E89F231" wp14:editId="2D1D10B4">
            <wp:simplePos x="0" y="0"/>
            <wp:positionH relativeFrom="column">
              <wp:posOffset>3996055</wp:posOffset>
            </wp:positionH>
            <wp:positionV relativeFrom="paragraph">
              <wp:posOffset>166311</wp:posOffset>
            </wp:positionV>
            <wp:extent cx="2038350" cy="1981200"/>
            <wp:effectExtent l="0" t="0" r="0" b="0"/>
            <wp:wrapNone/>
            <wp:docPr id="66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77777777" w:rsidR="00F30F9C" w:rsidRDefault="00F30F9C">
      <w:pPr>
        <w:contextualSpacing w:val="0"/>
        <w:rPr>
          <w:color w:val="FFFFFF" w:themeColor="background1"/>
        </w:rPr>
      </w:pPr>
    </w:p>
    <w:p w14:paraId="411167E1" w14:textId="77777777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77777777" w:rsidR="00F30F9C" w:rsidRDefault="00F30F9C">
      <w:pPr>
        <w:contextualSpacing w:val="0"/>
        <w:rPr>
          <w:color w:val="FFFFFF" w:themeColor="background1"/>
        </w:rPr>
      </w:pPr>
    </w:p>
    <w:p w14:paraId="2C5FB5EA" w14:textId="77777777" w:rsidR="00F30F9C" w:rsidRDefault="00F30F9C">
      <w:pPr>
        <w:contextualSpacing w:val="0"/>
        <w:rPr>
          <w:color w:val="FFFFFF" w:themeColor="background1"/>
        </w:rPr>
      </w:pPr>
    </w:p>
    <w:p w14:paraId="6ED29FEE" w14:textId="77777777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4BB497F9" w14:textId="77777777" w:rsidR="00AE35E9" w:rsidRPr="00EE079C" w:rsidRDefault="00AE35E9" w:rsidP="0070620F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died where TBI was reported as a cause of death on the death certificate </w:t>
                            </w:r>
                            <w:r w:rsidRPr="00EE079C">
                              <w:rPr>
                                <w:bCs/>
                              </w:rPr>
                              <w:t>alone or in com</w:t>
                            </w:r>
                            <w:r>
                              <w:rPr>
                                <w:bCs/>
                              </w:rPr>
                              <w:t xml:space="preserve">bination with other injuries or </w:t>
                            </w:r>
                            <w:r w:rsidRPr="00EE079C">
                              <w:rPr>
                                <w:bCs/>
                              </w:rPr>
                              <w:t>conditions</w:t>
                            </w:r>
                            <w:r w:rsidRPr="00EE079C">
                              <w:t xml:space="preserve">.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were hospitalized with a TBI alone or in combination with other injuries or conditions.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>&gt; was the leading cause of injury among those who were treated and released from emergency departments with a TBI alone or in combination with other injuries or conditions.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4BB497F9" w14:textId="77777777" w:rsidR="00AE35E9" w:rsidRPr="00EE079C" w:rsidRDefault="00AE35E9" w:rsidP="0070620F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died where TBI was reported as a cause of death on the death certificate </w:t>
                      </w:r>
                      <w:r w:rsidRPr="00EE079C">
                        <w:rPr>
                          <w:bCs/>
                        </w:rPr>
                        <w:t>alone or in com</w:t>
                      </w:r>
                      <w:r>
                        <w:rPr>
                          <w:bCs/>
                        </w:rPr>
                        <w:t xml:space="preserve">bination with other injuries or </w:t>
                      </w:r>
                      <w:r w:rsidRPr="00EE079C">
                        <w:rPr>
                          <w:bCs/>
                        </w:rPr>
                        <w:t>conditions</w:t>
                      </w:r>
                      <w:r w:rsidRPr="00EE079C">
                        <w:t xml:space="preserve">.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were hospitalized with a TBI alone or in combination with other injuries or conditions.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>&gt; was the leading cause of injury among those who were treated and released from emergency departments with a TBI alone or in combination with other injuries or conditions.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214E6A12" w14:textId="77777777" w:rsidR="00F30F9C" w:rsidRDefault="00F30F9C">
      <w:pPr>
        <w:contextualSpacing w:val="0"/>
        <w:rPr>
          <w:color w:val="FFFFFF" w:themeColor="background1"/>
        </w:rPr>
      </w:pPr>
    </w:p>
    <w:p w14:paraId="5847EAB6" w14:textId="77777777" w:rsidR="00F30F9C" w:rsidRDefault="00F30F9C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2058"/>
      </w:tblGrid>
      <w:tr w:rsidR="00AE35E9" w14:paraId="1EDF2AFB" w14:textId="77777777" w:rsidTr="00AE35E9">
        <w:tc>
          <w:tcPr>
            <w:tcW w:w="1170" w:type="dxa"/>
          </w:tcPr>
          <w:p w14:paraId="5A042E78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E531B5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Suicide</w:t>
            </w:r>
          </w:p>
        </w:tc>
        <w:tc>
          <w:tcPr>
            <w:tcW w:w="2058" w:type="dxa"/>
          </w:tcPr>
          <w:p w14:paraId="6D779013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00800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Motor Vehicle</w:t>
            </w:r>
          </w:p>
        </w:tc>
      </w:tr>
      <w:tr w:rsidR="00AE35E9" w14:paraId="405AF659" w14:textId="77777777" w:rsidTr="00AE35E9">
        <w:tc>
          <w:tcPr>
            <w:tcW w:w="1170" w:type="dxa"/>
          </w:tcPr>
          <w:p w14:paraId="72809F3F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Homicide</w:t>
            </w:r>
          </w:p>
        </w:tc>
        <w:tc>
          <w:tcPr>
            <w:tcW w:w="2058" w:type="dxa"/>
          </w:tcPr>
          <w:p w14:paraId="4B6A1957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Unintentional Falls</w:t>
            </w:r>
          </w:p>
        </w:tc>
      </w:tr>
      <w:tr w:rsidR="00AE35E9" w14:paraId="6BAA6039" w14:textId="77777777" w:rsidTr="00AE35E9">
        <w:tc>
          <w:tcPr>
            <w:tcW w:w="1170" w:type="dxa"/>
          </w:tcPr>
          <w:p w14:paraId="7CA982B4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Struck By/Against</w:t>
            </w:r>
          </w:p>
        </w:tc>
        <w:tc>
          <w:tcPr>
            <w:tcW w:w="2058" w:type="dxa"/>
          </w:tcPr>
          <w:p w14:paraId="0E083372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Other</w:t>
            </w:r>
          </w:p>
        </w:tc>
      </w:tr>
    </w:tbl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77777777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FD2834" wp14:editId="09FC07B8">
                <wp:simplePos x="0" y="0"/>
                <wp:positionH relativeFrom="column">
                  <wp:posOffset>138229</wp:posOffset>
                </wp:positionH>
                <wp:positionV relativeFrom="paragraph">
                  <wp:posOffset>238199</wp:posOffset>
                </wp:positionV>
                <wp:extent cx="4085112" cy="9525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5112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24307" w14:textId="77777777" w:rsidR="00AE35E9" w:rsidRPr="001076A9" w:rsidRDefault="00AE35E9" w:rsidP="001744C9">
                            <w:pPr>
                              <w:spacing w:line="180" w:lineRule="exact"/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1076A9">
                              <w:rPr>
                                <w:rFonts w:cs="Calibri"/>
                                <w:b/>
                                <w:i/>
                                <w:sz w:val="16"/>
                                <w:szCs w:val="16"/>
                              </w:rPr>
                              <w:t>Notes: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 xml:space="preserve"> Firearm-related injuries were reported but excluded from the etiology graphic due to overlap with multiple categories (e.g., homicide/assault, suicide).  Firearms were related with &lt;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  <w:highlight w:val="yellow"/>
                              </w:rPr>
                              <w:t>%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&gt; of deaths, &lt;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  <w:highlight w:val="yellow"/>
                              </w:rPr>
                              <w:t>%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&gt; of hospitalizations, and &lt;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  <w:highlight w:val="yellow"/>
                              </w:rPr>
                              <w:t>%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 xml:space="preserve">&gt; of emergency department visits. Completeness of external-cause coding for TBI-related cases can impact the accuracy of the cause classifications for hospitalizations and emergency department visits. </w:t>
                            </w:r>
                          </w:p>
                          <w:p w14:paraId="7AD2210E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D2834" id="_x0000_s1032" type="#_x0000_t202" style="position:absolute;margin-left:10.9pt;margin-top:18.75pt;width:321.65pt;height: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" filled="f" stroked="f">
                <v:textbox>
                  <w:txbxContent>
                    <w:p w14:paraId="1D024307" w14:textId="77777777" w:rsidR="00AE35E9" w:rsidRPr="001076A9" w:rsidRDefault="00AE35E9" w:rsidP="001744C9">
                      <w:pPr>
                        <w:spacing w:line="180" w:lineRule="exact"/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1076A9">
                        <w:rPr>
                          <w:rFonts w:cs="Calibri"/>
                          <w:b/>
                          <w:i/>
                          <w:sz w:val="16"/>
                          <w:szCs w:val="16"/>
                        </w:rPr>
                        <w:t>Notes: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</w:rPr>
                        <w:t xml:space="preserve"> Firearm-related injuries were reported but excluded from the etiology graphic due to overlap with multiple categories (e.g., homicide/assault, suicide).  Firearms were related with &lt;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  <w:highlight w:val="yellow"/>
                        </w:rPr>
                        <w:t>%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</w:rPr>
                        <w:t>&gt; of deaths, &lt;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  <w:highlight w:val="yellow"/>
                        </w:rPr>
                        <w:t>%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</w:rPr>
                        <w:t>&gt; of hospitalizations, and &lt;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  <w:highlight w:val="yellow"/>
                        </w:rPr>
                        <w:t>%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</w:rPr>
                        <w:t xml:space="preserve">&gt; of emergency department visits. Completeness of external-cause coding for TBI-related cases can impact the accuracy of the cause classifications for hospitalizations and emergency department visits. </w:t>
                      </w:r>
                    </w:p>
                    <w:p w14:paraId="7AD2210E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7832CCFB" w14:textId="77777777" w:rsidR="00F30F9C" w:rsidRDefault="009653EF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7777777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hospitalizations,**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visits.**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3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" filled="f" stroked="f">
                <v:textbox>
                  <w:txbxContent>
                    <w:p w14:paraId="5E5DBE26" w14:textId="7777777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hospitalizations,**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visits.**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77777777" w:rsidR="00F30F9C" w:rsidRDefault="00F30F9C">
      <w:pPr>
        <w:contextualSpacing w:val="0"/>
        <w:rPr>
          <w:color w:val="FFFFFF" w:themeColor="background1"/>
        </w:rPr>
      </w:pPr>
    </w:p>
    <w:p w14:paraId="1370668B" w14:textId="77777777" w:rsidR="00F30F9C" w:rsidRDefault="0005626F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6FB47814">
                <wp:simplePos x="0" y="0"/>
                <wp:positionH relativeFrom="column">
                  <wp:posOffset>212651</wp:posOffset>
                </wp:positionH>
                <wp:positionV relativeFrom="paragraph">
                  <wp:posOffset>140424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77777777" w:rsidR="00AE35E9" w:rsidRPr="00387684" w:rsidRDefault="00AE35E9" w:rsidP="00583166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Figure 2: Percentage of Annual TBI-Related Deaths,* Hospitalizations,** and Emergency Department Visits,**by Age, in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4" style="position:absolute;margin-left:16.75pt;margin-top:11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bKfA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">
                <v:roundrect id="Rounded Rectangle 26" o:spid="_x0000_s1035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6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77777777" w:rsidR="00AE35E9" w:rsidRPr="00387684" w:rsidRDefault="00AE35E9" w:rsidP="00583166">
                        <w:pPr>
                          <w:pStyle w:val="NoSpacing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Figure 2: Percentage of Annual TBI-Related Deaths,* Hospitalizations,** and Emergency Department Visits,**by Age, in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</w:p>
    <w:p w14:paraId="5A1AA2C9" w14:textId="77777777" w:rsidR="00F30F9C" w:rsidRDefault="00387684">
      <w:pPr>
        <w:contextualSpacing w:val="0"/>
        <w:rPr>
          <w:noProof/>
        </w:rPr>
      </w:pPr>
      <w:r w:rsidRPr="004A4347">
        <w:rPr>
          <w:noProof/>
        </w:rPr>
        <w:drawing>
          <wp:anchor distT="0" distB="0" distL="114300" distR="114300" simplePos="0" relativeHeight="251755520" behindDoc="0" locked="0" layoutInCell="1" allowOverlap="1" wp14:anchorId="796F9657" wp14:editId="48E78A35">
            <wp:simplePos x="0" y="0"/>
            <wp:positionH relativeFrom="column">
              <wp:posOffset>144795</wp:posOffset>
            </wp:positionH>
            <wp:positionV relativeFrom="paragraph">
              <wp:posOffset>317825</wp:posOffset>
            </wp:positionV>
            <wp:extent cx="4191000" cy="2324100"/>
            <wp:effectExtent l="0" t="0" r="0" b="0"/>
            <wp:wrapNone/>
            <wp:docPr id="308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3CD04" w14:textId="77777777" w:rsidR="00EC193B" w:rsidRDefault="00EC193B">
      <w:pPr>
        <w:contextualSpacing w:val="0"/>
        <w:rPr>
          <w:color w:val="FFFFFF" w:themeColor="background1"/>
        </w:rPr>
      </w:pPr>
    </w:p>
    <w:p w14:paraId="203CDDAF" w14:textId="77777777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7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38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66F8A2FD" w:rsidR="00E05015" w:rsidRPr="0028773D" w:rsidRDefault="002C2817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1CE963CB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Reference to any commercial entity or product or service on this page should 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39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y7ZRAIAAMgEAAAOAAAAZHJzL2Uyb0RvYy54bWysVMlu2zAQvRfoPxC81/Ka2oLlIHWQokC6&#10;oEk/gKZIiwjFYUnakvv1GVKy6rRADkUvAsmZ9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Reference to any commercial entity or product or service on this page should 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60721" w:rsidRPr="00F30F9C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A61EB0" wp14:editId="3FF42BC4">
                <wp:simplePos x="0" y="0"/>
                <wp:positionH relativeFrom="column">
                  <wp:posOffset>161925</wp:posOffset>
                </wp:positionH>
                <wp:positionV relativeFrom="paragraph">
                  <wp:posOffset>387378</wp:posOffset>
                </wp:positionV>
                <wp:extent cx="5410200" cy="2600325"/>
                <wp:effectExtent l="0" t="0" r="0" b="9525"/>
                <wp:wrapNone/>
                <wp:docPr id="3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260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E33DF" w14:textId="77777777" w:rsidR="00AE35E9" w:rsidRPr="0070620F" w:rsidRDefault="00AE35E9" w:rsidP="0071524C">
                            <w:pPr>
                              <w:pStyle w:val="Heading3"/>
                              <w:spacing w:before="0" w:line="22" w:lineRule="atLeast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Gender</w:t>
                            </w:r>
                          </w:p>
                          <w:p w14:paraId="3A98B8AB" w14:textId="77777777" w:rsidR="00AE35E9" w:rsidRPr="00A81772" w:rsidRDefault="00AE35E9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>Men were more likely to sustain a traumatic brain injury than women.  The magnitude of this difference was greatest among those who 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died, were hospitalized or those treated and released from emergency departments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 xml:space="preserve">&gt;.  Men accounted for </w:t>
                            </w:r>
                            <w:r w:rsidRPr="002771FF">
                              <w:rPr>
                                <w:rFonts w:asciiTheme="minorHAnsi" w:hAnsiTheme="minorHAnsi" w:cstheme="minorHAnsi"/>
                              </w:rPr>
                              <w:t>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%</w:t>
                            </w:r>
                            <w:r w:rsidRPr="002771FF">
                              <w:rPr>
                                <w:rFonts w:asciiTheme="minorHAnsi" w:hAnsiTheme="minorHAnsi" w:cstheme="minorHAnsi"/>
                              </w:rPr>
                              <w:t>&gt;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 xml:space="preserve"> (&lt;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rate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>&gt; per 100,000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 xml:space="preserve">) of deaths where TBI was reported as a cause of death on the death certificate 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bCs/>
                              </w:rPr>
                              <w:t>alone or in combination with other injuries or conditions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 xml:space="preserve">, </w:t>
                            </w:r>
                            <w:r w:rsidRPr="002771FF">
                              <w:rPr>
                                <w:rFonts w:asciiTheme="minorHAnsi" w:hAnsiTheme="minorHAnsi" w:cstheme="minorHAnsi"/>
                              </w:rPr>
                              <w:t>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%</w:t>
                            </w:r>
                            <w:r w:rsidRPr="002771FF">
                              <w:rPr>
                                <w:rFonts w:asciiTheme="minorHAnsi" w:hAnsiTheme="minorHAnsi" w:cstheme="minorHAnsi"/>
                              </w:rPr>
                              <w:t>&gt;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 xml:space="preserve"> (&lt;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rate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>&gt;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>per 100,000),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 xml:space="preserve"> of hospitalizations for TBI alone or in combination with other injuries or conditions and 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highlight w:val="yellow"/>
                              </w:rPr>
                              <w:t>%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>&gt; (&lt;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rate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>&gt; per 100,000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</w:rPr>
                              <w:t>) of emergency department visits for TBI alone or in combination with other injuries or conditions.</w:t>
                            </w:r>
                          </w:p>
                          <w:p w14:paraId="0FF15CFA" w14:textId="77777777" w:rsidR="00AE35E9" w:rsidRPr="00A81772" w:rsidRDefault="00AE35E9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>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Optional: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additional state-specific comments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>&gt;</w:t>
                            </w:r>
                          </w:p>
                          <w:p w14:paraId="3988A907" w14:textId="77777777" w:rsidR="00AE35E9" w:rsidRPr="00A81772" w:rsidRDefault="00AE35E9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AC952F3" w14:textId="77777777" w:rsidR="00AE35E9" w:rsidRPr="00764680" w:rsidRDefault="00AE35E9" w:rsidP="0006716C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8801337" w14:textId="77777777" w:rsidR="00AE35E9" w:rsidRPr="00C73CE3" w:rsidRDefault="00AE35E9" w:rsidP="00C73CE3"/>
                          <w:p w14:paraId="546DDDC6" w14:textId="77777777" w:rsidR="00AE35E9" w:rsidRPr="00C73CE3" w:rsidRDefault="00AE35E9" w:rsidP="00C73C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61EB0" id="_x0000_s1040" type="#_x0000_t202" style="position:absolute;margin-left:12.75pt;margin-top:30.5pt;width:426pt;height:20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" filled="f" stroked="f">
                <v:textbox>
                  <w:txbxContent>
                    <w:p w14:paraId="2E7E33DF" w14:textId="77777777" w:rsidR="00AE35E9" w:rsidRPr="0070620F" w:rsidRDefault="00AE35E9" w:rsidP="0071524C">
                      <w:pPr>
                        <w:pStyle w:val="Heading3"/>
                        <w:spacing w:before="0" w:line="22" w:lineRule="atLeast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Gender</w:t>
                      </w:r>
                    </w:p>
                    <w:p w14:paraId="3A98B8AB" w14:textId="77777777" w:rsidR="00AE35E9" w:rsidRPr="00A81772" w:rsidRDefault="00AE35E9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</w:rPr>
                      </w:pPr>
                      <w:r w:rsidRPr="00A81772">
                        <w:rPr>
                          <w:rFonts w:asciiTheme="minorHAnsi" w:hAnsiTheme="minorHAnsi" w:cstheme="minorHAnsi"/>
                        </w:rPr>
                        <w:t>Men were more likely to sustain a traumatic brain injury than women.  The magnitude of this difference was greatest among those who &lt;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died, were hospitalized or those treated and released from emergency departments</w:t>
                      </w:r>
                      <w:r w:rsidRPr="00A81772">
                        <w:rPr>
                          <w:rFonts w:asciiTheme="minorHAnsi" w:hAnsiTheme="minorHAnsi" w:cstheme="minorHAnsi"/>
                        </w:rPr>
                        <w:t xml:space="preserve">&gt;.  Men accounted for </w:t>
                      </w:r>
                      <w:r w:rsidRPr="002771FF">
                        <w:rPr>
                          <w:rFonts w:asciiTheme="minorHAnsi" w:hAnsiTheme="minorHAnsi" w:cstheme="minorHAnsi"/>
                        </w:rPr>
                        <w:t>&lt;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%</w:t>
                      </w:r>
                      <w:r w:rsidRPr="002771FF">
                        <w:rPr>
                          <w:rFonts w:asciiTheme="minorHAnsi" w:hAnsiTheme="minorHAnsi" w:cstheme="minorHAnsi"/>
                        </w:rPr>
                        <w:t>&gt;</w:t>
                      </w:r>
                      <w:r w:rsidRPr="00A81772">
                        <w:rPr>
                          <w:rFonts w:asciiTheme="minorHAnsi" w:hAnsiTheme="minorHAnsi" w:cstheme="minorHAnsi"/>
                        </w:rPr>
                        <w:t xml:space="preserve"> (&lt;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rate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>&gt; per 100,000</w:t>
                      </w:r>
                      <w:r w:rsidRPr="00A81772">
                        <w:rPr>
                          <w:rFonts w:asciiTheme="minorHAnsi" w:hAnsiTheme="minorHAnsi" w:cstheme="minorHAnsi"/>
                        </w:rPr>
                        <w:t xml:space="preserve">) of deaths where TBI was reported as a cause of death on the death certificate </w:t>
                      </w:r>
                      <w:r w:rsidRPr="00A81772">
                        <w:rPr>
                          <w:rFonts w:asciiTheme="minorHAnsi" w:hAnsiTheme="minorHAnsi" w:cstheme="minorHAnsi"/>
                          <w:bCs/>
                        </w:rPr>
                        <w:t>alone or in combination with other injuries or conditions</w:t>
                      </w:r>
                      <w:r w:rsidRPr="00A81772">
                        <w:rPr>
                          <w:rFonts w:asciiTheme="minorHAnsi" w:hAnsiTheme="minorHAnsi" w:cstheme="minorHAnsi"/>
                        </w:rPr>
                        <w:t xml:space="preserve">, </w:t>
                      </w:r>
                      <w:r w:rsidRPr="002771FF">
                        <w:rPr>
                          <w:rFonts w:asciiTheme="minorHAnsi" w:hAnsiTheme="minorHAnsi" w:cstheme="minorHAnsi"/>
                        </w:rPr>
                        <w:t>&lt;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%</w:t>
                      </w:r>
                      <w:r w:rsidRPr="002771FF">
                        <w:rPr>
                          <w:rFonts w:asciiTheme="minorHAnsi" w:hAnsiTheme="minorHAnsi" w:cstheme="minorHAnsi"/>
                        </w:rPr>
                        <w:t>&gt;</w:t>
                      </w:r>
                      <w:r w:rsidRPr="00A81772">
                        <w:rPr>
                          <w:rFonts w:asciiTheme="minorHAnsi" w:hAnsiTheme="minorHAnsi" w:cstheme="minorHAnsi"/>
                        </w:rPr>
                        <w:t xml:space="preserve"> (&lt;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rate</w:t>
                      </w:r>
                      <w:r w:rsidRPr="00A81772">
                        <w:rPr>
                          <w:rFonts w:asciiTheme="minorHAnsi" w:hAnsiTheme="minorHAnsi" w:cstheme="minorHAnsi"/>
                        </w:rPr>
                        <w:t>&gt;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>per 100,000),</w:t>
                      </w:r>
                      <w:r w:rsidRPr="00A81772">
                        <w:rPr>
                          <w:rFonts w:asciiTheme="minorHAnsi" w:hAnsiTheme="minorHAnsi" w:cstheme="minorHAnsi"/>
                        </w:rPr>
                        <w:t xml:space="preserve"> of hospitalizations for TBI alone or in combination with other injuries or conditions and &lt;</w:t>
                      </w:r>
                      <w:r w:rsidRPr="00A81772">
                        <w:rPr>
                          <w:rFonts w:asciiTheme="minorHAnsi" w:hAnsiTheme="minorHAnsi" w:cstheme="minorHAnsi"/>
                          <w:highlight w:val="yellow"/>
                        </w:rPr>
                        <w:t>%</w:t>
                      </w:r>
                      <w:r w:rsidRPr="00A81772">
                        <w:rPr>
                          <w:rFonts w:asciiTheme="minorHAnsi" w:hAnsiTheme="minorHAnsi" w:cstheme="minorHAnsi"/>
                        </w:rPr>
                        <w:t>&gt; (&lt;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rate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>&gt; per 100,000</w:t>
                      </w:r>
                      <w:r w:rsidRPr="00A81772">
                        <w:rPr>
                          <w:rFonts w:asciiTheme="minorHAnsi" w:hAnsiTheme="minorHAnsi" w:cstheme="minorHAnsi"/>
                        </w:rPr>
                        <w:t>) of emergency department visits for TBI alone or in combination with other injuries or conditions.</w:t>
                      </w:r>
                    </w:p>
                    <w:p w14:paraId="0FF15CFA" w14:textId="77777777" w:rsidR="00AE35E9" w:rsidRPr="00A81772" w:rsidRDefault="00AE35E9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>&lt;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Optional: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additional state-specific comments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>&gt;</w:t>
                      </w:r>
                    </w:p>
                    <w:p w14:paraId="3988A907" w14:textId="77777777" w:rsidR="00AE35E9" w:rsidRPr="00A81772" w:rsidRDefault="00AE35E9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  <w:i/>
                          <w:sz w:val="16"/>
                          <w:szCs w:val="16"/>
                        </w:rPr>
                      </w:pPr>
                    </w:p>
                    <w:p w14:paraId="4AC952F3" w14:textId="77777777" w:rsidR="00AE35E9" w:rsidRPr="00764680" w:rsidRDefault="00AE35E9" w:rsidP="0006716C">
                      <w:pPr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28801337" w14:textId="77777777" w:rsidR="00AE35E9" w:rsidRPr="00C73CE3" w:rsidRDefault="00AE35E9" w:rsidP="00C73CE3"/>
                    <w:p w14:paraId="546DDDC6" w14:textId="77777777" w:rsidR="00AE35E9" w:rsidRPr="00C73CE3" w:rsidRDefault="00AE35E9" w:rsidP="00C73CE3"/>
                  </w:txbxContent>
                </v:textbox>
              </v:shape>
            </w:pict>
          </mc:Fallback>
        </mc:AlternateContent>
      </w:r>
      <w:r w:rsidR="00A60721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4C7299A0">
                <wp:simplePos x="0" y="0"/>
                <wp:positionH relativeFrom="margin">
                  <wp:posOffset>161925</wp:posOffset>
                </wp:positionH>
                <wp:positionV relativeFrom="margin">
                  <wp:posOffset>2402840</wp:posOffset>
                </wp:positionV>
                <wp:extent cx="7258050" cy="2219325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2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13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14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15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16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1" type="#_x0000_t202" style="position:absolute;margin-left:12.75pt;margin-top:189.2pt;width:571.5pt;height:17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17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18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19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0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1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5B5ECA3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25AA7C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71524C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357E069D">
                <wp:simplePos x="0" y="0"/>
                <wp:positionH relativeFrom="column">
                  <wp:posOffset>5876925</wp:posOffset>
                </wp:positionH>
                <wp:positionV relativeFrom="paragraph">
                  <wp:posOffset>419735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22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5B9F35" id="Rounded Rectangle 8" o:spid="_x0000_s1026" style="position:absolute;margin-left:462.75pt;margin-top:33.0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HD1ty7hAAAACwEAAA8AAABkcnMvZG93bnJldi54&#10;bWxMj8FOwzAMhu9IvENkJG4sTcdKV+pOFRIT0k4MpF3TJmsLjVM12dq9PdmJHW1/+v39+WY2PTvr&#10;0XWWEMQiAqaptqqjBuH76/0pBea8JCV7Sxrhoh1sivu7XGbKTvSpz3vfsBBCLpMIrfdDxrmrW22k&#10;W9hBU7gd7WikD+PYcDXKKYSbnsdRlHAjOwofWjnot1bXv/uTQUhF9VM+X7bNtDuUO9d9xMftECM+&#10;PszlKzCvZ/8Pw1U/qEMRnCp7IuVYj7COV6uAIiSJAHYFRLoMmwphmb4I4EXObzsUf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HD1ty7hAAAA&#10;CwEAAA8AAAAAAAAAAAAAAAAAHvkjAGRycy9kb3ducmV2LnhtbFBLAQItABQABgAIAAAAIQAnemod&#10;uwAAACEBAAAZAAAAAAAAAAAAAAAAACz6IwBkcnMvX3JlbHMvZTJvRG9jLnhtbC5yZWxzUEsFBgAA&#10;AAAGAAYAfAEAAB77IwAAAA==&#10;" stroked="f" strokeweight="2pt">
                <v:fill r:id="rId23" o:title="" recolor="t" rotate="t" type="frame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2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90EDC" w14:textId="77777777" w:rsidR="00254656" w:rsidRDefault="00254656" w:rsidP="00CA67FE">
      <w:pPr>
        <w:spacing w:after="0" w:line="240" w:lineRule="auto"/>
      </w:pPr>
      <w:r>
        <w:separator/>
      </w:r>
    </w:p>
  </w:endnote>
  <w:endnote w:type="continuationSeparator" w:id="0">
    <w:p w14:paraId="4FCA7D45" w14:textId="77777777" w:rsidR="00254656" w:rsidRDefault="00254656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F8E83" w14:textId="77777777" w:rsidR="00254656" w:rsidRDefault="00254656" w:rsidP="00CA67FE">
      <w:pPr>
        <w:spacing w:after="0" w:line="240" w:lineRule="auto"/>
      </w:pPr>
      <w:r>
        <w:separator/>
      </w:r>
    </w:p>
  </w:footnote>
  <w:footnote w:type="continuationSeparator" w:id="0">
    <w:p w14:paraId="7FFBB185" w14:textId="77777777" w:rsidR="00254656" w:rsidRDefault="00254656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3E5A7FA4" w:rsidR="00AE35E9" w:rsidRDefault="00E92A5B">
    <w:sdt>
      <w:sdtPr>
        <w:id w:val="1639847830"/>
        <w:docPartObj>
          <w:docPartGallery w:val="Watermarks"/>
          <w:docPartUnique/>
        </w:docPartObj>
      </w:sdtPr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4902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104.25pt;margin-top:-19.5pt;width:459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5pt;height:14.25pt;visibility:visible;mso-wrap-style:square" o:bullet="t">
        <v:imagedata r:id="rId1" o:title=""/>
      </v:shape>
    </w:pict>
  </w:numPicBullet>
  <w:numPicBullet w:numPicBulletId="1">
    <w:pict>
      <v:shape w14:anchorId="7DEF3ACD" id="_x0000_i1059" type="#_x0000_t75" style="width:7.5pt;height:8.2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37F13"/>
    <w:rsid w:val="000452A4"/>
    <w:rsid w:val="00054BE2"/>
    <w:rsid w:val="0005626F"/>
    <w:rsid w:val="0006089A"/>
    <w:rsid w:val="0006687A"/>
    <w:rsid w:val="0006716C"/>
    <w:rsid w:val="000724BC"/>
    <w:rsid w:val="00072A8B"/>
    <w:rsid w:val="00083454"/>
    <w:rsid w:val="000849DB"/>
    <w:rsid w:val="00086AEB"/>
    <w:rsid w:val="000B6C08"/>
    <w:rsid w:val="000E0E8B"/>
    <w:rsid w:val="000E4887"/>
    <w:rsid w:val="001076A9"/>
    <w:rsid w:val="00124372"/>
    <w:rsid w:val="00157BDA"/>
    <w:rsid w:val="00162464"/>
    <w:rsid w:val="00162A17"/>
    <w:rsid w:val="001744C9"/>
    <w:rsid w:val="00192A7A"/>
    <w:rsid w:val="001A7F8E"/>
    <w:rsid w:val="001D6B90"/>
    <w:rsid w:val="00216C73"/>
    <w:rsid w:val="00242973"/>
    <w:rsid w:val="00246828"/>
    <w:rsid w:val="00254656"/>
    <w:rsid w:val="002771FF"/>
    <w:rsid w:val="0028773D"/>
    <w:rsid w:val="00297E06"/>
    <w:rsid w:val="002C2817"/>
    <w:rsid w:val="002E7188"/>
    <w:rsid w:val="002F148D"/>
    <w:rsid w:val="002F3A8E"/>
    <w:rsid w:val="00303AB2"/>
    <w:rsid w:val="00315F4C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63808"/>
    <w:rsid w:val="00583166"/>
    <w:rsid w:val="005850FF"/>
    <w:rsid w:val="005A4739"/>
    <w:rsid w:val="0061327D"/>
    <w:rsid w:val="006453DA"/>
    <w:rsid w:val="0067419E"/>
    <w:rsid w:val="00685197"/>
    <w:rsid w:val="0068559B"/>
    <w:rsid w:val="006B35A2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D3E03"/>
    <w:rsid w:val="0080126F"/>
    <w:rsid w:val="00804436"/>
    <w:rsid w:val="00806D72"/>
    <w:rsid w:val="008129C9"/>
    <w:rsid w:val="008213C9"/>
    <w:rsid w:val="008647AA"/>
    <w:rsid w:val="008668B8"/>
    <w:rsid w:val="00891DDF"/>
    <w:rsid w:val="008A39BF"/>
    <w:rsid w:val="008A542D"/>
    <w:rsid w:val="008C61F5"/>
    <w:rsid w:val="008D7EF5"/>
    <w:rsid w:val="00914B7E"/>
    <w:rsid w:val="009408E7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43AD9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6031"/>
    <w:rsid w:val="00D16DAD"/>
    <w:rsid w:val="00D2380B"/>
    <w:rsid w:val="00D7487F"/>
    <w:rsid w:val="00D761F5"/>
    <w:rsid w:val="00D83C14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92A5B"/>
    <w:rsid w:val="00EC193B"/>
    <w:rsid w:val="00ED567B"/>
    <w:rsid w:val="00EE079C"/>
    <w:rsid w:val="00EE5E8D"/>
    <w:rsid w:val="00F013F5"/>
    <w:rsid w:val="00F30F9C"/>
    <w:rsid w:val="00F43D7E"/>
    <w:rsid w:val="00F518EA"/>
    <w:rsid w:val="00F57317"/>
    <w:rsid w:val="00F60017"/>
    <w:rsid w:val="00F712C3"/>
    <w:rsid w:val="00F72BD0"/>
    <w:rsid w:val="00F93D04"/>
    <w:rsid w:val="00FA2634"/>
    <w:rsid w:val="00FC0644"/>
    <w:rsid w:val="00FC1F35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://www.cdc.gov/injury" TargetMode="External"/><Relationship Id="rId18" Type="http://schemas.openxmlformats.org/officeDocument/2006/relationships/hyperlink" Target="http://www.cdc.gov/injury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cdc.gov/motorvehiclesafety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dc.gov/injury/stateprograms/index.html" TargetMode="External"/><Relationship Id="rId17" Type="http://schemas.openxmlformats.org/officeDocument/2006/relationships/hyperlink" Target="http://www.cdc.gov/injury/stateprograms/index.html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www.cdc.gov/motorvehiclesafety" TargetMode="External"/><Relationship Id="rId20" Type="http://schemas.openxmlformats.org/officeDocument/2006/relationships/hyperlink" Target="http://www.thecommunityguide.org/mvoi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thecommunityguide.org/mvoi" TargetMode="External"/><Relationship Id="rId23" Type="http://schemas.openxmlformats.org/officeDocument/2006/relationships/image" Target="media/image4.jpeg"/><Relationship Id="rId28" Type="http://schemas.openxmlformats.org/officeDocument/2006/relationships/header" Target="header3.xml"/><Relationship Id="rId10" Type="http://schemas.openxmlformats.org/officeDocument/2006/relationships/chart" Target="charts/chart3.xml"/><Relationship Id="rId19" Type="http://schemas.openxmlformats.org/officeDocument/2006/relationships/hyperlink" Target="http://www.cdc.gov/traumaticbraininjury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http://www.cdc.gov/traumaticbraininjury" TargetMode="External"/><Relationship Id="rId22" Type="http://schemas.openxmlformats.org/officeDocument/2006/relationships/image" Target="media/image3.JP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 b="1">
                <a:solidFill>
                  <a:schemeClr val="tx2"/>
                </a:solidFill>
                <a:effectLst/>
              </a:rPr>
              <a:t>Hospitalizations</a:t>
            </a:r>
            <a:endParaRPr lang="en-US" sz="1200">
              <a:solidFill>
                <a:schemeClr val="tx2"/>
              </a:solidFill>
              <a:effectLst/>
            </a:endParaRPr>
          </a:p>
        </c:rich>
      </c:tx>
      <c:layout>
        <c:manualLayout>
          <c:xMode val="edge"/>
          <c:yMode val="edge"/>
          <c:x val="0.24071330710518338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3F63-4128-A6F3-79A5935AA0F5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3F63-4128-A6F3-79A5935AA0F5}"/>
              </c:ext>
            </c:extLst>
          </c:dPt>
          <c:dPt>
            <c:idx val="2"/>
            <c:bubble3D val="0"/>
            <c:spPr>
              <a:solidFill>
                <a:srgbClr val="008A3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3F63-4128-A6F3-79A5935AA0F5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3F63-4128-A6F3-79A5935AA0F5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8-3F63-4128-A6F3-79A5935AA0F5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A-3F63-4128-A6F3-79A5935AA0F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964627</c:v>
                </c:pt>
                <c:pt idx="1">
                  <c:v>193755</c:v>
                </c:pt>
                <c:pt idx="2">
                  <c:v>286150</c:v>
                </c:pt>
                <c:pt idx="3">
                  <c:v>2429</c:v>
                </c:pt>
                <c:pt idx="4">
                  <c:v>400000</c:v>
                </c:pt>
                <c:pt idx="5">
                  <c:v>250000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F63-4128-A6F3-79A5935AA0F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D7ED-4711-9000-F1814D8C90F8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D7ED-4711-9000-F1814D8C90F8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D7ED-4711-9000-F1814D8C90F8}"/>
              </c:ext>
            </c:extLst>
          </c:dPt>
          <c:dPt>
            <c:idx val="3"/>
            <c:bubble3D val="0"/>
            <c:spPr>
              <a:solidFill>
                <a:srgbClr val="660066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D7ED-4711-9000-F1814D8C90F8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D7ED-4711-9000-F1814D8C90F8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D7ED-4711-9000-F1814D8C90F8}"/>
              </c:ext>
            </c:extLst>
          </c:dPt>
          <c:dLbls>
            <c:dLbl>
              <c:idx val="5"/>
              <c:layout>
                <c:manualLayout>
                  <c:x val="2.4129600046932247E-2"/>
                  <c:y val="1.812044423873614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7ED-4711-9000-F1814D8C9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129979</c:v>
                </c:pt>
                <c:pt idx="1">
                  <c:v>24021</c:v>
                </c:pt>
                <c:pt idx="2">
                  <c:v>80303</c:v>
                </c:pt>
                <c:pt idx="3">
                  <c:v>2324</c:v>
                </c:pt>
                <c:pt idx="4">
                  <c:v>15000</c:v>
                </c:pt>
                <c:pt idx="5">
                  <c:v>40000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7ED-4711-9000-F1814D8C90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>
                <a:solidFill>
                  <a:schemeClr val="tx2"/>
                </a:solidFill>
              </a:rPr>
              <a:t>Deaths</a:t>
            </a:r>
          </a:p>
        </c:rich>
      </c:tx>
      <c:layout>
        <c:manualLayout>
          <c:xMode val="edge"/>
          <c:yMode val="edge"/>
          <c:x val="0.36230651629649696"/>
          <c:y val="8.977488390874217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23C-4EDE-BCA1-321924519564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23C-4EDE-BCA1-321924519564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23C-4EDE-BCA1-321924519564}"/>
              </c:ext>
            </c:extLst>
          </c:dPt>
          <c:dPt>
            <c:idx val="3"/>
            <c:bubble3D val="0"/>
            <c:spPr>
              <a:solidFill>
                <a:srgbClr val="781D7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223C-4EDE-BCA1-321924519564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223C-4EDE-BCA1-321924519564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223C-4EDE-BCA1-32192451956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Homicide</c:v>
                </c:pt>
                <c:pt idx="2">
                  <c:v>MV Traffic</c:v>
                </c:pt>
                <c:pt idx="3">
                  <c:v>Suicide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12810</c:v>
                </c:pt>
                <c:pt idx="1">
                  <c:v>5484</c:v>
                </c:pt>
                <c:pt idx="2">
                  <c:v>12077</c:v>
                </c:pt>
                <c:pt idx="3">
                  <c:v>15983</c:v>
                </c:pt>
                <c:pt idx="4">
                  <c:v>4821</c:v>
                </c:pt>
                <c:pt idx="5">
                  <c:v>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23C-4EDE-BCA1-321924519564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0-14 Yrs</c:v>
                </c:pt>
              </c:strCache>
            </c:strRef>
          </c:tx>
          <c:spPr>
            <a:solidFill>
              <a:srgbClr val="6E267B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20</c:v>
                </c:pt>
                <c:pt idx="1">
                  <c:v>25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34-41BB-A220-1566B54A2A7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15-24 Yrs</c:v>
                </c:pt>
              </c:strCache>
            </c:strRef>
          </c:tx>
          <c:spPr>
            <a:solidFill>
              <a:srgbClr val="00763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10</c:v>
                </c:pt>
                <c:pt idx="1">
                  <c:v>10</c:v>
                </c:pt>
                <c:pt idx="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834-41BB-A220-1566B54A2A7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25-44 Yrs</c:v>
                </c:pt>
              </c:strCache>
            </c:strRef>
          </c:tx>
          <c:spPr>
            <a:solidFill>
              <a:srgbClr val="FFDE6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20</c:v>
                </c:pt>
                <c:pt idx="1">
                  <c:v>25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834-41BB-A220-1566B54A2A7B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45-64 Yrs</c:v>
                </c:pt>
              </c:strCache>
            </c:strRef>
          </c:tx>
          <c:spPr>
            <a:solidFill>
              <a:srgbClr val="7EB0C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Sheet1!$E$2:$E$4</c:f>
              <c:numCache>
                <c:formatCode>General</c:formatCode>
                <c:ptCount val="3"/>
                <c:pt idx="0">
                  <c:v>10</c:v>
                </c:pt>
                <c:pt idx="1">
                  <c:v>20</c:v>
                </c:pt>
                <c:pt idx="2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834-41BB-A220-1566B54A2A7B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65+ Yrs</c:v>
                </c:pt>
              </c:strCache>
            </c:strRef>
          </c:tx>
          <c:spPr>
            <a:solidFill>
              <a:srgbClr val="EC881D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Sheet1!$F$2:$F$4</c:f>
              <c:numCache>
                <c:formatCode>General</c:formatCode>
                <c:ptCount val="3"/>
                <c:pt idx="0">
                  <c:v>40</c:v>
                </c:pt>
                <c:pt idx="1">
                  <c:v>20</c:v>
                </c:pt>
                <c:pt idx="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34-41BB-A220-1566B54A2A7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50040192"/>
        <c:axId val="50058368"/>
      </c:barChart>
      <c:catAx>
        <c:axId val="5004019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50058368"/>
        <c:crosses val="autoZero"/>
        <c:auto val="1"/>
        <c:lblAlgn val="ctr"/>
        <c:lblOffset val="100"/>
        <c:noMultiLvlLbl val="0"/>
      </c:catAx>
      <c:valAx>
        <c:axId val="50058368"/>
        <c:scaling>
          <c:orientation val="minMax"/>
          <c:max val="10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ln>
            <a:solidFill>
              <a:srgbClr val="002060"/>
            </a:solidFill>
          </a:ln>
        </c:spPr>
        <c:txPr>
          <a:bodyPr/>
          <a:lstStyle/>
          <a:p>
            <a:pPr>
              <a:defRPr sz="800"/>
            </a:pPr>
            <a:endParaRPr lang="en-US"/>
          </a:p>
        </c:txPr>
        <c:crossAx val="50040192"/>
        <c:crosses val="autoZero"/>
        <c:crossBetween val="between"/>
      </c:valAx>
      <c:spPr>
        <a:noFill/>
      </c:spPr>
    </c:plotArea>
    <c:legend>
      <c:legendPos val="b"/>
      <c:overlay val="0"/>
      <c:txPr>
        <a:bodyPr/>
        <a:lstStyle/>
        <a:p>
          <a:pPr>
            <a:defRPr sz="800" baseline="0">
              <a:solidFill>
                <a:sysClr val="windowText" lastClr="000000"/>
              </a:solidFill>
            </a:defRPr>
          </a:pPr>
          <a:endParaRPr lang="en-US"/>
        </a:p>
      </c:txPr>
    </c:legend>
    <c:plotVisOnly val="1"/>
    <c:dispBlanksAs val="gap"/>
    <c:showDLblsOverMax val="0"/>
  </c:chart>
  <c:spPr>
    <a:noFill/>
    <a:ln w="25400">
      <a:noFill/>
    </a:ln>
    <a:effectLst>
      <a:glow rad="127000">
        <a:sysClr val="windowText" lastClr="000000"/>
      </a:glow>
    </a:effectLst>
  </c:spPr>
  <c:txPr>
    <a:bodyPr/>
    <a:lstStyle/>
    <a:p>
      <a:pPr>
        <a:defRPr>
          <a:solidFill>
            <a:schemeClr val="accent6"/>
          </a:solidFill>
          <a:latin typeface="Myriad Web Pro" pitchFamily="34" charset="0"/>
        </a:defRPr>
      </a:pPr>
      <a:endParaRPr lang="en-US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0.05268</cdr:x>
      <cdr:y>0.72519</cdr:y>
    </cdr:from>
    <cdr:to>
      <cdr:x>0.59004</cdr:x>
      <cdr:y>1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74625" y="7327900"/>
          <a:ext cx="1781175" cy="685800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0.36437</cdr:x>
      <cdr:y>0.76361</cdr:y>
    </cdr:from>
    <cdr:to>
      <cdr:x>1</cdr:x>
      <cdr:y>1</cdr:y>
    </cdr:to>
    <cdr:sp macro="" textlink="">
      <cdr:nvSpPr>
        <cdr:cNvPr id="4" name="Text Box 1"/>
        <cdr:cNvSpPr txBox="1"/>
      </cdr:nvSpPr>
      <cdr:spPr>
        <a:xfrm xmlns:a="http://schemas.openxmlformats.org/drawingml/2006/main">
          <a:off x="1207770" y="1905635"/>
          <a:ext cx="2106930" cy="589915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0.03544</cdr:x>
      <cdr:y>0.72519</cdr:y>
    </cdr:from>
    <cdr:to>
      <cdr:x>0.5728</cdr:x>
      <cdr:y>1</cdr:y>
    </cdr:to>
    <cdr:sp macro="" textlink="">
      <cdr:nvSpPr>
        <cdr:cNvPr id="5" name="Text Box 1"/>
        <cdr:cNvSpPr txBox="1"/>
      </cdr:nvSpPr>
      <cdr:spPr>
        <a:xfrm xmlns:a="http://schemas.openxmlformats.org/drawingml/2006/main">
          <a:off x="117475" y="1809750"/>
          <a:ext cx="1781175" cy="685800"/>
        </a:xfrm>
        <a:prstGeom xmlns:a="http://schemas.openxmlformats.org/drawingml/2006/main" prst="rect">
          <a:avLst/>
        </a:prstGeom>
      </cdr:spPr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CDC OD Dark PPT Colors">
    <a:dk1>
      <a:srgbClr val="FFC000"/>
    </a:dk1>
    <a:lt1>
      <a:srgbClr val="FFFFFF"/>
    </a:lt1>
    <a:dk2>
      <a:srgbClr val="FFFFFF"/>
    </a:dk2>
    <a:lt2>
      <a:srgbClr val="FFFFFF"/>
    </a:lt2>
    <a:accent1>
      <a:srgbClr val="4983F2"/>
    </a:accent1>
    <a:accent2>
      <a:srgbClr val="007D57"/>
    </a:accent2>
    <a:accent3>
      <a:srgbClr val="9A3B26"/>
    </a:accent3>
    <a:accent4>
      <a:srgbClr val="7F7F7F"/>
    </a:accent4>
    <a:accent5>
      <a:srgbClr val="0F56DC"/>
    </a:accent5>
    <a:accent6>
      <a:srgbClr val="002060"/>
    </a:accent6>
    <a:hlink>
      <a:srgbClr val="FFC000"/>
    </a:hlink>
    <a:folHlink>
      <a:srgbClr val="3077FF"/>
    </a:folHlink>
  </a:clrScheme>
  <a:fontScheme name="CDC Myriad Web Pro">
    <a:majorFont>
      <a:latin typeface="Myriad Web Pro"/>
      <a:ea typeface=""/>
      <a:cs typeface=""/>
    </a:majorFont>
    <a:minorFont>
      <a:latin typeface="Myriad Web Pro"/>
      <a:ea typeface=""/>
      <a:cs typeface="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10F04-53C6-4F93-B8AC-A4950B127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Kristina Lai</cp:lastModifiedBy>
  <cp:revision>3</cp:revision>
  <cp:lastPrinted>2012-06-01T02:11:00Z</cp:lastPrinted>
  <dcterms:created xsi:type="dcterms:W3CDTF">2020-03-03T23:41:00Z</dcterms:created>
  <dcterms:modified xsi:type="dcterms:W3CDTF">2020-03-03T23:52:00Z</dcterms:modified>
</cp:coreProperties>
</file>