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88E97" w14:textId="5793B2B7" w:rsidR="004B17D3" w:rsidRDefault="004B17D3" w:rsidP="007B0B2B">
      <w:pPr>
        <w:pStyle w:val="Heading1"/>
      </w:pPr>
      <w:r>
        <w:t>CSTE Unintentional Child Injuries Special Emphasis Report</w:t>
      </w:r>
      <w:r w:rsidR="007B0B2B">
        <w:t xml:space="preserve"> - </w:t>
      </w:r>
      <w:r>
        <w:t>Spreadsheet Instructions</w:t>
      </w:r>
    </w:p>
    <w:p w14:paraId="5FCB6EF8" w14:textId="2986191B" w:rsidR="004B17D3" w:rsidRDefault="004B17D3"/>
    <w:p w14:paraId="187DD88F" w14:textId="44C35190" w:rsidR="007B0B2B" w:rsidRDefault="007B0B2B">
      <w:r>
        <w:t xml:space="preserve">Below are the full instructions to fill in the </w:t>
      </w:r>
      <w:hyperlink r:id="rId10" w:history="1">
        <w:r w:rsidRPr="007E77A4">
          <w:rPr>
            <w:rStyle w:val="Hyperlink"/>
          </w:rPr>
          <w:t>Unintentional Child Injuries Special Emphasis Report (SER) spreadsheet</w:t>
        </w:r>
      </w:hyperlink>
      <w:r>
        <w:t>. These instructions are also included in “Tab A_Instructions” of the SER spreadsheet.</w:t>
      </w:r>
      <w:r w:rsidR="007E77A4">
        <w:t xml:space="preserve"> Please contact Samer Khan (</w:t>
      </w:r>
      <w:hyperlink r:id="rId11" w:history="1">
        <w:r w:rsidR="007E77A4" w:rsidRPr="00C01671">
          <w:rPr>
            <w:rStyle w:val="Hyperlink"/>
          </w:rPr>
          <w:t>skhan@rossstrategic.com</w:t>
        </w:r>
      </w:hyperlink>
      <w:r w:rsidR="007E77A4">
        <w:t xml:space="preserve">) with any questions. Pilot testers can provide feedback on the draft spreadsheet in this document: </w:t>
      </w:r>
    </w:p>
    <w:p w14:paraId="0E2D866B" w14:textId="77777777" w:rsidR="007B0B2B" w:rsidRDefault="007B0B2B"/>
    <w:p w14:paraId="4BC3FAA2" w14:textId="700C0637" w:rsidR="007B0B2B" w:rsidRDefault="007B0B2B" w:rsidP="007B0B2B">
      <w:pPr>
        <w:pStyle w:val="Heading2"/>
      </w:pPr>
      <w:r w:rsidRPr="007B0B2B">
        <w:rPr>
          <w:b/>
          <w:bCs/>
        </w:rPr>
        <w:t>Step 1</w:t>
      </w:r>
      <w:r w:rsidR="00390DB9">
        <w:t>. P</w:t>
      </w:r>
      <w:r w:rsidRPr="007B0B2B">
        <w:t>repare your state/territory data on unintentional child injuries</w:t>
      </w:r>
    </w:p>
    <w:tbl>
      <w:tblPr>
        <w:tblStyle w:val="GridTable4-Accent1"/>
        <w:tblW w:w="14480" w:type="dxa"/>
        <w:tblLayout w:type="fixed"/>
        <w:tblLook w:val="04A0" w:firstRow="1" w:lastRow="0" w:firstColumn="1" w:lastColumn="0" w:noHBand="0" w:noVBand="1"/>
      </w:tblPr>
      <w:tblGrid>
        <w:gridCol w:w="6740"/>
        <w:gridCol w:w="7740"/>
      </w:tblGrid>
      <w:tr w:rsidR="007B0B2B" w:rsidRPr="007B0B2B" w14:paraId="71972613" w14:textId="77777777" w:rsidTr="007B0B2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8E56AF9" w14:textId="77777777" w:rsidR="007B0B2B" w:rsidRPr="004B17D3" w:rsidRDefault="007B0B2B" w:rsidP="004B17D3">
            <w:pPr>
              <w:jc w:val="center"/>
              <w:rPr>
                <w:rFonts w:eastAsia="Times New Roman" w:cstheme="minorHAnsi"/>
              </w:rPr>
            </w:pPr>
            <w:r w:rsidRPr="004B17D3">
              <w:rPr>
                <w:rFonts w:eastAsia="Times New Roman" w:cstheme="minorHAnsi"/>
              </w:rPr>
              <w:t>Name</w:t>
            </w:r>
          </w:p>
        </w:tc>
        <w:tc>
          <w:tcPr>
            <w:tcW w:w="7740" w:type="dxa"/>
            <w:hideMark/>
          </w:tcPr>
          <w:p w14:paraId="5445AB3F" w14:textId="493AE8CB" w:rsidR="007B0B2B" w:rsidRPr="004B17D3" w:rsidRDefault="007B0B2B" w:rsidP="004B17D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ICD-10-CM Codes</w:t>
            </w:r>
          </w:p>
        </w:tc>
      </w:tr>
      <w:tr w:rsidR="007B0B2B" w:rsidRPr="007B0B2B" w14:paraId="7BEBE9D3" w14:textId="77777777" w:rsidTr="007E77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363720A3" w14:textId="3E8B02BA" w:rsidR="007B0B2B" w:rsidRPr="007B0B2B" w:rsidRDefault="007B0B2B" w:rsidP="004B17D3">
            <w:pPr>
              <w:jc w:val="center"/>
              <w:rPr>
                <w:rFonts w:eastAsia="Times New Roman" w:cstheme="minorHAnsi"/>
              </w:rPr>
            </w:pPr>
            <w:r w:rsidRPr="004B17D3">
              <w:rPr>
                <w:rFonts w:eastAsia="Times New Roman" w:cstheme="minorHAnsi"/>
              </w:rPr>
              <w:t>1. Create a dataset for nonfatal injury emergency department visits: Any one of the ICD-10-CM codes below in any diagnosis field. Only include cases if the 7th character of the code is A, B, C, or missing (reflects initial encounter, active treatment). T30-T32 do not have a 7th character.</w:t>
            </w:r>
          </w:p>
        </w:tc>
      </w:tr>
      <w:tr w:rsidR="007B0B2B" w:rsidRPr="007B0B2B" w14:paraId="47C256D6"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784ED4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Anatomic injuries</w:t>
            </w:r>
          </w:p>
        </w:tc>
        <w:tc>
          <w:tcPr>
            <w:tcW w:w="7740" w:type="dxa"/>
            <w:noWrap/>
            <w:hideMark/>
          </w:tcPr>
          <w:p w14:paraId="018FEF34"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S00-S99</w:t>
            </w:r>
          </w:p>
        </w:tc>
      </w:tr>
      <w:tr w:rsidR="007B0B2B" w:rsidRPr="007B0B2B" w14:paraId="245476D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058A17F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Foreign bodies, burns, corrosions, frostbite</w:t>
            </w:r>
          </w:p>
        </w:tc>
        <w:tc>
          <w:tcPr>
            <w:tcW w:w="7740" w:type="dxa"/>
            <w:noWrap/>
            <w:hideMark/>
          </w:tcPr>
          <w:p w14:paraId="1DC51939"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T07-T34</w:t>
            </w:r>
          </w:p>
        </w:tc>
      </w:tr>
      <w:tr w:rsidR="007B0B2B" w:rsidRPr="007B0B2B" w14:paraId="0E249E3D"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575EECD7"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Poisoning by drugs, medicaments, and biological substances (Includes accidental, intentional self-harm, assault, and underdetermined intents; Excludes adverse effects and underdosing)</w:t>
            </w:r>
          </w:p>
        </w:tc>
        <w:tc>
          <w:tcPr>
            <w:tcW w:w="7740" w:type="dxa"/>
            <w:hideMark/>
          </w:tcPr>
          <w:p w14:paraId="6FB0E7CB"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T36-T50 with a 6th character of 1, 2, 3, or 4 Note: Include T36.9, T37.9, T39.9, T41.4, T42.7, T43.9, T45.9, T47.9, and T49.9 with 5th character of 1, 2, 3, or 4 (Intent information for these codes is included in the 5th character and not the 6th)</w:t>
            </w:r>
          </w:p>
        </w:tc>
      </w:tr>
      <w:tr w:rsidR="007B0B2B" w:rsidRPr="007B0B2B" w14:paraId="7B09E1BC"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DD7473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Toxic effects of substances nonmedicinal as to source</w:t>
            </w:r>
          </w:p>
        </w:tc>
        <w:tc>
          <w:tcPr>
            <w:tcW w:w="7740" w:type="dxa"/>
            <w:noWrap/>
            <w:hideMark/>
          </w:tcPr>
          <w:p w14:paraId="36D45755"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T51-T65</w:t>
            </w:r>
          </w:p>
        </w:tc>
      </w:tr>
      <w:tr w:rsidR="007B0B2B" w:rsidRPr="007B0B2B" w14:paraId="6B3A68D3"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525E50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and unspecified effects of external causes</w:t>
            </w:r>
          </w:p>
        </w:tc>
        <w:tc>
          <w:tcPr>
            <w:tcW w:w="7740" w:type="dxa"/>
            <w:noWrap/>
            <w:hideMark/>
          </w:tcPr>
          <w:p w14:paraId="59CF2D01"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T66-T76</w:t>
            </w:r>
          </w:p>
        </w:tc>
      </w:tr>
      <w:tr w:rsidR="007B0B2B" w:rsidRPr="007B0B2B" w14:paraId="4E15C7C4"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AD44656"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Certain early complications of trauma, not elsewhere classified</w:t>
            </w:r>
          </w:p>
        </w:tc>
        <w:tc>
          <w:tcPr>
            <w:tcW w:w="7740" w:type="dxa"/>
            <w:noWrap/>
            <w:hideMark/>
          </w:tcPr>
          <w:p w14:paraId="7C9B296E"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T79</w:t>
            </w:r>
          </w:p>
        </w:tc>
      </w:tr>
      <w:tr w:rsidR="007B0B2B" w:rsidRPr="007B0B2B" w14:paraId="741BC9E5"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49D968D"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Traumatic injuries and abuse complicating pregnancy, childbirth, and the puerperium</w:t>
            </w:r>
          </w:p>
        </w:tc>
        <w:tc>
          <w:tcPr>
            <w:tcW w:w="7740" w:type="dxa"/>
            <w:noWrap/>
            <w:hideMark/>
          </w:tcPr>
          <w:p w14:paraId="1CA56BBA"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O9A.2-O9A.5</w:t>
            </w:r>
          </w:p>
        </w:tc>
      </w:tr>
      <w:tr w:rsidR="007B0B2B" w:rsidRPr="007B0B2B" w14:paraId="57C81318"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691D54D1"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Periprosthetic fracture around internal prosthetic joint</w:t>
            </w:r>
          </w:p>
        </w:tc>
        <w:tc>
          <w:tcPr>
            <w:tcW w:w="7740" w:type="dxa"/>
            <w:noWrap/>
            <w:hideMark/>
          </w:tcPr>
          <w:p w14:paraId="254BD53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M97</w:t>
            </w:r>
          </w:p>
        </w:tc>
      </w:tr>
      <w:tr w:rsidR="007B0B2B" w:rsidRPr="007B0B2B" w14:paraId="3461BF9E"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31916FD0"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Transport accidents</w:t>
            </w:r>
          </w:p>
        </w:tc>
        <w:tc>
          <w:tcPr>
            <w:tcW w:w="7740" w:type="dxa"/>
            <w:noWrap/>
            <w:hideMark/>
          </w:tcPr>
          <w:p w14:paraId="337B4E36"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V00-V99</w:t>
            </w:r>
          </w:p>
        </w:tc>
      </w:tr>
      <w:tr w:rsidR="007B0B2B" w:rsidRPr="007B0B2B" w14:paraId="092F454D"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500D20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Other external causes of accidental injury</w:t>
            </w:r>
          </w:p>
        </w:tc>
        <w:tc>
          <w:tcPr>
            <w:tcW w:w="7740" w:type="dxa"/>
            <w:noWrap/>
            <w:hideMark/>
          </w:tcPr>
          <w:p w14:paraId="2B86819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W00-X58</w:t>
            </w:r>
          </w:p>
        </w:tc>
      </w:tr>
      <w:tr w:rsidR="007B0B2B" w:rsidRPr="007B0B2B" w14:paraId="5A07E91E"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7582594F"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Intentional self-harm</w:t>
            </w:r>
          </w:p>
        </w:tc>
        <w:tc>
          <w:tcPr>
            <w:tcW w:w="7740" w:type="dxa"/>
            <w:noWrap/>
            <w:hideMark/>
          </w:tcPr>
          <w:p w14:paraId="24A930B3"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X71-X83</w:t>
            </w:r>
          </w:p>
        </w:tc>
      </w:tr>
      <w:tr w:rsidR="007B0B2B" w:rsidRPr="007B0B2B" w14:paraId="249D4E99"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7C8705F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Assault</w:t>
            </w:r>
          </w:p>
        </w:tc>
        <w:tc>
          <w:tcPr>
            <w:tcW w:w="7740" w:type="dxa"/>
            <w:noWrap/>
            <w:hideMark/>
          </w:tcPr>
          <w:p w14:paraId="62FD3F1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X92-Y09</w:t>
            </w:r>
          </w:p>
        </w:tc>
      </w:tr>
      <w:tr w:rsidR="007B0B2B" w:rsidRPr="007B0B2B" w14:paraId="1D8C9E74"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noWrap/>
            <w:hideMark/>
          </w:tcPr>
          <w:p w14:paraId="41DD0B97"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Event of undetermined intent</w:t>
            </w:r>
          </w:p>
        </w:tc>
        <w:tc>
          <w:tcPr>
            <w:tcW w:w="7740" w:type="dxa"/>
            <w:noWrap/>
            <w:hideMark/>
          </w:tcPr>
          <w:p w14:paraId="581268AF"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Y21-Y33</w:t>
            </w:r>
          </w:p>
        </w:tc>
      </w:tr>
      <w:tr w:rsidR="007B0B2B" w:rsidRPr="007B0B2B" w14:paraId="3695279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6A78E0D"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Legal intervention, operations of war, military operations, and terrorism</w:t>
            </w:r>
          </w:p>
        </w:tc>
        <w:tc>
          <w:tcPr>
            <w:tcW w:w="7740" w:type="dxa"/>
            <w:noWrap/>
            <w:hideMark/>
          </w:tcPr>
          <w:p w14:paraId="55014E41"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Y35-Y38</w:t>
            </w:r>
          </w:p>
        </w:tc>
      </w:tr>
      <w:tr w:rsidR="007B0B2B" w:rsidRPr="007B0B2B" w14:paraId="08A64502" w14:textId="77777777" w:rsidTr="007E77A4">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tcPr>
          <w:p w14:paraId="061B63AB" w14:textId="11981EC5" w:rsidR="007B0B2B" w:rsidRPr="007B0B2B" w:rsidRDefault="007B0B2B" w:rsidP="004B17D3">
            <w:pPr>
              <w:jc w:val="center"/>
              <w:rPr>
                <w:rFonts w:eastAsia="Times New Roman" w:cstheme="minorHAnsi"/>
              </w:rPr>
            </w:pPr>
            <w:r w:rsidRPr="004B17D3">
              <w:rPr>
                <w:rFonts w:eastAsia="Times New Roman" w:cstheme="minorHAnsi"/>
              </w:rPr>
              <w:t>2. Create a dataset for nonfatal injury hospitalizations: One of the ICD-10-CM codes below in the primary diagnosis field. Only include cases if the 7th character of the code is A, B, C, or missing (reflects initial encounter, active treatment). T30-T32 do not have a 7th character.</w:t>
            </w:r>
          </w:p>
        </w:tc>
      </w:tr>
      <w:tr w:rsidR="007B0B2B" w:rsidRPr="007B0B2B" w14:paraId="78D1BD83"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2E33E73" w14:textId="77777777" w:rsidR="007B0B2B" w:rsidRPr="004B17D3" w:rsidRDefault="007B0B2B" w:rsidP="004B17D3">
            <w:pPr>
              <w:jc w:val="center"/>
              <w:rPr>
                <w:rFonts w:eastAsia="Times New Roman" w:cstheme="minorHAnsi"/>
                <w:b w:val="0"/>
                <w:bCs w:val="0"/>
              </w:rPr>
            </w:pPr>
          </w:p>
        </w:tc>
        <w:tc>
          <w:tcPr>
            <w:tcW w:w="7740" w:type="dxa"/>
            <w:noWrap/>
            <w:hideMark/>
          </w:tcPr>
          <w:p w14:paraId="22DFA536" w14:textId="77777777" w:rsidR="007B0B2B" w:rsidRPr="004B17D3" w:rsidRDefault="007B0B2B" w:rsidP="004B17D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p>
        </w:tc>
      </w:tr>
      <w:tr w:rsidR="007B0B2B" w:rsidRPr="007B0B2B" w14:paraId="6172EC31"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16053F0"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Anatomic injuries</w:t>
            </w:r>
          </w:p>
        </w:tc>
        <w:tc>
          <w:tcPr>
            <w:tcW w:w="7740" w:type="dxa"/>
            <w:noWrap/>
            <w:hideMark/>
          </w:tcPr>
          <w:p w14:paraId="0780CFB8"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S00-S99</w:t>
            </w:r>
          </w:p>
        </w:tc>
      </w:tr>
      <w:tr w:rsidR="007B0B2B" w:rsidRPr="007B0B2B" w14:paraId="7A446E08"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0DBFEB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Foreign bodies, burns, corrosions, frostbite</w:t>
            </w:r>
          </w:p>
        </w:tc>
        <w:tc>
          <w:tcPr>
            <w:tcW w:w="7740" w:type="dxa"/>
            <w:noWrap/>
            <w:hideMark/>
          </w:tcPr>
          <w:p w14:paraId="62C7E0C3"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T07-T34</w:t>
            </w:r>
          </w:p>
        </w:tc>
      </w:tr>
      <w:tr w:rsidR="007B0B2B" w:rsidRPr="007B0B2B" w14:paraId="788CB437"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2E3E1DB9"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Poisoning by drugs, medicaments, and biological substances (Includes accidental, intentional self-harm, assault, and underdetermined intents; Excludes adverse effects and underdosing)</w:t>
            </w:r>
          </w:p>
        </w:tc>
        <w:tc>
          <w:tcPr>
            <w:tcW w:w="7740" w:type="dxa"/>
            <w:hideMark/>
          </w:tcPr>
          <w:p w14:paraId="2006FC94"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T36-T50 with a 6th character of 1, 2, 3, or 4 Note: Include T36.9, T37.9, T39.9, T41.4, T42.7, T43.9, T45.9, T47.9, and T49.9 with 5th character of 1, 2, 3, or 4 (Intent information for these codes is included in the 5th character and not the 6th)</w:t>
            </w:r>
          </w:p>
        </w:tc>
      </w:tr>
      <w:tr w:rsidR="007B0B2B" w:rsidRPr="007B0B2B" w14:paraId="477F448C"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48EA92AC"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Toxic effects of substances nonmedicinal as to source</w:t>
            </w:r>
          </w:p>
        </w:tc>
        <w:tc>
          <w:tcPr>
            <w:tcW w:w="7740" w:type="dxa"/>
            <w:noWrap/>
            <w:hideMark/>
          </w:tcPr>
          <w:p w14:paraId="6A09B184"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T51-T65</w:t>
            </w:r>
          </w:p>
        </w:tc>
      </w:tr>
      <w:tr w:rsidR="007B0B2B" w:rsidRPr="007B0B2B" w14:paraId="2A12090D"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78757AAF"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lastRenderedPageBreak/>
              <w:t>Other and unspecified effects of external causes</w:t>
            </w:r>
          </w:p>
        </w:tc>
        <w:tc>
          <w:tcPr>
            <w:tcW w:w="7740" w:type="dxa"/>
            <w:noWrap/>
            <w:hideMark/>
          </w:tcPr>
          <w:p w14:paraId="4DF084E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T66-T76</w:t>
            </w:r>
          </w:p>
        </w:tc>
      </w:tr>
      <w:tr w:rsidR="007B0B2B" w:rsidRPr="007B0B2B" w14:paraId="7936935F"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10F205BA"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Certain early complications of trauma, not elsewhere classified</w:t>
            </w:r>
          </w:p>
        </w:tc>
        <w:tc>
          <w:tcPr>
            <w:tcW w:w="7740" w:type="dxa"/>
            <w:noWrap/>
            <w:hideMark/>
          </w:tcPr>
          <w:p w14:paraId="2FD2676B"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T79</w:t>
            </w:r>
          </w:p>
        </w:tc>
      </w:tr>
      <w:tr w:rsidR="007B0B2B" w:rsidRPr="007B0B2B" w14:paraId="63D0BE42"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3DC0A8F6"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Traumatic injuries and abuse complicating pregnancy, childbirth, and the puerperium</w:t>
            </w:r>
          </w:p>
        </w:tc>
        <w:tc>
          <w:tcPr>
            <w:tcW w:w="7740" w:type="dxa"/>
            <w:noWrap/>
            <w:hideMark/>
          </w:tcPr>
          <w:p w14:paraId="231EAC2D"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O9A.2-O9A.5</w:t>
            </w:r>
          </w:p>
        </w:tc>
      </w:tr>
      <w:tr w:rsidR="007B0B2B" w:rsidRPr="007B0B2B" w14:paraId="09211D3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hideMark/>
          </w:tcPr>
          <w:p w14:paraId="5A1FCC22"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Periprosthetic fracture around internal prosthetic joint</w:t>
            </w:r>
          </w:p>
        </w:tc>
        <w:tc>
          <w:tcPr>
            <w:tcW w:w="7740" w:type="dxa"/>
            <w:noWrap/>
            <w:hideMark/>
          </w:tcPr>
          <w:p w14:paraId="10E70C3F"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M97</w:t>
            </w:r>
          </w:p>
        </w:tc>
      </w:tr>
      <w:tr w:rsidR="007B0B2B" w:rsidRPr="007B0B2B" w14:paraId="6D9B48CC" w14:textId="77777777" w:rsidTr="00BE6E29">
        <w:trPr>
          <w:trHeight w:val="20"/>
        </w:trPr>
        <w:tc>
          <w:tcPr>
            <w:cnfStyle w:val="001000000000" w:firstRow="0" w:lastRow="0" w:firstColumn="1" w:lastColumn="0" w:oddVBand="0" w:evenVBand="0" w:oddHBand="0" w:evenHBand="0" w:firstRowFirstColumn="0" w:firstRowLastColumn="0" w:lastRowFirstColumn="0" w:lastRowLastColumn="0"/>
            <w:tcW w:w="14480" w:type="dxa"/>
            <w:gridSpan w:val="2"/>
            <w:shd w:val="clear" w:color="auto" w:fill="DBDBDB" w:themeFill="accent3" w:themeFillTint="66"/>
            <w:hideMark/>
          </w:tcPr>
          <w:p w14:paraId="2DF6BC1C" w14:textId="22136D95" w:rsidR="007B0B2B" w:rsidRPr="004B17D3" w:rsidRDefault="007B0B2B" w:rsidP="004B17D3">
            <w:pPr>
              <w:jc w:val="center"/>
              <w:rPr>
                <w:rFonts w:eastAsia="Times New Roman" w:cstheme="minorHAnsi"/>
              </w:rPr>
            </w:pPr>
            <w:r w:rsidRPr="004B17D3">
              <w:rPr>
                <w:rFonts w:eastAsia="Times New Roman" w:cstheme="minorHAnsi"/>
              </w:rPr>
              <w:t>3. Create a dataset for injury fatalities: One of the ICD-10-CM codes below in the underlying cause of death field.</w:t>
            </w:r>
          </w:p>
        </w:tc>
      </w:tr>
      <w:tr w:rsidR="007B0B2B" w:rsidRPr="007B0B2B" w14:paraId="132EE001"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vMerge w:val="restart"/>
            <w:noWrap/>
            <w:hideMark/>
          </w:tcPr>
          <w:p w14:paraId="7944B703" w14:textId="77777777" w:rsidR="007B0B2B" w:rsidRPr="004B17D3" w:rsidRDefault="007B0B2B" w:rsidP="007B0B2B">
            <w:pPr>
              <w:rPr>
                <w:rFonts w:eastAsia="Times New Roman" w:cstheme="minorHAnsi"/>
                <w:b w:val="0"/>
                <w:bCs w:val="0"/>
              </w:rPr>
            </w:pPr>
            <w:r w:rsidRPr="004B17D3">
              <w:rPr>
                <w:rFonts w:eastAsia="Times New Roman" w:cstheme="minorHAnsi"/>
                <w:b w:val="0"/>
                <w:bCs w:val="0"/>
              </w:rPr>
              <w:t>Injury and poisoning</w:t>
            </w:r>
          </w:p>
        </w:tc>
        <w:tc>
          <w:tcPr>
            <w:tcW w:w="7740" w:type="dxa"/>
            <w:noWrap/>
            <w:hideMark/>
          </w:tcPr>
          <w:p w14:paraId="5C2DE680"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V01-Y36</w:t>
            </w:r>
          </w:p>
        </w:tc>
      </w:tr>
      <w:tr w:rsidR="007B0B2B" w:rsidRPr="007B0B2B" w14:paraId="56DB7069"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08544FDF" w14:textId="77777777" w:rsidR="007B0B2B" w:rsidRPr="004B17D3" w:rsidRDefault="007B0B2B" w:rsidP="007B0B2B">
            <w:pPr>
              <w:rPr>
                <w:rFonts w:eastAsia="Times New Roman" w:cstheme="minorHAnsi"/>
                <w:b w:val="0"/>
                <w:bCs w:val="0"/>
              </w:rPr>
            </w:pPr>
          </w:p>
        </w:tc>
        <w:tc>
          <w:tcPr>
            <w:tcW w:w="7740" w:type="dxa"/>
            <w:noWrap/>
            <w:hideMark/>
          </w:tcPr>
          <w:p w14:paraId="2588D8C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Y85-Y87</w:t>
            </w:r>
          </w:p>
        </w:tc>
      </w:tr>
      <w:tr w:rsidR="007B0B2B" w:rsidRPr="007B0B2B" w14:paraId="1532DC83" w14:textId="77777777" w:rsidTr="007B0B2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3B745EB6" w14:textId="77777777" w:rsidR="007B0B2B" w:rsidRPr="004B17D3" w:rsidRDefault="007B0B2B" w:rsidP="007B0B2B">
            <w:pPr>
              <w:rPr>
                <w:rFonts w:eastAsia="Times New Roman" w:cstheme="minorHAnsi"/>
                <w:b w:val="0"/>
                <w:bCs w:val="0"/>
              </w:rPr>
            </w:pPr>
          </w:p>
        </w:tc>
        <w:tc>
          <w:tcPr>
            <w:tcW w:w="7740" w:type="dxa"/>
            <w:noWrap/>
            <w:hideMark/>
          </w:tcPr>
          <w:p w14:paraId="7A623B8A" w14:textId="77777777" w:rsidR="007B0B2B" w:rsidRPr="004B17D3" w:rsidRDefault="007B0B2B" w:rsidP="007B0B2B">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B17D3">
              <w:rPr>
                <w:rFonts w:eastAsia="Times New Roman" w:cstheme="minorHAnsi"/>
              </w:rPr>
              <w:t>Y89</w:t>
            </w:r>
          </w:p>
        </w:tc>
      </w:tr>
      <w:tr w:rsidR="007B0B2B" w:rsidRPr="007B0B2B" w14:paraId="3EE86F12" w14:textId="77777777" w:rsidTr="007B0B2B">
        <w:trPr>
          <w:trHeight w:val="20"/>
        </w:trPr>
        <w:tc>
          <w:tcPr>
            <w:cnfStyle w:val="001000000000" w:firstRow="0" w:lastRow="0" w:firstColumn="1" w:lastColumn="0" w:oddVBand="0" w:evenVBand="0" w:oddHBand="0" w:evenHBand="0" w:firstRowFirstColumn="0" w:firstRowLastColumn="0" w:lastRowFirstColumn="0" w:lastRowLastColumn="0"/>
            <w:tcW w:w="6740" w:type="dxa"/>
            <w:vMerge/>
            <w:hideMark/>
          </w:tcPr>
          <w:p w14:paraId="5B425512" w14:textId="77777777" w:rsidR="007B0B2B" w:rsidRPr="004B17D3" w:rsidRDefault="007B0B2B" w:rsidP="007B0B2B">
            <w:pPr>
              <w:rPr>
                <w:rFonts w:eastAsia="Times New Roman" w:cstheme="minorHAnsi"/>
                <w:b w:val="0"/>
                <w:bCs w:val="0"/>
              </w:rPr>
            </w:pPr>
          </w:p>
        </w:tc>
        <w:tc>
          <w:tcPr>
            <w:tcW w:w="7740" w:type="dxa"/>
            <w:noWrap/>
            <w:hideMark/>
          </w:tcPr>
          <w:p w14:paraId="1AC67852" w14:textId="77777777" w:rsidR="007B0B2B" w:rsidRPr="004B17D3" w:rsidRDefault="007B0B2B" w:rsidP="007B0B2B">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B17D3">
              <w:rPr>
                <w:rFonts w:eastAsia="Times New Roman" w:cstheme="minorHAnsi"/>
              </w:rPr>
              <w:t>U01-U03</w:t>
            </w:r>
          </w:p>
        </w:tc>
      </w:tr>
    </w:tbl>
    <w:p w14:paraId="61F0D52B" w14:textId="74ED2A55" w:rsidR="004B17D3" w:rsidRDefault="004B17D3"/>
    <w:tbl>
      <w:tblPr>
        <w:tblW w:w="14490" w:type="dxa"/>
        <w:tblInd w:w="-5" w:type="dxa"/>
        <w:tblLook w:val="04A0" w:firstRow="1" w:lastRow="0" w:firstColumn="1" w:lastColumn="0" w:noHBand="0" w:noVBand="1"/>
      </w:tblPr>
      <w:tblGrid>
        <w:gridCol w:w="2542"/>
        <w:gridCol w:w="7178"/>
        <w:gridCol w:w="4770"/>
      </w:tblGrid>
      <w:tr w:rsidR="007B0B2B" w:rsidRPr="007B0B2B" w14:paraId="618E04E0" w14:textId="77777777" w:rsidTr="00BE6E29">
        <w:trPr>
          <w:trHeight w:val="1719"/>
        </w:trPr>
        <w:tc>
          <w:tcPr>
            <w:tcW w:w="14490" w:type="dxa"/>
            <w:gridSpan w:val="3"/>
            <w:tcBorders>
              <w:top w:val="nil"/>
              <w:left w:val="single" w:sz="4" w:space="0" w:color="auto"/>
              <w:bottom w:val="single" w:sz="4" w:space="0" w:color="auto"/>
              <w:right w:val="single" w:sz="4" w:space="0" w:color="auto"/>
            </w:tcBorders>
            <w:shd w:val="clear" w:color="auto" w:fill="DBDBDB" w:themeFill="accent3" w:themeFillTint="66"/>
            <w:noWrap/>
            <w:vAlign w:val="bottom"/>
          </w:tcPr>
          <w:p w14:paraId="2B9052FE" w14:textId="77777777" w:rsidR="007B0B2B" w:rsidRPr="007B0B2B" w:rsidRDefault="007B0B2B" w:rsidP="007B0B2B">
            <w:pPr>
              <w:spacing w:line="240" w:lineRule="auto"/>
              <w:jc w:val="center"/>
              <w:rPr>
                <w:rFonts w:ascii="Calibri" w:eastAsia="Times New Roman" w:hAnsi="Calibri" w:cs="Calibri"/>
                <w:b/>
                <w:bCs/>
                <w:color w:val="000000"/>
              </w:rPr>
            </w:pPr>
            <w:r w:rsidRPr="007B0B2B">
              <w:rPr>
                <w:rFonts w:ascii="Calibri" w:eastAsia="Times New Roman" w:hAnsi="Calibri" w:cs="Calibri"/>
                <w:b/>
                <w:bCs/>
                <w:color w:val="000000"/>
              </w:rPr>
              <w:t xml:space="preserve">4. Create a dataset for unintentional child injuries by mechanism for Figure 1 - Figure 1 in this SER allows you to show ED visit, hospitalization, and/or death rates for up to 6 mechanisms of unintentional child injuries. You can choose which ICD-10-CM codes to use below to create data subsets of unintentional child injury-related ED visits, hospitalizations, and deaths by mechanism. Depending on your state/jurisdiction, you may choose different mechanisms to showcase in this SER. Below are ICD-10-CM codes for mechanisms of </w:t>
            </w:r>
            <w:proofErr w:type="gramStart"/>
            <w:r w:rsidRPr="007B0B2B">
              <w:rPr>
                <w:rFonts w:ascii="Calibri" w:eastAsia="Times New Roman" w:hAnsi="Calibri" w:cs="Calibri"/>
                <w:b/>
                <w:bCs/>
                <w:color w:val="000000"/>
              </w:rPr>
              <w:t>injury</w:t>
            </w:r>
            <w:proofErr w:type="gramEnd"/>
            <w:r w:rsidRPr="007B0B2B">
              <w:rPr>
                <w:rFonts w:ascii="Calibri" w:eastAsia="Times New Roman" w:hAnsi="Calibri" w:cs="Calibri"/>
                <w:b/>
                <w:bCs/>
                <w:color w:val="000000"/>
              </w:rPr>
              <w:t xml:space="preserve"> but you are not required to use data for all of these mechanisms.</w:t>
            </w:r>
          </w:p>
          <w:p w14:paraId="5ACC91A5" w14:textId="77777777" w:rsidR="007B0B2B" w:rsidRPr="007B0B2B" w:rsidRDefault="007B0B2B" w:rsidP="007B0B2B">
            <w:pPr>
              <w:spacing w:line="240" w:lineRule="auto"/>
              <w:jc w:val="center"/>
              <w:rPr>
                <w:rFonts w:ascii="Calibri" w:eastAsia="Times New Roman" w:hAnsi="Calibri" w:cs="Calibri"/>
                <w:b/>
                <w:bCs/>
                <w:color w:val="000000"/>
              </w:rPr>
            </w:pPr>
          </w:p>
          <w:p w14:paraId="446E966F" w14:textId="74FC49B2" w:rsidR="007B0B2B" w:rsidRPr="007B0B2B" w:rsidRDefault="007B0B2B" w:rsidP="007B0B2B">
            <w:pPr>
              <w:spacing w:line="240" w:lineRule="auto"/>
              <w:jc w:val="center"/>
              <w:rPr>
                <w:rFonts w:ascii="Calibri" w:eastAsia="Times New Roman" w:hAnsi="Calibri" w:cs="Calibri"/>
                <w:b/>
                <w:bCs/>
                <w:color w:val="9933FF"/>
              </w:rPr>
            </w:pPr>
            <w:r w:rsidRPr="007B0B2B">
              <w:rPr>
                <w:rFonts w:ascii="Calibri" w:eastAsia="Times New Roman" w:hAnsi="Calibri" w:cs="Calibri"/>
                <w:b/>
                <w:bCs/>
                <w:color w:val="9933FF"/>
              </w:rPr>
              <w:t>Mechanisms in purple text were prioritized by the Unintentional Child Injuries SER subgroup of CSTE members.</w:t>
            </w:r>
          </w:p>
        </w:tc>
      </w:tr>
      <w:tr w:rsidR="007B0B2B" w:rsidRPr="007B0B2B" w14:paraId="4C58490C" w14:textId="77777777" w:rsidTr="007B0B2B">
        <w:trPr>
          <w:trHeight w:val="20"/>
        </w:trPr>
        <w:tc>
          <w:tcPr>
            <w:tcW w:w="2542" w:type="dxa"/>
            <w:tcBorders>
              <w:top w:val="nil"/>
              <w:left w:val="single" w:sz="4" w:space="0" w:color="auto"/>
              <w:bottom w:val="single" w:sz="4" w:space="0" w:color="auto"/>
              <w:right w:val="single" w:sz="4" w:space="0" w:color="auto"/>
            </w:tcBorders>
            <w:shd w:val="clear" w:color="auto" w:fill="auto"/>
            <w:noWrap/>
            <w:vAlign w:val="bottom"/>
            <w:hideMark/>
          </w:tcPr>
          <w:p w14:paraId="585AD4E1" w14:textId="77777777" w:rsidR="007B0B2B" w:rsidRPr="007B0B2B" w:rsidRDefault="007B0B2B" w:rsidP="007B0B2B">
            <w:pPr>
              <w:spacing w:line="240" w:lineRule="auto"/>
              <w:jc w:val="center"/>
              <w:rPr>
                <w:rFonts w:ascii="Calibri" w:eastAsia="Times New Roman" w:hAnsi="Calibri" w:cs="Calibri"/>
                <w:b/>
                <w:bCs/>
                <w:color w:val="000000"/>
              </w:rPr>
            </w:pPr>
            <w:r w:rsidRPr="007B0B2B">
              <w:rPr>
                <w:rFonts w:ascii="Calibri" w:eastAsia="Times New Roman" w:hAnsi="Calibri" w:cs="Calibri"/>
                <w:b/>
                <w:bCs/>
                <w:color w:val="000000"/>
              </w:rPr>
              <w:t>Mechanism of Injury</w:t>
            </w:r>
          </w:p>
        </w:tc>
        <w:tc>
          <w:tcPr>
            <w:tcW w:w="7178" w:type="dxa"/>
            <w:tcBorders>
              <w:top w:val="nil"/>
              <w:left w:val="nil"/>
              <w:bottom w:val="single" w:sz="4" w:space="0" w:color="auto"/>
              <w:right w:val="single" w:sz="4" w:space="0" w:color="auto"/>
            </w:tcBorders>
            <w:shd w:val="clear" w:color="auto" w:fill="auto"/>
            <w:vAlign w:val="bottom"/>
            <w:hideMark/>
          </w:tcPr>
          <w:p w14:paraId="2FA59906" w14:textId="77777777" w:rsidR="007B0B2B" w:rsidRPr="007B0B2B" w:rsidRDefault="007B0B2B" w:rsidP="007B0B2B">
            <w:pPr>
              <w:spacing w:line="240" w:lineRule="auto"/>
              <w:jc w:val="center"/>
              <w:rPr>
                <w:rFonts w:ascii="Calibri" w:eastAsia="Times New Roman" w:hAnsi="Calibri" w:cs="Calibri"/>
                <w:b/>
                <w:bCs/>
              </w:rPr>
            </w:pPr>
            <w:r w:rsidRPr="007B0B2B">
              <w:rPr>
                <w:rFonts w:ascii="Calibri" w:eastAsia="Times New Roman" w:hAnsi="Calibri" w:cs="Calibri"/>
                <w:b/>
                <w:bCs/>
              </w:rPr>
              <w:t>ICD-10-CM Codes for Unintentional Injury (Only include cases if the 7th character of the code is A or missing [reflects initial encounter, active treatment])</w:t>
            </w:r>
          </w:p>
        </w:tc>
        <w:tc>
          <w:tcPr>
            <w:tcW w:w="4770" w:type="dxa"/>
            <w:tcBorders>
              <w:top w:val="nil"/>
              <w:left w:val="nil"/>
              <w:bottom w:val="single" w:sz="4" w:space="0" w:color="auto"/>
              <w:right w:val="single" w:sz="4" w:space="0" w:color="auto"/>
            </w:tcBorders>
            <w:shd w:val="clear" w:color="000000" w:fill="FABF8F"/>
            <w:vAlign w:val="bottom"/>
            <w:hideMark/>
          </w:tcPr>
          <w:p w14:paraId="7EEC5A7C" w14:textId="77777777" w:rsidR="007B0B2B" w:rsidRPr="007B0B2B" w:rsidRDefault="007B0B2B" w:rsidP="007B0B2B">
            <w:pPr>
              <w:spacing w:line="240" w:lineRule="auto"/>
              <w:jc w:val="center"/>
              <w:rPr>
                <w:rFonts w:ascii="Calibri" w:eastAsia="Times New Roman" w:hAnsi="Calibri" w:cs="Calibri"/>
                <w:b/>
                <w:bCs/>
                <w:color w:val="000000"/>
              </w:rPr>
            </w:pPr>
            <w:r w:rsidRPr="007B0B2B">
              <w:rPr>
                <w:rFonts w:ascii="Calibri" w:eastAsia="Times New Roman" w:hAnsi="Calibri" w:cs="Calibri"/>
                <w:b/>
                <w:bCs/>
                <w:color w:val="000000"/>
              </w:rPr>
              <w:t>ICD-10 (Mortality) Codes for Unintentional Injury Deaths</w:t>
            </w:r>
          </w:p>
        </w:tc>
      </w:tr>
      <w:tr w:rsidR="007B0B2B" w:rsidRPr="007B0B2B" w14:paraId="23777AC0" w14:textId="77777777" w:rsidTr="007B0B2B">
        <w:trPr>
          <w:trHeight w:val="20"/>
        </w:trPr>
        <w:tc>
          <w:tcPr>
            <w:tcW w:w="2542" w:type="dxa"/>
            <w:tcBorders>
              <w:top w:val="nil"/>
              <w:left w:val="single" w:sz="4" w:space="0" w:color="auto"/>
              <w:bottom w:val="nil"/>
              <w:right w:val="single" w:sz="4" w:space="0" w:color="auto"/>
            </w:tcBorders>
            <w:shd w:val="clear" w:color="auto" w:fill="auto"/>
            <w:vAlign w:val="bottom"/>
            <w:hideMark/>
          </w:tcPr>
          <w:p w14:paraId="71F730E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All mechanisms of unintentional injury</w:t>
            </w:r>
          </w:p>
        </w:tc>
        <w:tc>
          <w:tcPr>
            <w:tcW w:w="7178" w:type="dxa"/>
            <w:tcBorders>
              <w:top w:val="nil"/>
              <w:left w:val="nil"/>
              <w:bottom w:val="nil"/>
              <w:right w:val="single" w:sz="4" w:space="0" w:color="auto"/>
            </w:tcBorders>
            <w:shd w:val="clear" w:color="auto" w:fill="auto"/>
            <w:vAlign w:val="bottom"/>
            <w:hideMark/>
          </w:tcPr>
          <w:p w14:paraId="331B8B5F"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T15–T19, [T36–T65, T71] (with 6th character = 1), [T36.9, T37.9, T39.9, T41.4, T42.7, T43.9, T45.9, T47.9, T49.9, T51.9, T52.9, T53.9, T54.9, T56.9, T57.9, T58.0, T58.1, T58.9, T59.9, T60.9, T61.0, T61.1, T61.9, T62.9, T63.9, T64, T65.9] (with 5th character = 1), T71.20, T71.21, T71.29, T71.9, T73, T75.0, T75.2–T75.4, V00–V99, W00–W99, X00–X58</w:t>
            </w:r>
          </w:p>
        </w:tc>
        <w:tc>
          <w:tcPr>
            <w:tcW w:w="4770" w:type="dxa"/>
            <w:tcBorders>
              <w:top w:val="nil"/>
              <w:left w:val="nil"/>
              <w:bottom w:val="single" w:sz="12" w:space="0" w:color="auto"/>
              <w:right w:val="single" w:sz="4" w:space="0" w:color="auto"/>
            </w:tcBorders>
            <w:shd w:val="clear" w:color="000000" w:fill="FDE9D9"/>
            <w:noWrap/>
            <w:vAlign w:val="bottom"/>
            <w:hideMark/>
          </w:tcPr>
          <w:p w14:paraId="42BE8EC2"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V01–X59, Y85–Y86</w:t>
            </w:r>
          </w:p>
        </w:tc>
      </w:tr>
      <w:tr w:rsidR="007B0B2B" w:rsidRPr="007B0B2B" w14:paraId="177F5190" w14:textId="77777777" w:rsidTr="007B0B2B">
        <w:trPr>
          <w:trHeight w:val="20"/>
        </w:trPr>
        <w:tc>
          <w:tcPr>
            <w:tcW w:w="2542" w:type="dxa"/>
            <w:tcBorders>
              <w:top w:val="single" w:sz="12" w:space="0" w:color="auto"/>
              <w:left w:val="single" w:sz="4" w:space="0" w:color="auto"/>
              <w:bottom w:val="single" w:sz="12" w:space="0" w:color="auto"/>
              <w:right w:val="single" w:sz="4" w:space="0" w:color="auto"/>
            </w:tcBorders>
            <w:shd w:val="clear" w:color="auto" w:fill="auto"/>
            <w:noWrap/>
            <w:vAlign w:val="bottom"/>
            <w:hideMark/>
          </w:tcPr>
          <w:p w14:paraId="39ACDC2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Cut/pierce</w:t>
            </w:r>
          </w:p>
        </w:tc>
        <w:tc>
          <w:tcPr>
            <w:tcW w:w="7178" w:type="dxa"/>
            <w:tcBorders>
              <w:top w:val="single" w:sz="12" w:space="0" w:color="auto"/>
              <w:left w:val="nil"/>
              <w:bottom w:val="single" w:sz="12" w:space="0" w:color="auto"/>
              <w:right w:val="single" w:sz="4" w:space="0" w:color="auto"/>
            </w:tcBorders>
            <w:shd w:val="clear" w:color="auto" w:fill="auto"/>
            <w:vAlign w:val="bottom"/>
            <w:hideMark/>
          </w:tcPr>
          <w:p w14:paraId="3786E48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W25–W29, W45, W46</w:t>
            </w:r>
          </w:p>
        </w:tc>
        <w:tc>
          <w:tcPr>
            <w:tcW w:w="4770" w:type="dxa"/>
            <w:tcBorders>
              <w:top w:val="nil"/>
              <w:left w:val="nil"/>
              <w:bottom w:val="single" w:sz="12" w:space="0" w:color="auto"/>
              <w:right w:val="single" w:sz="4" w:space="0" w:color="auto"/>
            </w:tcBorders>
            <w:shd w:val="clear" w:color="000000" w:fill="FDE9D9"/>
            <w:noWrap/>
            <w:vAlign w:val="bottom"/>
            <w:hideMark/>
          </w:tcPr>
          <w:p w14:paraId="4CF96AB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W25–W29, W45, W46</w:t>
            </w:r>
          </w:p>
        </w:tc>
      </w:tr>
      <w:tr w:rsidR="007B0B2B" w:rsidRPr="007B0B2B" w14:paraId="12AA67DD"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0A68B072"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Drowning/submersion</w:t>
            </w:r>
          </w:p>
        </w:tc>
        <w:tc>
          <w:tcPr>
            <w:tcW w:w="7178" w:type="dxa"/>
            <w:tcBorders>
              <w:top w:val="nil"/>
              <w:left w:val="nil"/>
              <w:bottom w:val="single" w:sz="12" w:space="0" w:color="auto"/>
              <w:right w:val="single" w:sz="4" w:space="0" w:color="auto"/>
            </w:tcBorders>
            <w:shd w:val="clear" w:color="auto" w:fill="auto"/>
            <w:vAlign w:val="bottom"/>
            <w:hideMark/>
          </w:tcPr>
          <w:p w14:paraId="6D45C28E"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V90†, V92†, [W16] (with 6th character = 1), W16.41, W16.91, W22.041, W65–W74</w:t>
            </w:r>
          </w:p>
        </w:tc>
        <w:tc>
          <w:tcPr>
            <w:tcW w:w="4770" w:type="dxa"/>
            <w:tcBorders>
              <w:top w:val="nil"/>
              <w:left w:val="nil"/>
              <w:bottom w:val="single" w:sz="12" w:space="0" w:color="auto"/>
              <w:right w:val="single" w:sz="4" w:space="0" w:color="auto"/>
            </w:tcBorders>
            <w:shd w:val="clear" w:color="000000" w:fill="FDE9D9"/>
            <w:vAlign w:val="bottom"/>
            <w:hideMark/>
          </w:tcPr>
          <w:p w14:paraId="2845A3D2"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W65–W74, V90, V92 (Drowning/submersion related to watercrafts moved from other transport.)</w:t>
            </w:r>
          </w:p>
        </w:tc>
      </w:tr>
      <w:tr w:rsidR="007B0B2B" w:rsidRPr="007B0B2B" w14:paraId="486501CE"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2E5F4215"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Fall</w:t>
            </w:r>
          </w:p>
        </w:tc>
        <w:tc>
          <w:tcPr>
            <w:tcW w:w="7178" w:type="dxa"/>
            <w:tcBorders>
              <w:top w:val="nil"/>
              <w:left w:val="nil"/>
              <w:bottom w:val="single" w:sz="12" w:space="0" w:color="auto"/>
              <w:right w:val="single" w:sz="4" w:space="0" w:color="auto"/>
            </w:tcBorders>
            <w:shd w:val="clear" w:color="auto" w:fill="auto"/>
            <w:vAlign w:val="bottom"/>
            <w:hideMark/>
          </w:tcPr>
          <w:p w14:paraId="1776ED55" w14:textId="77777777" w:rsidR="007B0B2B" w:rsidRPr="007B0B2B" w:rsidRDefault="007B0B2B" w:rsidP="007B0B2B">
            <w:pPr>
              <w:spacing w:line="240" w:lineRule="auto"/>
              <w:jc w:val="center"/>
              <w:rPr>
                <w:rFonts w:ascii="Calibri" w:eastAsia="Times New Roman" w:hAnsi="Calibri" w:cs="Calibri"/>
              </w:rPr>
            </w:pPr>
            <w:r w:rsidRPr="007B0B2B">
              <w:rPr>
                <w:rFonts w:ascii="Calibri" w:eastAsia="Times New Roman" w:hAnsi="Calibri" w:cs="Calibri"/>
              </w:rPr>
              <w:t>[V00.1-V00.8] (with 6th character = 1), W00–W15, [W16] (with 6th character = 2), W16.42, W16.92, W17, W18.1–W18.3, W19</w:t>
            </w:r>
          </w:p>
        </w:tc>
        <w:tc>
          <w:tcPr>
            <w:tcW w:w="4770" w:type="dxa"/>
            <w:tcBorders>
              <w:top w:val="nil"/>
              <w:left w:val="nil"/>
              <w:bottom w:val="single" w:sz="12" w:space="0" w:color="auto"/>
              <w:right w:val="single" w:sz="4" w:space="0" w:color="auto"/>
            </w:tcBorders>
            <w:shd w:val="clear" w:color="000000" w:fill="FDE9D9"/>
            <w:noWrap/>
            <w:vAlign w:val="bottom"/>
            <w:hideMark/>
          </w:tcPr>
          <w:p w14:paraId="487B9737"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W00–W19</w:t>
            </w:r>
          </w:p>
        </w:tc>
      </w:tr>
      <w:tr w:rsidR="007B0B2B" w:rsidRPr="007B0B2B" w14:paraId="79594BF0"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66031A18" w14:textId="77777777" w:rsidR="007B0B2B" w:rsidRPr="007B0B2B" w:rsidRDefault="007B0B2B" w:rsidP="007B0B2B">
            <w:pPr>
              <w:spacing w:line="240" w:lineRule="auto"/>
              <w:jc w:val="center"/>
              <w:rPr>
                <w:rFonts w:ascii="Calibri" w:eastAsia="Times New Roman" w:hAnsi="Calibri" w:cs="Calibri"/>
                <w:b/>
                <w:bCs/>
                <w:color w:val="7030A0"/>
              </w:rPr>
            </w:pPr>
            <w:r w:rsidRPr="007B0B2B">
              <w:rPr>
                <w:rFonts w:ascii="Calibri" w:eastAsia="Times New Roman" w:hAnsi="Calibri" w:cs="Calibri"/>
                <w:b/>
                <w:bCs/>
                <w:color w:val="7030A0"/>
              </w:rPr>
              <w:t>Fire/burn (Total)</w:t>
            </w:r>
          </w:p>
        </w:tc>
        <w:tc>
          <w:tcPr>
            <w:tcW w:w="7178" w:type="dxa"/>
            <w:tcBorders>
              <w:top w:val="nil"/>
              <w:left w:val="nil"/>
              <w:bottom w:val="single" w:sz="4" w:space="0" w:color="auto"/>
              <w:right w:val="single" w:sz="4" w:space="0" w:color="auto"/>
            </w:tcBorders>
            <w:shd w:val="clear" w:color="auto" w:fill="auto"/>
            <w:vAlign w:val="bottom"/>
            <w:hideMark/>
          </w:tcPr>
          <w:p w14:paraId="200CF7E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T54.1X1, T54.2X1, T54.3X1, T54.91, X00–X19</w:t>
            </w:r>
          </w:p>
        </w:tc>
        <w:tc>
          <w:tcPr>
            <w:tcW w:w="4770" w:type="dxa"/>
            <w:tcBorders>
              <w:top w:val="nil"/>
              <w:left w:val="nil"/>
              <w:bottom w:val="single" w:sz="4" w:space="0" w:color="auto"/>
              <w:right w:val="single" w:sz="4" w:space="0" w:color="auto"/>
            </w:tcBorders>
            <w:shd w:val="clear" w:color="000000" w:fill="FDE9D9"/>
            <w:noWrap/>
            <w:vAlign w:val="bottom"/>
            <w:hideMark/>
          </w:tcPr>
          <w:p w14:paraId="2C8EB242"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X00–X19</w:t>
            </w:r>
          </w:p>
        </w:tc>
      </w:tr>
      <w:tr w:rsidR="007B0B2B" w:rsidRPr="007B0B2B" w14:paraId="608DE5B6"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71C33EB4"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Fire/flame</w:t>
            </w:r>
          </w:p>
        </w:tc>
        <w:tc>
          <w:tcPr>
            <w:tcW w:w="7178" w:type="dxa"/>
            <w:tcBorders>
              <w:top w:val="nil"/>
              <w:left w:val="nil"/>
              <w:bottom w:val="single" w:sz="4" w:space="0" w:color="auto"/>
              <w:right w:val="single" w:sz="4" w:space="0" w:color="auto"/>
            </w:tcBorders>
            <w:shd w:val="clear" w:color="auto" w:fill="auto"/>
            <w:vAlign w:val="bottom"/>
            <w:hideMark/>
          </w:tcPr>
          <w:p w14:paraId="6A497DCB"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X00–X08</w:t>
            </w:r>
          </w:p>
        </w:tc>
        <w:tc>
          <w:tcPr>
            <w:tcW w:w="4770" w:type="dxa"/>
            <w:tcBorders>
              <w:top w:val="nil"/>
              <w:left w:val="nil"/>
              <w:bottom w:val="single" w:sz="4" w:space="0" w:color="auto"/>
              <w:right w:val="single" w:sz="4" w:space="0" w:color="auto"/>
            </w:tcBorders>
            <w:shd w:val="clear" w:color="000000" w:fill="FDE9D9"/>
            <w:vAlign w:val="bottom"/>
            <w:hideMark/>
          </w:tcPr>
          <w:p w14:paraId="206BBF12"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X00–X09</w:t>
            </w:r>
          </w:p>
        </w:tc>
      </w:tr>
      <w:tr w:rsidR="007B0B2B" w:rsidRPr="007B0B2B" w14:paraId="6D183D49"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3EB25E98"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Hot object/substance</w:t>
            </w:r>
          </w:p>
        </w:tc>
        <w:tc>
          <w:tcPr>
            <w:tcW w:w="7178" w:type="dxa"/>
            <w:tcBorders>
              <w:top w:val="nil"/>
              <w:left w:val="nil"/>
              <w:bottom w:val="single" w:sz="12" w:space="0" w:color="auto"/>
              <w:right w:val="single" w:sz="4" w:space="0" w:color="auto"/>
            </w:tcBorders>
            <w:shd w:val="clear" w:color="auto" w:fill="auto"/>
            <w:vAlign w:val="bottom"/>
            <w:hideMark/>
          </w:tcPr>
          <w:p w14:paraId="5BE3C12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T54.1X1, T54.2X1, T54.3X1, T54.91, X10–X19</w:t>
            </w:r>
          </w:p>
        </w:tc>
        <w:tc>
          <w:tcPr>
            <w:tcW w:w="4770" w:type="dxa"/>
            <w:tcBorders>
              <w:top w:val="nil"/>
              <w:left w:val="nil"/>
              <w:bottom w:val="nil"/>
              <w:right w:val="single" w:sz="4" w:space="0" w:color="auto"/>
            </w:tcBorders>
            <w:shd w:val="clear" w:color="000000" w:fill="FDE9D9"/>
            <w:noWrap/>
            <w:vAlign w:val="bottom"/>
            <w:hideMark/>
          </w:tcPr>
          <w:p w14:paraId="4B75465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X10–X19</w:t>
            </w:r>
          </w:p>
        </w:tc>
      </w:tr>
      <w:tr w:rsidR="007B0B2B" w:rsidRPr="007B0B2B" w14:paraId="0877C667"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55F416E0"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Firearm</w:t>
            </w:r>
          </w:p>
        </w:tc>
        <w:tc>
          <w:tcPr>
            <w:tcW w:w="7178" w:type="dxa"/>
            <w:tcBorders>
              <w:top w:val="nil"/>
              <w:left w:val="nil"/>
              <w:bottom w:val="single" w:sz="12" w:space="0" w:color="auto"/>
              <w:right w:val="single" w:sz="4" w:space="0" w:color="auto"/>
            </w:tcBorders>
            <w:shd w:val="clear" w:color="auto" w:fill="auto"/>
            <w:vAlign w:val="bottom"/>
            <w:hideMark/>
          </w:tcPr>
          <w:p w14:paraId="101E64DF"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W32, W33, W34.00, W34.09, W34.10, W34.19</w:t>
            </w:r>
          </w:p>
        </w:tc>
        <w:tc>
          <w:tcPr>
            <w:tcW w:w="4770" w:type="dxa"/>
            <w:tcBorders>
              <w:top w:val="single" w:sz="12" w:space="0" w:color="auto"/>
              <w:left w:val="nil"/>
              <w:bottom w:val="single" w:sz="12" w:space="0" w:color="auto"/>
              <w:right w:val="single" w:sz="4" w:space="0" w:color="auto"/>
            </w:tcBorders>
            <w:shd w:val="clear" w:color="000000" w:fill="FDE9D9"/>
            <w:noWrap/>
            <w:vAlign w:val="bottom"/>
            <w:hideMark/>
          </w:tcPr>
          <w:p w14:paraId="79107C2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W32–W34</w:t>
            </w:r>
          </w:p>
        </w:tc>
      </w:tr>
      <w:tr w:rsidR="007B0B2B" w:rsidRPr="007B0B2B" w14:paraId="127985AE"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760315FC"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Machinery</w:t>
            </w:r>
          </w:p>
        </w:tc>
        <w:tc>
          <w:tcPr>
            <w:tcW w:w="7178" w:type="dxa"/>
            <w:tcBorders>
              <w:top w:val="nil"/>
              <w:left w:val="nil"/>
              <w:bottom w:val="single" w:sz="12" w:space="0" w:color="auto"/>
              <w:right w:val="single" w:sz="4" w:space="0" w:color="auto"/>
            </w:tcBorders>
            <w:shd w:val="clear" w:color="auto" w:fill="auto"/>
            <w:vAlign w:val="bottom"/>
            <w:hideMark/>
          </w:tcPr>
          <w:p w14:paraId="6F6F6A11"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W24, W30, W31</w:t>
            </w:r>
          </w:p>
        </w:tc>
        <w:tc>
          <w:tcPr>
            <w:tcW w:w="4770" w:type="dxa"/>
            <w:tcBorders>
              <w:top w:val="nil"/>
              <w:left w:val="nil"/>
              <w:bottom w:val="single" w:sz="12" w:space="0" w:color="auto"/>
              <w:right w:val="single" w:sz="4" w:space="0" w:color="auto"/>
            </w:tcBorders>
            <w:shd w:val="clear" w:color="000000" w:fill="FDE9D9"/>
            <w:noWrap/>
            <w:vAlign w:val="bottom"/>
            <w:hideMark/>
          </w:tcPr>
          <w:p w14:paraId="2045026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W24, W30–W31</w:t>
            </w:r>
          </w:p>
        </w:tc>
      </w:tr>
      <w:tr w:rsidR="007B0B2B" w:rsidRPr="007B0B2B" w14:paraId="217E8725" w14:textId="77777777" w:rsidTr="007B0B2B">
        <w:trPr>
          <w:trHeight w:val="20"/>
        </w:trPr>
        <w:tc>
          <w:tcPr>
            <w:tcW w:w="2542" w:type="dxa"/>
            <w:tcBorders>
              <w:top w:val="nil"/>
              <w:left w:val="single" w:sz="4" w:space="0" w:color="auto"/>
              <w:bottom w:val="single" w:sz="12" w:space="0" w:color="auto"/>
              <w:right w:val="single" w:sz="4" w:space="0" w:color="auto"/>
            </w:tcBorders>
            <w:shd w:val="clear" w:color="auto" w:fill="auto"/>
            <w:noWrap/>
            <w:vAlign w:val="bottom"/>
            <w:hideMark/>
          </w:tcPr>
          <w:p w14:paraId="5B0A256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lastRenderedPageBreak/>
              <w:t>All transportation</w:t>
            </w:r>
          </w:p>
        </w:tc>
        <w:tc>
          <w:tcPr>
            <w:tcW w:w="7178" w:type="dxa"/>
            <w:tcBorders>
              <w:top w:val="nil"/>
              <w:left w:val="nil"/>
              <w:bottom w:val="single" w:sz="12" w:space="0" w:color="auto"/>
              <w:right w:val="single" w:sz="4" w:space="0" w:color="auto"/>
            </w:tcBorders>
            <w:shd w:val="clear" w:color="auto" w:fill="auto"/>
            <w:vAlign w:val="bottom"/>
            <w:hideMark/>
          </w:tcPr>
          <w:p w14:paraId="2F4994F2"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V01–V89, V91, V93–V99</w:t>
            </w:r>
          </w:p>
        </w:tc>
        <w:tc>
          <w:tcPr>
            <w:tcW w:w="4770" w:type="dxa"/>
            <w:tcBorders>
              <w:top w:val="nil"/>
              <w:left w:val="nil"/>
              <w:bottom w:val="single" w:sz="12" w:space="0" w:color="auto"/>
              <w:right w:val="single" w:sz="4" w:space="0" w:color="auto"/>
            </w:tcBorders>
            <w:shd w:val="clear" w:color="000000" w:fill="FDE9D9"/>
            <w:vAlign w:val="bottom"/>
            <w:hideMark/>
          </w:tcPr>
          <w:p w14:paraId="34E3C80E" w14:textId="77777777" w:rsidR="007B0B2B" w:rsidRPr="007B0B2B" w:rsidRDefault="007B0B2B" w:rsidP="007B0B2B">
            <w:pPr>
              <w:spacing w:line="240" w:lineRule="auto"/>
              <w:jc w:val="center"/>
              <w:rPr>
                <w:rFonts w:ascii="Calibri" w:eastAsia="Times New Roman" w:hAnsi="Calibri" w:cs="Calibri"/>
              </w:rPr>
            </w:pPr>
            <w:r w:rsidRPr="007B0B2B">
              <w:rPr>
                <w:rFonts w:ascii="Calibri" w:eastAsia="Times New Roman" w:hAnsi="Calibri" w:cs="Calibri"/>
              </w:rPr>
              <w:t>V01-V89, V91, V93-V99</w:t>
            </w:r>
          </w:p>
        </w:tc>
      </w:tr>
      <w:tr w:rsidR="007B0B2B" w:rsidRPr="007B0B2B" w14:paraId="1F480BC6"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vAlign w:val="bottom"/>
            <w:hideMark/>
          </w:tcPr>
          <w:p w14:paraId="0E1369EA" w14:textId="77777777" w:rsidR="007B0B2B" w:rsidRPr="007B0B2B" w:rsidRDefault="007B0B2B" w:rsidP="007B0B2B">
            <w:pPr>
              <w:spacing w:line="240" w:lineRule="auto"/>
              <w:jc w:val="center"/>
              <w:rPr>
                <w:rFonts w:ascii="Calibri" w:eastAsia="Times New Roman" w:hAnsi="Calibri" w:cs="Calibri"/>
                <w:b/>
                <w:bCs/>
                <w:color w:val="7030A0"/>
              </w:rPr>
            </w:pPr>
            <w:r w:rsidRPr="007B0B2B">
              <w:rPr>
                <w:rFonts w:ascii="Calibri" w:eastAsia="Times New Roman" w:hAnsi="Calibri" w:cs="Calibri"/>
                <w:b/>
                <w:bCs/>
                <w:color w:val="7030A0"/>
              </w:rPr>
              <w:t>Motor vehicle–Traffic (MVT) Total</w:t>
            </w:r>
          </w:p>
        </w:tc>
        <w:tc>
          <w:tcPr>
            <w:tcW w:w="7178" w:type="dxa"/>
            <w:tcBorders>
              <w:top w:val="nil"/>
              <w:left w:val="nil"/>
              <w:bottom w:val="single" w:sz="4" w:space="0" w:color="auto"/>
              <w:right w:val="single" w:sz="4" w:space="0" w:color="auto"/>
            </w:tcBorders>
            <w:shd w:val="clear" w:color="auto" w:fill="auto"/>
            <w:vAlign w:val="bottom"/>
            <w:hideMark/>
          </w:tcPr>
          <w:p w14:paraId="19D2F6D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[V02–V04] (with 4th character = 1, 9), V09.2, V09.3, [V12–V14] (with 4th character = 3, 4, 5, 9), V19.4–V19.6, V19.9, [V20–V28] (with 4th character = 3, 4, 5, 9), V29.4–V29.9, [V30–V79] (with 4th character = 4, 5, 6, 7, 8, 9), [V83–V86] (with 4th character = 0, 1, 2, 3), V80.3–V80.5, V81.1, V82.1, V87.0–V87.8, V89.2</w:t>
            </w:r>
          </w:p>
        </w:tc>
        <w:tc>
          <w:tcPr>
            <w:tcW w:w="4770" w:type="dxa"/>
            <w:tcBorders>
              <w:top w:val="nil"/>
              <w:left w:val="nil"/>
              <w:bottom w:val="single" w:sz="4" w:space="0" w:color="auto"/>
              <w:right w:val="single" w:sz="4" w:space="0" w:color="auto"/>
            </w:tcBorders>
            <w:shd w:val="clear" w:color="000000" w:fill="FDE9D9"/>
            <w:vAlign w:val="bottom"/>
            <w:hideMark/>
          </w:tcPr>
          <w:p w14:paraId="4D53B4B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[V02–V04](.1,.9), V09.2, [V12–V14](.3–.9), V19(.4–.6), [V20–V28](.3–.9),[ V29–V79](.4–.9), V80(.3–.5), V81.1, V82.1, [V83–V86](.0–.3), V87(.0–.8), V89.2</w:t>
            </w:r>
          </w:p>
        </w:tc>
      </w:tr>
      <w:tr w:rsidR="007B0B2B" w:rsidRPr="007B0B2B" w14:paraId="40FA30D9"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29F86F1E"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MVT–Occupant</w:t>
            </w:r>
          </w:p>
        </w:tc>
        <w:tc>
          <w:tcPr>
            <w:tcW w:w="7178" w:type="dxa"/>
            <w:tcBorders>
              <w:top w:val="nil"/>
              <w:left w:val="nil"/>
              <w:bottom w:val="single" w:sz="4" w:space="0" w:color="auto"/>
              <w:right w:val="single" w:sz="4" w:space="0" w:color="auto"/>
            </w:tcBorders>
            <w:shd w:val="clear" w:color="auto" w:fill="auto"/>
            <w:vAlign w:val="bottom"/>
            <w:hideMark/>
          </w:tcPr>
          <w:p w14:paraId="3ACB909D"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[V30–V79] (with 4th character = 4, 5, 6, 7, 8, 9), [V83–V86] (with 4th character = 0, 1, 2, 3), V87.0–V87.8, V89.2</w:t>
            </w:r>
          </w:p>
        </w:tc>
        <w:tc>
          <w:tcPr>
            <w:tcW w:w="4770" w:type="dxa"/>
            <w:tcBorders>
              <w:top w:val="nil"/>
              <w:left w:val="nil"/>
              <w:bottom w:val="single" w:sz="4" w:space="0" w:color="auto"/>
              <w:right w:val="single" w:sz="4" w:space="0" w:color="auto"/>
            </w:tcBorders>
            <w:shd w:val="clear" w:color="000000" w:fill="FDE9D9"/>
            <w:vAlign w:val="bottom"/>
            <w:hideMark/>
          </w:tcPr>
          <w:p w14:paraId="2E77B22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[V30–V79](.4–.9), [V83–V86](.0–.3), V87(.0–.8), V89.2</w:t>
            </w:r>
            <w:r w:rsidRPr="007B0B2B">
              <w:rPr>
                <w:rFonts w:ascii="Calibri" w:eastAsia="Times New Roman" w:hAnsi="Calibri" w:cs="Calibri"/>
                <w:color w:val="000000"/>
              </w:rPr>
              <w:br/>
            </w:r>
            <w:r w:rsidRPr="007B0B2B">
              <w:rPr>
                <w:rFonts w:ascii="Calibri" w:eastAsia="Times New Roman" w:hAnsi="Calibri" w:cs="Calibri"/>
                <w:color w:val="000000"/>
              </w:rPr>
              <w:br/>
              <w:t>These are codes for the MVT-Unspecified category and Occupant category</w:t>
            </w:r>
          </w:p>
        </w:tc>
      </w:tr>
      <w:tr w:rsidR="007B0B2B" w:rsidRPr="007B0B2B" w14:paraId="2F19A5CA"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5930D4E4"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MVT–Motorcyclist</w:t>
            </w:r>
          </w:p>
        </w:tc>
        <w:tc>
          <w:tcPr>
            <w:tcW w:w="7178" w:type="dxa"/>
            <w:tcBorders>
              <w:top w:val="nil"/>
              <w:left w:val="nil"/>
              <w:bottom w:val="single" w:sz="4" w:space="0" w:color="auto"/>
              <w:right w:val="single" w:sz="4" w:space="0" w:color="auto"/>
            </w:tcBorders>
            <w:shd w:val="clear" w:color="auto" w:fill="auto"/>
            <w:vAlign w:val="bottom"/>
            <w:hideMark/>
          </w:tcPr>
          <w:p w14:paraId="4164036C"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[V20–V28] (with 4th character = 3, 4, 5, 9), V29.4–V29.9</w:t>
            </w:r>
          </w:p>
        </w:tc>
        <w:tc>
          <w:tcPr>
            <w:tcW w:w="4770" w:type="dxa"/>
            <w:tcBorders>
              <w:top w:val="nil"/>
              <w:left w:val="nil"/>
              <w:bottom w:val="single" w:sz="4" w:space="0" w:color="auto"/>
              <w:right w:val="single" w:sz="4" w:space="0" w:color="auto"/>
            </w:tcBorders>
            <w:shd w:val="clear" w:color="000000" w:fill="FDE9D9"/>
            <w:noWrap/>
            <w:vAlign w:val="bottom"/>
            <w:hideMark/>
          </w:tcPr>
          <w:p w14:paraId="34E422D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[V20–V28](.3–.9), V29(.4–.9)</w:t>
            </w:r>
          </w:p>
        </w:tc>
      </w:tr>
      <w:tr w:rsidR="007B0B2B" w:rsidRPr="007B0B2B" w14:paraId="72CD4621"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05FA10C0"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MVT–Pedal cyclist</w:t>
            </w:r>
          </w:p>
        </w:tc>
        <w:tc>
          <w:tcPr>
            <w:tcW w:w="7178" w:type="dxa"/>
            <w:tcBorders>
              <w:top w:val="nil"/>
              <w:left w:val="nil"/>
              <w:bottom w:val="single" w:sz="4" w:space="0" w:color="auto"/>
              <w:right w:val="single" w:sz="4" w:space="0" w:color="auto"/>
            </w:tcBorders>
            <w:shd w:val="clear" w:color="auto" w:fill="auto"/>
            <w:vAlign w:val="bottom"/>
            <w:hideMark/>
          </w:tcPr>
          <w:p w14:paraId="65614B7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[V12–V14] (with 4th character = 3, 4, 5, 9), V19.4–V19.6, V19.9†</w:t>
            </w:r>
          </w:p>
        </w:tc>
        <w:tc>
          <w:tcPr>
            <w:tcW w:w="4770" w:type="dxa"/>
            <w:tcBorders>
              <w:top w:val="nil"/>
              <w:left w:val="nil"/>
              <w:bottom w:val="single" w:sz="4" w:space="0" w:color="auto"/>
              <w:right w:val="single" w:sz="4" w:space="0" w:color="auto"/>
            </w:tcBorders>
            <w:shd w:val="clear" w:color="000000" w:fill="FDE9D9"/>
            <w:noWrap/>
            <w:vAlign w:val="bottom"/>
            <w:hideMark/>
          </w:tcPr>
          <w:p w14:paraId="609943DC"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[V12–V14](.3–.9), V19(.4–.6)</w:t>
            </w:r>
          </w:p>
        </w:tc>
      </w:tr>
      <w:tr w:rsidR="007B0B2B" w:rsidRPr="007B0B2B" w14:paraId="29EFA754"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48085FD1"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MVT–Pedestrian</w:t>
            </w:r>
          </w:p>
        </w:tc>
        <w:tc>
          <w:tcPr>
            <w:tcW w:w="7178" w:type="dxa"/>
            <w:tcBorders>
              <w:top w:val="nil"/>
              <w:left w:val="nil"/>
              <w:bottom w:val="single" w:sz="4" w:space="0" w:color="auto"/>
              <w:right w:val="single" w:sz="4" w:space="0" w:color="auto"/>
            </w:tcBorders>
            <w:shd w:val="clear" w:color="auto" w:fill="auto"/>
            <w:vAlign w:val="bottom"/>
            <w:hideMark/>
          </w:tcPr>
          <w:p w14:paraId="0450AA4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[V02–V04] (with 4th character = 1, 9), V09.2, V09.3†</w:t>
            </w:r>
          </w:p>
        </w:tc>
        <w:tc>
          <w:tcPr>
            <w:tcW w:w="4770" w:type="dxa"/>
            <w:tcBorders>
              <w:top w:val="nil"/>
              <w:left w:val="nil"/>
              <w:bottom w:val="single" w:sz="4" w:space="0" w:color="auto"/>
              <w:right w:val="single" w:sz="4" w:space="0" w:color="auto"/>
            </w:tcBorders>
            <w:shd w:val="clear" w:color="000000" w:fill="FDE9D9"/>
            <w:noWrap/>
            <w:vAlign w:val="bottom"/>
            <w:hideMark/>
          </w:tcPr>
          <w:p w14:paraId="25A0EEA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[V02–V04](.1,.9), V09.2</w:t>
            </w:r>
          </w:p>
        </w:tc>
      </w:tr>
      <w:tr w:rsidR="007B0B2B" w:rsidRPr="007B0B2B" w14:paraId="48AA501E"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69F2F943"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MVT–Other</w:t>
            </w:r>
          </w:p>
        </w:tc>
        <w:tc>
          <w:tcPr>
            <w:tcW w:w="7178" w:type="dxa"/>
            <w:tcBorders>
              <w:top w:val="nil"/>
              <w:left w:val="nil"/>
              <w:bottom w:val="single" w:sz="12" w:space="0" w:color="auto"/>
              <w:right w:val="single" w:sz="4" w:space="0" w:color="auto"/>
            </w:tcBorders>
            <w:shd w:val="clear" w:color="auto" w:fill="auto"/>
            <w:vAlign w:val="bottom"/>
            <w:hideMark/>
          </w:tcPr>
          <w:p w14:paraId="29515E9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V80.3–V80.5, V81.1, V82.1</w:t>
            </w:r>
          </w:p>
        </w:tc>
        <w:tc>
          <w:tcPr>
            <w:tcW w:w="4770" w:type="dxa"/>
            <w:tcBorders>
              <w:top w:val="nil"/>
              <w:left w:val="nil"/>
              <w:bottom w:val="nil"/>
              <w:right w:val="single" w:sz="4" w:space="0" w:color="auto"/>
            </w:tcBorders>
            <w:shd w:val="clear" w:color="000000" w:fill="FDE9D9"/>
            <w:noWrap/>
            <w:vAlign w:val="bottom"/>
            <w:hideMark/>
          </w:tcPr>
          <w:p w14:paraId="31A6021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V80(.3–.5), V81.1, V82.1</w:t>
            </w:r>
          </w:p>
        </w:tc>
      </w:tr>
      <w:tr w:rsidR="007B0B2B" w:rsidRPr="007B0B2B" w14:paraId="67F628DC"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48D07819"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Motor vehicle–Nontraffic</w:t>
            </w:r>
          </w:p>
        </w:tc>
        <w:tc>
          <w:tcPr>
            <w:tcW w:w="7178" w:type="dxa"/>
            <w:tcBorders>
              <w:top w:val="nil"/>
              <w:left w:val="nil"/>
              <w:bottom w:val="single" w:sz="4" w:space="0" w:color="auto"/>
              <w:right w:val="single" w:sz="4" w:space="0" w:color="auto"/>
            </w:tcBorders>
            <w:shd w:val="clear" w:color="auto" w:fill="auto"/>
            <w:vAlign w:val="bottom"/>
            <w:hideMark/>
          </w:tcPr>
          <w:p w14:paraId="009C31D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[V20–V29] (with 4th character = 0, 1, 2), V29.3, [V30– V79] (with 4th character = 0, 1, 2, 3), V81.0, V82.0, V84.5–V84.9, V85.5–V85.9, [V86.5–V86.7, V86.9] (with 5th character = 1, 4, 5, 6), V88.0–V88.8, V89.0</w:t>
            </w:r>
          </w:p>
        </w:tc>
        <w:tc>
          <w:tcPr>
            <w:tcW w:w="4770" w:type="dxa"/>
            <w:tcBorders>
              <w:top w:val="single" w:sz="12" w:space="0" w:color="auto"/>
              <w:left w:val="nil"/>
              <w:bottom w:val="single" w:sz="4" w:space="0" w:color="auto"/>
              <w:right w:val="single" w:sz="4" w:space="0" w:color="auto"/>
            </w:tcBorders>
            <w:shd w:val="clear" w:color="000000" w:fill="FDE9D9"/>
            <w:noWrap/>
            <w:vAlign w:val="bottom"/>
            <w:hideMark/>
          </w:tcPr>
          <w:p w14:paraId="03301DDC"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N/A</w:t>
            </w:r>
          </w:p>
        </w:tc>
      </w:tr>
      <w:tr w:rsidR="007B0B2B" w:rsidRPr="007B0B2B" w14:paraId="155CE0DC"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698A5E24"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Pedal cyclist, other</w:t>
            </w:r>
          </w:p>
        </w:tc>
        <w:tc>
          <w:tcPr>
            <w:tcW w:w="7178" w:type="dxa"/>
            <w:tcBorders>
              <w:top w:val="nil"/>
              <w:left w:val="nil"/>
              <w:bottom w:val="single" w:sz="4" w:space="0" w:color="auto"/>
              <w:right w:val="single" w:sz="4" w:space="0" w:color="auto"/>
            </w:tcBorders>
            <w:shd w:val="clear" w:color="auto" w:fill="auto"/>
            <w:vAlign w:val="bottom"/>
            <w:hideMark/>
          </w:tcPr>
          <w:p w14:paraId="7C4A70FA"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V10, V11, [V12–V14] (with 4th character = 0, 1, 2), V15–V18, V19.0–V19.3, V19.8</w:t>
            </w:r>
          </w:p>
        </w:tc>
        <w:tc>
          <w:tcPr>
            <w:tcW w:w="4770" w:type="dxa"/>
            <w:tcBorders>
              <w:top w:val="nil"/>
              <w:left w:val="nil"/>
              <w:bottom w:val="single" w:sz="4" w:space="0" w:color="auto"/>
              <w:right w:val="single" w:sz="4" w:space="0" w:color="auto"/>
            </w:tcBorders>
            <w:shd w:val="clear" w:color="000000" w:fill="FDE9D9"/>
            <w:vAlign w:val="bottom"/>
            <w:hideMark/>
          </w:tcPr>
          <w:p w14:paraId="4EDD283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V10–V11, [V12–V14](.0–.2), V15–V18, V19(.0–.3,.8,.9)</w:t>
            </w:r>
          </w:p>
        </w:tc>
      </w:tr>
      <w:tr w:rsidR="007B0B2B" w:rsidRPr="007B0B2B" w14:paraId="61DA836E"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272B1CB5"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Pedestrian, other</w:t>
            </w:r>
          </w:p>
        </w:tc>
        <w:tc>
          <w:tcPr>
            <w:tcW w:w="7178" w:type="dxa"/>
            <w:tcBorders>
              <w:top w:val="nil"/>
              <w:left w:val="nil"/>
              <w:bottom w:val="single" w:sz="12" w:space="0" w:color="auto"/>
              <w:right w:val="single" w:sz="4" w:space="0" w:color="auto"/>
            </w:tcBorders>
            <w:shd w:val="clear" w:color="auto" w:fill="auto"/>
            <w:vAlign w:val="bottom"/>
            <w:hideMark/>
          </w:tcPr>
          <w:p w14:paraId="3BF91BDA"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V01, V02.0, V03.0, V04.0, V05, V06, V09.0, V09.1, V09.9</w:t>
            </w:r>
          </w:p>
        </w:tc>
        <w:tc>
          <w:tcPr>
            <w:tcW w:w="4770" w:type="dxa"/>
            <w:tcBorders>
              <w:top w:val="nil"/>
              <w:left w:val="nil"/>
              <w:bottom w:val="single" w:sz="12" w:space="0" w:color="auto"/>
              <w:right w:val="single" w:sz="4" w:space="0" w:color="auto"/>
            </w:tcBorders>
            <w:shd w:val="clear" w:color="000000" w:fill="FDE9D9"/>
            <w:vAlign w:val="bottom"/>
            <w:hideMark/>
          </w:tcPr>
          <w:p w14:paraId="5EAE5AB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V01, [V02–V04](.0), V05, V06, V09(.0–.1,.3,.9)</w:t>
            </w:r>
          </w:p>
        </w:tc>
      </w:tr>
      <w:tr w:rsidR="007B0B2B" w:rsidRPr="007B0B2B" w14:paraId="1D21A003" w14:textId="77777777" w:rsidTr="007B0B2B">
        <w:trPr>
          <w:trHeight w:val="20"/>
        </w:trPr>
        <w:tc>
          <w:tcPr>
            <w:tcW w:w="2542" w:type="dxa"/>
            <w:tcBorders>
              <w:top w:val="nil"/>
              <w:left w:val="single" w:sz="4" w:space="0" w:color="auto"/>
              <w:bottom w:val="nil"/>
              <w:right w:val="single" w:sz="4" w:space="0" w:color="auto"/>
            </w:tcBorders>
            <w:shd w:val="clear" w:color="auto" w:fill="auto"/>
            <w:noWrap/>
            <w:vAlign w:val="bottom"/>
            <w:hideMark/>
          </w:tcPr>
          <w:p w14:paraId="16F0FD3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Other land transport</w:t>
            </w:r>
          </w:p>
        </w:tc>
        <w:tc>
          <w:tcPr>
            <w:tcW w:w="7178" w:type="dxa"/>
            <w:tcBorders>
              <w:top w:val="nil"/>
              <w:left w:val="nil"/>
              <w:bottom w:val="single" w:sz="12" w:space="0" w:color="auto"/>
              <w:right w:val="single" w:sz="4" w:space="0" w:color="auto"/>
            </w:tcBorders>
            <w:shd w:val="clear" w:color="auto" w:fill="auto"/>
            <w:vAlign w:val="bottom"/>
            <w:hideMark/>
          </w:tcPr>
          <w:p w14:paraId="362EC9D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V80.0–V80.2, V80.6–V80.9, V81.2–V81.9, V82.2–V82.9, V83.4–V83.9, V84.4, V85.4, V86.4, [V86.5–V86.9] (with 5th character = 2, 3, 9), V87.9, V88.9, V89.1, V89.3, V89.9</w:t>
            </w:r>
          </w:p>
        </w:tc>
        <w:tc>
          <w:tcPr>
            <w:tcW w:w="4770" w:type="dxa"/>
            <w:tcBorders>
              <w:top w:val="nil"/>
              <w:left w:val="nil"/>
              <w:bottom w:val="nil"/>
              <w:right w:val="single" w:sz="4" w:space="0" w:color="auto"/>
            </w:tcBorders>
            <w:shd w:val="clear" w:color="000000" w:fill="FDE9D9"/>
            <w:vAlign w:val="bottom"/>
            <w:hideMark/>
          </w:tcPr>
          <w:p w14:paraId="3C0168E3"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[V20–V28](.0–.2), [V29–V79](.0–.3), V80(.0–.2,.6–.9), [V81–V82](.0,.2–.9), [V83–V86](.4–.9), V87.9, V88(.0–.9), V89(.0,.1,.3,.9)</w:t>
            </w:r>
          </w:p>
        </w:tc>
      </w:tr>
      <w:tr w:rsidR="007B0B2B" w:rsidRPr="007B0B2B" w14:paraId="06AFCB63" w14:textId="77777777" w:rsidTr="007B0B2B">
        <w:trPr>
          <w:trHeight w:val="20"/>
        </w:trPr>
        <w:tc>
          <w:tcPr>
            <w:tcW w:w="2542" w:type="dxa"/>
            <w:tcBorders>
              <w:top w:val="single" w:sz="12" w:space="0" w:color="auto"/>
              <w:left w:val="single" w:sz="4" w:space="0" w:color="auto"/>
              <w:bottom w:val="single" w:sz="12" w:space="0" w:color="auto"/>
              <w:right w:val="single" w:sz="4" w:space="0" w:color="auto"/>
            </w:tcBorders>
            <w:shd w:val="clear" w:color="auto" w:fill="auto"/>
            <w:noWrap/>
            <w:vAlign w:val="bottom"/>
            <w:hideMark/>
          </w:tcPr>
          <w:p w14:paraId="2E045ADF"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Other transport</w:t>
            </w:r>
          </w:p>
        </w:tc>
        <w:tc>
          <w:tcPr>
            <w:tcW w:w="7178" w:type="dxa"/>
            <w:tcBorders>
              <w:top w:val="nil"/>
              <w:left w:val="nil"/>
              <w:bottom w:val="single" w:sz="12" w:space="0" w:color="auto"/>
              <w:right w:val="single" w:sz="4" w:space="0" w:color="auto"/>
            </w:tcBorders>
            <w:shd w:val="clear" w:color="auto" w:fill="auto"/>
            <w:vAlign w:val="bottom"/>
            <w:hideMark/>
          </w:tcPr>
          <w:p w14:paraId="781EF74C"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V91, V93–V99</w:t>
            </w:r>
          </w:p>
        </w:tc>
        <w:tc>
          <w:tcPr>
            <w:tcW w:w="4770" w:type="dxa"/>
            <w:tcBorders>
              <w:top w:val="single" w:sz="12" w:space="0" w:color="auto"/>
              <w:left w:val="nil"/>
              <w:bottom w:val="single" w:sz="12" w:space="0" w:color="auto"/>
              <w:right w:val="single" w:sz="4" w:space="0" w:color="auto"/>
            </w:tcBorders>
            <w:shd w:val="clear" w:color="000000" w:fill="FDE9D9"/>
            <w:vAlign w:val="bottom"/>
            <w:hideMark/>
          </w:tcPr>
          <w:p w14:paraId="57021A17"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V91, V93–V99 (V90 and V92 are instead listed above with drowning/submersion ICD-10-CM codes)</w:t>
            </w:r>
          </w:p>
        </w:tc>
      </w:tr>
      <w:tr w:rsidR="007B0B2B" w:rsidRPr="007B0B2B" w14:paraId="6928C476"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211A3F14" w14:textId="77777777" w:rsidR="007B0B2B" w:rsidRPr="007B0B2B" w:rsidRDefault="007B0B2B" w:rsidP="007B0B2B">
            <w:pPr>
              <w:spacing w:line="240" w:lineRule="auto"/>
              <w:jc w:val="center"/>
              <w:rPr>
                <w:rFonts w:ascii="Calibri" w:eastAsia="Times New Roman" w:hAnsi="Calibri" w:cs="Calibri"/>
                <w:b/>
                <w:bCs/>
                <w:color w:val="7030A0"/>
              </w:rPr>
            </w:pPr>
            <w:r w:rsidRPr="007B0B2B">
              <w:rPr>
                <w:rFonts w:ascii="Calibri" w:eastAsia="Times New Roman" w:hAnsi="Calibri" w:cs="Calibri"/>
                <w:b/>
                <w:bCs/>
                <w:color w:val="7030A0"/>
              </w:rPr>
              <w:t>Natural/environmental (Total)</w:t>
            </w:r>
          </w:p>
        </w:tc>
        <w:tc>
          <w:tcPr>
            <w:tcW w:w="7178" w:type="dxa"/>
            <w:tcBorders>
              <w:top w:val="nil"/>
              <w:left w:val="nil"/>
              <w:bottom w:val="single" w:sz="4" w:space="0" w:color="auto"/>
              <w:right w:val="single" w:sz="4" w:space="0" w:color="auto"/>
            </w:tcBorders>
            <w:shd w:val="clear" w:color="auto" w:fill="auto"/>
            <w:vAlign w:val="bottom"/>
            <w:hideMark/>
          </w:tcPr>
          <w:p w14:paraId="06F298E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[T63.0–T63.8] (with 6th character = 1), T63.91, T65.821, T73.0–T73.2, T73.8, T73.9, T75.0, T75.2, T75.3, W42, W53–W64, W92–W94, W99, X30–X39, X52</w:t>
            </w:r>
          </w:p>
        </w:tc>
        <w:tc>
          <w:tcPr>
            <w:tcW w:w="4770" w:type="dxa"/>
            <w:tcBorders>
              <w:top w:val="nil"/>
              <w:left w:val="nil"/>
              <w:bottom w:val="single" w:sz="4" w:space="0" w:color="auto"/>
              <w:right w:val="single" w:sz="4" w:space="0" w:color="auto"/>
            </w:tcBorders>
            <w:shd w:val="clear" w:color="000000" w:fill="FDE9D9"/>
            <w:vAlign w:val="bottom"/>
            <w:hideMark/>
          </w:tcPr>
          <w:p w14:paraId="23E0264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W42–W43, W53–W64, W92–W99, X20–X39, X51–X57</w:t>
            </w:r>
          </w:p>
        </w:tc>
      </w:tr>
      <w:tr w:rsidR="007B0B2B" w:rsidRPr="007B0B2B" w14:paraId="584B8E49"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vAlign w:val="bottom"/>
            <w:hideMark/>
          </w:tcPr>
          <w:p w14:paraId="5C05C0D3"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Other Bites and stings, nonvenomous</w:t>
            </w:r>
          </w:p>
        </w:tc>
        <w:tc>
          <w:tcPr>
            <w:tcW w:w="7178" w:type="dxa"/>
            <w:tcBorders>
              <w:top w:val="nil"/>
              <w:left w:val="nil"/>
              <w:bottom w:val="single" w:sz="4" w:space="0" w:color="auto"/>
              <w:right w:val="single" w:sz="4" w:space="0" w:color="auto"/>
            </w:tcBorders>
            <w:shd w:val="clear" w:color="auto" w:fill="auto"/>
            <w:vAlign w:val="bottom"/>
            <w:hideMark/>
          </w:tcPr>
          <w:p w14:paraId="63C35650"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[W53, W55, W56, W58, W59, W61] (with 5th character = 1), W54.0, W57</w:t>
            </w:r>
          </w:p>
        </w:tc>
        <w:tc>
          <w:tcPr>
            <w:tcW w:w="4770" w:type="dxa"/>
            <w:tcBorders>
              <w:top w:val="nil"/>
              <w:left w:val="nil"/>
              <w:bottom w:val="single" w:sz="4" w:space="0" w:color="auto"/>
              <w:right w:val="single" w:sz="4" w:space="0" w:color="auto"/>
            </w:tcBorders>
            <w:shd w:val="clear" w:color="000000" w:fill="FDE9D9"/>
            <w:noWrap/>
            <w:vAlign w:val="bottom"/>
            <w:hideMark/>
          </w:tcPr>
          <w:p w14:paraId="57D317F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N/A</w:t>
            </w:r>
          </w:p>
        </w:tc>
      </w:tr>
      <w:tr w:rsidR="007B0B2B" w:rsidRPr="007B0B2B" w14:paraId="2382AA07"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vAlign w:val="bottom"/>
            <w:hideMark/>
          </w:tcPr>
          <w:p w14:paraId="659E76C3"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Bites and stings, venomous</w:t>
            </w:r>
          </w:p>
        </w:tc>
        <w:tc>
          <w:tcPr>
            <w:tcW w:w="7178" w:type="dxa"/>
            <w:tcBorders>
              <w:top w:val="nil"/>
              <w:left w:val="nil"/>
              <w:bottom w:val="single" w:sz="4" w:space="0" w:color="auto"/>
              <w:right w:val="single" w:sz="4" w:space="0" w:color="auto"/>
            </w:tcBorders>
            <w:shd w:val="clear" w:color="auto" w:fill="auto"/>
            <w:vAlign w:val="bottom"/>
            <w:hideMark/>
          </w:tcPr>
          <w:p w14:paraId="0B3EF46E"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[T63.0–T63.6, T63.8] (with 6th character = 1), T63.91</w:t>
            </w:r>
          </w:p>
        </w:tc>
        <w:tc>
          <w:tcPr>
            <w:tcW w:w="4770" w:type="dxa"/>
            <w:tcBorders>
              <w:top w:val="nil"/>
              <w:left w:val="nil"/>
              <w:bottom w:val="single" w:sz="4" w:space="0" w:color="auto"/>
              <w:right w:val="single" w:sz="4" w:space="0" w:color="auto"/>
            </w:tcBorders>
            <w:shd w:val="clear" w:color="000000" w:fill="FDE9D9"/>
            <w:noWrap/>
            <w:vAlign w:val="bottom"/>
            <w:hideMark/>
          </w:tcPr>
          <w:p w14:paraId="0933CE6C"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N/A</w:t>
            </w:r>
          </w:p>
        </w:tc>
      </w:tr>
      <w:tr w:rsidR="007B0B2B" w:rsidRPr="007B0B2B" w14:paraId="24F970F6"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vAlign w:val="bottom"/>
            <w:hideMark/>
          </w:tcPr>
          <w:p w14:paraId="66C18923"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Natural/environmental, other</w:t>
            </w:r>
          </w:p>
        </w:tc>
        <w:tc>
          <w:tcPr>
            <w:tcW w:w="7178" w:type="dxa"/>
            <w:tcBorders>
              <w:top w:val="nil"/>
              <w:left w:val="nil"/>
              <w:bottom w:val="single" w:sz="12" w:space="0" w:color="auto"/>
              <w:right w:val="single" w:sz="4" w:space="0" w:color="auto"/>
            </w:tcBorders>
            <w:shd w:val="clear" w:color="auto" w:fill="auto"/>
            <w:vAlign w:val="bottom"/>
            <w:hideMark/>
          </w:tcPr>
          <w:p w14:paraId="29B6DF3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T63.711, T63.791, T65.821, T73.0–T73.2, T73.8, T73.9, T75.0, T75.2, T75.3, W42, [W53] (with 5th character = 9), W54.1, W54.8, W55.03, W55.09, [W55.1–W56.8] (with 5th character = 2, 9), [W58, W59, W61] (with 5th character = 2, 3, 9), W60, W62, W64, W92–W94, W99, X30-X39, X52</w:t>
            </w:r>
          </w:p>
        </w:tc>
        <w:tc>
          <w:tcPr>
            <w:tcW w:w="4770" w:type="dxa"/>
            <w:tcBorders>
              <w:top w:val="nil"/>
              <w:left w:val="nil"/>
              <w:bottom w:val="single" w:sz="12" w:space="0" w:color="auto"/>
              <w:right w:val="single" w:sz="4" w:space="0" w:color="auto"/>
            </w:tcBorders>
            <w:shd w:val="clear" w:color="000000" w:fill="FDE9D9"/>
            <w:noWrap/>
            <w:vAlign w:val="bottom"/>
            <w:hideMark/>
          </w:tcPr>
          <w:p w14:paraId="679D9F6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N/A</w:t>
            </w:r>
          </w:p>
        </w:tc>
      </w:tr>
      <w:tr w:rsidR="007B0B2B" w:rsidRPr="007B0B2B" w14:paraId="29408E83" w14:textId="77777777" w:rsidTr="007B0B2B">
        <w:trPr>
          <w:trHeight w:val="20"/>
        </w:trPr>
        <w:tc>
          <w:tcPr>
            <w:tcW w:w="2542" w:type="dxa"/>
            <w:tcBorders>
              <w:top w:val="nil"/>
              <w:left w:val="single" w:sz="4" w:space="0" w:color="auto"/>
              <w:bottom w:val="single" w:sz="12" w:space="0" w:color="auto"/>
              <w:right w:val="single" w:sz="4" w:space="0" w:color="auto"/>
            </w:tcBorders>
            <w:shd w:val="clear" w:color="auto" w:fill="auto"/>
            <w:noWrap/>
            <w:vAlign w:val="bottom"/>
            <w:hideMark/>
          </w:tcPr>
          <w:p w14:paraId="106F63D6"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lastRenderedPageBreak/>
              <w:t>Overexertion</w:t>
            </w:r>
          </w:p>
        </w:tc>
        <w:tc>
          <w:tcPr>
            <w:tcW w:w="7178" w:type="dxa"/>
            <w:tcBorders>
              <w:top w:val="nil"/>
              <w:left w:val="nil"/>
              <w:bottom w:val="single" w:sz="12" w:space="0" w:color="auto"/>
              <w:right w:val="single" w:sz="4" w:space="0" w:color="auto"/>
            </w:tcBorders>
            <w:shd w:val="clear" w:color="auto" w:fill="auto"/>
            <w:vAlign w:val="bottom"/>
            <w:hideMark/>
          </w:tcPr>
          <w:p w14:paraId="1C55D3BF"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T73.3, W18.4, X50</w:t>
            </w:r>
          </w:p>
        </w:tc>
        <w:tc>
          <w:tcPr>
            <w:tcW w:w="4770" w:type="dxa"/>
            <w:tcBorders>
              <w:top w:val="nil"/>
              <w:left w:val="nil"/>
              <w:bottom w:val="single" w:sz="12" w:space="0" w:color="auto"/>
              <w:right w:val="single" w:sz="4" w:space="0" w:color="auto"/>
            </w:tcBorders>
            <w:shd w:val="clear" w:color="000000" w:fill="FDE9D9"/>
            <w:vAlign w:val="bottom"/>
            <w:hideMark/>
          </w:tcPr>
          <w:p w14:paraId="23A9196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X50</w:t>
            </w:r>
          </w:p>
        </w:tc>
      </w:tr>
      <w:tr w:rsidR="007B0B2B" w:rsidRPr="007B0B2B" w14:paraId="79AB9A36"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2CA8085D" w14:textId="77777777" w:rsidR="007B0B2B" w:rsidRPr="007B0B2B" w:rsidRDefault="007B0B2B" w:rsidP="007B0B2B">
            <w:pPr>
              <w:spacing w:line="240" w:lineRule="auto"/>
              <w:jc w:val="center"/>
              <w:rPr>
                <w:rFonts w:ascii="Calibri" w:eastAsia="Times New Roman" w:hAnsi="Calibri" w:cs="Calibri"/>
                <w:b/>
                <w:bCs/>
                <w:color w:val="7030A0"/>
              </w:rPr>
            </w:pPr>
            <w:r w:rsidRPr="007B0B2B">
              <w:rPr>
                <w:rFonts w:ascii="Calibri" w:eastAsia="Times New Roman" w:hAnsi="Calibri" w:cs="Calibri"/>
                <w:b/>
                <w:bCs/>
                <w:color w:val="7030A0"/>
              </w:rPr>
              <w:t>Poisoning (Total)</w:t>
            </w:r>
          </w:p>
        </w:tc>
        <w:tc>
          <w:tcPr>
            <w:tcW w:w="7178" w:type="dxa"/>
            <w:tcBorders>
              <w:top w:val="nil"/>
              <w:left w:val="nil"/>
              <w:bottom w:val="single" w:sz="4" w:space="0" w:color="auto"/>
              <w:right w:val="single" w:sz="4" w:space="0" w:color="auto"/>
            </w:tcBorders>
            <w:shd w:val="clear" w:color="auto" w:fill="auto"/>
            <w:vAlign w:val="bottom"/>
            <w:hideMark/>
          </w:tcPr>
          <w:p w14:paraId="4555AA48"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[T36–T53, T55–T62, T65.0X–T65.81, T65.83, T65.89] (with 6th character = 1), [T36.9, T37.9, T39.9, T41.4, T42.7, T43.9, T45.9, T47.9, T49.9, T51.9, T52.9, T53.9, T56.9, T57.9, T58.0, T58.1, T58.9, T59.9, T60.9, T61.0, T61.1, T61.9, T62.9, T64, T65.9] (with 5th character = 1), T54.0X1</w:t>
            </w:r>
          </w:p>
        </w:tc>
        <w:tc>
          <w:tcPr>
            <w:tcW w:w="4770" w:type="dxa"/>
            <w:tcBorders>
              <w:top w:val="nil"/>
              <w:left w:val="nil"/>
              <w:bottom w:val="single" w:sz="4" w:space="0" w:color="auto"/>
              <w:right w:val="single" w:sz="4" w:space="0" w:color="auto"/>
            </w:tcBorders>
            <w:shd w:val="clear" w:color="000000" w:fill="FDE9D9"/>
            <w:noWrap/>
            <w:vAlign w:val="bottom"/>
            <w:hideMark/>
          </w:tcPr>
          <w:p w14:paraId="0272657A"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X40–X49</w:t>
            </w:r>
          </w:p>
        </w:tc>
      </w:tr>
      <w:tr w:rsidR="007B0B2B" w:rsidRPr="007B0B2B" w14:paraId="6869380E" w14:textId="77777777" w:rsidTr="007B0B2B">
        <w:trPr>
          <w:trHeight w:val="20"/>
        </w:trPr>
        <w:tc>
          <w:tcPr>
            <w:tcW w:w="2542" w:type="dxa"/>
            <w:tcBorders>
              <w:top w:val="nil"/>
              <w:left w:val="single" w:sz="4" w:space="0" w:color="auto"/>
              <w:bottom w:val="single" w:sz="4" w:space="0" w:color="auto"/>
              <w:right w:val="single" w:sz="4" w:space="0" w:color="auto"/>
            </w:tcBorders>
            <w:shd w:val="clear" w:color="000000" w:fill="E4D2F2"/>
            <w:noWrap/>
            <w:vAlign w:val="bottom"/>
            <w:hideMark/>
          </w:tcPr>
          <w:p w14:paraId="4747FFDB"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Drug</w:t>
            </w:r>
          </w:p>
        </w:tc>
        <w:tc>
          <w:tcPr>
            <w:tcW w:w="7178" w:type="dxa"/>
            <w:tcBorders>
              <w:top w:val="nil"/>
              <w:left w:val="nil"/>
              <w:bottom w:val="single" w:sz="4" w:space="0" w:color="auto"/>
              <w:right w:val="single" w:sz="4" w:space="0" w:color="auto"/>
            </w:tcBorders>
            <w:shd w:val="clear" w:color="auto" w:fill="auto"/>
            <w:vAlign w:val="bottom"/>
            <w:hideMark/>
          </w:tcPr>
          <w:p w14:paraId="302F573E"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[T36–T50] (with 6th character = 1), [T36.9, T37.9, T39.9, T41.4, T42.7, T43.9, T45.9, T47.9, T49.9] (with 5th character = 1)</w:t>
            </w:r>
          </w:p>
        </w:tc>
        <w:tc>
          <w:tcPr>
            <w:tcW w:w="4770" w:type="dxa"/>
            <w:tcBorders>
              <w:top w:val="nil"/>
              <w:left w:val="nil"/>
              <w:bottom w:val="single" w:sz="4" w:space="0" w:color="auto"/>
              <w:right w:val="single" w:sz="4" w:space="0" w:color="auto"/>
            </w:tcBorders>
            <w:shd w:val="clear" w:color="000000" w:fill="FDE9D9"/>
            <w:noWrap/>
            <w:vAlign w:val="bottom"/>
            <w:hideMark/>
          </w:tcPr>
          <w:p w14:paraId="2332A178"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X40-X44</w:t>
            </w:r>
          </w:p>
        </w:tc>
      </w:tr>
      <w:tr w:rsidR="007B0B2B" w:rsidRPr="007B0B2B" w14:paraId="0EB32270"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27986B85"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Nondrug</w:t>
            </w:r>
          </w:p>
        </w:tc>
        <w:tc>
          <w:tcPr>
            <w:tcW w:w="7178" w:type="dxa"/>
            <w:tcBorders>
              <w:top w:val="nil"/>
              <w:left w:val="nil"/>
              <w:bottom w:val="single" w:sz="12" w:space="0" w:color="auto"/>
              <w:right w:val="single" w:sz="4" w:space="0" w:color="auto"/>
            </w:tcBorders>
            <w:shd w:val="clear" w:color="auto" w:fill="auto"/>
            <w:vAlign w:val="bottom"/>
            <w:hideMark/>
          </w:tcPr>
          <w:p w14:paraId="1D619F8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[T51–T53, T55–T62, T65.0X–T65.81, T65.83, T65.89] (with 6th character = 1), [T51.9, T52.9, T53.9, T56.9, T57.9, T58.0, T58.1, T58.9, T59.9, T60.9, T61.0, T61.1, T61.9, T62.9, T64, T65.9] (with 5th character = 1), T54.0X1</w:t>
            </w:r>
          </w:p>
        </w:tc>
        <w:tc>
          <w:tcPr>
            <w:tcW w:w="4770" w:type="dxa"/>
            <w:tcBorders>
              <w:top w:val="nil"/>
              <w:left w:val="nil"/>
              <w:bottom w:val="single" w:sz="12" w:space="0" w:color="auto"/>
              <w:right w:val="single" w:sz="4" w:space="0" w:color="auto"/>
            </w:tcBorders>
            <w:shd w:val="clear" w:color="000000" w:fill="FDE9D9"/>
            <w:noWrap/>
            <w:vAlign w:val="bottom"/>
            <w:hideMark/>
          </w:tcPr>
          <w:p w14:paraId="45314865"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X45-X49</w:t>
            </w:r>
          </w:p>
        </w:tc>
      </w:tr>
      <w:tr w:rsidR="007B0B2B" w:rsidRPr="007B0B2B" w14:paraId="0FB04B67"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093CCAB4"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Struck by/against</w:t>
            </w:r>
          </w:p>
        </w:tc>
        <w:tc>
          <w:tcPr>
            <w:tcW w:w="7178" w:type="dxa"/>
            <w:tcBorders>
              <w:top w:val="nil"/>
              <w:left w:val="nil"/>
              <w:bottom w:val="single" w:sz="12" w:space="0" w:color="auto"/>
              <w:right w:val="single" w:sz="4" w:space="0" w:color="auto"/>
            </w:tcBorders>
            <w:shd w:val="clear" w:color="auto" w:fill="auto"/>
            <w:vAlign w:val="bottom"/>
            <w:hideMark/>
          </w:tcPr>
          <w:p w14:paraId="7C390EB7"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V00.0, [V00.1–V00.8] (with 6th character = 2), W18.0, W20, W21, W22.01–W22.03, W22.042, W22.09, W22.1, W22.8, W50–W52</w:t>
            </w:r>
          </w:p>
        </w:tc>
        <w:tc>
          <w:tcPr>
            <w:tcW w:w="4770" w:type="dxa"/>
            <w:tcBorders>
              <w:top w:val="nil"/>
              <w:left w:val="nil"/>
              <w:bottom w:val="nil"/>
              <w:right w:val="single" w:sz="4" w:space="0" w:color="auto"/>
            </w:tcBorders>
            <w:shd w:val="clear" w:color="000000" w:fill="FDE9D9"/>
            <w:noWrap/>
            <w:vAlign w:val="bottom"/>
            <w:hideMark/>
          </w:tcPr>
          <w:p w14:paraId="33F66C9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W20–W22, W50–W52</w:t>
            </w:r>
          </w:p>
        </w:tc>
      </w:tr>
      <w:tr w:rsidR="007B0B2B" w:rsidRPr="007B0B2B" w14:paraId="54A93B7C" w14:textId="77777777" w:rsidTr="007B0B2B">
        <w:trPr>
          <w:trHeight w:val="20"/>
        </w:trPr>
        <w:tc>
          <w:tcPr>
            <w:tcW w:w="2542" w:type="dxa"/>
            <w:tcBorders>
              <w:top w:val="nil"/>
              <w:left w:val="single" w:sz="4" w:space="0" w:color="auto"/>
              <w:bottom w:val="single" w:sz="12" w:space="0" w:color="auto"/>
              <w:right w:val="single" w:sz="4" w:space="0" w:color="auto"/>
            </w:tcBorders>
            <w:shd w:val="clear" w:color="000000" w:fill="E4D2F2"/>
            <w:noWrap/>
            <w:vAlign w:val="bottom"/>
            <w:hideMark/>
          </w:tcPr>
          <w:p w14:paraId="79495587" w14:textId="77777777" w:rsidR="007B0B2B" w:rsidRPr="007B0B2B" w:rsidRDefault="007B0B2B" w:rsidP="007B0B2B">
            <w:pPr>
              <w:spacing w:line="240" w:lineRule="auto"/>
              <w:jc w:val="center"/>
              <w:rPr>
                <w:rFonts w:ascii="Calibri" w:eastAsia="Times New Roman" w:hAnsi="Calibri" w:cs="Calibri"/>
                <w:color w:val="7030A0"/>
              </w:rPr>
            </w:pPr>
            <w:r w:rsidRPr="007B0B2B">
              <w:rPr>
                <w:rFonts w:ascii="Calibri" w:eastAsia="Times New Roman" w:hAnsi="Calibri" w:cs="Calibri"/>
                <w:color w:val="7030A0"/>
              </w:rPr>
              <w:t>Suffocation</w:t>
            </w:r>
          </w:p>
        </w:tc>
        <w:tc>
          <w:tcPr>
            <w:tcW w:w="7178" w:type="dxa"/>
            <w:tcBorders>
              <w:top w:val="nil"/>
              <w:left w:val="nil"/>
              <w:bottom w:val="single" w:sz="12" w:space="0" w:color="auto"/>
              <w:right w:val="single" w:sz="4" w:space="0" w:color="auto"/>
            </w:tcBorders>
            <w:shd w:val="clear" w:color="auto" w:fill="auto"/>
            <w:vAlign w:val="bottom"/>
            <w:hideMark/>
          </w:tcPr>
          <w:p w14:paraId="0D631535"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[T17] (with 6th character = 0), [T71] (with 6th character = 1), T71.20, T71.21, T71.29, T71.9</w:t>
            </w:r>
          </w:p>
        </w:tc>
        <w:tc>
          <w:tcPr>
            <w:tcW w:w="4770" w:type="dxa"/>
            <w:tcBorders>
              <w:top w:val="single" w:sz="12" w:space="0" w:color="auto"/>
              <w:left w:val="nil"/>
              <w:bottom w:val="single" w:sz="12" w:space="0" w:color="auto"/>
              <w:right w:val="single" w:sz="4" w:space="0" w:color="auto"/>
            </w:tcBorders>
            <w:shd w:val="clear" w:color="000000" w:fill="FDE9D9"/>
            <w:noWrap/>
            <w:vAlign w:val="bottom"/>
            <w:hideMark/>
          </w:tcPr>
          <w:p w14:paraId="2D313ACB"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W75–W84</w:t>
            </w:r>
          </w:p>
        </w:tc>
      </w:tr>
      <w:tr w:rsidR="007B0B2B" w:rsidRPr="007B0B2B" w14:paraId="78FC6E86" w14:textId="77777777" w:rsidTr="007B0B2B">
        <w:trPr>
          <w:trHeight w:val="20"/>
        </w:trPr>
        <w:tc>
          <w:tcPr>
            <w:tcW w:w="2542" w:type="dxa"/>
            <w:tcBorders>
              <w:top w:val="nil"/>
              <w:left w:val="single" w:sz="4" w:space="0" w:color="auto"/>
              <w:bottom w:val="single" w:sz="4" w:space="0" w:color="auto"/>
              <w:right w:val="single" w:sz="4" w:space="0" w:color="auto"/>
            </w:tcBorders>
            <w:shd w:val="clear" w:color="auto" w:fill="auto"/>
            <w:noWrap/>
            <w:vAlign w:val="bottom"/>
            <w:hideMark/>
          </w:tcPr>
          <w:p w14:paraId="7B5BF7A8"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Other specified</w:t>
            </w:r>
          </w:p>
        </w:tc>
        <w:tc>
          <w:tcPr>
            <w:tcW w:w="7178" w:type="dxa"/>
            <w:tcBorders>
              <w:top w:val="nil"/>
              <w:left w:val="nil"/>
              <w:bottom w:val="single" w:sz="4" w:space="0" w:color="auto"/>
              <w:right w:val="single" w:sz="4" w:space="0" w:color="auto"/>
            </w:tcBorders>
            <w:shd w:val="clear" w:color="auto" w:fill="auto"/>
            <w:vAlign w:val="bottom"/>
            <w:hideMark/>
          </w:tcPr>
          <w:p w14:paraId="1238F2A7"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T15, T16, T17.0, T17.1, [T17.2–T17.9] (with 6th character = 8), T18, T19, T75.4, [V00] (with 6th character = 8), W23, W34.01, W34.11, W35–W40, W49, W85–W90</w:t>
            </w:r>
          </w:p>
        </w:tc>
        <w:tc>
          <w:tcPr>
            <w:tcW w:w="4770" w:type="dxa"/>
            <w:vMerge w:val="restart"/>
            <w:tcBorders>
              <w:top w:val="nil"/>
              <w:left w:val="single" w:sz="4" w:space="0" w:color="auto"/>
              <w:bottom w:val="single" w:sz="12" w:space="0" w:color="000000"/>
              <w:right w:val="single" w:sz="4" w:space="0" w:color="auto"/>
            </w:tcBorders>
            <w:shd w:val="clear" w:color="000000" w:fill="FDE9D9"/>
            <w:vAlign w:val="bottom"/>
            <w:hideMark/>
          </w:tcPr>
          <w:p w14:paraId="2DC1A5A5"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W23, W35–W41, W44, W49, W85–W91, Y85</w:t>
            </w:r>
          </w:p>
        </w:tc>
      </w:tr>
      <w:tr w:rsidR="007B0B2B" w:rsidRPr="007B0B2B" w14:paraId="7A95BB46" w14:textId="77777777" w:rsidTr="007B0B2B">
        <w:trPr>
          <w:trHeight w:val="20"/>
        </w:trPr>
        <w:tc>
          <w:tcPr>
            <w:tcW w:w="2542" w:type="dxa"/>
            <w:tcBorders>
              <w:top w:val="nil"/>
              <w:left w:val="single" w:sz="4" w:space="0" w:color="auto"/>
              <w:bottom w:val="single" w:sz="4" w:space="0" w:color="auto"/>
              <w:right w:val="single" w:sz="4" w:space="0" w:color="auto"/>
            </w:tcBorders>
            <w:shd w:val="clear" w:color="auto" w:fill="auto"/>
            <w:vAlign w:val="bottom"/>
            <w:hideMark/>
          </w:tcPr>
          <w:p w14:paraId="072904BE"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Other specified, foreign body</w:t>
            </w:r>
          </w:p>
        </w:tc>
        <w:tc>
          <w:tcPr>
            <w:tcW w:w="7178" w:type="dxa"/>
            <w:tcBorders>
              <w:top w:val="nil"/>
              <w:left w:val="nil"/>
              <w:bottom w:val="single" w:sz="4" w:space="0" w:color="auto"/>
              <w:right w:val="single" w:sz="4" w:space="0" w:color="auto"/>
            </w:tcBorders>
            <w:shd w:val="clear" w:color="auto" w:fill="auto"/>
            <w:vAlign w:val="bottom"/>
            <w:hideMark/>
          </w:tcPr>
          <w:p w14:paraId="4BA79C74"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T15, T16, T17.0, T17.1, [T17.2–T17.9] (with 6th character = 8), T18, T19</w:t>
            </w:r>
          </w:p>
        </w:tc>
        <w:tc>
          <w:tcPr>
            <w:tcW w:w="4770" w:type="dxa"/>
            <w:vMerge/>
            <w:tcBorders>
              <w:top w:val="nil"/>
              <w:left w:val="single" w:sz="4" w:space="0" w:color="auto"/>
              <w:bottom w:val="single" w:sz="12" w:space="0" w:color="000000"/>
              <w:right w:val="single" w:sz="4" w:space="0" w:color="auto"/>
            </w:tcBorders>
            <w:vAlign w:val="bottom"/>
            <w:hideMark/>
          </w:tcPr>
          <w:p w14:paraId="7829E727" w14:textId="77777777" w:rsidR="007B0B2B" w:rsidRPr="007B0B2B" w:rsidRDefault="007B0B2B" w:rsidP="007B0B2B">
            <w:pPr>
              <w:spacing w:line="240" w:lineRule="auto"/>
              <w:jc w:val="center"/>
              <w:rPr>
                <w:rFonts w:ascii="Calibri" w:eastAsia="Times New Roman" w:hAnsi="Calibri" w:cs="Calibri"/>
                <w:color w:val="000000"/>
              </w:rPr>
            </w:pPr>
          </w:p>
        </w:tc>
      </w:tr>
      <w:tr w:rsidR="007B0B2B" w:rsidRPr="007B0B2B" w14:paraId="1F4BE680" w14:textId="77777777" w:rsidTr="007B0B2B">
        <w:trPr>
          <w:trHeight w:val="20"/>
        </w:trPr>
        <w:tc>
          <w:tcPr>
            <w:tcW w:w="2542" w:type="dxa"/>
            <w:tcBorders>
              <w:top w:val="nil"/>
              <w:left w:val="single" w:sz="4" w:space="0" w:color="auto"/>
              <w:bottom w:val="single" w:sz="12" w:space="0" w:color="auto"/>
              <w:right w:val="single" w:sz="4" w:space="0" w:color="auto"/>
            </w:tcBorders>
            <w:shd w:val="clear" w:color="auto" w:fill="auto"/>
            <w:vAlign w:val="bottom"/>
            <w:hideMark/>
          </w:tcPr>
          <w:p w14:paraId="5D3E733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Other specified, classifiable</w:t>
            </w:r>
          </w:p>
        </w:tc>
        <w:tc>
          <w:tcPr>
            <w:tcW w:w="7178" w:type="dxa"/>
            <w:tcBorders>
              <w:top w:val="nil"/>
              <w:left w:val="nil"/>
              <w:bottom w:val="single" w:sz="12" w:space="0" w:color="auto"/>
              <w:right w:val="single" w:sz="4" w:space="0" w:color="auto"/>
            </w:tcBorders>
            <w:shd w:val="clear" w:color="auto" w:fill="auto"/>
            <w:vAlign w:val="bottom"/>
            <w:hideMark/>
          </w:tcPr>
          <w:p w14:paraId="3FD74938" w14:textId="752B8C38"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T75.4, [V00] (with 6th character = 8), W23, W34.01, W34.11, W35–W40, W49, W85–W90</w:t>
            </w:r>
          </w:p>
        </w:tc>
        <w:tc>
          <w:tcPr>
            <w:tcW w:w="4770" w:type="dxa"/>
            <w:vMerge/>
            <w:tcBorders>
              <w:top w:val="nil"/>
              <w:left w:val="single" w:sz="4" w:space="0" w:color="auto"/>
              <w:bottom w:val="single" w:sz="12" w:space="0" w:color="000000"/>
              <w:right w:val="single" w:sz="4" w:space="0" w:color="auto"/>
            </w:tcBorders>
            <w:vAlign w:val="bottom"/>
            <w:hideMark/>
          </w:tcPr>
          <w:p w14:paraId="4120B852" w14:textId="77777777" w:rsidR="007B0B2B" w:rsidRPr="007B0B2B" w:rsidRDefault="007B0B2B" w:rsidP="007B0B2B">
            <w:pPr>
              <w:spacing w:line="240" w:lineRule="auto"/>
              <w:jc w:val="center"/>
              <w:rPr>
                <w:rFonts w:ascii="Calibri" w:eastAsia="Times New Roman" w:hAnsi="Calibri" w:cs="Calibri"/>
                <w:color w:val="000000"/>
              </w:rPr>
            </w:pPr>
          </w:p>
        </w:tc>
      </w:tr>
      <w:tr w:rsidR="007B0B2B" w:rsidRPr="007B0B2B" w14:paraId="4F0D4615" w14:textId="77777777" w:rsidTr="007B0B2B">
        <w:trPr>
          <w:trHeight w:val="20"/>
        </w:trPr>
        <w:tc>
          <w:tcPr>
            <w:tcW w:w="2542" w:type="dxa"/>
            <w:tcBorders>
              <w:top w:val="nil"/>
              <w:left w:val="single" w:sz="4" w:space="0" w:color="auto"/>
              <w:bottom w:val="single" w:sz="12" w:space="0" w:color="auto"/>
              <w:right w:val="single" w:sz="4" w:space="0" w:color="auto"/>
            </w:tcBorders>
            <w:shd w:val="clear" w:color="auto" w:fill="auto"/>
            <w:vAlign w:val="bottom"/>
            <w:hideMark/>
          </w:tcPr>
          <w:p w14:paraId="3DD685A1"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Other, not elsewhere classifiable (NEC)</w:t>
            </w:r>
          </w:p>
        </w:tc>
        <w:tc>
          <w:tcPr>
            <w:tcW w:w="7178" w:type="dxa"/>
            <w:tcBorders>
              <w:top w:val="nil"/>
              <w:left w:val="nil"/>
              <w:bottom w:val="single" w:sz="12" w:space="0" w:color="auto"/>
              <w:right w:val="single" w:sz="4" w:space="0" w:color="auto"/>
            </w:tcBorders>
            <w:shd w:val="clear" w:color="auto" w:fill="auto"/>
            <w:vAlign w:val="bottom"/>
            <w:hideMark/>
          </w:tcPr>
          <w:p w14:paraId="69D1561D" w14:textId="22AF4724" w:rsidR="007B0B2B" w:rsidRPr="007B0B2B" w:rsidRDefault="007B0B2B" w:rsidP="007B0B2B">
            <w:pPr>
              <w:spacing w:line="240" w:lineRule="auto"/>
              <w:jc w:val="center"/>
              <w:rPr>
                <w:rFonts w:ascii="Calibri" w:eastAsia="Times New Roman" w:hAnsi="Calibri" w:cs="Calibri"/>
                <w:color w:val="000000"/>
              </w:rPr>
            </w:pPr>
          </w:p>
        </w:tc>
        <w:tc>
          <w:tcPr>
            <w:tcW w:w="4770" w:type="dxa"/>
            <w:tcBorders>
              <w:top w:val="nil"/>
              <w:left w:val="nil"/>
              <w:bottom w:val="single" w:sz="12" w:space="0" w:color="auto"/>
              <w:right w:val="single" w:sz="4" w:space="0" w:color="auto"/>
            </w:tcBorders>
            <w:shd w:val="clear" w:color="000000" w:fill="FDE9D9"/>
            <w:noWrap/>
            <w:vAlign w:val="bottom"/>
            <w:hideMark/>
          </w:tcPr>
          <w:p w14:paraId="1EE19491"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X58,Y86</w:t>
            </w:r>
          </w:p>
        </w:tc>
      </w:tr>
      <w:tr w:rsidR="007B0B2B" w:rsidRPr="007B0B2B" w14:paraId="5CC7B9B0" w14:textId="77777777" w:rsidTr="007B0B2B">
        <w:trPr>
          <w:trHeight w:val="20"/>
        </w:trPr>
        <w:tc>
          <w:tcPr>
            <w:tcW w:w="2542" w:type="dxa"/>
            <w:tcBorders>
              <w:top w:val="nil"/>
              <w:left w:val="single" w:sz="4" w:space="0" w:color="auto"/>
              <w:bottom w:val="single" w:sz="12" w:space="0" w:color="auto"/>
              <w:right w:val="single" w:sz="4" w:space="0" w:color="auto"/>
            </w:tcBorders>
            <w:shd w:val="clear" w:color="auto" w:fill="auto"/>
            <w:noWrap/>
            <w:vAlign w:val="bottom"/>
            <w:hideMark/>
          </w:tcPr>
          <w:p w14:paraId="4B467170"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Unspecified</w:t>
            </w:r>
          </w:p>
        </w:tc>
        <w:tc>
          <w:tcPr>
            <w:tcW w:w="7178" w:type="dxa"/>
            <w:tcBorders>
              <w:top w:val="nil"/>
              <w:left w:val="nil"/>
              <w:bottom w:val="single" w:sz="12" w:space="0" w:color="auto"/>
              <w:right w:val="single" w:sz="4" w:space="0" w:color="auto"/>
            </w:tcBorders>
            <w:shd w:val="clear" w:color="auto" w:fill="auto"/>
            <w:vAlign w:val="bottom"/>
            <w:hideMark/>
          </w:tcPr>
          <w:p w14:paraId="687ABF69"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X58†</w:t>
            </w:r>
          </w:p>
        </w:tc>
        <w:tc>
          <w:tcPr>
            <w:tcW w:w="4770" w:type="dxa"/>
            <w:tcBorders>
              <w:top w:val="nil"/>
              <w:left w:val="nil"/>
              <w:bottom w:val="single" w:sz="12" w:space="0" w:color="auto"/>
              <w:right w:val="single" w:sz="4" w:space="0" w:color="auto"/>
            </w:tcBorders>
            <w:shd w:val="clear" w:color="000000" w:fill="FDE9D9"/>
            <w:noWrap/>
            <w:vAlign w:val="bottom"/>
            <w:hideMark/>
          </w:tcPr>
          <w:p w14:paraId="480E044C" w14:textId="77777777" w:rsidR="007B0B2B" w:rsidRPr="007B0B2B" w:rsidRDefault="007B0B2B" w:rsidP="007B0B2B">
            <w:pPr>
              <w:spacing w:line="240" w:lineRule="auto"/>
              <w:jc w:val="center"/>
              <w:rPr>
                <w:rFonts w:ascii="Calibri" w:eastAsia="Times New Roman" w:hAnsi="Calibri" w:cs="Calibri"/>
                <w:color w:val="000000"/>
              </w:rPr>
            </w:pPr>
            <w:r w:rsidRPr="007B0B2B">
              <w:rPr>
                <w:rFonts w:ascii="Calibri" w:eastAsia="Times New Roman" w:hAnsi="Calibri" w:cs="Calibri"/>
                <w:color w:val="000000"/>
              </w:rPr>
              <w:t>X59</w:t>
            </w:r>
          </w:p>
        </w:tc>
      </w:tr>
    </w:tbl>
    <w:p w14:paraId="74723D23" w14:textId="77777777" w:rsidR="00E64464" w:rsidRPr="00E64464" w:rsidRDefault="00E64464" w:rsidP="00E64464">
      <w:pPr>
        <w:rPr>
          <w:b/>
          <w:bCs/>
        </w:rPr>
      </w:pPr>
      <w:r w:rsidRPr="00E64464">
        <w:rPr>
          <w:b/>
          <w:bCs/>
        </w:rPr>
        <w:t>Additional notes on ICD-10-CM codes for unintentional injuries by mechanism</w:t>
      </w:r>
    </w:p>
    <w:p w14:paraId="6E54ED64" w14:textId="0E173777" w:rsidR="00E64464" w:rsidRDefault="00E64464" w:rsidP="00E64464">
      <w:pPr>
        <w:pStyle w:val="ListParagraph"/>
        <w:numPr>
          <w:ilvl w:val="0"/>
          <w:numId w:val="1"/>
        </w:numPr>
      </w:pPr>
      <w:r>
        <w:t xml:space="preserve">ICD–10–CM is the International Classification of Diseases, 10th Revision, Clinical Modification. Within a cell of the matrix, when only a subset of ICD–10–CM codes are included,  the additional digits in parentheses ( ) apply to the preceding code or range of codes in brackets [ ]. </w:t>
      </w:r>
    </w:p>
    <w:p w14:paraId="3BD9FFD9" w14:textId="69D88E5C" w:rsidR="00E64464" w:rsidRDefault="00E64464" w:rsidP="00E64464">
      <w:pPr>
        <w:pStyle w:val="ListParagraph"/>
        <w:numPr>
          <w:ilvl w:val="0"/>
          <w:numId w:val="1"/>
        </w:numPr>
      </w:pPr>
      <w:r>
        <w:t xml:space="preserve">This table is for demonstration purposes only. Because of the annual updates to the ICD–10–CM code set, any analysis using the 2019 final external cause matrix  should rely on the spreadsheets available at the NCHS Injury Data and Resources website at: </w:t>
      </w:r>
      <w:hyperlink r:id="rId12" w:history="1">
        <w:r w:rsidRPr="00130CC4">
          <w:rPr>
            <w:rStyle w:val="Hyperlink"/>
          </w:rPr>
          <w:t>https://www.cdc.gov/nchs/injury/injury_tools.htm</w:t>
        </w:r>
      </w:hyperlink>
      <w:r>
        <w:t>, to ensure that all external cause-of-injury codes are included and that individual codes are appropriately grouped by mechanism and intent of injury.</w:t>
      </w:r>
    </w:p>
    <w:p w14:paraId="497DED3F" w14:textId="60237993" w:rsidR="007B0B2B" w:rsidRDefault="00E64464" w:rsidP="00E64464">
      <w:pPr>
        <w:pStyle w:val="ListParagraph"/>
        <w:numPr>
          <w:ilvl w:val="0"/>
          <w:numId w:val="1"/>
        </w:numPr>
      </w:pPr>
      <w:r>
        <w:t>Sources: National Center for Health Statistics and National Center for Injury Prevention and Control.</w:t>
      </w:r>
    </w:p>
    <w:p w14:paraId="57A3518B" w14:textId="3A24C600" w:rsidR="00E64464" w:rsidRDefault="00E64464"/>
    <w:p w14:paraId="0103DE13" w14:textId="77777777" w:rsidR="00BE6E29" w:rsidRDefault="00BE6E29">
      <w:pPr>
        <w:spacing w:after="160"/>
        <w:rPr>
          <w:rFonts w:asciiTheme="majorHAnsi" w:eastAsiaTheme="majorEastAsia" w:hAnsiTheme="majorHAnsi" w:cstheme="majorBidi"/>
          <w:b/>
          <w:bCs/>
          <w:color w:val="2F5496" w:themeColor="accent1" w:themeShade="BF"/>
          <w:sz w:val="26"/>
          <w:szCs w:val="26"/>
        </w:rPr>
      </w:pPr>
      <w:r>
        <w:rPr>
          <w:b/>
          <w:bCs/>
        </w:rPr>
        <w:br w:type="page"/>
      </w:r>
    </w:p>
    <w:p w14:paraId="2FCCB782" w14:textId="40B52972" w:rsidR="008D405D" w:rsidRDefault="008D405D" w:rsidP="00BE6E29">
      <w:pPr>
        <w:pStyle w:val="Heading2"/>
        <w:spacing w:before="0" w:line="240" w:lineRule="auto"/>
      </w:pPr>
      <w:r w:rsidRPr="0029429A">
        <w:rPr>
          <w:b/>
          <w:bCs/>
        </w:rPr>
        <w:lastRenderedPageBreak/>
        <w:t>Step 2</w:t>
      </w:r>
      <w:r w:rsidR="00390DB9" w:rsidRPr="0029429A">
        <w:rPr>
          <w:b/>
          <w:bCs/>
        </w:rPr>
        <w:t>.</w:t>
      </w:r>
      <w:r w:rsidR="00390DB9">
        <w:t xml:space="preserve"> E</w:t>
      </w:r>
      <w:r>
        <w:t>nter your data into the SER spreadsheet</w:t>
      </w:r>
    </w:p>
    <w:p w14:paraId="03629AD2" w14:textId="4BF12EA6" w:rsidR="008D405D" w:rsidRPr="008D405D" w:rsidRDefault="008D405D" w:rsidP="00BE6E29">
      <w:pPr>
        <w:pStyle w:val="ListParagraph"/>
        <w:numPr>
          <w:ilvl w:val="0"/>
          <w:numId w:val="3"/>
        </w:numPr>
        <w:spacing w:line="240" w:lineRule="auto"/>
        <w:ind w:left="360"/>
      </w:pPr>
      <w:r w:rsidRPr="008D405D">
        <w:rPr>
          <w:b/>
          <w:bCs/>
        </w:rPr>
        <w:t>Open the "</w:t>
      </w:r>
      <w:proofErr w:type="spellStart"/>
      <w:r w:rsidRPr="008D405D">
        <w:rPr>
          <w:b/>
          <w:bCs/>
        </w:rPr>
        <w:t>B_Populations</w:t>
      </w:r>
      <w:proofErr w:type="spellEnd"/>
      <w:r w:rsidRPr="008D405D">
        <w:rPr>
          <w:b/>
          <w:bCs/>
        </w:rPr>
        <w:t>" tab</w:t>
      </w:r>
    </w:p>
    <w:p w14:paraId="78DA1033" w14:textId="0839AE3A" w:rsidR="008D405D" w:rsidRPr="008D405D" w:rsidRDefault="008D405D" w:rsidP="00BE6E29">
      <w:pPr>
        <w:pStyle w:val="ListParagraph"/>
        <w:numPr>
          <w:ilvl w:val="1"/>
          <w:numId w:val="3"/>
        </w:numPr>
        <w:spacing w:line="240" w:lineRule="auto"/>
      </w:pPr>
      <w:r w:rsidRPr="008D405D">
        <w:t xml:space="preserve">Enter your state or territory name </w:t>
      </w:r>
    </w:p>
    <w:p w14:paraId="60AC7148" w14:textId="59BA5793" w:rsidR="008D405D" w:rsidRPr="008D405D" w:rsidRDefault="008D405D" w:rsidP="00BE6E29">
      <w:pPr>
        <w:pStyle w:val="ListParagraph"/>
        <w:numPr>
          <w:ilvl w:val="1"/>
          <w:numId w:val="3"/>
        </w:numPr>
        <w:spacing w:line="240" w:lineRule="auto"/>
      </w:pPr>
      <w:r w:rsidRPr="008D405D">
        <w:t xml:space="preserve">Enter your state or territory population data by age group </w:t>
      </w:r>
    </w:p>
    <w:p w14:paraId="5282C1A1" w14:textId="7441A003" w:rsidR="008D405D" w:rsidRPr="008D405D" w:rsidRDefault="008D405D" w:rsidP="00BE6E29">
      <w:pPr>
        <w:pStyle w:val="ListParagraph"/>
        <w:numPr>
          <w:ilvl w:val="1"/>
          <w:numId w:val="3"/>
        </w:numPr>
        <w:spacing w:line="240" w:lineRule="auto"/>
      </w:pPr>
      <w:r w:rsidRPr="008D405D">
        <w:t>Enter state or territory population data by race/ethnicity in columns. If your state uses different race/ethnicity categories, enter them into the appropriate cell</w:t>
      </w:r>
    </w:p>
    <w:p w14:paraId="7D4B1B98" w14:textId="210BFD59" w:rsidR="008D405D" w:rsidRPr="008D405D" w:rsidRDefault="008D405D" w:rsidP="00BE6E29">
      <w:pPr>
        <w:pStyle w:val="ListParagraph"/>
        <w:numPr>
          <w:ilvl w:val="0"/>
          <w:numId w:val="3"/>
        </w:numPr>
        <w:spacing w:line="240" w:lineRule="auto"/>
        <w:ind w:left="360"/>
      </w:pPr>
      <w:r w:rsidRPr="008D405D">
        <w:rPr>
          <w:b/>
          <w:bCs/>
        </w:rPr>
        <w:t>Fill in Tabs C, D, E, F, and G for Years 1-5</w:t>
      </w:r>
    </w:p>
    <w:p w14:paraId="456E9BD1" w14:textId="3CC1D9E1" w:rsidR="008D405D" w:rsidRPr="008D405D" w:rsidRDefault="008D405D" w:rsidP="00BE6E29">
      <w:pPr>
        <w:pStyle w:val="ListParagraph"/>
        <w:numPr>
          <w:ilvl w:val="1"/>
          <w:numId w:val="3"/>
        </w:numPr>
        <w:spacing w:line="240" w:lineRule="auto"/>
      </w:pPr>
      <w:r w:rsidRPr="008D405D">
        <w:t>Enter the number injuries in columns categorized by ED visits, hospitalizations, and deaths</w:t>
      </w:r>
    </w:p>
    <w:p w14:paraId="3F5C75AC" w14:textId="38C1B068" w:rsidR="008D405D" w:rsidRPr="008D405D" w:rsidRDefault="008D405D" w:rsidP="00BE6E29">
      <w:pPr>
        <w:pStyle w:val="ListParagraph"/>
        <w:numPr>
          <w:ilvl w:val="1"/>
          <w:numId w:val="3"/>
        </w:numPr>
        <w:spacing w:line="240" w:lineRule="auto"/>
      </w:pPr>
      <w:r w:rsidRPr="008D405D">
        <w:t xml:space="preserve">Enter the same data organized by race/ethnicity </w:t>
      </w:r>
    </w:p>
    <w:p w14:paraId="591B0BAB" w14:textId="436CF301" w:rsidR="008D405D" w:rsidRPr="008D405D" w:rsidRDefault="008D405D" w:rsidP="00BE6E29">
      <w:pPr>
        <w:pStyle w:val="ListParagraph"/>
        <w:numPr>
          <w:ilvl w:val="1"/>
          <w:numId w:val="3"/>
        </w:numPr>
        <w:spacing w:line="240" w:lineRule="auto"/>
      </w:pPr>
      <w:r w:rsidRPr="008D405D">
        <w:t>Enter the 2000 population values and weights to calculate age-adjusted rates per 100,000</w:t>
      </w:r>
    </w:p>
    <w:p w14:paraId="7D9B8432" w14:textId="134BDDBF" w:rsidR="008D405D" w:rsidRPr="008D405D" w:rsidRDefault="008D405D" w:rsidP="00BE6E29">
      <w:pPr>
        <w:pStyle w:val="ListParagraph"/>
        <w:numPr>
          <w:ilvl w:val="1"/>
          <w:numId w:val="3"/>
        </w:numPr>
        <w:spacing w:line="240" w:lineRule="auto"/>
      </w:pPr>
      <w:r w:rsidRPr="008D405D">
        <w:t>Age-adjusted rates per 100,000 will be calculated in these tabs for ED visits, hospitalizations, and deaths</w:t>
      </w:r>
    </w:p>
    <w:p w14:paraId="522B73A4" w14:textId="671DA443" w:rsidR="008D405D" w:rsidRPr="008D405D" w:rsidRDefault="008D405D" w:rsidP="00BE6E29">
      <w:pPr>
        <w:pStyle w:val="ListParagraph"/>
        <w:numPr>
          <w:ilvl w:val="0"/>
          <w:numId w:val="3"/>
        </w:numPr>
        <w:spacing w:line="240" w:lineRule="auto"/>
        <w:ind w:left="360"/>
      </w:pPr>
      <w:r w:rsidRPr="008D405D">
        <w:rPr>
          <w:b/>
          <w:bCs/>
        </w:rPr>
        <w:t xml:space="preserve">Review Tab </w:t>
      </w:r>
      <w:proofErr w:type="spellStart"/>
      <w:r w:rsidRPr="008D405D">
        <w:rPr>
          <w:b/>
          <w:bCs/>
        </w:rPr>
        <w:t>H_Table</w:t>
      </w:r>
      <w:proofErr w:type="spellEnd"/>
      <w:r w:rsidRPr="008D405D">
        <w:rPr>
          <w:b/>
          <w:bCs/>
        </w:rPr>
        <w:t xml:space="preserve"> 1 Rates by Year</w:t>
      </w:r>
    </w:p>
    <w:p w14:paraId="68002F9F" w14:textId="089B02E7" w:rsidR="008D405D" w:rsidRPr="008D405D" w:rsidRDefault="008D405D" w:rsidP="00BE6E29">
      <w:pPr>
        <w:pStyle w:val="ListParagraph"/>
        <w:numPr>
          <w:ilvl w:val="1"/>
          <w:numId w:val="3"/>
        </w:numPr>
        <w:spacing w:line="240" w:lineRule="auto"/>
      </w:pPr>
      <w:r w:rsidRPr="008D405D">
        <w:t>Review the data that automatically filled in Tab H to ensure that the total rates across your data years are accurately captured in Table 1.</w:t>
      </w:r>
    </w:p>
    <w:p w14:paraId="6A2FC6D1" w14:textId="530665D9" w:rsidR="008D405D" w:rsidRPr="008D405D" w:rsidRDefault="008D405D" w:rsidP="00BE6E29">
      <w:pPr>
        <w:pStyle w:val="ListParagraph"/>
        <w:numPr>
          <w:ilvl w:val="0"/>
          <w:numId w:val="3"/>
        </w:numPr>
        <w:spacing w:line="240" w:lineRule="auto"/>
        <w:ind w:left="360"/>
      </w:pPr>
      <w:r w:rsidRPr="008D405D">
        <w:rPr>
          <w:b/>
          <w:bCs/>
        </w:rPr>
        <w:t xml:space="preserve">Tab </w:t>
      </w:r>
      <w:proofErr w:type="spellStart"/>
      <w:r w:rsidRPr="008D405D">
        <w:rPr>
          <w:b/>
          <w:bCs/>
        </w:rPr>
        <w:t>I_Figure</w:t>
      </w:r>
      <w:proofErr w:type="spellEnd"/>
      <w:r w:rsidRPr="008D405D">
        <w:rPr>
          <w:b/>
          <w:bCs/>
        </w:rPr>
        <w:t xml:space="preserve"> 1 Mechanisms</w:t>
      </w:r>
    </w:p>
    <w:p w14:paraId="45EB3AE2" w14:textId="52AEF3E4" w:rsidR="008D405D" w:rsidRPr="008D405D" w:rsidRDefault="008D405D" w:rsidP="00BE6E29">
      <w:pPr>
        <w:pStyle w:val="ListParagraph"/>
        <w:numPr>
          <w:ilvl w:val="1"/>
          <w:numId w:val="3"/>
        </w:numPr>
        <w:spacing w:line="240" w:lineRule="auto"/>
      </w:pPr>
      <w:r w:rsidRPr="008D405D">
        <w:t>This tab is intended to calculate age-adjusted rates per 100,000 for ED visits, hospitalizations, and deaths</w:t>
      </w:r>
      <w:r w:rsidRPr="008D405D">
        <w:rPr>
          <w:b/>
          <w:bCs/>
        </w:rPr>
        <w:t xml:space="preserve"> by mechanism of unintentional child injury.</w:t>
      </w:r>
    </w:p>
    <w:p w14:paraId="6C3ECCB6" w14:textId="7D237E3E" w:rsidR="008D405D" w:rsidRPr="008D405D" w:rsidRDefault="008D405D" w:rsidP="00BE6E29">
      <w:pPr>
        <w:pStyle w:val="ListParagraph"/>
        <w:numPr>
          <w:ilvl w:val="1"/>
          <w:numId w:val="3"/>
        </w:numPr>
        <w:spacing w:line="240" w:lineRule="auto"/>
      </w:pPr>
      <w:r w:rsidRPr="008D405D">
        <w:t>Enter the counts by age group for each mechanism (up to 6 mechanisms total)</w:t>
      </w:r>
    </w:p>
    <w:p w14:paraId="40404F70" w14:textId="43C1C19B" w:rsidR="008D405D" w:rsidRPr="008D405D" w:rsidRDefault="008D405D" w:rsidP="00BE6E29">
      <w:pPr>
        <w:pStyle w:val="ListParagraph"/>
        <w:numPr>
          <w:ilvl w:val="1"/>
          <w:numId w:val="3"/>
        </w:numPr>
        <w:spacing w:line="240" w:lineRule="auto"/>
      </w:pPr>
      <w:r w:rsidRPr="008D405D">
        <w:t>The Figure 1 data table will populate with age-adjusted rates per 100,000 across ED visits, hospitalizations, and deaths for each mechanism. This data will generate the graph for Figure 1.</w:t>
      </w:r>
    </w:p>
    <w:p w14:paraId="7E34561F" w14:textId="23A9AF38" w:rsidR="008D405D" w:rsidRPr="008D405D" w:rsidRDefault="008D405D" w:rsidP="00BE6E29">
      <w:pPr>
        <w:pStyle w:val="ListParagraph"/>
        <w:numPr>
          <w:ilvl w:val="0"/>
          <w:numId w:val="3"/>
        </w:numPr>
        <w:spacing w:line="240" w:lineRule="auto"/>
        <w:ind w:left="360"/>
      </w:pPr>
      <w:r w:rsidRPr="008D405D">
        <w:rPr>
          <w:b/>
          <w:bCs/>
        </w:rPr>
        <w:t xml:space="preserve">Tab </w:t>
      </w:r>
      <w:proofErr w:type="spellStart"/>
      <w:r w:rsidRPr="008D405D">
        <w:rPr>
          <w:b/>
          <w:bCs/>
        </w:rPr>
        <w:t>J_Figure</w:t>
      </w:r>
      <w:proofErr w:type="spellEnd"/>
      <w:r w:rsidRPr="008D405D">
        <w:rPr>
          <w:b/>
          <w:bCs/>
        </w:rPr>
        <w:t xml:space="preserve"> 2 Age and Sex</w:t>
      </w:r>
    </w:p>
    <w:p w14:paraId="38D8ECAE" w14:textId="2A5E4F5B" w:rsidR="008D405D" w:rsidRPr="008D405D" w:rsidRDefault="008D405D" w:rsidP="00BE6E29">
      <w:pPr>
        <w:pStyle w:val="ListParagraph"/>
        <w:numPr>
          <w:ilvl w:val="1"/>
          <w:numId w:val="3"/>
        </w:numPr>
        <w:spacing w:line="240" w:lineRule="auto"/>
      </w:pPr>
      <w:r w:rsidRPr="008D405D">
        <w:t xml:space="preserve">This tab is intended to show age-adjusted rates per 100,000 for ED visits, hospitalizations, </w:t>
      </w:r>
      <w:r w:rsidRPr="008D405D">
        <w:rPr>
          <w:b/>
          <w:bCs/>
        </w:rPr>
        <w:t>or</w:t>
      </w:r>
      <w:r w:rsidRPr="008D405D">
        <w:t xml:space="preserve"> deaths</w:t>
      </w:r>
      <w:r w:rsidRPr="008D405D">
        <w:rPr>
          <w:b/>
          <w:bCs/>
        </w:rPr>
        <w:t xml:space="preserve"> </w:t>
      </w:r>
      <w:r w:rsidRPr="008D405D">
        <w:t>by age and sex.</w:t>
      </w:r>
    </w:p>
    <w:p w14:paraId="74FCAE24" w14:textId="50A6E115" w:rsidR="008D405D" w:rsidRPr="008D405D" w:rsidRDefault="008D405D" w:rsidP="00BE6E29">
      <w:pPr>
        <w:pStyle w:val="ListParagraph"/>
        <w:numPr>
          <w:ilvl w:val="1"/>
          <w:numId w:val="3"/>
        </w:numPr>
        <w:spacing w:line="240" w:lineRule="auto"/>
      </w:pPr>
      <w:r w:rsidRPr="008D405D">
        <w:t xml:space="preserve">Copy/paste age-adjusted rates per 100,000 for male and female for ED visits, hospitalizations, </w:t>
      </w:r>
      <w:r w:rsidRPr="008D405D">
        <w:rPr>
          <w:b/>
          <w:bCs/>
        </w:rPr>
        <w:t>or</w:t>
      </w:r>
      <w:r w:rsidRPr="008D405D">
        <w:t xml:space="preserve"> deaths from Tab C, D, E, F, </w:t>
      </w:r>
      <w:r w:rsidRPr="008D405D">
        <w:rPr>
          <w:b/>
          <w:bCs/>
        </w:rPr>
        <w:t xml:space="preserve">or </w:t>
      </w:r>
      <w:r w:rsidRPr="008D405D">
        <w:t>G.</w:t>
      </w:r>
    </w:p>
    <w:p w14:paraId="1CB1A09A" w14:textId="64332C5D" w:rsidR="008D405D" w:rsidRPr="008D405D" w:rsidRDefault="008D405D" w:rsidP="00BE6E29">
      <w:pPr>
        <w:pStyle w:val="ListParagraph"/>
        <w:numPr>
          <w:ilvl w:val="0"/>
          <w:numId w:val="3"/>
        </w:numPr>
        <w:spacing w:line="240" w:lineRule="auto"/>
        <w:ind w:left="360"/>
      </w:pPr>
      <w:r w:rsidRPr="008D405D">
        <w:rPr>
          <w:b/>
          <w:bCs/>
        </w:rPr>
        <w:t xml:space="preserve">Tab </w:t>
      </w:r>
      <w:proofErr w:type="spellStart"/>
      <w:r w:rsidRPr="008D405D">
        <w:rPr>
          <w:b/>
          <w:bCs/>
        </w:rPr>
        <w:t>K_Optional</w:t>
      </w:r>
      <w:proofErr w:type="spellEnd"/>
      <w:r w:rsidRPr="008D405D">
        <w:rPr>
          <w:b/>
          <w:bCs/>
        </w:rPr>
        <w:t xml:space="preserve"> Figure 3 Race/Ethnicity Groups</w:t>
      </w:r>
    </w:p>
    <w:p w14:paraId="656B01CB" w14:textId="6314D661" w:rsidR="008D405D" w:rsidRPr="008D405D" w:rsidRDefault="008D405D" w:rsidP="00BE6E29">
      <w:pPr>
        <w:pStyle w:val="ListParagraph"/>
        <w:numPr>
          <w:ilvl w:val="1"/>
          <w:numId w:val="3"/>
        </w:numPr>
        <w:spacing w:line="240" w:lineRule="auto"/>
      </w:pPr>
      <w:r w:rsidRPr="008D405D">
        <w:t xml:space="preserve">This tab is intended to show age-adjusted rates per 100,000 for ED visits, hospitalizations, </w:t>
      </w:r>
      <w:r w:rsidRPr="008D405D">
        <w:rPr>
          <w:b/>
          <w:bCs/>
        </w:rPr>
        <w:t>or</w:t>
      </w:r>
      <w:r w:rsidRPr="008D405D">
        <w:t xml:space="preserve"> deaths</w:t>
      </w:r>
      <w:r w:rsidRPr="008D405D">
        <w:rPr>
          <w:b/>
          <w:bCs/>
        </w:rPr>
        <w:t xml:space="preserve"> </w:t>
      </w:r>
      <w:r w:rsidRPr="008D405D">
        <w:t>by age and race/ethnicity.</w:t>
      </w:r>
    </w:p>
    <w:p w14:paraId="5530BE62" w14:textId="054B2C19" w:rsidR="008D405D" w:rsidRPr="008D405D" w:rsidRDefault="008D405D" w:rsidP="00BE6E29">
      <w:pPr>
        <w:pStyle w:val="ListParagraph"/>
        <w:numPr>
          <w:ilvl w:val="1"/>
          <w:numId w:val="3"/>
        </w:numPr>
        <w:spacing w:line="240" w:lineRule="auto"/>
      </w:pPr>
      <w:r w:rsidRPr="008D405D">
        <w:t xml:space="preserve">Copy/paste age-adjusted rates per 100,000 for race/ethnicity groups for ED visits, hospitalizations, and deaths from Tab C, D, E, F, </w:t>
      </w:r>
      <w:r w:rsidRPr="008D405D">
        <w:rPr>
          <w:b/>
          <w:bCs/>
        </w:rPr>
        <w:t xml:space="preserve">or </w:t>
      </w:r>
      <w:r w:rsidRPr="008D405D">
        <w:t>G.</w:t>
      </w:r>
    </w:p>
    <w:p w14:paraId="05116097" w14:textId="4E872C20" w:rsidR="00BE6E29" w:rsidRDefault="00BE6E29" w:rsidP="00BE6E29">
      <w:pPr>
        <w:spacing w:line="240" w:lineRule="auto"/>
        <w:rPr>
          <w:rFonts w:asciiTheme="majorHAnsi" w:eastAsiaTheme="majorEastAsia" w:hAnsiTheme="majorHAnsi" w:cstheme="majorBidi"/>
          <w:b/>
          <w:bCs/>
          <w:color w:val="2F5496" w:themeColor="accent1" w:themeShade="BF"/>
          <w:sz w:val="26"/>
          <w:szCs w:val="26"/>
        </w:rPr>
      </w:pPr>
    </w:p>
    <w:p w14:paraId="443933AC" w14:textId="0C6B2259" w:rsidR="00390DB9" w:rsidRDefault="00390DB9" w:rsidP="00BE6E29">
      <w:pPr>
        <w:pStyle w:val="Heading2"/>
        <w:spacing w:before="0" w:line="240" w:lineRule="auto"/>
      </w:pPr>
      <w:r w:rsidRPr="0029429A">
        <w:rPr>
          <w:b/>
          <w:bCs/>
        </w:rPr>
        <w:t>Step 3.</w:t>
      </w:r>
      <w:r>
        <w:t xml:space="preserve"> Create the SER</w:t>
      </w:r>
    </w:p>
    <w:p w14:paraId="2EBB7624" w14:textId="2096BAEF" w:rsidR="00390DB9" w:rsidRPr="00390DB9" w:rsidRDefault="00390DB9" w:rsidP="00BE6E29">
      <w:pPr>
        <w:pStyle w:val="ListParagraph"/>
        <w:numPr>
          <w:ilvl w:val="0"/>
          <w:numId w:val="5"/>
        </w:numPr>
        <w:spacing w:line="240" w:lineRule="auto"/>
        <w:ind w:left="360"/>
      </w:pPr>
      <w:r w:rsidRPr="0029429A">
        <w:rPr>
          <w:b/>
          <w:bCs/>
        </w:rPr>
        <w:t>Open the PDF SER form</w:t>
      </w:r>
    </w:p>
    <w:p w14:paraId="09127F89" w14:textId="77777777" w:rsidR="0029429A" w:rsidRPr="0029429A" w:rsidRDefault="00390DB9" w:rsidP="00BE6E29">
      <w:pPr>
        <w:pStyle w:val="ListParagraph"/>
        <w:numPr>
          <w:ilvl w:val="0"/>
          <w:numId w:val="5"/>
        </w:numPr>
        <w:spacing w:line="240" w:lineRule="auto"/>
        <w:ind w:left="360"/>
      </w:pPr>
      <w:r w:rsidRPr="0029429A">
        <w:rPr>
          <w:b/>
          <w:bCs/>
        </w:rPr>
        <w:t xml:space="preserve">Open Tab </w:t>
      </w:r>
      <w:proofErr w:type="spellStart"/>
      <w:r w:rsidRPr="0029429A">
        <w:rPr>
          <w:b/>
          <w:bCs/>
        </w:rPr>
        <w:t>L_Report</w:t>
      </w:r>
      <w:proofErr w:type="spellEnd"/>
    </w:p>
    <w:p w14:paraId="4286CC44" w14:textId="3B6411FA" w:rsidR="00390DB9" w:rsidRPr="00390DB9" w:rsidRDefault="00390DB9" w:rsidP="00BE6E29">
      <w:pPr>
        <w:pStyle w:val="ListParagraph"/>
        <w:numPr>
          <w:ilvl w:val="1"/>
          <w:numId w:val="5"/>
        </w:numPr>
        <w:spacing w:line="240" w:lineRule="auto"/>
      </w:pPr>
      <w:r w:rsidRPr="00390DB9">
        <w:t>The PDF SER form includes fields that will be populated according to the data you have entered in the spreadsheet. Follow the instructions in the "Report" tab and populate the PDF SER form with the appropriate data. You will need to copy and paste some of the graphs and charts from the report tab into your SER - instructions for how to do this are embedded in the tab.</w:t>
      </w:r>
    </w:p>
    <w:p w14:paraId="2A899D8A" w14:textId="77777777" w:rsidR="0029429A" w:rsidRPr="0029429A" w:rsidRDefault="00390DB9" w:rsidP="00BE6E29">
      <w:pPr>
        <w:pStyle w:val="ListParagraph"/>
        <w:numPr>
          <w:ilvl w:val="0"/>
          <w:numId w:val="5"/>
        </w:numPr>
        <w:spacing w:line="240" w:lineRule="auto"/>
        <w:ind w:left="360"/>
      </w:pPr>
      <w:r w:rsidRPr="0029429A">
        <w:rPr>
          <w:b/>
          <w:bCs/>
        </w:rPr>
        <w:t>Finalize the PDF SER form</w:t>
      </w:r>
    </w:p>
    <w:p w14:paraId="519C9D9C" w14:textId="665D7620" w:rsidR="00390DB9" w:rsidRPr="00390DB9" w:rsidRDefault="00390DB9" w:rsidP="00BE6E29">
      <w:pPr>
        <w:pStyle w:val="ListParagraph"/>
        <w:numPr>
          <w:ilvl w:val="1"/>
          <w:numId w:val="5"/>
        </w:numPr>
        <w:spacing w:line="240" w:lineRule="auto"/>
      </w:pPr>
      <w:r w:rsidRPr="00390DB9">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2CD518F0" w14:textId="77777777" w:rsidR="00390DB9" w:rsidRPr="008D405D" w:rsidRDefault="00390DB9" w:rsidP="00390DB9"/>
    <w:sectPr w:rsidR="00390DB9" w:rsidRPr="008D405D" w:rsidSect="004B17D3">
      <w:footerReference w:type="defaul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8EB57" w14:textId="77777777" w:rsidR="00BE6E29" w:rsidRDefault="00BE6E29" w:rsidP="00BE6E29">
      <w:pPr>
        <w:spacing w:line="240" w:lineRule="auto"/>
      </w:pPr>
      <w:r>
        <w:separator/>
      </w:r>
    </w:p>
  </w:endnote>
  <w:endnote w:type="continuationSeparator" w:id="0">
    <w:p w14:paraId="33FB257B" w14:textId="77777777" w:rsidR="00BE6E29" w:rsidRDefault="00BE6E29" w:rsidP="00BE6E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601601"/>
      <w:docPartObj>
        <w:docPartGallery w:val="Page Numbers (Bottom of Page)"/>
        <w:docPartUnique/>
      </w:docPartObj>
    </w:sdtPr>
    <w:sdtEndPr>
      <w:rPr>
        <w:noProof/>
      </w:rPr>
    </w:sdtEndPr>
    <w:sdtContent>
      <w:p w14:paraId="5D08A56F" w14:textId="6914C2E2" w:rsidR="00BE6E29" w:rsidRDefault="00BE6E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F513AB" w14:textId="77777777" w:rsidR="00BE6E29" w:rsidRDefault="00BE6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B5EFA" w14:textId="77777777" w:rsidR="00BE6E29" w:rsidRDefault="00BE6E29" w:rsidP="00BE6E29">
      <w:pPr>
        <w:spacing w:line="240" w:lineRule="auto"/>
      </w:pPr>
      <w:r>
        <w:separator/>
      </w:r>
    </w:p>
  </w:footnote>
  <w:footnote w:type="continuationSeparator" w:id="0">
    <w:p w14:paraId="1FC4C240" w14:textId="77777777" w:rsidR="00BE6E29" w:rsidRDefault="00BE6E29" w:rsidP="00BE6E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51731"/>
    <w:multiLevelType w:val="multilevel"/>
    <w:tmpl w:val="42288D4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378E7825"/>
    <w:multiLevelType w:val="hybridMultilevel"/>
    <w:tmpl w:val="253485A4"/>
    <w:lvl w:ilvl="0" w:tplc="04090001">
      <w:start w:val="1"/>
      <w:numFmt w:val="bullet"/>
      <w:lvlText w:val=""/>
      <w:lvlJc w:val="left"/>
      <w:pPr>
        <w:ind w:left="720" w:hanging="360"/>
      </w:pPr>
      <w:rPr>
        <w:rFonts w:ascii="Symbol" w:hAnsi="Symbol" w:hint="default"/>
      </w:rPr>
    </w:lvl>
    <w:lvl w:ilvl="1" w:tplc="804412DE">
      <w:start w:val="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FD5E3A"/>
    <w:multiLevelType w:val="hybridMultilevel"/>
    <w:tmpl w:val="2B68B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5D39FE"/>
    <w:multiLevelType w:val="multilevel"/>
    <w:tmpl w:val="42288D4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73166A4B"/>
    <w:multiLevelType w:val="multilevel"/>
    <w:tmpl w:val="41DAA5C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516649490">
    <w:abstractNumId w:val="1"/>
  </w:num>
  <w:num w:numId="2" w16cid:durableId="2118402057">
    <w:abstractNumId w:val="2"/>
  </w:num>
  <w:num w:numId="3" w16cid:durableId="2084527778">
    <w:abstractNumId w:val="3"/>
  </w:num>
  <w:num w:numId="4" w16cid:durableId="1740444897">
    <w:abstractNumId w:val="0"/>
  </w:num>
  <w:num w:numId="5" w16cid:durableId="406268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7D3"/>
    <w:rsid w:val="0029429A"/>
    <w:rsid w:val="00390DB9"/>
    <w:rsid w:val="004B17D3"/>
    <w:rsid w:val="007B0B2B"/>
    <w:rsid w:val="007E77A4"/>
    <w:rsid w:val="007F53EE"/>
    <w:rsid w:val="008D405D"/>
    <w:rsid w:val="008D67AD"/>
    <w:rsid w:val="00BE6E29"/>
    <w:rsid w:val="00D76C36"/>
    <w:rsid w:val="00E15E89"/>
    <w:rsid w:val="00E64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E008"/>
  <w15:chartTrackingRefBased/>
  <w15:docId w15:val="{DF5CE081-DF5C-4244-9566-295A9CF3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1">
    <w:name w:val="heading 1"/>
    <w:basedOn w:val="Normal"/>
    <w:next w:val="Normal"/>
    <w:link w:val="Heading1Char"/>
    <w:uiPriority w:val="9"/>
    <w:qFormat/>
    <w:rsid w:val="007B0B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0B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7D3"/>
    <w:rPr>
      <w:color w:val="0000FF"/>
      <w:u w:val="single"/>
    </w:rPr>
  </w:style>
  <w:style w:type="table" w:styleId="GridTable4-Accent1">
    <w:name w:val="Grid Table 4 Accent 1"/>
    <w:basedOn w:val="TableNormal"/>
    <w:uiPriority w:val="49"/>
    <w:rsid w:val="007B0B2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2Char">
    <w:name w:val="Heading 2 Char"/>
    <w:basedOn w:val="DefaultParagraphFont"/>
    <w:link w:val="Heading2"/>
    <w:uiPriority w:val="9"/>
    <w:rsid w:val="007B0B2B"/>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B0B2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64464"/>
    <w:pPr>
      <w:ind w:left="720"/>
      <w:contextualSpacing/>
    </w:pPr>
  </w:style>
  <w:style w:type="character" w:styleId="UnresolvedMention">
    <w:name w:val="Unresolved Mention"/>
    <w:basedOn w:val="DefaultParagraphFont"/>
    <w:uiPriority w:val="99"/>
    <w:semiHidden/>
    <w:unhideWhenUsed/>
    <w:rsid w:val="00E64464"/>
    <w:rPr>
      <w:color w:val="605E5C"/>
      <w:shd w:val="clear" w:color="auto" w:fill="E1DFDD"/>
    </w:rPr>
  </w:style>
  <w:style w:type="paragraph" w:styleId="Header">
    <w:name w:val="header"/>
    <w:basedOn w:val="Normal"/>
    <w:link w:val="HeaderChar"/>
    <w:uiPriority w:val="99"/>
    <w:unhideWhenUsed/>
    <w:rsid w:val="00BE6E29"/>
    <w:pPr>
      <w:tabs>
        <w:tab w:val="center" w:pos="4680"/>
        <w:tab w:val="right" w:pos="9360"/>
      </w:tabs>
      <w:spacing w:line="240" w:lineRule="auto"/>
    </w:pPr>
  </w:style>
  <w:style w:type="character" w:customStyle="1" w:styleId="HeaderChar">
    <w:name w:val="Header Char"/>
    <w:basedOn w:val="DefaultParagraphFont"/>
    <w:link w:val="Header"/>
    <w:uiPriority w:val="99"/>
    <w:rsid w:val="00BE6E29"/>
  </w:style>
  <w:style w:type="paragraph" w:styleId="Footer">
    <w:name w:val="footer"/>
    <w:basedOn w:val="Normal"/>
    <w:link w:val="FooterChar"/>
    <w:uiPriority w:val="99"/>
    <w:unhideWhenUsed/>
    <w:rsid w:val="00BE6E29"/>
    <w:pPr>
      <w:tabs>
        <w:tab w:val="center" w:pos="4680"/>
        <w:tab w:val="right" w:pos="9360"/>
      </w:tabs>
      <w:spacing w:line="240" w:lineRule="auto"/>
    </w:pPr>
  </w:style>
  <w:style w:type="character" w:customStyle="1" w:styleId="FooterChar">
    <w:name w:val="Footer Char"/>
    <w:basedOn w:val="DefaultParagraphFont"/>
    <w:link w:val="Footer"/>
    <w:uiPriority w:val="99"/>
    <w:rsid w:val="00BE6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75927">
      <w:bodyDiv w:val="1"/>
      <w:marLeft w:val="0"/>
      <w:marRight w:val="0"/>
      <w:marTop w:val="0"/>
      <w:marBottom w:val="0"/>
      <w:divBdr>
        <w:top w:val="none" w:sz="0" w:space="0" w:color="auto"/>
        <w:left w:val="none" w:sz="0" w:space="0" w:color="auto"/>
        <w:bottom w:val="none" w:sz="0" w:space="0" w:color="auto"/>
        <w:right w:val="none" w:sz="0" w:space="0" w:color="auto"/>
      </w:divBdr>
    </w:div>
    <w:div w:id="883828339">
      <w:bodyDiv w:val="1"/>
      <w:marLeft w:val="0"/>
      <w:marRight w:val="0"/>
      <w:marTop w:val="0"/>
      <w:marBottom w:val="0"/>
      <w:divBdr>
        <w:top w:val="none" w:sz="0" w:space="0" w:color="auto"/>
        <w:left w:val="none" w:sz="0" w:space="0" w:color="auto"/>
        <w:bottom w:val="none" w:sz="0" w:space="0" w:color="auto"/>
        <w:right w:val="none" w:sz="0" w:space="0" w:color="auto"/>
      </w:divBdr>
    </w:div>
    <w:div w:id="900562435">
      <w:bodyDiv w:val="1"/>
      <w:marLeft w:val="0"/>
      <w:marRight w:val="0"/>
      <w:marTop w:val="0"/>
      <w:marBottom w:val="0"/>
      <w:divBdr>
        <w:top w:val="none" w:sz="0" w:space="0" w:color="auto"/>
        <w:left w:val="none" w:sz="0" w:space="0" w:color="auto"/>
        <w:bottom w:val="none" w:sz="0" w:space="0" w:color="auto"/>
        <w:right w:val="none" w:sz="0" w:space="0" w:color="auto"/>
      </w:divBdr>
    </w:div>
    <w:div w:id="1102409080">
      <w:bodyDiv w:val="1"/>
      <w:marLeft w:val="0"/>
      <w:marRight w:val="0"/>
      <w:marTop w:val="0"/>
      <w:marBottom w:val="0"/>
      <w:divBdr>
        <w:top w:val="none" w:sz="0" w:space="0" w:color="auto"/>
        <w:left w:val="none" w:sz="0" w:space="0" w:color="auto"/>
        <w:bottom w:val="none" w:sz="0" w:space="0" w:color="auto"/>
        <w:right w:val="none" w:sz="0" w:space="0" w:color="auto"/>
      </w:divBdr>
    </w:div>
    <w:div w:id="1843545229">
      <w:bodyDiv w:val="1"/>
      <w:marLeft w:val="0"/>
      <w:marRight w:val="0"/>
      <w:marTop w:val="0"/>
      <w:marBottom w:val="0"/>
      <w:divBdr>
        <w:top w:val="none" w:sz="0" w:space="0" w:color="auto"/>
        <w:left w:val="none" w:sz="0" w:space="0" w:color="auto"/>
        <w:bottom w:val="none" w:sz="0" w:space="0" w:color="auto"/>
        <w:right w:val="none" w:sz="0" w:space="0" w:color="auto"/>
      </w:divBdr>
    </w:div>
    <w:div w:id="1984692545">
      <w:bodyDiv w:val="1"/>
      <w:marLeft w:val="0"/>
      <w:marRight w:val="0"/>
      <w:marTop w:val="0"/>
      <w:marBottom w:val="0"/>
      <w:divBdr>
        <w:top w:val="none" w:sz="0" w:space="0" w:color="auto"/>
        <w:left w:val="none" w:sz="0" w:space="0" w:color="auto"/>
        <w:bottom w:val="none" w:sz="0" w:space="0" w:color="auto"/>
        <w:right w:val="none" w:sz="0" w:space="0" w:color="auto"/>
      </w:divBdr>
    </w:div>
    <w:div w:id="21288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dc.gov/nchs/injury/injury_tools.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khan@rossstrategi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ublic.3.basecamp.com/p/81NgqbEdpVwEnAGTeq4HAf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Props1.xml><?xml version="1.0" encoding="utf-8"?>
<ds:datastoreItem xmlns:ds="http://schemas.openxmlformats.org/officeDocument/2006/customXml" ds:itemID="{3AAE0869-281A-419D-B73F-5B8688C92B1C}">
  <ds:schemaRefs>
    <ds:schemaRef ds:uri="http://schemas.microsoft.com/sharepoint/v3/contenttype/forms"/>
  </ds:schemaRefs>
</ds:datastoreItem>
</file>

<file path=customXml/itemProps2.xml><?xml version="1.0" encoding="utf-8"?>
<ds:datastoreItem xmlns:ds="http://schemas.openxmlformats.org/officeDocument/2006/customXml" ds:itemID="{1D58AC09-506E-4EFF-991F-DBEE0A415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FA3CB-9298-42E5-A510-5B54B57EF1DD}">
  <ds:schemaRefs>
    <ds:schemaRef ds:uri="http://purl.org/dc/elements/1.1/"/>
    <ds:schemaRef ds:uri="http://schemas.microsoft.com/office/infopath/2007/PartnerControls"/>
    <ds:schemaRef ds:uri="http://schemas.microsoft.com/office/2006/documentManagement/types"/>
    <ds:schemaRef ds:uri="e56a9a4a-99a3-4708-b025-cc895b1fb658"/>
    <ds:schemaRef ds:uri="http://schemas.openxmlformats.org/package/2006/metadata/core-properties"/>
    <ds:schemaRef ds:uri="d2b2d159-3ad8-40dc-8c1e-969183b28281"/>
    <ds:schemaRef ds:uri="http://purl.org/dc/terms/"/>
    <ds:schemaRef ds:uri="http://www.w3.org/XML/1998/namespace"/>
    <ds:schemaRef ds:uri="9d35be4f-046c-49d8-91e8-e6c6f0e5b7cb"/>
    <ds:schemaRef ds:uri="2F268C32-F5A8-4CF2-8D20-4ED9A23D9D6A"/>
    <ds:schemaRef ds:uri="a369dffc-b10b-4e7f-9605-9472120fff0b"/>
    <ds:schemaRef ds:uri="9e60e796-0612-4d21-b42b-f8375543952f"/>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2</cp:revision>
  <dcterms:created xsi:type="dcterms:W3CDTF">2022-08-25T21:09:00Z</dcterms:created>
  <dcterms:modified xsi:type="dcterms:W3CDTF">2022-08-25T21:09:00Z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ies>
</file>